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A45AC1" w:rsidRPr="001C43EE" w14:paraId="5AD60F6A" w14:textId="77777777" w:rsidTr="00F94D12">
        <w:trPr>
          <w:trHeight w:hRule="exact" w:val="418"/>
          <w:jc w:val="center"/>
        </w:trPr>
        <w:tc>
          <w:tcPr>
            <w:tcW w:w="8721" w:type="dxa"/>
            <w:gridSpan w:val="2"/>
          </w:tcPr>
          <w:p w14:paraId="46AFA191" w14:textId="77777777" w:rsidR="00A45AC1" w:rsidRPr="001C43EE" w:rsidRDefault="00A45AC1" w:rsidP="00BF2701">
            <w:pPr>
              <w:pStyle w:val="a4"/>
              <w:jc w:val="center"/>
              <w:rPr>
                <w:rFonts w:ascii="Tahoma" w:hAnsi="Tahoma" w:cs="Tahoma"/>
                <w:color w:val="000080"/>
                <w:rtl/>
              </w:rPr>
            </w:pPr>
            <w:bookmarkStart w:id="0" w:name="LastJudge"/>
            <w:r w:rsidRPr="001C43EE">
              <w:rPr>
                <w:rFonts w:ascii="Tahoma" w:hAnsi="Tahoma" w:cs="Tahoma"/>
                <w:b/>
                <w:bCs/>
                <w:color w:val="000080"/>
                <w:rtl/>
              </w:rPr>
              <w:t>בית המשפט המחוזי בחיפה</w:t>
            </w:r>
          </w:p>
        </w:tc>
      </w:tr>
      <w:tr w:rsidR="00A45AC1" w:rsidRPr="001C43EE" w14:paraId="030D2923" w14:textId="77777777" w:rsidTr="00F94D12">
        <w:trPr>
          <w:trHeight w:val="337"/>
          <w:jc w:val="center"/>
        </w:trPr>
        <w:tc>
          <w:tcPr>
            <w:tcW w:w="5060" w:type="dxa"/>
          </w:tcPr>
          <w:p w14:paraId="611A4A3F" w14:textId="77777777" w:rsidR="00A45AC1" w:rsidRPr="001C43EE" w:rsidRDefault="00A45AC1" w:rsidP="00BF2701">
            <w:pPr>
              <w:rPr>
                <w:rFonts w:cs="FrankRuehl"/>
                <w:sz w:val="28"/>
                <w:szCs w:val="28"/>
                <w:rtl/>
              </w:rPr>
            </w:pPr>
            <w:r w:rsidRPr="001C43EE">
              <w:rPr>
                <w:rFonts w:cs="FrankRuehl"/>
                <w:sz w:val="28"/>
                <w:szCs w:val="28"/>
                <w:rtl/>
              </w:rPr>
              <w:t>ת"פ</w:t>
            </w:r>
            <w:r w:rsidRPr="001C43EE">
              <w:rPr>
                <w:rFonts w:cs="FrankRuehl" w:hint="cs"/>
                <w:sz w:val="28"/>
                <w:szCs w:val="28"/>
                <w:rtl/>
              </w:rPr>
              <w:t xml:space="preserve"> </w:t>
            </w:r>
            <w:r w:rsidRPr="001C43EE">
              <w:rPr>
                <w:rFonts w:cs="FrankRuehl"/>
                <w:sz w:val="28"/>
                <w:szCs w:val="28"/>
                <w:rtl/>
              </w:rPr>
              <w:t>24896-04-20</w:t>
            </w:r>
            <w:r w:rsidRPr="001C43EE">
              <w:rPr>
                <w:rFonts w:cs="FrankRuehl" w:hint="cs"/>
                <w:sz w:val="28"/>
                <w:szCs w:val="28"/>
                <w:rtl/>
              </w:rPr>
              <w:t xml:space="preserve"> </w:t>
            </w:r>
            <w:r w:rsidRPr="001C43EE">
              <w:rPr>
                <w:rFonts w:cs="FrankRuehl"/>
                <w:sz w:val="28"/>
                <w:szCs w:val="28"/>
                <w:rtl/>
              </w:rPr>
              <w:t>מדינת ישראל נ' מחאמיד(עציר) ואח'</w:t>
            </w:r>
          </w:p>
          <w:p w14:paraId="489F2C93" w14:textId="77777777" w:rsidR="00A45AC1" w:rsidRPr="001C43EE" w:rsidRDefault="00A45AC1" w:rsidP="00BF2701">
            <w:pPr>
              <w:pStyle w:val="a4"/>
              <w:rPr>
                <w:rFonts w:cs="FrankRuehl"/>
                <w:sz w:val="28"/>
                <w:szCs w:val="28"/>
                <w:rtl/>
              </w:rPr>
            </w:pPr>
          </w:p>
        </w:tc>
        <w:tc>
          <w:tcPr>
            <w:tcW w:w="3661" w:type="dxa"/>
          </w:tcPr>
          <w:p w14:paraId="1D7DED81" w14:textId="77777777" w:rsidR="00A45AC1" w:rsidRPr="001C43EE" w:rsidRDefault="00A45AC1" w:rsidP="00BF2701">
            <w:pPr>
              <w:pStyle w:val="a4"/>
              <w:jc w:val="right"/>
              <w:rPr>
                <w:rFonts w:cs="FrankRuehl"/>
                <w:sz w:val="28"/>
                <w:szCs w:val="28"/>
                <w:rtl/>
              </w:rPr>
            </w:pPr>
          </w:p>
        </w:tc>
      </w:tr>
    </w:tbl>
    <w:p w14:paraId="2AEFCAD4" w14:textId="77777777" w:rsidR="00A45AC1" w:rsidRPr="001C43EE" w:rsidRDefault="00A45AC1" w:rsidP="00A45AC1">
      <w:pPr>
        <w:pStyle w:val="a4"/>
        <w:rPr>
          <w:rtl/>
        </w:rPr>
      </w:pPr>
      <w:r w:rsidRPr="001C43EE">
        <w:rPr>
          <w:rFonts w:hint="cs"/>
          <w:rtl/>
        </w:rPr>
        <w:t xml:space="preserve"> </w:t>
      </w:r>
    </w:p>
    <w:p w14:paraId="4C44F9D0" w14:textId="77777777" w:rsidR="00A45AC1" w:rsidRPr="001C43EE" w:rsidRDefault="00A45AC1" w:rsidP="00A45AC1">
      <w:pPr>
        <w:jc w:val="both"/>
        <w:rPr>
          <w:rtl/>
        </w:rPr>
      </w:pPr>
    </w:p>
    <w:p w14:paraId="0D308665" w14:textId="77777777" w:rsidR="00A45AC1" w:rsidRPr="001C43EE" w:rsidRDefault="00A45AC1" w:rsidP="00A45AC1">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45AC1" w:rsidRPr="001C43EE" w14:paraId="460CBB64" w14:textId="77777777" w:rsidTr="00A45AC1">
        <w:trPr>
          <w:trHeight w:val="295"/>
          <w:jc w:val="center"/>
        </w:trPr>
        <w:tc>
          <w:tcPr>
            <w:tcW w:w="923" w:type="dxa"/>
            <w:tcBorders>
              <w:top w:val="nil"/>
              <w:left w:val="nil"/>
              <w:bottom w:val="nil"/>
              <w:right w:val="nil"/>
            </w:tcBorders>
            <w:shd w:val="clear" w:color="auto" w:fill="auto"/>
          </w:tcPr>
          <w:p w14:paraId="19A07E66" w14:textId="77777777" w:rsidR="00A45AC1" w:rsidRPr="001C43EE" w:rsidRDefault="00A45AC1" w:rsidP="00A45AC1">
            <w:pPr>
              <w:jc w:val="both"/>
              <w:rPr>
                <w:rFonts w:ascii="David" w:hAnsi="David"/>
                <w:b/>
                <w:bCs/>
                <w:sz w:val="28"/>
                <w:szCs w:val="28"/>
              </w:rPr>
            </w:pPr>
            <w:r w:rsidRPr="001C43EE">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3D1DE140" w14:textId="77777777" w:rsidR="00A45AC1" w:rsidRPr="001C43EE" w:rsidRDefault="00A45AC1" w:rsidP="00A45AC1">
            <w:pPr>
              <w:jc w:val="both"/>
              <w:rPr>
                <w:rFonts w:ascii="David" w:hAnsi="David"/>
                <w:b/>
                <w:bCs/>
                <w:rtl/>
              </w:rPr>
            </w:pPr>
            <w:r w:rsidRPr="001C43EE">
              <w:rPr>
                <w:rFonts w:ascii="David" w:hAnsi="David"/>
                <w:b/>
                <w:bCs/>
                <w:rtl/>
              </w:rPr>
              <w:t>כבוד השופטת  רונית בש</w:t>
            </w:r>
          </w:p>
          <w:p w14:paraId="3E57380E" w14:textId="77777777" w:rsidR="00A45AC1" w:rsidRPr="001C43EE" w:rsidRDefault="00A45AC1" w:rsidP="00A45AC1">
            <w:pPr>
              <w:jc w:val="both"/>
              <w:rPr>
                <w:rFonts w:ascii="David" w:hAnsi="David"/>
                <w:b/>
                <w:bCs/>
                <w:rtl/>
              </w:rPr>
            </w:pPr>
          </w:p>
          <w:p w14:paraId="330E48D4" w14:textId="77777777" w:rsidR="00A45AC1" w:rsidRPr="001C43EE" w:rsidRDefault="00A45AC1" w:rsidP="00A45AC1">
            <w:pPr>
              <w:jc w:val="both"/>
              <w:rPr>
                <w:rFonts w:ascii="David" w:hAnsi="David"/>
                <w:b/>
                <w:bCs/>
                <w:sz w:val="28"/>
                <w:szCs w:val="28"/>
              </w:rPr>
            </w:pPr>
          </w:p>
        </w:tc>
      </w:tr>
      <w:tr w:rsidR="00A45AC1" w:rsidRPr="001C43EE" w14:paraId="4F840D09" w14:textId="77777777" w:rsidTr="00A45AC1">
        <w:trPr>
          <w:trHeight w:val="355"/>
          <w:jc w:val="center"/>
        </w:trPr>
        <w:tc>
          <w:tcPr>
            <w:tcW w:w="923" w:type="dxa"/>
            <w:tcBorders>
              <w:top w:val="nil"/>
              <w:left w:val="nil"/>
              <w:bottom w:val="nil"/>
              <w:right w:val="nil"/>
            </w:tcBorders>
            <w:shd w:val="clear" w:color="auto" w:fill="auto"/>
          </w:tcPr>
          <w:p w14:paraId="717DC504" w14:textId="77777777" w:rsidR="00A45AC1" w:rsidRPr="001C43EE" w:rsidRDefault="00A45AC1" w:rsidP="00A45AC1">
            <w:pPr>
              <w:jc w:val="both"/>
              <w:rPr>
                <w:rFonts w:ascii="David" w:hAnsi="David"/>
                <w:b/>
                <w:bCs/>
                <w:sz w:val="28"/>
                <w:szCs w:val="28"/>
              </w:rPr>
            </w:pPr>
            <w:bookmarkStart w:id="1" w:name="FirstAppellant"/>
            <w:r w:rsidRPr="001C43EE">
              <w:rPr>
                <w:rFonts w:ascii="David" w:hAnsi="David"/>
                <w:b/>
                <w:bCs/>
                <w:sz w:val="28"/>
                <w:szCs w:val="28"/>
                <w:rtl/>
              </w:rPr>
              <w:t>בעניין:</w:t>
            </w:r>
          </w:p>
        </w:tc>
        <w:tc>
          <w:tcPr>
            <w:tcW w:w="4126" w:type="dxa"/>
            <w:tcBorders>
              <w:top w:val="nil"/>
              <w:left w:val="nil"/>
              <w:bottom w:val="nil"/>
              <w:right w:val="nil"/>
            </w:tcBorders>
            <w:shd w:val="clear" w:color="auto" w:fill="auto"/>
          </w:tcPr>
          <w:p w14:paraId="00FC148E" w14:textId="77777777" w:rsidR="00A45AC1" w:rsidRPr="001C43EE" w:rsidRDefault="00A45AC1" w:rsidP="00A45AC1">
            <w:pPr>
              <w:jc w:val="both"/>
              <w:rPr>
                <w:rFonts w:ascii="David" w:hAnsi="David"/>
                <w:b/>
                <w:bCs/>
              </w:rPr>
            </w:pPr>
            <w:r w:rsidRPr="001C43EE">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61AD46DA" w14:textId="77777777" w:rsidR="00A45AC1" w:rsidRPr="001C43EE" w:rsidRDefault="00A45AC1" w:rsidP="00A45AC1">
            <w:pPr>
              <w:jc w:val="both"/>
              <w:rPr>
                <w:rFonts w:ascii="David" w:hAnsi="David"/>
                <w:b/>
                <w:bCs/>
                <w:sz w:val="28"/>
                <w:szCs w:val="28"/>
              </w:rPr>
            </w:pPr>
            <w:r w:rsidRPr="001C43EE">
              <w:rPr>
                <w:rFonts w:ascii="David" w:hAnsi="David"/>
                <w:b/>
                <w:bCs/>
                <w:sz w:val="28"/>
                <w:szCs w:val="28"/>
                <w:rtl/>
              </w:rPr>
              <w:t>המאשימה</w:t>
            </w:r>
          </w:p>
        </w:tc>
      </w:tr>
      <w:bookmarkEnd w:id="1"/>
      <w:tr w:rsidR="00A45AC1" w:rsidRPr="001C43EE" w14:paraId="72D9F853" w14:textId="77777777" w:rsidTr="00A45AC1">
        <w:trPr>
          <w:trHeight w:val="355"/>
          <w:jc w:val="center"/>
        </w:trPr>
        <w:tc>
          <w:tcPr>
            <w:tcW w:w="923" w:type="dxa"/>
            <w:tcBorders>
              <w:top w:val="nil"/>
              <w:left w:val="nil"/>
              <w:bottom w:val="nil"/>
              <w:right w:val="nil"/>
            </w:tcBorders>
            <w:shd w:val="clear" w:color="auto" w:fill="auto"/>
          </w:tcPr>
          <w:p w14:paraId="17F4F088" w14:textId="77777777" w:rsidR="00A45AC1" w:rsidRPr="001C43EE" w:rsidRDefault="00A45AC1" w:rsidP="00A45AC1">
            <w:pPr>
              <w:jc w:val="center"/>
              <w:rPr>
                <w:rFonts w:ascii="David" w:hAnsi="David"/>
                <w:b/>
                <w:bCs/>
                <w:sz w:val="28"/>
                <w:szCs w:val="28"/>
                <w:rtl/>
              </w:rPr>
            </w:pPr>
          </w:p>
        </w:tc>
        <w:tc>
          <w:tcPr>
            <w:tcW w:w="7897" w:type="dxa"/>
            <w:gridSpan w:val="2"/>
            <w:tcBorders>
              <w:top w:val="nil"/>
              <w:left w:val="nil"/>
              <w:bottom w:val="nil"/>
              <w:right w:val="nil"/>
            </w:tcBorders>
            <w:shd w:val="clear" w:color="auto" w:fill="auto"/>
          </w:tcPr>
          <w:p w14:paraId="2ABC5837" w14:textId="77777777" w:rsidR="00A45AC1" w:rsidRPr="001C43EE" w:rsidRDefault="00A45AC1" w:rsidP="00A45AC1">
            <w:pPr>
              <w:jc w:val="center"/>
              <w:rPr>
                <w:rFonts w:ascii="David" w:hAnsi="David"/>
                <w:b/>
                <w:bCs/>
                <w:sz w:val="28"/>
                <w:szCs w:val="28"/>
                <w:rtl/>
              </w:rPr>
            </w:pPr>
          </w:p>
          <w:p w14:paraId="16910269" w14:textId="77777777" w:rsidR="00A45AC1" w:rsidRPr="001C43EE" w:rsidRDefault="00A45AC1" w:rsidP="00A45AC1">
            <w:pPr>
              <w:jc w:val="center"/>
              <w:rPr>
                <w:rFonts w:ascii="David" w:hAnsi="David"/>
                <w:b/>
                <w:bCs/>
                <w:sz w:val="28"/>
                <w:szCs w:val="28"/>
                <w:rtl/>
              </w:rPr>
            </w:pPr>
            <w:r w:rsidRPr="001C43EE">
              <w:rPr>
                <w:rFonts w:ascii="David" w:hAnsi="David"/>
                <w:b/>
                <w:bCs/>
                <w:sz w:val="28"/>
                <w:szCs w:val="28"/>
                <w:rtl/>
              </w:rPr>
              <w:t>נגד</w:t>
            </w:r>
          </w:p>
          <w:p w14:paraId="5416341C" w14:textId="77777777" w:rsidR="00A45AC1" w:rsidRPr="001C43EE" w:rsidRDefault="00A45AC1" w:rsidP="00A45AC1">
            <w:pPr>
              <w:jc w:val="center"/>
              <w:rPr>
                <w:rFonts w:ascii="David" w:hAnsi="David"/>
                <w:b/>
                <w:bCs/>
                <w:sz w:val="28"/>
                <w:szCs w:val="28"/>
              </w:rPr>
            </w:pPr>
          </w:p>
        </w:tc>
      </w:tr>
      <w:tr w:rsidR="00A45AC1" w:rsidRPr="001C43EE" w14:paraId="0A0EAE9A" w14:textId="77777777" w:rsidTr="00A45AC1">
        <w:trPr>
          <w:trHeight w:val="355"/>
          <w:jc w:val="center"/>
        </w:trPr>
        <w:tc>
          <w:tcPr>
            <w:tcW w:w="923" w:type="dxa"/>
            <w:tcBorders>
              <w:top w:val="nil"/>
              <w:left w:val="nil"/>
              <w:bottom w:val="nil"/>
              <w:right w:val="nil"/>
            </w:tcBorders>
            <w:shd w:val="clear" w:color="auto" w:fill="auto"/>
          </w:tcPr>
          <w:p w14:paraId="2F188668" w14:textId="77777777" w:rsidR="00A45AC1" w:rsidRPr="001C43EE" w:rsidRDefault="00A45AC1" w:rsidP="00A45AC1">
            <w:pPr>
              <w:jc w:val="both"/>
              <w:rPr>
                <w:rFonts w:ascii="David" w:hAnsi="David"/>
                <w:b/>
                <w:bCs/>
                <w:sz w:val="28"/>
                <w:szCs w:val="28"/>
                <w:rtl/>
              </w:rPr>
            </w:pPr>
          </w:p>
        </w:tc>
        <w:tc>
          <w:tcPr>
            <w:tcW w:w="4126" w:type="dxa"/>
            <w:tcBorders>
              <w:top w:val="nil"/>
              <w:left w:val="nil"/>
              <w:bottom w:val="nil"/>
              <w:right w:val="nil"/>
            </w:tcBorders>
            <w:shd w:val="clear" w:color="auto" w:fill="auto"/>
          </w:tcPr>
          <w:p w14:paraId="5AE9202B" w14:textId="77777777" w:rsidR="00A45AC1" w:rsidRPr="001C43EE" w:rsidRDefault="00A45AC1" w:rsidP="00A45AC1">
            <w:pPr>
              <w:jc w:val="both"/>
              <w:rPr>
                <w:rFonts w:ascii="David" w:hAnsi="David"/>
                <w:b/>
                <w:bCs/>
                <w:rtl/>
              </w:rPr>
            </w:pPr>
            <w:r w:rsidRPr="001C43EE">
              <w:rPr>
                <w:rFonts w:ascii="David" w:hAnsi="David"/>
                <w:b/>
                <w:bCs/>
                <w:sz w:val="28"/>
                <w:szCs w:val="28"/>
                <w:rtl/>
              </w:rPr>
              <w:t>1.מוחמד מחאמיד (עציר)</w:t>
            </w:r>
          </w:p>
          <w:p w14:paraId="3C83EA09" w14:textId="77777777" w:rsidR="00A45AC1" w:rsidRPr="001C43EE" w:rsidRDefault="00A45AC1" w:rsidP="00A45AC1">
            <w:pPr>
              <w:jc w:val="both"/>
              <w:rPr>
                <w:rFonts w:ascii="David" w:hAnsi="David"/>
                <w:b/>
                <w:bCs/>
                <w:rtl/>
              </w:rPr>
            </w:pPr>
            <w:r w:rsidRPr="001C43EE">
              <w:rPr>
                <w:rFonts w:ascii="David" w:hAnsi="David"/>
                <w:b/>
                <w:bCs/>
                <w:sz w:val="28"/>
                <w:szCs w:val="28"/>
                <w:rtl/>
              </w:rPr>
              <w:t>2.עודאי מחאמיד (עציר)</w:t>
            </w:r>
          </w:p>
        </w:tc>
        <w:tc>
          <w:tcPr>
            <w:tcW w:w="3771" w:type="dxa"/>
            <w:tcBorders>
              <w:top w:val="nil"/>
              <w:left w:val="nil"/>
              <w:bottom w:val="nil"/>
              <w:right w:val="nil"/>
            </w:tcBorders>
            <w:shd w:val="clear" w:color="auto" w:fill="auto"/>
          </w:tcPr>
          <w:p w14:paraId="2BB641FF" w14:textId="77777777" w:rsidR="00A45AC1" w:rsidRPr="001C43EE" w:rsidRDefault="00A45AC1" w:rsidP="00A45AC1">
            <w:pPr>
              <w:jc w:val="both"/>
              <w:rPr>
                <w:rFonts w:ascii="David" w:hAnsi="David"/>
                <w:b/>
                <w:bCs/>
                <w:sz w:val="28"/>
                <w:szCs w:val="28"/>
              </w:rPr>
            </w:pPr>
            <w:r w:rsidRPr="001C43EE">
              <w:rPr>
                <w:rFonts w:ascii="David" w:hAnsi="David"/>
                <w:b/>
                <w:bCs/>
                <w:sz w:val="28"/>
                <w:szCs w:val="28"/>
                <w:rtl/>
              </w:rPr>
              <w:t>הנאשמים</w:t>
            </w:r>
          </w:p>
        </w:tc>
      </w:tr>
    </w:tbl>
    <w:p w14:paraId="704D110D" w14:textId="77777777" w:rsidR="00F94D12" w:rsidRDefault="00F94D12" w:rsidP="00A45AC1">
      <w:pPr>
        <w:jc w:val="both"/>
        <w:rPr>
          <w:rtl/>
        </w:rPr>
      </w:pPr>
    </w:p>
    <w:p w14:paraId="57940806" w14:textId="77777777" w:rsidR="00F94D12" w:rsidRPr="00F94D12" w:rsidRDefault="00F94D12" w:rsidP="00F94D12">
      <w:pPr>
        <w:spacing w:after="120" w:line="240" w:lineRule="exact"/>
        <w:ind w:left="283" w:hanging="283"/>
        <w:jc w:val="both"/>
        <w:rPr>
          <w:rFonts w:ascii="FrankRuehl" w:hAnsi="FrankRuehl" w:cs="FrankRuehl"/>
          <w:rtl/>
        </w:rPr>
      </w:pPr>
    </w:p>
    <w:p w14:paraId="6504A206" w14:textId="77777777" w:rsidR="009D092B" w:rsidRDefault="009D092B" w:rsidP="009D092B">
      <w:pPr>
        <w:jc w:val="both"/>
        <w:rPr>
          <w:rFonts w:ascii="Arial" w:hAnsi="Arial"/>
          <w:rtl/>
        </w:rPr>
      </w:pPr>
      <w:bookmarkStart w:id="2" w:name="LawTable"/>
      <w:bookmarkEnd w:id="2"/>
    </w:p>
    <w:p w14:paraId="7DC8A3D5" w14:textId="77777777" w:rsidR="009D092B" w:rsidRPr="009D092B" w:rsidRDefault="009D092B" w:rsidP="009D092B">
      <w:pPr>
        <w:spacing w:before="120" w:after="120" w:line="240" w:lineRule="exact"/>
        <w:ind w:left="283" w:hanging="283"/>
        <w:jc w:val="both"/>
        <w:rPr>
          <w:rFonts w:ascii="FrankRuehl" w:hAnsi="FrankRuehl" w:cs="FrankRuehl"/>
          <w:rtl/>
        </w:rPr>
      </w:pPr>
    </w:p>
    <w:p w14:paraId="1542128D" w14:textId="77777777" w:rsidR="009D092B" w:rsidRPr="009D092B" w:rsidRDefault="009D092B" w:rsidP="009D092B">
      <w:pPr>
        <w:spacing w:before="120" w:after="120" w:line="240" w:lineRule="exact"/>
        <w:ind w:left="283" w:hanging="283"/>
        <w:jc w:val="both"/>
        <w:rPr>
          <w:rFonts w:ascii="FrankRuehl" w:hAnsi="FrankRuehl" w:cs="FrankRuehl"/>
          <w:rtl/>
        </w:rPr>
      </w:pPr>
    </w:p>
    <w:p w14:paraId="22CE5B8E" w14:textId="77777777" w:rsidR="009D092B" w:rsidRPr="009D092B" w:rsidRDefault="009D092B" w:rsidP="009D092B">
      <w:pPr>
        <w:spacing w:before="120" w:after="120" w:line="240" w:lineRule="exact"/>
        <w:ind w:left="283" w:hanging="283"/>
        <w:jc w:val="both"/>
        <w:rPr>
          <w:rFonts w:ascii="FrankRuehl" w:hAnsi="FrankRuehl" w:cs="FrankRuehl"/>
          <w:rtl/>
        </w:rPr>
      </w:pPr>
      <w:r w:rsidRPr="009D092B">
        <w:rPr>
          <w:rFonts w:ascii="FrankRuehl" w:hAnsi="FrankRuehl" w:cs="FrankRuehl"/>
          <w:rtl/>
        </w:rPr>
        <w:t xml:space="preserve">חקיקה שאוזכרה: </w:t>
      </w:r>
    </w:p>
    <w:p w14:paraId="619B1021" w14:textId="77777777" w:rsidR="009D092B" w:rsidRPr="009D092B" w:rsidRDefault="009D092B" w:rsidP="009D092B">
      <w:pPr>
        <w:spacing w:before="120" w:after="120" w:line="240" w:lineRule="exact"/>
        <w:ind w:left="283" w:hanging="283"/>
        <w:jc w:val="both"/>
        <w:rPr>
          <w:rFonts w:ascii="FrankRuehl" w:hAnsi="FrankRuehl" w:cs="FrankRuehl"/>
          <w:rtl/>
        </w:rPr>
      </w:pPr>
      <w:hyperlink r:id="rId7" w:history="1">
        <w:r w:rsidRPr="009D092B">
          <w:rPr>
            <w:rFonts w:ascii="FrankRuehl" w:hAnsi="FrankRuehl" w:cs="FrankRuehl"/>
            <w:color w:val="0000FF"/>
            <w:rtl/>
          </w:rPr>
          <w:t>חוק העונשין, תשל"ז-1977</w:t>
        </w:r>
      </w:hyperlink>
      <w:r w:rsidRPr="009D092B">
        <w:rPr>
          <w:rFonts w:ascii="FrankRuehl" w:hAnsi="FrankRuehl" w:cs="FrankRuehl"/>
          <w:rtl/>
        </w:rPr>
        <w:t xml:space="preserve">: סע'  </w:t>
      </w:r>
      <w:hyperlink r:id="rId8" w:history="1">
        <w:r w:rsidRPr="009D092B">
          <w:rPr>
            <w:rFonts w:ascii="FrankRuehl" w:hAnsi="FrankRuehl" w:cs="FrankRuehl"/>
            <w:color w:val="0000FF"/>
            <w:rtl/>
          </w:rPr>
          <w:t>29</w:t>
        </w:r>
      </w:hyperlink>
      <w:r w:rsidRPr="009D092B">
        <w:rPr>
          <w:rFonts w:ascii="FrankRuehl" w:hAnsi="FrankRuehl" w:cs="FrankRuehl"/>
          <w:rtl/>
        </w:rPr>
        <w:t xml:space="preserve">, </w:t>
      </w:r>
      <w:hyperlink r:id="rId9" w:history="1">
        <w:r w:rsidRPr="009D092B">
          <w:rPr>
            <w:rFonts w:ascii="FrankRuehl" w:hAnsi="FrankRuehl" w:cs="FrankRuehl"/>
            <w:color w:val="0000FF"/>
            <w:rtl/>
          </w:rPr>
          <w:t>40ב</w:t>
        </w:r>
      </w:hyperlink>
      <w:r w:rsidRPr="009D092B">
        <w:rPr>
          <w:rFonts w:ascii="FrankRuehl" w:hAnsi="FrankRuehl" w:cs="FrankRuehl"/>
          <w:rtl/>
        </w:rPr>
        <w:t xml:space="preserve">, </w:t>
      </w:r>
      <w:hyperlink r:id="rId10" w:history="1">
        <w:r w:rsidRPr="009D092B">
          <w:rPr>
            <w:rFonts w:ascii="FrankRuehl" w:hAnsi="FrankRuehl" w:cs="FrankRuehl"/>
            <w:color w:val="0000FF"/>
            <w:rtl/>
          </w:rPr>
          <w:t>40ג</w:t>
        </w:r>
      </w:hyperlink>
      <w:r w:rsidRPr="009D092B">
        <w:rPr>
          <w:rFonts w:ascii="FrankRuehl" w:hAnsi="FrankRuehl" w:cs="FrankRuehl"/>
          <w:rtl/>
        </w:rPr>
        <w:t xml:space="preserve">, </w:t>
      </w:r>
      <w:hyperlink r:id="rId11" w:history="1">
        <w:r w:rsidRPr="009D092B">
          <w:rPr>
            <w:rFonts w:ascii="FrankRuehl" w:hAnsi="FrankRuehl" w:cs="FrankRuehl"/>
            <w:color w:val="0000FF"/>
            <w:rtl/>
          </w:rPr>
          <w:t>40ט</w:t>
        </w:r>
      </w:hyperlink>
      <w:r w:rsidRPr="009D092B">
        <w:rPr>
          <w:rFonts w:ascii="FrankRuehl" w:hAnsi="FrankRuehl" w:cs="FrankRuehl"/>
          <w:rtl/>
        </w:rPr>
        <w:t xml:space="preserve">, </w:t>
      </w:r>
      <w:hyperlink r:id="rId12" w:history="1">
        <w:r w:rsidRPr="009D092B">
          <w:rPr>
            <w:rFonts w:ascii="FrankRuehl" w:hAnsi="FrankRuehl" w:cs="FrankRuehl"/>
            <w:color w:val="0000FF"/>
            <w:rtl/>
          </w:rPr>
          <w:t>144</w:t>
        </w:r>
      </w:hyperlink>
      <w:r w:rsidRPr="009D092B">
        <w:rPr>
          <w:rFonts w:ascii="FrankRuehl" w:hAnsi="FrankRuehl" w:cs="FrankRuehl"/>
          <w:rtl/>
        </w:rPr>
        <w:t xml:space="preserve">, </w:t>
      </w:r>
      <w:hyperlink r:id="rId13" w:history="1">
        <w:r w:rsidRPr="009D092B">
          <w:rPr>
            <w:rFonts w:ascii="FrankRuehl" w:hAnsi="FrankRuehl" w:cs="FrankRuehl"/>
            <w:color w:val="0000FF"/>
            <w:rtl/>
          </w:rPr>
          <w:t>144(ב)</w:t>
        </w:r>
      </w:hyperlink>
    </w:p>
    <w:p w14:paraId="14C6AF03" w14:textId="77777777" w:rsidR="009D092B" w:rsidRPr="009D092B" w:rsidRDefault="009D092B" w:rsidP="009D092B">
      <w:pPr>
        <w:jc w:val="both"/>
        <w:rPr>
          <w:rFonts w:ascii="Arial" w:hAnsi="Arial"/>
          <w:rtl/>
        </w:rPr>
      </w:pPr>
      <w:bookmarkStart w:id="3" w:name="LawTable_End"/>
      <w:bookmarkEnd w:id="3"/>
    </w:p>
    <w:p w14:paraId="2534C495" w14:textId="77777777" w:rsidR="00A45AC1" w:rsidRPr="001C43EE" w:rsidRDefault="00A45AC1" w:rsidP="00A45AC1">
      <w:pPr>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5AC1" w14:paraId="6483313D" w14:textId="77777777" w:rsidTr="00A45AC1">
        <w:trPr>
          <w:trHeight w:val="355"/>
          <w:jc w:val="center"/>
        </w:trPr>
        <w:tc>
          <w:tcPr>
            <w:tcW w:w="8820" w:type="dxa"/>
            <w:tcBorders>
              <w:top w:val="nil"/>
              <w:left w:val="nil"/>
              <w:bottom w:val="nil"/>
              <w:right w:val="nil"/>
            </w:tcBorders>
            <w:shd w:val="clear" w:color="auto" w:fill="auto"/>
          </w:tcPr>
          <w:p w14:paraId="74664E55" w14:textId="77777777" w:rsidR="001C43EE" w:rsidRPr="001C43EE" w:rsidRDefault="001C43EE" w:rsidP="001C43EE">
            <w:pPr>
              <w:jc w:val="center"/>
              <w:rPr>
                <w:rFonts w:ascii="Arial" w:hAnsi="Arial" w:cs="FrankRuehl"/>
                <w:b/>
                <w:bCs/>
                <w:sz w:val="32"/>
                <w:szCs w:val="32"/>
                <w:u w:val="single"/>
                <w:rtl/>
              </w:rPr>
            </w:pPr>
            <w:bookmarkStart w:id="4" w:name="PsakDin" w:colFirst="0" w:colLast="0"/>
            <w:bookmarkEnd w:id="0"/>
            <w:r w:rsidRPr="001C43EE">
              <w:rPr>
                <w:rFonts w:ascii="Arial" w:hAnsi="Arial" w:cs="FrankRuehl"/>
                <w:b/>
                <w:bCs/>
                <w:sz w:val="32"/>
                <w:szCs w:val="32"/>
                <w:u w:val="single"/>
                <w:rtl/>
              </w:rPr>
              <w:t>גזר דין</w:t>
            </w:r>
          </w:p>
          <w:p w14:paraId="13D81AA7" w14:textId="77777777" w:rsidR="00A45AC1" w:rsidRPr="001C43EE" w:rsidRDefault="00A45AC1" w:rsidP="001C43EE">
            <w:pPr>
              <w:jc w:val="center"/>
              <w:rPr>
                <w:rFonts w:ascii="Arial" w:hAnsi="Arial" w:cs="FrankRuehl"/>
                <w:bCs/>
                <w:sz w:val="32"/>
                <w:szCs w:val="32"/>
                <w:u w:val="single"/>
                <w:rtl/>
              </w:rPr>
            </w:pPr>
          </w:p>
        </w:tc>
      </w:tr>
      <w:bookmarkEnd w:id="4"/>
    </w:tbl>
    <w:p w14:paraId="1804D052" w14:textId="77777777" w:rsidR="00A45AC1" w:rsidRPr="00B05847" w:rsidRDefault="00A45AC1" w:rsidP="00A45AC1">
      <w:pPr>
        <w:jc w:val="both"/>
        <w:rPr>
          <w:rFonts w:ascii="Arial" w:hAnsi="Arial"/>
          <w:rtl/>
        </w:rPr>
      </w:pPr>
    </w:p>
    <w:p w14:paraId="0BB8A77E" w14:textId="77777777" w:rsidR="00A45AC1" w:rsidRDefault="00A45AC1" w:rsidP="00A45AC1">
      <w:pPr>
        <w:jc w:val="both"/>
        <w:rPr>
          <w:rFonts w:ascii="Arial" w:hAnsi="Arial"/>
          <w:rtl/>
        </w:rPr>
      </w:pPr>
    </w:p>
    <w:p w14:paraId="45FE4E1C" w14:textId="77777777" w:rsidR="00A45AC1" w:rsidRDefault="00A45AC1" w:rsidP="00A45AC1">
      <w:pPr>
        <w:spacing w:line="360" w:lineRule="auto"/>
        <w:jc w:val="both"/>
        <w:rPr>
          <w:rtl/>
        </w:rPr>
      </w:pPr>
      <w:r w:rsidRPr="000318D0">
        <w:rPr>
          <w:rFonts w:ascii="Arial" w:hAnsi="Arial" w:hint="cs"/>
          <w:rtl/>
        </w:rPr>
        <w:t>1.</w:t>
      </w:r>
      <w:r>
        <w:rPr>
          <w:rtl/>
        </w:rPr>
        <w:tab/>
      </w:r>
      <w:bookmarkStart w:id="5" w:name="ABSTRACT_START"/>
      <w:bookmarkEnd w:id="5"/>
      <w:r>
        <w:rPr>
          <w:rFonts w:hint="cs"/>
          <w:rtl/>
        </w:rPr>
        <w:t xml:space="preserve">הנאשמים הורשעו בתיק זה, על יסוד הודאתם בעובדות כתב האישום שתוקן במסגרת של הסדר טיעון, בביצוע  עבירות בנשק (נשיאה והובלה), עבירה לפי </w:t>
      </w:r>
      <w:hyperlink r:id="rId14" w:history="1">
        <w:r w:rsidR="00F94D12" w:rsidRPr="00F94D12">
          <w:rPr>
            <w:rStyle w:val="Hyperlink"/>
            <w:rFonts w:hint="eastAsia"/>
            <w:rtl/>
          </w:rPr>
          <w:t>סעיף</w:t>
        </w:r>
        <w:r w:rsidR="00F94D12" w:rsidRPr="00F94D12">
          <w:rPr>
            <w:rStyle w:val="Hyperlink"/>
            <w:rtl/>
          </w:rPr>
          <w:t xml:space="preserve"> 144(ב)</w:t>
        </w:r>
      </w:hyperlink>
      <w:r>
        <w:rPr>
          <w:rFonts w:hint="cs"/>
          <w:rtl/>
        </w:rPr>
        <w:t xml:space="preserve"> רישא וסיפא בצירוף </w:t>
      </w:r>
      <w:hyperlink r:id="rId15" w:history="1">
        <w:r w:rsidR="00F94D12" w:rsidRPr="00F94D12">
          <w:rPr>
            <w:rStyle w:val="Hyperlink"/>
            <w:rFonts w:hint="eastAsia"/>
            <w:rtl/>
          </w:rPr>
          <w:t>סעיף</w:t>
        </w:r>
        <w:r w:rsidR="00F94D12" w:rsidRPr="00F94D12">
          <w:rPr>
            <w:rStyle w:val="Hyperlink"/>
            <w:rtl/>
          </w:rPr>
          <w:t xml:space="preserve"> 29</w:t>
        </w:r>
      </w:hyperlink>
      <w:r>
        <w:rPr>
          <w:rFonts w:hint="cs"/>
          <w:rtl/>
        </w:rPr>
        <w:t xml:space="preserve"> ל</w:t>
      </w:r>
      <w:hyperlink r:id="rId16" w:history="1">
        <w:r w:rsidR="001C43EE" w:rsidRPr="001C43EE">
          <w:rPr>
            <w:color w:val="0000FF"/>
            <w:u w:val="single"/>
            <w:rtl/>
          </w:rPr>
          <w:t>חוק העונשין</w:t>
        </w:r>
      </w:hyperlink>
      <w:r>
        <w:rPr>
          <w:rFonts w:hint="cs"/>
          <w:rtl/>
        </w:rPr>
        <w:t xml:space="preserve">, התשל"ז- 1977(להלן: </w:t>
      </w:r>
      <w:r w:rsidRPr="000318D0">
        <w:rPr>
          <w:rFonts w:ascii="Miriam" w:hAnsi="Miriam" w:cs="Miriam"/>
          <w:rtl/>
        </w:rPr>
        <w:t>חוק העונשין</w:t>
      </w:r>
      <w:r>
        <w:rPr>
          <w:rFonts w:hint="cs"/>
          <w:rtl/>
        </w:rPr>
        <w:t>). בין הצדדים לא גובשה הסכמה לעניין העונש.</w:t>
      </w:r>
    </w:p>
    <w:p w14:paraId="480770FF" w14:textId="77777777" w:rsidR="00A45AC1" w:rsidRDefault="00A45AC1" w:rsidP="00A45AC1">
      <w:pPr>
        <w:spacing w:line="360" w:lineRule="auto"/>
        <w:jc w:val="both"/>
        <w:rPr>
          <w:rtl/>
        </w:rPr>
      </w:pPr>
    </w:p>
    <w:p w14:paraId="6086C4E5" w14:textId="77777777" w:rsidR="00A45AC1" w:rsidRPr="005F0A9E" w:rsidRDefault="00A45AC1" w:rsidP="00A45AC1">
      <w:pPr>
        <w:spacing w:line="360" w:lineRule="auto"/>
        <w:jc w:val="both"/>
        <w:rPr>
          <w:u w:val="single"/>
          <w:rtl/>
        </w:rPr>
      </w:pPr>
      <w:bookmarkStart w:id="6" w:name="ABSTRACT_END"/>
      <w:bookmarkEnd w:id="6"/>
      <w:r w:rsidRPr="005F0A9E">
        <w:rPr>
          <w:rFonts w:ascii="Miriam" w:hAnsi="Miriam" w:cs="Miriam"/>
          <w:u w:val="single"/>
          <w:rtl/>
        </w:rPr>
        <w:t>כתב האישום המתוקן</w:t>
      </w:r>
      <w:r w:rsidRPr="005F0A9E">
        <w:rPr>
          <w:rFonts w:hint="cs"/>
          <w:u w:val="single"/>
          <w:rtl/>
        </w:rPr>
        <w:t xml:space="preserve"> (להלן גם: </w:t>
      </w:r>
      <w:r w:rsidRPr="005F0A9E">
        <w:rPr>
          <w:rFonts w:ascii="Miriam" w:hAnsi="Miriam" w:cs="Miriam"/>
          <w:u w:val="single"/>
          <w:rtl/>
        </w:rPr>
        <w:t>כתב האישום</w:t>
      </w:r>
      <w:r w:rsidRPr="005F0A9E">
        <w:rPr>
          <w:rFonts w:hint="cs"/>
          <w:u w:val="single"/>
          <w:rtl/>
        </w:rPr>
        <w:t>)</w:t>
      </w:r>
    </w:p>
    <w:p w14:paraId="2D3C725D" w14:textId="77777777" w:rsidR="00A45AC1" w:rsidRDefault="00A45AC1" w:rsidP="00A45AC1">
      <w:pPr>
        <w:spacing w:line="360" w:lineRule="auto"/>
        <w:jc w:val="both"/>
        <w:rPr>
          <w:rtl/>
        </w:rPr>
      </w:pPr>
    </w:p>
    <w:p w14:paraId="02FC2637" w14:textId="77777777" w:rsidR="00A45AC1" w:rsidRDefault="00A45AC1" w:rsidP="00A45AC1">
      <w:pPr>
        <w:spacing w:line="360" w:lineRule="auto"/>
        <w:jc w:val="both"/>
        <w:rPr>
          <w:rtl/>
        </w:rPr>
      </w:pPr>
      <w:r>
        <w:rPr>
          <w:rFonts w:hint="cs"/>
          <w:rtl/>
        </w:rPr>
        <w:t>2.</w:t>
      </w:r>
      <w:r>
        <w:rPr>
          <w:rFonts w:hint="cs"/>
          <w:rtl/>
        </w:rPr>
        <w:tab/>
        <w:t xml:space="preserve">הנאשמים הם חברים. בתקופה הרלוונטית לכתב האישום, היו הנאשמים בקשר עם אחר, אשר פרטיו המלאים  אינם ידועים למאשימה. בתאריך 5/4/20 סמוך לשעה 19:22, קשר נאשם 1 קשר עם אחר (להלן: </w:t>
      </w:r>
      <w:r w:rsidRPr="00EC59E0">
        <w:rPr>
          <w:rFonts w:ascii="Miriam" w:hAnsi="Miriam" w:cs="Miriam"/>
          <w:rtl/>
        </w:rPr>
        <w:t>הקשר</w:t>
      </w:r>
      <w:r>
        <w:rPr>
          <w:rFonts w:hint="cs"/>
          <w:rtl/>
        </w:rPr>
        <w:t>) לקבל למחרת מהאחר כלי נשק.</w:t>
      </w:r>
    </w:p>
    <w:p w14:paraId="1E52C9F3" w14:textId="77777777" w:rsidR="00A45AC1" w:rsidRDefault="00A45AC1" w:rsidP="00A45AC1">
      <w:pPr>
        <w:spacing w:line="360" w:lineRule="auto"/>
        <w:jc w:val="both"/>
        <w:rPr>
          <w:rtl/>
        </w:rPr>
      </w:pPr>
    </w:p>
    <w:p w14:paraId="691A2B12" w14:textId="77777777" w:rsidR="00A45AC1" w:rsidRDefault="00A45AC1" w:rsidP="00A45AC1">
      <w:pPr>
        <w:spacing w:line="360" w:lineRule="auto"/>
        <w:jc w:val="both"/>
        <w:rPr>
          <w:rtl/>
        </w:rPr>
      </w:pPr>
      <w:r>
        <w:rPr>
          <w:rtl/>
        </w:rPr>
        <w:lastRenderedPageBreak/>
        <w:tab/>
      </w:r>
      <w:r>
        <w:rPr>
          <w:rFonts w:hint="cs"/>
          <w:rtl/>
        </w:rPr>
        <w:t xml:space="preserve">במסגרת הקשר ולשם קידומו, שוחחו נאשם 1 והאחר בטלפון בתאריך 06/04/20  סמוך לשעה 11:18, וסיכמו להיפגש במהלך המחצית השנייה של אותו יום, בסמוך לישוב רם-און הסמוך לעיר אום אל-פחם (להלן: </w:t>
      </w:r>
      <w:r w:rsidRPr="00EC59E0">
        <w:rPr>
          <w:rFonts w:ascii="Miriam" w:hAnsi="Miriam" w:cs="Miriam"/>
          <w:rtl/>
        </w:rPr>
        <w:t>נקודת המפגש</w:t>
      </w:r>
      <w:r>
        <w:rPr>
          <w:rFonts w:hint="cs"/>
          <w:rtl/>
        </w:rPr>
        <w:t xml:space="preserve">), וזאת על מנת שהאחר ימסור לנאשם 1 את כלי הנשק. </w:t>
      </w:r>
    </w:p>
    <w:p w14:paraId="2BF3406F" w14:textId="77777777" w:rsidR="00A45AC1" w:rsidRDefault="00A45AC1" w:rsidP="00A45AC1">
      <w:pPr>
        <w:spacing w:line="360" w:lineRule="auto"/>
        <w:jc w:val="both"/>
        <w:rPr>
          <w:rtl/>
        </w:rPr>
      </w:pPr>
    </w:p>
    <w:p w14:paraId="2DFBB592" w14:textId="77777777" w:rsidR="00A45AC1" w:rsidRDefault="00A45AC1" w:rsidP="00A45AC1">
      <w:pPr>
        <w:spacing w:line="360" w:lineRule="auto"/>
        <w:ind w:firstLine="720"/>
        <w:jc w:val="both"/>
        <w:rPr>
          <w:rtl/>
        </w:rPr>
      </w:pPr>
      <w:r>
        <w:rPr>
          <w:rFonts w:hint="cs"/>
          <w:rtl/>
        </w:rPr>
        <w:t xml:space="preserve">סמוך לשעה 19:16 קשרו הנאשמים קשר לנסוע לנקודת המפגש על מנת לפגוש את האחר ולקבל ממנו, בצוותא חדא, את כלי הנשק. סמוך לשעה 19:33, נסע נאשם 1 מביתו בכפר מועאויה, ברכב מסוג קיה פיקנטו, הנמצא בבעלות נאשם 1 (להלן: </w:t>
      </w:r>
      <w:r w:rsidRPr="00EF0DA0">
        <w:rPr>
          <w:rFonts w:ascii="Miriam" w:hAnsi="Miriam" w:cs="Miriam"/>
          <w:rtl/>
        </w:rPr>
        <w:t>הרכב</w:t>
      </w:r>
      <w:r>
        <w:rPr>
          <w:rFonts w:hint="cs"/>
          <w:rtl/>
        </w:rPr>
        <w:t>)  לביתו של נאשם 2 בעיר אום אל-פחם. בהגיעו לשם, נכנס נאשם 2 לרכב הקיה והשניים נסעו לכיוון נקודת המפגש. סמוך לשעה 20:01 הגיעו הנאשמים לנקודת המפגש.</w:t>
      </w:r>
    </w:p>
    <w:p w14:paraId="2C717450" w14:textId="77777777" w:rsidR="00A45AC1" w:rsidRDefault="00A45AC1" w:rsidP="00A45AC1">
      <w:pPr>
        <w:spacing w:line="360" w:lineRule="auto"/>
        <w:jc w:val="both"/>
        <w:rPr>
          <w:rtl/>
        </w:rPr>
      </w:pPr>
    </w:p>
    <w:p w14:paraId="1787E57A" w14:textId="77777777" w:rsidR="00A45AC1" w:rsidRDefault="00A45AC1" w:rsidP="00A45AC1">
      <w:pPr>
        <w:spacing w:line="360" w:lineRule="auto"/>
        <w:jc w:val="both"/>
        <w:rPr>
          <w:rtl/>
        </w:rPr>
      </w:pPr>
      <w:r>
        <w:rPr>
          <w:rtl/>
        </w:rPr>
        <w:tab/>
      </w:r>
      <w:r>
        <w:rPr>
          <w:rFonts w:hint="cs"/>
          <w:rtl/>
        </w:rPr>
        <w:t xml:space="preserve">לאחר מכן, ולכל המאוחר עד לשעה 20:36, נפגשו הנאשמים עם האחר בנקודת המפגש. הנאשמים קיבלו מהאחר, בצוותא חדא, וללא רשות על פי דין, את כלי הנשק, שהוא אקדח חצי אוטומטי </w:t>
      </w:r>
      <w:r>
        <w:rPr>
          <w:rFonts w:hint="cs"/>
        </w:rPr>
        <w:t>FN</w:t>
      </w:r>
      <w:r>
        <w:rPr>
          <w:rFonts w:hint="cs"/>
          <w:rtl/>
        </w:rPr>
        <w:t xml:space="preserve"> קליבר 9 מ"מ פאראבלום, שהוא כלי שסוגל לירות כדור או קליע שבכוחם להמית אדם (להלן: </w:t>
      </w:r>
      <w:r w:rsidRPr="00EC59E0">
        <w:rPr>
          <w:rFonts w:ascii="Miriam" w:hAnsi="Miriam" w:cs="Miriam"/>
          <w:rtl/>
        </w:rPr>
        <w:t>האקדח</w:t>
      </w:r>
      <w:r>
        <w:rPr>
          <w:rFonts w:hint="cs"/>
          <w:rtl/>
        </w:rPr>
        <w:t>), ובתוכו מחסנית שהיא אביזר לנשק.</w:t>
      </w:r>
    </w:p>
    <w:p w14:paraId="537B2693" w14:textId="77777777" w:rsidR="00A45AC1" w:rsidRDefault="00A45AC1" w:rsidP="00A45AC1">
      <w:pPr>
        <w:spacing w:line="360" w:lineRule="auto"/>
        <w:jc w:val="both"/>
        <w:rPr>
          <w:rtl/>
        </w:rPr>
      </w:pPr>
    </w:p>
    <w:p w14:paraId="3683CA84" w14:textId="77777777" w:rsidR="00A45AC1" w:rsidRDefault="00A45AC1" w:rsidP="00A45AC1">
      <w:pPr>
        <w:spacing w:line="360" w:lineRule="auto"/>
        <w:jc w:val="both"/>
        <w:rPr>
          <w:rtl/>
        </w:rPr>
      </w:pPr>
      <w:r>
        <w:rPr>
          <w:rtl/>
        </w:rPr>
        <w:tab/>
      </w:r>
      <w:r>
        <w:rPr>
          <w:rFonts w:hint="cs"/>
          <w:rtl/>
        </w:rPr>
        <w:t>מיד לאחר מכן, נסעו הנאשמים ברכב, כשהם נושאים ומובילים, בצוותא חדא, וללא רשות על פי דין, את האקדח והמחסנית, כשהם עטופים בשקית מניילון, ומוסלקים מתחת לתיבת ההילוכים בקיה. בשעה 20:50 נעצרו הנאשמים, על ידי משטרת ישראל, בכניסה לכפר מועאויה.</w:t>
      </w:r>
    </w:p>
    <w:p w14:paraId="78FD001E" w14:textId="77777777" w:rsidR="00A45AC1" w:rsidRDefault="00A45AC1" w:rsidP="00A45AC1">
      <w:pPr>
        <w:spacing w:line="360" w:lineRule="auto"/>
        <w:jc w:val="both"/>
        <w:rPr>
          <w:rtl/>
        </w:rPr>
      </w:pPr>
    </w:p>
    <w:p w14:paraId="1CFA7AC2" w14:textId="77777777" w:rsidR="00A45AC1" w:rsidRDefault="00A45AC1" w:rsidP="00A45AC1">
      <w:pPr>
        <w:spacing w:line="360" w:lineRule="auto"/>
        <w:jc w:val="both"/>
        <w:rPr>
          <w:rtl/>
        </w:rPr>
      </w:pPr>
      <w:r>
        <w:rPr>
          <w:rtl/>
        </w:rPr>
        <w:tab/>
      </w:r>
      <w:r>
        <w:rPr>
          <w:rFonts w:hint="cs"/>
          <w:rtl/>
        </w:rPr>
        <w:t>במעשיהם המתוארים לעיל, נשאו הנאשמים והובילו, בצוותא חדא, נשק וחלק של נשק בלא רשות על פי דין לנשיאתם ולהובלתם.</w:t>
      </w:r>
    </w:p>
    <w:p w14:paraId="504421B1" w14:textId="77777777" w:rsidR="00A45AC1" w:rsidRDefault="00A45AC1" w:rsidP="00A45AC1">
      <w:pPr>
        <w:spacing w:line="360" w:lineRule="auto"/>
        <w:jc w:val="both"/>
        <w:rPr>
          <w:rtl/>
        </w:rPr>
      </w:pPr>
    </w:p>
    <w:p w14:paraId="60CD6C80" w14:textId="77777777" w:rsidR="00A45AC1" w:rsidRPr="005F0A9E" w:rsidRDefault="00A45AC1" w:rsidP="00A45AC1">
      <w:pPr>
        <w:spacing w:line="360" w:lineRule="auto"/>
        <w:jc w:val="both"/>
        <w:rPr>
          <w:rFonts w:ascii="Miriam" w:hAnsi="Miriam" w:cs="Miriam"/>
          <w:u w:val="single"/>
          <w:rtl/>
        </w:rPr>
      </w:pPr>
      <w:r w:rsidRPr="005F0A9E">
        <w:rPr>
          <w:rFonts w:ascii="Miriam" w:hAnsi="Miriam" w:cs="Miriam"/>
          <w:u w:val="single"/>
          <w:rtl/>
        </w:rPr>
        <w:t>טיעוני הצדדים לעונש</w:t>
      </w:r>
    </w:p>
    <w:p w14:paraId="43C8453D" w14:textId="77777777" w:rsidR="00A45AC1" w:rsidRDefault="00A45AC1" w:rsidP="00A45AC1">
      <w:pPr>
        <w:jc w:val="both"/>
        <w:rPr>
          <w:rtl/>
        </w:rPr>
      </w:pPr>
    </w:p>
    <w:p w14:paraId="75150DB9" w14:textId="77777777" w:rsidR="00A45AC1" w:rsidRDefault="00A45AC1" w:rsidP="00A45AC1">
      <w:pPr>
        <w:spacing w:line="360" w:lineRule="auto"/>
        <w:jc w:val="both"/>
        <w:rPr>
          <w:rtl/>
        </w:rPr>
      </w:pPr>
      <w:r>
        <w:rPr>
          <w:rFonts w:hint="cs"/>
          <w:rtl/>
        </w:rPr>
        <w:t>3.</w:t>
      </w:r>
      <w:r>
        <w:rPr>
          <w:rFonts w:hint="cs"/>
          <w:rtl/>
        </w:rPr>
        <w:tab/>
        <w:t xml:space="preserve"> ב"כ המאשימה הגישה טיעוניה לעונש בכתב (</w:t>
      </w:r>
      <w:r w:rsidRPr="001051A0">
        <w:rPr>
          <w:rFonts w:ascii="Miriam" w:hAnsi="Miriam" w:cs="Miriam"/>
          <w:rtl/>
        </w:rPr>
        <w:t>ט/1</w:t>
      </w:r>
      <w:r>
        <w:rPr>
          <w:rFonts w:hint="cs"/>
          <w:rtl/>
        </w:rPr>
        <w:t xml:space="preserve">) והדגישה את עיקרי הדברים בעל-פה בדיון ביום 25/10/20. בטיעוניה, ציינה המאשימה את עובדות כתב האישום המתוקן כדי ללמד על חומרת מעשיהם של הנאשמים. נטען, כי מעובדות כתב האישום עולה כי מדובר באירוע מתוכנן במהלכו קשרו הנאשמים קשר עם אחר על מנת לקבל לידיהם את הנשק והמחסנית ונשאו את הנשק והמחסנית ברכב כשאלו עטופים בשקית ניילון ומוסלקים תחת תיבת ההילוכים ברכב. צוין ע"י המאשימה  כי לא בכדי  קבע המחוקק עונש של 10 שנות מאסר בגין העבירה של נשיאה והובלה של נשק שנועדה להגן על שלום הציבור וביטחונו. המאשימה מבקשת מבית המשפט לשים לנגד עיניו את חומרתן של עבירות הנשק והפוטנציאל הגלום בהם לסיכון חיי אדם, תדירותן ההולכת וגוברת וההסתברות לביצוע עבירות נלוות, וזאת תוך מתן דגש לשיקולי הרתעה, גמול ומניעה. ב"כ המאשימה הפנתה לפסיקה לתמיכה בעמדתה לעונש וטענה למתחם עונש הולם הנע בין  שנה וחצי לארבע שנות מאסר בפועל. נוכח עברם הפלילי הנקי של הנאשמים והודאתם בעובדות כתב האישום </w:t>
      </w:r>
      <w:r>
        <w:rPr>
          <w:rFonts w:hint="cs"/>
          <w:rtl/>
        </w:rPr>
        <w:lastRenderedPageBreak/>
        <w:t xml:space="preserve">שתוקן טרם החלה שמיעת הראיות, סבורה המאשימה כי יש לגזור את עונשם של הנאשמים במחצית התחתונה של המתחם לו היא עותרת, לצד עונש של מאסר על תנאי ארוך ומרתיע וקנס כספי. בנוסף, מבקשת המאשימה לחלט את  הנשק והמחסנית הנזכרים בכתב האישום וכן לחלט את הרכב, ולעניין זה טענה כי באמצעותו בוצעה העבירה וכן כי המאשימה מבקשת כדבר שבשגרה לחלט את הרכב באמצעותו בוצעה העבירה. </w:t>
      </w:r>
    </w:p>
    <w:p w14:paraId="43BC66DF" w14:textId="77777777" w:rsidR="00A45AC1" w:rsidRDefault="00A45AC1" w:rsidP="00A45AC1">
      <w:pPr>
        <w:spacing w:line="360" w:lineRule="auto"/>
        <w:jc w:val="both"/>
        <w:rPr>
          <w:rtl/>
        </w:rPr>
      </w:pPr>
    </w:p>
    <w:p w14:paraId="2DC34BCF" w14:textId="77777777" w:rsidR="00A45AC1" w:rsidRDefault="00A45AC1" w:rsidP="00A45AC1">
      <w:pPr>
        <w:spacing w:line="360" w:lineRule="auto"/>
        <w:jc w:val="both"/>
        <w:rPr>
          <w:rtl/>
        </w:rPr>
      </w:pPr>
      <w:r>
        <w:rPr>
          <w:rFonts w:hint="cs"/>
          <w:rtl/>
        </w:rPr>
        <w:t>4.</w:t>
      </w:r>
      <w:r>
        <w:rPr>
          <w:rFonts w:hint="cs"/>
          <w:rtl/>
        </w:rPr>
        <w:tab/>
        <w:t xml:space="preserve">ב"כ </w:t>
      </w:r>
      <w:r>
        <w:rPr>
          <w:rtl/>
        </w:rPr>
        <w:t xml:space="preserve">נאשם  1 </w:t>
      </w:r>
      <w:r>
        <w:rPr>
          <w:rFonts w:hint="cs"/>
          <w:rtl/>
        </w:rPr>
        <w:t xml:space="preserve">ציין בטיעוניו לעונש, כי נאשם 1 </w:t>
      </w:r>
      <w:r>
        <w:rPr>
          <w:rtl/>
        </w:rPr>
        <w:t>בן  27</w:t>
      </w:r>
      <w:r>
        <w:rPr>
          <w:rFonts w:hint="cs"/>
          <w:rtl/>
        </w:rPr>
        <w:t>, עברו הפלילי נקי ללא רבב וכי הוא בן למשפחה מרובת ילדים. הסנגור הגיש תיעוד רפואי לעניין מצבו הרפואי הבעייתי של אביו של  נאשם 1 (</w:t>
      </w:r>
      <w:r w:rsidRPr="00C00362">
        <w:rPr>
          <w:rFonts w:ascii="Miriam" w:hAnsi="Miriam" w:cs="Miriam"/>
          <w:rtl/>
        </w:rPr>
        <w:t>נ/1)</w:t>
      </w:r>
      <w:r>
        <w:rPr>
          <w:rFonts w:hint="cs"/>
          <w:rtl/>
        </w:rPr>
        <w:t xml:space="preserve">. נטען כי נאשם זה הודה בהזדמנות הראשונה וחסך זמן שיפוטי יקר ורב. עוד ציין הסנגור את </w:t>
      </w:r>
      <w:r>
        <w:rPr>
          <w:rtl/>
        </w:rPr>
        <w:t xml:space="preserve">היות </w:t>
      </w:r>
      <w:r w:rsidRPr="00F634D6">
        <w:rPr>
          <w:rtl/>
        </w:rPr>
        <w:t>נאשם</w:t>
      </w:r>
      <w:r>
        <w:rPr>
          <w:rFonts w:hint="cs"/>
          <w:rtl/>
        </w:rPr>
        <w:t xml:space="preserve"> 1 נתון</w:t>
      </w:r>
      <w:r w:rsidRPr="00F634D6">
        <w:rPr>
          <w:rtl/>
        </w:rPr>
        <w:t xml:space="preserve"> במעצר עד תום ההליכים בתנאי כליאה קשים, </w:t>
      </w:r>
      <w:r>
        <w:rPr>
          <w:rFonts w:hint="cs"/>
          <w:rtl/>
        </w:rPr>
        <w:t xml:space="preserve">המועצמים </w:t>
      </w:r>
      <w:r w:rsidRPr="00F634D6">
        <w:rPr>
          <w:rtl/>
        </w:rPr>
        <w:t>כיום בעיצומה של מגפת הקורונה</w:t>
      </w:r>
      <w:r>
        <w:rPr>
          <w:rFonts w:hint="cs"/>
          <w:rtl/>
        </w:rPr>
        <w:t>.</w:t>
      </w:r>
    </w:p>
    <w:p w14:paraId="38401306" w14:textId="77777777" w:rsidR="00A45AC1" w:rsidRDefault="00A45AC1" w:rsidP="00A45AC1">
      <w:pPr>
        <w:spacing w:line="360" w:lineRule="auto"/>
        <w:jc w:val="both"/>
        <w:rPr>
          <w:rtl/>
        </w:rPr>
      </w:pPr>
      <w:r>
        <w:rPr>
          <w:rFonts w:hint="cs"/>
          <w:rtl/>
        </w:rPr>
        <w:t>5.</w:t>
      </w:r>
      <w:r>
        <w:rPr>
          <w:rtl/>
        </w:rPr>
        <w:tab/>
      </w:r>
      <w:r>
        <w:rPr>
          <w:rFonts w:hint="cs"/>
          <w:rtl/>
        </w:rPr>
        <w:t>ב"כ נאשם  1 הוסיף וטען כי אין ללמוד גזירה שווה מהפסיקה אליה הפנתה המאשימה בהיותה חמורה בנסיבותיה מנסיבותיו של תיק זה. לתמיכה בעמדתו לעונש בתיק זה הגיש הסנגור אסופת פסיקה (</w:t>
      </w:r>
      <w:r w:rsidRPr="00B974D0">
        <w:rPr>
          <w:rFonts w:ascii="Miriam" w:hAnsi="Miriam" w:cs="Miriam"/>
          <w:rtl/>
        </w:rPr>
        <w:t>נ/2 – נ/4</w:t>
      </w:r>
      <w:r>
        <w:rPr>
          <w:rFonts w:hint="cs"/>
          <w:rtl/>
        </w:rPr>
        <w:t>) וביקש להסתפק בתקופה בה נתון הנאשם במעצר שהינה תקופה של כ-7 חודשים. אשר לעתירת המאשימה לחילוט הרכב, נטען כי כיום המאשימה, ללא כל הודעה מוקדמת, מבקשת לחלט את הרכב, זאת מבלי שאפשרה להגנה להיערך כדבעי לדיון בשאלת הבעלות על הרכב. הובהר לעניין זה כי, במידת הצורך, יוגש תצהיר מטעם אחיו של הנאשם הטוען לבעלות ברכב וכן תצהירים של עדים נוספים. לעניין שאלת החילוט טען  הסנגור, כי אין כל מקום להורות על חילוט הרכב מאחר שאין זיקה ישירה או הדוקה בין העבירה בה הורשעו הנאשמים לבין הרכב, מה גם שהרכב לא שימש לביצוע ירי או עבירות נוספות.</w:t>
      </w:r>
    </w:p>
    <w:p w14:paraId="0D26AA52" w14:textId="77777777" w:rsidR="00A45AC1" w:rsidRDefault="00A45AC1" w:rsidP="00A45AC1">
      <w:pPr>
        <w:spacing w:line="360" w:lineRule="auto"/>
        <w:jc w:val="both"/>
        <w:rPr>
          <w:rtl/>
        </w:rPr>
      </w:pPr>
    </w:p>
    <w:p w14:paraId="1F60B6CD" w14:textId="77777777" w:rsidR="00A45AC1" w:rsidRDefault="00A45AC1" w:rsidP="00A45AC1">
      <w:pPr>
        <w:spacing w:line="360" w:lineRule="auto"/>
        <w:jc w:val="both"/>
        <w:rPr>
          <w:rtl/>
        </w:rPr>
      </w:pPr>
      <w:r>
        <w:rPr>
          <w:rFonts w:hint="cs"/>
          <w:rtl/>
        </w:rPr>
        <w:t>6.</w:t>
      </w:r>
      <w:r>
        <w:rPr>
          <w:rFonts w:hint="cs"/>
          <w:rtl/>
        </w:rPr>
        <w:tab/>
        <w:t>ב"כ נאשם 2 ציין, בפתח טיעוניו לעונש, את הודאת נאשם 2 בהזדמנות הראשונה אשר חסכה זמן שיפוטי יקר והעדת 42 עדי תביעה שמרביתם שוטרים. עוד נטען כי חלקו של נאשם 2 הוא פחות אקטיבי מחלקו של נאשם 1 נוכח התנהלותו ונוכח העובדה שהרכב אינו קשור אליו. ב"כ נאשם 2 ציין בנוסף את היות נאשם 2 בחור צעיר, יליד 1996, בעל עבר נקי. בנקודה זו ביקש הסנגור לראות את נאשם 2 כ"בגיר צעיר" ולא למצות את הדין עמו.</w:t>
      </w:r>
    </w:p>
    <w:p w14:paraId="5C5193FD" w14:textId="77777777" w:rsidR="00A45AC1" w:rsidRDefault="00A45AC1" w:rsidP="00A45AC1">
      <w:pPr>
        <w:spacing w:line="360" w:lineRule="auto"/>
        <w:jc w:val="both"/>
        <w:rPr>
          <w:rtl/>
        </w:rPr>
      </w:pPr>
    </w:p>
    <w:p w14:paraId="40A72F9F" w14:textId="77777777" w:rsidR="00A45AC1" w:rsidRDefault="00A45AC1" w:rsidP="00A45AC1">
      <w:pPr>
        <w:spacing w:line="360" w:lineRule="auto"/>
        <w:jc w:val="both"/>
        <w:rPr>
          <w:rtl/>
        </w:rPr>
      </w:pPr>
      <w:r>
        <w:rPr>
          <w:rFonts w:hint="cs"/>
          <w:rtl/>
        </w:rPr>
        <w:t>7.</w:t>
      </w:r>
      <w:r>
        <w:rPr>
          <w:rFonts w:hint="cs"/>
          <w:rtl/>
        </w:rPr>
        <w:tab/>
        <w:t>ב"כ נאשם 2 הוסיף וציין את היות נאשם 2 במעצר עד תום ההליכים בתנאי כליאה קשים, כל שכן כשמדובר כיום בעיצומה של מגפת הקורונה. לעניין סוג הנשק, טען ב"כ נאשם 2 כי עסקינן באקדח שאינו נשק אוטומטי, וכן נטען כי הנשק נתפס ואין כל אינדיקציה לשימוש בנשק או לכוונה לעשות כן.</w:t>
      </w:r>
    </w:p>
    <w:p w14:paraId="68DAB103" w14:textId="77777777" w:rsidR="00A45AC1" w:rsidRDefault="00A45AC1" w:rsidP="00A45AC1">
      <w:pPr>
        <w:spacing w:line="360" w:lineRule="auto"/>
        <w:jc w:val="both"/>
        <w:rPr>
          <w:rtl/>
        </w:rPr>
      </w:pPr>
    </w:p>
    <w:p w14:paraId="28C5C085" w14:textId="77777777" w:rsidR="00A45AC1" w:rsidRDefault="00A45AC1" w:rsidP="00A45AC1">
      <w:pPr>
        <w:spacing w:line="360" w:lineRule="auto"/>
        <w:jc w:val="both"/>
        <w:rPr>
          <w:rtl/>
        </w:rPr>
      </w:pPr>
      <w:r>
        <w:rPr>
          <w:rFonts w:hint="cs"/>
          <w:rtl/>
        </w:rPr>
        <w:t>8.</w:t>
      </w:r>
      <w:r>
        <w:rPr>
          <w:rFonts w:hint="cs"/>
          <w:rtl/>
        </w:rPr>
        <w:tab/>
        <w:t>ב"כ נאשם 2 טען למתחם עונש הולם הנע בין מאסר בפועל בעבודות שירות ל-15 חודשי מאסר בפועל, וזאת תוך שהפנה לאסופת פסיקה להמחשת מדיניות הענישה הנהוגה בעבירה שבפנינו (</w:t>
      </w:r>
      <w:r w:rsidRPr="004F50D8">
        <w:rPr>
          <w:rFonts w:ascii="Miriam" w:hAnsi="Miriam" w:cs="Miriam"/>
          <w:rtl/>
        </w:rPr>
        <w:t>נ/6</w:t>
      </w:r>
      <w:r>
        <w:rPr>
          <w:rFonts w:hint="cs"/>
          <w:rtl/>
        </w:rPr>
        <w:t>). עוד טען ב"כ נאשם 2, כי הנאשם תפקד עד למעצרו באופן נורמטיבי ועבד בתחום הבניין. נטען עוד, כי משפחתו של נאשם 2 אינה מעורבת בפלילים וכי הנאשם מתפקד באופן ראוי מאד גם במסגרת מעצרו. ב"כ נאשם 2 הוסיף והתייחס לכך שנאשם 2 נפצע בהיותו בן 21 וכן הגיש תיעוד רפואי לעניין זה (</w:t>
      </w:r>
      <w:r w:rsidRPr="004F50D8">
        <w:rPr>
          <w:rFonts w:ascii="Miriam" w:hAnsi="Miriam" w:cs="Miriam"/>
          <w:rtl/>
        </w:rPr>
        <w:t>נ/5</w:t>
      </w:r>
      <w:r>
        <w:rPr>
          <w:rFonts w:hint="cs"/>
          <w:rtl/>
        </w:rPr>
        <w:t xml:space="preserve">) תוך שטען כי הנאשם סובל מפגיעה עצבית כתוצאה מפציעתו. בסיכומו של דבר, ביקש ב"כ נאשם 2 להשית עליו מאסר בפועל ברף התחתון של מתחם העונש ההולם לו טען כאמור ולהסתפק בתקופת מעצרו שהינה תקופה של כ- 7 חודשים. </w:t>
      </w:r>
    </w:p>
    <w:p w14:paraId="45776E88" w14:textId="77777777" w:rsidR="00A45AC1" w:rsidRDefault="00A45AC1" w:rsidP="00A45AC1">
      <w:pPr>
        <w:spacing w:line="360" w:lineRule="auto"/>
        <w:jc w:val="both"/>
        <w:rPr>
          <w:rtl/>
        </w:rPr>
      </w:pPr>
    </w:p>
    <w:p w14:paraId="11D82470" w14:textId="77777777" w:rsidR="00A45AC1" w:rsidRDefault="00A45AC1" w:rsidP="00A45AC1">
      <w:pPr>
        <w:spacing w:line="360" w:lineRule="auto"/>
        <w:jc w:val="both"/>
        <w:rPr>
          <w:rtl/>
        </w:rPr>
      </w:pPr>
      <w:r>
        <w:rPr>
          <w:rFonts w:hint="cs"/>
          <w:rtl/>
        </w:rPr>
        <w:t>9.</w:t>
      </w:r>
      <w:r>
        <w:rPr>
          <w:rFonts w:hint="cs"/>
          <w:rtl/>
        </w:rPr>
        <w:tab/>
        <w:t xml:space="preserve"> להלן דברי הנאשמים בדיון בבית המשפט, כלשונם:</w:t>
      </w:r>
    </w:p>
    <w:p w14:paraId="2BFA85AD" w14:textId="77777777" w:rsidR="00A45AC1" w:rsidRDefault="00A45AC1" w:rsidP="00A45AC1">
      <w:pPr>
        <w:spacing w:line="360" w:lineRule="auto"/>
        <w:jc w:val="both"/>
        <w:rPr>
          <w:rtl/>
        </w:rPr>
      </w:pPr>
    </w:p>
    <w:p w14:paraId="44E6FF09" w14:textId="77777777" w:rsidR="00A45AC1" w:rsidRDefault="00A45AC1" w:rsidP="00A45AC1">
      <w:pPr>
        <w:spacing w:line="360" w:lineRule="auto"/>
        <w:jc w:val="both"/>
        <w:rPr>
          <w:rtl/>
        </w:rPr>
      </w:pPr>
    </w:p>
    <w:p w14:paraId="6CD2D728" w14:textId="77777777" w:rsidR="00A45AC1" w:rsidRDefault="00A45AC1" w:rsidP="00A45AC1">
      <w:pPr>
        <w:spacing w:line="360" w:lineRule="auto"/>
        <w:jc w:val="both"/>
        <w:rPr>
          <w:rtl/>
        </w:rPr>
      </w:pPr>
    </w:p>
    <w:p w14:paraId="6F950008" w14:textId="77777777" w:rsidR="00A45AC1" w:rsidRPr="005F0A9E" w:rsidRDefault="00A45AC1" w:rsidP="00A45AC1">
      <w:pPr>
        <w:spacing w:line="360" w:lineRule="auto"/>
        <w:jc w:val="both"/>
        <w:rPr>
          <w:rFonts w:ascii="Miriam" w:hAnsi="Miriam" w:cs="Miriam"/>
          <w:u w:val="single"/>
          <w:rtl/>
        </w:rPr>
      </w:pPr>
      <w:r w:rsidRPr="005F0A9E">
        <w:rPr>
          <w:rFonts w:ascii="Miriam" w:hAnsi="Miriam" w:cs="Miriam"/>
          <w:u w:val="single"/>
          <w:rtl/>
        </w:rPr>
        <w:t xml:space="preserve">נאשם 1: </w:t>
      </w:r>
    </w:p>
    <w:p w14:paraId="422F1F54" w14:textId="77777777" w:rsidR="00A45AC1" w:rsidRPr="00A05914" w:rsidRDefault="00A45AC1" w:rsidP="00A45AC1">
      <w:pPr>
        <w:spacing w:line="360" w:lineRule="auto"/>
        <w:jc w:val="both"/>
        <w:rPr>
          <w:rFonts w:ascii="Miriam" w:hAnsi="Miriam" w:cs="Miriam"/>
          <w:rtl/>
        </w:rPr>
      </w:pPr>
      <w:r w:rsidRPr="00A05914">
        <w:rPr>
          <w:rFonts w:ascii="Miriam" w:hAnsi="Miriam" w:cs="Miriam"/>
          <w:rtl/>
        </w:rPr>
        <w:t xml:space="preserve">אני מצטער על מה שעשיתי, אני מבקש סליחה, למדתי מהמעצר הזה ואני לא אחזור על אותם מעשים.  אני רוצה לחזור לעבודה שלי. אני מבקש סליחה.  </w:t>
      </w:r>
    </w:p>
    <w:p w14:paraId="24D1AD10" w14:textId="77777777" w:rsidR="00A45AC1" w:rsidRDefault="00A45AC1" w:rsidP="00A45AC1">
      <w:pPr>
        <w:spacing w:line="360" w:lineRule="auto"/>
        <w:jc w:val="both"/>
        <w:rPr>
          <w:rtl/>
        </w:rPr>
      </w:pPr>
    </w:p>
    <w:p w14:paraId="1AE90699" w14:textId="77777777" w:rsidR="00A45AC1" w:rsidRPr="005F0A9E" w:rsidRDefault="00A45AC1" w:rsidP="00A45AC1">
      <w:pPr>
        <w:spacing w:line="360" w:lineRule="auto"/>
        <w:jc w:val="both"/>
        <w:rPr>
          <w:rFonts w:ascii="Miriam" w:hAnsi="Miriam" w:cs="Miriam"/>
          <w:u w:val="single"/>
          <w:rtl/>
        </w:rPr>
      </w:pPr>
      <w:r w:rsidRPr="005F0A9E">
        <w:rPr>
          <w:rFonts w:ascii="Miriam" w:hAnsi="Miriam" w:cs="Miriam"/>
          <w:u w:val="single"/>
          <w:rtl/>
        </w:rPr>
        <w:t xml:space="preserve">נאשם 2: </w:t>
      </w:r>
    </w:p>
    <w:p w14:paraId="78AECF81" w14:textId="77777777" w:rsidR="00A45AC1" w:rsidRPr="00A05914" w:rsidRDefault="00A45AC1" w:rsidP="00A45AC1">
      <w:pPr>
        <w:spacing w:line="360" w:lineRule="auto"/>
        <w:jc w:val="both"/>
        <w:rPr>
          <w:rFonts w:ascii="Miriam" w:hAnsi="Miriam" w:cs="Miriam"/>
          <w:rtl/>
        </w:rPr>
      </w:pPr>
      <w:r w:rsidRPr="00A05914">
        <w:rPr>
          <w:rFonts w:ascii="Miriam" w:hAnsi="Miriam" w:cs="Miriam"/>
          <w:rtl/>
        </w:rPr>
        <w:t>אני מצטער על מה שקרה, אני לומד מטעויות, אין אדם שלא טועה, הצטרפתי לפרויקט במעצר ולמדתי באמצעות העו"ס. אני ראש קשר של פרויקט שנקרא מעצר ראשון.  כל הזמן נאמר לי במעצר כי אני אדם חיובי. אני לא אחזור על הטעות.</w:t>
      </w:r>
    </w:p>
    <w:p w14:paraId="655B8358" w14:textId="77777777" w:rsidR="00A45AC1" w:rsidRDefault="00A45AC1" w:rsidP="00A45AC1">
      <w:pPr>
        <w:spacing w:line="360" w:lineRule="auto"/>
        <w:jc w:val="both"/>
        <w:rPr>
          <w:rtl/>
        </w:rPr>
      </w:pPr>
    </w:p>
    <w:p w14:paraId="02CAAE00" w14:textId="77777777" w:rsidR="00A45AC1" w:rsidRPr="005F0A9E" w:rsidRDefault="00A45AC1" w:rsidP="00A45AC1">
      <w:pPr>
        <w:spacing w:line="360" w:lineRule="auto"/>
        <w:jc w:val="both"/>
        <w:rPr>
          <w:rFonts w:ascii="Miriam" w:hAnsi="Miriam" w:cs="Miriam"/>
          <w:u w:val="single"/>
          <w:rtl/>
        </w:rPr>
      </w:pPr>
      <w:r w:rsidRPr="005F0A9E">
        <w:rPr>
          <w:rFonts w:ascii="Miriam" w:hAnsi="Miriam" w:cs="Miriam"/>
          <w:u w:val="single"/>
          <w:rtl/>
        </w:rPr>
        <w:t>דיון והכרעה</w:t>
      </w:r>
    </w:p>
    <w:p w14:paraId="3481E01C" w14:textId="77777777" w:rsidR="00A45AC1" w:rsidRDefault="00A45AC1" w:rsidP="00A45AC1">
      <w:pPr>
        <w:jc w:val="both"/>
        <w:rPr>
          <w:rtl/>
        </w:rPr>
      </w:pPr>
    </w:p>
    <w:p w14:paraId="757F6F28" w14:textId="77777777" w:rsidR="00A45AC1" w:rsidRDefault="00A45AC1" w:rsidP="00A45AC1">
      <w:pPr>
        <w:jc w:val="both"/>
        <w:rPr>
          <w:rtl/>
        </w:rPr>
      </w:pPr>
    </w:p>
    <w:p w14:paraId="34D85256" w14:textId="77777777" w:rsidR="00A45AC1" w:rsidRDefault="00A45AC1" w:rsidP="00A45AC1">
      <w:pPr>
        <w:spacing w:line="360" w:lineRule="auto"/>
        <w:jc w:val="both"/>
        <w:rPr>
          <w:rtl/>
        </w:rPr>
      </w:pPr>
      <w:r>
        <w:rPr>
          <w:rFonts w:hint="cs"/>
          <w:rtl/>
        </w:rPr>
        <w:t>10.</w:t>
      </w:r>
      <w:r>
        <w:rPr>
          <w:rFonts w:hint="cs"/>
          <w:rtl/>
        </w:rPr>
        <w:tab/>
      </w:r>
      <w:r>
        <w:rPr>
          <w:rtl/>
        </w:rPr>
        <w:t>תיקון מס' 113 ל</w:t>
      </w:r>
      <w:hyperlink r:id="rId17" w:history="1">
        <w:r w:rsidR="001C43EE" w:rsidRPr="001C43EE">
          <w:rPr>
            <w:color w:val="0000FF"/>
            <w:u w:val="single"/>
            <w:rtl/>
          </w:rPr>
          <w:t>חוק העונשין</w:t>
        </w:r>
      </w:hyperlink>
      <w:r>
        <w:rPr>
          <w:rtl/>
        </w:rPr>
        <w:t xml:space="preserve"> מתווה את העיקרון המנחה כיום את ביהמ"ש בבואו לגזור דינו של נאשם, שהינו, לפי </w:t>
      </w:r>
      <w:hyperlink r:id="rId18" w:history="1">
        <w:r w:rsidR="00F94D12" w:rsidRPr="00F94D12">
          <w:rPr>
            <w:rStyle w:val="Hyperlink"/>
            <w:rtl/>
          </w:rPr>
          <w:t>סעיף 40ב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19" w:history="1">
        <w:r w:rsidR="001C43EE" w:rsidRPr="001C43EE">
          <w:rPr>
            <w:color w:val="0000FF"/>
            <w:u w:val="single"/>
            <w:rtl/>
          </w:rPr>
          <w:t>ע.פ. 1523/10</w:t>
        </w:r>
      </w:hyperlink>
      <w:r>
        <w:rPr>
          <w:rtl/>
        </w:rPr>
        <w:t xml:space="preserve"> </w:t>
      </w:r>
      <w:r>
        <w:rPr>
          <w:rFonts w:cs="Miriam"/>
          <w:rtl/>
        </w:rPr>
        <w:t>פלוני נ' מדינת ישראל</w:t>
      </w:r>
      <w:r>
        <w:rPr>
          <w:rtl/>
        </w:rPr>
        <w:t xml:space="preserve">, 18/4/12). </w:t>
      </w:r>
      <w:hyperlink r:id="rId20" w:history="1">
        <w:r w:rsidR="00F94D12" w:rsidRPr="00F94D12">
          <w:rPr>
            <w:rStyle w:val="Hyperlink"/>
            <w:rtl/>
          </w:rPr>
          <w:t>סעיף 40ג</w:t>
        </w:r>
      </w:hyperlink>
      <w:r>
        <w:rPr>
          <w:rtl/>
        </w:rPr>
        <w:t xml:space="preserve"> ל</w:t>
      </w:r>
      <w:hyperlink r:id="rId21" w:history="1">
        <w:r w:rsidR="001C43EE" w:rsidRPr="001C43EE">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2" w:history="1">
        <w:r w:rsidR="00F94D12" w:rsidRPr="00F94D12">
          <w:rPr>
            <w:rStyle w:val="Hyperlink"/>
            <w:rtl/>
          </w:rPr>
          <w:t>בסעיף 40ט</w:t>
        </w:r>
      </w:hyperlink>
      <w:r>
        <w:rPr>
          <w:rtl/>
        </w:rPr>
        <w:t xml:space="preserve"> ל</w:t>
      </w:r>
      <w:hyperlink r:id="rId23" w:history="1">
        <w:r w:rsidR="001C43EE" w:rsidRPr="001C43EE">
          <w:rPr>
            <w:color w:val="0000FF"/>
            <w:u w:val="single"/>
            <w:rtl/>
          </w:rPr>
          <w:t>חוק העונשין</w:t>
        </w:r>
      </w:hyperlink>
      <w:r>
        <w:rPr>
          <w:rtl/>
        </w:rPr>
        <w:t>.</w:t>
      </w:r>
    </w:p>
    <w:p w14:paraId="69DB6A02" w14:textId="77777777" w:rsidR="00A45AC1" w:rsidRDefault="00A45AC1" w:rsidP="00A45AC1">
      <w:pPr>
        <w:spacing w:line="360" w:lineRule="auto"/>
        <w:jc w:val="both"/>
        <w:rPr>
          <w:rtl/>
        </w:rPr>
      </w:pPr>
    </w:p>
    <w:p w14:paraId="217EB47B" w14:textId="77777777" w:rsidR="00A45AC1" w:rsidRDefault="00A45AC1" w:rsidP="00A45AC1">
      <w:pPr>
        <w:spacing w:line="360" w:lineRule="auto"/>
        <w:jc w:val="both"/>
        <w:rPr>
          <w:rFonts w:ascii="David" w:hAnsi="David"/>
          <w:rtl/>
        </w:rPr>
      </w:pPr>
      <w:r>
        <w:rPr>
          <w:rFonts w:hint="cs"/>
          <w:rtl/>
        </w:rPr>
        <w:t>11.</w:t>
      </w:r>
      <w:r>
        <w:rPr>
          <w:rFonts w:hint="cs"/>
          <w:rtl/>
        </w:rPr>
        <w:tab/>
      </w:r>
      <w:r>
        <w:rPr>
          <w:rtl/>
        </w:rPr>
        <w:t>הערך המוגן שנפגע כתוצאה מביצוע עבירת הנשק ע"י הנאש</w:t>
      </w:r>
      <w:r>
        <w:rPr>
          <w:rFonts w:hint="cs"/>
          <w:rtl/>
        </w:rPr>
        <w:t>מים</w:t>
      </w:r>
      <w:r>
        <w:rPr>
          <w:rtl/>
        </w:rPr>
        <w:t xml:space="preserve"> הוא שלום הציבור ובטחונו. "</w:t>
      </w:r>
      <w:r>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24" w:history="1">
        <w:r w:rsidR="001C43EE" w:rsidRPr="001C43EE">
          <w:rPr>
            <w:color w:val="0000FF"/>
            <w:u w:val="single"/>
            <w:rtl/>
          </w:rPr>
          <w:t>ע"פ 7502/12</w:t>
        </w:r>
      </w:hyperlink>
      <w:r>
        <w:rPr>
          <w:rtl/>
        </w:rPr>
        <w:t xml:space="preserve"> ‏</w:t>
      </w:r>
      <w:r>
        <w:rPr>
          <w:rFonts w:cs="Miriam"/>
          <w:rtl/>
        </w:rPr>
        <w:t>כוויס נ' מדינת ישראל</w:t>
      </w:r>
      <w:r>
        <w:rPr>
          <w:rtl/>
        </w:rPr>
        <w:t xml:space="preserve"> (25.6.2013)). </w:t>
      </w:r>
      <w:r>
        <w:rPr>
          <w:rFonts w:ascii="David" w:hAnsi="David"/>
          <w:rtl/>
        </w:rPr>
        <w:t xml:space="preserve">בית המשפט העליון שב ופסק כי אין להשלים עם ביצוען של עבירות נשק, וכי יש להחמיר בעונשם של המורשעים בעבירות אלו תוך מתן ביטוי עונשי הולם לסכנה הממשית הנשקפת </w:t>
      </w:r>
      <w:r w:rsidRPr="004F50D8">
        <w:rPr>
          <w:rFonts w:ascii="David" w:hAnsi="David"/>
          <w:rtl/>
        </w:rPr>
        <w:t xml:space="preserve">ממעשיהם (ראו: </w:t>
      </w:r>
      <w:hyperlink r:id="rId25" w:history="1">
        <w:r w:rsidR="001C43EE" w:rsidRPr="001C43EE">
          <w:rPr>
            <w:rFonts w:ascii="David" w:hAnsi="David"/>
            <w:color w:val="0000FF"/>
            <w:u w:val="single"/>
            <w:rtl/>
          </w:rPr>
          <w:t>ע"פ 135/17</w:t>
        </w:r>
      </w:hyperlink>
      <w:r w:rsidRPr="004F50D8">
        <w:rPr>
          <w:rFonts w:ascii="David" w:hAnsi="David"/>
          <w:rtl/>
        </w:rPr>
        <w:t xml:space="preserve"> </w:t>
      </w:r>
      <w:r w:rsidRPr="004F50D8">
        <w:rPr>
          <w:rFonts w:ascii="Miriam" w:hAnsi="Miriam" w:cs="Miriam"/>
          <w:rtl/>
        </w:rPr>
        <w:t>מדינת ישראל נ' בסל</w:t>
      </w:r>
      <w:r w:rsidRPr="004F50D8">
        <w:rPr>
          <w:rFonts w:ascii="David" w:hAnsi="David"/>
          <w:rtl/>
        </w:rPr>
        <w:t xml:space="preserve"> (8.3.2017); </w:t>
      </w:r>
      <w:r w:rsidRPr="001C43EE">
        <w:rPr>
          <w:rFonts w:ascii="David" w:hAnsi="David"/>
          <w:color w:val="000000"/>
          <w:rtl/>
        </w:rPr>
        <w:t>ע"פ 2808/18</w:t>
      </w:r>
      <w:r w:rsidRPr="004F50D8">
        <w:rPr>
          <w:rFonts w:ascii="David" w:hAnsi="David"/>
          <w:rtl/>
        </w:rPr>
        <w:t xml:space="preserve"> </w:t>
      </w:r>
      <w:r w:rsidRPr="004F50D8">
        <w:rPr>
          <w:rFonts w:ascii="Miriam" w:hAnsi="Miriam" w:cs="Miriam"/>
          <w:rtl/>
        </w:rPr>
        <w:t xml:space="preserve">ג'ואמיס נ' מדינת ישראל </w:t>
      </w:r>
      <w:r w:rsidRPr="004F50D8">
        <w:rPr>
          <w:rFonts w:ascii="David" w:hAnsi="David"/>
          <w:rtl/>
        </w:rPr>
        <w:t xml:space="preserve">(26.7.2018)). </w:t>
      </w:r>
    </w:p>
    <w:p w14:paraId="14DE9FCA" w14:textId="77777777" w:rsidR="00A45AC1" w:rsidRDefault="00A45AC1" w:rsidP="00A45AC1">
      <w:pPr>
        <w:spacing w:line="360" w:lineRule="auto"/>
        <w:jc w:val="both"/>
        <w:rPr>
          <w:rFonts w:ascii="David" w:hAnsi="David"/>
          <w:rtl/>
        </w:rPr>
      </w:pPr>
    </w:p>
    <w:p w14:paraId="3BA4B856" w14:textId="77777777" w:rsidR="00A45AC1" w:rsidRPr="00C661D3" w:rsidRDefault="00A45AC1" w:rsidP="00A45AC1">
      <w:pPr>
        <w:spacing w:line="360" w:lineRule="auto"/>
        <w:jc w:val="both"/>
        <w:rPr>
          <w:rFonts w:ascii="David" w:hAnsi="David"/>
          <w:rtl/>
        </w:rPr>
      </w:pPr>
      <w:r>
        <w:rPr>
          <w:rFonts w:ascii="David" w:hAnsi="David" w:hint="cs"/>
          <w:rtl/>
        </w:rPr>
        <w:t>12.</w:t>
      </w:r>
      <w:r>
        <w:rPr>
          <w:rFonts w:ascii="David" w:hAnsi="David" w:hint="cs"/>
          <w:rtl/>
        </w:rPr>
        <w:tab/>
      </w:r>
      <w:r>
        <w:rPr>
          <w:rFonts w:ascii="David" w:eastAsia="David" w:hAnsi="David"/>
          <w:rtl/>
        </w:rPr>
        <w:t>כאן יפים גם דבריו הבאים של בית המשפט העליון ב</w:t>
      </w:r>
      <w:hyperlink r:id="rId26" w:history="1">
        <w:r w:rsidR="001C43EE" w:rsidRPr="001C43EE">
          <w:rPr>
            <w:rFonts w:ascii="Arial" w:eastAsia="David" w:hAnsi="Arial"/>
            <w:color w:val="0000FF"/>
            <w:u w:val="single"/>
            <w:rtl/>
          </w:rPr>
          <w:t>ע"פ 2564/19</w:t>
        </w:r>
      </w:hyperlink>
      <w:r w:rsidRPr="004F50D8">
        <w:rPr>
          <w:rFonts w:ascii="Arial" w:eastAsia="David" w:hAnsi="Arial"/>
          <w:rtl/>
        </w:rPr>
        <w:t xml:space="preserve"> </w:t>
      </w:r>
      <w:r w:rsidRPr="004F50D8">
        <w:rPr>
          <w:rFonts w:ascii="Miriam" w:eastAsia="David" w:hAnsi="Miriam" w:cs="Miriam"/>
          <w:rtl/>
        </w:rPr>
        <w:t>איברהים אזברגה נ' מדינת ישראל</w:t>
      </w:r>
      <w:r w:rsidRPr="004F50D8">
        <w:rPr>
          <w:rFonts w:ascii="Arial" w:eastAsia="David" w:hAnsi="Arial" w:hint="cs"/>
          <w:rtl/>
        </w:rPr>
        <w:t xml:space="preserve"> (18.07.2019), פסקה 10: </w:t>
      </w:r>
      <w:r w:rsidRPr="004F50D8">
        <w:rPr>
          <w:rFonts w:ascii="Arial" w:eastAsia="David" w:hAnsi="Arial"/>
          <w:rtl/>
        </w:rPr>
        <w:t>"...</w:t>
      </w:r>
      <w:r w:rsidRPr="004F50D8">
        <w:rPr>
          <w:rFonts w:ascii="Miriam" w:eastAsia="David" w:hAnsi="Miriam" w:cs="Miriam"/>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 .</w:t>
      </w:r>
    </w:p>
    <w:p w14:paraId="39409EAC" w14:textId="77777777" w:rsidR="00A45AC1" w:rsidRDefault="00A45AC1" w:rsidP="00A45AC1">
      <w:pPr>
        <w:spacing w:line="360" w:lineRule="auto"/>
        <w:ind w:left="652" w:hanging="709"/>
        <w:jc w:val="both"/>
        <w:rPr>
          <w:rFonts w:ascii="Arial" w:eastAsia="David" w:hAnsi="Arial"/>
          <w:rtl/>
        </w:rPr>
      </w:pPr>
    </w:p>
    <w:p w14:paraId="7F1407BE" w14:textId="77777777" w:rsidR="00A45AC1" w:rsidRDefault="00A45AC1" w:rsidP="00A45AC1">
      <w:pPr>
        <w:spacing w:line="360" w:lineRule="auto"/>
        <w:ind w:left="-57"/>
        <w:jc w:val="both"/>
        <w:rPr>
          <w:rFonts w:ascii="Arial" w:eastAsia="David" w:hAnsi="Arial"/>
          <w:rtl/>
        </w:rPr>
      </w:pPr>
      <w:r>
        <w:rPr>
          <w:rFonts w:ascii="Arial" w:eastAsia="David" w:hAnsi="Arial" w:hint="cs"/>
          <w:rtl/>
        </w:rPr>
        <w:t>13.</w:t>
      </w:r>
      <w:r>
        <w:rPr>
          <w:rFonts w:ascii="Arial" w:eastAsia="David" w:hAnsi="Arial" w:hint="cs"/>
          <w:rtl/>
        </w:rPr>
        <w:tab/>
        <w:t>ומהתם להכא: שני הנאשמים נשאו והובילו יחדיו את האקדח והמחסנית במסגרת של נסיעה מתוכננת ברכב, כפי שעולה כאמור ממקרא כתב האישום המתוקן. נאשם 1 היה אמנם אקטיבי יותר בתכנון המעשים, אולם יש לראות באופן דומה את חלקו של כל אחד מהם בביצוע עבירת הנשק. למרבה המזל, הנשק נתפס שאם לא כן ייתכן והיה מתגלגל לידיים עוינות, דבר שעלול היה להוביל לפגיעה באחרים. כאן אדגיש כי הנאשמים נשאו והובילו, כאמור,  אקדח שהינו נשק המסוגל להמית אדם אם כי אין עסקינן בנשק אוטומטי הידוע במסוכנות רבה יותר, כנטען ע"י ההגנה ובצדק.</w:t>
      </w:r>
    </w:p>
    <w:p w14:paraId="3E7A0D5E" w14:textId="77777777" w:rsidR="00A45AC1" w:rsidRDefault="00A45AC1" w:rsidP="00A45AC1">
      <w:pPr>
        <w:spacing w:line="360" w:lineRule="auto"/>
        <w:ind w:left="652" w:hanging="709"/>
        <w:jc w:val="both"/>
        <w:rPr>
          <w:rFonts w:ascii="Arial" w:eastAsia="David" w:hAnsi="Arial"/>
          <w:rtl/>
        </w:rPr>
      </w:pPr>
    </w:p>
    <w:p w14:paraId="6B5FA709" w14:textId="77777777" w:rsidR="00A45AC1" w:rsidRDefault="00A45AC1" w:rsidP="00A45AC1">
      <w:pPr>
        <w:spacing w:line="360" w:lineRule="auto"/>
        <w:ind w:left="652" w:hanging="709"/>
        <w:jc w:val="both"/>
        <w:rPr>
          <w:color w:val="0000FF"/>
          <w:u w:val="single"/>
          <w:rtl/>
        </w:rPr>
      </w:pPr>
      <w:r>
        <w:rPr>
          <w:rFonts w:ascii="Arial" w:eastAsia="David" w:hAnsi="Arial" w:hint="cs"/>
          <w:rtl/>
        </w:rPr>
        <w:t>14.</w:t>
      </w:r>
      <w:r>
        <w:rPr>
          <w:rFonts w:ascii="Arial" w:eastAsia="David" w:hAnsi="Arial" w:hint="cs"/>
          <w:rtl/>
        </w:rPr>
        <w:tab/>
        <w:t>במסגרת סקירת מדיניות הענישה הנהוגה בעבירה של נשיאת נשק מסוג אקדח, תובא הפסיקה הבאה:</w:t>
      </w:r>
    </w:p>
    <w:p w14:paraId="4F9806F2" w14:textId="77777777" w:rsidR="00A45AC1" w:rsidRDefault="00A45AC1" w:rsidP="00A45AC1">
      <w:pPr>
        <w:spacing w:line="360" w:lineRule="auto"/>
        <w:ind w:left="652" w:hanging="709"/>
        <w:jc w:val="both"/>
        <w:rPr>
          <w:color w:val="0000FF"/>
          <w:u w:val="single"/>
          <w:rtl/>
        </w:rPr>
      </w:pPr>
    </w:p>
    <w:p w14:paraId="164F435D" w14:textId="77777777" w:rsidR="00A45AC1" w:rsidRDefault="00A45AC1" w:rsidP="00A45AC1">
      <w:pPr>
        <w:pStyle w:val="aa"/>
        <w:numPr>
          <w:ilvl w:val="0"/>
          <w:numId w:val="3"/>
        </w:numPr>
        <w:spacing w:line="360" w:lineRule="auto"/>
        <w:jc w:val="both"/>
        <w:rPr>
          <w:rtl/>
        </w:rPr>
      </w:pPr>
      <w:r w:rsidRPr="00C661D3">
        <w:rPr>
          <w:rFonts w:hint="cs"/>
          <w:rtl/>
        </w:rPr>
        <w:t>ב</w:t>
      </w:r>
      <w:hyperlink r:id="rId27" w:history="1">
        <w:r w:rsidR="001C43EE" w:rsidRPr="001C43EE">
          <w:rPr>
            <w:color w:val="0000FF"/>
            <w:u w:val="single"/>
            <w:rtl/>
          </w:rPr>
          <w:t>ת"פ (מחוזי חיפה) 31862-05-13</w:t>
        </w:r>
      </w:hyperlink>
      <w:r>
        <w:rPr>
          <w:rtl/>
        </w:rPr>
        <w:t xml:space="preserve"> </w:t>
      </w:r>
      <w:r w:rsidRPr="00156F6E">
        <w:rPr>
          <w:rFonts w:ascii="Miriam" w:hAnsi="Miriam" w:cs="Miriam"/>
          <w:rtl/>
        </w:rPr>
        <w:t>מ"י נ' מוחמד מחאמיד</w:t>
      </w:r>
      <w:r w:rsidRPr="00156F6E">
        <w:rPr>
          <w:sz w:val="22"/>
          <w:szCs w:val="22"/>
          <w:rtl/>
        </w:rPr>
        <w:t xml:space="preserve"> </w:t>
      </w:r>
      <w:r>
        <w:rPr>
          <w:rtl/>
        </w:rPr>
        <w:t>(1/10/13)</w:t>
      </w:r>
      <w:r>
        <w:rPr>
          <w:rFonts w:hint="cs"/>
          <w:rtl/>
        </w:rPr>
        <w:t xml:space="preserve"> </w:t>
      </w:r>
      <w:r>
        <w:rPr>
          <w:rtl/>
        </w:rPr>
        <w:t>הו</w:t>
      </w:r>
      <w:r>
        <w:rPr>
          <w:rFonts w:hint="cs"/>
          <w:rtl/>
        </w:rPr>
        <w:t>שת</w:t>
      </w:r>
      <w:r>
        <w:rPr>
          <w:rtl/>
        </w:rPr>
        <w:t xml:space="preserve"> על נאשם צעיר, בן פחות מ-21, עונש של 21 חודשי מאסר בפועל בגין עבירה של נשיאת נשק (אקדח) שלא כדין לצד עבירה של הפרעה לשוטר בשעת מילוי תפקידו כדין. </w:t>
      </w:r>
    </w:p>
    <w:p w14:paraId="79D80B44" w14:textId="77777777" w:rsidR="00A45AC1" w:rsidRDefault="00A45AC1" w:rsidP="00A45AC1">
      <w:pPr>
        <w:pStyle w:val="a"/>
        <w:numPr>
          <w:ilvl w:val="0"/>
          <w:numId w:val="0"/>
        </w:numPr>
        <w:jc w:val="both"/>
        <w:rPr>
          <w:rtl/>
        </w:rPr>
      </w:pPr>
    </w:p>
    <w:p w14:paraId="703530A7" w14:textId="77777777" w:rsidR="00A45AC1" w:rsidRDefault="00A45AC1" w:rsidP="00A45AC1">
      <w:pPr>
        <w:pStyle w:val="aa"/>
        <w:numPr>
          <w:ilvl w:val="0"/>
          <w:numId w:val="2"/>
        </w:numPr>
        <w:spacing w:line="360" w:lineRule="auto"/>
        <w:jc w:val="both"/>
      </w:pPr>
      <w:r>
        <w:rPr>
          <w:rtl/>
        </w:rPr>
        <w:t>ב</w:t>
      </w:r>
      <w:hyperlink r:id="rId28" w:history="1">
        <w:r w:rsidR="001C43EE" w:rsidRPr="001C43EE">
          <w:rPr>
            <w:color w:val="0000FF"/>
            <w:u w:val="single"/>
            <w:rtl/>
          </w:rPr>
          <w:t>ת"פ (מחוזי באר שבע) 4338-04-13</w:t>
        </w:r>
      </w:hyperlink>
      <w:r w:rsidRPr="00C661D3">
        <w:rPr>
          <w:rtl/>
        </w:rPr>
        <w:t xml:space="preserve"> </w:t>
      </w:r>
      <w:r>
        <w:rPr>
          <w:rFonts w:ascii="Miriam" w:hAnsi="Miriam" w:cs="Miriam"/>
          <w:rtl/>
        </w:rPr>
        <w:t>מדינת ישראל נ' אביעוז</w:t>
      </w:r>
      <w:r>
        <w:rPr>
          <w:sz w:val="22"/>
          <w:szCs w:val="22"/>
          <w:rtl/>
        </w:rPr>
        <w:t xml:space="preserve"> </w:t>
      </w:r>
      <w:r>
        <w:rPr>
          <w:rtl/>
        </w:rPr>
        <w:t xml:space="preserve">(11/12/16)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 </w:t>
      </w:r>
    </w:p>
    <w:p w14:paraId="439867BC" w14:textId="77777777" w:rsidR="00A45AC1" w:rsidRDefault="00A45AC1" w:rsidP="00A45AC1">
      <w:pPr>
        <w:pStyle w:val="aa"/>
        <w:spacing w:line="360" w:lineRule="auto"/>
        <w:ind w:left="1494"/>
        <w:jc w:val="both"/>
      </w:pPr>
    </w:p>
    <w:p w14:paraId="48D074E2" w14:textId="77777777" w:rsidR="00A45AC1" w:rsidRDefault="00A45AC1" w:rsidP="00A45AC1">
      <w:pPr>
        <w:pStyle w:val="aa"/>
        <w:numPr>
          <w:ilvl w:val="0"/>
          <w:numId w:val="2"/>
        </w:numPr>
        <w:spacing w:line="360" w:lineRule="auto"/>
        <w:jc w:val="both"/>
      </w:pPr>
      <w:r>
        <w:rPr>
          <w:rtl/>
        </w:rPr>
        <w:t>ב</w:t>
      </w:r>
      <w:hyperlink r:id="rId29" w:history="1">
        <w:r w:rsidR="001C43EE" w:rsidRPr="001C43EE">
          <w:rPr>
            <w:color w:val="0000FF"/>
            <w:u w:val="single"/>
            <w:rtl/>
          </w:rPr>
          <w:t>ע"פ 9373/10</w:t>
        </w:r>
      </w:hyperlink>
      <w:r w:rsidRPr="00C661D3">
        <w:rPr>
          <w:rtl/>
        </w:rPr>
        <w:t xml:space="preserve"> </w:t>
      </w:r>
      <w:r w:rsidRPr="0082497B">
        <w:rPr>
          <w:rFonts w:ascii="Miriam" w:hAnsi="Miriam" w:cs="Miriam"/>
          <w:rtl/>
        </w:rPr>
        <w:t>ותד נ' מדינת ישראל</w:t>
      </w:r>
      <w:r w:rsidRPr="00C661D3">
        <w:rPr>
          <w:b/>
          <w:bCs/>
          <w:rtl/>
        </w:rPr>
        <w:t xml:space="preserve"> </w:t>
      </w:r>
      <w:r>
        <w:rPr>
          <w:rtl/>
        </w:rPr>
        <w:t>(14</w:t>
      </w:r>
      <w:r>
        <w:rPr>
          <w:rFonts w:hint="cs"/>
          <w:rtl/>
        </w:rPr>
        <w:t>/</w:t>
      </w:r>
      <w:r>
        <w:rPr>
          <w:rtl/>
        </w:rPr>
        <w:t>9</w:t>
      </w:r>
      <w:r>
        <w:rPr>
          <w:rFonts w:hint="cs"/>
          <w:rtl/>
        </w:rPr>
        <w:t>/</w:t>
      </w:r>
      <w:r>
        <w:rPr>
          <w:rtl/>
        </w:rPr>
        <w:t>11)</w:t>
      </w:r>
      <w:r>
        <w:rPr>
          <w:rFonts w:hint="cs"/>
          <w:rtl/>
        </w:rPr>
        <w:t xml:space="preserve"> </w:t>
      </w:r>
      <w:r>
        <w:rPr>
          <w:rtl/>
        </w:rPr>
        <w:t xml:space="preserve">קיבל בית המשפט העליון את ערעורו של נאשם אשר הורשע על פי הודאתו בעבירות החזקה ונשיאת נשק, והקל בעונשו. הנאשם החזיק בביתו אקדח ומחסנית מלאה בכדורים כמו גם כדורי אקדח נוספים בחצר ביתו. </w:t>
      </w:r>
      <w:r>
        <w:rPr>
          <w:rFonts w:hint="cs"/>
          <w:rtl/>
        </w:rPr>
        <w:t>ה</w:t>
      </w:r>
      <w:r>
        <w:rPr>
          <w:rtl/>
        </w:rPr>
        <w:t xml:space="preserve">נאשם </w:t>
      </w:r>
      <w:r>
        <w:rPr>
          <w:rFonts w:hint="cs"/>
          <w:rtl/>
        </w:rPr>
        <w:t xml:space="preserve">היה </w:t>
      </w:r>
      <w:r>
        <w:rPr>
          <w:rtl/>
        </w:rPr>
        <w:t>בעל עבר פלילי. בית המשפט העליון קבע כי אף שמקובלת ההשקפה כי הגיעה העת להחמיר בענישתם של המבצעים עבירות בנשק, ראוי כי הדבר יעשה בהדרגה ועל כן העמיד את העונש על</w:t>
      </w:r>
      <w:r w:rsidRPr="0082497B">
        <w:rPr>
          <w:rtl/>
        </w:rPr>
        <w:t xml:space="preserve"> 30 חודשי מאסר בפועל (חלף 50</w:t>
      </w:r>
      <w:r>
        <w:rPr>
          <w:rtl/>
        </w:rPr>
        <w:t xml:space="preserve"> חודשי מאסר בפועל).</w:t>
      </w:r>
    </w:p>
    <w:p w14:paraId="0020D6ED" w14:textId="77777777" w:rsidR="00A45AC1" w:rsidRDefault="00A45AC1" w:rsidP="00A45AC1">
      <w:pPr>
        <w:pStyle w:val="aa"/>
        <w:jc w:val="both"/>
        <w:rPr>
          <w:rtl/>
        </w:rPr>
      </w:pPr>
    </w:p>
    <w:p w14:paraId="06E1E6E4" w14:textId="77777777" w:rsidR="00A45AC1" w:rsidRDefault="00A45AC1" w:rsidP="00A45AC1">
      <w:pPr>
        <w:pStyle w:val="aa"/>
        <w:numPr>
          <w:ilvl w:val="0"/>
          <w:numId w:val="2"/>
        </w:numPr>
        <w:spacing w:line="360" w:lineRule="auto"/>
        <w:jc w:val="both"/>
      </w:pPr>
      <w:r>
        <w:rPr>
          <w:rtl/>
        </w:rPr>
        <w:t>ב</w:t>
      </w:r>
      <w:hyperlink r:id="rId30" w:history="1">
        <w:r w:rsidR="001C43EE" w:rsidRPr="001C43EE">
          <w:rPr>
            <w:color w:val="0000FF"/>
            <w:u w:val="single"/>
            <w:rtl/>
          </w:rPr>
          <w:t>ע"פ 3156/11</w:t>
        </w:r>
      </w:hyperlink>
      <w:r w:rsidRPr="00C661D3">
        <w:rPr>
          <w:rtl/>
        </w:rPr>
        <w:t xml:space="preserve"> </w:t>
      </w:r>
      <w:r w:rsidRPr="00C661D3">
        <w:rPr>
          <w:rFonts w:ascii="Miriam" w:hAnsi="Miriam" w:cs="Miriam"/>
          <w:rtl/>
        </w:rPr>
        <w:t>זראיעה נ' מדינת ישראל</w:t>
      </w:r>
      <w:r w:rsidRPr="00C661D3">
        <w:rPr>
          <w:b/>
          <w:bCs/>
          <w:rtl/>
        </w:rPr>
        <w:t xml:space="preserve"> </w:t>
      </w:r>
      <w:r w:rsidRPr="00C661D3">
        <w:rPr>
          <w:rtl/>
        </w:rPr>
        <w:t>(21</w:t>
      </w:r>
      <w:r>
        <w:rPr>
          <w:rFonts w:hint="cs"/>
          <w:rtl/>
        </w:rPr>
        <w:t>/</w:t>
      </w:r>
      <w:r w:rsidRPr="00C661D3">
        <w:rPr>
          <w:rtl/>
        </w:rPr>
        <w:t>2</w:t>
      </w:r>
      <w:r>
        <w:rPr>
          <w:rFonts w:hint="cs"/>
          <w:rtl/>
        </w:rPr>
        <w:t>/</w:t>
      </w:r>
      <w:r>
        <w:rPr>
          <w:rtl/>
        </w:rPr>
        <w:t>12)</w:t>
      </w:r>
      <w:r>
        <w:rPr>
          <w:rFonts w:hint="cs"/>
          <w:rtl/>
        </w:rPr>
        <w:t xml:space="preserve"> </w:t>
      </w:r>
      <w:r w:rsidRPr="00C661D3">
        <w:rPr>
          <w:rtl/>
        </w:rPr>
        <w:t xml:space="preserve"> נדחה ערעורו של נאשם אשר הורשע על פי הוד</w:t>
      </w:r>
      <w:r>
        <w:rPr>
          <w:rtl/>
        </w:rPr>
        <w:t xml:space="preserve">אתו בעבירות של נשיאה והובלת נשק והסתייעות ברכב לביצוע פשע. </w:t>
      </w:r>
      <w:r>
        <w:rPr>
          <w:rFonts w:hint="cs"/>
          <w:rtl/>
        </w:rPr>
        <w:t xml:space="preserve">אותו </w:t>
      </w:r>
      <w:r>
        <w:rPr>
          <w:rtl/>
        </w:rPr>
        <w:t>נאשם נסע ברכבו לאחר שהסליק בו אקדח, מחסנית טעונה בכדורים וקופסאות עם כדורי אקדח. האקדח והתחמושת נתפסו בחיפוש שגרתי שביצעה המשטרה ברכב. הנאשם, ללא עבר פלילי</w:t>
      </w:r>
      <w:r>
        <w:rPr>
          <w:rFonts w:hint="cs"/>
          <w:rtl/>
        </w:rPr>
        <w:t xml:space="preserve">, </w:t>
      </w:r>
      <w:r>
        <w:rPr>
          <w:rtl/>
        </w:rPr>
        <w:t xml:space="preserve">אב ל-4 ילדים ומפרנס יחיד במשפחתו, נדון לעונש </w:t>
      </w:r>
      <w:r w:rsidRPr="0082497B">
        <w:rPr>
          <w:rtl/>
        </w:rPr>
        <w:t>של 24 חודשי מאסר בפועל.</w:t>
      </w:r>
      <w:r w:rsidRPr="00C661D3">
        <w:rPr>
          <w:b/>
          <w:bCs/>
          <w:rtl/>
        </w:rPr>
        <w:t xml:space="preserve"> </w:t>
      </w:r>
    </w:p>
    <w:p w14:paraId="2363736D" w14:textId="77777777" w:rsidR="00A45AC1" w:rsidRDefault="00A45AC1" w:rsidP="00A45AC1">
      <w:pPr>
        <w:pStyle w:val="aa"/>
        <w:spacing w:line="360" w:lineRule="auto"/>
        <w:ind w:left="1494"/>
        <w:jc w:val="both"/>
      </w:pPr>
    </w:p>
    <w:p w14:paraId="394FE019" w14:textId="77777777" w:rsidR="00A45AC1" w:rsidRDefault="00A45AC1" w:rsidP="00A45AC1">
      <w:pPr>
        <w:pStyle w:val="aa"/>
        <w:numPr>
          <w:ilvl w:val="0"/>
          <w:numId w:val="2"/>
        </w:numPr>
        <w:spacing w:line="360" w:lineRule="auto"/>
        <w:jc w:val="both"/>
      </w:pPr>
      <w:r>
        <w:rPr>
          <w:rtl/>
        </w:rPr>
        <w:t>ב</w:t>
      </w:r>
      <w:hyperlink r:id="rId31" w:history="1">
        <w:r w:rsidR="001C43EE" w:rsidRPr="001C43EE">
          <w:rPr>
            <w:color w:val="0000FF"/>
            <w:u w:val="single"/>
            <w:rtl/>
          </w:rPr>
          <w:t>ע"פ 2892/13</w:t>
        </w:r>
      </w:hyperlink>
      <w:r w:rsidRPr="00C661D3">
        <w:rPr>
          <w:rtl/>
        </w:rPr>
        <w:t xml:space="preserve"> </w:t>
      </w:r>
      <w:r w:rsidRPr="00C661D3">
        <w:rPr>
          <w:rFonts w:ascii="Miriam" w:hAnsi="Miriam" w:cs="Miriam"/>
          <w:rtl/>
        </w:rPr>
        <w:t>עודתאללה נ' מדינת ישראל</w:t>
      </w:r>
      <w:r>
        <w:rPr>
          <w:rtl/>
        </w:rPr>
        <w:t xml:space="preserve"> (29</w:t>
      </w:r>
      <w:r>
        <w:rPr>
          <w:rFonts w:hint="cs"/>
          <w:rtl/>
        </w:rPr>
        <w:t>/</w:t>
      </w:r>
      <w:r>
        <w:rPr>
          <w:rtl/>
        </w:rPr>
        <w:t>9</w:t>
      </w:r>
      <w:r>
        <w:rPr>
          <w:rFonts w:hint="cs"/>
          <w:rtl/>
        </w:rPr>
        <w:t>/</w:t>
      </w:r>
      <w:r>
        <w:rPr>
          <w:rtl/>
        </w:rPr>
        <w:t xml:space="preserve">13) בית המשפט העליון דחה את ערעורו של נאשם </w:t>
      </w:r>
      <w:r>
        <w:rPr>
          <w:rFonts w:hint="cs"/>
          <w:rtl/>
        </w:rPr>
        <w:t xml:space="preserve">בעל עבר נקי </w:t>
      </w:r>
      <w:r>
        <w:rPr>
          <w:rtl/>
        </w:rPr>
        <w:t>אשר הורשע</w:t>
      </w:r>
      <w:r>
        <w:rPr>
          <w:rFonts w:hint="cs"/>
          <w:rtl/>
        </w:rPr>
        <w:t>,</w:t>
      </w:r>
      <w:r>
        <w:rPr>
          <w:rtl/>
        </w:rPr>
        <w:t xml:space="preserve"> לאחר ניהול הליך הוכחות, בעבירה של נשיאה והובלת נשק והסתייעות ברכב לביצוע פשע. </w:t>
      </w:r>
      <w:r>
        <w:rPr>
          <w:rFonts w:hint="cs"/>
          <w:rtl/>
        </w:rPr>
        <w:t xml:space="preserve">אותו </w:t>
      </w:r>
      <w:r>
        <w:rPr>
          <w:rtl/>
        </w:rPr>
        <w:t xml:space="preserve">נאשם נהג ברכב בנצרת כשהוא מוביל אקדח ובו מחסנית ריקה מכדורים ומוסתר מתחת לכיסא הנהג. בית המשפט המחוזי </w:t>
      </w:r>
      <w:r w:rsidRPr="0082497B">
        <w:rPr>
          <w:rtl/>
        </w:rPr>
        <w:t>קבע מתחם שבין 12 ל- 36 חודשי מאסר</w:t>
      </w:r>
      <w:r w:rsidRPr="0082497B">
        <w:rPr>
          <w:rFonts w:hint="cs"/>
          <w:rtl/>
        </w:rPr>
        <w:t xml:space="preserve"> בפועל</w:t>
      </w:r>
      <w:r w:rsidRPr="0082497B">
        <w:rPr>
          <w:rtl/>
        </w:rPr>
        <w:t xml:space="preserve"> והטיל על הנאשם עונש של 21 חודשי מאסר בפועל לצד ענישה נלווית</w:t>
      </w:r>
      <w:r>
        <w:rPr>
          <w:rtl/>
        </w:rPr>
        <w:t xml:space="preserve">. </w:t>
      </w:r>
    </w:p>
    <w:p w14:paraId="485502EC" w14:textId="77777777" w:rsidR="00A45AC1" w:rsidRDefault="00A45AC1" w:rsidP="00A45AC1">
      <w:pPr>
        <w:spacing w:line="360" w:lineRule="auto"/>
        <w:jc w:val="both"/>
      </w:pPr>
    </w:p>
    <w:p w14:paraId="005E062F" w14:textId="77777777" w:rsidR="00A45AC1" w:rsidRDefault="00A45AC1" w:rsidP="00A45AC1">
      <w:pPr>
        <w:pStyle w:val="aa"/>
        <w:numPr>
          <w:ilvl w:val="0"/>
          <w:numId w:val="2"/>
        </w:numPr>
        <w:spacing w:line="360" w:lineRule="auto"/>
        <w:jc w:val="both"/>
        <w:rPr>
          <w:rFonts w:ascii="David" w:hAnsi="David"/>
        </w:rPr>
      </w:pPr>
      <w:r w:rsidRPr="0082497B">
        <w:rPr>
          <w:rFonts w:ascii="David" w:hAnsi="David" w:hint="cs"/>
          <w:rtl/>
        </w:rPr>
        <w:t>ב</w:t>
      </w:r>
      <w:hyperlink r:id="rId32" w:history="1">
        <w:r w:rsidR="001C43EE" w:rsidRPr="001C43EE">
          <w:rPr>
            <w:rFonts w:ascii="David" w:hAnsi="David"/>
            <w:color w:val="0000FF"/>
            <w:u w:val="single"/>
            <w:rtl/>
          </w:rPr>
          <w:t>ע"פ 4982/15</w:t>
        </w:r>
      </w:hyperlink>
      <w:r w:rsidRPr="00C661D3">
        <w:rPr>
          <w:rFonts w:ascii="David" w:hAnsi="David"/>
          <w:sz w:val="28"/>
          <w:szCs w:val="28"/>
          <w:rtl/>
        </w:rPr>
        <w:t xml:space="preserve"> </w:t>
      </w:r>
      <w:r w:rsidRPr="00F31E3E">
        <w:rPr>
          <w:rFonts w:ascii="Miriam" w:hAnsi="Miriam" w:cs="Miriam"/>
          <w:rtl/>
        </w:rPr>
        <w:t>שחיטה נגד מדינת ישראל</w:t>
      </w:r>
      <w:r w:rsidRPr="0082497B">
        <w:rPr>
          <w:rFonts w:ascii="David" w:hAnsi="David"/>
          <w:rtl/>
        </w:rPr>
        <w:t xml:space="preserve"> (3</w:t>
      </w:r>
      <w:r w:rsidRPr="0082497B">
        <w:rPr>
          <w:rFonts w:ascii="David" w:hAnsi="David" w:hint="cs"/>
          <w:rtl/>
        </w:rPr>
        <w:t>/</w:t>
      </w:r>
      <w:r w:rsidRPr="0082497B">
        <w:rPr>
          <w:rFonts w:ascii="David" w:hAnsi="David"/>
          <w:rtl/>
        </w:rPr>
        <w:t>9</w:t>
      </w:r>
      <w:r w:rsidRPr="0082497B">
        <w:rPr>
          <w:rFonts w:ascii="David" w:hAnsi="David" w:hint="cs"/>
          <w:rtl/>
        </w:rPr>
        <w:t>/</w:t>
      </w:r>
      <w:r w:rsidRPr="0082497B">
        <w:rPr>
          <w:rFonts w:ascii="David" w:hAnsi="David"/>
          <w:rtl/>
        </w:rPr>
        <w:t>15)</w:t>
      </w:r>
      <w:r>
        <w:rPr>
          <w:rFonts w:ascii="David" w:hAnsi="David" w:hint="cs"/>
          <w:sz w:val="28"/>
          <w:szCs w:val="28"/>
          <w:rtl/>
        </w:rPr>
        <w:t xml:space="preserve"> </w:t>
      </w:r>
      <w:r w:rsidRPr="00F31E3E">
        <w:rPr>
          <w:rFonts w:ascii="David" w:hAnsi="David"/>
          <w:rtl/>
        </w:rPr>
        <w:t>נדון ענ</w:t>
      </w:r>
      <w:r>
        <w:rPr>
          <w:rFonts w:ascii="David" w:hAnsi="David" w:hint="cs"/>
          <w:rtl/>
        </w:rPr>
        <w:t>י</w:t>
      </w:r>
      <w:r w:rsidRPr="00F31E3E">
        <w:rPr>
          <w:rFonts w:ascii="David" w:hAnsi="David"/>
          <w:rtl/>
        </w:rPr>
        <w:t>ינו של נאשם שהורשע בנשיאה של אקדח לא תקין עם מחסנית ריקה</w:t>
      </w:r>
      <w:r>
        <w:rPr>
          <w:rFonts w:ascii="David" w:hAnsi="David" w:hint="cs"/>
          <w:rtl/>
        </w:rPr>
        <w:t>.</w:t>
      </w:r>
      <w:r w:rsidRPr="00F31E3E">
        <w:rPr>
          <w:rFonts w:ascii="David" w:hAnsi="David"/>
          <w:rtl/>
        </w:rPr>
        <w:t xml:space="preserve"> בית המשפט המחוזי הטיל עליו 20 חודשי מאסר בפועל</w:t>
      </w:r>
      <w:r>
        <w:rPr>
          <w:rFonts w:ascii="David" w:hAnsi="David" w:hint="cs"/>
          <w:rtl/>
        </w:rPr>
        <w:t xml:space="preserve"> לאחר שנקבע </w:t>
      </w:r>
      <w:r w:rsidRPr="00F31E3E">
        <w:rPr>
          <w:rFonts w:ascii="David" w:hAnsi="David"/>
          <w:rtl/>
        </w:rPr>
        <w:t>מתחם שבין 12 ל-36 חודשי מאסר בפועל</w:t>
      </w:r>
      <w:r>
        <w:rPr>
          <w:rFonts w:ascii="David" w:hAnsi="David" w:hint="cs"/>
          <w:rtl/>
        </w:rPr>
        <w:t>.</w:t>
      </w:r>
      <w:r w:rsidRPr="00F31E3E">
        <w:rPr>
          <w:rFonts w:ascii="David" w:hAnsi="David"/>
          <w:rtl/>
        </w:rPr>
        <w:t xml:space="preserve"> בית המשפט העליון הפחית את העונש  ל-16 חודשי מאסר בפועל.</w:t>
      </w:r>
    </w:p>
    <w:p w14:paraId="321FE283" w14:textId="77777777" w:rsidR="00A45AC1" w:rsidRPr="00F31E3E" w:rsidRDefault="00A45AC1" w:rsidP="00A45AC1">
      <w:pPr>
        <w:pStyle w:val="aa"/>
        <w:spacing w:line="360" w:lineRule="auto"/>
        <w:ind w:left="1494"/>
        <w:jc w:val="both"/>
        <w:rPr>
          <w:rFonts w:ascii="David" w:hAnsi="David"/>
          <w:rtl/>
        </w:rPr>
      </w:pPr>
    </w:p>
    <w:p w14:paraId="0C41803B" w14:textId="77777777" w:rsidR="00A45AC1" w:rsidRDefault="00A45AC1" w:rsidP="00A45AC1">
      <w:pPr>
        <w:pStyle w:val="a"/>
        <w:numPr>
          <w:ilvl w:val="0"/>
          <w:numId w:val="0"/>
        </w:numPr>
        <w:jc w:val="both"/>
        <w:rPr>
          <w:rtl/>
        </w:rPr>
      </w:pPr>
      <w:r>
        <w:rPr>
          <w:rFonts w:hint="cs"/>
          <w:rtl/>
        </w:rPr>
        <w:t>15.</w:t>
      </w:r>
      <w:r>
        <w:rPr>
          <w:rFonts w:hint="cs"/>
          <w:rtl/>
        </w:rPr>
        <w:tab/>
      </w:r>
      <w:r>
        <w:rPr>
          <w:rtl/>
        </w:rPr>
        <w:t>לאחר שבחנתי את ה</w:t>
      </w:r>
      <w:r>
        <w:rPr>
          <w:rFonts w:hint="cs"/>
          <w:rtl/>
        </w:rPr>
        <w:t xml:space="preserve">ערך החברתי שנפגע </w:t>
      </w:r>
      <w:r>
        <w:rPr>
          <w:rtl/>
        </w:rPr>
        <w:t>כתוצאה מביצוע העביר</w:t>
      </w:r>
      <w:r>
        <w:rPr>
          <w:rFonts w:hint="cs"/>
          <w:rtl/>
        </w:rPr>
        <w:t>ה</w:t>
      </w:r>
      <w:r>
        <w:rPr>
          <w:rtl/>
        </w:rPr>
        <w:t>, לצד נסיבות ביצוע</w:t>
      </w:r>
      <w:r>
        <w:rPr>
          <w:rFonts w:hint="cs"/>
          <w:rtl/>
        </w:rPr>
        <w:t>ה</w:t>
      </w:r>
      <w:r>
        <w:rPr>
          <w:rtl/>
        </w:rPr>
        <w:t xml:space="preserve">,  וכן </w:t>
      </w:r>
      <w:r>
        <w:rPr>
          <w:rFonts w:hint="cs"/>
          <w:rtl/>
        </w:rPr>
        <w:t xml:space="preserve">את </w:t>
      </w:r>
      <w:r>
        <w:rPr>
          <w:rtl/>
        </w:rPr>
        <w:t xml:space="preserve">מדיניות הענישה הנהוגה, לרבות הפסיקה אלה הפנה, כאמור, כל אחד מהצדדים, הגעתי לכלל מסקנה כי מתחם העונש ההולם בתיק זה נע בין עונש של </w:t>
      </w:r>
      <w:r>
        <w:rPr>
          <w:rFonts w:hint="cs"/>
          <w:rtl/>
        </w:rPr>
        <w:t>14</w:t>
      </w:r>
      <w:r>
        <w:rPr>
          <w:rtl/>
        </w:rPr>
        <w:t xml:space="preserve"> חודשי מאסר בפועל לבין עונש של </w:t>
      </w:r>
      <w:r>
        <w:rPr>
          <w:rFonts w:hint="cs"/>
          <w:rtl/>
        </w:rPr>
        <w:t>36</w:t>
      </w:r>
      <w:r>
        <w:rPr>
          <w:rtl/>
        </w:rPr>
        <w:t xml:space="preserve"> חודשי מאסר בפועל, וזאת לצד רכיב</w:t>
      </w:r>
      <w:r>
        <w:rPr>
          <w:rFonts w:hint="cs"/>
          <w:rtl/>
        </w:rPr>
        <w:t>י</w:t>
      </w:r>
      <w:r>
        <w:rPr>
          <w:rtl/>
        </w:rPr>
        <w:t xml:space="preserve"> ענישה של מאסר מותנה</w:t>
      </w:r>
      <w:r>
        <w:rPr>
          <w:rFonts w:hint="cs"/>
          <w:rtl/>
        </w:rPr>
        <w:t xml:space="preserve"> וקנס כספי.</w:t>
      </w:r>
    </w:p>
    <w:p w14:paraId="47E1019E" w14:textId="77777777" w:rsidR="00A45AC1" w:rsidRDefault="00A45AC1" w:rsidP="00A45AC1">
      <w:pPr>
        <w:pStyle w:val="a"/>
        <w:numPr>
          <w:ilvl w:val="0"/>
          <w:numId w:val="0"/>
        </w:numPr>
        <w:ind w:left="720" w:hanging="720"/>
        <w:jc w:val="both"/>
        <w:rPr>
          <w:rtl/>
        </w:rPr>
      </w:pPr>
    </w:p>
    <w:p w14:paraId="1E07EE5B" w14:textId="77777777" w:rsidR="00A45AC1" w:rsidRDefault="00A45AC1" w:rsidP="00A45AC1">
      <w:pPr>
        <w:pStyle w:val="a"/>
        <w:numPr>
          <w:ilvl w:val="0"/>
          <w:numId w:val="0"/>
        </w:numPr>
        <w:jc w:val="both"/>
        <w:rPr>
          <w:rtl/>
        </w:rPr>
      </w:pPr>
      <w:r>
        <w:rPr>
          <w:rFonts w:hint="cs"/>
          <w:rtl/>
        </w:rPr>
        <w:t>16.</w:t>
      </w:r>
      <w:r>
        <w:rPr>
          <w:rFonts w:hint="cs"/>
          <w:rtl/>
        </w:rPr>
        <w:tab/>
      </w:r>
      <w:r>
        <w:rPr>
          <w:rtl/>
        </w:rPr>
        <w:t>במסגרת הנסיבות שאינן קשורות בביצוע העביר</w:t>
      </w:r>
      <w:r>
        <w:rPr>
          <w:rFonts w:hint="cs"/>
          <w:rtl/>
        </w:rPr>
        <w:t>ה</w:t>
      </w:r>
      <w:r>
        <w:rPr>
          <w:rtl/>
        </w:rPr>
        <w:t>, אציין את הודאת</w:t>
      </w:r>
      <w:r>
        <w:rPr>
          <w:rFonts w:hint="cs"/>
          <w:rtl/>
        </w:rPr>
        <w:t>ם</w:t>
      </w:r>
      <w:r>
        <w:rPr>
          <w:rtl/>
        </w:rPr>
        <w:t xml:space="preserve"> של </w:t>
      </w:r>
      <w:r>
        <w:rPr>
          <w:rFonts w:hint="cs"/>
          <w:rtl/>
        </w:rPr>
        <w:t xml:space="preserve">שני </w:t>
      </w:r>
      <w:r>
        <w:rPr>
          <w:rtl/>
        </w:rPr>
        <w:t>הנאש</w:t>
      </w:r>
      <w:r>
        <w:rPr>
          <w:rFonts w:hint="cs"/>
          <w:rtl/>
        </w:rPr>
        <w:t>מי</w:t>
      </w:r>
      <w:r>
        <w:rPr>
          <w:rtl/>
        </w:rPr>
        <w:t>ם בהזדמנות הראשונה בעובדות כתב האישום המתוקן, אשר חסכה מזמנו היקר של בית המשפט והעדת מספר רב של עדי תביעה</w:t>
      </w:r>
      <w:r>
        <w:rPr>
          <w:rFonts w:hint="cs"/>
          <w:rtl/>
        </w:rPr>
        <w:t>, כנטען ע"י הסנגורים ובצדק. עוד אציין לקולה את עברם הנקי ללא רבב של הנאשמים ואת נסיבותיהם האישיות כנטען ע"י באי כוחם. לטובתם אזקוף גם את היותם  נתונים במשך תקופה ארוכה במעצר עם תום ההליכים, בתנאים קשים במיוחד נוכח מגפת הקורונה השוררת במדינתנו בתקופה זו. לכל אלו אוסיף את היות שני הנאשמים בחורים צעירים- נאשם 1 הוא בן 27 ונאשם 2 הוא בן 24 וכן תודגש חרטתם על ביצוע המעשים, כפי שעולה מדבריהם הנ"ל בדיון בפניי.</w:t>
      </w:r>
    </w:p>
    <w:p w14:paraId="314FD860" w14:textId="77777777" w:rsidR="00A45AC1" w:rsidRDefault="00A45AC1" w:rsidP="00A45AC1">
      <w:pPr>
        <w:pStyle w:val="a"/>
        <w:numPr>
          <w:ilvl w:val="0"/>
          <w:numId w:val="0"/>
        </w:numPr>
        <w:ind w:left="720" w:hanging="720"/>
        <w:jc w:val="both"/>
        <w:rPr>
          <w:rtl/>
        </w:rPr>
      </w:pPr>
    </w:p>
    <w:p w14:paraId="5F2CA102" w14:textId="77777777" w:rsidR="00A45AC1" w:rsidRDefault="00A45AC1" w:rsidP="00A45AC1">
      <w:pPr>
        <w:pStyle w:val="a"/>
        <w:numPr>
          <w:ilvl w:val="0"/>
          <w:numId w:val="0"/>
        </w:numPr>
        <w:jc w:val="both"/>
        <w:rPr>
          <w:rtl/>
        </w:rPr>
      </w:pPr>
      <w:r>
        <w:rPr>
          <w:rFonts w:hint="cs"/>
          <w:rtl/>
        </w:rPr>
        <w:t>17.</w:t>
      </w:r>
      <w:r>
        <w:rPr>
          <w:rFonts w:hint="cs"/>
          <w:rtl/>
        </w:rPr>
        <w:tab/>
        <w:t>לאחר שקלול מכלול הטעמים לקולה הנ"ל, אני סבורה כי מן הראוי להשית על כל אחד מהנאשמים עונש של מאסר בפועל ברף התחתון של מתחם העונש ההולם הנ"ל, וזאת לצד רכיבי ענישה של מאסר מותנה וקנס כספי. לאחר ששקלתי את בקשת המאשימה לחילוט הרכב החלטתי שלא להיעתר לבקשה, וזאת נוכח הטעמים העולים לעניין זה מדבריו הנ"ל של ב"כ נאשם 1. בנקודה זו יוטעם כי הנאשמים אמנם נשאו והובילו את הנשק ברכב. אולם, בהתחשב בכך של נעשה ברכב שימוש בנשק וכן לא בוצעה בו עבירה נלווית נוספת, החלטתי, בנסיבותיו של תיק זה,  שלא לחלט את הרכב לטובת אוצר המדינה.</w:t>
      </w:r>
      <w:r>
        <w:rPr>
          <w:rFonts w:hint="cs"/>
        </w:rPr>
        <w:t xml:space="preserve"> </w:t>
      </w:r>
      <w:r>
        <w:rPr>
          <w:rFonts w:hint="cs"/>
          <w:rtl/>
        </w:rPr>
        <w:t xml:space="preserve">לפיכך, מתייתר הצורך לקיים דיון נפרד בשאלת הבעלות ברכב הרשום במשרד הרישוי על שמו של אחיו של נאשם 1. </w:t>
      </w:r>
    </w:p>
    <w:p w14:paraId="4E29A42A" w14:textId="77777777" w:rsidR="00A45AC1" w:rsidRPr="00A41735" w:rsidRDefault="00A45AC1" w:rsidP="00A45AC1">
      <w:pPr>
        <w:pStyle w:val="a"/>
        <w:numPr>
          <w:ilvl w:val="0"/>
          <w:numId w:val="0"/>
        </w:numPr>
        <w:ind w:left="720" w:hanging="720"/>
        <w:jc w:val="both"/>
      </w:pPr>
    </w:p>
    <w:p w14:paraId="2E8BC250" w14:textId="77777777" w:rsidR="00A45AC1" w:rsidRDefault="00A45AC1" w:rsidP="00A45AC1">
      <w:pPr>
        <w:jc w:val="both"/>
        <w:rPr>
          <w:rtl/>
        </w:rPr>
      </w:pPr>
      <w:r>
        <w:rPr>
          <w:rFonts w:hint="cs"/>
          <w:rtl/>
        </w:rPr>
        <w:t>18.</w:t>
      </w:r>
      <w:r>
        <w:rPr>
          <w:rFonts w:hint="cs"/>
          <w:rtl/>
        </w:rPr>
        <w:tab/>
        <w:t>בסיכומו של דבר, אני דנה כל אחד מהנאשמים, כדלקמן:</w:t>
      </w:r>
    </w:p>
    <w:p w14:paraId="42AA55D9" w14:textId="77777777" w:rsidR="00A45AC1" w:rsidRDefault="00A45AC1" w:rsidP="00A45AC1">
      <w:pPr>
        <w:jc w:val="both"/>
        <w:rPr>
          <w:rtl/>
        </w:rPr>
      </w:pPr>
    </w:p>
    <w:p w14:paraId="1BAC370F" w14:textId="77777777" w:rsidR="00A45AC1" w:rsidRDefault="00A45AC1" w:rsidP="00A45AC1">
      <w:pPr>
        <w:jc w:val="both"/>
        <w:rPr>
          <w:rtl/>
        </w:rPr>
      </w:pPr>
    </w:p>
    <w:p w14:paraId="38C8EA08" w14:textId="77777777" w:rsidR="00A45AC1" w:rsidRDefault="00A45AC1" w:rsidP="00A45AC1">
      <w:pPr>
        <w:pStyle w:val="aa"/>
        <w:numPr>
          <w:ilvl w:val="0"/>
          <w:numId w:val="4"/>
        </w:numPr>
        <w:jc w:val="both"/>
      </w:pPr>
      <w:r>
        <w:rPr>
          <w:rFonts w:hint="cs"/>
          <w:rtl/>
        </w:rPr>
        <w:t>למאסר בפועל לתקופה של 14 חודשים, בניכוי ימי המעצר (מיום 6/4/20 עד כה).</w:t>
      </w:r>
    </w:p>
    <w:p w14:paraId="0EC6F57F" w14:textId="77777777" w:rsidR="00A45AC1" w:rsidRDefault="00A45AC1" w:rsidP="00A45AC1">
      <w:pPr>
        <w:jc w:val="both"/>
        <w:rPr>
          <w:rtl/>
        </w:rPr>
      </w:pPr>
    </w:p>
    <w:p w14:paraId="01C4D2A5" w14:textId="77777777" w:rsidR="00A45AC1" w:rsidRDefault="00A45AC1" w:rsidP="00A45AC1">
      <w:pPr>
        <w:pStyle w:val="aa"/>
        <w:numPr>
          <w:ilvl w:val="0"/>
          <w:numId w:val="5"/>
        </w:numPr>
        <w:spacing w:line="360" w:lineRule="auto"/>
        <w:jc w:val="both"/>
        <w:rPr>
          <w:rFonts w:ascii="David" w:hAnsi="David"/>
        </w:rPr>
      </w:pPr>
      <w:r>
        <w:rPr>
          <w:rFonts w:ascii="David" w:hAnsi="David"/>
          <w:rtl/>
        </w:rPr>
        <w:t xml:space="preserve">למאסר על תנאי לתקופה של 12 חודשים למשך 3 שנים והתנאי הוא לבל יבצע  עבירה מסוג פשע לפי </w:t>
      </w:r>
      <w:hyperlink r:id="rId33" w:history="1">
        <w:r w:rsidR="00F94D12" w:rsidRPr="00F94D12">
          <w:rPr>
            <w:rStyle w:val="Hyperlink"/>
            <w:rFonts w:ascii="David" w:hAnsi="David"/>
            <w:rtl/>
          </w:rPr>
          <w:t>סעיף 144</w:t>
        </w:r>
      </w:hyperlink>
      <w:r>
        <w:rPr>
          <w:rFonts w:ascii="David" w:hAnsi="David"/>
          <w:rtl/>
        </w:rPr>
        <w:t xml:space="preserve"> ל</w:t>
      </w:r>
      <w:hyperlink r:id="rId34" w:history="1">
        <w:r w:rsidR="001C43EE" w:rsidRPr="001C43EE">
          <w:rPr>
            <w:rFonts w:ascii="David" w:hAnsi="David"/>
            <w:color w:val="0000FF"/>
            <w:u w:val="single"/>
            <w:rtl/>
          </w:rPr>
          <w:t>חוק העונשין</w:t>
        </w:r>
      </w:hyperlink>
      <w:r>
        <w:rPr>
          <w:rFonts w:ascii="David" w:hAnsi="David"/>
          <w:rtl/>
        </w:rPr>
        <w:t xml:space="preserve">, התשל"ז-1977. </w:t>
      </w:r>
    </w:p>
    <w:p w14:paraId="76D1BEAF" w14:textId="77777777" w:rsidR="00A45AC1" w:rsidRDefault="00A45AC1" w:rsidP="00A45AC1">
      <w:pPr>
        <w:pStyle w:val="aa"/>
        <w:jc w:val="both"/>
        <w:rPr>
          <w:rFonts w:ascii="David" w:hAnsi="David"/>
        </w:rPr>
      </w:pPr>
    </w:p>
    <w:p w14:paraId="678D2900" w14:textId="77777777" w:rsidR="00A45AC1" w:rsidRDefault="00A45AC1" w:rsidP="00A45AC1">
      <w:pPr>
        <w:pStyle w:val="aa"/>
        <w:numPr>
          <w:ilvl w:val="0"/>
          <w:numId w:val="5"/>
        </w:numPr>
        <w:spacing w:line="360" w:lineRule="auto"/>
        <w:jc w:val="both"/>
        <w:rPr>
          <w:rFonts w:ascii="David" w:hAnsi="David"/>
        </w:rPr>
      </w:pPr>
      <w:r>
        <w:rPr>
          <w:rFonts w:ascii="David" w:hAnsi="David"/>
          <w:rtl/>
        </w:rPr>
        <w:t xml:space="preserve">למאסר על תנאי לתקופה של </w:t>
      </w:r>
      <w:r>
        <w:rPr>
          <w:rFonts w:ascii="David" w:hAnsi="David" w:hint="cs"/>
          <w:rtl/>
        </w:rPr>
        <w:t>6</w:t>
      </w:r>
      <w:r>
        <w:rPr>
          <w:rFonts w:ascii="David" w:hAnsi="David"/>
          <w:rtl/>
        </w:rPr>
        <w:t xml:space="preserve"> חודשים למשך 3 שנים והתנאי הוא לבל יבצע עבירה מסוג </w:t>
      </w:r>
      <w:r>
        <w:rPr>
          <w:rFonts w:ascii="David" w:hAnsi="David" w:hint="cs"/>
          <w:rtl/>
        </w:rPr>
        <w:t xml:space="preserve">עוון </w:t>
      </w:r>
      <w:r>
        <w:rPr>
          <w:rFonts w:ascii="David" w:hAnsi="David"/>
          <w:rtl/>
        </w:rPr>
        <w:t xml:space="preserve">לפי </w:t>
      </w:r>
      <w:hyperlink r:id="rId35" w:history="1">
        <w:r w:rsidR="00F94D12" w:rsidRPr="00F94D12">
          <w:rPr>
            <w:rStyle w:val="Hyperlink"/>
            <w:rFonts w:ascii="David" w:hAnsi="David"/>
            <w:rtl/>
          </w:rPr>
          <w:t>סעיף 144</w:t>
        </w:r>
      </w:hyperlink>
      <w:r>
        <w:rPr>
          <w:rFonts w:ascii="David" w:hAnsi="David"/>
          <w:rtl/>
        </w:rPr>
        <w:t xml:space="preserve"> ל</w:t>
      </w:r>
      <w:hyperlink r:id="rId36" w:history="1">
        <w:r w:rsidR="001C43EE" w:rsidRPr="001C43EE">
          <w:rPr>
            <w:rFonts w:ascii="David" w:hAnsi="David"/>
            <w:color w:val="0000FF"/>
            <w:u w:val="single"/>
            <w:rtl/>
          </w:rPr>
          <w:t>חוק העונשין</w:t>
        </w:r>
      </w:hyperlink>
      <w:r>
        <w:rPr>
          <w:rFonts w:ascii="David" w:hAnsi="David"/>
          <w:rtl/>
        </w:rPr>
        <w:t xml:space="preserve">, התשל"ז-1977. </w:t>
      </w:r>
    </w:p>
    <w:p w14:paraId="2D6AC549" w14:textId="77777777" w:rsidR="00A45AC1" w:rsidRDefault="00A45AC1" w:rsidP="00A45AC1">
      <w:pPr>
        <w:pStyle w:val="aa"/>
        <w:spacing w:line="360" w:lineRule="auto"/>
        <w:jc w:val="both"/>
        <w:rPr>
          <w:rFonts w:ascii="David" w:hAnsi="David"/>
        </w:rPr>
      </w:pPr>
    </w:p>
    <w:p w14:paraId="741F44A7" w14:textId="77777777" w:rsidR="00A45AC1" w:rsidRDefault="00A45AC1" w:rsidP="00A45AC1">
      <w:pPr>
        <w:pStyle w:val="aa"/>
        <w:numPr>
          <w:ilvl w:val="0"/>
          <w:numId w:val="4"/>
        </w:numPr>
        <w:spacing w:line="360" w:lineRule="auto"/>
        <w:jc w:val="both"/>
      </w:pPr>
      <w:r>
        <w:rPr>
          <w:rFonts w:hint="cs"/>
          <w:rtl/>
        </w:rPr>
        <w:t>לתשלום קנס בסך 5,000 ₪ או 25 ימי מאסר תמורתו. הקנס ישולם ב-20 תשלומים חודשיים, שווים ורצופים בסך 250 ₪ כל אחד החל מיום 1/1/21, וזאת בהתחשב בהיות הנאשמים נתונים מאחורי סורג ובריח במשך תקופה ארוכה.</w:t>
      </w:r>
    </w:p>
    <w:p w14:paraId="6E99B147" w14:textId="77777777" w:rsidR="00A45AC1" w:rsidRDefault="00A45AC1" w:rsidP="00A45AC1">
      <w:pPr>
        <w:pStyle w:val="aa"/>
        <w:spacing w:line="360" w:lineRule="auto"/>
        <w:jc w:val="both"/>
        <w:rPr>
          <w:rtl/>
        </w:rPr>
      </w:pPr>
    </w:p>
    <w:p w14:paraId="1932DF51" w14:textId="77777777" w:rsidR="00A45AC1" w:rsidRDefault="00A45AC1" w:rsidP="00A45AC1">
      <w:pPr>
        <w:pStyle w:val="aa"/>
        <w:spacing w:line="360" w:lineRule="auto"/>
        <w:jc w:val="both"/>
        <w:rPr>
          <w:rtl/>
        </w:rPr>
      </w:pPr>
      <w:r>
        <w:rPr>
          <w:rFonts w:hint="cs"/>
          <w:rtl/>
        </w:rPr>
        <w:t xml:space="preserve">אני מורה, לבקשת המאשימה, על חילוט לטובת המדינה של האקדח והמחסנית הנזכרים בכתב האישום. </w:t>
      </w:r>
    </w:p>
    <w:p w14:paraId="4FADD6E7" w14:textId="77777777" w:rsidR="00A45AC1" w:rsidRDefault="00A45AC1" w:rsidP="00A45AC1">
      <w:pPr>
        <w:pStyle w:val="aa"/>
        <w:spacing w:line="360" w:lineRule="auto"/>
        <w:jc w:val="both"/>
        <w:rPr>
          <w:rtl/>
        </w:rPr>
      </w:pPr>
    </w:p>
    <w:p w14:paraId="5B1A49C3" w14:textId="77777777" w:rsidR="00A45AC1" w:rsidRDefault="00A45AC1" w:rsidP="00A45AC1">
      <w:pPr>
        <w:pStyle w:val="aa"/>
        <w:spacing w:line="360" w:lineRule="auto"/>
        <w:jc w:val="both"/>
        <w:rPr>
          <w:rtl/>
        </w:rPr>
      </w:pPr>
    </w:p>
    <w:p w14:paraId="1A8CA29F" w14:textId="77777777" w:rsidR="00A45AC1" w:rsidRDefault="00A45AC1" w:rsidP="00A45AC1">
      <w:pPr>
        <w:pStyle w:val="aa"/>
        <w:spacing w:line="360" w:lineRule="auto"/>
        <w:jc w:val="both"/>
        <w:rPr>
          <w:rtl/>
        </w:rPr>
      </w:pPr>
    </w:p>
    <w:p w14:paraId="20476D01" w14:textId="77777777" w:rsidR="00A45AC1" w:rsidRDefault="00A45AC1" w:rsidP="00A45AC1">
      <w:pPr>
        <w:pStyle w:val="aa"/>
        <w:spacing w:line="360" w:lineRule="auto"/>
        <w:jc w:val="both"/>
        <w:rPr>
          <w:rtl/>
        </w:rPr>
      </w:pPr>
    </w:p>
    <w:p w14:paraId="6F2D7E86" w14:textId="77777777" w:rsidR="00A45AC1" w:rsidRDefault="00A45AC1" w:rsidP="00A45AC1">
      <w:pPr>
        <w:pStyle w:val="aa"/>
        <w:spacing w:line="360" w:lineRule="auto"/>
        <w:jc w:val="both"/>
        <w:rPr>
          <w:rtl/>
        </w:rPr>
      </w:pPr>
    </w:p>
    <w:p w14:paraId="3F5BDF9A" w14:textId="77777777" w:rsidR="00A45AC1" w:rsidRPr="0056034A" w:rsidRDefault="00A45AC1" w:rsidP="00A45AC1">
      <w:pPr>
        <w:pStyle w:val="aa"/>
        <w:ind w:left="141"/>
        <w:rPr>
          <w:rFonts w:ascii="David" w:hAnsi="David"/>
          <w:b/>
          <w:bCs/>
          <w:u w:val="double"/>
          <w:rtl/>
        </w:rPr>
      </w:pPr>
      <w:r w:rsidRPr="0056034A">
        <w:rPr>
          <w:rFonts w:ascii="David" w:hAnsi="David"/>
          <w:b/>
          <w:bCs/>
          <w:u w:val="double"/>
          <w:rtl/>
        </w:rPr>
        <w:t xml:space="preserve">זכות ערעור לבית המשפט העליון תוך 45 יום. </w:t>
      </w:r>
    </w:p>
    <w:p w14:paraId="429DF9C7" w14:textId="77777777" w:rsidR="00A45AC1" w:rsidRDefault="00A45AC1" w:rsidP="00A45AC1">
      <w:pPr>
        <w:pStyle w:val="aa"/>
        <w:spacing w:line="360" w:lineRule="auto"/>
        <w:jc w:val="both"/>
      </w:pPr>
    </w:p>
    <w:p w14:paraId="4184112C" w14:textId="77777777" w:rsidR="00A45AC1" w:rsidRPr="00B05847" w:rsidRDefault="00A45AC1" w:rsidP="00A45AC1">
      <w:pPr>
        <w:jc w:val="both"/>
        <w:rPr>
          <w:rtl/>
        </w:rPr>
      </w:pPr>
    </w:p>
    <w:p w14:paraId="0293A293" w14:textId="77777777" w:rsidR="00A45AC1" w:rsidRDefault="001C43EE" w:rsidP="00A45AC1">
      <w:pPr>
        <w:spacing w:line="360" w:lineRule="auto"/>
        <w:jc w:val="both"/>
        <w:rPr>
          <w:rFonts w:ascii="Arial" w:hAnsi="Arial"/>
        </w:rPr>
      </w:pPr>
      <w:bookmarkStart w:id="7" w:name="Nitan"/>
      <w:r w:rsidRPr="001C43EE">
        <w:rPr>
          <w:rFonts w:ascii="Arial" w:hAnsi="Arial"/>
          <w:color w:val="FFFFFF"/>
          <w:sz w:val="2"/>
          <w:szCs w:val="2"/>
          <w:rtl/>
        </w:rPr>
        <w:t>5129371</w:t>
      </w:r>
      <w:r>
        <w:rPr>
          <w:rFonts w:ascii="Arial" w:hAnsi="Arial"/>
          <w:rtl/>
        </w:rPr>
        <w:t xml:space="preserve">ניתן היום,  י"ד חשוון תשפ"א, 01 נובמבר 2020, במעמד ב"כ המאשימה, עו"ד גב' אילנה  פיקוס </w:t>
      </w:r>
      <w:bookmarkEnd w:id="7"/>
      <w:r>
        <w:rPr>
          <w:rFonts w:ascii="Arial" w:hAnsi="Arial"/>
          <w:rtl/>
        </w:rPr>
        <w:t xml:space="preserve">רויטבלט, ב"כ נאשם 1, עו"ד בויראת, ב"כ נאשם 2, עו"ד בויראת (לצורך ישיבת היום במקום עו"ד </w:t>
      </w:r>
      <w:r w:rsidR="00A45AC1">
        <w:rPr>
          <w:rFonts w:ascii="Arial" w:hAnsi="Arial" w:hint="cs"/>
          <w:rtl/>
        </w:rPr>
        <w:t xml:space="preserve">מסארוה) והנאשמים שהובאו ע"י שב"ס באמצעות </w:t>
      </w:r>
      <w:r w:rsidR="00A45AC1">
        <w:rPr>
          <w:rFonts w:ascii="Arial" w:hAnsi="Arial" w:hint="cs"/>
        </w:rPr>
        <w:t>V</w:t>
      </w:r>
      <w:r w:rsidR="00A45AC1">
        <w:rPr>
          <w:rFonts w:ascii="Arial" w:hAnsi="Arial"/>
        </w:rPr>
        <w:t>C</w:t>
      </w:r>
      <w:r w:rsidR="00A45AC1">
        <w:rPr>
          <w:rFonts w:ascii="Arial" w:hAnsi="Arial" w:hint="cs"/>
          <w:rtl/>
        </w:rPr>
        <w:t>.</w:t>
      </w:r>
    </w:p>
    <w:p w14:paraId="74D08FDB" w14:textId="77777777" w:rsidR="00A45AC1" w:rsidRPr="001C43EE" w:rsidRDefault="001C43EE" w:rsidP="00A45AC1">
      <w:pPr>
        <w:jc w:val="both"/>
        <w:rPr>
          <w:rFonts w:cs="FrankRuehl"/>
          <w:color w:val="FFFFFF"/>
          <w:sz w:val="2"/>
          <w:szCs w:val="2"/>
          <w:rtl/>
        </w:rPr>
      </w:pPr>
      <w:r w:rsidRPr="001C43EE">
        <w:rPr>
          <w:rFonts w:cs="FrankRuehl"/>
          <w:color w:val="FFFFFF"/>
          <w:sz w:val="2"/>
          <w:szCs w:val="2"/>
          <w:rtl/>
        </w:rPr>
        <w:t>54678313</w:t>
      </w:r>
    </w:p>
    <w:p w14:paraId="002BB615" w14:textId="77777777" w:rsidR="00A45AC1" w:rsidRDefault="00A45AC1" w:rsidP="001C43EE">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7F4EEDD" w14:textId="77777777" w:rsidR="00A45AC1" w:rsidRDefault="00A45AC1" w:rsidP="00A45AC1">
      <w:pPr>
        <w:jc w:val="both"/>
        <w:rPr>
          <w:rFonts w:ascii="Arial" w:hAnsi="Arial" w:cs="FrankRuehl"/>
          <w:sz w:val="28"/>
          <w:szCs w:val="28"/>
          <w:rtl/>
        </w:rPr>
      </w:pPr>
    </w:p>
    <w:p w14:paraId="7A7C66B4" w14:textId="77777777" w:rsidR="00A45AC1" w:rsidRDefault="00A45AC1" w:rsidP="00A45AC1">
      <w:pPr>
        <w:jc w:val="both"/>
        <w:rPr>
          <w:rFonts w:cs="FrankRuehl"/>
          <w:sz w:val="28"/>
          <w:szCs w:val="28"/>
          <w:rtl/>
        </w:rPr>
      </w:pPr>
    </w:p>
    <w:p w14:paraId="117D0E7D" w14:textId="77777777" w:rsidR="00A45AC1" w:rsidRDefault="00A45AC1" w:rsidP="00A45AC1">
      <w:pPr>
        <w:pStyle w:val="a4"/>
        <w:jc w:val="both"/>
        <w:rPr>
          <w:rtl/>
        </w:rPr>
      </w:pPr>
    </w:p>
    <w:p w14:paraId="05A19812" w14:textId="77777777" w:rsidR="00862EB1" w:rsidRPr="001C43EE" w:rsidRDefault="00862EB1" w:rsidP="001C43EE">
      <w:pPr>
        <w:keepNext/>
        <w:rPr>
          <w:rFonts w:ascii="David" w:hAnsi="David"/>
          <w:color w:val="000000"/>
          <w:sz w:val="22"/>
          <w:szCs w:val="22"/>
          <w:rtl/>
        </w:rPr>
      </w:pPr>
    </w:p>
    <w:p w14:paraId="2353A908" w14:textId="77777777" w:rsidR="001C43EE" w:rsidRPr="001C43EE" w:rsidRDefault="001C43EE" w:rsidP="001C43EE">
      <w:pPr>
        <w:keepNext/>
        <w:rPr>
          <w:rFonts w:ascii="David" w:hAnsi="David"/>
          <w:color w:val="000000"/>
          <w:sz w:val="22"/>
          <w:szCs w:val="22"/>
          <w:rtl/>
        </w:rPr>
      </w:pPr>
      <w:r w:rsidRPr="001C43EE">
        <w:rPr>
          <w:rFonts w:ascii="David" w:hAnsi="David"/>
          <w:color w:val="000000"/>
          <w:sz w:val="22"/>
          <w:szCs w:val="22"/>
          <w:rtl/>
        </w:rPr>
        <w:t>רונית בש 54678313</w:t>
      </w:r>
    </w:p>
    <w:p w14:paraId="5B885E1D" w14:textId="77777777" w:rsidR="001C43EE" w:rsidRDefault="001C43EE" w:rsidP="001C43EE">
      <w:pPr>
        <w:rPr>
          <w:rFonts w:hint="cs"/>
        </w:rPr>
      </w:pPr>
      <w:r w:rsidRPr="001C43EE">
        <w:rPr>
          <w:color w:val="000000"/>
          <w:rtl/>
        </w:rPr>
        <w:t>נוסח מסמך זה כפוף לשינויי ניסוח ועריכה</w:t>
      </w:r>
      <w:r w:rsidR="00D71D81">
        <w:rPr>
          <w:rFonts w:hint="cs"/>
          <w:rtl/>
        </w:rPr>
        <w:t xml:space="preserve"> </w:t>
      </w:r>
    </w:p>
    <w:p w14:paraId="198F5FF2" w14:textId="77777777" w:rsidR="001C43EE" w:rsidRDefault="001C43EE" w:rsidP="001C43EE">
      <w:pPr>
        <w:rPr>
          <w:rtl/>
        </w:rPr>
      </w:pPr>
    </w:p>
    <w:p w14:paraId="2C607F7D" w14:textId="77777777" w:rsidR="001C43EE" w:rsidRDefault="001C43EE" w:rsidP="001C43EE">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D079736" w14:textId="77777777" w:rsidR="001C43EE" w:rsidRPr="001C43EE" w:rsidRDefault="001C43EE" w:rsidP="001C43EE">
      <w:pPr>
        <w:jc w:val="center"/>
        <w:rPr>
          <w:color w:val="0000FF"/>
          <w:u w:val="single"/>
        </w:rPr>
      </w:pPr>
    </w:p>
    <w:sectPr w:rsidR="001C43EE" w:rsidRPr="001C43EE" w:rsidSect="001C43EE">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90261" w14:textId="77777777" w:rsidR="00E9010F" w:rsidRDefault="00E9010F" w:rsidP="00C60980">
      <w:r>
        <w:separator/>
      </w:r>
    </w:p>
  </w:endnote>
  <w:endnote w:type="continuationSeparator" w:id="0">
    <w:p w14:paraId="7993C7D4" w14:textId="77777777" w:rsidR="00E9010F" w:rsidRDefault="00E9010F" w:rsidP="00C6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024A7" w14:textId="77777777" w:rsidR="001C43EE" w:rsidRDefault="001C43EE" w:rsidP="001C43E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5ADC9C" w14:textId="77777777" w:rsidR="00BF2701" w:rsidRPr="001C43EE" w:rsidRDefault="001C43EE" w:rsidP="001C43EE">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5061E" w14:textId="77777777" w:rsidR="001C43EE" w:rsidRDefault="001C43EE" w:rsidP="001C43E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7C5D">
      <w:rPr>
        <w:rFonts w:ascii="FrankRuehl" w:hAnsi="FrankRuehl" w:cs="FrankRuehl"/>
        <w:noProof/>
        <w:rtl/>
      </w:rPr>
      <w:t>1</w:t>
    </w:r>
    <w:r>
      <w:rPr>
        <w:rFonts w:ascii="FrankRuehl" w:hAnsi="FrankRuehl" w:cs="FrankRuehl"/>
        <w:rtl/>
      </w:rPr>
      <w:fldChar w:fldCharType="end"/>
    </w:r>
  </w:p>
  <w:p w14:paraId="61789DE3" w14:textId="77777777" w:rsidR="00BF2701" w:rsidRPr="001C43EE" w:rsidRDefault="001C43EE" w:rsidP="001C43EE">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AF5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F0D58" w14:textId="77777777" w:rsidR="00E9010F" w:rsidRDefault="00E9010F" w:rsidP="00C60980">
      <w:r>
        <w:separator/>
      </w:r>
    </w:p>
  </w:footnote>
  <w:footnote w:type="continuationSeparator" w:id="0">
    <w:p w14:paraId="1BB07939" w14:textId="77777777" w:rsidR="00E9010F" w:rsidRDefault="00E9010F" w:rsidP="00C60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E4974" w14:textId="77777777" w:rsidR="001C43EE" w:rsidRPr="001C43EE" w:rsidRDefault="001C43EE" w:rsidP="001C43EE">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24896-04-20</w:t>
    </w:r>
    <w:r>
      <w:rPr>
        <w:rFonts w:ascii="David" w:hAnsi="David"/>
        <w:color w:val="000000"/>
        <w:sz w:val="22"/>
        <w:szCs w:val="22"/>
        <w:rtl/>
      </w:rPr>
      <w:tab/>
      <w:t xml:space="preserve"> מדינת ישראל נ' מוחמד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59150" w14:textId="77777777" w:rsidR="001C43EE" w:rsidRPr="001C43EE" w:rsidRDefault="001C43EE" w:rsidP="001C43EE">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24896-04-20</w:t>
    </w:r>
    <w:r>
      <w:rPr>
        <w:rFonts w:ascii="David" w:hAnsi="David"/>
        <w:color w:val="000000"/>
        <w:sz w:val="22"/>
        <w:szCs w:val="22"/>
        <w:rtl/>
      </w:rPr>
      <w:tab/>
      <w:t xml:space="preserve"> מדינת ישראל נ' מוחמד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7963"/>
    <w:multiLevelType w:val="hybridMultilevel"/>
    <w:tmpl w:val="9AC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5832"/>
    <w:multiLevelType w:val="hybridMultilevel"/>
    <w:tmpl w:val="B9022024"/>
    <w:lvl w:ilvl="0" w:tplc="593EF7EA">
      <w:start w:val="7"/>
      <w:numFmt w:val="bullet"/>
      <w:lvlText w:val=""/>
      <w:lvlJc w:val="left"/>
      <w:pPr>
        <w:ind w:left="1494" w:hanging="360"/>
      </w:pPr>
      <w:rPr>
        <w:rFonts w:ascii="Symbol" w:eastAsia="Times New Roman" w:hAnsi="Symbol" w:cs="David" w:hint="default"/>
        <w:lang w:bidi="he-IL"/>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start w:val="1"/>
      <w:numFmt w:val="bullet"/>
      <w:lvlText w:val=""/>
      <w:lvlJc w:val="left"/>
      <w:pPr>
        <w:ind w:left="3654" w:hanging="360"/>
      </w:pPr>
      <w:rPr>
        <w:rFonts w:ascii="Symbol" w:hAnsi="Symbol" w:hint="default"/>
      </w:rPr>
    </w:lvl>
    <w:lvl w:ilvl="4" w:tplc="04090003">
      <w:start w:val="1"/>
      <w:numFmt w:val="bullet"/>
      <w:lvlText w:val="o"/>
      <w:lvlJc w:val="left"/>
      <w:pPr>
        <w:ind w:left="4374" w:hanging="360"/>
      </w:pPr>
      <w:rPr>
        <w:rFonts w:ascii="Courier New" w:hAnsi="Courier New" w:cs="Courier New" w:hint="default"/>
      </w:rPr>
    </w:lvl>
    <w:lvl w:ilvl="5" w:tplc="04090005">
      <w:start w:val="1"/>
      <w:numFmt w:val="bullet"/>
      <w:lvlText w:val=""/>
      <w:lvlJc w:val="left"/>
      <w:pPr>
        <w:ind w:left="5094" w:hanging="360"/>
      </w:pPr>
      <w:rPr>
        <w:rFonts w:ascii="Wingdings" w:hAnsi="Wingdings" w:hint="default"/>
      </w:rPr>
    </w:lvl>
    <w:lvl w:ilvl="6" w:tplc="04090001">
      <w:start w:val="1"/>
      <w:numFmt w:val="bullet"/>
      <w:lvlText w:val=""/>
      <w:lvlJc w:val="left"/>
      <w:pPr>
        <w:ind w:left="5814" w:hanging="360"/>
      </w:pPr>
      <w:rPr>
        <w:rFonts w:ascii="Symbol" w:hAnsi="Symbol" w:hint="default"/>
      </w:rPr>
    </w:lvl>
    <w:lvl w:ilvl="7" w:tplc="04090003">
      <w:start w:val="1"/>
      <w:numFmt w:val="bullet"/>
      <w:lvlText w:val="o"/>
      <w:lvlJc w:val="left"/>
      <w:pPr>
        <w:ind w:left="6534" w:hanging="360"/>
      </w:pPr>
      <w:rPr>
        <w:rFonts w:ascii="Courier New" w:hAnsi="Courier New" w:cs="Courier New" w:hint="default"/>
      </w:rPr>
    </w:lvl>
    <w:lvl w:ilvl="8" w:tplc="04090005">
      <w:start w:val="1"/>
      <w:numFmt w:val="bullet"/>
      <w:lvlText w:val=""/>
      <w:lvlJc w:val="left"/>
      <w:pPr>
        <w:ind w:left="7254" w:hanging="360"/>
      </w:pPr>
      <w:rPr>
        <w:rFonts w:ascii="Wingdings" w:hAnsi="Wingdings" w:hint="default"/>
      </w:rPr>
    </w:lvl>
  </w:abstractNum>
  <w:abstractNum w:abstractNumId="2" w15:restartNumberingAfterBreak="0">
    <w:nsid w:val="1C191292"/>
    <w:multiLevelType w:val="hybridMultilevel"/>
    <w:tmpl w:val="565A33F0"/>
    <w:lvl w:ilvl="0" w:tplc="04090001">
      <w:start w:val="1"/>
      <w:numFmt w:val="bullet"/>
      <w:lvlText w:val=""/>
      <w:lvlJc w:val="left"/>
      <w:pPr>
        <w:ind w:left="1377" w:hanging="360"/>
      </w:pPr>
      <w:rPr>
        <w:rFonts w:ascii="Symbol" w:hAnsi="Symbol" w:hint="default"/>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3" w15:restartNumberingAfterBreak="0">
    <w:nsid w:val="1C5E6DF5"/>
    <w:multiLevelType w:val="hybridMultilevel"/>
    <w:tmpl w:val="F1804CC6"/>
    <w:lvl w:ilvl="0" w:tplc="04090001">
      <w:start w:val="1"/>
      <w:numFmt w:val="bullet"/>
      <w:pStyle w:val="a"/>
      <w:lvlText w:val=""/>
      <w:lvlJc w:val="left"/>
      <w:pPr>
        <w:tabs>
          <w:tab w:val="num" w:pos="1570"/>
        </w:tabs>
        <w:ind w:left="1570" w:hanging="720"/>
      </w:pPr>
      <w:rPr>
        <w:rFonts w:ascii="Symbol" w:hAnsi="Symbol" w:hint="default"/>
      </w:rPr>
    </w:lvl>
    <w:lvl w:ilvl="1" w:tplc="04090001">
      <w:start w:val="1"/>
      <w:numFmt w:val="bullet"/>
      <w:lvlText w:val=""/>
      <w:lvlJc w:val="left"/>
      <w:pPr>
        <w:tabs>
          <w:tab w:val="num" w:pos="1068"/>
        </w:tabs>
        <w:ind w:left="1068" w:hanging="360"/>
      </w:pPr>
      <w:rPr>
        <w:rFonts w:ascii="Symbol" w:hAnsi="Symbol"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76765575"/>
    <w:multiLevelType w:val="hybridMultilevel"/>
    <w:tmpl w:val="AC8ACAF8"/>
    <w:lvl w:ilvl="0" w:tplc="D03E5B2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04114874">
    <w:abstractNumId w:val="3"/>
  </w:num>
  <w:num w:numId="2" w16cid:durableId="1160003724">
    <w:abstractNumId w:val="1"/>
  </w:num>
  <w:num w:numId="3" w16cid:durableId="217861848">
    <w:abstractNumId w:val="2"/>
  </w:num>
  <w:num w:numId="4" w16cid:durableId="1828937431">
    <w:abstractNumId w:val="0"/>
  </w:num>
  <w:num w:numId="5" w16cid:durableId="829369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5AC1"/>
    <w:rsid w:val="001C43EE"/>
    <w:rsid w:val="003A33AF"/>
    <w:rsid w:val="005E3987"/>
    <w:rsid w:val="00634354"/>
    <w:rsid w:val="00862EB1"/>
    <w:rsid w:val="008D0EEF"/>
    <w:rsid w:val="009D092B"/>
    <w:rsid w:val="00A45AC1"/>
    <w:rsid w:val="00A85967"/>
    <w:rsid w:val="00BB7C5D"/>
    <w:rsid w:val="00BF2701"/>
    <w:rsid w:val="00C60980"/>
    <w:rsid w:val="00D71D81"/>
    <w:rsid w:val="00E6620D"/>
    <w:rsid w:val="00E9010F"/>
    <w:rsid w:val="00F3371A"/>
    <w:rsid w:val="00F94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5513D9"/>
  <w15:chartTrackingRefBased/>
  <w15:docId w15:val="{4E1D62F5-141C-411E-A7ED-73423906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45AC1"/>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45AC1"/>
    <w:pPr>
      <w:tabs>
        <w:tab w:val="center" w:pos="4153"/>
        <w:tab w:val="right" w:pos="8306"/>
      </w:tabs>
    </w:pPr>
  </w:style>
  <w:style w:type="character" w:customStyle="1" w:styleId="a5">
    <w:name w:val="כותרת עליונה תו"/>
    <w:link w:val="a4"/>
    <w:rsid w:val="00A45AC1"/>
    <w:rPr>
      <w:rFonts w:ascii="Times New Roman" w:eastAsia="Times New Roman" w:hAnsi="Times New Roman" w:cs="David"/>
      <w:sz w:val="24"/>
      <w:szCs w:val="24"/>
    </w:rPr>
  </w:style>
  <w:style w:type="paragraph" w:styleId="a6">
    <w:name w:val="footer"/>
    <w:basedOn w:val="a0"/>
    <w:link w:val="a7"/>
    <w:rsid w:val="00A45AC1"/>
    <w:pPr>
      <w:tabs>
        <w:tab w:val="center" w:pos="4153"/>
        <w:tab w:val="right" w:pos="8306"/>
      </w:tabs>
    </w:pPr>
  </w:style>
  <w:style w:type="character" w:customStyle="1" w:styleId="a7">
    <w:name w:val="כותרת תחתונה תו"/>
    <w:link w:val="a6"/>
    <w:rsid w:val="00A45AC1"/>
    <w:rPr>
      <w:rFonts w:ascii="Times New Roman" w:eastAsia="Times New Roman" w:hAnsi="Times New Roman" w:cs="David"/>
      <w:sz w:val="24"/>
      <w:szCs w:val="24"/>
    </w:rPr>
  </w:style>
  <w:style w:type="table" w:styleId="a8">
    <w:name w:val="Table Grid"/>
    <w:basedOn w:val="a2"/>
    <w:rsid w:val="00A45A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45AC1"/>
  </w:style>
  <w:style w:type="paragraph" w:styleId="aa">
    <w:name w:val="List Paragraph"/>
    <w:basedOn w:val="a0"/>
    <w:qFormat/>
    <w:rsid w:val="00A45AC1"/>
    <w:pPr>
      <w:ind w:left="720"/>
      <w:contextualSpacing/>
    </w:pPr>
  </w:style>
  <w:style w:type="character" w:styleId="Hyperlink">
    <w:name w:val="Hyperlink"/>
    <w:rsid w:val="00A45AC1"/>
    <w:rPr>
      <w:color w:val="0000FF"/>
      <w:u w:val="single"/>
    </w:rPr>
  </w:style>
  <w:style w:type="paragraph" w:customStyle="1" w:styleId="a">
    <w:name w:val="ממוספר"/>
    <w:basedOn w:val="a0"/>
    <w:rsid w:val="00A45AC1"/>
    <w:pPr>
      <w:numPr>
        <w:numId w:val="1"/>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5612982" TargetMode="External"/><Relationship Id="rId39" Type="http://schemas.openxmlformats.org/officeDocument/2006/relationships/header" Target="header2.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0c" TargetMode="External"/><Relationship Id="rId29" Type="http://schemas.openxmlformats.org/officeDocument/2006/relationships/hyperlink" Target="http://www.nevo.co.il/case/615155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5601503" TargetMode="External"/><Relationship Id="rId32" Type="http://schemas.openxmlformats.org/officeDocument/2006/relationships/hyperlink" Target="http://www.nevo.co.il/case/2044665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86432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c" TargetMode="External"/><Relationship Id="rId19" Type="http://schemas.openxmlformats.org/officeDocument/2006/relationships/hyperlink" Target="http://www.nevo.co.il/case/6243627" TargetMode="External"/><Relationship Id="rId31" Type="http://schemas.openxmlformats.org/officeDocument/2006/relationships/hyperlink" Target="http://www.nevo.co.il/case/6949290"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7840699" TargetMode="External"/><Relationship Id="rId30" Type="http://schemas.openxmlformats.org/officeDocument/2006/relationships/hyperlink" Target="http://www.nevo.co.il/case/5878682" TargetMode="External"/><Relationship Id="rId35" Type="http://schemas.openxmlformats.org/officeDocument/2006/relationships/hyperlink" Target="http://www.nevo.co.il/law/70301/144" TargetMode="External"/><Relationship Id="rId43"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law/70301/14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2462</Words>
  <Characters>12311</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14744</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3473526</vt:i4>
      </vt:variant>
      <vt:variant>
        <vt:i4>75</vt:i4>
      </vt:variant>
      <vt:variant>
        <vt:i4>0</vt:i4>
      </vt:variant>
      <vt:variant>
        <vt:i4>5</vt:i4>
      </vt:variant>
      <vt:variant>
        <vt:lpwstr>http://www.nevo.co.il/case/20446658</vt:lpwstr>
      </vt:variant>
      <vt:variant>
        <vt:lpwstr/>
      </vt:variant>
      <vt:variant>
        <vt:i4>3145853</vt:i4>
      </vt:variant>
      <vt:variant>
        <vt:i4>72</vt:i4>
      </vt:variant>
      <vt:variant>
        <vt:i4>0</vt:i4>
      </vt:variant>
      <vt:variant>
        <vt:i4>5</vt:i4>
      </vt:variant>
      <vt:variant>
        <vt:lpwstr>http://www.nevo.co.il/case/6949290</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3145841</vt:i4>
      </vt:variant>
      <vt:variant>
        <vt:i4>66</vt:i4>
      </vt:variant>
      <vt:variant>
        <vt:i4>0</vt:i4>
      </vt:variant>
      <vt:variant>
        <vt:i4>5</vt:i4>
      </vt:variant>
      <vt:variant>
        <vt:lpwstr>http://www.nevo.co.il/case/6151556</vt:lpwstr>
      </vt:variant>
      <vt:variant>
        <vt:lpwstr/>
      </vt:variant>
      <vt:variant>
        <vt:i4>3801210</vt:i4>
      </vt:variant>
      <vt:variant>
        <vt:i4>63</vt:i4>
      </vt:variant>
      <vt:variant>
        <vt:i4>0</vt:i4>
      </vt:variant>
      <vt:variant>
        <vt:i4>5</vt:i4>
      </vt:variant>
      <vt:variant>
        <vt:lpwstr>http://www.nevo.co.il/case/6864329</vt:lpwstr>
      </vt:variant>
      <vt:variant>
        <vt:lpwstr/>
      </vt:variant>
      <vt:variant>
        <vt:i4>3932277</vt:i4>
      </vt:variant>
      <vt:variant>
        <vt:i4>60</vt:i4>
      </vt:variant>
      <vt:variant>
        <vt:i4>0</vt:i4>
      </vt:variant>
      <vt:variant>
        <vt:i4>5</vt:i4>
      </vt:variant>
      <vt:variant>
        <vt:lpwstr>http://www.nevo.co.il/case/7840699</vt:lpwstr>
      </vt:variant>
      <vt:variant>
        <vt:lpwstr/>
      </vt:variant>
      <vt:variant>
        <vt:i4>4063353</vt:i4>
      </vt:variant>
      <vt:variant>
        <vt:i4>57</vt:i4>
      </vt:variant>
      <vt:variant>
        <vt:i4>0</vt:i4>
      </vt:variant>
      <vt:variant>
        <vt:i4>5</vt:i4>
      </vt:variant>
      <vt:variant>
        <vt:lpwstr>http://www.nevo.co.il/case/25612982</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3342455</vt:i4>
      </vt:variant>
      <vt:variant>
        <vt:i4>36</vt:i4>
      </vt:variant>
      <vt:variant>
        <vt:i4>0</vt:i4>
      </vt:variant>
      <vt:variant>
        <vt:i4>5</vt:i4>
      </vt:variant>
      <vt:variant>
        <vt:lpwstr>http://www.nevo.co.il/case/6243627</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24896</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מחאמיד;עודאי מחאמיד</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20201101</vt:lpwstr>
  </property>
  <property fmtid="{D5CDD505-2E9C-101B-9397-08002B2CF9AE}" pid="13" name="TYPE_N_DATE">
    <vt:lpwstr>39020201101</vt:lpwstr>
  </property>
  <property fmtid="{D5CDD505-2E9C-101B-9397-08002B2CF9AE}" pid="14" name="WORDNUMPAGES">
    <vt:lpwstr>8</vt:lpwstr>
  </property>
  <property fmtid="{D5CDD505-2E9C-101B-9397-08002B2CF9AE}" pid="15" name="TYPE_ABS_DATE">
    <vt:lpwstr>390020201101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6243627;5601503;22006503;25612982;7840699;6864329;6151556;5878682;6949290;20446658</vt:lpwstr>
  </property>
  <property fmtid="{D5CDD505-2E9C-101B-9397-08002B2CF9AE}" pid="36" name="LAWLISTTMP1">
    <vt:lpwstr>70301/144.b;029;040b;040c;040i;144:2</vt:lpwstr>
  </property>
</Properties>
</file>