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0C7498" w:rsidRPr="008E21FB" w14:paraId="6149406E" w14:textId="77777777" w:rsidTr="00B72927">
        <w:trPr>
          <w:trHeight w:hRule="exact" w:val="418"/>
          <w:jc w:val="center"/>
        </w:trPr>
        <w:tc>
          <w:tcPr>
            <w:tcW w:w="8861" w:type="dxa"/>
            <w:gridSpan w:val="2"/>
          </w:tcPr>
          <w:p w14:paraId="2FC986E8" w14:textId="77777777" w:rsidR="000C7498" w:rsidRPr="008E21FB" w:rsidRDefault="000C7498" w:rsidP="00B72927">
            <w:pPr>
              <w:pStyle w:val="a3"/>
              <w:jc w:val="center"/>
              <w:rPr>
                <w:rFonts w:ascii="Tahoma" w:hAnsi="Tahoma"/>
                <w:color w:val="000080"/>
                <w:sz w:val="32"/>
                <w:szCs w:val="32"/>
                <w:rtl/>
              </w:rPr>
            </w:pPr>
            <w:r w:rsidRPr="008E21FB">
              <w:rPr>
                <w:rFonts w:ascii="Tahoma" w:hAnsi="Tahoma"/>
                <w:b/>
                <w:bCs/>
                <w:color w:val="000080"/>
                <w:sz w:val="32"/>
                <w:szCs w:val="32"/>
                <w:rtl/>
              </w:rPr>
              <w:t>בית המשפט המחוזי בתל אביב - יפו</w:t>
            </w:r>
          </w:p>
        </w:tc>
      </w:tr>
      <w:tr w:rsidR="000C7498" w:rsidRPr="008E21FB" w14:paraId="7C28AF71" w14:textId="77777777" w:rsidTr="00B72927">
        <w:trPr>
          <w:trHeight w:val="337"/>
          <w:jc w:val="center"/>
        </w:trPr>
        <w:tc>
          <w:tcPr>
            <w:tcW w:w="5131" w:type="dxa"/>
          </w:tcPr>
          <w:p w14:paraId="5239A71C" w14:textId="77777777" w:rsidR="000C7498" w:rsidRPr="008E21FB" w:rsidRDefault="000C7498" w:rsidP="00B72927">
            <w:pPr>
              <w:rPr>
                <w:sz w:val="26"/>
                <w:szCs w:val="26"/>
                <w:rtl/>
              </w:rPr>
            </w:pPr>
            <w:r w:rsidRPr="008E21FB">
              <w:rPr>
                <w:sz w:val="26"/>
                <w:szCs w:val="26"/>
                <w:rtl/>
              </w:rPr>
              <w:t>ת"פ</w:t>
            </w:r>
            <w:r w:rsidRPr="008E21FB">
              <w:rPr>
                <w:rFonts w:hint="cs"/>
                <w:sz w:val="26"/>
                <w:szCs w:val="26"/>
                <w:rtl/>
              </w:rPr>
              <w:t xml:space="preserve"> </w:t>
            </w:r>
            <w:r w:rsidRPr="008E21FB">
              <w:rPr>
                <w:sz w:val="26"/>
                <w:szCs w:val="26"/>
                <w:rtl/>
              </w:rPr>
              <w:t>38687-04-20</w:t>
            </w:r>
            <w:r w:rsidRPr="008E21FB">
              <w:rPr>
                <w:rFonts w:hint="cs"/>
                <w:sz w:val="26"/>
                <w:szCs w:val="26"/>
                <w:rtl/>
              </w:rPr>
              <w:t xml:space="preserve"> </w:t>
            </w:r>
            <w:r w:rsidRPr="008E21FB">
              <w:rPr>
                <w:sz w:val="26"/>
                <w:szCs w:val="26"/>
                <w:rtl/>
              </w:rPr>
              <w:t>מדינת ישראל נ' טוביה(עציר)</w:t>
            </w:r>
          </w:p>
          <w:p w14:paraId="08CCAD46" w14:textId="77777777" w:rsidR="000C7498" w:rsidRPr="008E21FB" w:rsidRDefault="000C7498" w:rsidP="00B72927">
            <w:pPr>
              <w:pStyle w:val="a3"/>
              <w:rPr>
                <w:rFonts w:cs="FrankRuehl"/>
                <w:sz w:val="28"/>
                <w:szCs w:val="28"/>
                <w:rtl/>
              </w:rPr>
            </w:pPr>
          </w:p>
        </w:tc>
        <w:tc>
          <w:tcPr>
            <w:tcW w:w="3730" w:type="dxa"/>
          </w:tcPr>
          <w:p w14:paraId="2F201093" w14:textId="77777777" w:rsidR="000C7498" w:rsidRPr="008E21FB" w:rsidRDefault="000C7498" w:rsidP="00B72927">
            <w:pPr>
              <w:pStyle w:val="a3"/>
              <w:jc w:val="right"/>
              <w:rPr>
                <w:rFonts w:cs="FrankRuehl"/>
                <w:sz w:val="28"/>
                <w:szCs w:val="28"/>
                <w:rtl/>
              </w:rPr>
            </w:pPr>
          </w:p>
        </w:tc>
      </w:tr>
    </w:tbl>
    <w:p w14:paraId="3FDF6C4D" w14:textId="77777777" w:rsidR="000C7498" w:rsidRPr="008E21FB" w:rsidRDefault="000C7498" w:rsidP="000C7498">
      <w:pPr>
        <w:pStyle w:val="a3"/>
        <w:rPr>
          <w:rtl/>
        </w:rPr>
      </w:pPr>
      <w:r w:rsidRPr="008E21FB">
        <w:rPr>
          <w:rFonts w:hint="cs"/>
          <w:rtl/>
        </w:rPr>
        <w:t xml:space="preserve"> </w:t>
      </w:r>
    </w:p>
    <w:p w14:paraId="794A8F53" w14:textId="77777777" w:rsidR="000C7498" w:rsidRPr="008E21FB" w:rsidRDefault="000C7498" w:rsidP="000C7498">
      <w:pPr>
        <w:pStyle w:val="12"/>
        <w:spacing w:line="360" w:lineRule="auto"/>
        <w:rPr>
          <w:u w:val="none"/>
          <w:rtl/>
        </w:rPr>
      </w:pPr>
    </w:p>
    <w:p w14:paraId="3C695CB0" w14:textId="77777777" w:rsidR="000C7498" w:rsidRPr="008E21FB" w:rsidRDefault="000C7498" w:rsidP="000C7498">
      <w:pPr>
        <w:pStyle w:val="12"/>
        <w:spacing w:line="360" w:lineRule="auto"/>
        <w:rPr>
          <w:u w:val="none"/>
          <w:rtl/>
        </w:rPr>
      </w:pPr>
    </w:p>
    <w:tbl>
      <w:tblPr>
        <w:bidiVisual/>
        <w:tblW w:w="8219" w:type="dxa"/>
        <w:tblInd w:w="555" w:type="dxa"/>
        <w:tblLook w:val="01E0" w:firstRow="1" w:lastRow="1" w:firstColumn="1" w:lastColumn="1" w:noHBand="0" w:noVBand="0"/>
      </w:tblPr>
      <w:tblGrid>
        <w:gridCol w:w="2297"/>
        <w:gridCol w:w="5866"/>
        <w:gridCol w:w="56"/>
      </w:tblGrid>
      <w:tr w:rsidR="000C7498" w:rsidRPr="008E21FB" w14:paraId="245DADCC" w14:textId="77777777" w:rsidTr="000C7498">
        <w:trPr>
          <w:gridAfter w:val="1"/>
          <w:wAfter w:w="56" w:type="dxa"/>
        </w:trPr>
        <w:tc>
          <w:tcPr>
            <w:tcW w:w="8163" w:type="dxa"/>
            <w:gridSpan w:val="2"/>
            <w:shd w:val="clear" w:color="auto" w:fill="auto"/>
          </w:tcPr>
          <w:p w14:paraId="31159764" w14:textId="77777777" w:rsidR="000C7498" w:rsidRPr="008E21FB" w:rsidRDefault="000C7498" w:rsidP="000C7498">
            <w:pPr>
              <w:spacing w:line="360" w:lineRule="auto"/>
              <w:jc w:val="both"/>
              <w:rPr>
                <w:b/>
                <w:bCs/>
              </w:rPr>
            </w:pPr>
            <w:r w:rsidRPr="008E21FB">
              <w:rPr>
                <w:b/>
                <w:bCs/>
                <w:rtl/>
              </w:rPr>
              <w:t>לפני כבוד השופט בני שגיא</w:t>
            </w:r>
            <w:r w:rsidRPr="008E21FB">
              <w:rPr>
                <w:rFonts w:hint="cs"/>
                <w:b/>
                <w:bCs/>
                <w:rtl/>
              </w:rPr>
              <w:t>, סגן נשיא</w:t>
            </w:r>
          </w:p>
        </w:tc>
      </w:tr>
      <w:tr w:rsidR="000C7498" w:rsidRPr="008E21FB" w14:paraId="32E5C98F" w14:textId="77777777" w:rsidTr="000C7498">
        <w:trPr>
          <w:gridAfter w:val="1"/>
          <w:wAfter w:w="56" w:type="dxa"/>
        </w:trPr>
        <w:tc>
          <w:tcPr>
            <w:tcW w:w="8163" w:type="dxa"/>
            <w:gridSpan w:val="2"/>
            <w:shd w:val="clear" w:color="auto" w:fill="auto"/>
          </w:tcPr>
          <w:p w14:paraId="38E1361D" w14:textId="77777777" w:rsidR="000C7498" w:rsidRPr="008E21FB" w:rsidRDefault="000C7498" w:rsidP="000C7498">
            <w:pPr>
              <w:spacing w:line="360" w:lineRule="auto"/>
              <w:jc w:val="both"/>
              <w:rPr>
                <w:b/>
                <w:bCs/>
                <w:rtl/>
              </w:rPr>
            </w:pPr>
            <w:bookmarkStart w:id="0" w:name="LastJudge"/>
            <w:bookmarkEnd w:id="0"/>
          </w:p>
        </w:tc>
      </w:tr>
      <w:tr w:rsidR="000C7498" w:rsidRPr="008E21FB" w14:paraId="5F121390" w14:textId="77777777" w:rsidTr="000C7498">
        <w:trPr>
          <w:cantSplit/>
          <w:trHeight w:val="724"/>
        </w:trPr>
        <w:tc>
          <w:tcPr>
            <w:tcW w:w="2297" w:type="dxa"/>
            <w:shd w:val="clear" w:color="auto" w:fill="auto"/>
          </w:tcPr>
          <w:p w14:paraId="34723051" w14:textId="77777777" w:rsidR="000C7498" w:rsidRPr="008E21FB" w:rsidRDefault="000C7498" w:rsidP="000C7498">
            <w:pPr>
              <w:ind w:left="26"/>
              <w:jc w:val="right"/>
              <w:rPr>
                <w:b/>
                <w:bCs/>
                <w:rtl/>
              </w:rPr>
            </w:pPr>
            <w:bookmarkStart w:id="1" w:name="FirstAppellant"/>
            <w:bookmarkStart w:id="2" w:name="FirstLawyer"/>
          </w:p>
          <w:p w14:paraId="1BB46433" w14:textId="77777777" w:rsidR="000C7498" w:rsidRPr="008E21FB" w:rsidRDefault="000C7498" w:rsidP="000C7498">
            <w:pPr>
              <w:ind w:left="26"/>
              <w:rPr>
                <w:b/>
                <w:bCs/>
                <w:rtl/>
              </w:rPr>
            </w:pPr>
            <w:r w:rsidRPr="008E21FB">
              <w:rPr>
                <w:b/>
                <w:bCs/>
                <w:rtl/>
              </w:rPr>
              <w:t>המאשימה</w:t>
            </w:r>
            <w:r w:rsidRPr="008E21FB">
              <w:rPr>
                <w:rFonts w:hint="cs"/>
                <w:b/>
                <w:bCs/>
                <w:rtl/>
              </w:rPr>
              <w:t>:</w:t>
            </w:r>
          </w:p>
        </w:tc>
        <w:tc>
          <w:tcPr>
            <w:tcW w:w="5922" w:type="dxa"/>
            <w:gridSpan w:val="2"/>
            <w:shd w:val="clear" w:color="auto" w:fill="auto"/>
          </w:tcPr>
          <w:p w14:paraId="7274CB05" w14:textId="77777777" w:rsidR="000C7498" w:rsidRPr="008E21FB" w:rsidRDefault="000C7498" w:rsidP="000C7498">
            <w:pPr>
              <w:jc w:val="right"/>
              <w:rPr>
                <w:rtl/>
              </w:rPr>
            </w:pPr>
          </w:p>
          <w:p w14:paraId="059D7E80" w14:textId="77777777" w:rsidR="000C7498" w:rsidRPr="008E21FB" w:rsidRDefault="000C7498" w:rsidP="000C7498">
            <w:pPr>
              <w:spacing w:line="360" w:lineRule="auto"/>
              <w:rPr>
                <w:b/>
                <w:bCs/>
                <w:rtl/>
              </w:rPr>
            </w:pPr>
            <w:r w:rsidRPr="008E21FB">
              <w:rPr>
                <w:b/>
                <w:bCs/>
                <w:rtl/>
              </w:rPr>
              <w:t>מדינת ישראל</w:t>
            </w:r>
          </w:p>
          <w:p w14:paraId="060A9566" w14:textId="77777777" w:rsidR="000C7498" w:rsidRPr="008E21FB" w:rsidRDefault="000C7498" w:rsidP="00B72927">
            <w:pPr>
              <w:rPr>
                <w:rtl/>
              </w:rPr>
            </w:pPr>
            <w:r w:rsidRPr="008E21FB">
              <w:rPr>
                <w:rtl/>
              </w:rPr>
              <w:t xml:space="preserve">על-ידי ב"כ עו"ד </w:t>
            </w:r>
            <w:r w:rsidRPr="008E21FB">
              <w:rPr>
                <w:rFonts w:hint="cs"/>
                <w:rtl/>
              </w:rPr>
              <w:t>יוסי קורצברג ועו"ד שלי קוטין</w:t>
            </w:r>
          </w:p>
        </w:tc>
      </w:tr>
      <w:bookmarkEnd w:id="1"/>
      <w:bookmarkEnd w:id="2"/>
      <w:tr w:rsidR="000C7498" w:rsidRPr="008E21FB" w14:paraId="4B703EA7" w14:textId="77777777" w:rsidTr="000C7498">
        <w:tc>
          <w:tcPr>
            <w:tcW w:w="8219" w:type="dxa"/>
            <w:gridSpan w:val="3"/>
            <w:shd w:val="clear" w:color="auto" w:fill="auto"/>
            <w:vAlign w:val="center"/>
          </w:tcPr>
          <w:p w14:paraId="53856D47" w14:textId="77777777" w:rsidR="000C7498" w:rsidRPr="008E21FB" w:rsidRDefault="000C7498" w:rsidP="000C7498">
            <w:pPr>
              <w:jc w:val="center"/>
              <w:rPr>
                <w:rFonts w:ascii="Arial" w:hAnsi="Arial"/>
                <w:b/>
                <w:bCs/>
                <w:rtl/>
              </w:rPr>
            </w:pPr>
          </w:p>
          <w:p w14:paraId="40BE2132" w14:textId="77777777" w:rsidR="000C7498" w:rsidRPr="008E21FB" w:rsidRDefault="000C7498" w:rsidP="000C7498">
            <w:pPr>
              <w:jc w:val="center"/>
              <w:rPr>
                <w:rFonts w:ascii="Arial" w:hAnsi="Arial"/>
                <w:b/>
                <w:bCs/>
                <w:rtl/>
              </w:rPr>
            </w:pPr>
            <w:r w:rsidRPr="008E21FB">
              <w:rPr>
                <w:rFonts w:ascii="Arial" w:hAnsi="Arial"/>
                <w:b/>
                <w:bCs/>
                <w:rtl/>
              </w:rPr>
              <w:t>נגד</w:t>
            </w:r>
          </w:p>
          <w:p w14:paraId="590C644A" w14:textId="77777777" w:rsidR="000C7498" w:rsidRPr="008E21FB" w:rsidRDefault="000C7498" w:rsidP="000C7498">
            <w:pPr>
              <w:jc w:val="right"/>
              <w:rPr>
                <w:rFonts w:ascii="Arial" w:hAnsi="Arial"/>
                <w:b/>
                <w:bCs/>
                <w:rtl/>
              </w:rPr>
            </w:pPr>
          </w:p>
        </w:tc>
      </w:tr>
      <w:tr w:rsidR="000C7498" w:rsidRPr="008E21FB" w14:paraId="155EB3EC" w14:textId="77777777" w:rsidTr="000C7498">
        <w:tc>
          <w:tcPr>
            <w:tcW w:w="2297" w:type="dxa"/>
            <w:shd w:val="clear" w:color="auto" w:fill="auto"/>
          </w:tcPr>
          <w:p w14:paraId="2C20695B" w14:textId="77777777" w:rsidR="000C7498" w:rsidRPr="008E21FB" w:rsidRDefault="000C7498" w:rsidP="000C7498">
            <w:pPr>
              <w:ind w:left="26"/>
              <w:rPr>
                <w:b/>
                <w:bCs/>
                <w:rtl/>
              </w:rPr>
            </w:pPr>
            <w:r w:rsidRPr="008E21FB">
              <w:rPr>
                <w:b/>
                <w:bCs/>
                <w:rtl/>
              </w:rPr>
              <w:t>הנאשם</w:t>
            </w:r>
            <w:r w:rsidRPr="008E21FB">
              <w:rPr>
                <w:rFonts w:hint="cs"/>
                <w:b/>
                <w:bCs/>
                <w:rtl/>
              </w:rPr>
              <w:t>:</w:t>
            </w:r>
          </w:p>
        </w:tc>
        <w:tc>
          <w:tcPr>
            <w:tcW w:w="5922" w:type="dxa"/>
            <w:gridSpan w:val="2"/>
            <w:shd w:val="clear" w:color="auto" w:fill="auto"/>
          </w:tcPr>
          <w:p w14:paraId="727695FB" w14:textId="77777777" w:rsidR="000C7498" w:rsidRPr="008E21FB" w:rsidRDefault="000C7498" w:rsidP="000C7498">
            <w:pPr>
              <w:spacing w:line="360" w:lineRule="auto"/>
              <w:rPr>
                <w:b/>
                <w:bCs/>
                <w:rtl/>
              </w:rPr>
            </w:pPr>
            <w:r w:rsidRPr="008E21FB">
              <w:rPr>
                <w:rFonts w:hint="cs"/>
                <w:b/>
                <w:bCs/>
                <w:rtl/>
              </w:rPr>
              <w:t>תומר טוביה</w:t>
            </w:r>
          </w:p>
          <w:p w14:paraId="4A64BACA" w14:textId="77777777" w:rsidR="000C7498" w:rsidRPr="008E21FB" w:rsidRDefault="000C7498" w:rsidP="00B72927">
            <w:pPr>
              <w:rPr>
                <w:rtl/>
              </w:rPr>
            </w:pPr>
            <w:r w:rsidRPr="008E21FB">
              <w:rPr>
                <w:rtl/>
              </w:rPr>
              <w:t xml:space="preserve">על-ידי ב"כ עו"ד </w:t>
            </w:r>
            <w:r w:rsidRPr="008E21FB">
              <w:rPr>
                <w:rFonts w:hint="cs"/>
                <w:rtl/>
              </w:rPr>
              <w:t>גלעד מנשה</w:t>
            </w:r>
          </w:p>
        </w:tc>
      </w:tr>
    </w:tbl>
    <w:p w14:paraId="6D2924B9" w14:textId="77777777" w:rsidR="000C7498" w:rsidRPr="008E21FB" w:rsidRDefault="000C7498" w:rsidP="000C7498">
      <w:pPr>
        <w:pStyle w:val="12"/>
        <w:spacing w:line="360" w:lineRule="auto"/>
        <w:rPr>
          <w:u w:val="none"/>
          <w:rtl/>
        </w:rPr>
      </w:pPr>
    </w:p>
    <w:p w14:paraId="5E72ABB1" w14:textId="77777777" w:rsidR="00445486" w:rsidRDefault="00445486" w:rsidP="000C7498">
      <w:pPr>
        <w:pStyle w:val="12"/>
        <w:spacing w:line="360" w:lineRule="auto"/>
        <w:rPr>
          <w:b w:val="0"/>
          <w:bCs w:val="0"/>
          <w:u w:val="none"/>
          <w:rtl/>
        </w:rPr>
      </w:pPr>
    </w:p>
    <w:p w14:paraId="70318116" w14:textId="77777777" w:rsidR="00445486" w:rsidRPr="00445486" w:rsidRDefault="00445486" w:rsidP="00445486">
      <w:pPr>
        <w:pStyle w:val="12"/>
        <w:spacing w:after="120" w:line="240" w:lineRule="exact"/>
        <w:ind w:left="283" w:hanging="283"/>
        <w:jc w:val="both"/>
        <w:rPr>
          <w:rFonts w:ascii="FrankRuehl" w:hAnsi="FrankRuehl" w:cs="FrankRuehl"/>
          <w:b w:val="0"/>
          <w:bCs w:val="0"/>
          <w:u w:val="none"/>
          <w:rtl/>
        </w:rPr>
      </w:pPr>
    </w:p>
    <w:p w14:paraId="36321663" w14:textId="77777777" w:rsidR="00DA322A" w:rsidRDefault="00DA322A" w:rsidP="00DA322A">
      <w:pPr>
        <w:pStyle w:val="12"/>
        <w:spacing w:line="360" w:lineRule="auto"/>
        <w:jc w:val="center"/>
        <w:rPr>
          <w:b w:val="0"/>
          <w:bCs w:val="0"/>
          <w:sz w:val="32"/>
          <w:szCs w:val="32"/>
          <w:u w:val="none"/>
          <w:rtl/>
        </w:rPr>
      </w:pPr>
      <w:bookmarkStart w:id="3" w:name="LawTable"/>
      <w:bookmarkEnd w:id="3"/>
    </w:p>
    <w:p w14:paraId="3A91B54C" w14:textId="77777777" w:rsidR="00DA322A" w:rsidRPr="00DA322A" w:rsidRDefault="00DA322A" w:rsidP="00DA322A">
      <w:pPr>
        <w:pStyle w:val="12"/>
        <w:spacing w:before="120" w:after="120" w:line="240" w:lineRule="exact"/>
        <w:ind w:left="283" w:hanging="283"/>
        <w:jc w:val="both"/>
        <w:rPr>
          <w:rFonts w:ascii="FrankRuehl" w:hAnsi="FrankRuehl" w:cs="FrankRuehl"/>
          <w:b w:val="0"/>
          <w:bCs w:val="0"/>
          <w:u w:val="none"/>
          <w:rtl/>
        </w:rPr>
      </w:pPr>
    </w:p>
    <w:p w14:paraId="02E4FC94" w14:textId="77777777" w:rsidR="00DA322A" w:rsidRPr="00DA322A" w:rsidRDefault="00DA322A" w:rsidP="00DA322A">
      <w:pPr>
        <w:pStyle w:val="12"/>
        <w:spacing w:before="120" w:after="120" w:line="240" w:lineRule="exact"/>
        <w:ind w:left="283" w:hanging="283"/>
        <w:jc w:val="both"/>
        <w:rPr>
          <w:rFonts w:ascii="FrankRuehl" w:hAnsi="FrankRuehl" w:cs="FrankRuehl"/>
          <w:b w:val="0"/>
          <w:bCs w:val="0"/>
          <w:u w:val="none"/>
          <w:rtl/>
        </w:rPr>
      </w:pPr>
    </w:p>
    <w:p w14:paraId="25BA76AF" w14:textId="77777777" w:rsidR="00DA322A" w:rsidRPr="00DA322A" w:rsidRDefault="00DA322A" w:rsidP="00DA322A">
      <w:pPr>
        <w:pStyle w:val="12"/>
        <w:spacing w:before="120" w:after="120" w:line="240" w:lineRule="exact"/>
        <w:ind w:left="283" w:hanging="283"/>
        <w:jc w:val="both"/>
        <w:rPr>
          <w:rFonts w:ascii="FrankRuehl" w:hAnsi="FrankRuehl" w:cs="FrankRuehl"/>
          <w:b w:val="0"/>
          <w:bCs w:val="0"/>
          <w:u w:val="none"/>
          <w:rtl/>
        </w:rPr>
      </w:pPr>
      <w:r w:rsidRPr="00DA322A">
        <w:rPr>
          <w:rFonts w:ascii="FrankRuehl" w:hAnsi="FrankRuehl" w:cs="FrankRuehl"/>
          <w:b w:val="0"/>
          <w:bCs w:val="0"/>
          <w:u w:val="none"/>
          <w:rtl/>
        </w:rPr>
        <w:t xml:space="preserve">חקיקה שאוזכרה: </w:t>
      </w:r>
    </w:p>
    <w:p w14:paraId="7D67E4E6" w14:textId="77777777" w:rsidR="00DA322A" w:rsidRPr="00DA322A" w:rsidRDefault="00DA322A" w:rsidP="00DA322A">
      <w:pPr>
        <w:pStyle w:val="12"/>
        <w:spacing w:before="120" w:after="120" w:line="240" w:lineRule="exact"/>
        <w:ind w:left="283" w:hanging="283"/>
        <w:jc w:val="both"/>
        <w:rPr>
          <w:rFonts w:ascii="FrankRuehl" w:hAnsi="FrankRuehl" w:cs="FrankRuehl"/>
          <w:b w:val="0"/>
          <w:bCs w:val="0"/>
          <w:u w:val="none"/>
          <w:rtl/>
        </w:rPr>
      </w:pPr>
      <w:hyperlink r:id="rId7" w:history="1">
        <w:r w:rsidRPr="00DA322A">
          <w:rPr>
            <w:rFonts w:ascii="FrankRuehl" w:hAnsi="FrankRuehl" w:cs="FrankRuehl"/>
            <w:b w:val="0"/>
            <w:bCs w:val="0"/>
            <w:color w:val="0000FF"/>
            <w:u w:val="none"/>
            <w:rtl/>
          </w:rPr>
          <w:t>חוק העונשין, תשל"ז-1977</w:t>
        </w:r>
      </w:hyperlink>
      <w:r w:rsidRPr="00DA322A">
        <w:rPr>
          <w:rFonts w:ascii="FrankRuehl" w:hAnsi="FrankRuehl" w:cs="FrankRuehl"/>
          <w:b w:val="0"/>
          <w:bCs w:val="0"/>
          <w:u w:val="none"/>
          <w:rtl/>
        </w:rPr>
        <w:t xml:space="preserve">: סע'  </w:t>
      </w:r>
      <w:hyperlink r:id="rId8" w:history="1">
        <w:r w:rsidRPr="00DA322A">
          <w:rPr>
            <w:rFonts w:ascii="FrankRuehl" w:hAnsi="FrankRuehl" w:cs="FrankRuehl"/>
            <w:b w:val="0"/>
            <w:bCs w:val="0"/>
            <w:color w:val="0000FF"/>
            <w:u w:val="none"/>
            <w:rtl/>
          </w:rPr>
          <w:t>144(ב)</w:t>
        </w:r>
      </w:hyperlink>
    </w:p>
    <w:p w14:paraId="15C54DC8" w14:textId="77777777" w:rsidR="00DA322A" w:rsidRPr="00DA322A" w:rsidRDefault="00DA322A" w:rsidP="00DA322A">
      <w:pPr>
        <w:pStyle w:val="12"/>
        <w:spacing w:line="360" w:lineRule="auto"/>
        <w:jc w:val="center"/>
        <w:rPr>
          <w:b w:val="0"/>
          <w:bCs w:val="0"/>
          <w:sz w:val="32"/>
          <w:szCs w:val="32"/>
          <w:u w:val="none"/>
          <w:rtl/>
        </w:rPr>
      </w:pPr>
      <w:bookmarkStart w:id="4" w:name="LawTable_End"/>
      <w:bookmarkEnd w:id="4"/>
    </w:p>
    <w:p w14:paraId="4D45BFCE" w14:textId="77777777" w:rsidR="008E21FB" w:rsidRPr="008E21FB" w:rsidRDefault="008E21FB" w:rsidP="000C7498">
      <w:pPr>
        <w:pStyle w:val="12"/>
        <w:spacing w:line="360" w:lineRule="auto"/>
        <w:jc w:val="center"/>
        <w:rPr>
          <w:sz w:val="32"/>
          <w:szCs w:val="32"/>
          <w:u w:val="none"/>
          <w:rtl/>
        </w:rPr>
      </w:pPr>
    </w:p>
    <w:p w14:paraId="07DC2CFD" w14:textId="77777777" w:rsidR="008E21FB" w:rsidRPr="008E21FB" w:rsidRDefault="008E21FB" w:rsidP="008E21FB">
      <w:pPr>
        <w:spacing w:before="240" w:after="240" w:line="360" w:lineRule="auto"/>
        <w:ind w:firstLine="360"/>
        <w:jc w:val="center"/>
        <w:rPr>
          <w:b/>
          <w:bCs/>
          <w:sz w:val="32"/>
          <w:szCs w:val="32"/>
          <w:u w:val="single"/>
          <w:rtl/>
        </w:rPr>
      </w:pPr>
      <w:bookmarkStart w:id="5" w:name="PsakDin"/>
      <w:r w:rsidRPr="008E21FB">
        <w:rPr>
          <w:b/>
          <w:bCs/>
          <w:sz w:val="32"/>
          <w:szCs w:val="32"/>
          <w:u w:val="single"/>
          <w:rtl/>
        </w:rPr>
        <w:t>גזר דין</w:t>
      </w:r>
    </w:p>
    <w:bookmarkEnd w:id="5"/>
    <w:p w14:paraId="24B68FA6" w14:textId="77777777" w:rsidR="000C7498" w:rsidRPr="00B14875" w:rsidRDefault="000C7498" w:rsidP="000C7498">
      <w:pPr>
        <w:spacing w:before="240" w:after="240" w:line="360" w:lineRule="auto"/>
        <w:ind w:firstLine="360"/>
        <w:jc w:val="both"/>
        <w:rPr>
          <w:u w:val="single"/>
          <w:rtl/>
        </w:rPr>
      </w:pPr>
      <w:r w:rsidRPr="00B14875">
        <w:rPr>
          <w:u w:val="single"/>
          <w:rtl/>
        </w:rPr>
        <w:t>כללי</w:t>
      </w:r>
    </w:p>
    <w:p w14:paraId="0AB18D74" w14:textId="77777777" w:rsidR="000C7498" w:rsidRDefault="000C7498" w:rsidP="000C7498">
      <w:pPr>
        <w:pStyle w:val="a9"/>
        <w:numPr>
          <w:ilvl w:val="0"/>
          <w:numId w:val="1"/>
        </w:numPr>
        <w:spacing w:before="240" w:after="240" w:line="360" w:lineRule="auto"/>
        <w:contextualSpacing w:val="0"/>
        <w:jc w:val="both"/>
      </w:pPr>
      <w:bookmarkStart w:id="6" w:name="ABSTRACT_START"/>
      <w:bookmarkEnd w:id="6"/>
      <w:r>
        <w:rPr>
          <w:rFonts w:hint="cs"/>
          <w:rtl/>
        </w:rPr>
        <w:t xml:space="preserve">הנאשם הורשע על יסוד הודאתו בעובדות כתב אישום מתוקן בעבירה של נשיאת נשק שלא כדין, לפי </w:t>
      </w:r>
      <w:hyperlink r:id="rId9" w:history="1">
        <w:r w:rsidR="00445486" w:rsidRPr="00445486">
          <w:rPr>
            <w:rStyle w:val="Hyperlink"/>
            <w:rFonts w:hint="cs"/>
            <w:rtl/>
          </w:rPr>
          <w:t>סעיף</w:t>
        </w:r>
        <w:r w:rsidR="00445486" w:rsidRPr="00445486">
          <w:rPr>
            <w:rStyle w:val="Hyperlink"/>
            <w:rtl/>
          </w:rPr>
          <w:t xml:space="preserve"> 144(ב)</w:t>
        </w:r>
      </w:hyperlink>
      <w:r>
        <w:rPr>
          <w:rFonts w:hint="cs"/>
          <w:rtl/>
        </w:rPr>
        <w:t xml:space="preserve"> רישא וסיפא ל</w:t>
      </w:r>
      <w:hyperlink r:id="rId10" w:history="1">
        <w:r w:rsidR="008E21FB" w:rsidRPr="008E21FB">
          <w:rPr>
            <w:color w:val="0000FF"/>
            <w:u w:val="single"/>
            <w:rtl/>
          </w:rPr>
          <w:t>חוק העונשין</w:t>
        </w:r>
      </w:hyperlink>
      <w:r>
        <w:rPr>
          <w:rFonts w:hint="cs"/>
          <w:rtl/>
        </w:rPr>
        <w:t xml:space="preserve">, תשל"ז-1977 (להלן - </w:t>
      </w:r>
      <w:r>
        <w:rPr>
          <w:rFonts w:hint="cs"/>
          <w:b/>
          <w:bCs/>
          <w:rtl/>
        </w:rPr>
        <w:t>חוק העונשין</w:t>
      </w:r>
      <w:r>
        <w:rPr>
          <w:rFonts w:hint="cs"/>
          <w:rtl/>
        </w:rPr>
        <w:t xml:space="preserve">). הצדדים לא הגיעו להסכמה לעניין העונש, ובהקשר זה כל צד טען על-פי מיטב שיקול דעתו. </w:t>
      </w:r>
    </w:p>
    <w:p w14:paraId="588C4CD1" w14:textId="77777777" w:rsidR="000C7498" w:rsidRDefault="000C7498" w:rsidP="000C7498">
      <w:pPr>
        <w:pStyle w:val="a9"/>
        <w:numPr>
          <w:ilvl w:val="0"/>
          <w:numId w:val="1"/>
        </w:numPr>
        <w:spacing w:before="240" w:after="240" w:line="360" w:lineRule="auto"/>
        <w:contextualSpacing w:val="0"/>
        <w:jc w:val="both"/>
      </w:pPr>
      <w:bookmarkStart w:id="7" w:name="ABSTRACT_END"/>
      <w:bookmarkEnd w:id="7"/>
      <w:r>
        <w:rPr>
          <w:rFonts w:hint="cs"/>
          <w:rtl/>
        </w:rPr>
        <w:t xml:space="preserve">על-פי עובדות כתב האישום, ביום 22.4.2020 בשעה 13:57, נסע הנאשם ברכב מסוג סקודה יחד עם שני אחרים, כשהוא נושא אקדח חצי אוטומטי </w:t>
      </w:r>
      <w:r>
        <w:t>Reunies</w:t>
      </w:r>
      <w:r>
        <w:rPr>
          <w:rFonts w:hint="cs"/>
          <w:rtl/>
        </w:rPr>
        <w:t xml:space="preserve"> מודל </w:t>
      </w:r>
      <w:r>
        <w:t>Dictator</w:t>
      </w:r>
      <w:r>
        <w:rPr>
          <w:rFonts w:hint="cs"/>
          <w:rtl/>
        </w:rPr>
        <w:t xml:space="preserve">, קליבר 6.35 מ"מ (להלן - </w:t>
      </w:r>
      <w:r>
        <w:rPr>
          <w:rFonts w:hint="cs"/>
          <w:b/>
          <w:bCs/>
          <w:rtl/>
        </w:rPr>
        <w:t>האקדח</w:t>
      </w:r>
      <w:r>
        <w:rPr>
          <w:rFonts w:hint="cs"/>
          <w:rtl/>
        </w:rPr>
        <w:t>), מחסנית המתאימה לאקדח וארבעה כדורים קליבר 6.35. משהבחין הנאשם בשוטרים רכובים על אופנוע משטרתי ולבושים מדי משטרה, יצא הנאשם מהרכב והחל לרוץ ברחוב. בעקבות זאת, דלק אחד השוטר אחר הנאשם תוך שהוא צועק לעברו: "</w:t>
      </w:r>
      <w:r>
        <w:rPr>
          <w:rFonts w:hint="cs"/>
          <w:b/>
          <w:bCs/>
          <w:rtl/>
        </w:rPr>
        <w:t>עצור משטרה, אתה עצור</w:t>
      </w:r>
      <w:r>
        <w:rPr>
          <w:rFonts w:hint="cs"/>
          <w:rtl/>
        </w:rPr>
        <w:t xml:space="preserve">", אולם הנאשם לא שעה לקריאות והשליך לתוך חצר בית פרטי ברחוב את האקדח, את המחסנית ואת הכדורים. בשלב זה הודיע השוטר לנאשם כי הוא עצור.  </w:t>
      </w:r>
    </w:p>
    <w:p w14:paraId="196BD82D" w14:textId="77777777" w:rsidR="000C7498" w:rsidRPr="00B14875" w:rsidRDefault="000C7498" w:rsidP="000C7498">
      <w:pPr>
        <w:pStyle w:val="a9"/>
        <w:spacing w:before="240" w:after="240" w:line="360" w:lineRule="auto"/>
        <w:ind w:left="360"/>
        <w:contextualSpacing w:val="0"/>
        <w:jc w:val="both"/>
        <w:rPr>
          <w:u w:val="single"/>
          <w:rtl/>
        </w:rPr>
      </w:pPr>
      <w:r w:rsidRPr="00B14875">
        <w:rPr>
          <w:rFonts w:hint="cs"/>
          <w:u w:val="single"/>
          <w:rtl/>
        </w:rPr>
        <w:lastRenderedPageBreak/>
        <w:t>ראיות לעונש</w:t>
      </w:r>
    </w:p>
    <w:p w14:paraId="5950FF8D" w14:textId="77777777" w:rsidR="000C7498" w:rsidRDefault="000C7498" w:rsidP="000C7498">
      <w:pPr>
        <w:pStyle w:val="a9"/>
        <w:numPr>
          <w:ilvl w:val="0"/>
          <w:numId w:val="1"/>
        </w:numPr>
        <w:spacing w:before="240" w:after="240" w:line="360" w:lineRule="auto"/>
        <w:contextualSpacing w:val="0"/>
        <w:jc w:val="both"/>
      </w:pPr>
      <w:r>
        <w:rPr>
          <w:rFonts w:hint="cs"/>
          <w:rtl/>
        </w:rPr>
        <w:t xml:space="preserve">מטעם התביעה הוגש גיליון הרשעותיו הקודמות של הנאשם (תע/1), ממנו עולה כי לנאשם ארבע הרשעות וצו אחד לדרכי טיפול, כמפורט להלן: עבירה של החזקת סכין שלא כדין בגינה נדון ביום 24.6.2020 לעונש מאסר על תנאי; עבירה של החזקת סמים שלא לצריכה עצמית בגינה נדון ביום 11.11.2019 לעונש </w:t>
      </w:r>
      <w:r w:rsidRPr="00FD0165">
        <w:rPr>
          <w:rFonts w:hint="cs"/>
          <w:b/>
          <w:bCs/>
          <w:rtl/>
        </w:rPr>
        <w:t>מאסר בפועל לתקופה של 6 חודשים</w:t>
      </w:r>
      <w:r>
        <w:rPr>
          <w:rFonts w:hint="cs"/>
          <w:rtl/>
        </w:rPr>
        <w:t xml:space="preserve"> (ובנוסף הפעלת מאסר על תנאי); עבירות של פריצה לרכב, גניבה מרכב, היזק בזדון לרכוש, הפרת הוראה חוקית והחזקת סם לצריכה עצמית בגינן נדון ביום 4.2.2018 לעונש </w:t>
      </w:r>
      <w:r w:rsidRPr="00FD0165">
        <w:rPr>
          <w:rFonts w:hint="cs"/>
          <w:b/>
          <w:bCs/>
          <w:rtl/>
        </w:rPr>
        <w:t>מאסר בפועל לתקופה של 9 חודשים</w:t>
      </w:r>
      <w:r>
        <w:rPr>
          <w:rFonts w:hint="cs"/>
          <w:rtl/>
        </w:rPr>
        <w:t xml:space="preserve">; עבירה של חבלה חמורה בנסיבות מחמירות בגינה נדון ביום 29.1.2013 לעונש </w:t>
      </w:r>
      <w:r w:rsidRPr="00FD0165">
        <w:rPr>
          <w:rFonts w:hint="cs"/>
          <w:b/>
          <w:bCs/>
          <w:rtl/>
        </w:rPr>
        <w:t>מאסר בפועל לתקופה של 36 חודשים</w:t>
      </w:r>
      <w:r>
        <w:rPr>
          <w:rFonts w:hint="cs"/>
          <w:rtl/>
        </w:rPr>
        <w:t xml:space="preserve">; עבירות של איומים, תגרה והחזקת סכין שלא כדין בגינן נדון ביום 18.9.2011 לצו של"צ והתחייבות להימנע מביצוע עבירה.  </w:t>
      </w:r>
    </w:p>
    <w:p w14:paraId="1368AFD3" w14:textId="77777777" w:rsidR="000C7498" w:rsidRDefault="000C7498" w:rsidP="000C7498">
      <w:pPr>
        <w:pStyle w:val="a9"/>
        <w:numPr>
          <w:ilvl w:val="0"/>
          <w:numId w:val="1"/>
        </w:numPr>
        <w:spacing w:before="240" w:after="240" w:line="360" w:lineRule="auto"/>
        <w:contextualSpacing w:val="0"/>
        <w:jc w:val="both"/>
      </w:pPr>
      <w:r>
        <w:rPr>
          <w:rFonts w:hint="cs"/>
          <w:rtl/>
        </w:rPr>
        <w:t xml:space="preserve">מטעם ההגנה הוגשו תעודה רפואית בעניינו של הנאשם (נע/1) ותעודה רפואית הקשורה לאביו של הנאשם (נע/2). </w:t>
      </w:r>
    </w:p>
    <w:p w14:paraId="322DDED6" w14:textId="77777777" w:rsidR="000C7498" w:rsidRDefault="000C7498" w:rsidP="000C7498">
      <w:pPr>
        <w:pStyle w:val="a9"/>
        <w:spacing w:before="240" w:after="240" w:line="360" w:lineRule="auto"/>
        <w:ind w:left="360"/>
        <w:contextualSpacing w:val="0"/>
        <w:jc w:val="both"/>
        <w:rPr>
          <w:u w:val="single"/>
          <w:rtl/>
        </w:rPr>
      </w:pPr>
    </w:p>
    <w:p w14:paraId="24CA7F87" w14:textId="77777777" w:rsidR="000C7498" w:rsidRPr="00B14875" w:rsidRDefault="000C7498" w:rsidP="000C7498">
      <w:pPr>
        <w:pStyle w:val="a9"/>
        <w:spacing w:before="240" w:after="240" w:line="360" w:lineRule="auto"/>
        <w:ind w:left="360"/>
        <w:contextualSpacing w:val="0"/>
        <w:jc w:val="both"/>
        <w:rPr>
          <w:u w:val="single"/>
          <w:rtl/>
        </w:rPr>
      </w:pPr>
      <w:r w:rsidRPr="00B14875">
        <w:rPr>
          <w:rFonts w:hint="cs"/>
          <w:u w:val="single"/>
          <w:rtl/>
        </w:rPr>
        <w:t>טיעוני הצדדים לעונש</w:t>
      </w:r>
    </w:p>
    <w:p w14:paraId="078B11F9" w14:textId="77777777" w:rsidR="000C7498" w:rsidRDefault="000C7498" w:rsidP="000C7498">
      <w:pPr>
        <w:pStyle w:val="a9"/>
        <w:numPr>
          <w:ilvl w:val="0"/>
          <w:numId w:val="1"/>
        </w:numPr>
        <w:spacing w:before="240" w:after="240" w:line="360" w:lineRule="auto"/>
        <w:contextualSpacing w:val="0"/>
        <w:jc w:val="both"/>
      </w:pPr>
      <w:r w:rsidRPr="007127CC">
        <w:rPr>
          <w:rFonts w:hint="cs"/>
          <w:b/>
          <w:bCs/>
          <w:rtl/>
        </w:rPr>
        <w:t>התובע</w:t>
      </w:r>
      <w:r>
        <w:rPr>
          <w:rFonts w:hint="cs"/>
          <w:rtl/>
        </w:rPr>
        <w:t xml:space="preserve">, עו"ד יוסי קורצברג, עמד בטיעוניו על חומרת המעשה וטען כי מרצף ההרשעות המנויות ברישומו הפלילי של הנאשם עולה מגמה ברורה ומטרידה של הסלמה במעשים וברמת האלימות. כך נטען לדוגמא, כי בסמוך לגיל 16 הלך הנאשם לביתו של נער עמו הסתכסך כשהוא מצויד בסכין ואך בגלל שהנער האחר לא יצא מביתו הנאשם הורשע בעבירה של החזקת סכין, כשברור כי הלך בכוונה לדקור; שנה לאחר מכן שוב הלך לבית של אחר כשהוא מצויד בלום ובסכין והפעם גם דקר 4 דקירות; במקרה דנא הנאשם כבר לא הסתפק בסכין אלא נשא עמו אקדח תוך כדי בריחה משוטר, וההצטיידות במחסנית ובכדורים מעידה על כוונה לעשות בו שימוש. </w:t>
      </w:r>
    </w:p>
    <w:p w14:paraId="7D3D2C35" w14:textId="77777777" w:rsidR="000C7498" w:rsidRDefault="000C7498" w:rsidP="000C7498">
      <w:pPr>
        <w:pStyle w:val="a9"/>
        <w:spacing w:before="240" w:after="240" w:line="360" w:lineRule="auto"/>
        <w:ind w:left="360"/>
        <w:contextualSpacing w:val="0"/>
        <w:jc w:val="both"/>
        <w:rPr>
          <w:rtl/>
        </w:rPr>
      </w:pPr>
      <w:r>
        <w:rPr>
          <w:rFonts w:hint="cs"/>
          <w:rtl/>
        </w:rPr>
        <w:t xml:space="preserve">עוד נטען כי גיליון הרישום הפלילי של הנאשם משקף תמונה עגומה אודות מסוכנותו; וחרף גילוי הצעיר - הנאשם לא משנה את דרכיו, הוא המבצע העיקרי והנזק הצפוי כתוצאה מביצוע העבירה ברור על רקע עברו הפלילי. </w:t>
      </w:r>
    </w:p>
    <w:p w14:paraId="2ED5FAA5" w14:textId="77777777" w:rsidR="000C7498" w:rsidRDefault="000C7498" w:rsidP="000C7498">
      <w:pPr>
        <w:pStyle w:val="a9"/>
        <w:spacing w:before="240" w:after="240" w:line="360" w:lineRule="auto"/>
        <w:ind w:left="360"/>
        <w:contextualSpacing w:val="0"/>
        <w:jc w:val="both"/>
        <w:rPr>
          <w:rtl/>
        </w:rPr>
      </w:pPr>
      <w:r>
        <w:rPr>
          <w:rFonts w:hint="cs"/>
          <w:rtl/>
        </w:rPr>
        <w:t xml:space="preserve">לדברי התובע, גם אם הודאת הנאשם הובילה לחסכון בזמן ציבורי, היא נעדרת כל אלמנט של הפנמה נוכח מוטיב החזרתיות העולה מגליון הרישום הפלילי.    </w:t>
      </w:r>
    </w:p>
    <w:p w14:paraId="61FD5C7D" w14:textId="77777777" w:rsidR="000C7498" w:rsidRDefault="000C7498" w:rsidP="000C7498">
      <w:pPr>
        <w:pStyle w:val="a9"/>
        <w:spacing w:before="240" w:after="240" w:line="360" w:lineRule="auto"/>
        <w:ind w:left="360"/>
        <w:contextualSpacing w:val="0"/>
        <w:jc w:val="both"/>
        <w:rPr>
          <w:rtl/>
        </w:rPr>
      </w:pPr>
      <w:r>
        <w:rPr>
          <w:rFonts w:hint="cs"/>
          <w:rtl/>
        </w:rPr>
        <w:t xml:space="preserve">לאור האמור, עתר התובע לקביעת מתחם ענישה שנע בין 30 ל- 60 חודשי מאסר ולמיקומו של הנאשם ברף העליון של המתחם. </w:t>
      </w:r>
    </w:p>
    <w:p w14:paraId="4FD20B5D" w14:textId="77777777" w:rsidR="000C7498" w:rsidRDefault="000C7498" w:rsidP="000C7498">
      <w:pPr>
        <w:pStyle w:val="a9"/>
        <w:numPr>
          <w:ilvl w:val="0"/>
          <w:numId w:val="1"/>
        </w:numPr>
        <w:spacing w:before="240" w:after="240" w:line="360" w:lineRule="auto"/>
        <w:contextualSpacing w:val="0"/>
        <w:jc w:val="both"/>
      </w:pPr>
      <w:r>
        <w:rPr>
          <w:rFonts w:hint="cs"/>
          <w:b/>
          <w:bCs/>
          <w:rtl/>
        </w:rPr>
        <w:t>הסנגור</w:t>
      </w:r>
      <w:r>
        <w:rPr>
          <w:rFonts w:hint="cs"/>
          <w:rtl/>
        </w:rPr>
        <w:t xml:space="preserve">, עו"ד גלעד מנשה, התייחס בטיעוניו להודאתו של הנאשם בעובדות כתב האישום המתוקן מבלי שגובשה הסכמה לעניין העונש, לחיסכון בזמן שיפוטי יקר ולנטילת האחריות, וציין כי בניגוד לדברי התובע, הנאשם כן מביע חרטה על מעשיו. הסניגור הפנה גם לתעודות הרפואיות שהוגשו בעניינו של הנאשם ושל אביו. </w:t>
      </w:r>
    </w:p>
    <w:p w14:paraId="480AD476" w14:textId="77777777" w:rsidR="000C7498" w:rsidRDefault="000C7498" w:rsidP="000C7498">
      <w:pPr>
        <w:pStyle w:val="a9"/>
        <w:spacing w:before="240" w:after="240" w:line="360" w:lineRule="auto"/>
        <w:ind w:left="360"/>
        <w:contextualSpacing w:val="0"/>
        <w:jc w:val="both"/>
        <w:rPr>
          <w:rtl/>
        </w:rPr>
      </w:pPr>
      <w:r>
        <w:rPr>
          <w:rFonts w:hint="cs"/>
          <w:rtl/>
        </w:rPr>
        <w:t xml:space="preserve">ההגנה לא חלקה על עברו הפלילי ועל חומרת העבירה אולם לשיטתה אין בעברו הפלילי עבירות נשק ויש לערוך הבחנה בין מתחם ענישה המבוסס על עבירות של נשיאת אקדח מהסוג אותו נשא הנאשם, לבין עבירות </w:t>
      </w:r>
      <w:r>
        <w:rPr>
          <w:rFonts w:hint="cs"/>
          <w:rtl/>
        </w:rPr>
        <w:lastRenderedPageBreak/>
        <w:t xml:space="preserve">המבוצעות באמצעות כלי נשק מסוכנים יותר כגון תת מקלע או אקדח 9 מ"מ. עוד נטען, כי האקדח שנשא עמו הנאשם לא היה דרוך, המחסנית הייתה מופרדת מהכדורים, זמן הנשיאה היה קצר ביותר ובפועל לא נגרם נזק. </w:t>
      </w:r>
    </w:p>
    <w:p w14:paraId="62859F5D" w14:textId="77777777" w:rsidR="000C7498" w:rsidRDefault="000C7498" w:rsidP="000C7498">
      <w:pPr>
        <w:pStyle w:val="a9"/>
        <w:spacing w:before="240" w:after="240" w:line="360" w:lineRule="auto"/>
        <w:ind w:left="360"/>
        <w:contextualSpacing w:val="0"/>
        <w:jc w:val="both"/>
        <w:rPr>
          <w:rtl/>
        </w:rPr>
      </w:pPr>
      <w:r>
        <w:rPr>
          <w:rFonts w:hint="cs"/>
          <w:rtl/>
        </w:rPr>
        <w:t xml:space="preserve">לאור האמור, עתר הסנגור לקביעת מתחם ענישה שנע בין 9 ל- 18 חודשי מאסר ולמיקומו של הנאשם במחצית התחתונה של המתחם.  </w:t>
      </w:r>
    </w:p>
    <w:p w14:paraId="3B3F8D39" w14:textId="77777777" w:rsidR="000C7498" w:rsidRDefault="000C7498" w:rsidP="000C7498">
      <w:pPr>
        <w:pStyle w:val="a9"/>
        <w:numPr>
          <w:ilvl w:val="0"/>
          <w:numId w:val="1"/>
        </w:numPr>
        <w:spacing w:before="240" w:after="240" w:line="360" w:lineRule="auto"/>
        <w:contextualSpacing w:val="0"/>
        <w:jc w:val="both"/>
      </w:pPr>
      <w:r>
        <w:rPr>
          <w:rFonts w:hint="cs"/>
          <w:b/>
          <w:bCs/>
          <w:rtl/>
        </w:rPr>
        <w:t>הנאשם</w:t>
      </w:r>
      <w:r>
        <w:rPr>
          <w:rFonts w:hint="cs"/>
          <w:rtl/>
        </w:rPr>
        <w:t xml:space="preserve"> בדברו האחרון הביע חרטה על מעשיו, טען כי הוא חש בושה לאחר ששמע את סקירת רישומו הפלילי, ולא יודע כיצד הגיע למצב בו הוא נמצא. </w:t>
      </w:r>
    </w:p>
    <w:p w14:paraId="1019A6C4" w14:textId="77777777" w:rsidR="000C7498" w:rsidRPr="00DB17FB" w:rsidRDefault="000C7498" w:rsidP="000C7498">
      <w:pPr>
        <w:pStyle w:val="a9"/>
        <w:spacing w:before="240" w:after="240" w:line="360" w:lineRule="auto"/>
        <w:ind w:left="360"/>
        <w:contextualSpacing w:val="0"/>
        <w:jc w:val="both"/>
        <w:rPr>
          <w:sz w:val="28"/>
          <w:szCs w:val="28"/>
          <w:rtl/>
        </w:rPr>
      </w:pPr>
      <w:r w:rsidRPr="00DB17FB">
        <w:rPr>
          <w:rFonts w:hint="cs"/>
          <w:b/>
          <w:bCs/>
          <w:sz w:val="28"/>
          <w:szCs w:val="28"/>
          <w:u w:val="single"/>
          <w:rtl/>
        </w:rPr>
        <w:t>דיון והכרעה</w:t>
      </w:r>
    </w:p>
    <w:p w14:paraId="431F65A0" w14:textId="77777777" w:rsidR="000C7498" w:rsidRPr="00B14875" w:rsidRDefault="000C7498" w:rsidP="000C7498">
      <w:pPr>
        <w:pStyle w:val="a9"/>
        <w:spacing w:before="240" w:after="240" w:line="360" w:lineRule="auto"/>
        <w:ind w:left="360"/>
        <w:contextualSpacing w:val="0"/>
        <w:jc w:val="both"/>
        <w:rPr>
          <w:u w:val="single"/>
        </w:rPr>
      </w:pPr>
      <w:r>
        <w:rPr>
          <w:rFonts w:hint="cs"/>
          <w:u w:val="single"/>
          <w:rtl/>
        </w:rPr>
        <w:t>קביעת מתחם העונש ההולם</w:t>
      </w:r>
    </w:p>
    <w:p w14:paraId="268A7C59" w14:textId="77777777" w:rsidR="000C7498" w:rsidRDefault="000C7498" w:rsidP="000C7498">
      <w:pPr>
        <w:pStyle w:val="a9"/>
        <w:numPr>
          <w:ilvl w:val="0"/>
          <w:numId w:val="1"/>
        </w:numPr>
        <w:spacing w:before="240" w:after="240" w:line="360" w:lineRule="auto"/>
        <w:contextualSpacing w:val="0"/>
        <w:jc w:val="both"/>
      </w:pPr>
      <w:r>
        <w:rPr>
          <w:rFonts w:hint="cs"/>
          <w:rtl/>
        </w:rPr>
        <w:t>בתי המשפט חזרו פעם אחר פעם על חומרתן של עבירות נשק והסכנה הרבה הטמונה בהן "</w:t>
      </w:r>
      <w:r>
        <w:rPr>
          <w:rFonts w:hint="cs"/>
          <w:b/>
          <w:bCs/>
          <w:rtl/>
        </w:rPr>
        <w:t>בעיקר בשל כך שעבירות מסוג זה מקימות פוטנציאל להסלמה עבריינית ויוצרות סיכון ממשי וחמור לשלום הציבור וביטחונו</w:t>
      </w:r>
      <w:r>
        <w:rPr>
          <w:rFonts w:hint="cs"/>
          <w:rtl/>
        </w:rPr>
        <w:t>" (</w:t>
      </w:r>
      <w:hyperlink r:id="rId11" w:history="1">
        <w:r w:rsidR="008E21FB" w:rsidRPr="008E21FB">
          <w:rPr>
            <w:color w:val="0000FF"/>
            <w:u w:val="single"/>
            <w:rtl/>
          </w:rPr>
          <w:t>ע"פ 3156/11</w:t>
        </w:r>
      </w:hyperlink>
      <w:r>
        <w:rPr>
          <w:rFonts w:hint="cs"/>
          <w:rtl/>
        </w:rPr>
        <w:t xml:space="preserve"> </w:t>
      </w:r>
      <w:r>
        <w:rPr>
          <w:rFonts w:hint="cs"/>
          <w:b/>
          <w:bCs/>
          <w:rtl/>
        </w:rPr>
        <w:t>זראיעה נ' מדינת ישראל</w:t>
      </w:r>
      <w:r>
        <w:rPr>
          <w:rFonts w:hint="cs"/>
          <w:rtl/>
        </w:rPr>
        <w:t xml:space="preserve">, פס' 5 (21.2.2012)). </w:t>
      </w:r>
    </w:p>
    <w:p w14:paraId="29D13847" w14:textId="77777777" w:rsidR="000C7498" w:rsidRDefault="000C7498" w:rsidP="000C7498">
      <w:pPr>
        <w:pStyle w:val="a9"/>
        <w:spacing w:before="240" w:after="240" w:line="360" w:lineRule="auto"/>
        <w:ind w:left="360"/>
        <w:contextualSpacing w:val="0"/>
        <w:jc w:val="both"/>
        <w:rPr>
          <w:rtl/>
        </w:rPr>
      </w:pPr>
      <w:r>
        <w:rPr>
          <w:rFonts w:hint="cs"/>
          <w:rtl/>
        </w:rPr>
        <w:t>הערכים החברתיים הרלוונטיים לעבירות נשק הם הגנה על שלום הציבור וביטחונו ועל הסדר הציבורי, זאת מאחר שעבירות אלה מהוות את התשתית לביצוע מגוון רחב של עבירות - החל בעבירות איומים, המשך בעבירות גרימת חבלה חמורה וכלה בעבירות המתה - עבירות הגוררות מטבע הדברים פגיעה בגוף, בנפש וברכוש [</w:t>
      </w:r>
      <w:hyperlink r:id="rId12" w:history="1">
        <w:r w:rsidR="008E21FB" w:rsidRPr="008E21FB">
          <w:rPr>
            <w:color w:val="0000FF"/>
            <w:u w:val="single"/>
            <w:rtl/>
          </w:rPr>
          <w:t>ע"פ 4406/19</w:t>
        </w:r>
      </w:hyperlink>
      <w:r>
        <w:rPr>
          <w:rFonts w:hint="cs"/>
          <w:rtl/>
        </w:rPr>
        <w:t xml:space="preserve"> </w:t>
      </w:r>
      <w:r>
        <w:rPr>
          <w:rFonts w:hint="cs"/>
          <w:b/>
          <w:bCs/>
          <w:rtl/>
        </w:rPr>
        <w:t>מדינת ישראל נ' יונס סובח</w:t>
      </w:r>
      <w:r>
        <w:rPr>
          <w:rFonts w:hint="cs"/>
          <w:rtl/>
        </w:rPr>
        <w:t xml:space="preserve"> (5.11.2019) (להלן - </w:t>
      </w:r>
      <w:r>
        <w:rPr>
          <w:rFonts w:hint="cs"/>
          <w:b/>
          <w:bCs/>
          <w:rtl/>
        </w:rPr>
        <w:t>עניין סובח</w:t>
      </w:r>
      <w:r>
        <w:rPr>
          <w:rFonts w:hint="cs"/>
          <w:rtl/>
        </w:rPr>
        <w:t xml:space="preserve">)].  </w:t>
      </w:r>
    </w:p>
    <w:p w14:paraId="5A68BC61" w14:textId="77777777" w:rsidR="000C7498" w:rsidRDefault="000C7498" w:rsidP="000C7498">
      <w:pPr>
        <w:pStyle w:val="a9"/>
        <w:numPr>
          <w:ilvl w:val="0"/>
          <w:numId w:val="1"/>
        </w:numPr>
        <w:spacing w:before="240" w:after="240" w:line="360" w:lineRule="auto"/>
        <w:contextualSpacing w:val="0"/>
        <w:jc w:val="both"/>
        <w:rPr>
          <w:rtl/>
        </w:rPr>
      </w:pPr>
      <w:r>
        <w:rPr>
          <w:rFonts w:hint="cs"/>
          <w:rtl/>
        </w:rPr>
        <w:t xml:space="preserve">מצאתי כי מידת הפגיעה בערכים המוגנים במקרה דנא היא </w:t>
      </w:r>
      <w:r>
        <w:rPr>
          <w:rFonts w:hint="cs"/>
          <w:b/>
          <w:bCs/>
          <w:rtl/>
        </w:rPr>
        <w:t>בינונית</w:t>
      </w:r>
      <w:r>
        <w:rPr>
          <w:rFonts w:hint="cs"/>
          <w:rtl/>
        </w:rPr>
        <w:t xml:space="preserve">. מסקנה זו מבוססת על כלל הנתונים הקשורים לנסיבות ביצוע העבירה, כפי שיפורטו להלן: </w:t>
      </w:r>
    </w:p>
    <w:p w14:paraId="7F0FC51A" w14:textId="77777777" w:rsidR="000C7498" w:rsidRDefault="000C7498" w:rsidP="000C7498">
      <w:pPr>
        <w:pStyle w:val="a9"/>
        <w:spacing w:before="240" w:after="240" w:line="360" w:lineRule="auto"/>
        <w:ind w:left="360"/>
        <w:contextualSpacing w:val="0"/>
        <w:jc w:val="both"/>
        <w:rPr>
          <w:rtl/>
        </w:rPr>
      </w:pPr>
      <w:r>
        <w:rPr>
          <w:rFonts w:hint="cs"/>
          <w:rtl/>
        </w:rPr>
        <w:t xml:space="preserve">בעניינו, הנאשם נשא כלי נשק מסוג אקדח בשעות היום בטבורה של עיר, ולכן פוטנציאל הנזק בהקשר זה הוא רב שכן אין לדעת לאילו תוצאות הרסניות היו מעשיו של הנאשם מובילים, וניתן אך לשער כי היו עלולים לכלול פגיעה בגוף, בנפש או בחיי אדם מקום בו היה נעשה שימוש באקדח. </w:t>
      </w:r>
      <w:r>
        <w:rPr>
          <w:rFonts w:ascii="Arial (W1)" w:hAnsi="Arial (W1)" w:hint="cs"/>
          <w:color w:val="000000"/>
          <w:rtl/>
        </w:rPr>
        <w:t>הגם</w:t>
      </w:r>
      <w:r>
        <w:rPr>
          <w:rFonts w:ascii="Arial (W1)" w:hAnsi="Arial (W1)"/>
          <w:color w:val="000000"/>
          <w:rtl/>
        </w:rPr>
        <w:t xml:space="preserve"> שלא צוין בכתב האישום הרקע ל</w:t>
      </w:r>
      <w:r>
        <w:rPr>
          <w:rFonts w:ascii="Arial (W1)" w:hAnsi="Arial (W1)" w:hint="cs"/>
          <w:color w:val="000000"/>
          <w:rtl/>
        </w:rPr>
        <w:t>נשיאת האקדח</w:t>
      </w:r>
      <w:r>
        <w:rPr>
          <w:rFonts w:ascii="Arial (W1)" w:hAnsi="Arial (W1)"/>
          <w:color w:val="000000"/>
          <w:rtl/>
        </w:rPr>
        <w:t xml:space="preserve"> או נתון בדבר כוונה לעשות בו שימוש</w:t>
      </w:r>
      <w:r>
        <w:rPr>
          <w:rFonts w:ascii="Arial (W1)" w:hAnsi="Arial (W1)" w:hint="cs"/>
          <w:color w:val="000000"/>
          <w:rtl/>
        </w:rPr>
        <w:t xml:space="preserve">, </w:t>
      </w:r>
      <w:r>
        <w:rPr>
          <w:rFonts w:hint="cs"/>
          <w:rtl/>
        </w:rPr>
        <w:t>הרי שאין בכך כדי לגרוע מפוטנציאל הנזק האמור. לעניין זה ראיתי להפנות ל</w:t>
      </w:r>
      <w:hyperlink r:id="rId13" w:history="1">
        <w:r w:rsidR="008E21FB" w:rsidRPr="008E21FB">
          <w:rPr>
            <w:color w:val="0000FF"/>
            <w:u w:val="single"/>
            <w:rtl/>
          </w:rPr>
          <w:t>ע"פ 4945/13</w:t>
        </w:r>
      </w:hyperlink>
      <w:r>
        <w:rPr>
          <w:rFonts w:hint="cs"/>
          <w:rtl/>
        </w:rPr>
        <w:t xml:space="preserve"> </w:t>
      </w:r>
      <w:r>
        <w:rPr>
          <w:rFonts w:hint="cs"/>
          <w:b/>
          <w:bCs/>
          <w:rtl/>
        </w:rPr>
        <w:t xml:space="preserve">מדינת ישראל נ' סלימאן </w:t>
      </w:r>
      <w:r>
        <w:rPr>
          <w:rFonts w:hint="cs"/>
          <w:rtl/>
        </w:rPr>
        <w:t>(19.1.2014):</w:t>
      </w:r>
    </w:p>
    <w:p w14:paraId="1B097DEB" w14:textId="77777777" w:rsidR="000C7498" w:rsidRPr="00871C73" w:rsidRDefault="000C7498" w:rsidP="000C7498">
      <w:pPr>
        <w:pStyle w:val="a9"/>
        <w:spacing w:before="240" w:after="240" w:line="360" w:lineRule="auto"/>
        <w:ind w:left="360"/>
        <w:contextualSpacing w:val="0"/>
        <w:jc w:val="both"/>
        <w:rPr>
          <w:rtl/>
        </w:rPr>
      </w:pPr>
      <w:r>
        <w:rPr>
          <w:rFonts w:hint="cs"/>
          <w:rtl/>
        </w:rPr>
        <w:t>"</w:t>
      </w:r>
      <w:r>
        <w:rPr>
          <w:rFonts w:hint="cs"/>
          <w:b/>
          <w:bCs/>
          <w:rtl/>
        </w:rPr>
        <w:t xml:space="preserve">הסיכון שנשקף לשלום הציבור צריך להילקח בחשבון על ידי כל מי שמחזיק בידו נשק שלא כדין </w:t>
      </w:r>
      <w:r>
        <w:rPr>
          <w:b/>
          <w:bCs/>
          <w:rtl/>
        </w:rPr>
        <w:t>-</w:t>
      </w:r>
      <w:r>
        <w:rPr>
          <w:rFonts w:hint="cs"/>
          <w:b/>
          <w:bCs/>
          <w:rtl/>
        </w:rPr>
        <w:t xml:space="preserve">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r>
        <w:rPr>
          <w:rFonts w:hint="cs"/>
          <w:rtl/>
        </w:rPr>
        <w:t xml:space="preserve">". </w:t>
      </w:r>
    </w:p>
    <w:p w14:paraId="5630636E" w14:textId="77777777" w:rsidR="000C7498" w:rsidRDefault="000C7498" w:rsidP="000C7498">
      <w:pPr>
        <w:pStyle w:val="a9"/>
        <w:spacing w:before="240" w:after="240" w:line="360" w:lineRule="auto"/>
        <w:ind w:left="360"/>
        <w:contextualSpacing w:val="0"/>
        <w:jc w:val="both"/>
        <w:rPr>
          <w:rtl/>
        </w:rPr>
      </w:pPr>
      <w:r>
        <w:rPr>
          <w:rFonts w:hint="cs"/>
          <w:rtl/>
        </w:rPr>
        <w:t xml:space="preserve">יחד עם זאת, ומבלי לפגום בתוקפם של הדברים, סבורני כי יש טעם בטענת עו"ד מנשה לפיה מתחם העונש ההולם מושפע גם מסוג הנשק, וניתן לבצע הבחנה מסוימת בין נשיאת אקדח לבין נשיאת מטען חבלה או תת מקלע. הבחנה זו מתבקשת נוכח פוטנציאל הנזק הטמון בנשק, וניתן לומר בענייננו כי בשונה מתת מקלע - טווח הירי באקדח קצר יותר ואין ביכולתו להביא לנזק היקפי גדול ונרחב. קביעה זו עולה בקנה אחד עם פסיקת בית המשפט העליון: </w:t>
      </w:r>
    </w:p>
    <w:p w14:paraId="1963629B" w14:textId="77777777" w:rsidR="000C7498" w:rsidRDefault="000C7498" w:rsidP="000C7498">
      <w:pPr>
        <w:pStyle w:val="a9"/>
        <w:spacing w:before="240" w:after="240" w:line="360" w:lineRule="auto"/>
        <w:ind w:left="360"/>
        <w:contextualSpacing w:val="0"/>
        <w:jc w:val="both"/>
        <w:rPr>
          <w:rtl/>
        </w:rPr>
      </w:pPr>
      <w:r>
        <w:rPr>
          <w:rFonts w:ascii="FrankRuehl" w:hAnsi="FrankRuehl" w:hint="cs"/>
          <w:sz w:val="28"/>
          <w:rtl/>
        </w:rPr>
        <w:t>"</w:t>
      </w:r>
      <w:r w:rsidRPr="000E5DD8">
        <w:rPr>
          <w:rFonts w:ascii="FrankRuehl" w:hAnsi="FrankRuehl"/>
          <w:b/>
          <w:bCs/>
          <w:sz w:val="28"/>
          <w:rtl/>
        </w:rPr>
        <w:t xml:space="preserve">מתחם העונש ההולם בעבירות המבוצעות בנשק צריך שיקבע בהתאם לסוג הנשק שבו מדובר. שהרי, </w:t>
      </w:r>
      <w:r w:rsidRPr="000E5DD8">
        <w:rPr>
          <w:rFonts w:ascii="Times New Roman" w:hAnsi="Times New Roman" w:cs="Miriam"/>
          <w:b/>
          <w:bCs/>
          <w:sz w:val="28"/>
          <w:rtl/>
        </w:rPr>
        <w:t>סוג הנשק</w:t>
      </w:r>
      <w:r w:rsidRPr="000E5DD8">
        <w:rPr>
          <w:rFonts w:ascii="FrankRuehl" w:hAnsi="FrankRuehl"/>
          <w:b/>
          <w:bCs/>
          <w:sz w:val="28"/>
          <w:rtl/>
        </w:rPr>
        <w:t xml:space="preserve">, כמו-גם </w:t>
      </w:r>
      <w:r w:rsidRPr="000E5DD8">
        <w:rPr>
          <w:rFonts w:ascii="Times New Roman" w:hAnsi="Times New Roman" w:cs="Miriam"/>
          <w:b/>
          <w:bCs/>
          <w:sz w:val="28"/>
          <w:rtl/>
        </w:rPr>
        <w:t>ההיקף</w:t>
      </w:r>
      <w:r w:rsidRPr="000E5DD8">
        <w:rPr>
          <w:rFonts w:ascii="FrankRuehl" w:hAnsi="FrankRuehl"/>
          <w:b/>
          <w:bCs/>
          <w:sz w:val="28"/>
          <w:rtl/>
        </w:rPr>
        <w:t xml:space="preserve"> שבו נסחר, הוחזק, הובל וכיוצא באלה, הם </w:t>
      </w:r>
      <w:r w:rsidRPr="000E5DD8">
        <w:rPr>
          <w:rFonts w:ascii="Times New Roman" w:hAnsi="Times New Roman" w:cs="Miriam"/>
          <w:b/>
          <w:bCs/>
          <w:sz w:val="28"/>
          <w:rtl/>
        </w:rPr>
        <w:t xml:space="preserve">נסיבות הקשורות בביצוע העבירה </w:t>
      </w:r>
      <w:r w:rsidRPr="000E5DD8">
        <w:rPr>
          <w:rFonts w:ascii="FrankRuehl" w:hAnsi="FrankRuehl"/>
          <w:b/>
          <w:bCs/>
          <w:sz w:val="28"/>
          <w:rtl/>
        </w:rPr>
        <w:t>והם שקובעים את פוטנציאל הנזק הכרוך במעשה העבירה.</w:t>
      </w:r>
      <w:r w:rsidRPr="000E5DD8">
        <w:rPr>
          <w:rFonts w:ascii="FrankRuehl" w:hAnsi="FrankRuehl" w:hint="cs"/>
          <w:b/>
          <w:bCs/>
          <w:sz w:val="28"/>
          <w:rtl/>
        </w:rPr>
        <w:t>..</w:t>
      </w:r>
      <w:r w:rsidRPr="000E5DD8">
        <w:rPr>
          <w:rFonts w:ascii="FrankRuehl" w:hAnsi="FrankRuehl"/>
          <w:b/>
          <w:bCs/>
          <w:sz w:val="28"/>
          <w:rtl/>
        </w:rPr>
        <w:t xml:space="preserve"> למעשה, אין כל חידוש בקביעה כי קיים מדרג ענישה בעבירות המבוצעות בנשק, הנקבע, בין השאר, על-פי סוג, איכות וכמות הנשק שנעשה בו שימוש</w:t>
      </w:r>
      <w:r>
        <w:rPr>
          <w:rFonts w:ascii="FrankRuehl" w:hAnsi="FrankRuehl" w:hint="cs"/>
          <w:sz w:val="28"/>
          <w:rtl/>
        </w:rPr>
        <w:t>" [ההדגשות במקור - ב.ש] (</w:t>
      </w:r>
      <w:hyperlink r:id="rId14" w:history="1">
        <w:r w:rsidR="008E21FB" w:rsidRPr="008E21FB">
          <w:rPr>
            <w:rFonts w:ascii="FrankRuehl" w:hAnsi="FrankRuehl"/>
            <w:color w:val="0000FF"/>
            <w:sz w:val="28"/>
            <w:u w:val="single"/>
            <w:rtl/>
          </w:rPr>
          <w:t>ע"פ 1323/13</w:t>
        </w:r>
      </w:hyperlink>
      <w:r>
        <w:rPr>
          <w:rFonts w:ascii="FrankRuehl" w:hAnsi="FrankRuehl" w:hint="cs"/>
          <w:sz w:val="28"/>
          <w:rtl/>
        </w:rPr>
        <w:t xml:space="preserve"> </w:t>
      </w:r>
      <w:r>
        <w:rPr>
          <w:rFonts w:ascii="FrankRuehl" w:hAnsi="FrankRuehl" w:hint="cs"/>
          <w:b/>
          <w:bCs/>
          <w:sz w:val="28"/>
          <w:rtl/>
        </w:rPr>
        <w:t>חסן נ' מדינת ישראל</w:t>
      </w:r>
      <w:r>
        <w:rPr>
          <w:rFonts w:ascii="FrankRuehl" w:hAnsi="FrankRuehl" w:hint="cs"/>
          <w:sz w:val="28"/>
          <w:rtl/>
        </w:rPr>
        <w:t xml:space="preserve">, פס' 10 (5.6.2013); </w:t>
      </w:r>
      <w:r w:rsidRPr="000E5DD8">
        <w:rPr>
          <w:rFonts w:ascii="FrankRuehl" w:hAnsi="FrankRuehl" w:hint="cs"/>
          <w:sz w:val="28"/>
          <w:u w:val="single"/>
          <w:rtl/>
        </w:rPr>
        <w:t>וראו גם</w:t>
      </w:r>
      <w:r>
        <w:rPr>
          <w:rFonts w:ascii="FrankRuehl" w:hAnsi="FrankRuehl" w:hint="cs"/>
          <w:sz w:val="28"/>
          <w:rtl/>
        </w:rPr>
        <w:t>:</w:t>
      </w:r>
      <w:r>
        <w:rPr>
          <w:rFonts w:hint="cs"/>
          <w:rtl/>
        </w:rPr>
        <w:t xml:space="preserve"> </w:t>
      </w:r>
      <w:hyperlink r:id="rId15" w:history="1">
        <w:r w:rsidR="008E21FB" w:rsidRPr="008E21FB">
          <w:rPr>
            <w:color w:val="0000FF"/>
            <w:u w:val="single"/>
            <w:rtl/>
          </w:rPr>
          <w:t>ע"פ 9702/16</w:t>
        </w:r>
      </w:hyperlink>
      <w:r>
        <w:rPr>
          <w:rFonts w:hint="cs"/>
          <w:rtl/>
        </w:rPr>
        <w:t xml:space="preserve"> </w:t>
      </w:r>
      <w:r>
        <w:rPr>
          <w:rFonts w:hint="cs"/>
          <w:b/>
          <w:bCs/>
          <w:rtl/>
        </w:rPr>
        <w:t>אלוליאיה נ' מדינת ישראל</w:t>
      </w:r>
      <w:r>
        <w:rPr>
          <w:rFonts w:hint="cs"/>
          <w:rtl/>
        </w:rPr>
        <w:t xml:space="preserve">, פס' 8 (13.9.2017); </w:t>
      </w:r>
      <w:hyperlink r:id="rId16" w:history="1">
        <w:r w:rsidR="008E21FB" w:rsidRPr="008E21FB">
          <w:rPr>
            <w:color w:val="0000FF"/>
            <w:u w:val="single"/>
            <w:rtl/>
          </w:rPr>
          <w:t>ע"פ 8899/06</w:t>
        </w:r>
      </w:hyperlink>
      <w:r>
        <w:rPr>
          <w:rFonts w:hint="cs"/>
          <w:rtl/>
        </w:rPr>
        <w:t xml:space="preserve"> </w:t>
      </w:r>
      <w:r>
        <w:rPr>
          <w:rFonts w:hint="cs"/>
          <w:b/>
          <w:bCs/>
          <w:rtl/>
        </w:rPr>
        <w:t>ארמין נ' מדינת ישראל</w:t>
      </w:r>
      <w:r>
        <w:rPr>
          <w:rFonts w:hint="cs"/>
          <w:rtl/>
        </w:rPr>
        <w:t xml:space="preserve">, פס' 20 (29.7.2007)). </w:t>
      </w:r>
    </w:p>
    <w:p w14:paraId="14CAA083" w14:textId="77777777" w:rsidR="000C7498" w:rsidRDefault="000C7498" w:rsidP="000C7498">
      <w:pPr>
        <w:pStyle w:val="a9"/>
        <w:spacing w:before="240" w:after="240" w:line="360" w:lineRule="auto"/>
        <w:ind w:left="360"/>
        <w:contextualSpacing w:val="0"/>
        <w:jc w:val="both"/>
      </w:pPr>
      <w:r>
        <w:rPr>
          <w:rFonts w:hint="cs"/>
          <w:rtl/>
        </w:rPr>
        <w:t xml:space="preserve">כמו כן, יש ליתן את הדעת לעובדה כי בפועל לא נעשה שימוש באקדח ולא נגרם נזק ממשי בגין העבירה בה הורשע הנאשם והנשק נתפס על ידי המשטרה.  </w:t>
      </w:r>
    </w:p>
    <w:p w14:paraId="3C7C9104" w14:textId="77777777" w:rsidR="000C7498" w:rsidRDefault="000C7498" w:rsidP="000C7498">
      <w:pPr>
        <w:pStyle w:val="a9"/>
        <w:spacing w:before="240" w:after="240" w:line="360" w:lineRule="auto"/>
        <w:ind w:left="360"/>
        <w:contextualSpacing w:val="0"/>
        <w:jc w:val="both"/>
        <w:rPr>
          <w:rtl/>
        </w:rPr>
      </w:pPr>
    </w:p>
    <w:p w14:paraId="11D40E9D" w14:textId="77777777" w:rsidR="000C7498" w:rsidRDefault="000C7498" w:rsidP="000C7498">
      <w:pPr>
        <w:pStyle w:val="a9"/>
        <w:spacing w:before="240" w:after="240" w:line="360" w:lineRule="auto"/>
        <w:ind w:left="360"/>
        <w:contextualSpacing w:val="0"/>
        <w:jc w:val="both"/>
        <w:rPr>
          <w:rtl/>
        </w:rPr>
      </w:pPr>
    </w:p>
    <w:p w14:paraId="0F414D71" w14:textId="77777777" w:rsidR="000C7498" w:rsidRDefault="000C7498" w:rsidP="000C7498">
      <w:pPr>
        <w:pStyle w:val="a9"/>
        <w:spacing w:before="240" w:after="240" w:line="360" w:lineRule="auto"/>
        <w:ind w:left="360"/>
        <w:contextualSpacing w:val="0"/>
        <w:jc w:val="both"/>
        <w:rPr>
          <w:rtl/>
        </w:rPr>
      </w:pPr>
      <w:r>
        <w:rPr>
          <w:rFonts w:hint="cs"/>
          <w:rtl/>
        </w:rPr>
        <w:t xml:space="preserve">נתתי דעתי גם לכך שהנאשם נסע, כאמור, ברכב יחד עם שניים נוספים כשהוא נושא עמו אקדח, מחסנית ו- 4 כדורים תואמים בשעות הצהריים בסביבת מגורים; לאחר שהבחין בשוטרים יצא מן הרכב כשהוא נושא את האקדח בניסיון להימלט; לא שעה לקריאות השוטר שדלק בעקבותיו; והשליך את הנשק והתחמושת לתוך חצר בית פרטי. התנהלות זו צריכה אף היא לבוא לידי ביטוי במתחם העונש.  </w:t>
      </w:r>
    </w:p>
    <w:p w14:paraId="5744A890" w14:textId="77777777" w:rsidR="000C7498" w:rsidRDefault="000C7498" w:rsidP="000C7498">
      <w:pPr>
        <w:pStyle w:val="a9"/>
        <w:spacing w:before="240" w:after="240" w:line="360" w:lineRule="auto"/>
        <w:ind w:left="360"/>
        <w:contextualSpacing w:val="0"/>
        <w:jc w:val="both"/>
        <w:rPr>
          <w:rtl/>
        </w:rPr>
      </w:pPr>
      <w:r>
        <w:rPr>
          <w:rFonts w:hint="cs"/>
          <w:rtl/>
        </w:rPr>
        <w:t xml:space="preserve">בשנים האחרונות חלה בבית המשפט העליון מגמה של החמרה ברמת הענישה בעבירות נשק, אשר באה לידי ביטוי בשורה ארוכה של פסקי דין: </w:t>
      </w:r>
    </w:p>
    <w:p w14:paraId="00038537" w14:textId="77777777" w:rsidR="000C7498" w:rsidRPr="001937B3" w:rsidRDefault="000C7498" w:rsidP="000C7498">
      <w:pPr>
        <w:pStyle w:val="a9"/>
        <w:spacing w:before="240" w:after="240" w:line="360" w:lineRule="auto"/>
        <w:ind w:left="360"/>
        <w:contextualSpacing w:val="0"/>
        <w:jc w:val="both"/>
        <w:rPr>
          <w:rtl/>
        </w:rPr>
      </w:pPr>
      <w:r>
        <w:rPr>
          <w:rFonts w:hint="cs"/>
          <w:rtl/>
        </w:rPr>
        <w:t>"</w:t>
      </w:r>
      <w:r w:rsidRPr="001937B3">
        <w:rPr>
          <w:b/>
          <w:bCs/>
          <w:rtl/>
        </w:rPr>
        <w:t>החומרה היתרה הכרוכה בעבירות נשק והסיכון הנשקף מביצוען לציבור, מקבלים משנה תוקף בשים לב להיקפיה של התופעה ואופן התפשטותה. כמענה לכך, מסתמנת בפסיקה מגמה עקבית להחמיר את הענישה בגין עבירות אלו, באופן שיהלום את מידת פגיעתן בערכים המוגנים ויקדם את מיגור התופעה</w:t>
      </w:r>
      <w:r>
        <w:rPr>
          <w:rFonts w:hint="cs"/>
          <w:b/>
          <w:bCs/>
          <w:rtl/>
        </w:rPr>
        <w:t>...</w:t>
      </w:r>
      <w:r>
        <w:rPr>
          <w:rtl/>
        </w:rPr>
        <w:t xml:space="preserve"> </w:t>
      </w:r>
      <w:r w:rsidRPr="001937B3">
        <w:rPr>
          <w:b/>
          <w:bCs/>
          <w:rtl/>
        </w:rPr>
        <w:t>משכך, חרף עיקרון הענישה האינדיבידואלית והמשקל שיש ליתן לנסיבותיו האישיות של כל נאשם לגופו, בבואו לגזור את דינו של מי שהורשע בביצוע עבירות חמורות אלו, על בית המשפט לתת בכורה לשיקולי ההרתעה והאינטרס הציבורי</w:t>
      </w:r>
      <w:r>
        <w:rPr>
          <w:rFonts w:hint="cs"/>
          <w:rtl/>
        </w:rPr>
        <w:t xml:space="preserve"> (</w:t>
      </w:r>
      <w:hyperlink r:id="rId17" w:history="1">
        <w:r w:rsidR="008E21FB" w:rsidRPr="008E21FB">
          <w:rPr>
            <w:color w:val="0000FF"/>
            <w:u w:val="single"/>
            <w:rtl/>
          </w:rPr>
          <w:t>ע"פ 8045/17</w:t>
        </w:r>
      </w:hyperlink>
      <w:r>
        <w:rPr>
          <w:rFonts w:hint="cs"/>
          <w:rtl/>
        </w:rPr>
        <w:t xml:space="preserve"> </w:t>
      </w:r>
      <w:r>
        <w:rPr>
          <w:rFonts w:hint="cs"/>
          <w:b/>
          <w:bCs/>
          <w:rtl/>
        </w:rPr>
        <w:t>בראנסי נ' מדינת ישראל</w:t>
      </w:r>
      <w:r>
        <w:rPr>
          <w:rFonts w:hint="cs"/>
          <w:rtl/>
        </w:rPr>
        <w:t xml:space="preserve">, פס' 11 (16.8.2018)). </w:t>
      </w:r>
    </w:p>
    <w:p w14:paraId="221A4DD9" w14:textId="77777777" w:rsidR="000C7498" w:rsidRDefault="000C7498" w:rsidP="000C7498">
      <w:pPr>
        <w:pStyle w:val="a9"/>
        <w:spacing w:before="240" w:after="240" w:line="360" w:lineRule="auto"/>
        <w:ind w:left="360"/>
        <w:contextualSpacing w:val="0"/>
        <w:jc w:val="both"/>
        <w:rPr>
          <w:rtl/>
        </w:rPr>
      </w:pPr>
      <w:r>
        <w:rPr>
          <w:rFonts w:hint="cs"/>
          <w:rtl/>
        </w:rPr>
        <w:t>וכן:</w:t>
      </w:r>
    </w:p>
    <w:p w14:paraId="66294085" w14:textId="77777777" w:rsidR="000C7498" w:rsidRDefault="000C7498" w:rsidP="000C7498">
      <w:pPr>
        <w:pStyle w:val="a9"/>
        <w:spacing w:before="240" w:after="240" w:line="360" w:lineRule="auto"/>
        <w:ind w:left="360"/>
        <w:contextualSpacing w:val="0"/>
        <w:jc w:val="both"/>
        <w:rPr>
          <w:rtl/>
        </w:rPr>
      </w:pPr>
      <w:r>
        <w:rPr>
          <w:rFonts w:hint="cs"/>
          <w:rtl/>
        </w:rPr>
        <w:t>"</w:t>
      </w:r>
      <w:r w:rsidRPr="00FC420B">
        <w:rPr>
          <w:b/>
          <w:bCs/>
          <w:rtl/>
        </w:rPr>
        <w:t>המאבק בתופעות האלימות החמורות בחברה הישראלית בהן נעשה שימוש בנשק מחייב, מעבר למאמץ "לשים יד" על כלי הנשק הבלתי חוקיים הרבים שבידי הציבור, גם ע</w:t>
      </w:r>
      <w:r>
        <w:rPr>
          <w:b/>
          <w:bCs/>
          <w:rtl/>
        </w:rPr>
        <w:t>נישה מחמירה ומרתיעה בעבירות נשק</w:t>
      </w:r>
      <w:r>
        <w:rPr>
          <w:rFonts w:hint="cs"/>
          <w:b/>
          <w:bCs/>
          <w:rtl/>
        </w:rPr>
        <w:t>...</w:t>
      </w:r>
      <w:r w:rsidRPr="00FC420B">
        <w:rPr>
          <w:b/>
          <w:bCs/>
          <w:rtl/>
        </w:rPr>
        <w:t xml:space="preserve"> אזכיר כי המחוקק ביטא את גישתו המחמירה לתופעה זו כאשר קבע עונשים מחמירים של 7 שנות מאסר על רכישה או החזקה של נשק בלא רשות על פי דין, 10 שנות מאסר על נשיאה או הובלה של נשק בלא רשות על פי דין, ו- 15 שנות מאסר על ייצור, יבוא או סחר בנשק בלא רשות על פי דין...; זאת אף בלא שנעשה בנשק שימוש לביצוע עבירה נוספת</w:t>
      </w:r>
      <w:r>
        <w:rPr>
          <w:rFonts w:hint="cs"/>
          <w:rtl/>
        </w:rPr>
        <w:t>" (עניין סובח, פס' 17).</w:t>
      </w:r>
    </w:p>
    <w:p w14:paraId="579D08F1" w14:textId="77777777" w:rsidR="000C7498" w:rsidRPr="00376179" w:rsidRDefault="000C7498" w:rsidP="000C7498">
      <w:pPr>
        <w:pStyle w:val="a9"/>
        <w:spacing w:before="240" w:after="240" w:line="360" w:lineRule="auto"/>
        <w:ind w:left="360"/>
        <w:contextualSpacing w:val="0"/>
        <w:jc w:val="both"/>
        <w:rPr>
          <w:rtl/>
        </w:rPr>
      </w:pPr>
      <w:r>
        <w:rPr>
          <w:rFonts w:hint="cs"/>
          <w:u w:val="single"/>
          <w:rtl/>
        </w:rPr>
        <w:t>ו</w:t>
      </w:r>
      <w:r w:rsidRPr="00D10BA9">
        <w:rPr>
          <w:rFonts w:hint="cs"/>
          <w:u w:val="single"/>
          <w:rtl/>
        </w:rPr>
        <w:t>ראו גם</w:t>
      </w:r>
      <w:r>
        <w:rPr>
          <w:rFonts w:hint="cs"/>
          <w:rtl/>
        </w:rPr>
        <w:t xml:space="preserve">: </w:t>
      </w:r>
      <w:hyperlink r:id="rId18" w:history="1">
        <w:r w:rsidR="008E21FB" w:rsidRPr="008E21FB">
          <w:rPr>
            <w:color w:val="0000FF"/>
            <w:u w:val="single"/>
            <w:rtl/>
          </w:rPr>
          <w:t>ע"פ 7177/20</w:t>
        </w:r>
      </w:hyperlink>
      <w:r>
        <w:rPr>
          <w:rFonts w:hint="cs"/>
          <w:rtl/>
        </w:rPr>
        <w:t xml:space="preserve"> </w:t>
      </w:r>
      <w:r w:rsidRPr="00486EA5">
        <w:rPr>
          <w:rFonts w:hint="cs"/>
          <w:b/>
          <w:bCs/>
          <w:rtl/>
        </w:rPr>
        <w:t>כנעאן נ' מדינת ישראל</w:t>
      </w:r>
      <w:r>
        <w:rPr>
          <w:rFonts w:hint="cs"/>
          <w:rtl/>
        </w:rPr>
        <w:t xml:space="preserve">, פס' 2 (27.1.2021); </w:t>
      </w:r>
      <w:hyperlink r:id="rId19" w:history="1">
        <w:r w:rsidR="008E21FB" w:rsidRPr="008E21FB">
          <w:rPr>
            <w:color w:val="0000FF"/>
            <w:u w:val="single"/>
            <w:rtl/>
          </w:rPr>
          <w:t>ע"פ 5807/20</w:t>
        </w:r>
      </w:hyperlink>
      <w:r>
        <w:rPr>
          <w:rFonts w:hint="cs"/>
          <w:rtl/>
        </w:rPr>
        <w:t xml:space="preserve"> </w:t>
      </w:r>
      <w:r>
        <w:rPr>
          <w:rFonts w:hint="cs"/>
          <w:b/>
          <w:bCs/>
          <w:rtl/>
        </w:rPr>
        <w:t>שיבלי נ' מדינת ישראל</w:t>
      </w:r>
      <w:r>
        <w:rPr>
          <w:rFonts w:hint="cs"/>
          <w:rtl/>
        </w:rPr>
        <w:t>, פס' 8</w:t>
      </w:r>
      <w:r>
        <w:rPr>
          <w:rFonts w:hint="cs"/>
          <w:b/>
          <w:bCs/>
          <w:rtl/>
        </w:rPr>
        <w:t xml:space="preserve"> </w:t>
      </w:r>
      <w:r>
        <w:rPr>
          <w:rFonts w:hint="cs"/>
          <w:rtl/>
        </w:rPr>
        <w:t xml:space="preserve">(30.12.2020); </w:t>
      </w:r>
      <w:hyperlink r:id="rId20" w:history="1">
        <w:r w:rsidR="008E21FB" w:rsidRPr="008E21FB">
          <w:rPr>
            <w:color w:val="0000FF"/>
            <w:u w:val="single"/>
            <w:rtl/>
          </w:rPr>
          <w:t>ע"פ 8017/20</w:t>
        </w:r>
      </w:hyperlink>
      <w:r>
        <w:rPr>
          <w:rFonts w:hint="cs"/>
          <w:rtl/>
        </w:rPr>
        <w:t xml:space="preserve"> </w:t>
      </w:r>
      <w:r>
        <w:rPr>
          <w:rFonts w:hint="cs"/>
          <w:b/>
          <w:bCs/>
          <w:rtl/>
        </w:rPr>
        <w:t>מדינת ישראל נ' גריפאת</w:t>
      </w:r>
      <w:r>
        <w:rPr>
          <w:rFonts w:hint="cs"/>
          <w:rtl/>
        </w:rPr>
        <w:t xml:space="preserve">, פס' 6 (22.12.2020); </w:t>
      </w:r>
      <w:hyperlink r:id="rId21" w:history="1">
        <w:r w:rsidR="008E21FB" w:rsidRPr="008E21FB">
          <w:rPr>
            <w:color w:val="0000FF"/>
            <w:u w:val="single"/>
            <w:rtl/>
          </w:rPr>
          <w:t>ע"פ  2564/19</w:t>
        </w:r>
      </w:hyperlink>
      <w:r>
        <w:rPr>
          <w:rFonts w:hint="cs"/>
          <w:rtl/>
        </w:rPr>
        <w:t xml:space="preserve"> </w:t>
      </w:r>
      <w:r>
        <w:rPr>
          <w:rFonts w:hint="cs"/>
          <w:b/>
          <w:bCs/>
          <w:rtl/>
        </w:rPr>
        <w:t>אזברגה נ' מדינת ישראל</w:t>
      </w:r>
      <w:r>
        <w:rPr>
          <w:rFonts w:hint="cs"/>
          <w:rtl/>
        </w:rPr>
        <w:t xml:space="preserve">, פס' 10 (18.7.2019); </w:t>
      </w:r>
      <w:hyperlink r:id="rId22" w:history="1">
        <w:r w:rsidR="008E21FB" w:rsidRPr="008E21FB">
          <w:rPr>
            <w:color w:val="0000FF"/>
            <w:u w:val="single"/>
            <w:rtl/>
          </w:rPr>
          <w:t>ע"פ 135/17</w:t>
        </w:r>
      </w:hyperlink>
      <w:r>
        <w:rPr>
          <w:rFonts w:hint="cs"/>
          <w:rtl/>
        </w:rPr>
        <w:t xml:space="preserve"> </w:t>
      </w:r>
      <w:r>
        <w:rPr>
          <w:rFonts w:hint="cs"/>
          <w:b/>
          <w:bCs/>
          <w:rtl/>
        </w:rPr>
        <w:t>מדינת ישראל נ' בסל</w:t>
      </w:r>
      <w:r>
        <w:rPr>
          <w:rFonts w:hint="cs"/>
          <w:rtl/>
        </w:rPr>
        <w:t xml:space="preserve">, פס' 10 (8.3.2017). </w:t>
      </w:r>
    </w:p>
    <w:p w14:paraId="3E6CE6CF" w14:textId="77777777" w:rsidR="000C7498" w:rsidRDefault="000C7498" w:rsidP="000C7498">
      <w:pPr>
        <w:pStyle w:val="a9"/>
        <w:numPr>
          <w:ilvl w:val="0"/>
          <w:numId w:val="1"/>
        </w:numPr>
        <w:spacing w:before="240" w:after="240" w:line="360" w:lineRule="auto"/>
        <w:contextualSpacing w:val="0"/>
        <w:jc w:val="both"/>
      </w:pPr>
      <w:r>
        <w:rPr>
          <w:rFonts w:ascii="Arial (W1)" w:hAnsi="Arial (W1)"/>
          <w:color w:val="000000"/>
          <w:rtl/>
        </w:rPr>
        <w:t>מתוך כלל פסקי הדין שהוגשו על</w:t>
      </w:r>
      <w:r>
        <w:rPr>
          <w:rFonts w:ascii="Arial (W1)" w:hAnsi="Arial (W1)" w:hint="cs"/>
          <w:color w:val="000000"/>
          <w:rtl/>
        </w:rPr>
        <w:t xml:space="preserve"> </w:t>
      </w:r>
      <w:r>
        <w:rPr>
          <w:rFonts w:ascii="Arial (W1)" w:hAnsi="Arial (W1)"/>
          <w:color w:val="000000"/>
          <w:rtl/>
        </w:rPr>
        <w:t xml:space="preserve">ידי הצדדים, ואחרים שאותרו על ידי, </w:t>
      </w:r>
      <w:r>
        <w:rPr>
          <w:rFonts w:ascii="Arial (W1)" w:hAnsi="Arial (W1)" w:hint="cs"/>
          <w:color w:val="000000"/>
          <w:rtl/>
        </w:rPr>
        <w:t xml:space="preserve">מצאתי </w:t>
      </w:r>
      <w:r>
        <w:rPr>
          <w:rFonts w:ascii="Arial (W1)" w:hAnsi="Arial (W1)"/>
          <w:color w:val="000000"/>
          <w:rtl/>
        </w:rPr>
        <w:t>את הבאים כרלוונטיים ל</w:t>
      </w:r>
      <w:r>
        <w:rPr>
          <w:rFonts w:ascii="Arial (W1)" w:hAnsi="Arial (W1)" w:hint="cs"/>
          <w:color w:val="000000"/>
          <w:rtl/>
        </w:rPr>
        <w:t xml:space="preserve">צורך </w:t>
      </w:r>
      <w:r>
        <w:rPr>
          <w:rFonts w:ascii="Arial (W1)" w:hAnsi="Arial (W1)"/>
          <w:color w:val="000000"/>
          <w:rtl/>
        </w:rPr>
        <w:t>קביעת מתחם העונש ההולם:</w:t>
      </w:r>
    </w:p>
    <w:p w14:paraId="72DF6432" w14:textId="77777777" w:rsidR="000C7498" w:rsidRDefault="008E21FB" w:rsidP="000C7498">
      <w:pPr>
        <w:pStyle w:val="a9"/>
        <w:numPr>
          <w:ilvl w:val="0"/>
          <w:numId w:val="2"/>
        </w:numPr>
        <w:spacing w:before="240" w:after="240" w:line="360" w:lineRule="auto"/>
        <w:contextualSpacing w:val="0"/>
        <w:jc w:val="both"/>
        <w:rPr>
          <w:rtl/>
        </w:rPr>
      </w:pPr>
      <w:hyperlink r:id="rId23" w:history="1">
        <w:r w:rsidRPr="008E21FB">
          <w:rPr>
            <w:color w:val="0000FF"/>
            <w:u w:val="single"/>
            <w:rtl/>
          </w:rPr>
          <w:t>ע"פ 7177/20</w:t>
        </w:r>
      </w:hyperlink>
      <w:r w:rsidR="000C7498">
        <w:rPr>
          <w:rFonts w:hint="cs"/>
          <w:rtl/>
        </w:rPr>
        <w:t xml:space="preserve"> </w:t>
      </w:r>
      <w:r w:rsidR="000C7498">
        <w:rPr>
          <w:rFonts w:hint="cs"/>
          <w:b/>
          <w:bCs/>
          <w:rtl/>
        </w:rPr>
        <w:t>כנעאן נ' מדינת ישראל</w:t>
      </w:r>
      <w:r w:rsidR="000C7498">
        <w:rPr>
          <w:rFonts w:hint="cs"/>
          <w:rtl/>
        </w:rPr>
        <w:t xml:space="preserve"> (27.1.2021) - המערער הורשע על יסוד הודאתו בעבירה של נשיאת נשק בכך שיצא מפתח ביתו של שכנו, הוציא אקדח, הכניס לתוכו מחסנית טעונה, דרך את האקדח וכעבור מספר דקות פרק את האקדח והעביר אותו לנאשם 2 בכתב האישום. בית המשפט המחוזי קבע </w:t>
      </w:r>
      <w:r w:rsidR="000C7498" w:rsidRPr="00ED7718">
        <w:rPr>
          <w:rFonts w:hint="cs"/>
          <w:b/>
          <w:bCs/>
          <w:rtl/>
        </w:rPr>
        <w:t xml:space="preserve">מתחם ענישה שנע בין </w:t>
      </w:r>
      <w:r w:rsidR="000C7498">
        <w:rPr>
          <w:rFonts w:hint="cs"/>
          <w:b/>
          <w:bCs/>
          <w:rtl/>
        </w:rPr>
        <w:t>15 ל- 36</w:t>
      </w:r>
      <w:r w:rsidR="000C7498" w:rsidRPr="00ED7718">
        <w:rPr>
          <w:rFonts w:hint="cs"/>
          <w:b/>
          <w:bCs/>
          <w:rtl/>
        </w:rPr>
        <w:t xml:space="preserve"> חודשי מאסר בפועל</w:t>
      </w:r>
      <w:r w:rsidR="000C7498">
        <w:rPr>
          <w:rFonts w:hint="cs"/>
          <w:rtl/>
        </w:rPr>
        <w:t xml:space="preserve">, והשית על המערער </w:t>
      </w:r>
      <w:r w:rsidR="000C7498" w:rsidRPr="00ED7718">
        <w:rPr>
          <w:rFonts w:hint="cs"/>
          <w:b/>
          <w:bCs/>
          <w:rtl/>
        </w:rPr>
        <w:t>24 חודשי מאסר בפועל</w:t>
      </w:r>
      <w:r w:rsidR="000C7498">
        <w:rPr>
          <w:rFonts w:hint="cs"/>
          <w:rtl/>
        </w:rPr>
        <w:t xml:space="preserve">, לצד עונשים נלווים. בית המשפט העליון דחה ערעור על חומרת העונש. </w:t>
      </w:r>
    </w:p>
    <w:p w14:paraId="7F13B990" w14:textId="77777777" w:rsidR="000C7498" w:rsidRDefault="008E21FB" w:rsidP="000C7498">
      <w:pPr>
        <w:pStyle w:val="a9"/>
        <w:numPr>
          <w:ilvl w:val="0"/>
          <w:numId w:val="2"/>
        </w:numPr>
        <w:spacing w:before="240" w:after="240" w:line="360" w:lineRule="auto"/>
        <w:contextualSpacing w:val="0"/>
        <w:jc w:val="both"/>
        <w:rPr>
          <w:rtl/>
        </w:rPr>
      </w:pPr>
      <w:hyperlink r:id="rId24" w:history="1">
        <w:r w:rsidRPr="008E21FB">
          <w:rPr>
            <w:color w:val="0000FF"/>
            <w:u w:val="single"/>
            <w:rtl/>
          </w:rPr>
          <w:t>ע"פ 2564/19</w:t>
        </w:r>
      </w:hyperlink>
      <w:r w:rsidR="000C7498">
        <w:rPr>
          <w:rFonts w:hint="cs"/>
          <w:rtl/>
        </w:rPr>
        <w:t xml:space="preserve"> </w:t>
      </w:r>
      <w:r w:rsidR="000C7498">
        <w:rPr>
          <w:rFonts w:hint="cs"/>
          <w:b/>
          <w:bCs/>
          <w:rtl/>
        </w:rPr>
        <w:t xml:space="preserve">איברהים אזברגה נ' מדינת ישראל </w:t>
      </w:r>
      <w:r w:rsidR="000C7498">
        <w:rPr>
          <w:rFonts w:hint="cs"/>
          <w:rtl/>
        </w:rPr>
        <w:t xml:space="preserve">(18.7.2019) - המערער הורשע על יסוד הודאתו בעבירה של נשיאת נשק בכך שקשר קשר עם אחרים וניהל עמם משא ומתן לרכישת אקדח שהיה מצוי ברשותם במטרה לסחור בו. לאחר תיאום, הגיעו המערער ושותפו מלוד לירושלים, שם הועבר לרשותם אקדח גנוב מתוצרת חברת "גלוק", קליבר 9 מ"מ, יחד עם מחסנית תואמת. בסמוך לכך, נכנסו המערער ושותפו לרכב, הסתירו את האקדח מתחת למושב הנוסע שעליו ישב המערער, ועשו את דרכם חזרה מירושלים עד שנעצרו על ידי המשטרה. בית המשפט המחוזי קבע </w:t>
      </w:r>
      <w:r w:rsidR="000C7498" w:rsidRPr="00E519AC">
        <w:rPr>
          <w:rFonts w:hint="cs"/>
          <w:b/>
          <w:bCs/>
          <w:rtl/>
        </w:rPr>
        <w:t>מתחם ענישה שנע בין 12 ל- 40 חודשי מאסר בפועל</w:t>
      </w:r>
      <w:r w:rsidR="000C7498">
        <w:rPr>
          <w:rFonts w:hint="cs"/>
          <w:rtl/>
        </w:rPr>
        <w:t xml:space="preserve">, והשית על המערער </w:t>
      </w:r>
      <w:r w:rsidR="000C7498" w:rsidRPr="00E519AC">
        <w:rPr>
          <w:rFonts w:hint="cs"/>
          <w:b/>
          <w:bCs/>
          <w:rtl/>
        </w:rPr>
        <w:t>16 חודשי מאסר בפועל</w:t>
      </w:r>
      <w:r w:rsidR="000C7498">
        <w:rPr>
          <w:rFonts w:hint="cs"/>
          <w:rtl/>
        </w:rPr>
        <w:t xml:space="preserve">, לצד עונשים נלווים. בית המשפט העליון דחה ערעור על חומרת העונש. </w:t>
      </w:r>
    </w:p>
    <w:p w14:paraId="32C2BCA1" w14:textId="77777777" w:rsidR="000C7498" w:rsidRDefault="008E21FB" w:rsidP="000C7498">
      <w:pPr>
        <w:pStyle w:val="a9"/>
        <w:numPr>
          <w:ilvl w:val="0"/>
          <w:numId w:val="2"/>
        </w:numPr>
        <w:spacing w:before="240" w:after="240" w:line="360" w:lineRule="auto"/>
        <w:contextualSpacing w:val="0"/>
        <w:jc w:val="both"/>
        <w:rPr>
          <w:rtl/>
        </w:rPr>
      </w:pPr>
      <w:hyperlink r:id="rId25" w:history="1">
        <w:r w:rsidRPr="008E21FB">
          <w:rPr>
            <w:color w:val="0000FF"/>
            <w:u w:val="single"/>
            <w:rtl/>
          </w:rPr>
          <w:t>ע"פ 4345/18</w:t>
        </w:r>
      </w:hyperlink>
      <w:r w:rsidR="000C7498">
        <w:rPr>
          <w:rFonts w:hint="cs"/>
          <w:rtl/>
        </w:rPr>
        <w:t xml:space="preserve"> </w:t>
      </w:r>
      <w:r w:rsidR="000C7498">
        <w:rPr>
          <w:rFonts w:hint="cs"/>
          <w:b/>
          <w:bCs/>
          <w:rtl/>
        </w:rPr>
        <w:t xml:space="preserve">אבו עמאר נ' מדינת ישראל </w:t>
      </w:r>
      <w:r w:rsidR="000C7498">
        <w:rPr>
          <w:rFonts w:hint="cs"/>
          <w:rtl/>
        </w:rPr>
        <w:t xml:space="preserve">(29.11.2018) - המערער הורשע על יסוד הודאתו בעבירות של נשיאת נשק ונהיגה בקלות ראש בכך שנהג ברכבו בעיר לוד כשהוא נושא בתא הכפפות נשק מאולתר מסוג "קרל גוסטב", טעון במחסנית מלאה בעשרה כדורים תואמים. שני שוטרים אשר הבחינו בנהיגתו המהירה וחסרת הזהירות של המערער, כרזו לו לעצור את רכבו בצד הדרך, ובנסיבות אלה נתפס הנשק הטעון בתא הכפפות. בית המשפט המחוזי קבע </w:t>
      </w:r>
      <w:r w:rsidR="000C7498" w:rsidRPr="0042116E">
        <w:rPr>
          <w:rFonts w:hint="cs"/>
          <w:b/>
          <w:bCs/>
          <w:rtl/>
        </w:rPr>
        <w:t>מתחם ענישה שנע בין 20 ל- 48 חודשי מאסר בפועל</w:t>
      </w:r>
      <w:r w:rsidR="000C7498">
        <w:rPr>
          <w:rFonts w:hint="cs"/>
          <w:rtl/>
        </w:rPr>
        <w:t>, והשית על המערער</w:t>
      </w:r>
      <w:r w:rsidR="000C7498" w:rsidRPr="0042116E">
        <w:rPr>
          <w:rFonts w:hint="cs"/>
          <w:b/>
          <w:bCs/>
          <w:rtl/>
        </w:rPr>
        <w:t xml:space="preserve"> </w:t>
      </w:r>
      <w:r w:rsidR="000C7498" w:rsidRPr="00456044">
        <w:rPr>
          <w:rFonts w:hint="cs"/>
          <w:rtl/>
        </w:rPr>
        <w:t>20 חודשי מאסר בפועל,</w:t>
      </w:r>
      <w:r w:rsidR="000C7498" w:rsidRPr="0042116E">
        <w:rPr>
          <w:rFonts w:hint="cs"/>
          <w:b/>
          <w:bCs/>
          <w:rtl/>
        </w:rPr>
        <w:t xml:space="preserve"> </w:t>
      </w:r>
      <w:r w:rsidR="000C7498">
        <w:rPr>
          <w:rFonts w:hint="cs"/>
          <w:rtl/>
        </w:rPr>
        <w:t>לצד עונשים נלווים. במסגרת ערעור שהוגש על חומרת העונש, קבע בית המשפט העליון כך: "</w:t>
      </w:r>
      <w:r w:rsidR="000C7498">
        <w:rPr>
          <w:rFonts w:hint="cs"/>
          <w:b/>
          <w:bCs/>
          <w:rtl/>
        </w:rPr>
        <w:t>איננו סבורים כי יש מקום להתערב במתחם הענישה שקבע בית המשפט קמא, אשר רצפתו (20 חודשי מאסר) תואמת בקירוב את שנפסק על ידי בית משפט זה בעבירות מהסוג בו עסקינן, ביחס לנאשמים המצויים ברף התחתון של המתחם</w:t>
      </w:r>
      <w:r w:rsidR="000C7498">
        <w:rPr>
          <w:rFonts w:hint="cs"/>
          <w:rtl/>
        </w:rPr>
        <w:t xml:space="preserve">". יחד עם זאת, העונש שהושת על המערער הופחת והועמד על </w:t>
      </w:r>
      <w:r w:rsidR="000C7498" w:rsidRPr="0042116E">
        <w:rPr>
          <w:rFonts w:hint="cs"/>
          <w:b/>
          <w:bCs/>
          <w:rtl/>
        </w:rPr>
        <w:t>17 חודשי מאסר בפועל</w:t>
      </w:r>
      <w:r w:rsidR="000C7498">
        <w:rPr>
          <w:rFonts w:hint="cs"/>
          <w:rtl/>
        </w:rPr>
        <w:t xml:space="preserve">, וזאת לאור סיכויי שיקומו והשתלבותו בהליך טיפולי, ובשים לב לגילו הצעיר ולהעדר כל עבר פלילי. </w:t>
      </w:r>
    </w:p>
    <w:p w14:paraId="73CB34F1" w14:textId="77777777" w:rsidR="000C7498" w:rsidRDefault="008E21FB" w:rsidP="000C7498">
      <w:pPr>
        <w:pStyle w:val="a9"/>
        <w:numPr>
          <w:ilvl w:val="0"/>
          <w:numId w:val="2"/>
        </w:numPr>
        <w:spacing w:before="240" w:after="240" w:line="360" w:lineRule="auto"/>
        <w:contextualSpacing w:val="0"/>
        <w:jc w:val="both"/>
        <w:rPr>
          <w:rtl/>
        </w:rPr>
      </w:pPr>
      <w:hyperlink r:id="rId26" w:history="1">
        <w:r w:rsidRPr="008E21FB">
          <w:rPr>
            <w:color w:val="0000FF"/>
            <w:u w:val="single"/>
            <w:rtl/>
          </w:rPr>
          <w:t>ע"פ 4135/16</w:t>
        </w:r>
      </w:hyperlink>
      <w:r w:rsidR="000C7498">
        <w:rPr>
          <w:rFonts w:hint="cs"/>
          <w:rtl/>
        </w:rPr>
        <w:t xml:space="preserve"> </w:t>
      </w:r>
      <w:r w:rsidR="000C7498">
        <w:rPr>
          <w:rFonts w:hint="cs"/>
          <w:b/>
          <w:bCs/>
          <w:rtl/>
        </w:rPr>
        <w:t xml:space="preserve">נאסר נ' מדינת ישראל </w:t>
      </w:r>
      <w:r w:rsidR="000C7498">
        <w:rPr>
          <w:rFonts w:hint="cs"/>
          <w:rtl/>
        </w:rPr>
        <w:t xml:space="preserve">(22.2.2017) - המערער הורשע על יסוד הודאתו בעבירות של החזקת נשק, הובלת נשק ונהיגה בזמן פסילה בכך שהחזיק בשדה ליד ביתו אקדח, שתי מחסניות ו- 13 כדורים. בשלב כלשהו, נטל המערער את האקדח ממקום המסתור וחרף היותו פסול מנהיגה, נהג ברכבו כאשר האקדח והתחמושת מוסתרים מתחת למושב הרכב. בית המשפט המחוזי קבע לעבירת נשיאת הנשק </w:t>
      </w:r>
      <w:r w:rsidR="000C7498" w:rsidRPr="001A1D8E">
        <w:rPr>
          <w:rFonts w:hint="cs"/>
          <w:b/>
          <w:bCs/>
          <w:rtl/>
        </w:rPr>
        <w:t>מתחם ענישה שנע בין 18 ל- 40 חודשי מאסר בפועל</w:t>
      </w:r>
      <w:r w:rsidR="000C7498">
        <w:rPr>
          <w:rFonts w:hint="cs"/>
          <w:rtl/>
        </w:rPr>
        <w:t xml:space="preserve">. לעבירת הנהיגה בזמן פסילה נקבע מתחם ענישה שנע בין מאסר על תנאי ועד ל- 10 חודשי מאסר. על המערער הושת </w:t>
      </w:r>
      <w:r w:rsidR="000C7498" w:rsidRPr="001A1D8E">
        <w:rPr>
          <w:rFonts w:hint="cs"/>
          <w:b/>
          <w:bCs/>
          <w:rtl/>
        </w:rPr>
        <w:t>עונש כולל של</w:t>
      </w:r>
      <w:r w:rsidR="000C7498">
        <w:rPr>
          <w:rFonts w:hint="cs"/>
          <w:rtl/>
        </w:rPr>
        <w:t xml:space="preserve"> </w:t>
      </w:r>
      <w:r w:rsidR="000C7498" w:rsidRPr="001A1D8E">
        <w:rPr>
          <w:rFonts w:hint="cs"/>
          <w:b/>
          <w:bCs/>
          <w:rtl/>
        </w:rPr>
        <w:t>30 חודשי מאסר בפועל</w:t>
      </w:r>
      <w:r w:rsidR="000C7498">
        <w:rPr>
          <w:rFonts w:hint="cs"/>
          <w:rtl/>
        </w:rPr>
        <w:t xml:space="preserve"> (כן הופעל עונש מאסר על תנאי כך שבסך הכל הושת על המערער עונש של 36 חודשי מאסר בפועל). בית המשפט העליון דחה ערעור על חומרת העונש.  </w:t>
      </w:r>
    </w:p>
    <w:p w14:paraId="55BAF431" w14:textId="77777777" w:rsidR="000C7498" w:rsidRDefault="008E21FB" w:rsidP="000C7498">
      <w:pPr>
        <w:pStyle w:val="a9"/>
        <w:numPr>
          <w:ilvl w:val="0"/>
          <w:numId w:val="2"/>
        </w:numPr>
        <w:spacing w:before="240" w:after="240" w:line="360" w:lineRule="auto"/>
        <w:contextualSpacing w:val="0"/>
        <w:jc w:val="both"/>
        <w:rPr>
          <w:rtl/>
        </w:rPr>
      </w:pPr>
      <w:hyperlink r:id="rId27" w:history="1">
        <w:r w:rsidRPr="008E21FB">
          <w:rPr>
            <w:color w:val="0000FF"/>
            <w:u w:val="single"/>
            <w:rtl/>
          </w:rPr>
          <w:t>ע"פ 3877/16</w:t>
        </w:r>
      </w:hyperlink>
      <w:r w:rsidR="000C7498">
        <w:rPr>
          <w:rFonts w:hint="cs"/>
          <w:rtl/>
        </w:rPr>
        <w:t xml:space="preserve"> </w:t>
      </w:r>
      <w:r w:rsidR="000C7498">
        <w:rPr>
          <w:rFonts w:hint="cs"/>
          <w:b/>
          <w:bCs/>
          <w:rtl/>
        </w:rPr>
        <w:t xml:space="preserve">ג'באלי נ' מדינת ישראל </w:t>
      </w:r>
      <w:r w:rsidR="000C7498">
        <w:rPr>
          <w:rFonts w:hint="cs"/>
          <w:rtl/>
        </w:rPr>
        <w:t xml:space="preserve">(17.11.2016) - המערער הורשע על יסוד הודאתו בעבירה של נשיאת נשק בכך שבעקבות סכסוך שנתגלע בין קרוב משפחה של המערער לבין אחר, נסע המערער למקום מפגש בו קבעו השניים להיפגש לצורך יישוב הסכסוך, כשהוא נושא עמו ברכב אקדח טעון במחסנית שהכילה 14 כדורים. כשהגיע למקום המפגש, עצר המערער את הרכב והחביא את האקדח במכנסיו. באותו שלב הגיעו למקום שוטרים שהורו למערער להרים ידיים אך המערער כרע לכיוון הרצפה והשליך את האקדח מאחורי גבו. בית המשפט המחוזי קבע </w:t>
      </w:r>
      <w:r w:rsidR="000C7498" w:rsidRPr="00E519AC">
        <w:rPr>
          <w:rFonts w:hint="cs"/>
          <w:b/>
          <w:bCs/>
          <w:rtl/>
        </w:rPr>
        <w:t>מתחם ענישה שנע בין 24 ל- 48 חודשי מאסר בפועל</w:t>
      </w:r>
      <w:r w:rsidR="000C7498">
        <w:rPr>
          <w:rFonts w:hint="cs"/>
          <w:rtl/>
        </w:rPr>
        <w:t xml:space="preserve">, והשית על המערער </w:t>
      </w:r>
      <w:r w:rsidR="000C7498">
        <w:rPr>
          <w:rFonts w:hint="cs"/>
          <w:b/>
          <w:bCs/>
          <w:rtl/>
        </w:rPr>
        <w:t>34 חודשי מאסר בפועל</w:t>
      </w:r>
      <w:r w:rsidR="000C7498">
        <w:rPr>
          <w:rFonts w:hint="cs"/>
          <w:rtl/>
        </w:rPr>
        <w:t xml:space="preserve">, לצד עונשים נלווים. בית המשפט העליון דחה ערעור על חומרת העונש. </w:t>
      </w:r>
    </w:p>
    <w:p w14:paraId="0036D259" w14:textId="77777777" w:rsidR="000C7498" w:rsidRDefault="000C7498" w:rsidP="000C7498">
      <w:pPr>
        <w:pStyle w:val="a9"/>
        <w:spacing w:before="240" w:after="240" w:line="360" w:lineRule="auto"/>
        <w:contextualSpacing w:val="0"/>
        <w:jc w:val="both"/>
        <w:rPr>
          <w:rtl/>
        </w:rPr>
      </w:pPr>
      <w:r>
        <w:rPr>
          <w:rFonts w:hint="cs"/>
          <w:rtl/>
        </w:rPr>
        <w:t>מקרה זה חמור מענייננו, בהינתן העובדה כי העבירה בוצעה על רקע רצונו של המערער ליישב סכסוך בין אחרים והשימוש בנשק נמנע בזכות התערבות המשטרה, בעוד שבענייננו לא ידוע דבר על הרקע לנשיאת האקדח או כוונה לעשות בו שימוש.</w:t>
      </w:r>
    </w:p>
    <w:p w14:paraId="52304BF1" w14:textId="77777777" w:rsidR="000C7498" w:rsidRDefault="008E21FB" w:rsidP="000C7498">
      <w:pPr>
        <w:pStyle w:val="a9"/>
        <w:numPr>
          <w:ilvl w:val="0"/>
          <w:numId w:val="2"/>
        </w:numPr>
        <w:spacing w:before="240" w:after="240" w:line="360" w:lineRule="auto"/>
        <w:contextualSpacing w:val="0"/>
        <w:jc w:val="both"/>
      </w:pPr>
      <w:hyperlink r:id="rId28" w:history="1">
        <w:r w:rsidRPr="008E21FB">
          <w:rPr>
            <w:color w:val="0000FF"/>
            <w:u w:val="single"/>
            <w:rtl/>
          </w:rPr>
          <w:t>ע"פ 4982/15</w:t>
        </w:r>
      </w:hyperlink>
      <w:r w:rsidR="000C7498">
        <w:rPr>
          <w:rFonts w:hint="cs"/>
          <w:rtl/>
        </w:rPr>
        <w:t xml:space="preserve"> </w:t>
      </w:r>
      <w:r w:rsidR="000C7498" w:rsidRPr="00325D5A">
        <w:rPr>
          <w:rFonts w:hint="cs"/>
          <w:b/>
          <w:bCs/>
          <w:rtl/>
        </w:rPr>
        <w:t xml:space="preserve">שחיטה נ' מדינת ישראל </w:t>
      </w:r>
      <w:r w:rsidR="000C7498">
        <w:rPr>
          <w:rFonts w:hint="cs"/>
          <w:rtl/>
        </w:rPr>
        <w:t>(3.9.2015) - המערער הורשע על יסוד הודאתו בעבירה של נשיאת נשק בכך ש</w:t>
      </w:r>
      <w:r w:rsidR="000C7498" w:rsidRPr="00325D5A">
        <w:rPr>
          <w:rFonts w:ascii="FrankRuehl" w:hAnsi="FrankRuehl"/>
          <w:rtl/>
        </w:rPr>
        <w:t>החזיק ברכבו במקום מוצנע אקדח (שלא היה תקין) יחד עם מחסנית ריקה.</w:t>
      </w:r>
      <w:r w:rsidR="000C7498">
        <w:rPr>
          <w:rFonts w:hint="cs"/>
          <w:rtl/>
        </w:rPr>
        <w:t xml:space="preserve"> בית המשפט המחוזי קבע </w:t>
      </w:r>
      <w:r w:rsidR="000C7498" w:rsidRPr="00325D5A">
        <w:rPr>
          <w:rFonts w:hint="cs"/>
          <w:b/>
          <w:bCs/>
          <w:rtl/>
        </w:rPr>
        <w:t>מתחם ענישה שנע בין 12 ל- 36 חודשי מאסר בפועל</w:t>
      </w:r>
      <w:r w:rsidR="000C7498">
        <w:rPr>
          <w:rFonts w:hint="cs"/>
          <w:rtl/>
        </w:rPr>
        <w:t xml:space="preserve">, והשית על </w:t>
      </w:r>
      <w:r w:rsidR="000C7498" w:rsidRPr="00456044">
        <w:rPr>
          <w:rFonts w:hint="cs"/>
          <w:rtl/>
        </w:rPr>
        <w:t>המערער 20 חודשי מאסר בפועל,</w:t>
      </w:r>
      <w:r w:rsidR="000C7498">
        <w:rPr>
          <w:rFonts w:hint="cs"/>
          <w:rtl/>
        </w:rPr>
        <w:t xml:space="preserve"> לצד עונשים נלווים. בית המשפט העליון קיבל ערעור על חומרת העונש והעמיד את עונשו של המערער על </w:t>
      </w:r>
      <w:r w:rsidR="000C7498" w:rsidRPr="00456044">
        <w:rPr>
          <w:rFonts w:hint="cs"/>
          <w:b/>
          <w:bCs/>
          <w:rtl/>
        </w:rPr>
        <w:t>16 חודשי מאסר בפועל</w:t>
      </w:r>
      <w:r w:rsidR="000C7498">
        <w:rPr>
          <w:rFonts w:hint="cs"/>
          <w:rtl/>
        </w:rPr>
        <w:t xml:space="preserve">. </w:t>
      </w:r>
    </w:p>
    <w:p w14:paraId="21DE2B74" w14:textId="77777777" w:rsidR="000C7498" w:rsidRDefault="000C7498" w:rsidP="000C7498">
      <w:pPr>
        <w:pStyle w:val="a9"/>
        <w:spacing w:before="240" w:after="240" w:line="360" w:lineRule="auto"/>
        <w:contextualSpacing w:val="0"/>
        <w:jc w:val="both"/>
        <w:rPr>
          <w:rtl/>
        </w:rPr>
      </w:pPr>
      <w:r>
        <w:rPr>
          <w:rFonts w:hint="cs"/>
          <w:rtl/>
        </w:rPr>
        <w:t>בהשוואה למקרה דנא, ענייננו חמור יותר שכן לא זו בלבד שהאקדח היה תקין; אלא שהנאשם נשא בנוסף אליו גם מחסנית ו- 4 כדורים תואמים. בית המשפט העליון קבע בעניין שחיטה כי "</w:t>
      </w:r>
      <w:r w:rsidRPr="002B0996">
        <w:rPr>
          <w:rFonts w:hint="cs"/>
          <w:b/>
          <w:bCs/>
          <w:rtl/>
        </w:rPr>
        <w:t>גם אם המחוקק אינו מבחין בין נשק תקין לשאינו תקין, תיתכן לכך רלבנטיות מסוימת לעניין העונש</w:t>
      </w:r>
      <w:r>
        <w:rPr>
          <w:rFonts w:hint="cs"/>
          <w:rtl/>
        </w:rPr>
        <w:t xml:space="preserve">".      </w:t>
      </w:r>
    </w:p>
    <w:p w14:paraId="6335CD44" w14:textId="77777777" w:rsidR="000C7498" w:rsidRDefault="008E21FB" w:rsidP="000C7498">
      <w:pPr>
        <w:pStyle w:val="a9"/>
        <w:numPr>
          <w:ilvl w:val="0"/>
          <w:numId w:val="2"/>
        </w:numPr>
        <w:spacing w:before="240" w:after="240" w:line="360" w:lineRule="auto"/>
        <w:contextualSpacing w:val="0"/>
        <w:jc w:val="both"/>
        <w:rPr>
          <w:rtl/>
        </w:rPr>
      </w:pPr>
      <w:hyperlink r:id="rId29" w:history="1">
        <w:r w:rsidRPr="008E21FB">
          <w:rPr>
            <w:color w:val="0000FF"/>
            <w:u w:val="single"/>
            <w:rtl/>
          </w:rPr>
          <w:t>ע"פ 2892/13</w:t>
        </w:r>
      </w:hyperlink>
      <w:r w:rsidR="000C7498">
        <w:rPr>
          <w:rFonts w:hint="cs"/>
          <w:rtl/>
        </w:rPr>
        <w:t xml:space="preserve"> </w:t>
      </w:r>
      <w:r w:rsidR="000C7498">
        <w:rPr>
          <w:rFonts w:hint="cs"/>
          <w:b/>
          <w:bCs/>
          <w:rtl/>
        </w:rPr>
        <w:t xml:space="preserve">עודתאללה נ' מדינת ישראל </w:t>
      </w:r>
      <w:r w:rsidR="000C7498">
        <w:rPr>
          <w:rFonts w:hint="cs"/>
          <w:rtl/>
        </w:rPr>
        <w:t xml:space="preserve">(29.9.2013) - המערער הורשע לאחר ניהול הוכחות בעבירות של נשיאת נשק והסתייעות ברכב לביצוע פשע בכך שנהג ברכב בעיר נצרת, יחד עם אדם נוסף, כשהוא נושא אקדח ובו מחסנית ריקה מכדורים, כשהוא מוסתר תחת שטיחון מתחת לכסא הנהג ברכב. משהבחין המערער במחסום משטרתי, סטה מנתיבו לדרך ללא מוצא ועצר את הרכב. השוטרים הגיעו לרכבו של המערער ומצאו את האקדח. בתום החיפוש, המערער והאדם הנוסף נעצרו והובלו לתחנת המשטרה. בית המשפט המחוזי קבע </w:t>
      </w:r>
      <w:r w:rsidR="000C7498" w:rsidRPr="009E7461">
        <w:rPr>
          <w:rFonts w:hint="cs"/>
          <w:b/>
          <w:bCs/>
          <w:rtl/>
        </w:rPr>
        <w:t>מתחם ענישה שנע בין 12 ל- 36 חודשי מאסר בפועל</w:t>
      </w:r>
      <w:r w:rsidR="000C7498">
        <w:rPr>
          <w:rFonts w:hint="cs"/>
          <w:rtl/>
        </w:rPr>
        <w:t xml:space="preserve">, והשית על המערער </w:t>
      </w:r>
      <w:r w:rsidR="000C7498">
        <w:rPr>
          <w:rFonts w:hint="cs"/>
          <w:b/>
          <w:bCs/>
          <w:rtl/>
        </w:rPr>
        <w:t>21 חודשי מאסר בפועל</w:t>
      </w:r>
      <w:r w:rsidR="000C7498">
        <w:rPr>
          <w:rFonts w:hint="cs"/>
          <w:rtl/>
        </w:rPr>
        <w:t xml:space="preserve">, לצד עונשים נלווים. בית המשפט העליון דחה ערעור על חומרת העונש. </w:t>
      </w:r>
    </w:p>
    <w:p w14:paraId="22109886" w14:textId="77777777" w:rsidR="000C7498" w:rsidRDefault="000C7498" w:rsidP="000C7498">
      <w:pPr>
        <w:pStyle w:val="a9"/>
        <w:spacing w:before="240" w:after="240" w:line="360" w:lineRule="auto"/>
        <w:contextualSpacing w:val="0"/>
        <w:jc w:val="both"/>
        <w:rPr>
          <w:rtl/>
        </w:rPr>
      </w:pPr>
      <w:r>
        <w:rPr>
          <w:rFonts w:hint="cs"/>
          <w:rtl/>
        </w:rPr>
        <w:t xml:space="preserve">הגם שמקרה זה דומה בעובדותיו לענייננו, לטעמי המקרה שבפניי חמור יותר וזאת נוכח העובדה שמלבד האקדח, נשא עמו הנאשם גם מחסנית ובה ארבעה כדורים תואמים; וזאת במובחן מעניינו של המערער אשר נשא מחסנית ריקה מכדורים. </w:t>
      </w:r>
    </w:p>
    <w:p w14:paraId="71B818F4" w14:textId="77777777" w:rsidR="000C7498" w:rsidRDefault="008E21FB" w:rsidP="000C7498">
      <w:pPr>
        <w:pStyle w:val="a9"/>
        <w:numPr>
          <w:ilvl w:val="0"/>
          <w:numId w:val="2"/>
        </w:numPr>
        <w:spacing w:before="240" w:after="240" w:line="360" w:lineRule="auto"/>
        <w:contextualSpacing w:val="0"/>
        <w:jc w:val="both"/>
      </w:pPr>
      <w:hyperlink r:id="rId30" w:history="1">
        <w:r w:rsidRPr="008E21FB">
          <w:rPr>
            <w:color w:val="0000FF"/>
            <w:u w:val="single"/>
            <w:rtl/>
          </w:rPr>
          <w:t>ע"פ 3156/11</w:t>
        </w:r>
      </w:hyperlink>
      <w:r w:rsidR="000C7498">
        <w:rPr>
          <w:rFonts w:hint="cs"/>
          <w:rtl/>
        </w:rPr>
        <w:t xml:space="preserve"> </w:t>
      </w:r>
      <w:r w:rsidR="000C7498">
        <w:rPr>
          <w:rFonts w:hint="cs"/>
          <w:b/>
          <w:bCs/>
          <w:rtl/>
        </w:rPr>
        <w:t xml:space="preserve">זראיעה נ' מדינת ישראל </w:t>
      </w:r>
      <w:r w:rsidR="000C7498">
        <w:rPr>
          <w:rFonts w:hint="cs"/>
          <w:rtl/>
        </w:rPr>
        <w:t xml:space="preserve">(21.2.2012) - המערער הורשע על יסוד הודאתו בעבירות של נשיאת נשק, הובלת נשק והסתייעות ברכב לביצוע פשע בכך שנסע ברכבו, לאחר שהסליק בו אקדח מסוג "סמיטיווטסון", מחסנית טעונה בכדורי אקדח בקוטר 9 מ"מ וקופסאות עם כדורי אקדח. האקדח והתחמושת נתפסו בחיפוש שגרתי שביצעה המשטרה ברכב. בית המשפט המחוזי השית על המערער </w:t>
      </w:r>
      <w:r w:rsidR="000C7498">
        <w:rPr>
          <w:rFonts w:hint="cs"/>
          <w:b/>
          <w:bCs/>
          <w:rtl/>
        </w:rPr>
        <w:t>24 חודשי מאסר בפועל</w:t>
      </w:r>
      <w:r w:rsidR="000C7498">
        <w:rPr>
          <w:rFonts w:hint="cs"/>
          <w:rtl/>
        </w:rPr>
        <w:t xml:space="preserve">. בית המשפט העליון דחה ערעור על חומרת העונש. </w:t>
      </w:r>
    </w:p>
    <w:p w14:paraId="3EA24566" w14:textId="77777777" w:rsidR="000C7498" w:rsidRDefault="008E21FB" w:rsidP="000C7498">
      <w:pPr>
        <w:pStyle w:val="a9"/>
        <w:numPr>
          <w:ilvl w:val="0"/>
          <w:numId w:val="2"/>
        </w:numPr>
        <w:spacing w:before="240" w:after="240" w:line="360" w:lineRule="auto"/>
        <w:contextualSpacing w:val="0"/>
        <w:jc w:val="both"/>
      </w:pPr>
      <w:hyperlink r:id="rId31" w:history="1">
        <w:r w:rsidRPr="008E21FB">
          <w:rPr>
            <w:color w:val="0000FF"/>
            <w:u w:val="single"/>
            <w:rtl/>
          </w:rPr>
          <w:t>ת"פ (מרכז) 52416-06-20</w:t>
        </w:r>
      </w:hyperlink>
      <w:r w:rsidR="000C7498">
        <w:rPr>
          <w:rFonts w:hint="cs"/>
          <w:rtl/>
        </w:rPr>
        <w:t xml:space="preserve"> </w:t>
      </w:r>
      <w:r w:rsidR="000C7498">
        <w:rPr>
          <w:rFonts w:hint="cs"/>
          <w:b/>
          <w:bCs/>
          <w:rtl/>
        </w:rPr>
        <w:t>מדינת ישראל נ' מתאני</w:t>
      </w:r>
      <w:r w:rsidR="000C7498">
        <w:rPr>
          <w:rFonts w:hint="cs"/>
          <w:rtl/>
        </w:rPr>
        <w:t xml:space="preserve"> (12.1.2021) </w:t>
      </w:r>
      <w:r w:rsidR="000C7498">
        <w:rPr>
          <w:rtl/>
        </w:rPr>
        <w:t>-</w:t>
      </w:r>
      <w:r w:rsidR="000C7498">
        <w:rPr>
          <w:rFonts w:hint="cs"/>
          <w:rtl/>
        </w:rPr>
        <w:t xml:space="preserve"> הנאשם הורשע על יסוד הודאתו בעבירה של נשיאת נשק בכך שיצא ממתחם ביתו כשהוא מסתיר במכנסיו אקדח גנוב מדגם יריחו שהיה טעון במחסנית וכדורים תואמים, ורכב על אופניו. רכב משטרתי שהגיע ממולו של הנאשם התנגש בו, והנאשם, שנפל מאופניו, החל לרוץ במהירות לכיוון בית עסק הנמצא במקום, והשליך את האקדח. במסגרת הסדר טיעון, גובשה בין הצדדים הסכמה כי התביעה תעתור לעונש של 27 חודשי מאסר בפועל ואילו ההגנה תהיה חופשיה בטיעוניה. בית המשפט המחוזי קבע </w:t>
      </w:r>
      <w:r w:rsidR="000C7498" w:rsidRPr="00C92831">
        <w:rPr>
          <w:rFonts w:hint="cs"/>
          <w:b/>
          <w:bCs/>
          <w:rtl/>
        </w:rPr>
        <w:t>מתחם ענישה שנע בין 15 ל- 40 חודשי מאסר בפועל</w:t>
      </w:r>
      <w:r w:rsidR="000C7498">
        <w:rPr>
          <w:rFonts w:hint="cs"/>
          <w:rtl/>
        </w:rPr>
        <w:t xml:space="preserve">, והשית על הנאשם </w:t>
      </w:r>
      <w:r w:rsidR="000C7498" w:rsidRPr="00C92831">
        <w:rPr>
          <w:rFonts w:hint="cs"/>
          <w:b/>
          <w:bCs/>
          <w:rtl/>
        </w:rPr>
        <w:t>23 חודשי מאסר בפועל,</w:t>
      </w:r>
      <w:r w:rsidR="000C7498">
        <w:rPr>
          <w:rFonts w:hint="cs"/>
          <w:rtl/>
        </w:rPr>
        <w:t xml:space="preserve"> לצד עונשים נלווים.  </w:t>
      </w:r>
    </w:p>
    <w:p w14:paraId="724D1E29" w14:textId="77777777" w:rsidR="000C7498" w:rsidRDefault="008E21FB" w:rsidP="000C7498">
      <w:pPr>
        <w:pStyle w:val="a9"/>
        <w:numPr>
          <w:ilvl w:val="0"/>
          <w:numId w:val="2"/>
        </w:numPr>
        <w:spacing w:before="240" w:after="240" w:line="360" w:lineRule="auto"/>
        <w:contextualSpacing w:val="0"/>
        <w:jc w:val="both"/>
      </w:pPr>
      <w:hyperlink r:id="rId32" w:history="1">
        <w:r w:rsidRPr="008E21FB">
          <w:rPr>
            <w:color w:val="0000FF"/>
            <w:u w:val="single"/>
            <w:rtl/>
          </w:rPr>
          <w:t>ת"פ (חי') 14115-07-19</w:t>
        </w:r>
      </w:hyperlink>
      <w:r w:rsidR="000C7498">
        <w:rPr>
          <w:rFonts w:hint="cs"/>
          <w:rtl/>
        </w:rPr>
        <w:t xml:space="preserve"> </w:t>
      </w:r>
      <w:r w:rsidR="000C7498">
        <w:rPr>
          <w:rFonts w:hint="cs"/>
          <w:b/>
          <w:bCs/>
          <w:rtl/>
        </w:rPr>
        <w:t>מדינת ישראל נ' ג'בארין</w:t>
      </w:r>
      <w:r w:rsidR="000C7498">
        <w:rPr>
          <w:rFonts w:hint="cs"/>
          <w:rtl/>
        </w:rPr>
        <w:t xml:space="preserve"> (28.1.2020) - הנאשם הורשע על יסוד הודאתו בעבירות של נשיאת נשק והפרעה לשוטר במילוי תפקידו בכך שנשא על גופו אקדח חצי אוטומטי מסוג ברטה קליבר 7.65 מ"מ ובתוכו מחסנית עם שלושה כדורים. משהבחין הנאשם בניידת משטרה, נמלט מהמקום כשהשוטרים בעקבותיו, עד שנעצר. בית המשפט המחוזי קבע </w:t>
      </w:r>
      <w:r w:rsidR="000C7498" w:rsidRPr="00A6585A">
        <w:rPr>
          <w:rFonts w:hint="cs"/>
          <w:b/>
          <w:bCs/>
          <w:rtl/>
        </w:rPr>
        <w:t xml:space="preserve">מתחם ענישה שנע בין 18 ל- </w:t>
      </w:r>
      <w:r w:rsidR="000C7498">
        <w:rPr>
          <w:rFonts w:hint="cs"/>
          <w:b/>
          <w:bCs/>
          <w:rtl/>
        </w:rPr>
        <w:t>3</w:t>
      </w:r>
      <w:r w:rsidR="000C7498" w:rsidRPr="00A6585A">
        <w:rPr>
          <w:rFonts w:hint="cs"/>
          <w:b/>
          <w:bCs/>
          <w:rtl/>
        </w:rPr>
        <w:t>6 חודשי מאסר בפועל</w:t>
      </w:r>
      <w:r w:rsidR="000C7498">
        <w:rPr>
          <w:rFonts w:hint="cs"/>
          <w:rtl/>
        </w:rPr>
        <w:t xml:space="preserve">, והשית עליו </w:t>
      </w:r>
      <w:r w:rsidR="000C7498" w:rsidRPr="00A6585A">
        <w:rPr>
          <w:rFonts w:hint="cs"/>
          <w:b/>
          <w:bCs/>
          <w:rtl/>
        </w:rPr>
        <w:t>20 חודשי מאסר בפועל</w:t>
      </w:r>
      <w:r w:rsidR="000C7498">
        <w:rPr>
          <w:rFonts w:hint="cs"/>
          <w:rtl/>
        </w:rPr>
        <w:t xml:space="preserve">, לצד עונשים נלווים.  </w:t>
      </w:r>
    </w:p>
    <w:p w14:paraId="138B0F5F" w14:textId="77777777" w:rsidR="000C7498" w:rsidRDefault="008E21FB" w:rsidP="000C7498">
      <w:pPr>
        <w:pStyle w:val="a9"/>
        <w:numPr>
          <w:ilvl w:val="0"/>
          <w:numId w:val="2"/>
        </w:numPr>
        <w:spacing w:before="240" w:after="240" w:line="360" w:lineRule="auto"/>
        <w:contextualSpacing w:val="0"/>
        <w:jc w:val="both"/>
      </w:pPr>
      <w:hyperlink r:id="rId33" w:history="1">
        <w:r w:rsidRPr="008E21FB">
          <w:rPr>
            <w:color w:val="0000FF"/>
            <w:u w:val="single"/>
            <w:rtl/>
          </w:rPr>
          <w:t>ת"פ (מרכז) 41522-05-18</w:t>
        </w:r>
      </w:hyperlink>
      <w:r w:rsidR="000C7498">
        <w:rPr>
          <w:rFonts w:hint="cs"/>
          <w:rtl/>
        </w:rPr>
        <w:t xml:space="preserve"> </w:t>
      </w:r>
      <w:r w:rsidR="000C7498">
        <w:rPr>
          <w:rFonts w:hint="cs"/>
          <w:b/>
          <w:bCs/>
          <w:rtl/>
        </w:rPr>
        <w:t>מדינת ישראל נ' אמיר אזברגה</w:t>
      </w:r>
      <w:r w:rsidR="000C7498">
        <w:rPr>
          <w:rFonts w:hint="cs"/>
          <w:rtl/>
        </w:rPr>
        <w:t xml:space="preserve"> (10.8.2020) </w:t>
      </w:r>
      <w:r w:rsidR="000C7498">
        <w:rPr>
          <w:rtl/>
        </w:rPr>
        <w:t>-</w:t>
      </w:r>
      <w:r w:rsidR="000C7498">
        <w:rPr>
          <w:rFonts w:hint="cs"/>
          <w:rtl/>
        </w:rPr>
        <w:t xml:space="preserve"> הנאשם הורשע על יסוד הודאתו בעבירות של נשיאת נשק והפרעה לשוטר במילוי תפקידו בכך שיצא בשעת צהריים מרכבו כשהוא נושא מתחת חולצתו אקדח חצי אוטומטי טעון במחסנית ובה 14 כדורים 9 מ"מ. כשהבחין בשוטרים, נמלט הנאשם מהמקום, השוטרים רדפו אחריו, ובזמן שקפץ על חומה - האקדח נפל מגופו. בית המשפט המחוזי קבע </w:t>
      </w:r>
      <w:r w:rsidR="000C7498">
        <w:rPr>
          <w:rFonts w:hint="cs"/>
          <w:b/>
          <w:bCs/>
          <w:rtl/>
        </w:rPr>
        <w:t>מתחם ענישה שנע בין 16 ל- 40 חודשי מאסר בפועל</w:t>
      </w:r>
      <w:r w:rsidR="000C7498">
        <w:rPr>
          <w:rFonts w:hint="cs"/>
          <w:rtl/>
        </w:rPr>
        <w:t xml:space="preserve">, והשית על הנאשם </w:t>
      </w:r>
      <w:r w:rsidR="000C7498">
        <w:rPr>
          <w:rFonts w:hint="cs"/>
          <w:b/>
          <w:bCs/>
          <w:rtl/>
        </w:rPr>
        <w:t>21 חודשי מאסר בפועל</w:t>
      </w:r>
      <w:r w:rsidR="000C7498">
        <w:rPr>
          <w:rFonts w:hint="cs"/>
          <w:rtl/>
        </w:rPr>
        <w:t xml:space="preserve">, לצד עונשים נלווים (ובסך הכל 26 חודשים כולל הפעלת מאסר על תנאי).  </w:t>
      </w:r>
    </w:p>
    <w:p w14:paraId="58D96862" w14:textId="77777777" w:rsidR="000C7498" w:rsidRDefault="000C7498" w:rsidP="000C7498">
      <w:pPr>
        <w:pStyle w:val="a9"/>
        <w:numPr>
          <w:ilvl w:val="0"/>
          <w:numId w:val="1"/>
        </w:numPr>
        <w:spacing w:before="240" w:after="240" w:line="360" w:lineRule="auto"/>
        <w:contextualSpacing w:val="0"/>
        <w:jc w:val="both"/>
      </w:pPr>
      <w:r>
        <w:rPr>
          <w:rFonts w:hint="cs"/>
          <w:rtl/>
        </w:rPr>
        <w:t xml:space="preserve">על יסוד כלל השיקולים שפורטו, ראיתי לקבוע </w:t>
      </w:r>
      <w:r w:rsidRPr="000854A6">
        <w:rPr>
          <w:rFonts w:hint="cs"/>
          <w:b/>
          <w:bCs/>
          <w:rtl/>
        </w:rPr>
        <w:t xml:space="preserve">מתחם עונש הולם הנע בין </w:t>
      </w:r>
      <w:r>
        <w:rPr>
          <w:rFonts w:hint="cs"/>
          <w:b/>
          <w:bCs/>
          <w:rtl/>
        </w:rPr>
        <w:t>16</w:t>
      </w:r>
      <w:r w:rsidRPr="000854A6">
        <w:rPr>
          <w:rFonts w:hint="cs"/>
          <w:b/>
          <w:bCs/>
          <w:rtl/>
        </w:rPr>
        <w:t xml:space="preserve"> ל- 40 חודשי מאסר</w:t>
      </w:r>
      <w:r>
        <w:rPr>
          <w:rFonts w:hint="cs"/>
          <w:rtl/>
        </w:rPr>
        <w:t xml:space="preserve">. </w:t>
      </w:r>
    </w:p>
    <w:p w14:paraId="27864C46" w14:textId="77777777" w:rsidR="000C7498" w:rsidRPr="000854A6" w:rsidRDefault="000C7498" w:rsidP="000C7498">
      <w:pPr>
        <w:pStyle w:val="a9"/>
        <w:spacing w:before="240" w:after="240" w:line="360" w:lineRule="auto"/>
        <w:ind w:left="360"/>
        <w:contextualSpacing w:val="0"/>
        <w:jc w:val="both"/>
        <w:rPr>
          <w:u w:val="single"/>
        </w:rPr>
      </w:pPr>
      <w:r>
        <w:rPr>
          <w:rFonts w:hint="cs"/>
          <w:u w:val="single"/>
          <w:rtl/>
        </w:rPr>
        <w:t>קביעת העונש המתאים</w:t>
      </w:r>
    </w:p>
    <w:p w14:paraId="6628D6A5" w14:textId="77777777" w:rsidR="000C7498" w:rsidRDefault="000C7498" w:rsidP="000C7498">
      <w:pPr>
        <w:pStyle w:val="a9"/>
        <w:numPr>
          <w:ilvl w:val="0"/>
          <w:numId w:val="1"/>
        </w:numPr>
        <w:spacing w:before="240" w:after="240" w:line="360" w:lineRule="auto"/>
        <w:contextualSpacing w:val="0"/>
        <w:jc w:val="both"/>
      </w:pPr>
      <w:r>
        <w:rPr>
          <w:rFonts w:hint="cs"/>
          <w:rtl/>
        </w:rPr>
        <w:t>בבחינת הנסיבות שאינן קשורות בביצוע העבירה, נתתי דעתי לנתונים הבאים:</w:t>
      </w:r>
    </w:p>
    <w:p w14:paraId="47BF6124" w14:textId="77777777" w:rsidR="000C7498" w:rsidRPr="00B907D5" w:rsidRDefault="000C7498" w:rsidP="000C7498">
      <w:pPr>
        <w:pStyle w:val="a9"/>
        <w:spacing w:before="240" w:after="240" w:line="360" w:lineRule="auto"/>
        <w:ind w:left="360"/>
        <w:contextualSpacing w:val="0"/>
        <w:jc w:val="both"/>
        <w:rPr>
          <w:b/>
          <w:bCs/>
          <w:rtl/>
        </w:rPr>
      </w:pPr>
      <w:r w:rsidRPr="00B907D5">
        <w:rPr>
          <w:rFonts w:hint="cs"/>
          <w:b/>
          <w:bCs/>
          <w:rtl/>
        </w:rPr>
        <w:t xml:space="preserve">שיקולים בעלי פוטנציאל ממתן: </w:t>
      </w:r>
    </w:p>
    <w:p w14:paraId="13FE7CD2" w14:textId="77777777" w:rsidR="000C7498" w:rsidRDefault="000C7498" w:rsidP="000C7498">
      <w:pPr>
        <w:pStyle w:val="a9"/>
        <w:spacing w:before="240" w:after="240" w:line="360" w:lineRule="auto"/>
        <w:ind w:left="360"/>
        <w:contextualSpacing w:val="0"/>
        <w:jc w:val="both"/>
        <w:rPr>
          <w:rtl/>
        </w:rPr>
      </w:pPr>
      <w:r w:rsidRPr="00494B35">
        <w:rPr>
          <w:rFonts w:hint="cs"/>
          <w:rtl/>
        </w:rPr>
        <w:t>התחשבתי בהודאתו של הנאשם, נטילת האחריות לביצוע העבירה, הבעת החרטה והחיסכון בזמן הציבורי</w:t>
      </w:r>
      <w:r>
        <w:rPr>
          <w:rFonts w:hint="cs"/>
          <w:rtl/>
        </w:rPr>
        <w:t xml:space="preserve">. אציין, כי אלמלא הודאת הנאשם, היה מקום להטיל עליו עונש חמור באופן משמעותי מזה שיוטל עליו בסופו של יום. </w:t>
      </w:r>
    </w:p>
    <w:p w14:paraId="2507367E" w14:textId="77777777" w:rsidR="000C7498" w:rsidRDefault="000C7498" w:rsidP="000C7498">
      <w:pPr>
        <w:pStyle w:val="a9"/>
        <w:spacing w:before="240" w:after="240" w:line="360" w:lineRule="auto"/>
        <w:ind w:left="360"/>
        <w:contextualSpacing w:val="0"/>
        <w:jc w:val="both"/>
        <w:rPr>
          <w:rtl/>
        </w:rPr>
      </w:pPr>
      <w:r>
        <w:rPr>
          <w:rFonts w:hint="cs"/>
          <w:rtl/>
        </w:rPr>
        <w:t xml:space="preserve">נתתי דעתי גם למסמכים הרפואיים שהוגשו בעניינו של הנאשם (נע/1) ושל אביו (נע/2), ומצאתי ליתן משקל מוגבל גם לגילו.   </w:t>
      </w:r>
    </w:p>
    <w:p w14:paraId="20C24E13" w14:textId="77777777" w:rsidR="000C7498" w:rsidRPr="00B907D5" w:rsidRDefault="000C7498" w:rsidP="000C7498">
      <w:pPr>
        <w:pStyle w:val="a9"/>
        <w:spacing w:before="240" w:after="240" w:line="360" w:lineRule="auto"/>
        <w:ind w:left="360"/>
        <w:contextualSpacing w:val="0"/>
        <w:jc w:val="both"/>
        <w:rPr>
          <w:b/>
          <w:bCs/>
          <w:rtl/>
        </w:rPr>
      </w:pPr>
      <w:r>
        <w:rPr>
          <w:rFonts w:hint="cs"/>
          <w:b/>
          <w:bCs/>
          <w:rtl/>
        </w:rPr>
        <w:t xml:space="preserve">שיקולים הפועלים לחובתו של הנאשם: </w:t>
      </w:r>
    </w:p>
    <w:p w14:paraId="593A019F" w14:textId="77777777" w:rsidR="000C7498" w:rsidRDefault="000C7498" w:rsidP="000C7498">
      <w:pPr>
        <w:pStyle w:val="a9"/>
        <w:spacing w:before="240" w:after="240" w:line="360" w:lineRule="auto"/>
        <w:ind w:left="360"/>
        <w:contextualSpacing w:val="0"/>
        <w:jc w:val="both"/>
        <w:rPr>
          <w:rtl/>
        </w:rPr>
      </w:pPr>
      <w:r>
        <w:rPr>
          <w:rFonts w:hint="cs"/>
          <w:rtl/>
        </w:rPr>
        <w:t xml:space="preserve">זקפתי לחומרה את </w:t>
      </w:r>
      <w:r w:rsidRPr="00B907D5">
        <w:rPr>
          <w:rFonts w:hint="cs"/>
          <w:rtl/>
        </w:rPr>
        <w:t>עברו הפלילי המכביד</w:t>
      </w:r>
      <w:r>
        <w:rPr>
          <w:rFonts w:hint="cs"/>
          <w:rtl/>
        </w:rPr>
        <w:t xml:space="preserve"> של הנאשם (סעיף 3 לעיל). עיון בגיליון הרשעותיו (תע/1) מלמד כי עסקינן בנאשם שהחל את דרכו העבריינית כבר בגיל 16 ומאז ועד היום הורשע ארבע פעמים וריצה שלושה עונשי מאסר מאחורי סורג ובריח, והוא רק בן 26. </w:t>
      </w:r>
    </w:p>
    <w:p w14:paraId="215D1EFC" w14:textId="77777777" w:rsidR="000C7498" w:rsidRDefault="000C7498" w:rsidP="000C7498">
      <w:pPr>
        <w:pStyle w:val="a9"/>
        <w:spacing w:before="240" w:after="240" w:line="360" w:lineRule="auto"/>
        <w:ind w:left="360"/>
        <w:contextualSpacing w:val="0"/>
        <w:jc w:val="both"/>
        <w:rPr>
          <w:rtl/>
        </w:rPr>
      </w:pPr>
      <w:r>
        <w:rPr>
          <w:rFonts w:hint="cs"/>
          <w:rtl/>
        </w:rPr>
        <w:t>ההרשעה המרכזית בגיליון היא הרשעתו בעבירה חבלה חמורה בנסיבות מחמירות, וזאת לאחר שבהיותו קטין, דקר קטין אחר 4 דקירות על רקע סכסוך בעקבות שימוש במצית, גרם לו לחבלות חמורות, ונדון ל-</w:t>
      </w:r>
      <w:r w:rsidRPr="002973E4">
        <w:rPr>
          <w:rFonts w:hint="cs"/>
          <w:b/>
          <w:bCs/>
          <w:rtl/>
        </w:rPr>
        <w:t>3 שנות מאסר</w:t>
      </w:r>
      <w:r>
        <w:rPr>
          <w:rFonts w:hint="cs"/>
          <w:rtl/>
        </w:rPr>
        <w:t xml:space="preserve">. </w:t>
      </w:r>
    </w:p>
    <w:p w14:paraId="0C7A6472" w14:textId="77777777" w:rsidR="000C7498" w:rsidRDefault="000C7498" w:rsidP="000C7498">
      <w:pPr>
        <w:pStyle w:val="a9"/>
        <w:spacing w:before="240" w:after="240" w:line="360" w:lineRule="auto"/>
        <w:ind w:left="360"/>
        <w:contextualSpacing w:val="0"/>
        <w:jc w:val="both"/>
        <w:rPr>
          <w:rtl/>
        </w:rPr>
      </w:pPr>
      <w:r>
        <w:rPr>
          <w:rFonts w:hint="cs"/>
          <w:rtl/>
        </w:rPr>
        <w:t xml:space="preserve">רצף האירועים המתוארים בגיליון ההרשעות, אופי המעשים בהם היה מעורב והמשך הסתבכותו בפלילים פעם אחר פעם מעידים כי הנאשם אימץ לעצמו את דרך הפשע כאורח חיים, והתנהגותו מלמדת על מגמה כללית של הסלמה שיש בה כדי להצדיק החמרה בעונשו בגדרי המתחם שנקבע. </w:t>
      </w:r>
    </w:p>
    <w:p w14:paraId="4E6C140C" w14:textId="77777777" w:rsidR="000C7498" w:rsidRDefault="000C7498" w:rsidP="00445486">
      <w:pPr>
        <w:bidi w:val="0"/>
      </w:pPr>
      <w:r>
        <w:rPr>
          <w:rFonts w:hint="cs"/>
          <w:rtl/>
        </w:rPr>
        <w:t xml:space="preserve">על בסיס השיקולים שפורטו לעיל, ראיתי </w:t>
      </w:r>
      <w:r w:rsidR="00445486">
        <w:rPr>
          <w:rFonts w:hint="cs"/>
          <w:rtl/>
        </w:rPr>
        <w:t>לגזור על הנאשם את העונשים הבאים</w:t>
      </w:r>
    </w:p>
    <w:p w14:paraId="2349F7C3" w14:textId="77777777" w:rsidR="000C7498" w:rsidRDefault="000C7498" w:rsidP="000C7498">
      <w:pPr>
        <w:pStyle w:val="a9"/>
        <w:numPr>
          <w:ilvl w:val="0"/>
          <w:numId w:val="3"/>
        </w:numPr>
        <w:spacing w:before="240" w:after="240" w:line="360" w:lineRule="auto"/>
        <w:ind w:left="714" w:hanging="357"/>
        <w:contextualSpacing w:val="0"/>
        <w:jc w:val="both"/>
      </w:pPr>
      <w:r>
        <w:rPr>
          <w:rFonts w:hint="cs"/>
          <w:rtl/>
        </w:rPr>
        <w:t xml:space="preserve">30 חודשי מאסר לריצוי בפועל החל מיום מעצרו </w:t>
      </w:r>
      <w:r>
        <w:rPr>
          <w:rtl/>
        </w:rPr>
        <w:t>-</w:t>
      </w:r>
      <w:r>
        <w:rPr>
          <w:rFonts w:hint="cs"/>
          <w:rtl/>
        </w:rPr>
        <w:t xml:space="preserve"> 22.4.2020.</w:t>
      </w:r>
    </w:p>
    <w:p w14:paraId="67B2C0CA" w14:textId="77777777" w:rsidR="000C7498" w:rsidRDefault="000C7498" w:rsidP="000C7498">
      <w:pPr>
        <w:pStyle w:val="a9"/>
        <w:numPr>
          <w:ilvl w:val="0"/>
          <w:numId w:val="3"/>
        </w:numPr>
        <w:spacing w:before="240" w:after="240" w:line="360" w:lineRule="auto"/>
        <w:ind w:left="714" w:hanging="357"/>
        <w:contextualSpacing w:val="0"/>
        <w:jc w:val="both"/>
      </w:pPr>
      <w:r>
        <w:rPr>
          <w:rFonts w:hint="cs"/>
          <w:rtl/>
        </w:rPr>
        <w:t xml:space="preserve">9 חודשי מאסר אולם הנאשם לא יישא עונש זה אלא אם יעבור תוך 3 שנים מיום שחרורו כל עבירת נשק מסוג פשע, או עבירות אלימות נגד הגוף מסוג פשע. </w:t>
      </w:r>
    </w:p>
    <w:p w14:paraId="4F9AF420" w14:textId="77777777" w:rsidR="000C7498" w:rsidRDefault="000C7498" w:rsidP="000C7498">
      <w:pPr>
        <w:pStyle w:val="a9"/>
        <w:numPr>
          <w:ilvl w:val="0"/>
          <w:numId w:val="3"/>
        </w:numPr>
        <w:spacing w:before="240" w:after="240" w:line="360" w:lineRule="auto"/>
        <w:ind w:left="714" w:hanging="357"/>
        <w:contextualSpacing w:val="0"/>
        <w:jc w:val="both"/>
      </w:pPr>
      <w:r>
        <w:rPr>
          <w:rFonts w:hint="cs"/>
          <w:rtl/>
        </w:rPr>
        <w:t xml:space="preserve">8 חודשי מאסר אולם הנאשם לא יישא עונש זה אלא אם יעבור תוך 3 שנים מיום שחרורו כל אלימות נגד הגוף מסוג עוון. </w:t>
      </w:r>
    </w:p>
    <w:p w14:paraId="06945B4D" w14:textId="77777777" w:rsidR="000C7498" w:rsidRDefault="000C7498" w:rsidP="000C7498">
      <w:pPr>
        <w:pStyle w:val="a9"/>
        <w:numPr>
          <w:ilvl w:val="0"/>
          <w:numId w:val="3"/>
        </w:numPr>
        <w:spacing w:before="240" w:after="240" w:line="360" w:lineRule="auto"/>
        <w:ind w:left="714" w:hanging="357"/>
        <w:contextualSpacing w:val="0"/>
        <w:jc w:val="both"/>
      </w:pPr>
      <w:r>
        <w:rPr>
          <w:rFonts w:hint="cs"/>
          <w:rtl/>
        </w:rPr>
        <w:t xml:space="preserve">קנס כספי בסך 5,000 ₪ או 40 ימי מאסר תמורתו, אשר ישולם ב-10 תשלומים חודשיים שווים החל מיום 1.6.2021 ועד לסיום התשלומים. </w:t>
      </w:r>
    </w:p>
    <w:p w14:paraId="047F4D20" w14:textId="77777777" w:rsidR="000C7498" w:rsidRDefault="000C7498" w:rsidP="000C7498">
      <w:pPr>
        <w:spacing w:before="240" w:after="240" w:line="360" w:lineRule="auto"/>
        <w:jc w:val="both"/>
        <w:rPr>
          <w:rtl/>
        </w:rPr>
      </w:pPr>
      <w:r>
        <w:rPr>
          <w:rFonts w:hint="cs"/>
          <w:rtl/>
        </w:rPr>
        <w:t xml:space="preserve">ניתן צו כללי למוצגים לשיקול קצין משטרה ו/או התביעה. </w:t>
      </w:r>
    </w:p>
    <w:p w14:paraId="22BE884A" w14:textId="77777777" w:rsidR="000C7498" w:rsidRPr="00B05847" w:rsidRDefault="000C7498" w:rsidP="000C7498">
      <w:pPr>
        <w:spacing w:before="240" w:after="240" w:line="360" w:lineRule="auto"/>
        <w:jc w:val="both"/>
        <w:rPr>
          <w:rtl/>
        </w:rPr>
      </w:pPr>
      <w:r>
        <w:rPr>
          <w:rFonts w:hint="cs"/>
          <w:rtl/>
        </w:rPr>
        <w:t xml:space="preserve">זכות ערעור כחוק.     </w:t>
      </w:r>
    </w:p>
    <w:p w14:paraId="027F3330" w14:textId="77777777" w:rsidR="000C7498" w:rsidRDefault="008E21FB" w:rsidP="000C7498">
      <w:pPr>
        <w:rPr>
          <w:rtl/>
        </w:rPr>
      </w:pPr>
      <w:bookmarkStart w:id="8" w:name="Nitan"/>
      <w:r>
        <w:rPr>
          <w:b/>
          <w:bCs/>
          <w:rtl/>
        </w:rPr>
        <w:t xml:space="preserve">ניתן והודע היום כ"ח שבט תשפ"א, 10/02/2021 במעמד הנוכחים. </w:t>
      </w:r>
      <w:bookmarkEnd w:id="8"/>
    </w:p>
    <w:p w14:paraId="64DB63AB" w14:textId="77777777" w:rsidR="000C7498" w:rsidRPr="008E21FB" w:rsidRDefault="008E21FB" w:rsidP="000C7498">
      <w:pPr>
        <w:pStyle w:val="a3"/>
        <w:jc w:val="center"/>
        <w:rPr>
          <w:color w:val="FFFFFF"/>
          <w:sz w:val="2"/>
          <w:szCs w:val="2"/>
          <w:rtl/>
        </w:rPr>
      </w:pPr>
      <w:r w:rsidRPr="008E21FB">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0C7498" w14:paraId="381CA0A2" w14:textId="77777777" w:rsidTr="000C7498">
        <w:trPr>
          <w:trHeight w:val="316"/>
          <w:jc w:val="right"/>
        </w:trPr>
        <w:tc>
          <w:tcPr>
            <w:tcW w:w="3936" w:type="dxa"/>
            <w:tcBorders>
              <w:top w:val="nil"/>
              <w:left w:val="nil"/>
              <w:bottom w:val="single" w:sz="4" w:space="0" w:color="auto"/>
              <w:right w:val="nil"/>
            </w:tcBorders>
            <w:shd w:val="clear" w:color="auto" w:fill="auto"/>
            <w:vAlign w:val="bottom"/>
          </w:tcPr>
          <w:p w14:paraId="4F8B8FE8" w14:textId="77777777" w:rsidR="000C7498" w:rsidRPr="008E21FB" w:rsidRDefault="008E21FB" w:rsidP="000C7498">
            <w:pPr>
              <w:jc w:val="center"/>
              <w:rPr>
                <w:color w:val="FFFFFF"/>
                <w:sz w:val="2"/>
                <w:szCs w:val="2"/>
                <w:rtl/>
              </w:rPr>
            </w:pPr>
            <w:r w:rsidRPr="008E21FB">
              <w:rPr>
                <w:color w:val="FFFFFF"/>
                <w:sz w:val="2"/>
                <w:szCs w:val="2"/>
                <w:rtl/>
              </w:rPr>
              <w:t>54678313</w:t>
            </w:r>
          </w:p>
        </w:tc>
      </w:tr>
      <w:tr w:rsidR="000C7498" w14:paraId="7B5E232D" w14:textId="77777777" w:rsidTr="000C7498">
        <w:trPr>
          <w:trHeight w:val="361"/>
          <w:jc w:val="right"/>
        </w:trPr>
        <w:tc>
          <w:tcPr>
            <w:tcW w:w="3936" w:type="dxa"/>
            <w:tcBorders>
              <w:top w:val="single" w:sz="4" w:space="0" w:color="auto"/>
              <w:left w:val="nil"/>
              <w:bottom w:val="nil"/>
              <w:right w:val="nil"/>
            </w:tcBorders>
            <w:shd w:val="clear" w:color="auto" w:fill="auto"/>
          </w:tcPr>
          <w:p w14:paraId="3D4B292A" w14:textId="77777777" w:rsidR="000C7498" w:rsidRPr="000C7498" w:rsidRDefault="000C7498" w:rsidP="000C7498">
            <w:pPr>
              <w:jc w:val="center"/>
              <w:rPr>
                <w:b/>
                <w:bCs/>
                <w:rtl/>
              </w:rPr>
            </w:pPr>
            <w:r w:rsidRPr="000C7498">
              <w:rPr>
                <w:rFonts w:hint="cs"/>
                <w:b/>
                <w:bCs/>
                <w:rtl/>
              </w:rPr>
              <w:t>בני שגיא, שופט</w:t>
            </w:r>
          </w:p>
          <w:p w14:paraId="07770096" w14:textId="77777777" w:rsidR="000C7498" w:rsidRPr="000C7498" w:rsidRDefault="000C7498" w:rsidP="000C7498">
            <w:pPr>
              <w:jc w:val="center"/>
              <w:rPr>
                <w:b/>
                <w:bCs/>
                <w:rtl/>
              </w:rPr>
            </w:pPr>
            <w:r w:rsidRPr="000C7498">
              <w:rPr>
                <w:rFonts w:hint="cs"/>
                <w:b/>
                <w:bCs/>
                <w:rtl/>
              </w:rPr>
              <w:t>סגן נשיא</w:t>
            </w:r>
          </w:p>
        </w:tc>
      </w:tr>
    </w:tbl>
    <w:p w14:paraId="65786763" w14:textId="77777777" w:rsidR="000C7498" w:rsidRPr="00445486" w:rsidRDefault="00445486" w:rsidP="000C7498">
      <w:pPr>
        <w:pStyle w:val="a3"/>
        <w:jc w:val="center"/>
        <w:rPr>
          <w:color w:val="FFFFFF"/>
          <w:sz w:val="2"/>
          <w:szCs w:val="2"/>
          <w:rtl/>
        </w:rPr>
      </w:pPr>
      <w:r w:rsidRPr="00445486">
        <w:rPr>
          <w:color w:val="FFFFFF"/>
          <w:sz w:val="2"/>
          <w:szCs w:val="2"/>
          <w:rtl/>
        </w:rPr>
        <w:t>5129371</w:t>
      </w:r>
    </w:p>
    <w:p w14:paraId="57232C7C" w14:textId="77777777" w:rsidR="00F140CF" w:rsidRPr="00445486" w:rsidRDefault="00445486" w:rsidP="008E21FB">
      <w:pPr>
        <w:keepNext/>
        <w:rPr>
          <w:rFonts w:ascii="David" w:hAnsi="David"/>
          <w:color w:val="FFFFFF"/>
          <w:sz w:val="2"/>
          <w:szCs w:val="2"/>
          <w:rtl/>
        </w:rPr>
      </w:pPr>
      <w:r w:rsidRPr="00445486">
        <w:rPr>
          <w:rFonts w:ascii="David" w:hAnsi="David"/>
          <w:color w:val="FFFFFF"/>
          <w:sz w:val="2"/>
          <w:szCs w:val="2"/>
          <w:rtl/>
        </w:rPr>
        <w:t>54678313</w:t>
      </w:r>
    </w:p>
    <w:p w14:paraId="7B6E83FC" w14:textId="77777777" w:rsidR="008E21FB" w:rsidRDefault="008E21FB" w:rsidP="008E21FB">
      <w:pPr>
        <w:rPr>
          <w:rtl/>
        </w:rPr>
      </w:pPr>
    </w:p>
    <w:p w14:paraId="59CA4CD0" w14:textId="77777777" w:rsidR="008E21FB" w:rsidRDefault="008E21FB" w:rsidP="008E21FB">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40F1A18D" w14:textId="77777777" w:rsidR="00445486" w:rsidRPr="00445486" w:rsidRDefault="00445486" w:rsidP="00445486">
      <w:pPr>
        <w:keepNext/>
        <w:rPr>
          <w:rFonts w:ascii="David" w:hAnsi="David"/>
          <w:color w:val="000000"/>
          <w:sz w:val="22"/>
          <w:szCs w:val="22"/>
          <w:rtl/>
        </w:rPr>
      </w:pPr>
    </w:p>
    <w:p w14:paraId="10CF7DD6" w14:textId="77777777" w:rsidR="00445486" w:rsidRPr="00445486" w:rsidRDefault="00445486" w:rsidP="00445486">
      <w:pPr>
        <w:keepNext/>
        <w:rPr>
          <w:rFonts w:ascii="David" w:hAnsi="David"/>
          <w:color w:val="000000"/>
          <w:sz w:val="22"/>
          <w:szCs w:val="22"/>
          <w:rtl/>
        </w:rPr>
      </w:pPr>
      <w:r w:rsidRPr="00445486">
        <w:rPr>
          <w:rFonts w:ascii="David" w:hAnsi="David"/>
          <w:color w:val="000000"/>
          <w:sz w:val="22"/>
          <w:szCs w:val="22"/>
          <w:rtl/>
        </w:rPr>
        <w:t>בני שגיא 54678313-/</w:t>
      </w:r>
    </w:p>
    <w:p w14:paraId="031B2588" w14:textId="77777777" w:rsidR="008E21FB" w:rsidRPr="008E21FB" w:rsidRDefault="00445486" w:rsidP="00445486">
      <w:pPr>
        <w:rPr>
          <w:rFonts w:hint="cs"/>
          <w:color w:val="0000FF"/>
          <w:u w:val="single"/>
        </w:rPr>
      </w:pPr>
      <w:r w:rsidRPr="00445486">
        <w:rPr>
          <w:color w:val="000000"/>
          <w:u w:val="single"/>
          <w:rtl/>
        </w:rPr>
        <w:t>נוסח מסמך זה כפוף לשינויי ניסוח ועריכה</w:t>
      </w:r>
      <w:r w:rsidR="00585BC9">
        <w:rPr>
          <w:rFonts w:hint="cs"/>
          <w:color w:val="0000FF"/>
          <w:u w:val="single"/>
          <w:rtl/>
        </w:rPr>
        <w:t xml:space="preserve"> </w:t>
      </w:r>
    </w:p>
    <w:sectPr w:rsidR="008E21FB" w:rsidRPr="008E21FB" w:rsidSect="00445486">
      <w:headerReference w:type="even" r:id="rId35"/>
      <w:headerReference w:type="default" r:id="rId36"/>
      <w:footerReference w:type="even" r:id="rId37"/>
      <w:footerReference w:type="default" r:id="rId38"/>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8391F0" w14:textId="77777777" w:rsidR="00AA5DDF" w:rsidRDefault="00AA5DDF" w:rsidP="0086172F">
      <w:r>
        <w:separator/>
      </w:r>
    </w:p>
  </w:endnote>
  <w:endnote w:type="continuationSeparator" w:id="0">
    <w:p w14:paraId="79C508BD" w14:textId="77777777" w:rsidR="00AA5DDF" w:rsidRDefault="00AA5DDF" w:rsidP="00861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5B768" w14:textId="77777777" w:rsidR="00445486" w:rsidRDefault="00445486" w:rsidP="0044548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4FA09CA" w14:textId="77777777" w:rsidR="00B72927" w:rsidRPr="00445486" w:rsidRDefault="00445486" w:rsidP="00445486">
    <w:pPr>
      <w:pStyle w:val="a5"/>
      <w:pBdr>
        <w:top w:val="single" w:sz="4" w:space="1" w:color="auto"/>
        <w:between w:val="single" w:sz="4" w:space="0" w:color="auto"/>
      </w:pBdr>
      <w:spacing w:after="60"/>
      <w:jc w:val="center"/>
      <w:rPr>
        <w:rFonts w:ascii="FrankRuehl" w:hAnsi="FrankRuehl" w:cs="FrankRuehl"/>
        <w:color w:val="000000"/>
      </w:rPr>
    </w:pPr>
    <w:r w:rsidRPr="0044548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51919" w14:textId="77777777" w:rsidR="00445486" w:rsidRDefault="00445486" w:rsidP="0044548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E458F">
      <w:rPr>
        <w:rFonts w:ascii="FrankRuehl" w:hAnsi="FrankRuehl" w:cs="FrankRuehl"/>
        <w:noProof/>
        <w:rtl/>
      </w:rPr>
      <w:t>1</w:t>
    </w:r>
    <w:r>
      <w:rPr>
        <w:rFonts w:ascii="FrankRuehl" w:hAnsi="FrankRuehl" w:cs="FrankRuehl"/>
        <w:rtl/>
      </w:rPr>
      <w:fldChar w:fldCharType="end"/>
    </w:r>
  </w:p>
  <w:p w14:paraId="2DB0C6F3" w14:textId="77777777" w:rsidR="00B72927" w:rsidRPr="00445486" w:rsidRDefault="00445486" w:rsidP="00445486">
    <w:pPr>
      <w:pStyle w:val="a5"/>
      <w:pBdr>
        <w:top w:val="single" w:sz="4" w:space="1" w:color="auto"/>
        <w:between w:val="single" w:sz="4" w:space="0" w:color="auto"/>
      </w:pBdr>
      <w:spacing w:after="60"/>
      <w:jc w:val="center"/>
      <w:rPr>
        <w:rFonts w:ascii="FrankRuehl" w:hAnsi="FrankRuehl" w:cs="FrankRuehl"/>
        <w:color w:val="000000"/>
      </w:rPr>
    </w:pPr>
    <w:r w:rsidRPr="00445486">
      <w:rPr>
        <w:rFonts w:ascii="FrankRuehl" w:hAnsi="FrankRuehl" w:cs="FrankRuehl"/>
        <w:color w:val="000000"/>
      </w:rPr>
      <w:pict w14:anchorId="67DC0E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2B3386" w14:textId="77777777" w:rsidR="00AA5DDF" w:rsidRDefault="00AA5DDF" w:rsidP="0086172F">
      <w:r>
        <w:separator/>
      </w:r>
    </w:p>
  </w:footnote>
  <w:footnote w:type="continuationSeparator" w:id="0">
    <w:p w14:paraId="3EAE73FC" w14:textId="77777777" w:rsidR="00AA5DDF" w:rsidRDefault="00AA5DDF" w:rsidP="008617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8532CB" w14:textId="77777777" w:rsidR="008E21FB" w:rsidRPr="00445486" w:rsidRDefault="00445486" w:rsidP="0044548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38687-04-20</w:t>
    </w:r>
    <w:r>
      <w:rPr>
        <w:rFonts w:ascii="David" w:hAnsi="David"/>
        <w:color w:val="000000"/>
        <w:sz w:val="22"/>
        <w:szCs w:val="22"/>
        <w:rtl/>
      </w:rPr>
      <w:tab/>
      <w:t xml:space="preserve"> מדינת ישראל נ' תומר טוביה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B738B" w14:textId="77777777" w:rsidR="008E21FB" w:rsidRPr="00445486" w:rsidRDefault="00445486" w:rsidP="0044548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38687-04-20</w:t>
    </w:r>
    <w:r>
      <w:rPr>
        <w:rFonts w:ascii="David" w:hAnsi="David"/>
        <w:color w:val="000000"/>
        <w:sz w:val="22"/>
        <w:szCs w:val="22"/>
        <w:rtl/>
      </w:rPr>
      <w:tab/>
      <w:t xml:space="preserve"> מדינת ישראל נ' תומר טוביה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621DD"/>
    <w:multiLevelType w:val="hybridMultilevel"/>
    <w:tmpl w:val="C388DB04"/>
    <w:lvl w:ilvl="0" w:tplc="444EF7B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B217B"/>
    <w:multiLevelType w:val="hybridMultilevel"/>
    <w:tmpl w:val="D4903E42"/>
    <w:lvl w:ilvl="0" w:tplc="BDBED30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26108"/>
    <w:multiLevelType w:val="hybridMultilevel"/>
    <w:tmpl w:val="A698B9C8"/>
    <w:lvl w:ilvl="0" w:tplc="E110DB08">
      <w:start w:val="1"/>
      <w:numFmt w:val="decimal"/>
      <w:lvlText w:val="%1."/>
      <w:lvlJc w:val="left"/>
      <w:pPr>
        <w:ind w:left="360" w:hanging="360"/>
      </w:pPr>
      <w:rPr>
        <w:b w:val="0"/>
        <w:bCs w:val="0"/>
      </w:rPr>
    </w:lvl>
    <w:lvl w:ilvl="1" w:tplc="04090019">
      <w:start w:val="1"/>
      <w:numFmt w:val="lowerLetter"/>
      <w:lvlText w:val="%2."/>
      <w:lvlJc w:val="left"/>
      <w:pPr>
        <w:ind w:left="1050" w:hanging="360"/>
      </w:pPr>
    </w:lvl>
    <w:lvl w:ilvl="2" w:tplc="0409001B">
      <w:start w:val="1"/>
      <w:numFmt w:val="lowerRoman"/>
      <w:lvlText w:val="%3."/>
      <w:lvlJc w:val="right"/>
      <w:pPr>
        <w:ind w:left="1770" w:hanging="180"/>
      </w:pPr>
    </w:lvl>
    <w:lvl w:ilvl="3" w:tplc="0409000F">
      <w:start w:val="1"/>
      <w:numFmt w:val="decimal"/>
      <w:lvlText w:val="%4."/>
      <w:lvlJc w:val="left"/>
      <w:pPr>
        <w:ind w:left="2490" w:hanging="360"/>
      </w:pPr>
    </w:lvl>
    <w:lvl w:ilvl="4" w:tplc="04090019">
      <w:start w:val="1"/>
      <w:numFmt w:val="lowerLetter"/>
      <w:lvlText w:val="%5."/>
      <w:lvlJc w:val="left"/>
      <w:pPr>
        <w:ind w:left="3210" w:hanging="360"/>
      </w:pPr>
    </w:lvl>
    <w:lvl w:ilvl="5" w:tplc="0409001B">
      <w:start w:val="1"/>
      <w:numFmt w:val="lowerRoman"/>
      <w:lvlText w:val="%6."/>
      <w:lvlJc w:val="right"/>
      <w:pPr>
        <w:ind w:left="3930" w:hanging="180"/>
      </w:pPr>
    </w:lvl>
    <w:lvl w:ilvl="6" w:tplc="0409000F">
      <w:start w:val="1"/>
      <w:numFmt w:val="decimal"/>
      <w:lvlText w:val="%7."/>
      <w:lvlJc w:val="left"/>
      <w:pPr>
        <w:ind w:left="4650" w:hanging="360"/>
      </w:pPr>
    </w:lvl>
    <w:lvl w:ilvl="7" w:tplc="04090019">
      <w:start w:val="1"/>
      <w:numFmt w:val="lowerLetter"/>
      <w:lvlText w:val="%8."/>
      <w:lvlJc w:val="left"/>
      <w:pPr>
        <w:ind w:left="5370" w:hanging="360"/>
      </w:pPr>
    </w:lvl>
    <w:lvl w:ilvl="8" w:tplc="0409001B">
      <w:start w:val="1"/>
      <w:numFmt w:val="lowerRoman"/>
      <w:lvlText w:val="%9."/>
      <w:lvlJc w:val="right"/>
      <w:pPr>
        <w:ind w:left="6090" w:hanging="180"/>
      </w:pPr>
    </w:lvl>
  </w:abstractNum>
  <w:num w:numId="1" w16cid:durableId="7544011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63293228">
    <w:abstractNumId w:val="1"/>
  </w:num>
  <w:num w:numId="3" w16cid:durableId="1120416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C7498"/>
    <w:rsid w:val="000C7498"/>
    <w:rsid w:val="00205F77"/>
    <w:rsid w:val="002550B7"/>
    <w:rsid w:val="003A33AF"/>
    <w:rsid w:val="00445486"/>
    <w:rsid w:val="00585BC9"/>
    <w:rsid w:val="00615FB5"/>
    <w:rsid w:val="0074603A"/>
    <w:rsid w:val="007D2B63"/>
    <w:rsid w:val="0081211D"/>
    <w:rsid w:val="0086172F"/>
    <w:rsid w:val="008E21FB"/>
    <w:rsid w:val="008E458F"/>
    <w:rsid w:val="00AA5DDF"/>
    <w:rsid w:val="00B72927"/>
    <w:rsid w:val="00DA322A"/>
    <w:rsid w:val="00F140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81A6A9D"/>
  <w15:chartTrackingRefBased/>
  <w15:docId w15:val="{F8FDF514-C21B-433E-80C3-4E9F5EB2F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C749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C7498"/>
    <w:pPr>
      <w:tabs>
        <w:tab w:val="center" w:pos="4153"/>
        <w:tab w:val="right" w:pos="8306"/>
      </w:tabs>
    </w:pPr>
  </w:style>
  <w:style w:type="character" w:customStyle="1" w:styleId="a4">
    <w:name w:val="כותרת עליונה תו"/>
    <w:link w:val="a3"/>
    <w:rsid w:val="000C7498"/>
    <w:rPr>
      <w:rFonts w:ascii="Times New Roman" w:eastAsia="Times New Roman" w:hAnsi="Times New Roman" w:cs="David"/>
      <w:sz w:val="24"/>
      <w:szCs w:val="24"/>
    </w:rPr>
  </w:style>
  <w:style w:type="paragraph" w:styleId="a5">
    <w:name w:val="footer"/>
    <w:basedOn w:val="a"/>
    <w:link w:val="a6"/>
    <w:rsid w:val="000C7498"/>
    <w:pPr>
      <w:tabs>
        <w:tab w:val="center" w:pos="4153"/>
        <w:tab w:val="right" w:pos="8306"/>
      </w:tabs>
    </w:pPr>
  </w:style>
  <w:style w:type="character" w:customStyle="1" w:styleId="a6">
    <w:name w:val="כותרת תחתונה תו"/>
    <w:link w:val="a5"/>
    <w:rsid w:val="000C7498"/>
    <w:rPr>
      <w:rFonts w:ascii="Times New Roman" w:eastAsia="Times New Roman" w:hAnsi="Times New Roman" w:cs="David"/>
      <w:sz w:val="24"/>
      <w:szCs w:val="24"/>
    </w:rPr>
  </w:style>
  <w:style w:type="table" w:styleId="a7">
    <w:name w:val="Table Grid"/>
    <w:basedOn w:val="a1"/>
    <w:rsid w:val="000C749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C7498"/>
  </w:style>
  <w:style w:type="paragraph" w:styleId="a9">
    <w:name w:val="List Paragraph"/>
    <w:basedOn w:val="a"/>
    <w:qFormat/>
    <w:rsid w:val="000C7498"/>
    <w:pPr>
      <w:spacing w:before="120" w:after="120" w:line="480" w:lineRule="auto"/>
      <w:ind w:left="720"/>
      <w:contextualSpacing/>
    </w:pPr>
    <w:rPr>
      <w:rFonts w:ascii="David" w:eastAsia="Calibri" w:hAnsi="David"/>
    </w:rPr>
  </w:style>
  <w:style w:type="paragraph" w:customStyle="1" w:styleId="12">
    <w:name w:val="רגיל + ‏12 נק'"/>
    <w:aliases w:val="מיושר לשני הצדדים,מרווח בין שורות:  שורה וחצי"/>
    <w:basedOn w:val="a"/>
    <w:rsid w:val="000C7498"/>
    <w:rPr>
      <w:b/>
      <w:bCs/>
      <w:u w:val="single"/>
    </w:rPr>
  </w:style>
  <w:style w:type="character" w:styleId="Hyperlink">
    <w:name w:val="Hyperlink"/>
    <w:rsid w:val="008E21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7791493" TargetMode="External"/><Relationship Id="rId18" Type="http://schemas.openxmlformats.org/officeDocument/2006/relationships/hyperlink" Target="http://www.nevo.co.il/case/27087184" TargetMode="External"/><Relationship Id="rId26" Type="http://schemas.openxmlformats.org/officeDocument/2006/relationships/hyperlink" Target="http://www.nevo.co.il/case/21474514" TargetMode="External"/><Relationship Id="rId39" Type="http://schemas.openxmlformats.org/officeDocument/2006/relationships/fontTable" Target="fontTable.xml"/><Relationship Id="rId21" Type="http://schemas.openxmlformats.org/officeDocument/2006/relationships/hyperlink" Target="http://www.nevo.co.il/case/25612982"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case/25824863" TargetMode="External"/><Relationship Id="rId17" Type="http://schemas.openxmlformats.org/officeDocument/2006/relationships/hyperlink" Target="http://www.nevo.co.il/case/23750625" TargetMode="External"/><Relationship Id="rId25" Type="http://schemas.openxmlformats.org/officeDocument/2006/relationships/hyperlink" Target="http://www.nevo.co.il/case/24269595" TargetMode="External"/><Relationship Id="rId33" Type="http://schemas.openxmlformats.org/officeDocument/2006/relationships/hyperlink" Target="http://www.nevo.co.il/case/24194196"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5804154" TargetMode="External"/><Relationship Id="rId20" Type="http://schemas.openxmlformats.org/officeDocument/2006/relationships/hyperlink" Target="http://www.nevo.co.il/case/27171364" TargetMode="External"/><Relationship Id="rId29" Type="http://schemas.openxmlformats.org/officeDocument/2006/relationships/hyperlink" Target="http://www.nevo.co.il/case/694929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5878682" TargetMode="External"/><Relationship Id="rId24" Type="http://schemas.openxmlformats.org/officeDocument/2006/relationships/hyperlink" Target="http://www.nevo.co.il/case/25612982" TargetMode="External"/><Relationship Id="rId32" Type="http://schemas.openxmlformats.org/officeDocument/2006/relationships/hyperlink" Target="http://www.nevo.co.il/case/25842649"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1771409" TargetMode="External"/><Relationship Id="rId23" Type="http://schemas.openxmlformats.org/officeDocument/2006/relationships/hyperlink" Target="http://www.nevo.co.il/case/27087184" TargetMode="External"/><Relationship Id="rId28" Type="http://schemas.openxmlformats.org/officeDocument/2006/relationships/hyperlink" Target="http://www.nevo.co.il/case/20446658" TargetMode="External"/><Relationship Id="rId36"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case/26934681" TargetMode="External"/><Relationship Id="rId31" Type="http://schemas.openxmlformats.org/officeDocument/2006/relationships/hyperlink" Target="http://www.nevo.co.il/case/26779313"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6473037" TargetMode="External"/><Relationship Id="rId22" Type="http://schemas.openxmlformats.org/officeDocument/2006/relationships/hyperlink" Target="http://www.nevo.co.il/case/22006503" TargetMode="External"/><Relationship Id="rId27" Type="http://schemas.openxmlformats.org/officeDocument/2006/relationships/hyperlink" Target="http://www.nevo.co.il/case/21474168" TargetMode="External"/><Relationship Id="rId30" Type="http://schemas.openxmlformats.org/officeDocument/2006/relationships/hyperlink" Target="http://www.nevo.co.il/case/5878682" TargetMode="External"/><Relationship Id="rId35" Type="http://schemas.openxmlformats.org/officeDocument/2006/relationships/header" Target="header1.xml"/><Relationship Id="rId8" Type="http://schemas.openxmlformats.org/officeDocument/2006/relationships/hyperlink" Target="http://www.nevo.co.il/law/70301/144.b"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3094</Words>
  <Characters>15470</Characters>
  <Application>Microsoft Office Word</Application>
  <DocSecurity>0</DocSecurity>
  <Lines>128</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18527</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4063352</vt:i4>
      </vt:variant>
      <vt:variant>
        <vt:i4>78</vt:i4>
      </vt:variant>
      <vt:variant>
        <vt:i4>0</vt:i4>
      </vt:variant>
      <vt:variant>
        <vt:i4>5</vt:i4>
      </vt:variant>
      <vt:variant>
        <vt:lpwstr>http://www.nevo.co.il/case/24194196</vt:lpwstr>
      </vt:variant>
      <vt:variant>
        <vt:lpwstr/>
      </vt:variant>
      <vt:variant>
        <vt:i4>3932275</vt:i4>
      </vt:variant>
      <vt:variant>
        <vt:i4>75</vt:i4>
      </vt:variant>
      <vt:variant>
        <vt:i4>0</vt:i4>
      </vt:variant>
      <vt:variant>
        <vt:i4>5</vt:i4>
      </vt:variant>
      <vt:variant>
        <vt:lpwstr>http://www.nevo.co.il/case/25842649</vt:lpwstr>
      </vt:variant>
      <vt:variant>
        <vt:lpwstr/>
      </vt:variant>
      <vt:variant>
        <vt:i4>3997814</vt:i4>
      </vt:variant>
      <vt:variant>
        <vt:i4>72</vt:i4>
      </vt:variant>
      <vt:variant>
        <vt:i4>0</vt:i4>
      </vt:variant>
      <vt:variant>
        <vt:i4>5</vt:i4>
      </vt:variant>
      <vt:variant>
        <vt:lpwstr>http://www.nevo.co.il/case/26779313</vt:lpwstr>
      </vt:variant>
      <vt:variant>
        <vt:lpwstr/>
      </vt:variant>
      <vt:variant>
        <vt:i4>3539068</vt:i4>
      </vt:variant>
      <vt:variant>
        <vt:i4>69</vt:i4>
      </vt:variant>
      <vt:variant>
        <vt:i4>0</vt:i4>
      </vt:variant>
      <vt:variant>
        <vt:i4>5</vt:i4>
      </vt:variant>
      <vt:variant>
        <vt:lpwstr>http://www.nevo.co.il/case/5878682</vt:lpwstr>
      </vt:variant>
      <vt:variant>
        <vt:lpwstr/>
      </vt:variant>
      <vt:variant>
        <vt:i4>3145853</vt:i4>
      </vt:variant>
      <vt:variant>
        <vt:i4>66</vt:i4>
      </vt:variant>
      <vt:variant>
        <vt:i4>0</vt:i4>
      </vt:variant>
      <vt:variant>
        <vt:i4>5</vt:i4>
      </vt:variant>
      <vt:variant>
        <vt:lpwstr>http://www.nevo.co.il/case/6949290</vt:lpwstr>
      </vt:variant>
      <vt:variant>
        <vt:lpwstr/>
      </vt:variant>
      <vt:variant>
        <vt:i4>3473526</vt:i4>
      </vt:variant>
      <vt:variant>
        <vt:i4>63</vt:i4>
      </vt:variant>
      <vt:variant>
        <vt:i4>0</vt:i4>
      </vt:variant>
      <vt:variant>
        <vt:i4>5</vt:i4>
      </vt:variant>
      <vt:variant>
        <vt:lpwstr>http://www.nevo.co.il/case/20446658</vt:lpwstr>
      </vt:variant>
      <vt:variant>
        <vt:lpwstr/>
      </vt:variant>
      <vt:variant>
        <vt:i4>3407987</vt:i4>
      </vt:variant>
      <vt:variant>
        <vt:i4>60</vt:i4>
      </vt:variant>
      <vt:variant>
        <vt:i4>0</vt:i4>
      </vt:variant>
      <vt:variant>
        <vt:i4>5</vt:i4>
      </vt:variant>
      <vt:variant>
        <vt:lpwstr>http://www.nevo.co.il/case/21474168</vt:lpwstr>
      </vt:variant>
      <vt:variant>
        <vt:lpwstr/>
      </vt:variant>
      <vt:variant>
        <vt:i4>3342455</vt:i4>
      </vt:variant>
      <vt:variant>
        <vt:i4>57</vt:i4>
      </vt:variant>
      <vt:variant>
        <vt:i4>0</vt:i4>
      </vt:variant>
      <vt:variant>
        <vt:i4>5</vt:i4>
      </vt:variant>
      <vt:variant>
        <vt:lpwstr>http://www.nevo.co.il/case/21474514</vt:lpwstr>
      </vt:variant>
      <vt:variant>
        <vt:lpwstr/>
      </vt:variant>
      <vt:variant>
        <vt:i4>3145843</vt:i4>
      </vt:variant>
      <vt:variant>
        <vt:i4>54</vt:i4>
      </vt:variant>
      <vt:variant>
        <vt:i4>0</vt:i4>
      </vt:variant>
      <vt:variant>
        <vt:i4>5</vt:i4>
      </vt:variant>
      <vt:variant>
        <vt:lpwstr>http://www.nevo.co.il/case/24269595</vt:lpwstr>
      </vt:variant>
      <vt:variant>
        <vt:lpwstr/>
      </vt:variant>
      <vt:variant>
        <vt:i4>4063353</vt:i4>
      </vt:variant>
      <vt:variant>
        <vt:i4>51</vt:i4>
      </vt:variant>
      <vt:variant>
        <vt:i4>0</vt:i4>
      </vt:variant>
      <vt:variant>
        <vt:i4>5</vt:i4>
      </vt:variant>
      <vt:variant>
        <vt:lpwstr>http://www.nevo.co.il/case/25612982</vt:lpwstr>
      </vt:variant>
      <vt:variant>
        <vt:lpwstr/>
      </vt:variant>
      <vt:variant>
        <vt:i4>3997818</vt:i4>
      </vt:variant>
      <vt:variant>
        <vt:i4>48</vt:i4>
      </vt:variant>
      <vt:variant>
        <vt:i4>0</vt:i4>
      </vt:variant>
      <vt:variant>
        <vt:i4>5</vt:i4>
      </vt:variant>
      <vt:variant>
        <vt:lpwstr>http://www.nevo.co.il/case/27087184</vt:lpwstr>
      </vt:variant>
      <vt:variant>
        <vt:lpwstr/>
      </vt:variant>
      <vt:variant>
        <vt:i4>3407987</vt:i4>
      </vt:variant>
      <vt:variant>
        <vt:i4>45</vt:i4>
      </vt:variant>
      <vt:variant>
        <vt:i4>0</vt:i4>
      </vt:variant>
      <vt:variant>
        <vt:i4>5</vt:i4>
      </vt:variant>
      <vt:variant>
        <vt:lpwstr>http://www.nevo.co.il/case/22006503</vt:lpwstr>
      </vt:variant>
      <vt:variant>
        <vt:lpwstr/>
      </vt:variant>
      <vt:variant>
        <vt:i4>4063353</vt:i4>
      </vt:variant>
      <vt:variant>
        <vt:i4>42</vt:i4>
      </vt:variant>
      <vt:variant>
        <vt:i4>0</vt:i4>
      </vt:variant>
      <vt:variant>
        <vt:i4>5</vt:i4>
      </vt:variant>
      <vt:variant>
        <vt:lpwstr>http://www.nevo.co.il/case/25612982</vt:lpwstr>
      </vt:variant>
      <vt:variant>
        <vt:lpwstr/>
      </vt:variant>
      <vt:variant>
        <vt:i4>3407991</vt:i4>
      </vt:variant>
      <vt:variant>
        <vt:i4>39</vt:i4>
      </vt:variant>
      <vt:variant>
        <vt:i4>0</vt:i4>
      </vt:variant>
      <vt:variant>
        <vt:i4>5</vt:i4>
      </vt:variant>
      <vt:variant>
        <vt:lpwstr>http://www.nevo.co.il/case/27171364</vt:lpwstr>
      </vt:variant>
      <vt:variant>
        <vt:lpwstr/>
      </vt:variant>
      <vt:variant>
        <vt:i4>3604599</vt:i4>
      </vt:variant>
      <vt:variant>
        <vt:i4>36</vt:i4>
      </vt:variant>
      <vt:variant>
        <vt:i4>0</vt:i4>
      </vt:variant>
      <vt:variant>
        <vt:i4>5</vt:i4>
      </vt:variant>
      <vt:variant>
        <vt:lpwstr>http://www.nevo.co.il/case/26934681</vt:lpwstr>
      </vt:variant>
      <vt:variant>
        <vt:lpwstr/>
      </vt:variant>
      <vt:variant>
        <vt:i4>3997818</vt:i4>
      </vt:variant>
      <vt:variant>
        <vt:i4>33</vt:i4>
      </vt:variant>
      <vt:variant>
        <vt:i4>0</vt:i4>
      </vt:variant>
      <vt:variant>
        <vt:i4>5</vt:i4>
      </vt:variant>
      <vt:variant>
        <vt:lpwstr>http://www.nevo.co.il/case/27087184</vt:lpwstr>
      </vt:variant>
      <vt:variant>
        <vt:lpwstr/>
      </vt:variant>
      <vt:variant>
        <vt:i4>3604596</vt:i4>
      </vt:variant>
      <vt:variant>
        <vt:i4>30</vt:i4>
      </vt:variant>
      <vt:variant>
        <vt:i4>0</vt:i4>
      </vt:variant>
      <vt:variant>
        <vt:i4>5</vt:i4>
      </vt:variant>
      <vt:variant>
        <vt:lpwstr>http://www.nevo.co.il/case/23750625</vt:lpwstr>
      </vt:variant>
      <vt:variant>
        <vt:lpwstr/>
      </vt:variant>
      <vt:variant>
        <vt:i4>3145853</vt:i4>
      </vt:variant>
      <vt:variant>
        <vt:i4>27</vt:i4>
      </vt:variant>
      <vt:variant>
        <vt:i4>0</vt:i4>
      </vt:variant>
      <vt:variant>
        <vt:i4>5</vt:i4>
      </vt:variant>
      <vt:variant>
        <vt:lpwstr>http://www.nevo.co.il/case/5804154</vt:lpwstr>
      </vt:variant>
      <vt:variant>
        <vt:lpwstr/>
      </vt:variant>
      <vt:variant>
        <vt:i4>3407990</vt:i4>
      </vt:variant>
      <vt:variant>
        <vt:i4>24</vt:i4>
      </vt:variant>
      <vt:variant>
        <vt:i4>0</vt:i4>
      </vt:variant>
      <vt:variant>
        <vt:i4>5</vt:i4>
      </vt:variant>
      <vt:variant>
        <vt:lpwstr>http://www.nevo.co.il/case/21771409</vt:lpwstr>
      </vt:variant>
      <vt:variant>
        <vt:lpwstr/>
      </vt:variant>
      <vt:variant>
        <vt:i4>3539056</vt:i4>
      </vt:variant>
      <vt:variant>
        <vt:i4>21</vt:i4>
      </vt:variant>
      <vt:variant>
        <vt:i4>0</vt:i4>
      </vt:variant>
      <vt:variant>
        <vt:i4>5</vt:i4>
      </vt:variant>
      <vt:variant>
        <vt:lpwstr>http://www.nevo.co.il/case/6473037</vt:lpwstr>
      </vt:variant>
      <vt:variant>
        <vt:lpwstr/>
      </vt:variant>
      <vt:variant>
        <vt:i4>3735675</vt:i4>
      </vt:variant>
      <vt:variant>
        <vt:i4>18</vt:i4>
      </vt:variant>
      <vt:variant>
        <vt:i4>0</vt:i4>
      </vt:variant>
      <vt:variant>
        <vt:i4>5</vt:i4>
      </vt:variant>
      <vt:variant>
        <vt:lpwstr>http://www.nevo.co.il/case/7791493</vt:lpwstr>
      </vt:variant>
      <vt:variant>
        <vt:lpwstr/>
      </vt:variant>
      <vt:variant>
        <vt:i4>3670139</vt:i4>
      </vt:variant>
      <vt:variant>
        <vt:i4>15</vt:i4>
      </vt:variant>
      <vt:variant>
        <vt:i4>0</vt:i4>
      </vt:variant>
      <vt:variant>
        <vt:i4>5</vt:i4>
      </vt:variant>
      <vt:variant>
        <vt:lpwstr>http://www.nevo.co.il/case/25824863</vt:lpwstr>
      </vt:variant>
      <vt:variant>
        <vt:lpwstr/>
      </vt:variant>
      <vt:variant>
        <vt:i4>3539068</vt:i4>
      </vt:variant>
      <vt:variant>
        <vt:i4>12</vt:i4>
      </vt:variant>
      <vt:variant>
        <vt:i4>0</vt:i4>
      </vt:variant>
      <vt:variant>
        <vt:i4>5</vt:i4>
      </vt:variant>
      <vt:variant>
        <vt:lpwstr>http://www.nevo.co.il/case/5878682</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2025-01-19T16:32:00Z</dcterms:created>
  <dcterms:modified xsi:type="dcterms:W3CDTF">2025-01-19T16:32:00Z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38687</vt:lpwstr>
  </property>
  <property fmtid="{D5CDD505-2E9C-101B-9397-08002B2CF9AE}" pid="6" name="NEWPARTB">
    <vt:lpwstr>04</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תומר טוביה</vt:lpwstr>
  </property>
  <property fmtid="{D5CDD505-2E9C-101B-9397-08002B2CF9AE}" pid="10" name="LAWYER">
    <vt:lpwstr>יוסי קורצברג;שלי קוטין;גלעד מנשה</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20210210</vt:lpwstr>
  </property>
  <property fmtid="{D5CDD505-2E9C-101B-9397-08002B2CF9AE}" pid="14" name="TYPE_N_DATE">
    <vt:lpwstr>39020210210</vt:lpwstr>
  </property>
  <property fmtid="{D5CDD505-2E9C-101B-9397-08002B2CF9AE}" pid="15" name="WORDNUMPAGES">
    <vt:lpwstr>9</vt:lpwstr>
  </property>
  <property fmtid="{D5CDD505-2E9C-101B-9397-08002B2CF9AE}" pid="16" name="TYPE_ABS_DATE">
    <vt:lpwstr>390020210210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5878682:2;25824863;7791493;6473037;21771409;5804154;23750625;27087184:2;26934681;27171364;25612982:2;22006503;24269595;21474514;21474168;20446658;6949290;26779313;25842649;24194196</vt:lpwstr>
  </property>
  <property fmtid="{D5CDD505-2E9C-101B-9397-08002B2CF9AE}" pid="36" name="LAWLISTTMP1">
    <vt:lpwstr>70301/144.b</vt:lpwstr>
  </property>
</Properties>
</file>