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A410C" w:rsidRPr="00F902F8" w14:paraId="58CE2667" w14:textId="77777777" w:rsidTr="00A941C6">
        <w:trPr>
          <w:gridAfter w:val="1"/>
          <w:wAfter w:w="99" w:type="dxa"/>
          <w:trHeight w:hRule="exact" w:val="418"/>
          <w:jc w:val="center"/>
        </w:trPr>
        <w:tc>
          <w:tcPr>
            <w:tcW w:w="8721" w:type="dxa"/>
            <w:gridSpan w:val="4"/>
          </w:tcPr>
          <w:p w14:paraId="6859D1AF" w14:textId="77777777" w:rsidR="00CA410C" w:rsidRPr="00F902F8" w:rsidRDefault="00CA410C" w:rsidP="001211B7">
            <w:pPr>
              <w:pStyle w:val="a3"/>
              <w:jc w:val="center"/>
              <w:rPr>
                <w:rFonts w:ascii="Tahoma" w:hAnsi="Tahoma" w:cs="Tahoma"/>
                <w:color w:val="000080"/>
                <w:rtl/>
              </w:rPr>
            </w:pPr>
            <w:bookmarkStart w:id="0" w:name="LastJudge"/>
            <w:r w:rsidRPr="00F902F8">
              <w:rPr>
                <w:rFonts w:ascii="Tahoma" w:hAnsi="Tahoma" w:cs="Tahoma"/>
                <w:b/>
                <w:bCs/>
                <w:color w:val="000080"/>
                <w:rtl/>
              </w:rPr>
              <w:t>בית המשפט המחוזי מרכז-לוד</w:t>
            </w:r>
          </w:p>
        </w:tc>
      </w:tr>
      <w:tr w:rsidR="00CA410C" w:rsidRPr="00F902F8" w14:paraId="5577D364" w14:textId="77777777" w:rsidTr="00A941C6">
        <w:trPr>
          <w:gridAfter w:val="1"/>
          <w:wAfter w:w="99" w:type="dxa"/>
          <w:trHeight w:val="337"/>
          <w:jc w:val="center"/>
        </w:trPr>
        <w:tc>
          <w:tcPr>
            <w:tcW w:w="5054" w:type="dxa"/>
            <w:gridSpan w:val="3"/>
          </w:tcPr>
          <w:p w14:paraId="77A4129C" w14:textId="77777777" w:rsidR="00CA410C" w:rsidRPr="00F902F8" w:rsidRDefault="00CA410C" w:rsidP="001211B7">
            <w:pPr>
              <w:rPr>
                <w:rFonts w:cs="FrankRuehl"/>
                <w:sz w:val="28"/>
                <w:szCs w:val="28"/>
                <w:rtl/>
              </w:rPr>
            </w:pPr>
            <w:r w:rsidRPr="00F902F8">
              <w:rPr>
                <w:rFonts w:cs="FrankRuehl"/>
                <w:sz w:val="28"/>
                <w:szCs w:val="28"/>
                <w:rtl/>
              </w:rPr>
              <w:t>ת"פ</w:t>
            </w:r>
            <w:r w:rsidRPr="00F902F8">
              <w:rPr>
                <w:rFonts w:cs="FrankRuehl" w:hint="cs"/>
                <w:sz w:val="28"/>
                <w:szCs w:val="28"/>
                <w:rtl/>
              </w:rPr>
              <w:t xml:space="preserve"> </w:t>
            </w:r>
            <w:r w:rsidRPr="00F902F8">
              <w:rPr>
                <w:rFonts w:cs="FrankRuehl"/>
                <w:sz w:val="28"/>
                <w:szCs w:val="28"/>
                <w:rtl/>
              </w:rPr>
              <w:t>10686-05-20</w:t>
            </w:r>
            <w:r w:rsidRPr="00F902F8">
              <w:rPr>
                <w:rFonts w:cs="FrankRuehl" w:hint="cs"/>
                <w:sz w:val="28"/>
                <w:szCs w:val="28"/>
                <w:rtl/>
              </w:rPr>
              <w:t xml:space="preserve"> </w:t>
            </w:r>
            <w:r w:rsidRPr="00F902F8">
              <w:rPr>
                <w:rFonts w:cs="FrankRuehl"/>
                <w:sz w:val="28"/>
                <w:szCs w:val="28"/>
                <w:rtl/>
              </w:rPr>
              <w:t>מדינת ישראל נ' עאזם ואח'</w:t>
            </w:r>
          </w:p>
          <w:p w14:paraId="6C6AD8AA" w14:textId="77777777" w:rsidR="00CA410C" w:rsidRPr="00F902F8" w:rsidRDefault="00CA410C" w:rsidP="001211B7">
            <w:pPr>
              <w:pStyle w:val="a3"/>
              <w:rPr>
                <w:rFonts w:cs="FrankRuehl"/>
                <w:sz w:val="28"/>
                <w:szCs w:val="28"/>
                <w:rtl/>
              </w:rPr>
            </w:pPr>
          </w:p>
        </w:tc>
        <w:tc>
          <w:tcPr>
            <w:tcW w:w="3667" w:type="dxa"/>
          </w:tcPr>
          <w:p w14:paraId="5A06E479" w14:textId="77777777" w:rsidR="00CA410C" w:rsidRPr="00F902F8" w:rsidRDefault="00CA410C" w:rsidP="001211B7">
            <w:pPr>
              <w:pStyle w:val="a3"/>
              <w:jc w:val="right"/>
              <w:rPr>
                <w:rFonts w:cs="FrankRuehl"/>
                <w:sz w:val="28"/>
                <w:szCs w:val="28"/>
                <w:rtl/>
              </w:rPr>
            </w:pPr>
          </w:p>
        </w:tc>
      </w:tr>
      <w:tr w:rsidR="00CA410C" w:rsidRPr="00F902F8" w14:paraId="03FC1A45" w14:textId="77777777" w:rsidTr="00A941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F59092" w14:textId="77777777" w:rsidR="00CA410C" w:rsidRPr="00F902F8" w:rsidRDefault="00CA410C" w:rsidP="00CA410C">
            <w:pPr>
              <w:jc w:val="both"/>
              <w:rPr>
                <w:rFonts w:ascii="David" w:hAnsi="David"/>
                <w:sz w:val="26"/>
                <w:szCs w:val="26"/>
              </w:rPr>
            </w:pPr>
            <w:r w:rsidRPr="00F902F8">
              <w:rPr>
                <w:rFonts w:hint="cs"/>
                <w:rtl/>
              </w:rPr>
              <w:t xml:space="preserve"> </w:t>
            </w:r>
            <w:r w:rsidRPr="00F902F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7B82ACD" w14:textId="77777777" w:rsidR="00CA410C" w:rsidRPr="00F902F8" w:rsidRDefault="00CA410C" w:rsidP="001211B7">
            <w:pPr>
              <w:rPr>
                <w:rFonts w:ascii="David" w:hAnsi="David"/>
                <w:b/>
                <w:bCs/>
                <w:sz w:val="26"/>
                <w:szCs w:val="26"/>
                <w:rtl/>
              </w:rPr>
            </w:pPr>
            <w:r w:rsidRPr="00F902F8">
              <w:rPr>
                <w:rFonts w:ascii="David" w:hAnsi="David"/>
                <w:b/>
                <w:bCs/>
                <w:sz w:val="26"/>
                <w:szCs w:val="26"/>
                <w:rtl/>
              </w:rPr>
              <w:t>כבוד השופטת  מרב גרינברג</w:t>
            </w:r>
          </w:p>
          <w:p w14:paraId="0F4EB465" w14:textId="77777777" w:rsidR="00CA410C" w:rsidRPr="00F902F8" w:rsidRDefault="00CA410C" w:rsidP="001211B7">
            <w:pPr>
              <w:rPr>
                <w:rFonts w:ascii="David" w:hAnsi="David"/>
                <w:sz w:val="26"/>
                <w:szCs w:val="26"/>
                <w:rtl/>
              </w:rPr>
            </w:pPr>
          </w:p>
          <w:p w14:paraId="596B49D3" w14:textId="77777777" w:rsidR="00CA410C" w:rsidRPr="00F902F8" w:rsidRDefault="00CA410C" w:rsidP="00CA410C">
            <w:pPr>
              <w:jc w:val="both"/>
              <w:rPr>
                <w:rFonts w:ascii="David" w:hAnsi="David"/>
                <w:sz w:val="26"/>
                <w:szCs w:val="26"/>
              </w:rPr>
            </w:pPr>
          </w:p>
        </w:tc>
      </w:tr>
      <w:tr w:rsidR="00CA410C" w:rsidRPr="00F902F8" w14:paraId="1B36E2AF" w14:textId="77777777" w:rsidTr="00A941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886AC8" w14:textId="77777777" w:rsidR="00CA410C" w:rsidRPr="00F902F8" w:rsidRDefault="00CA410C" w:rsidP="00CA410C">
            <w:pPr>
              <w:jc w:val="both"/>
              <w:rPr>
                <w:rFonts w:ascii="David" w:hAnsi="David"/>
                <w:sz w:val="26"/>
                <w:szCs w:val="26"/>
              </w:rPr>
            </w:pPr>
            <w:bookmarkStart w:id="1" w:name="FirstAppellant"/>
            <w:bookmarkStart w:id="2" w:name="FirstLawyer"/>
            <w:r w:rsidRPr="00F902F8">
              <w:rPr>
                <w:rFonts w:ascii="David" w:hAnsi="David"/>
                <w:sz w:val="26"/>
                <w:szCs w:val="26"/>
                <w:rtl/>
              </w:rPr>
              <w:t>בעניין:</w:t>
            </w:r>
          </w:p>
        </w:tc>
        <w:tc>
          <w:tcPr>
            <w:tcW w:w="3219" w:type="dxa"/>
            <w:tcBorders>
              <w:top w:val="nil"/>
              <w:left w:val="nil"/>
              <w:bottom w:val="nil"/>
              <w:right w:val="nil"/>
            </w:tcBorders>
            <w:shd w:val="clear" w:color="auto" w:fill="auto"/>
          </w:tcPr>
          <w:p w14:paraId="017570D3" w14:textId="77777777" w:rsidR="00CA410C" w:rsidRPr="00F902F8" w:rsidRDefault="00CA410C" w:rsidP="00CA410C">
            <w:pPr>
              <w:suppressLineNumbers/>
            </w:pPr>
            <w:r w:rsidRPr="00F902F8">
              <w:rPr>
                <w:rFonts w:ascii="Arial" w:hAnsi="Arial" w:hint="cs"/>
                <w:b/>
                <w:bCs/>
                <w:sz w:val="26"/>
                <w:szCs w:val="26"/>
                <w:rtl/>
              </w:rPr>
              <w:t>ה</w:t>
            </w:r>
            <w:r w:rsidRPr="00F902F8">
              <w:rPr>
                <w:rFonts w:ascii="Arial" w:hAnsi="Arial"/>
                <w:b/>
                <w:bCs/>
                <w:sz w:val="26"/>
                <w:szCs w:val="26"/>
                <w:rtl/>
              </w:rPr>
              <w:t>מאשימה</w:t>
            </w:r>
          </w:p>
          <w:p w14:paraId="1175ED00" w14:textId="77777777" w:rsidR="00CA410C" w:rsidRPr="00F902F8" w:rsidRDefault="00CA410C" w:rsidP="001211B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11E221" w14:textId="77777777" w:rsidR="00CA410C" w:rsidRPr="00F902F8" w:rsidRDefault="00CA410C" w:rsidP="00CA410C">
            <w:pPr>
              <w:suppressLineNumbers/>
              <w:rPr>
                <w:rFonts w:ascii="Arial" w:hAnsi="Arial"/>
                <w:b/>
                <w:bCs/>
                <w:sz w:val="26"/>
                <w:szCs w:val="26"/>
                <w:rtl/>
              </w:rPr>
            </w:pPr>
            <w:r w:rsidRPr="00F902F8">
              <w:rPr>
                <w:rFonts w:ascii="Arial" w:hAnsi="Arial"/>
                <w:b/>
                <w:bCs/>
                <w:sz w:val="26"/>
                <w:szCs w:val="26"/>
                <w:rtl/>
              </w:rPr>
              <w:t>מדינת ישראל</w:t>
            </w:r>
            <w:r w:rsidRPr="00F902F8">
              <w:rPr>
                <w:rFonts w:ascii="Arial" w:hAnsi="Arial" w:hint="cs"/>
                <w:b/>
                <w:bCs/>
                <w:sz w:val="26"/>
                <w:szCs w:val="26"/>
                <w:rtl/>
              </w:rPr>
              <w:t xml:space="preserve"> </w:t>
            </w:r>
          </w:p>
          <w:p w14:paraId="6D1CFC1E" w14:textId="77777777" w:rsidR="00CA410C" w:rsidRPr="00F902F8" w:rsidRDefault="00CA410C" w:rsidP="00CA410C">
            <w:pPr>
              <w:suppressLineNumbers/>
              <w:rPr>
                <w:b/>
                <w:bCs/>
              </w:rPr>
            </w:pPr>
            <w:r w:rsidRPr="00F902F8">
              <w:rPr>
                <w:rFonts w:ascii="Arial" w:hAnsi="Arial"/>
                <w:b/>
                <w:bCs/>
                <w:sz w:val="26"/>
                <w:szCs w:val="26"/>
                <w:rtl/>
              </w:rPr>
              <w:t>ע"י ב"כ עוה"ד</w:t>
            </w:r>
            <w:r w:rsidRPr="00F902F8">
              <w:rPr>
                <w:rFonts w:hint="cs"/>
                <w:rtl/>
              </w:rPr>
              <w:t xml:space="preserve"> </w:t>
            </w:r>
            <w:r w:rsidRPr="00F902F8">
              <w:rPr>
                <w:rFonts w:hint="cs"/>
                <w:b/>
                <w:bCs/>
                <w:rtl/>
              </w:rPr>
              <w:t>אורי רינצקי</w:t>
            </w:r>
          </w:p>
          <w:p w14:paraId="0C00F154" w14:textId="77777777" w:rsidR="00CA410C" w:rsidRPr="00F902F8" w:rsidRDefault="00CA410C" w:rsidP="001211B7">
            <w:pPr>
              <w:rPr>
                <w:rFonts w:ascii="David" w:hAnsi="David"/>
                <w:sz w:val="26"/>
                <w:szCs w:val="26"/>
              </w:rPr>
            </w:pPr>
          </w:p>
        </w:tc>
      </w:tr>
      <w:bookmarkEnd w:id="1"/>
      <w:bookmarkEnd w:id="2"/>
      <w:tr w:rsidR="00CA410C" w:rsidRPr="00F902F8" w14:paraId="11F84B90" w14:textId="77777777" w:rsidTr="00A941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A30BC6" w14:textId="77777777" w:rsidR="00CA410C" w:rsidRPr="00F902F8" w:rsidRDefault="00CA410C" w:rsidP="00CA410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107673F" w14:textId="77777777" w:rsidR="00CA410C" w:rsidRPr="00F902F8" w:rsidRDefault="00CA410C" w:rsidP="00CA410C">
            <w:pPr>
              <w:jc w:val="center"/>
              <w:rPr>
                <w:rFonts w:ascii="David" w:hAnsi="David"/>
                <w:b/>
                <w:bCs/>
                <w:sz w:val="26"/>
                <w:szCs w:val="26"/>
                <w:rtl/>
              </w:rPr>
            </w:pPr>
          </w:p>
          <w:p w14:paraId="5410BE31" w14:textId="77777777" w:rsidR="00CA410C" w:rsidRPr="00F902F8" w:rsidRDefault="00CA410C" w:rsidP="00CA410C">
            <w:pPr>
              <w:jc w:val="center"/>
              <w:rPr>
                <w:rFonts w:ascii="David" w:hAnsi="David"/>
                <w:b/>
                <w:bCs/>
                <w:sz w:val="26"/>
                <w:szCs w:val="26"/>
                <w:rtl/>
              </w:rPr>
            </w:pPr>
            <w:r w:rsidRPr="00F902F8">
              <w:rPr>
                <w:rFonts w:ascii="David" w:hAnsi="David"/>
                <w:b/>
                <w:bCs/>
                <w:sz w:val="26"/>
                <w:szCs w:val="26"/>
                <w:rtl/>
              </w:rPr>
              <w:t>נגד</w:t>
            </w:r>
          </w:p>
          <w:p w14:paraId="215D43A1" w14:textId="77777777" w:rsidR="00CA410C" w:rsidRPr="00F902F8" w:rsidRDefault="00CA410C" w:rsidP="00CA410C">
            <w:pPr>
              <w:jc w:val="both"/>
              <w:rPr>
                <w:rFonts w:ascii="David" w:hAnsi="David"/>
                <w:sz w:val="26"/>
                <w:szCs w:val="26"/>
              </w:rPr>
            </w:pPr>
          </w:p>
        </w:tc>
      </w:tr>
      <w:tr w:rsidR="00CA410C" w:rsidRPr="00F902F8" w14:paraId="414556F8" w14:textId="77777777" w:rsidTr="00A941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777F24" w14:textId="77777777" w:rsidR="00CA410C" w:rsidRPr="00F902F8" w:rsidRDefault="00CA410C" w:rsidP="001211B7">
            <w:pPr>
              <w:rPr>
                <w:rFonts w:ascii="David" w:hAnsi="David"/>
                <w:sz w:val="26"/>
                <w:szCs w:val="26"/>
                <w:rtl/>
              </w:rPr>
            </w:pPr>
          </w:p>
        </w:tc>
        <w:tc>
          <w:tcPr>
            <w:tcW w:w="3219" w:type="dxa"/>
            <w:tcBorders>
              <w:top w:val="nil"/>
              <w:left w:val="nil"/>
              <w:bottom w:val="nil"/>
              <w:right w:val="nil"/>
            </w:tcBorders>
            <w:shd w:val="clear" w:color="auto" w:fill="auto"/>
          </w:tcPr>
          <w:p w14:paraId="6C55923E" w14:textId="77777777" w:rsidR="00CA410C" w:rsidRPr="00F902F8" w:rsidRDefault="00CA410C" w:rsidP="001211B7">
            <w:pPr>
              <w:rPr>
                <w:rFonts w:ascii="Arial" w:hAnsi="Arial"/>
                <w:b/>
                <w:bCs/>
                <w:sz w:val="26"/>
                <w:szCs w:val="26"/>
                <w:rtl/>
              </w:rPr>
            </w:pPr>
            <w:r w:rsidRPr="00F902F8">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9D852A1" w14:textId="77777777" w:rsidR="00CA410C" w:rsidRPr="00F902F8" w:rsidRDefault="00CA410C" w:rsidP="001211B7">
            <w:pPr>
              <w:rPr>
                <w:rFonts w:ascii="David" w:hAnsi="David"/>
                <w:sz w:val="26"/>
                <w:szCs w:val="26"/>
              </w:rPr>
            </w:pPr>
          </w:p>
          <w:p w14:paraId="6AE6B8F0" w14:textId="77777777" w:rsidR="00CA410C" w:rsidRPr="00F902F8" w:rsidRDefault="00CA410C" w:rsidP="00CA410C">
            <w:pPr>
              <w:suppressLineNumbers/>
              <w:rPr>
                <w:rFonts w:ascii="Arial" w:hAnsi="Arial"/>
                <w:b/>
                <w:bCs/>
                <w:sz w:val="26"/>
                <w:szCs w:val="26"/>
                <w:rtl/>
              </w:rPr>
            </w:pPr>
            <w:r w:rsidRPr="00F902F8">
              <w:rPr>
                <w:rFonts w:ascii="Arial" w:hAnsi="Arial"/>
                <w:b/>
                <w:bCs/>
                <w:sz w:val="26"/>
                <w:szCs w:val="26"/>
                <w:rtl/>
              </w:rPr>
              <w:t>1. עבד אל פתאח עאזם</w:t>
            </w:r>
            <w:r w:rsidRPr="00F902F8">
              <w:rPr>
                <w:rFonts w:ascii="Arial" w:hAnsi="Arial" w:hint="cs"/>
                <w:b/>
                <w:bCs/>
                <w:sz w:val="26"/>
                <w:szCs w:val="26"/>
                <w:rtl/>
              </w:rPr>
              <w:t xml:space="preserve"> </w:t>
            </w:r>
          </w:p>
          <w:p w14:paraId="3051AFD9" w14:textId="77777777" w:rsidR="00CA410C" w:rsidRPr="00F902F8" w:rsidRDefault="00CA410C" w:rsidP="00CA410C">
            <w:pPr>
              <w:suppressLineNumbers/>
              <w:rPr>
                <w:b/>
                <w:bCs/>
                <w:rtl/>
              </w:rPr>
            </w:pPr>
            <w:r w:rsidRPr="00F902F8">
              <w:rPr>
                <w:rFonts w:ascii="Arial" w:hAnsi="Arial" w:hint="cs"/>
                <w:b/>
                <w:bCs/>
                <w:sz w:val="26"/>
                <w:szCs w:val="26"/>
                <w:rtl/>
              </w:rPr>
              <w:t xml:space="preserve">    </w:t>
            </w:r>
            <w:r w:rsidRPr="00F902F8">
              <w:rPr>
                <w:rFonts w:ascii="Arial" w:hAnsi="Arial"/>
                <w:b/>
                <w:bCs/>
                <w:sz w:val="26"/>
                <w:szCs w:val="26"/>
                <w:rtl/>
              </w:rPr>
              <w:t>ע"י ב"כ עוה"ד</w:t>
            </w:r>
            <w:r w:rsidRPr="00F902F8">
              <w:rPr>
                <w:rFonts w:hint="cs"/>
                <w:rtl/>
              </w:rPr>
              <w:t xml:space="preserve"> </w:t>
            </w:r>
            <w:r w:rsidRPr="00F902F8">
              <w:rPr>
                <w:rFonts w:hint="cs"/>
                <w:b/>
                <w:bCs/>
                <w:rtl/>
              </w:rPr>
              <w:t>איהאב ג'לג'ולי</w:t>
            </w:r>
          </w:p>
          <w:p w14:paraId="48D3D799" w14:textId="77777777" w:rsidR="00CA410C" w:rsidRPr="00F902F8" w:rsidRDefault="00CA410C" w:rsidP="00CA410C">
            <w:pPr>
              <w:suppressLineNumbers/>
              <w:rPr>
                <w:b/>
                <w:bCs/>
              </w:rPr>
            </w:pPr>
          </w:p>
          <w:p w14:paraId="0202D22A" w14:textId="77777777" w:rsidR="00CA410C" w:rsidRPr="00F902F8" w:rsidRDefault="00CA410C" w:rsidP="00CA410C">
            <w:pPr>
              <w:suppressLineNumbers/>
            </w:pPr>
            <w:r w:rsidRPr="00F902F8">
              <w:rPr>
                <w:rFonts w:ascii="Arial" w:hAnsi="Arial"/>
                <w:b/>
                <w:bCs/>
                <w:sz w:val="26"/>
                <w:szCs w:val="26"/>
                <w:rtl/>
              </w:rPr>
              <w:t>2. מוחמד מצארוה</w:t>
            </w:r>
            <w:r w:rsidRPr="00F902F8">
              <w:rPr>
                <w:rFonts w:ascii="Arial" w:hAnsi="Arial" w:hint="cs"/>
                <w:b/>
                <w:bCs/>
                <w:sz w:val="26"/>
                <w:szCs w:val="26"/>
                <w:rtl/>
              </w:rPr>
              <w:t xml:space="preserve"> </w:t>
            </w:r>
            <w:r w:rsidRPr="00F902F8">
              <w:rPr>
                <w:rFonts w:ascii="Arial" w:hAnsi="Arial"/>
                <w:b/>
                <w:bCs/>
                <w:sz w:val="26"/>
                <w:szCs w:val="26"/>
                <w:rtl/>
              </w:rPr>
              <w:t>–</w:t>
            </w:r>
            <w:r w:rsidRPr="00F902F8">
              <w:rPr>
                <w:rFonts w:ascii="Arial" w:hAnsi="Arial" w:hint="cs"/>
                <w:b/>
                <w:bCs/>
                <w:sz w:val="26"/>
                <w:szCs w:val="26"/>
                <w:rtl/>
              </w:rPr>
              <w:t xml:space="preserve"> טרם הסתיים</w:t>
            </w:r>
          </w:p>
        </w:tc>
      </w:tr>
    </w:tbl>
    <w:p w14:paraId="1C264D67" w14:textId="77777777" w:rsidR="00A941C6" w:rsidRDefault="00A941C6" w:rsidP="00F902F8">
      <w:pPr>
        <w:rPr>
          <w:sz w:val="26"/>
          <w:szCs w:val="26"/>
          <w:rtl/>
        </w:rPr>
      </w:pPr>
    </w:p>
    <w:p w14:paraId="047422B7" w14:textId="77777777" w:rsidR="00A941C6" w:rsidRPr="00A941C6" w:rsidRDefault="00A941C6" w:rsidP="00A941C6">
      <w:pPr>
        <w:spacing w:after="120" w:line="240" w:lineRule="exact"/>
        <w:ind w:left="283" w:hanging="283"/>
        <w:jc w:val="both"/>
        <w:rPr>
          <w:rFonts w:ascii="FrankRuehl" w:hAnsi="FrankRuehl" w:cs="FrankRuehl"/>
          <w:rtl/>
        </w:rPr>
      </w:pPr>
    </w:p>
    <w:p w14:paraId="76648617" w14:textId="77777777" w:rsidR="00AE5423" w:rsidRPr="00AE5423" w:rsidRDefault="00AE5423" w:rsidP="00AE5423">
      <w:pPr>
        <w:spacing w:before="120" w:after="120" w:line="240" w:lineRule="exact"/>
        <w:ind w:left="283" w:hanging="283"/>
        <w:jc w:val="both"/>
        <w:rPr>
          <w:rFonts w:ascii="FrankRuehl" w:hAnsi="FrankRuehl" w:cs="FrankRuehl"/>
          <w:rtl/>
        </w:rPr>
      </w:pPr>
    </w:p>
    <w:p w14:paraId="097928BB" w14:textId="77777777" w:rsidR="002B0F7D" w:rsidRDefault="002B0F7D" w:rsidP="002B0F7D">
      <w:pPr>
        <w:rPr>
          <w:sz w:val="26"/>
          <w:szCs w:val="26"/>
          <w:rtl/>
        </w:rPr>
      </w:pPr>
      <w:bookmarkStart w:id="3" w:name="LawTable"/>
      <w:bookmarkEnd w:id="3"/>
    </w:p>
    <w:p w14:paraId="081C3187" w14:textId="77777777" w:rsidR="002B0F7D" w:rsidRPr="002B0F7D" w:rsidRDefault="002B0F7D" w:rsidP="002B0F7D">
      <w:pPr>
        <w:spacing w:before="120" w:after="120" w:line="240" w:lineRule="exact"/>
        <w:ind w:left="283" w:hanging="283"/>
        <w:jc w:val="both"/>
        <w:rPr>
          <w:rFonts w:ascii="FrankRuehl" w:hAnsi="FrankRuehl" w:cs="FrankRuehl"/>
          <w:rtl/>
        </w:rPr>
      </w:pPr>
    </w:p>
    <w:p w14:paraId="3CA4C63C" w14:textId="77777777" w:rsidR="002B0F7D" w:rsidRPr="002B0F7D" w:rsidRDefault="002B0F7D" w:rsidP="002B0F7D">
      <w:pPr>
        <w:spacing w:before="120" w:after="120" w:line="240" w:lineRule="exact"/>
        <w:ind w:left="283" w:hanging="283"/>
        <w:jc w:val="both"/>
        <w:rPr>
          <w:rFonts w:ascii="FrankRuehl" w:hAnsi="FrankRuehl" w:cs="FrankRuehl"/>
          <w:rtl/>
        </w:rPr>
      </w:pPr>
    </w:p>
    <w:p w14:paraId="1855BC7F" w14:textId="77777777" w:rsidR="002B0F7D" w:rsidRPr="002B0F7D" w:rsidRDefault="002B0F7D" w:rsidP="002B0F7D">
      <w:pPr>
        <w:spacing w:before="120" w:after="120" w:line="240" w:lineRule="exact"/>
        <w:ind w:left="283" w:hanging="283"/>
        <w:jc w:val="both"/>
        <w:rPr>
          <w:rFonts w:ascii="FrankRuehl" w:hAnsi="FrankRuehl" w:cs="FrankRuehl"/>
          <w:rtl/>
        </w:rPr>
      </w:pPr>
      <w:r w:rsidRPr="002B0F7D">
        <w:rPr>
          <w:rFonts w:ascii="FrankRuehl" w:hAnsi="FrankRuehl" w:cs="FrankRuehl"/>
          <w:rtl/>
        </w:rPr>
        <w:t xml:space="preserve">חקיקה שאוזכרה: </w:t>
      </w:r>
    </w:p>
    <w:p w14:paraId="2C2D1FAA" w14:textId="77777777" w:rsidR="002B0F7D" w:rsidRPr="002B0F7D" w:rsidRDefault="002B0F7D" w:rsidP="002B0F7D">
      <w:pPr>
        <w:spacing w:before="120" w:after="120" w:line="240" w:lineRule="exact"/>
        <w:ind w:left="283" w:hanging="283"/>
        <w:jc w:val="both"/>
        <w:rPr>
          <w:rFonts w:ascii="FrankRuehl" w:hAnsi="FrankRuehl" w:cs="FrankRuehl"/>
          <w:rtl/>
        </w:rPr>
      </w:pPr>
      <w:hyperlink r:id="rId7" w:history="1">
        <w:r w:rsidRPr="002B0F7D">
          <w:rPr>
            <w:rFonts w:ascii="FrankRuehl" w:hAnsi="FrankRuehl" w:cs="FrankRuehl"/>
            <w:color w:val="0000FF"/>
            <w:rtl/>
          </w:rPr>
          <w:t>חוק העונשין, תשל"ז-1977</w:t>
        </w:r>
      </w:hyperlink>
      <w:r w:rsidRPr="002B0F7D">
        <w:rPr>
          <w:rFonts w:ascii="FrankRuehl" w:hAnsi="FrankRuehl" w:cs="FrankRuehl"/>
          <w:rtl/>
        </w:rPr>
        <w:t xml:space="preserve">: סע'  </w:t>
      </w:r>
      <w:hyperlink r:id="rId8" w:history="1">
        <w:r w:rsidRPr="002B0F7D">
          <w:rPr>
            <w:rFonts w:ascii="FrankRuehl" w:hAnsi="FrankRuehl" w:cs="FrankRuehl"/>
            <w:color w:val="0000FF"/>
            <w:rtl/>
          </w:rPr>
          <w:t>40ד'</w:t>
        </w:r>
      </w:hyperlink>
      <w:r w:rsidRPr="002B0F7D">
        <w:rPr>
          <w:rFonts w:ascii="FrankRuehl" w:hAnsi="FrankRuehl" w:cs="FrankRuehl"/>
          <w:rtl/>
        </w:rPr>
        <w:t xml:space="preserve">, </w:t>
      </w:r>
      <w:hyperlink r:id="rId9" w:history="1">
        <w:r w:rsidRPr="002B0F7D">
          <w:rPr>
            <w:rFonts w:ascii="FrankRuehl" w:hAnsi="FrankRuehl" w:cs="FrankRuehl"/>
            <w:color w:val="0000FF"/>
            <w:rtl/>
          </w:rPr>
          <w:t>40ד'(א)</w:t>
        </w:r>
      </w:hyperlink>
      <w:r w:rsidRPr="002B0F7D">
        <w:rPr>
          <w:rFonts w:ascii="FrankRuehl" w:hAnsi="FrankRuehl" w:cs="FrankRuehl"/>
          <w:rtl/>
        </w:rPr>
        <w:t xml:space="preserve">, </w:t>
      </w:r>
      <w:hyperlink r:id="rId10" w:history="1">
        <w:r w:rsidRPr="002B0F7D">
          <w:rPr>
            <w:rFonts w:ascii="FrankRuehl" w:hAnsi="FrankRuehl" w:cs="FrankRuehl"/>
            <w:color w:val="0000FF"/>
            <w:rtl/>
          </w:rPr>
          <w:t>144(ב)</w:t>
        </w:r>
      </w:hyperlink>
    </w:p>
    <w:p w14:paraId="5A249A31" w14:textId="77777777" w:rsidR="002B0F7D" w:rsidRPr="002B0F7D" w:rsidRDefault="002B0F7D" w:rsidP="002B0F7D">
      <w:pPr>
        <w:spacing w:before="120" w:after="120" w:line="240" w:lineRule="exact"/>
        <w:ind w:left="283" w:hanging="283"/>
        <w:jc w:val="both"/>
        <w:rPr>
          <w:rFonts w:ascii="FrankRuehl" w:hAnsi="FrankRuehl" w:cs="FrankRuehl"/>
          <w:rtl/>
        </w:rPr>
      </w:pPr>
      <w:hyperlink r:id="rId11" w:history="1">
        <w:r w:rsidRPr="002B0F7D">
          <w:rPr>
            <w:rFonts w:ascii="FrankRuehl" w:hAnsi="FrankRuehl" w:cs="FrankRuehl"/>
            <w:color w:val="0000FF"/>
            <w:rtl/>
          </w:rPr>
          <w:t>פקודת המבחן [נוסח חדש], תשכ"ט-1969</w:t>
        </w:r>
      </w:hyperlink>
    </w:p>
    <w:p w14:paraId="493C370C" w14:textId="77777777" w:rsidR="002B0F7D" w:rsidRPr="002B0F7D" w:rsidRDefault="002B0F7D" w:rsidP="002B0F7D">
      <w:pPr>
        <w:rPr>
          <w:sz w:val="26"/>
          <w:szCs w:val="26"/>
          <w:rtl/>
        </w:rPr>
      </w:pPr>
      <w:bookmarkStart w:id="4" w:name="LawTable_End"/>
      <w:bookmarkEnd w:id="4"/>
    </w:p>
    <w:p w14:paraId="26189AC2" w14:textId="77777777" w:rsidR="00CA410C" w:rsidRPr="00AE5423" w:rsidRDefault="00CA410C" w:rsidP="00AE542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410C" w:rsidRPr="001E7D98" w14:paraId="77FE4828" w14:textId="77777777" w:rsidTr="00CA410C">
        <w:trPr>
          <w:trHeight w:val="355"/>
          <w:jc w:val="center"/>
        </w:trPr>
        <w:tc>
          <w:tcPr>
            <w:tcW w:w="8820" w:type="dxa"/>
            <w:tcBorders>
              <w:top w:val="nil"/>
              <w:left w:val="nil"/>
              <w:bottom w:val="nil"/>
              <w:right w:val="nil"/>
            </w:tcBorders>
            <w:shd w:val="clear" w:color="auto" w:fill="auto"/>
          </w:tcPr>
          <w:p w14:paraId="18F5BE53" w14:textId="77777777" w:rsidR="00F902F8" w:rsidRPr="00F902F8" w:rsidRDefault="00F902F8" w:rsidP="00F902F8">
            <w:pPr>
              <w:jc w:val="center"/>
              <w:rPr>
                <w:rFonts w:ascii="David" w:hAnsi="David"/>
                <w:b/>
                <w:bCs/>
                <w:sz w:val="32"/>
                <w:szCs w:val="32"/>
                <w:u w:val="single"/>
                <w:rtl/>
              </w:rPr>
            </w:pPr>
            <w:bookmarkStart w:id="5" w:name="PsakDin" w:colFirst="0" w:colLast="0"/>
            <w:bookmarkEnd w:id="0"/>
            <w:r w:rsidRPr="00F902F8">
              <w:rPr>
                <w:rFonts w:ascii="David" w:hAnsi="David"/>
                <w:b/>
                <w:bCs/>
                <w:sz w:val="32"/>
                <w:szCs w:val="32"/>
                <w:u w:val="single"/>
                <w:rtl/>
              </w:rPr>
              <w:t>גזר דין בעניין הנאשם 1</w:t>
            </w:r>
          </w:p>
          <w:p w14:paraId="26933252" w14:textId="77777777" w:rsidR="00CA410C" w:rsidRPr="00F902F8" w:rsidRDefault="00CA410C" w:rsidP="00F902F8">
            <w:pPr>
              <w:jc w:val="center"/>
              <w:rPr>
                <w:rFonts w:ascii="David" w:hAnsi="David"/>
                <w:b/>
                <w:bCs/>
                <w:sz w:val="32"/>
                <w:szCs w:val="32"/>
                <w:u w:val="single"/>
                <w:rtl/>
              </w:rPr>
            </w:pPr>
          </w:p>
        </w:tc>
      </w:tr>
    </w:tbl>
    <w:p w14:paraId="71231499" w14:textId="77777777" w:rsidR="00CA410C" w:rsidRPr="000F2247" w:rsidRDefault="00CA410C" w:rsidP="00CA410C">
      <w:pPr>
        <w:rPr>
          <w:rFonts w:ascii="Arial" w:hAnsi="Arial"/>
          <w:b/>
          <w:bCs/>
          <w:sz w:val="26"/>
          <w:szCs w:val="26"/>
          <w:rtl/>
        </w:rPr>
      </w:pPr>
      <w:bookmarkStart w:id="6" w:name="ABSTRACT_START"/>
      <w:bookmarkEnd w:id="5"/>
      <w:bookmarkEnd w:id="6"/>
    </w:p>
    <w:p w14:paraId="69DA2B57" w14:textId="77777777" w:rsidR="00CA410C" w:rsidRDefault="00CA410C" w:rsidP="00CA410C">
      <w:pPr>
        <w:pStyle w:val="a9"/>
        <w:numPr>
          <w:ilvl w:val="0"/>
          <w:numId w:val="1"/>
        </w:numPr>
        <w:spacing w:line="360" w:lineRule="auto"/>
        <w:jc w:val="both"/>
      </w:pPr>
      <w:r>
        <w:rPr>
          <w:rFonts w:hint="cs"/>
          <w:rtl/>
        </w:rPr>
        <w:t xml:space="preserve">הנאשם (נאשם 1 בכתב האישום) הורשע, במסגרת הסדר טיעון, בעובדות כתב אישום מתוקן בעבירת נשיאה והובלת נשק, </w:t>
      </w:r>
      <w:r>
        <w:rPr>
          <w:rFonts w:hint="cs"/>
          <w:b/>
          <w:bCs/>
          <w:rtl/>
        </w:rPr>
        <w:t xml:space="preserve">לפי </w:t>
      </w:r>
      <w:hyperlink r:id="rId12" w:history="1">
        <w:r w:rsidR="00A941C6" w:rsidRPr="00A941C6">
          <w:rPr>
            <w:rStyle w:val="Hyperlink"/>
            <w:rFonts w:hint="eastAsia"/>
            <w:b/>
            <w:bCs/>
            <w:rtl/>
          </w:rPr>
          <w:t>סעיף</w:t>
        </w:r>
        <w:r w:rsidR="00A941C6" w:rsidRPr="00A941C6">
          <w:rPr>
            <w:rStyle w:val="Hyperlink"/>
            <w:b/>
            <w:bCs/>
            <w:rtl/>
          </w:rPr>
          <w:t xml:space="preserve"> 144(ב)</w:t>
        </w:r>
      </w:hyperlink>
      <w:r>
        <w:rPr>
          <w:rFonts w:hint="cs"/>
          <w:b/>
          <w:bCs/>
          <w:rtl/>
        </w:rPr>
        <w:t xml:space="preserve"> רישא ל</w:t>
      </w:r>
      <w:hyperlink r:id="rId13" w:history="1">
        <w:r w:rsidR="00F902F8" w:rsidRPr="00F902F8">
          <w:rPr>
            <w:b/>
            <w:bCs/>
            <w:color w:val="0000FF"/>
            <w:u w:val="single"/>
            <w:rtl/>
          </w:rPr>
          <w:t>חוק העונשין</w:t>
        </w:r>
      </w:hyperlink>
      <w:r>
        <w:rPr>
          <w:rFonts w:hint="cs"/>
          <w:b/>
          <w:bCs/>
          <w:rtl/>
        </w:rPr>
        <w:t>, תשל"ז-1977</w:t>
      </w:r>
      <w:r>
        <w:rPr>
          <w:rFonts w:hint="cs"/>
          <w:rtl/>
        </w:rPr>
        <w:t xml:space="preserve">. </w:t>
      </w:r>
    </w:p>
    <w:p w14:paraId="71BD88E3" w14:textId="77777777" w:rsidR="00CA410C" w:rsidRDefault="00CA410C" w:rsidP="00CA410C">
      <w:pPr>
        <w:pStyle w:val="a9"/>
        <w:spacing w:line="360" w:lineRule="auto"/>
        <w:jc w:val="both"/>
      </w:pPr>
    </w:p>
    <w:p w14:paraId="0F3955F8" w14:textId="77777777" w:rsidR="00CA410C" w:rsidRDefault="00CA410C" w:rsidP="00CA410C">
      <w:pPr>
        <w:pStyle w:val="a9"/>
        <w:numPr>
          <w:ilvl w:val="0"/>
          <w:numId w:val="1"/>
        </w:numPr>
        <w:spacing w:line="360" w:lineRule="auto"/>
        <w:jc w:val="both"/>
        <w:rPr>
          <w:rtl/>
        </w:rPr>
      </w:pPr>
      <w:r>
        <w:rPr>
          <w:rFonts w:hint="cs"/>
          <w:rtl/>
        </w:rPr>
        <w:t xml:space="preserve">כמפורט בעובדות כתב האישום המתוקן, ביום 27.4.20, צעד הנאשם ביחד עם נאשם 2 בשטח פתוח בתוך העיר טייבה לעבר רכבו, כשהוא נושא תיק שחור ובו נשק כמפורט: רובה סער מסוג קלצ'ניקוב ושתי מחסניות ריקות תואמות, אקדח חצי אוטומטי מסוג </w:t>
      </w:r>
      <w:r>
        <w:t>"Para Ordnance"</w:t>
      </w:r>
      <w:r>
        <w:rPr>
          <w:rFonts w:hint="cs"/>
          <w:rtl/>
        </w:rPr>
        <w:t xml:space="preserve"> ובו מחסנית המכילה שלושה כדורי אקדח 0.45 מ"מ. נאשם 2 שהלך לצדו, סייע לו בכך שהחזיק בידו שקית ובה שמן לנשק, תוך שמודע לקיומו של הנשק. </w:t>
      </w:r>
    </w:p>
    <w:p w14:paraId="25A3B4FB" w14:textId="77777777" w:rsidR="00CA410C" w:rsidRDefault="00CA410C" w:rsidP="00CA410C">
      <w:pPr>
        <w:pStyle w:val="a9"/>
      </w:pPr>
    </w:p>
    <w:p w14:paraId="1462C945" w14:textId="77777777" w:rsidR="00CA410C" w:rsidRDefault="00CA410C" w:rsidP="00CA410C">
      <w:pPr>
        <w:pStyle w:val="a9"/>
        <w:numPr>
          <w:ilvl w:val="0"/>
          <w:numId w:val="1"/>
        </w:numPr>
        <w:spacing w:line="360" w:lineRule="auto"/>
        <w:jc w:val="both"/>
        <w:rPr>
          <w:rtl/>
        </w:rPr>
      </w:pPr>
      <w:bookmarkStart w:id="7" w:name="ABSTRACT_END"/>
      <w:bookmarkEnd w:id="7"/>
      <w:r>
        <w:rPr>
          <w:rFonts w:hint="cs"/>
          <w:rtl/>
        </w:rPr>
        <w:lastRenderedPageBreak/>
        <w:t>ביום 13.7.21 הציגו הצדדים הסדר טיעון דיוני, פרי הליך גישור שנוהל בפני שני מותבים (כב' השופט קובו, כב' השופט טרסי), במסגרתו הודו והורשעו הנאשמים בעובדות כתב אישום מתוקן ללא הסכמה עונשית, נאשם 1 הופנה במסגרת ההסכמות ומפאת גילו לתסקיר. דיון המשך בעניין נאשם 2 קבוע ליום 19.10.22 (פרוטוקול דיון מיום 17.7.22).</w:t>
      </w:r>
    </w:p>
    <w:p w14:paraId="2CD00581" w14:textId="77777777" w:rsidR="00CA410C" w:rsidRDefault="00CA410C" w:rsidP="00CA410C">
      <w:pPr>
        <w:pStyle w:val="a9"/>
        <w:spacing w:line="360" w:lineRule="auto"/>
        <w:jc w:val="both"/>
        <w:rPr>
          <w:rtl/>
        </w:rPr>
      </w:pPr>
    </w:p>
    <w:p w14:paraId="436FEA7F" w14:textId="77777777" w:rsidR="00CA410C" w:rsidRDefault="00CA410C" w:rsidP="00CA410C">
      <w:pPr>
        <w:spacing w:line="360" w:lineRule="auto"/>
        <w:jc w:val="both"/>
        <w:rPr>
          <w:b/>
          <w:bCs/>
          <w:u w:val="single"/>
          <w:rtl/>
        </w:rPr>
      </w:pPr>
      <w:r>
        <w:rPr>
          <w:rFonts w:hint="cs"/>
          <w:b/>
          <w:bCs/>
          <w:u w:val="single"/>
          <w:rtl/>
        </w:rPr>
        <w:t>תסקיר שירות המבחן</w:t>
      </w:r>
    </w:p>
    <w:p w14:paraId="3783F2AA" w14:textId="77777777" w:rsidR="00CA410C" w:rsidRDefault="00CA410C" w:rsidP="00CA410C">
      <w:pPr>
        <w:pStyle w:val="a9"/>
        <w:numPr>
          <w:ilvl w:val="0"/>
          <w:numId w:val="1"/>
        </w:numPr>
        <w:spacing w:line="360" w:lineRule="auto"/>
        <w:jc w:val="both"/>
        <w:rPr>
          <w:rtl/>
        </w:rPr>
      </w:pPr>
      <w:r>
        <w:rPr>
          <w:rFonts w:hint="cs"/>
          <w:rtl/>
        </w:rPr>
        <w:t xml:space="preserve">הנאשם, בן 22, רווק, נעדר הרשעות קודמות, סטודנט שנה שלישית בחוג הנדסה אזרחית  באוניברסיטת אריאל, עובד ומתגורר במקום. הנאשם בן למשפחה טובה, אביו עובד כמהנדס חשמל ואמו מורה לאנגלית, לנאשם שלושה אחים קטנים. הנאשם תיאר יחסים קרובים עם בני משפחה וכי משמש מודל לאחיו הצעירים. הנאשם מודה בביצוע העבירה, שנעברה בשנה הראשונה ללימודיו, אך התקשה להסביר את נסיבותיה ומניעיו, הביע חרטה וביטא הבנה להשלכותיה וחומרתה. הנאשם שלל מעורבות בסכסוכים אלימים אך משיחה שנערכה עם אביו עלה הרושם, שהרקע לעבירה הוא קיום קשרים חברתיים בעייתיים, כשלאחר מעצרו בתיק, סייע לו לנתק את קשריו השוליים ולהתמקד בלימודיו. הנאשם היה נתון בפיקוח מעצרים תקופה ארוכה, שולב בקבוצה טיפולית לעצורי בית, כשמהתסקיר עולה כי שיתף פעולה והשקיע מאמצים לשוב לניהול שגרת חייו הנורמטיבית, רמת מסוכנותו הוערכה כנמוכה. בהמלצת שירות המבחן הקל בית המשפט בתנאיו המגבילים והנאשם שב ללמוד. במפגש משלים שנערך עמו שב והתרשם שירות המבחן שמדובר בנאשם צעיר, שניהל אורח חיים תקין וביצע את העבירה על רקע צורך בהוכחת גבריות וקיום קשרים חברתיים בעיתיים. נוכח מוטיבציה טיפולית ונכונות לשקם את חייו, בא שירות המבחן בהמלצה להסתפק בענישה בדרך של עבודות שירות לצד צו מבחן. </w:t>
      </w:r>
    </w:p>
    <w:p w14:paraId="5C012625" w14:textId="77777777" w:rsidR="00CA410C" w:rsidRDefault="00CA410C" w:rsidP="00CA410C">
      <w:pPr>
        <w:pStyle w:val="a9"/>
        <w:spacing w:line="360" w:lineRule="auto"/>
        <w:jc w:val="both"/>
        <w:rPr>
          <w:rtl/>
        </w:rPr>
      </w:pPr>
    </w:p>
    <w:p w14:paraId="332130BC" w14:textId="77777777" w:rsidR="00CA410C" w:rsidRDefault="00CA410C" w:rsidP="00CA410C">
      <w:pPr>
        <w:spacing w:line="360" w:lineRule="auto"/>
        <w:jc w:val="both"/>
        <w:rPr>
          <w:b/>
          <w:bCs/>
          <w:u w:val="single"/>
          <w:rtl/>
        </w:rPr>
      </w:pPr>
      <w:r>
        <w:rPr>
          <w:rFonts w:hint="cs"/>
          <w:b/>
          <w:bCs/>
          <w:u w:val="single"/>
          <w:rtl/>
        </w:rPr>
        <w:t>תמצית הטיעונים לעונש</w:t>
      </w:r>
    </w:p>
    <w:p w14:paraId="1B57673A" w14:textId="77777777" w:rsidR="00CA410C" w:rsidRDefault="00CA410C" w:rsidP="00CA410C">
      <w:pPr>
        <w:pStyle w:val="a9"/>
        <w:numPr>
          <w:ilvl w:val="0"/>
          <w:numId w:val="1"/>
        </w:numPr>
        <w:spacing w:line="360" w:lineRule="auto"/>
        <w:jc w:val="both"/>
        <w:rPr>
          <w:rtl/>
        </w:rPr>
      </w:pPr>
      <w:r>
        <w:rPr>
          <w:rFonts w:hint="cs"/>
          <w:rtl/>
        </w:rPr>
        <w:t xml:space="preserve">ב"כ המאשימה, עו"ד א. רינצקי, עמד בטיעוניו על מגמת ההחמרה בעבירות נשק וחומרת מעשי הנאשם, שהחזיק ברובה סער שהוא נשק התקפי ואקדח. לפיכך, עתר למתחם עונשי הנע בין 60-38 חודשי מאסר בפועל. בהתחשב בנסיבותיו, מבקש למקמו בתחתית המתחם. עוד סבור שיש לפגוע גם בכיסו של הנאשם ועתר לקנס מכביד בסך 15,000 ₪. </w:t>
      </w:r>
    </w:p>
    <w:p w14:paraId="031FE820" w14:textId="77777777" w:rsidR="00CA410C" w:rsidRDefault="00CA410C" w:rsidP="00CA410C">
      <w:pPr>
        <w:pStyle w:val="a9"/>
        <w:spacing w:line="360" w:lineRule="auto"/>
        <w:jc w:val="both"/>
        <w:rPr>
          <w:rtl/>
        </w:rPr>
      </w:pPr>
    </w:p>
    <w:p w14:paraId="7A18D51C" w14:textId="77777777" w:rsidR="00CA410C" w:rsidRDefault="00CA410C" w:rsidP="00CA410C">
      <w:pPr>
        <w:pStyle w:val="a9"/>
        <w:numPr>
          <w:ilvl w:val="0"/>
          <w:numId w:val="1"/>
        </w:numPr>
        <w:spacing w:line="360" w:lineRule="auto"/>
        <w:jc w:val="both"/>
      </w:pPr>
      <w:r>
        <w:rPr>
          <w:rFonts w:hint="cs"/>
          <w:rtl/>
        </w:rPr>
        <w:t xml:space="preserve">ב"כ הנאשם, עו"ד א. ג'לג'ולי, ביקש לאמץ המלצת שירות המבחן והצביע על כל הנסיבות המקלות שיש בהן, לשיטתו, כדי לאפשר חריגה ממתחם העונש. כך עמד על התסקיר החיובי שהתקבל, שיתוף הפעולה של הנאשם, נכונותו להשתלב בטיפול נוסף ועמידתו תקופה ממושכת בתנאים מגבילים. עוד ציין, כי מדובר בבן למשפחה הנורמטיבית, סטודנט להנדסת בניין, ללא עבר פלילי, ביקש לראות במעשיו מעידה חריגה שלא תחזור על עצמה ולהימנע משליחתו למאסר ממש. </w:t>
      </w:r>
    </w:p>
    <w:p w14:paraId="25B489F0" w14:textId="77777777" w:rsidR="00CA410C" w:rsidRDefault="00CA410C" w:rsidP="00CA410C">
      <w:pPr>
        <w:pStyle w:val="a9"/>
      </w:pPr>
    </w:p>
    <w:p w14:paraId="1A1C82D9" w14:textId="77777777" w:rsidR="00CA410C" w:rsidRDefault="00CA410C" w:rsidP="00CA410C">
      <w:pPr>
        <w:pStyle w:val="a9"/>
        <w:numPr>
          <w:ilvl w:val="0"/>
          <w:numId w:val="1"/>
        </w:numPr>
        <w:spacing w:line="360" w:lineRule="auto"/>
        <w:jc w:val="both"/>
        <w:rPr>
          <w:b/>
          <w:bCs/>
          <w:u w:val="single"/>
          <w:rtl/>
        </w:rPr>
      </w:pPr>
      <w:r>
        <w:rPr>
          <w:rFonts w:hint="cs"/>
          <w:b/>
          <w:bCs/>
          <w:rtl/>
        </w:rPr>
        <w:lastRenderedPageBreak/>
        <w:t>הנאשם בדברו האחרון</w:t>
      </w:r>
      <w:r>
        <w:rPr>
          <w:rFonts w:hint="cs"/>
          <w:rtl/>
        </w:rPr>
        <w:t xml:space="preserve"> הביע צער על מעורבותו בעבירה, הסביר שבמועד ביצועה, לפני כשנתיים, היה מעורב בחברה אחרת אך מאז עושה כל מאמץ כדי להשתקם. הנאשם הוסיף, כי נכון לשלם את חובו לחברה אך ביקש שיתאפשר לו להשלים את חוק לימודיו.  </w:t>
      </w:r>
    </w:p>
    <w:p w14:paraId="52D47D52" w14:textId="77777777" w:rsidR="00CA410C" w:rsidRDefault="00CA410C" w:rsidP="00CA410C">
      <w:pPr>
        <w:pStyle w:val="a9"/>
        <w:rPr>
          <w:b/>
          <w:bCs/>
          <w:u w:val="single"/>
          <w:rtl/>
        </w:rPr>
      </w:pPr>
    </w:p>
    <w:p w14:paraId="3CD89F5C" w14:textId="77777777" w:rsidR="00CA410C" w:rsidRDefault="00CA410C" w:rsidP="00CA410C">
      <w:pPr>
        <w:spacing w:line="360" w:lineRule="auto"/>
        <w:jc w:val="both"/>
        <w:rPr>
          <w:b/>
          <w:bCs/>
          <w:u w:val="single"/>
          <w:rtl/>
        </w:rPr>
      </w:pPr>
      <w:r>
        <w:rPr>
          <w:rFonts w:hint="cs"/>
          <w:b/>
          <w:bCs/>
          <w:u w:val="single"/>
          <w:rtl/>
        </w:rPr>
        <w:t>דיון והכרעה</w:t>
      </w:r>
    </w:p>
    <w:p w14:paraId="5D666DD4" w14:textId="77777777" w:rsidR="00CA410C" w:rsidRDefault="00CA410C" w:rsidP="00CA410C">
      <w:pPr>
        <w:spacing w:line="360" w:lineRule="auto"/>
        <w:jc w:val="both"/>
        <w:rPr>
          <w:b/>
          <w:bCs/>
          <w:u w:val="single"/>
          <w:rtl/>
        </w:rPr>
      </w:pPr>
      <w:r>
        <w:rPr>
          <w:rFonts w:hint="cs"/>
          <w:b/>
          <w:bCs/>
          <w:u w:val="single"/>
          <w:rtl/>
        </w:rPr>
        <w:t>מתחם העונש ההולם</w:t>
      </w:r>
    </w:p>
    <w:p w14:paraId="3D903CF3" w14:textId="77777777" w:rsidR="00CA410C" w:rsidRDefault="00CA410C" w:rsidP="00CA410C">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17F156F" w14:textId="77777777" w:rsidR="00CA410C" w:rsidRDefault="00CA410C" w:rsidP="00CA410C">
      <w:pPr>
        <w:pStyle w:val="a9"/>
        <w:spacing w:line="360" w:lineRule="auto"/>
        <w:jc w:val="both"/>
        <w:rPr>
          <w:rFonts w:ascii="Times New Roman" w:eastAsia="Times New Roman" w:hAnsi="Times New Roman"/>
        </w:rPr>
      </w:pPr>
    </w:p>
    <w:p w14:paraId="63663763" w14:textId="77777777" w:rsidR="00CA410C" w:rsidRDefault="00CA410C" w:rsidP="00CA410C">
      <w:pPr>
        <w:pStyle w:val="ruller400"/>
        <w:numPr>
          <w:ilvl w:val="0"/>
          <w:numId w:val="1"/>
        </w:numPr>
        <w:bidi/>
        <w:spacing w:before="0" w:beforeAutospacing="0" w:after="0" w:afterAutospacing="0" w:line="360" w:lineRule="atLeast"/>
        <w:jc w:val="both"/>
        <w:rPr>
          <w:rFonts w:ascii="David" w:hAnsi="David" w:cs="David"/>
          <w:color w:val="000000"/>
          <w:spacing w:val="10"/>
          <w:rtl/>
        </w:rPr>
      </w:pPr>
      <w:r>
        <w:rPr>
          <w:rFonts w:ascii="David" w:hAnsi="David" w:cs="David"/>
          <w:rtl/>
        </w:rPr>
        <w:t>דומה שאין צורך להכביר מילים באשר לחומרתן של עבירות הנשק וחומרת מעשיו של הנאשם. מדובר במעשים שפגעו פגיעה מוחשית בערכים המוגנים של שמירה על חיי אדם ושלמות גופו. עבירות אלו, על כל סוגיהן ומיניהן, הפכו ל"מכת מדינה" קשה ומגלמות סכנה ממשית לשלום הציבור ולביטחונו</w:t>
      </w:r>
      <w:r>
        <w:rPr>
          <w:rFonts w:ascii="David" w:hAnsi="David" w:cs="David"/>
          <w:color w:val="000000"/>
          <w:rtl/>
        </w:rPr>
        <w:t xml:space="preserve">: </w:t>
      </w:r>
    </w:p>
    <w:p w14:paraId="6367B8AA" w14:textId="77777777" w:rsidR="00CA410C" w:rsidRDefault="00CA410C" w:rsidP="00CA410C">
      <w:pPr>
        <w:spacing w:after="120" w:line="360" w:lineRule="auto"/>
        <w:ind w:left="360"/>
        <w:jc w:val="both"/>
        <w:rPr>
          <w:rFonts w:ascii="David" w:hAnsi="David"/>
        </w:rPr>
      </w:pPr>
    </w:p>
    <w:p w14:paraId="1D243A96" w14:textId="77777777" w:rsidR="00CA410C" w:rsidRDefault="00CA410C" w:rsidP="00CA410C">
      <w:pPr>
        <w:pStyle w:val="ruller5"/>
        <w:bidi/>
        <w:spacing w:before="0" w:beforeAutospacing="0" w:after="120" w:afterAutospacing="0" w:line="360" w:lineRule="auto"/>
        <w:ind w:left="1440" w:right="1560"/>
        <w:jc w:val="both"/>
        <w:rPr>
          <w:rFonts w:ascii="David" w:hAnsi="David" w:cs="David"/>
          <w:b/>
          <w:bCs/>
          <w:color w:val="000000"/>
          <w:spacing w:val="10"/>
          <w:rtl/>
        </w:rPr>
      </w:pPr>
      <w:r>
        <w:rPr>
          <w:rFonts w:ascii="David" w:hAnsi="David" w:cs="David"/>
          <w:b/>
          <w:bCs/>
          <w:color w:val="000000"/>
          <w:spacing w:val="6"/>
          <w:rtl/>
        </w:rPr>
        <w:t>"התופעה של החזקת נשק שלא כדין על ידי אזרחים מהווה איום על שלום הציבור ועל הסדר הציבורי. היא התשתית ו'הגורם בלתו איין'</w:t>
      </w:r>
      <w:r w:rsidR="00F902F8">
        <w:rPr>
          <w:rFonts w:ascii="David" w:hAnsi="David" w:cs="David"/>
          <w:b/>
          <w:bCs/>
          <w:color w:val="000000"/>
          <w:spacing w:val="6"/>
          <w:rtl/>
        </w:rPr>
        <w:t xml:space="preserve"> </w:t>
      </w:r>
      <w:r>
        <w:rPr>
          <w:rFonts w:ascii="David" w:hAnsi="David" w:cs="David"/>
          <w:b/>
          <w:bCs/>
          <w:color w:val="000000"/>
          <w:spacing w:val="6"/>
          <w:rtl/>
        </w:rPr>
        <w:t>(</w:t>
      </w:r>
      <w:r>
        <w:rPr>
          <w:rFonts w:ascii="David" w:hAnsi="David" w:cs="David"/>
          <w:b/>
          <w:bCs/>
          <w:color w:val="000000"/>
          <w:spacing w:val="6"/>
        </w:rPr>
        <w:t>causa sine qua non</w:t>
      </w:r>
      <w:r>
        <w:rPr>
          <w:rFonts w:ascii="David" w:hAnsi="David" w:cs="David"/>
          <w:b/>
          <w:bCs/>
          <w:color w:val="000000"/>
          <w:spacing w:val="6"/>
          <w:rtl/>
        </w:rPr>
        <w:t>) למגוון רחב של עבירות, החל בעבירות איומים ושוד מזוין, המשך בעבירות גרימת חבלה חמורה וכלה בעבירות המתה...</w:t>
      </w:r>
    </w:p>
    <w:p w14:paraId="11E84464" w14:textId="77777777" w:rsidR="00CA410C" w:rsidRDefault="00CA410C" w:rsidP="00CA410C">
      <w:pPr>
        <w:pStyle w:val="ruller5"/>
        <w:bidi/>
        <w:spacing w:before="0" w:beforeAutospacing="0" w:after="120" w:afterAutospacing="0" w:line="360" w:lineRule="auto"/>
        <w:ind w:left="1440" w:right="1560"/>
        <w:jc w:val="both"/>
        <w:rPr>
          <w:rFonts w:ascii="David" w:hAnsi="David" w:cs="David"/>
          <w:b/>
          <w:bCs/>
          <w:color w:val="000000"/>
          <w:spacing w:val="10"/>
          <w:rtl/>
        </w:rPr>
      </w:pPr>
      <w:r>
        <w:rPr>
          <w:rFonts w:ascii="David" w:hAnsi="David" w:cs="David"/>
          <w:b/>
          <w:bCs/>
          <w:color w:val="000000"/>
          <w:spacing w:val="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16947723" w14:textId="77777777" w:rsidR="00CA410C" w:rsidRDefault="00CA410C" w:rsidP="00CA410C">
      <w:pPr>
        <w:pStyle w:val="ruller5"/>
        <w:bidi/>
        <w:spacing w:before="0" w:beforeAutospacing="0" w:after="120" w:afterAutospacing="0" w:line="360" w:lineRule="auto"/>
        <w:ind w:left="1440" w:right="1559"/>
        <w:jc w:val="both"/>
        <w:rPr>
          <w:rFonts w:eastAsia="Calibri"/>
          <w:rtl/>
        </w:rPr>
      </w:pPr>
      <w:r>
        <w:rPr>
          <w:rFonts w:ascii="David" w:hAnsi="David" w:cs="David"/>
          <w:b/>
          <w:bCs/>
          <w:color w:val="000000"/>
          <w:spacing w:val="6"/>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r w:rsidRPr="001E7D98">
        <w:rPr>
          <w:rFonts w:ascii="David" w:hAnsi="David" w:cs="David"/>
          <w:color w:val="000000"/>
          <w:spacing w:val="6"/>
          <w:rtl/>
        </w:rPr>
        <w:t>(</w:t>
      </w:r>
      <w:hyperlink r:id="rId14" w:history="1">
        <w:r w:rsidR="00F902F8" w:rsidRPr="00F902F8">
          <w:rPr>
            <w:rFonts w:ascii="David" w:hAnsi="David" w:cs="David"/>
            <w:color w:val="0000FF"/>
            <w:spacing w:val="6"/>
            <w:u w:val="single"/>
            <w:rtl/>
          </w:rPr>
          <w:t>ע"פ 4406/19</w:t>
        </w:r>
      </w:hyperlink>
      <w:r w:rsidR="00F902F8">
        <w:rPr>
          <w:rFonts w:ascii="David" w:hAnsi="David" w:cs="David"/>
          <w:b/>
          <w:bCs/>
          <w:spacing w:val="6"/>
          <w:rtl/>
        </w:rPr>
        <w:t xml:space="preserve"> </w:t>
      </w:r>
      <w:r>
        <w:rPr>
          <w:rFonts w:ascii="David" w:hAnsi="David" w:cs="David"/>
          <w:b/>
          <w:bCs/>
          <w:spacing w:val="6"/>
          <w:rtl/>
        </w:rPr>
        <w:t>מדינת ישראל נ' סובח</w:t>
      </w:r>
      <w:r w:rsidR="00F902F8">
        <w:rPr>
          <w:rFonts w:ascii="David" w:hAnsi="David" w:cs="David"/>
          <w:spacing w:val="6"/>
          <w:rtl/>
        </w:rPr>
        <w:t xml:space="preserve"> </w:t>
      </w:r>
      <w:r>
        <w:rPr>
          <w:rFonts w:ascii="David" w:hAnsi="David" w:cs="David"/>
          <w:spacing w:val="6"/>
          <w:rtl/>
        </w:rPr>
        <w:t xml:space="preserve"> (5.11.2019)).</w:t>
      </w:r>
      <w:r>
        <w:rPr>
          <w:rFonts w:ascii="David" w:hAnsi="David" w:cs="David"/>
          <w:spacing w:val="10"/>
          <w:rtl/>
        </w:rPr>
        <w:t xml:space="preserve"> עוד ראו </w:t>
      </w:r>
      <w:hyperlink r:id="rId15" w:history="1">
        <w:r w:rsidR="00F902F8" w:rsidRPr="00F902F8">
          <w:rPr>
            <w:rFonts w:ascii="David" w:hAnsi="David" w:cs="David"/>
            <w:color w:val="0000FF"/>
            <w:u w:val="single"/>
            <w:rtl/>
          </w:rPr>
          <w:t>ע"פ 6277/20</w:t>
        </w:r>
      </w:hyperlink>
      <w:r w:rsidR="00F902F8">
        <w:rPr>
          <w:rFonts w:ascii="David" w:hAnsi="David" w:cs="David"/>
          <w:spacing w:val="10"/>
          <w:rtl/>
        </w:rPr>
        <w:t xml:space="preserve">  </w:t>
      </w:r>
      <w:r>
        <w:rPr>
          <w:rFonts w:ascii="David" w:hAnsi="David" w:cs="David"/>
          <w:b/>
          <w:bCs/>
          <w:rtl/>
        </w:rPr>
        <w:t>היילי נ' מדינת ישראל</w:t>
      </w:r>
      <w:r>
        <w:rPr>
          <w:rFonts w:ascii="David" w:hAnsi="David" w:cs="David"/>
          <w:b/>
          <w:bCs/>
          <w:spacing w:val="10"/>
          <w:rtl/>
        </w:rPr>
        <w:t>,</w:t>
      </w:r>
      <w:r w:rsidR="00F902F8">
        <w:rPr>
          <w:rFonts w:ascii="David" w:hAnsi="David" w:cs="David"/>
          <w:spacing w:val="10"/>
          <w:rtl/>
        </w:rPr>
        <w:t xml:space="preserve"> </w:t>
      </w:r>
      <w:r>
        <w:rPr>
          <w:rFonts w:ascii="David" w:hAnsi="David" w:cs="David"/>
          <w:spacing w:val="10"/>
          <w:rtl/>
        </w:rPr>
        <w:t>פ'37-36,(24</w:t>
      </w:r>
      <w:r>
        <w:rPr>
          <w:rFonts w:ascii="David" w:hAnsi="David" w:cs="David"/>
          <w:color w:val="000000"/>
          <w:spacing w:val="10"/>
          <w:rtl/>
        </w:rPr>
        <w:t>.3.2021),והאסמכתאות הרבות  הנזכרות שם).</w:t>
      </w:r>
    </w:p>
    <w:p w14:paraId="58AB4624" w14:textId="77777777" w:rsidR="00CA410C" w:rsidRDefault="00CA410C" w:rsidP="00CA410C">
      <w:pPr>
        <w:pStyle w:val="a9"/>
        <w:numPr>
          <w:ilvl w:val="0"/>
          <w:numId w:val="1"/>
        </w:numPr>
        <w:spacing w:after="120" w:line="360" w:lineRule="auto"/>
        <w:jc w:val="both"/>
        <w:rPr>
          <w:rtl/>
        </w:rPr>
      </w:pPr>
      <w:r>
        <w:rPr>
          <w:rFonts w:hint="cs"/>
          <w:rtl/>
        </w:rPr>
        <w:t xml:space="preserve">צורך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CA410C">
        <w:rPr>
          <w:rFonts w:ascii="Calibri" w:eastAsia="Calibri" w:hAnsi="Calibri" w:hint="cs"/>
          <w:rtl/>
        </w:rPr>
        <w:t>"</w:t>
      </w:r>
      <w:r w:rsidRPr="00CA410C">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CA410C">
        <w:rPr>
          <w:rFonts w:ascii="Calibri" w:eastAsia="Calibri" w:hAnsi="Calibri" w:hint="cs"/>
          <w:rtl/>
        </w:rPr>
        <w:t>" (</w:t>
      </w:r>
      <w:hyperlink r:id="rId16" w:history="1">
        <w:r w:rsidR="00F902F8" w:rsidRPr="00F902F8">
          <w:rPr>
            <w:rFonts w:ascii="Calibri" w:eastAsia="Calibri" w:hAnsi="Calibri" w:hint="cs"/>
            <w:color w:val="0000FF"/>
            <w:u w:val="single"/>
            <w:rtl/>
          </w:rPr>
          <w:t>ע</w:t>
        </w:r>
        <w:r w:rsidR="00F902F8" w:rsidRPr="00F902F8">
          <w:rPr>
            <w:rFonts w:ascii="Calibri" w:eastAsia="Calibri" w:hAnsi="Calibri"/>
            <w:color w:val="0000FF"/>
            <w:u w:val="single"/>
            <w:rtl/>
          </w:rPr>
          <w:t>"</w:t>
        </w:r>
        <w:r w:rsidR="00F902F8" w:rsidRPr="00F902F8">
          <w:rPr>
            <w:rFonts w:ascii="Calibri" w:eastAsia="Calibri" w:hAnsi="Calibri" w:hint="cs"/>
            <w:color w:val="0000FF"/>
            <w:u w:val="single"/>
            <w:rtl/>
          </w:rPr>
          <w:t>פ</w:t>
        </w:r>
        <w:r w:rsidR="00F902F8" w:rsidRPr="00F902F8">
          <w:rPr>
            <w:rFonts w:ascii="Calibri" w:eastAsia="Calibri" w:hAnsi="Calibri"/>
            <w:color w:val="0000FF"/>
            <w:u w:val="single"/>
            <w:rtl/>
          </w:rPr>
          <w:t xml:space="preserve"> 587/22</w:t>
        </w:r>
      </w:hyperlink>
      <w:r w:rsidRPr="00CA410C">
        <w:rPr>
          <w:rFonts w:ascii="Calibri" w:eastAsia="Calibri" w:hAnsi="Calibri" w:hint="cs"/>
          <w:rtl/>
        </w:rPr>
        <w:t xml:space="preserve"> </w:t>
      </w:r>
      <w:r w:rsidRPr="00CA410C">
        <w:rPr>
          <w:rFonts w:ascii="Calibri" w:eastAsia="Calibri" w:hAnsi="Calibri" w:hint="cs"/>
          <w:b/>
          <w:bCs/>
          <w:rtl/>
        </w:rPr>
        <w:t>עדאב אבו נאעסה נ' מדינת ישראל</w:t>
      </w:r>
      <w:r w:rsidRPr="00CA410C">
        <w:rPr>
          <w:rFonts w:ascii="Calibri" w:eastAsia="Calibri" w:hAnsi="Calibri" w:hint="cs"/>
          <w:rtl/>
        </w:rPr>
        <w:t xml:space="preserve"> פסקה 13 (22.5.2022)) </w:t>
      </w:r>
      <w:r>
        <w:rPr>
          <w:rFonts w:hint="cs"/>
          <w:rtl/>
        </w:rPr>
        <w:t>(</w:t>
      </w:r>
      <w:hyperlink r:id="rId17" w:history="1">
        <w:r w:rsidR="00F902F8" w:rsidRPr="00F902F8">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פסקה 5-6 (14.4.2022); </w:t>
      </w:r>
      <w:hyperlink r:id="rId18" w:history="1">
        <w:r w:rsidR="00F902F8" w:rsidRPr="00F902F8">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 xml:space="preserve">(31.5.2022); </w:t>
      </w:r>
      <w:hyperlink r:id="rId19" w:history="1">
        <w:r w:rsidR="00F902F8" w:rsidRPr="00F902F8">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20" w:history="1">
        <w:r w:rsidR="00F902F8" w:rsidRPr="00F902F8">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פסקה 10 (28.12.2021)</w:t>
      </w:r>
      <w:r>
        <w:rPr>
          <w:rFonts w:hint="cs"/>
          <w:rtl/>
        </w:rPr>
        <w:t xml:space="preserve">; </w:t>
      </w:r>
      <w:hyperlink r:id="rId21" w:history="1">
        <w:r w:rsidR="00F902F8" w:rsidRPr="00F902F8">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22" w:history="1">
        <w:r w:rsidR="00F902F8" w:rsidRPr="00F902F8">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w:t>
      </w:r>
      <w:r>
        <w:rPr>
          <w:rFonts w:ascii="Times New Roman" w:eastAsia="Times New Roman" w:hAnsi="Times New Roman" w:hint="cs"/>
          <w:rtl/>
        </w:rPr>
        <w:t xml:space="preserve"> </w:t>
      </w:r>
    </w:p>
    <w:p w14:paraId="3DAEB768" w14:textId="77777777" w:rsidR="00CA410C" w:rsidRDefault="00CA410C" w:rsidP="00CA410C">
      <w:pPr>
        <w:pStyle w:val="a9"/>
        <w:spacing w:after="120" w:line="360" w:lineRule="auto"/>
        <w:jc w:val="both"/>
      </w:pPr>
    </w:p>
    <w:p w14:paraId="72BEF2EF" w14:textId="77777777" w:rsidR="00CA410C" w:rsidRDefault="00CA410C" w:rsidP="00CA410C">
      <w:pPr>
        <w:pStyle w:val="a9"/>
        <w:spacing w:after="160" w:line="360" w:lineRule="auto"/>
        <w:jc w:val="both"/>
        <w:rPr>
          <w:rtl/>
        </w:rPr>
      </w:pPr>
      <w:r>
        <w:rPr>
          <w:rFonts w:hint="cs"/>
          <w:rtl/>
        </w:rPr>
        <w:t xml:space="preserve">מגמה זו באה לידי ביטוי גם בחקיקה במסגרת תיקון 140 לחוק, בו נקבעו עונשי מינימום לעבירות נשק, אומנם הוראותיו של תיקון זה אינם חלים בענייננו, אך משקפות את כוונת המחוקק להחמרת רף הענישה בעבירות אלו. </w:t>
      </w:r>
    </w:p>
    <w:p w14:paraId="227AB915" w14:textId="77777777" w:rsidR="00CA410C" w:rsidRDefault="00CA410C" w:rsidP="00CA410C">
      <w:pPr>
        <w:pStyle w:val="a9"/>
      </w:pPr>
    </w:p>
    <w:p w14:paraId="591B10A7" w14:textId="77777777" w:rsidR="00CA410C" w:rsidRDefault="00CA410C" w:rsidP="00CA410C">
      <w:pPr>
        <w:pStyle w:val="a9"/>
        <w:numPr>
          <w:ilvl w:val="0"/>
          <w:numId w:val="1"/>
        </w:numPr>
        <w:spacing w:line="360" w:lineRule="auto"/>
        <w:jc w:val="both"/>
        <w:textAlignment w:val="baseline"/>
        <w:rPr>
          <w:rFonts w:ascii="Times New Roman" w:eastAsia="Times New Roman" w:hAnsi="Times New Roman"/>
          <w:rtl/>
        </w:rPr>
      </w:pPr>
      <w:r>
        <w:rPr>
          <w:rFonts w:hint="cs"/>
          <w:color w:val="000000"/>
          <w:rtl/>
        </w:rPr>
        <w:t>במסגרת</w:t>
      </w:r>
      <w:r w:rsidR="00F902F8">
        <w:rPr>
          <w:rFonts w:hint="cs"/>
          <w:color w:val="000000"/>
          <w:rtl/>
        </w:rPr>
        <w:t xml:space="preserve"> </w:t>
      </w:r>
      <w:r>
        <w:rPr>
          <w:rFonts w:hint="cs"/>
          <w:b/>
          <w:bCs/>
          <w:color w:val="000000"/>
          <w:rtl/>
        </w:rPr>
        <w:t>הנסיבות הקשורות בביצוע העבירה</w:t>
      </w:r>
      <w:r>
        <w:rPr>
          <w:color w:val="000000"/>
        </w:rPr>
        <w:t xml:space="preserve">, </w:t>
      </w:r>
      <w:r>
        <w:rPr>
          <w:rFonts w:hint="cs"/>
          <w:color w:val="000000"/>
          <w:rtl/>
        </w:rPr>
        <w:t>יש לתת את הדעת</w:t>
      </w:r>
      <w:r>
        <w:rPr>
          <w:rFonts w:ascii="Times New Roman" w:eastAsia="Times New Roman" w:hAnsi="Times New Roman" w:hint="cs"/>
          <w:rtl/>
        </w:rPr>
        <w:t xml:space="preserve"> לכך שהנאשם הורשע בנשיאת </w:t>
      </w:r>
      <w:r>
        <w:rPr>
          <w:rFonts w:ascii="Times New Roman" w:eastAsia="Times New Roman" w:hAnsi="Times New Roman" w:hint="cs"/>
          <w:b/>
          <w:bCs/>
          <w:rtl/>
        </w:rPr>
        <w:t>שני כלי נשק</w:t>
      </w:r>
      <w:r>
        <w:rPr>
          <w:rFonts w:ascii="Times New Roman" w:eastAsia="Times New Roman" w:hAnsi="Times New Roman" w:hint="cs"/>
          <w:rtl/>
        </w:rPr>
        <w:t xml:space="preserve">: </w:t>
      </w:r>
      <w:r>
        <w:rPr>
          <w:rFonts w:ascii="Times New Roman" w:eastAsia="Times New Roman" w:hAnsi="Times New Roman" w:hint="cs"/>
          <w:u w:val="single"/>
          <w:rtl/>
        </w:rPr>
        <w:t>רובה סער קלצ'ניקוב</w:t>
      </w:r>
      <w:r>
        <w:rPr>
          <w:rFonts w:ascii="Times New Roman" w:eastAsia="Times New Roman" w:hAnsi="Times New Roman" w:hint="cs"/>
          <w:rtl/>
        </w:rPr>
        <w:t>, נשק התקפי, שפוטנציאל הסיכון הגלום בו הוא גבוה במיוחד ו</w:t>
      </w:r>
      <w:r>
        <w:rPr>
          <w:rFonts w:ascii="Times New Roman" w:eastAsia="Times New Roman" w:hAnsi="Times New Roman" w:hint="cs"/>
          <w:u w:val="single"/>
          <w:rtl/>
        </w:rPr>
        <w:t xml:space="preserve">אקדח </w:t>
      </w:r>
      <w:r>
        <w:rPr>
          <w:rFonts w:ascii="Times New Roman" w:eastAsia="Times New Roman" w:hAnsi="Times New Roman" w:hint="cs"/>
          <w:rtl/>
        </w:rPr>
        <w:t xml:space="preserve">חצי אוטומטי, שמסוכנותו פחותה אך במעט ולצדם מחסניות ותחמושת תואמת. הנאשם ביצע את המעשה כשנאשם 2 מסייע בידו, ומחזיק בשקית שמן לשימון הנשק. תפיסת הנשק כשתחמושת תואמת לצדו ושמן לתחזוקה שוטפת מצביעים על נשיאה מתוכננת וכוונה לשימוש בנשק. מסקנה זו מתחזקת בהינתן נסיבות הנשיאה, מחוץ למקום החזקת הנשק, בתוך תיק, בשטח פתוח בעיר טייבה כשהנאשמים נראים צועדים לעבר רכבו של הנאשם ליעד לא ידוע.  </w:t>
      </w:r>
    </w:p>
    <w:p w14:paraId="7E5AAF14" w14:textId="77777777" w:rsidR="00CA410C" w:rsidRDefault="00CA410C" w:rsidP="00CA410C">
      <w:pPr>
        <w:pStyle w:val="a9"/>
        <w:spacing w:line="360" w:lineRule="auto"/>
        <w:jc w:val="both"/>
        <w:textAlignment w:val="baseline"/>
        <w:rPr>
          <w:rFonts w:ascii="Times New Roman" w:eastAsia="Times New Roman" w:hAnsi="Times New Roman"/>
        </w:rPr>
      </w:pPr>
    </w:p>
    <w:p w14:paraId="77FB9F5A" w14:textId="77777777" w:rsidR="00CA410C" w:rsidRDefault="00CA410C" w:rsidP="00CA410C">
      <w:pPr>
        <w:pStyle w:val="a9"/>
        <w:numPr>
          <w:ilvl w:val="0"/>
          <w:numId w:val="1"/>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מה הסיבה שבגינה נמצא הנאשם, צעיר בן טובים, סטודנט להנדסה, מסתובב בעיר מגוריו ביחד נאשם 2, חמוש בכלי נשק קטלניים? לכך לא ניתן מענה מניח את הדעת. ביצוע העבירה והרקע לביצועה נותרו עמומים וככל הנראה קשורים למעורבות הנאשם, באותה תקופה, בחברה שולית. פוטנציאל הנזק בנשיאת שני כלי נשק מוכנים לשימוש רב, מזה תקופה ארוכה אנו עדים </w:t>
      </w:r>
      <w:r>
        <w:rPr>
          <w:rFonts w:eastAsia="Times New Roman" w:hint="cs"/>
          <w:rtl/>
        </w:rPr>
        <w:t>ל</w:t>
      </w:r>
      <w:r>
        <w:rPr>
          <w:rFonts w:hint="cs"/>
          <w:color w:val="000000"/>
          <w:spacing w:val="10"/>
          <w:rtl/>
        </w:rPr>
        <w:t xml:space="preserve">שימוש </w:t>
      </w:r>
      <w:r>
        <w:rPr>
          <w:rFonts w:ascii="Times New Roman" w:eastAsia="Times New Roman" w:hAnsi="Times New Roman" w:hint="cs"/>
          <w:rtl/>
        </w:rPr>
        <w:t xml:space="preserve">תדיר בנשק ככלי לפתרון סכסוכים, לעיתים תוך ירי באזורי מגורים ופגיעות בגוף ובנפש.  </w:t>
      </w:r>
    </w:p>
    <w:p w14:paraId="0B1D411A" w14:textId="77777777" w:rsidR="00CA410C" w:rsidRDefault="00CA410C" w:rsidP="00CA410C">
      <w:pPr>
        <w:pStyle w:val="a9"/>
        <w:rPr>
          <w:color w:val="000000"/>
          <w:spacing w:val="10"/>
        </w:rPr>
      </w:pPr>
    </w:p>
    <w:p w14:paraId="7C572A3B" w14:textId="77777777" w:rsidR="00CA410C" w:rsidRDefault="00CA410C" w:rsidP="00CA410C">
      <w:pPr>
        <w:pStyle w:val="a9"/>
        <w:numPr>
          <w:ilvl w:val="0"/>
          <w:numId w:val="1"/>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בחינת מידת פגיעת מעשי הנאשם בערך המוגן מובילה למסקנה כי היא </w:t>
      </w:r>
      <w:r>
        <w:rPr>
          <w:rFonts w:ascii="Times New Roman" w:eastAsia="Times New Roman" w:hAnsi="Times New Roman" w:hint="cs"/>
          <w:b/>
          <w:bCs/>
          <w:rtl/>
        </w:rPr>
        <w:t xml:space="preserve">ברף הבינוני. </w:t>
      </w:r>
      <w:r>
        <w:rPr>
          <w:rFonts w:ascii="Times New Roman" w:eastAsia="Times New Roman" w:hAnsi="Times New Roman" w:hint="cs"/>
          <w:rtl/>
        </w:rPr>
        <w:t>בהקשר זה נתתי דעתי</w:t>
      </w:r>
      <w:r>
        <w:rPr>
          <w:rFonts w:ascii="Times New Roman" w:eastAsia="Times New Roman" w:hAnsi="Times New Roman" w:hint="cs"/>
          <w:b/>
          <w:bCs/>
          <w:rtl/>
        </w:rPr>
        <w:t xml:space="preserve"> </w:t>
      </w:r>
      <w:r>
        <w:rPr>
          <w:rFonts w:ascii="Times New Roman" w:eastAsia="Times New Roman" w:hAnsi="Times New Roman" w:hint="cs"/>
          <w:rtl/>
        </w:rPr>
        <w:t xml:space="preserve">לריבוי כלי הנשק מסוגים שונים, המוכנים לשימוש מיידי,  נשיאתם באזור פתוח באופן שמלמד על אפשרות שימוש מיידי בהם וביצוע המעשה בשותפות, כשנאשם 2 מסייע בידו. בצד זאת, לא הוצגה אינדיקציה לשימוש קונקרטי בנשק או לתכנון עבירה פלילית באמצעותו. </w:t>
      </w:r>
    </w:p>
    <w:p w14:paraId="36FC0495" w14:textId="77777777" w:rsidR="00CA410C" w:rsidRDefault="00CA410C" w:rsidP="00CA410C">
      <w:pPr>
        <w:pStyle w:val="a9"/>
        <w:rPr>
          <w:rFonts w:ascii="Times New Roman" w:eastAsia="Times New Roman" w:hAnsi="Times New Roman"/>
          <w:rtl/>
        </w:rPr>
      </w:pPr>
    </w:p>
    <w:p w14:paraId="7D489860" w14:textId="77777777" w:rsidR="00CA410C" w:rsidRDefault="00CA410C" w:rsidP="00CA410C">
      <w:pPr>
        <w:pStyle w:val="a9"/>
        <w:rPr>
          <w:rFonts w:ascii="Times New Roman" w:eastAsia="Times New Roman" w:hAnsi="Times New Roman"/>
        </w:rPr>
      </w:pPr>
    </w:p>
    <w:p w14:paraId="650A8951" w14:textId="77777777" w:rsidR="00CA410C" w:rsidRDefault="00CA410C" w:rsidP="00CA410C">
      <w:pPr>
        <w:pStyle w:val="a9"/>
        <w:rPr>
          <w:rFonts w:ascii="Times New Roman" w:eastAsia="Times New Roman" w:hAnsi="Times New Roman"/>
          <w:rtl/>
        </w:rPr>
      </w:pPr>
    </w:p>
    <w:p w14:paraId="6042DEBC" w14:textId="77777777" w:rsidR="00CA410C" w:rsidRDefault="00CA410C" w:rsidP="00CA410C">
      <w:pPr>
        <w:pStyle w:val="a9"/>
        <w:spacing w:line="360" w:lineRule="auto"/>
        <w:rPr>
          <w:rFonts w:ascii="Times New Roman" w:eastAsia="Times New Roman" w:hAnsi="Times New Roman"/>
          <w:rtl/>
        </w:rPr>
      </w:pPr>
      <w:r>
        <w:rPr>
          <w:rFonts w:ascii="Times New Roman" w:hAnsi="Times New Roman" w:hint="cs"/>
          <w:b/>
          <w:bCs/>
          <w:u w:val="single"/>
          <w:rtl/>
        </w:rPr>
        <w:t>מדיניות הענישה הנוהגת</w:t>
      </w:r>
    </w:p>
    <w:p w14:paraId="0067CB3C" w14:textId="77777777" w:rsidR="00CA410C" w:rsidRPr="00CA410C" w:rsidRDefault="00CA410C" w:rsidP="00CA410C">
      <w:pPr>
        <w:pStyle w:val="a9"/>
        <w:numPr>
          <w:ilvl w:val="0"/>
          <w:numId w:val="1"/>
        </w:numPr>
        <w:spacing w:after="160" w:line="360" w:lineRule="auto"/>
        <w:jc w:val="both"/>
        <w:rPr>
          <w:rFonts w:ascii="Calibri"/>
          <w:b/>
          <w:bCs/>
          <w:rtl/>
        </w:rPr>
      </w:pPr>
      <w:r>
        <w:rPr>
          <w:rFonts w:hint="cs"/>
          <w:color w:val="000000"/>
          <w:spacing w:val="10"/>
          <w:rtl/>
        </w:rPr>
        <w:t xml:space="preserve">המגמה בפסיקה היא ליתן את המשקל המכריע לשיקול ההרתעתי תוך העלאת רף הענישה. </w:t>
      </w:r>
      <w:r w:rsidRPr="00CA410C">
        <w:rPr>
          <w:rFonts w:ascii="Calibri" w:eastAsia="Calibri" w:hAnsi="Calibri" w:hint="cs"/>
          <w:rtl/>
        </w:rPr>
        <w:t xml:space="preserve">עוד בהקשר זה נקבע, כי יש להחמיר בענישה גם במקרים שיעדו הסופי של הנשק אינו ידוע </w:t>
      </w:r>
      <w:r w:rsidRPr="00CA410C">
        <w:rPr>
          <w:rFonts w:ascii="Calibri" w:hint="cs"/>
          <w:b/>
          <w:bCs/>
          <w:rtl/>
        </w:rPr>
        <w:t>"יש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w:t>
      </w:r>
      <w:r w:rsidRPr="00CA410C">
        <w:rPr>
          <w:rFonts w:ascii="Calibri" w:hint="cs"/>
          <w:rtl/>
        </w:rPr>
        <w:t xml:space="preserve"> </w:t>
      </w:r>
      <w:hyperlink r:id="rId23" w:history="1">
        <w:r w:rsidR="00F902F8" w:rsidRPr="00F902F8">
          <w:rPr>
            <w:rFonts w:ascii="Calibri" w:eastAsia="Calibri" w:hAnsi="Calibri" w:hint="cs"/>
            <w:color w:val="0000FF"/>
            <w:u w:val="single"/>
            <w:rtl/>
          </w:rPr>
          <w:t>ע</w:t>
        </w:r>
        <w:r w:rsidR="00F902F8" w:rsidRPr="00F902F8">
          <w:rPr>
            <w:rFonts w:ascii="Calibri" w:eastAsia="Calibri" w:hAnsi="Calibri"/>
            <w:color w:val="0000FF"/>
            <w:u w:val="single"/>
            <w:rtl/>
          </w:rPr>
          <w:t>"</w:t>
        </w:r>
        <w:r w:rsidR="00F902F8" w:rsidRPr="00F902F8">
          <w:rPr>
            <w:rFonts w:ascii="Calibri" w:eastAsia="Calibri" w:hAnsi="Calibri" w:hint="cs"/>
            <w:color w:val="0000FF"/>
            <w:u w:val="single"/>
            <w:rtl/>
          </w:rPr>
          <w:t>פ</w:t>
        </w:r>
        <w:r w:rsidR="00F902F8" w:rsidRPr="00F902F8">
          <w:rPr>
            <w:rFonts w:ascii="Calibri" w:eastAsia="Calibri" w:hAnsi="Calibri"/>
            <w:color w:val="0000FF"/>
            <w:u w:val="single"/>
            <w:rtl/>
          </w:rPr>
          <w:t xml:space="preserve"> 2101/21</w:t>
        </w:r>
      </w:hyperlink>
      <w:r w:rsidRPr="00CA410C">
        <w:rPr>
          <w:rFonts w:ascii="Calibri" w:eastAsia="Calibri" w:hAnsi="Calibri" w:hint="cs"/>
          <w:rtl/>
        </w:rPr>
        <w:t xml:space="preserve"> </w:t>
      </w:r>
      <w:r w:rsidRPr="00CA410C">
        <w:rPr>
          <w:rFonts w:ascii="Calibri" w:eastAsia="Calibri" w:hAnsi="Calibri" w:hint="cs"/>
          <w:b/>
          <w:bCs/>
          <w:rtl/>
        </w:rPr>
        <w:t>תומר טוביה נ' מדינת ישראל</w:t>
      </w:r>
      <w:r w:rsidRPr="00CA410C">
        <w:rPr>
          <w:rFonts w:ascii="Calibri" w:eastAsia="Calibri" w:hAnsi="Calibri" w:hint="cs"/>
          <w:rtl/>
        </w:rPr>
        <w:t>, פסקה 2 (29.7.2021):</w:t>
      </w:r>
    </w:p>
    <w:p w14:paraId="28EC76B8" w14:textId="77777777" w:rsidR="00CA410C" w:rsidRDefault="00CA410C" w:rsidP="00CA410C">
      <w:pPr>
        <w:spacing w:after="160" w:line="360" w:lineRule="auto"/>
        <w:ind w:left="720"/>
        <w:contextualSpacing/>
        <w:jc w:val="both"/>
        <w:rPr>
          <w:rtl/>
        </w:rPr>
      </w:pPr>
      <w:r>
        <w:rPr>
          <w:rFonts w:hint="cs"/>
          <w:rtl/>
        </w:rPr>
        <w:t>ב</w:t>
      </w:r>
      <w:hyperlink r:id="rId24" w:history="1">
        <w:r w:rsidR="00F902F8" w:rsidRPr="00F902F8">
          <w:rPr>
            <w:color w:val="0000FF"/>
            <w:u w:val="single"/>
            <w:rtl/>
          </w:rPr>
          <w:t>ע"פ 309/22</w:t>
        </w:r>
      </w:hyperlink>
      <w:r>
        <w:rPr>
          <w:rtl/>
        </w:rPr>
        <w:t xml:space="preserve"> </w:t>
      </w:r>
      <w:r>
        <w:rPr>
          <w:rFonts w:hint="cs"/>
          <w:b/>
          <w:bCs/>
          <w:rtl/>
        </w:rPr>
        <w:t>מדינת ישראל נ' ביאדסה</w:t>
      </w:r>
      <w:r>
        <w:rPr>
          <w:rFonts w:hint="cs"/>
          <w:rtl/>
        </w:rPr>
        <w:t xml:space="preserve"> (10.5.2022), במקרה חמור בנסיבותיו מזה שלפנינו, הורשע נאשם נעדר עבר פלילי, בעבירות החזקת נשק, נשיאותו והובלתו – רובה מסוג קלצ'ניקוב, מחסנית תואמת ומלאה, אקדח חצי אוטומטי טעון במחסנית תואמת עם 27 כדורים וכדור נוסף בקנה ומחסנית נוספת. הנאשם ביחד עם שותפו הקטין נסעו ברכב גנוב ומוסווה, כשהם לבושים בשכפ"צים, כובעי גרב ועטו כפפות, כשלצדם בקבוקי דלק ומכשיר קשר. בית המשפט המחוזי קבע מתחם ענישה הנע בין 54-19 חודשי מאסר וגזר על הנאשם עונש בתחתית המתחם לצד מאסר תנאי וקנס בסך 15,000 ₪. ערעור שהגישה המדינה התקבל, בית המשפט העליון נתן משקל של ממש לאפיונים החמורים של נשיאת הנשק, עונשו הוחמר והועמד על 30 חודשי מאסר;</w:t>
      </w:r>
    </w:p>
    <w:p w14:paraId="129333FC" w14:textId="77777777" w:rsidR="00CA410C" w:rsidRDefault="00CA410C" w:rsidP="00CA410C">
      <w:pPr>
        <w:spacing w:after="160" w:line="360" w:lineRule="auto"/>
        <w:ind w:left="720"/>
        <w:contextualSpacing/>
        <w:jc w:val="both"/>
        <w:rPr>
          <w:rFonts w:ascii="David" w:hAnsi="David"/>
          <w:rtl/>
        </w:rPr>
      </w:pPr>
    </w:p>
    <w:p w14:paraId="343E02D2" w14:textId="77777777" w:rsidR="00CA410C" w:rsidRDefault="00CA410C" w:rsidP="00CA410C">
      <w:pPr>
        <w:spacing w:after="160" w:line="360" w:lineRule="auto"/>
        <w:ind w:left="720"/>
        <w:contextualSpacing/>
        <w:jc w:val="both"/>
        <w:rPr>
          <w:rtl/>
        </w:rPr>
      </w:pPr>
      <w:r>
        <w:rPr>
          <w:rFonts w:hint="cs"/>
          <w:rtl/>
        </w:rPr>
        <w:t>ב</w:t>
      </w:r>
      <w:hyperlink r:id="rId25" w:history="1">
        <w:r w:rsidR="00F902F8" w:rsidRPr="00F902F8">
          <w:rPr>
            <w:color w:val="0000FF"/>
            <w:u w:val="single"/>
            <w:rtl/>
          </w:rPr>
          <w:t>ע"פ 6021/21</w:t>
        </w:r>
      </w:hyperlink>
      <w:r>
        <w:rPr>
          <w:rFonts w:hint="cs"/>
          <w:rtl/>
        </w:rPr>
        <w:t xml:space="preserve"> </w:t>
      </w:r>
      <w:r>
        <w:rPr>
          <w:rFonts w:hint="cs"/>
          <w:b/>
          <w:bCs/>
          <w:rtl/>
        </w:rPr>
        <w:t>עלי עבוד נ' מדינת ישראל</w:t>
      </w:r>
      <w:r>
        <w:rPr>
          <w:rFonts w:hint="cs"/>
          <w:rtl/>
        </w:rPr>
        <w:t xml:space="preserve"> (19.12.2021) נדחה ערעורו של נאשם, ללא עבר, שהורשע בנשיאת נשק מסוג 16-</w:t>
      </w:r>
      <w:r>
        <w:t>M</w:t>
      </w:r>
      <w:r>
        <w:rPr>
          <w:rFonts w:hint="cs"/>
          <w:rtl/>
        </w:rPr>
        <w:t xml:space="preserve"> והפרעה לשוטר ונדון למאסר בן 30 חודשים;</w:t>
      </w:r>
    </w:p>
    <w:p w14:paraId="49FEF593" w14:textId="77777777" w:rsidR="00CA410C" w:rsidRDefault="00CA410C" w:rsidP="00CA410C">
      <w:pPr>
        <w:spacing w:after="160" w:line="360" w:lineRule="auto"/>
        <w:ind w:left="720"/>
        <w:contextualSpacing/>
        <w:jc w:val="both"/>
        <w:rPr>
          <w:rtl/>
        </w:rPr>
      </w:pPr>
    </w:p>
    <w:p w14:paraId="551FE696" w14:textId="77777777" w:rsidR="00CA410C" w:rsidRDefault="00CA410C" w:rsidP="00CA410C">
      <w:pPr>
        <w:spacing w:after="160" w:line="360" w:lineRule="auto"/>
        <w:ind w:left="720"/>
        <w:contextualSpacing/>
        <w:jc w:val="both"/>
        <w:rPr>
          <w:rtl/>
        </w:rPr>
      </w:pPr>
      <w:r>
        <w:rPr>
          <w:rFonts w:hint="cs"/>
          <w:rtl/>
        </w:rPr>
        <w:t>ב</w:t>
      </w:r>
      <w:hyperlink r:id="rId26" w:history="1">
        <w:r w:rsidR="00F902F8" w:rsidRPr="00F902F8">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(30.8.2021) נדון ערעורו של נאשם בן 51, ללא עבר, חולה טרשת נפוצה שנדון בגין נשיאת שני אקדחים על רקע סכסוך פעיל, למאסר בן 24 חודשים. חרף מצבו הרפואי וסולחה שנערכה בין המשפחות, ערעורו נדחה; </w:t>
      </w:r>
    </w:p>
    <w:p w14:paraId="43DDEEB2" w14:textId="77777777" w:rsidR="00CA410C" w:rsidRDefault="00CA410C" w:rsidP="00CA410C">
      <w:pPr>
        <w:spacing w:after="160" w:line="360" w:lineRule="auto"/>
        <w:ind w:left="720"/>
        <w:contextualSpacing/>
        <w:jc w:val="both"/>
        <w:rPr>
          <w:rtl/>
        </w:rPr>
      </w:pPr>
    </w:p>
    <w:p w14:paraId="341AF337" w14:textId="77777777" w:rsidR="00CA410C" w:rsidRDefault="00CA410C" w:rsidP="00CA410C">
      <w:pPr>
        <w:pStyle w:val="a9"/>
        <w:spacing w:after="160" w:line="360" w:lineRule="auto"/>
        <w:jc w:val="both"/>
      </w:pPr>
      <w:r>
        <w:rPr>
          <w:rFonts w:hint="cs"/>
          <w:rtl/>
        </w:rPr>
        <w:t>ב</w:t>
      </w:r>
      <w:hyperlink r:id="rId27" w:history="1">
        <w:r w:rsidR="00F902F8" w:rsidRPr="00F902F8">
          <w:rPr>
            <w:color w:val="0000FF"/>
            <w:u w:val="single"/>
            <w:rtl/>
          </w:rPr>
          <w:t>ע"פ 1658/22</w:t>
        </w:r>
      </w:hyperlink>
      <w:r>
        <w:rPr>
          <w:rFonts w:hint="cs"/>
          <w:rtl/>
        </w:rPr>
        <w:t xml:space="preserve"> </w:t>
      </w:r>
      <w:r>
        <w:rPr>
          <w:rFonts w:hint="cs"/>
          <w:b/>
          <w:bCs/>
          <w:rtl/>
        </w:rPr>
        <w:t>איהאב נח'אש נ' מדינת ישראל</w:t>
      </w:r>
      <w:r>
        <w:rPr>
          <w:rFonts w:hint="cs"/>
          <w:rtl/>
        </w:rPr>
        <w:t xml:space="preserve"> (19.6.2022, להלן: "עניין נחאש") נדון נאשם שהורשע בעבירת נשיאה והובלה של תת מקלע "עוזי" ומחסנית למאסר בן 26 חודשים. הנאשם, ללא עבר פלילי, רכש לטענתו את הנשק לשם הגנה עצמית ועבר הליך טיפולי; </w:t>
      </w:r>
    </w:p>
    <w:p w14:paraId="08F14293" w14:textId="77777777" w:rsidR="00CA410C" w:rsidRDefault="00CA410C" w:rsidP="00CA410C">
      <w:pPr>
        <w:pStyle w:val="a9"/>
        <w:spacing w:after="160" w:line="360" w:lineRule="auto"/>
        <w:jc w:val="both"/>
        <w:rPr>
          <w:rtl/>
        </w:rPr>
      </w:pPr>
    </w:p>
    <w:p w14:paraId="2A93C0B8" w14:textId="77777777" w:rsidR="00CA410C" w:rsidRDefault="00CA410C" w:rsidP="00CA410C">
      <w:pPr>
        <w:pStyle w:val="a9"/>
        <w:spacing w:after="160" w:line="360" w:lineRule="auto"/>
        <w:jc w:val="both"/>
        <w:rPr>
          <w:rtl/>
        </w:rPr>
      </w:pPr>
      <w:r>
        <w:rPr>
          <w:rFonts w:hint="cs"/>
          <w:color w:val="000000"/>
          <w:rtl/>
        </w:rPr>
        <w:t>ב</w:t>
      </w:r>
      <w:hyperlink r:id="rId28" w:history="1">
        <w:r w:rsidR="00F902F8" w:rsidRPr="00F902F8">
          <w:rPr>
            <w:color w:val="0000FF"/>
            <w:u w:val="single"/>
            <w:rtl/>
          </w:rPr>
          <w:t>ע"פ 3336/18</w:t>
        </w:r>
      </w:hyperlink>
      <w:r>
        <w:rPr>
          <w:rFonts w:hint="cs"/>
          <w:color w:val="000000"/>
          <w:rtl/>
        </w:rPr>
        <w:t xml:space="preserve"> </w:t>
      </w:r>
      <w:r>
        <w:rPr>
          <w:rFonts w:hint="cs"/>
          <w:b/>
          <w:bCs/>
          <w:color w:val="000000"/>
          <w:rtl/>
        </w:rPr>
        <w:t>מדינת ישראל נ' סמארה</w:t>
      </w:r>
      <w:r>
        <w:rPr>
          <w:color w:val="000000"/>
        </w:rPr>
        <w:t xml:space="preserve">(29.11.2018) </w:t>
      </w:r>
      <w:r>
        <w:rPr>
          <w:rFonts w:hint="cs"/>
          <w:color w:val="000000"/>
          <w:rtl/>
        </w:rPr>
        <w:t>החמיר בית המשפט העליון את עונשו של נאשם שהורשע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מתחם עונש הנע בין 16 ל-40 חודשי מאסר בפועל. הנאשם בעל עבר פלילי ישן נדון לעונש של 18 חודשי מאסר בפועל</w:t>
      </w:r>
      <w:r>
        <w:rPr>
          <w:color w:val="000000"/>
        </w:rPr>
        <w:t>.</w:t>
      </w:r>
      <w:r w:rsidR="00F902F8">
        <w:rPr>
          <w:color w:val="000000"/>
        </w:rPr>
        <w:t xml:space="preserve"> </w:t>
      </w:r>
      <w:r>
        <w:rPr>
          <w:rFonts w:hint="cs"/>
          <w:color w:val="000000"/>
          <w:rtl/>
        </w:rPr>
        <w:t>בית המשפט העליון העמיד את העונש על</w:t>
      </w:r>
      <w:r w:rsidR="00F902F8">
        <w:rPr>
          <w:rFonts w:hint="cs"/>
          <w:color w:val="000000"/>
          <w:rtl/>
        </w:rPr>
        <w:t xml:space="preserve"> </w:t>
      </w:r>
      <w:r>
        <w:rPr>
          <w:color w:val="000000"/>
        </w:rPr>
        <w:t xml:space="preserve">24 </w:t>
      </w:r>
      <w:r>
        <w:rPr>
          <w:rFonts w:hint="cs"/>
          <w:color w:val="000000"/>
          <w:rtl/>
        </w:rPr>
        <w:t xml:space="preserve"> חודשי מאסר בפועל</w:t>
      </w:r>
      <w:r>
        <w:rPr>
          <w:color w:val="000000"/>
        </w:rPr>
        <w:t>.</w:t>
      </w:r>
    </w:p>
    <w:p w14:paraId="015518FB" w14:textId="77777777" w:rsidR="00CA410C" w:rsidRDefault="00CA410C" w:rsidP="00CA410C">
      <w:pPr>
        <w:pStyle w:val="a9"/>
        <w:spacing w:line="360" w:lineRule="auto"/>
        <w:jc w:val="both"/>
        <w:rPr>
          <w:rtl/>
        </w:rPr>
      </w:pPr>
    </w:p>
    <w:p w14:paraId="38AC0942" w14:textId="77777777" w:rsidR="00CA410C" w:rsidRDefault="00CA410C" w:rsidP="00CA410C">
      <w:pPr>
        <w:pStyle w:val="a9"/>
        <w:spacing w:after="120" w:line="360" w:lineRule="auto"/>
        <w:jc w:val="both"/>
        <w:rPr>
          <w:rtl/>
        </w:rPr>
      </w:pPr>
      <w:r>
        <w:rPr>
          <w:rFonts w:hint="cs"/>
          <w:rtl/>
        </w:rPr>
        <w:t>ב</w:t>
      </w:r>
      <w:hyperlink r:id="rId29" w:history="1">
        <w:r w:rsidR="00F902F8" w:rsidRPr="00F902F8">
          <w:rPr>
            <w:color w:val="0000FF"/>
            <w:u w:val="single"/>
            <w:rtl/>
          </w:rPr>
          <w:t>ת"פ (מח' מרכז) 47284-06-18</w:t>
        </w:r>
      </w:hyperlink>
      <w:r>
        <w:rPr>
          <w:rFonts w:hint="cs"/>
          <w:rtl/>
        </w:rPr>
        <w:t xml:space="preserve"> </w:t>
      </w:r>
      <w:r>
        <w:rPr>
          <w:rFonts w:hint="cs"/>
          <w:b/>
          <w:bCs/>
          <w:rtl/>
        </w:rPr>
        <w:t xml:space="preserve">מדינת ישראל נ' חסונה </w:t>
      </w:r>
      <w:r>
        <w:rPr>
          <w:rFonts w:hint="cs"/>
          <w:rtl/>
        </w:rPr>
        <w:t xml:space="preserve">(3.4.2019), הורשע הנאשם, על פי הודאתו, בנסיבות דומות למקרה שלפנינו, בעבירה של נשיאת נשק ותחמושת בתא המטען של רכבו: </w:t>
      </w:r>
      <w:r>
        <w:rPr>
          <w:rFonts w:hint="cs"/>
          <w:color w:val="000000"/>
          <w:rtl/>
        </w:rPr>
        <w:t>רובה סער מסוג "קלצ'ניקוב" ומחסנית תואמת המכילה 6 כדורים, קת, פינים וקפיץ המתאימים לרובה מסוג קלצ'ניקוב; ואקדח חצי אוטומטי מסוג "בול" ומחסנית תואמת.</w:t>
      </w:r>
      <w:r>
        <w:rPr>
          <w:rFonts w:hint="cs"/>
          <w:rtl/>
        </w:rPr>
        <w:t xml:space="preserve"> נקבע מתחם ענישה הנע בין 48-21 חודשי מאסר. הנאשם, ללא עבר פלילי, נדון ל-22 חודשים. לא הוגש ערעור; </w:t>
      </w:r>
    </w:p>
    <w:p w14:paraId="3AEC0C09" w14:textId="77777777" w:rsidR="00CA410C" w:rsidRDefault="00CA410C" w:rsidP="00CA410C">
      <w:pPr>
        <w:pStyle w:val="a9"/>
      </w:pPr>
    </w:p>
    <w:p w14:paraId="0C967928" w14:textId="77777777" w:rsidR="00CA410C" w:rsidRDefault="00CA410C" w:rsidP="00CA410C">
      <w:pPr>
        <w:pStyle w:val="a9"/>
        <w:rPr>
          <w:rtl/>
        </w:rPr>
      </w:pPr>
    </w:p>
    <w:p w14:paraId="03B2BCBD" w14:textId="77777777" w:rsidR="00CA410C" w:rsidRDefault="00CA410C" w:rsidP="00CA410C">
      <w:pPr>
        <w:pStyle w:val="a9"/>
        <w:spacing w:after="160" w:line="360" w:lineRule="auto"/>
        <w:jc w:val="both"/>
        <w:rPr>
          <w:rFonts w:ascii="Times New Roman" w:eastAsia="Times New Roman" w:hAnsi="Times New Roman"/>
          <w:rtl/>
        </w:rPr>
      </w:pPr>
      <w:r>
        <w:rPr>
          <w:rFonts w:hint="cs"/>
          <w:rtl/>
        </w:rPr>
        <w:t xml:space="preserve">עוד מייחסת הפסיקה משנה חומרה לעבירות המבוצעות בנשק התקפי מסוג רובה סער, </w:t>
      </w:r>
      <w:r>
        <w:rPr>
          <w:rFonts w:ascii="Times New Roman" w:hAnsi="Times New Roman" w:hint="cs"/>
          <w:rtl/>
        </w:rPr>
        <w:t>"</w:t>
      </w:r>
      <w:r>
        <w:rPr>
          <w:rFonts w:ascii="Times New Roman" w:hAnsi="Times New Roman" w:hint="cs"/>
          <w:b/>
          <w:bCs/>
          <w:rtl/>
        </w:rPr>
        <w:t>נשק ארוך, אוטומטי ובעל פוטנציאל קטלני גבוה" (</w:t>
      </w:r>
      <w:hyperlink r:id="rId30" w:history="1">
        <w:r w:rsidR="00F902F8" w:rsidRPr="00F902F8">
          <w:rPr>
            <w:rFonts w:ascii="Times New Roman" w:hAnsi="Times New Roman"/>
            <w:color w:val="0000FF"/>
            <w:u w:val="single"/>
            <w:rtl/>
          </w:rPr>
          <w:t>ע"פ 1695/22</w:t>
        </w:r>
      </w:hyperlink>
      <w:r>
        <w:rPr>
          <w:rFonts w:ascii="Times New Roman" w:hAnsi="Times New Roman" w:hint="cs"/>
          <w:b/>
          <w:bCs/>
          <w:rtl/>
        </w:rPr>
        <w:t xml:space="preserve"> מדינת ישראל נ' מוחמד גנאים ואח' </w:t>
      </w:r>
      <w:r>
        <w:rPr>
          <w:rFonts w:ascii="Times New Roman" w:hAnsi="Times New Roman" w:hint="cs"/>
          <w:rtl/>
        </w:rPr>
        <w:t xml:space="preserve">(29.3.2022); </w:t>
      </w:r>
      <w:hyperlink r:id="rId31" w:history="1">
        <w:r w:rsidR="00F902F8" w:rsidRPr="00F902F8">
          <w:rPr>
            <w:color w:val="0000FF"/>
            <w:u w:val="single"/>
            <w:rtl/>
          </w:rPr>
          <w:t>ע"פ 1397/16</w:t>
        </w:r>
      </w:hyperlink>
      <w:r>
        <w:rPr>
          <w:rtl/>
        </w:rPr>
        <w:t xml:space="preserve"> </w:t>
      </w:r>
      <w:r>
        <w:rPr>
          <w:rFonts w:hint="cs"/>
          <w:b/>
          <w:bCs/>
          <w:rtl/>
        </w:rPr>
        <w:t>מדינת ישראל נ' חמאיל</w:t>
      </w:r>
      <w:r>
        <w:rPr>
          <w:rFonts w:hint="cs"/>
          <w:rtl/>
        </w:rPr>
        <w:t xml:space="preserve"> (6.9.2016); ענין נחאש). </w:t>
      </w:r>
    </w:p>
    <w:p w14:paraId="7AFF63E4" w14:textId="77777777" w:rsidR="00CA410C" w:rsidRDefault="00CA410C" w:rsidP="00CA410C">
      <w:pPr>
        <w:pStyle w:val="a9"/>
        <w:rPr>
          <w:rFonts w:ascii="Times New Roman" w:hAnsi="Times New Roman"/>
          <w:rtl/>
        </w:rPr>
      </w:pPr>
    </w:p>
    <w:p w14:paraId="32A81BBD" w14:textId="77777777" w:rsidR="00CA410C" w:rsidRDefault="00CA410C" w:rsidP="00CA410C">
      <w:pPr>
        <w:pStyle w:val="a9"/>
        <w:numPr>
          <w:ilvl w:val="0"/>
          <w:numId w:val="1"/>
        </w:numPr>
        <w:spacing w:after="160" w:line="360" w:lineRule="auto"/>
        <w:jc w:val="both"/>
        <w:rPr>
          <w:b/>
          <w:bCs/>
          <w:rtl/>
        </w:rPr>
      </w:pPr>
      <w:r>
        <w:rPr>
          <w:rFonts w:hint="cs"/>
          <w:rtl/>
        </w:rPr>
        <w:t>על כן, לאחר שבחנתי את נסיבות מעשי הנאשם, מידת הפגיעה בערכים המוגנים ומדיניות הענישה הנוהגת, אני קובעת מתחם ענישה שנע</w:t>
      </w:r>
      <w:r>
        <w:rPr>
          <w:rFonts w:hint="cs"/>
          <w:b/>
          <w:bCs/>
          <w:rtl/>
        </w:rPr>
        <w:t xml:space="preserve"> בין 28-60 חודשי מאסר. </w:t>
      </w:r>
    </w:p>
    <w:p w14:paraId="763CE983" w14:textId="77777777" w:rsidR="00CA410C" w:rsidRDefault="00CA410C" w:rsidP="00CA410C">
      <w:pPr>
        <w:pStyle w:val="a9"/>
        <w:spacing w:line="360" w:lineRule="auto"/>
        <w:jc w:val="both"/>
      </w:pPr>
    </w:p>
    <w:p w14:paraId="19D74E36" w14:textId="77777777" w:rsidR="00CA410C" w:rsidRDefault="00CA410C" w:rsidP="00CA410C">
      <w:pPr>
        <w:pStyle w:val="a9"/>
        <w:numPr>
          <w:ilvl w:val="0"/>
          <w:numId w:val="1"/>
        </w:numPr>
        <w:spacing w:after="160" w:line="360" w:lineRule="auto"/>
        <w:jc w:val="both"/>
        <w:rPr>
          <w:rtl/>
        </w:rPr>
      </w:pPr>
      <w:r>
        <w:rPr>
          <w:rFonts w:hint="cs"/>
          <w:rtl/>
        </w:rPr>
        <w:t>ב"כ הנאשם מבקש לבכר את אינטרס שיקומו של הנאשם, לאמץ את המלצת שירות המבחן ולגזור עליו ענישה שיקומית של עבודות שירות. לשיטתו, גילו הצעיר של הנאשם, משפחתו הנורמטיבית ושיתוף הפעולה עם שירות המבחן מלמדים על סיכויים ממשיים לשיקומו.</w:t>
      </w:r>
    </w:p>
    <w:p w14:paraId="73E03EC3" w14:textId="77777777" w:rsidR="00CA410C" w:rsidRDefault="00CA410C" w:rsidP="00CA410C">
      <w:pPr>
        <w:pStyle w:val="a9"/>
      </w:pPr>
    </w:p>
    <w:p w14:paraId="7CD4B42D" w14:textId="77777777" w:rsidR="00CA410C" w:rsidRDefault="00CA410C" w:rsidP="00CA410C">
      <w:pPr>
        <w:pStyle w:val="a9"/>
        <w:numPr>
          <w:ilvl w:val="0"/>
          <w:numId w:val="1"/>
        </w:numPr>
        <w:spacing w:after="160" w:line="360" w:lineRule="auto"/>
        <w:jc w:val="both"/>
        <w:rPr>
          <w:rtl/>
        </w:rPr>
      </w:pPr>
      <w:r w:rsidRPr="001D62FD">
        <w:rPr>
          <w:rFonts w:hint="cs"/>
          <w:rtl/>
        </w:rPr>
        <w:t xml:space="preserve">הוראת </w:t>
      </w:r>
      <w:hyperlink r:id="rId32" w:history="1">
        <w:r w:rsidR="00A941C6" w:rsidRPr="00A941C6">
          <w:rPr>
            <w:rStyle w:val="Hyperlink"/>
            <w:rFonts w:hint="eastAsia"/>
            <w:rtl/>
          </w:rPr>
          <w:t>סעיף</w:t>
        </w:r>
        <w:r w:rsidR="00A941C6" w:rsidRPr="00A941C6">
          <w:rPr>
            <w:rStyle w:val="Hyperlink"/>
            <w:rtl/>
          </w:rPr>
          <w:t xml:space="preserve"> 40ד'(א)</w:t>
        </w:r>
      </w:hyperlink>
      <w:r w:rsidRPr="001D62FD">
        <w:rPr>
          <w:rFonts w:hint="cs"/>
          <w:rtl/>
        </w:rPr>
        <w:t xml:space="preserve"> ל</w:t>
      </w:r>
      <w:hyperlink r:id="rId33" w:history="1">
        <w:r w:rsidR="00F902F8" w:rsidRPr="00F902F8">
          <w:rPr>
            <w:color w:val="0000FF"/>
            <w:u w:val="single"/>
            <w:rtl/>
          </w:rPr>
          <w:t>חוק העונשין</w:t>
        </w:r>
      </w:hyperlink>
      <w:r w:rsidRPr="001D62FD">
        <w:rPr>
          <w:rFonts w:hint="cs"/>
          <w:rtl/>
        </w:rPr>
        <w:t xml:space="preserve">.  </w:t>
      </w:r>
      <w:hyperlink r:id="rId34" w:history="1">
        <w:r w:rsidR="00A941C6" w:rsidRPr="00A941C6">
          <w:rPr>
            <w:rStyle w:val="Hyperlink"/>
            <w:rFonts w:hint="eastAsia"/>
            <w:rtl/>
          </w:rPr>
          <w:t>סעיף</w:t>
        </w:r>
        <w:r w:rsidR="00A941C6" w:rsidRPr="00A941C6">
          <w:rPr>
            <w:rStyle w:val="Hyperlink"/>
            <w:rtl/>
          </w:rPr>
          <w:t xml:space="preserve"> 40ד'(א)</w:t>
        </w:r>
      </w:hyperlink>
      <w:r w:rsidRPr="001D62FD">
        <w:rPr>
          <w:rFonts w:hint="cs"/>
          <w:rtl/>
        </w:rPr>
        <w:t xml:space="preserve"> ל</w:t>
      </w:r>
      <w:hyperlink r:id="rId35" w:history="1">
        <w:r w:rsidR="00F902F8" w:rsidRPr="00F902F8">
          <w:rPr>
            <w:color w:val="0000FF"/>
            <w:u w:val="single"/>
            <w:rtl/>
          </w:rPr>
          <w:t>חוק העונשין</w:t>
        </w:r>
      </w:hyperlink>
      <w:r>
        <w:rPr>
          <w:rtl/>
        </w:rPr>
        <w:t xml:space="preserve"> </w:t>
      </w:r>
      <w:r>
        <w:rPr>
          <w:rFonts w:hint="cs"/>
          <w:rtl/>
        </w:rPr>
        <w:t xml:space="preserve"> מורה כך: "</w:t>
      </w:r>
      <w:r>
        <w:rPr>
          <w:rFonts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6" w:history="1">
        <w:r w:rsidR="00F902F8" w:rsidRPr="00F902F8">
          <w:rPr>
            <w:b/>
            <w:bCs/>
            <w:color w:val="0000FF"/>
            <w:u w:val="single"/>
            <w:rtl/>
          </w:rPr>
          <w:t>פקודת המבחן</w:t>
        </w:r>
      </w:hyperlink>
      <w:r>
        <w:rPr>
          <w:rFonts w:hint="cs"/>
          <w:b/>
          <w:bCs/>
          <w:rtl/>
        </w:rPr>
        <w:t xml:space="preserve"> [נוסח חדש], התשכ"ט-1969</w:t>
      </w:r>
      <w:r>
        <w:rPr>
          <w:rFonts w:hint="cs"/>
          <w:rtl/>
        </w:rPr>
        <w:t>."</w:t>
      </w:r>
    </w:p>
    <w:p w14:paraId="07110D93" w14:textId="77777777" w:rsidR="00CA410C" w:rsidRDefault="00CA410C" w:rsidP="00CA410C">
      <w:pPr>
        <w:pStyle w:val="a9"/>
      </w:pPr>
    </w:p>
    <w:p w14:paraId="3442712F" w14:textId="77777777" w:rsidR="00CA410C" w:rsidRDefault="00CA410C" w:rsidP="00CA410C">
      <w:pPr>
        <w:pStyle w:val="a9"/>
        <w:numPr>
          <w:ilvl w:val="0"/>
          <w:numId w:val="1"/>
        </w:numPr>
        <w:spacing w:after="160" w:line="360" w:lineRule="auto"/>
        <w:jc w:val="both"/>
        <w:rPr>
          <w:rtl/>
        </w:rPr>
      </w:pPr>
      <w:r>
        <w:rPr>
          <w:rFonts w:hint="cs"/>
          <w:rtl/>
        </w:rPr>
        <w:t xml:space="preserve">התשובה לשאלה אילו מן המקרים ייחשבו  מקרי שיקום כמשמעותו </w:t>
      </w:r>
      <w:hyperlink r:id="rId37" w:history="1">
        <w:r w:rsidR="00A941C6" w:rsidRPr="00A941C6">
          <w:rPr>
            <w:rStyle w:val="Hyperlink"/>
            <w:rFonts w:hint="eastAsia"/>
            <w:rtl/>
          </w:rPr>
          <w:t>בסעיף</w:t>
        </w:r>
        <w:r w:rsidR="00A941C6" w:rsidRPr="00A941C6">
          <w:rPr>
            <w:rStyle w:val="Hyperlink"/>
            <w:rtl/>
          </w:rPr>
          <w:t xml:space="preserve"> 40ד'</w:t>
        </w:r>
      </w:hyperlink>
      <w:r>
        <w:rPr>
          <w:rFonts w:hint="cs"/>
          <w:rtl/>
        </w:rPr>
        <w:t xml:space="preserve"> לחוק ואילו לאו מורכבת ותלויה במספר פרמטרים וביניהם, נסיבות הנאשם, טיבו של הליך השיקום והסיכון להישנות עבירות. עוד יש להידרש לטיב המעשים בהם הורשע הנאשם, כשהכלל הוא ש</w:t>
      </w:r>
      <w:r>
        <w:rPr>
          <w:rFonts w:hint="cs"/>
          <w:b/>
          <w:bCs/>
          <w:rtl/>
        </w:rPr>
        <w:t>"ככל שהעבירה ונסיבותיה חמורות יותר- גובר הנטל על הטוען להקלה בשל שיקולי שיקום" (</w:t>
      </w:r>
      <w:hyperlink r:id="rId38" w:history="1">
        <w:r w:rsidR="00F902F8" w:rsidRPr="00F902F8">
          <w:rPr>
            <w:color w:val="0000FF"/>
            <w:u w:val="single"/>
            <w:rtl/>
          </w:rPr>
          <w:t>ע"פ 5936/13</w:t>
        </w:r>
      </w:hyperlink>
      <w:r>
        <w:rPr>
          <w:rFonts w:hint="cs"/>
          <w:rtl/>
        </w:rPr>
        <w:t xml:space="preserve"> </w:t>
      </w:r>
      <w:r>
        <w:rPr>
          <w:rFonts w:hint="cs"/>
          <w:b/>
          <w:bCs/>
          <w:rtl/>
        </w:rPr>
        <w:t xml:space="preserve">פלוני נ' מדינת ישראל </w:t>
      </w:r>
      <w:r>
        <w:rPr>
          <w:rFonts w:hint="cs"/>
          <w:rtl/>
        </w:rPr>
        <w:t>(14.1.2015).</w:t>
      </w:r>
    </w:p>
    <w:p w14:paraId="73FCD510" w14:textId="77777777" w:rsidR="00CA410C" w:rsidRDefault="00CA410C" w:rsidP="00CA410C">
      <w:pPr>
        <w:pStyle w:val="a9"/>
        <w:spacing w:line="360" w:lineRule="auto"/>
        <w:jc w:val="both"/>
      </w:pPr>
    </w:p>
    <w:p w14:paraId="4586C178" w14:textId="77777777" w:rsidR="00CA410C" w:rsidRDefault="00CA410C" w:rsidP="00CA410C">
      <w:pPr>
        <w:pStyle w:val="a9"/>
        <w:numPr>
          <w:ilvl w:val="0"/>
          <w:numId w:val="1"/>
        </w:numPr>
        <w:spacing w:after="160" w:line="360" w:lineRule="auto"/>
        <w:jc w:val="both"/>
      </w:pPr>
      <w:r>
        <w:rPr>
          <w:rFonts w:hint="cs"/>
          <w:rtl/>
        </w:rPr>
        <w:t xml:space="preserve"> בענייננו, מדובר בנאשם נטול עבר פלילי, בן למשפחה טובה, שברגיל ניהל אורח חיים תקין, סטודנט שנה שלישית להנדסה באוניברסיטת אריאל. נתוניו של הנאשם- והדברים נאמרים בצער רב -אינם שונים מנתוניהם של עברייני הנשק של השנים האחרונות, רובם צעירים, בנים למשפחות נורמטיביות, שמבצעים את העבירות שלא על רקע מצוקה כלכלית או חשש לחייהם. בתסקירו העריך שירות המבחן שהנאשם, כמו רבים אחרים שכמותו ביצע את העבירה על רקע צורך בגבריות וקיום קשרים חברתיים בעיתיים. הנשק הפך סמל סטטוס, החזקתו לנורמה שהשתרשה במגזר וסוחפת אחריה גם את הטובים שבבנים. ביצוע המעשים על רקע נורמה פסולה ומסוכנת שרווחה בסביבת הנאשם אינה הופכת את התנהלותו לנורמטיבית.</w:t>
      </w:r>
    </w:p>
    <w:p w14:paraId="5DB8FFC5" w14:textId="77777777" w:rsidR="00CA410C" w:rsidRPr="001D62FD" w:rsidRDefault="00CA410C" w:rsidP="00CA410C">
      <w:pPr>
        <w:pStyle w:val="a9"/>
      </w:pPr>
    </w:p>
    <w:p w14:paraId="1D3906FA" w14:textId="77777777" w:rsidR="00CA410C" w:rsidRDefault="00CA410C" w:rsidP="00CA410C">
      <w:pPr>
        <w:pStyle w:val="a9"/>
        <w:numPr>
          <w:ilvl w:val="0"/>
          <w:numId w:val="1"/>
        </w:numPr>
        <w:spacing w:after="160" w:line="360" w:lineRule="auto"/>
        <w:jc w:val="both"/>
        <w:rPr>
          <w:rtl/>
        </w:rPr>
      </w:pPr>
      <w:r>
        <w:rPr>
          <w:rFonts w:hint="cs"/>
          <w:rtl/>
        </w:rPr>
        <w:t>תסקירו של הנאשם חיובי. מאז ביצוע העבירה, לפני כשנתיים וחצי, עשה כברת דרך מרשימה המלמדת על סיכוי של ממש לחזרה למוטב. עם זאת, אין מדובר במקרה שיקום מובהק, הנאשם לא שולב בהליך טיפולי ארוך טווח ולא הציג הסבר לפשר החזקת הנשק. ענישה שיקומית בעבירות חמורות, כל שכן בעבירות נשק, אפשרית אך רק במקרים חריגים שבחריגים ובנסיבות מיוחדות ויוצאות דופן (</w:t>
      </w:r>
      <w:hyperlink r:id="rId39" w:history="1">
        <w:r w:rsidR="00F902F8" w:rsidRPr="00F902F8">
          <w:rPr>
            <w:rFonts w:ascii="Times New Roman" w:hAnsi="Times New Roman"/>
            <w:color w:val="0000FF"/>
            <w:u w:val="single"/>
            <w:rtl/>
          </w:rPr>
          <w:t>ע"פ 5807/20</w:t>
        </w:r>
      </w:hyperlink>
      <w:r>
        <w:rPr>
          <w:rFonts w:ascii="Times New Roman" w:hAnsi="Times New Roman" w:hint="cs"/>
          <w:rtl/>
        </w:rPr>
        <w:t xml:space="preserve"> </w:t>
      </w:r>
      <w:r>
        <w:rPr>
          <w:rFonts w:ascii="Times New Roman" w:hAnsi="Times New Roman" w:hint="cs"/>
          <w:b/>
          <w:bCs/>
          <w:rtl/>
        </w:rPr>
        <w:t>מוחמד שיבלי נ' מדינת ישראל</w:t>
      </w:r>
      <w:r>
        <w:rPr>
          <w:rFonts w:ascii="Times New Roman" w:hAnsi="Times New Roman" w:hint="cs"/>
          <w:rtl/>
        </w:rPr>
        <w:t xml:space="preserve"> (30.12.20)),</w:t>
      </w:r>
      <w:r>
        <w:rPr>
          <w:rFonts w:hint="cs"/>
          <w:rtl/>
        </w:rPr>
        <w:t xml:space="preserve"> המקרה שלפנינו אינו נמנה בין אלו. </w:t>
      </w:r>
    </w:p>
    <w:p w14:paraId="2FCD7991" w14:textId="77777777" w:rsidR="00CA410C" w:rsidRDefault="00CA410C" w:rsidP="00CA410C">
      <w:pPr>
        <w:pStyle w:val="a9"/>
      </w:pPr>
    </w:p>
    <w:p w14:paraId="78BD73DB" w14:textId="77777777" w:rsidR="00CA410C" w:rsidRDefault="00CA410C" w:rsidP="00CA410C">
      <w:pPr>
        <w:pStyle w:val="a9"/>
        <w:numPr>
          <w:ilvl w:val="0"/>
          <w:numId w:val="1"/>
        </w:numPr>
        <w:spacing w:after="160" w:line="360" w:lineRule="auto"/>
        <w:jc w:val="both"/>
        <w:rPr>
          <w:rtl/>
        </w:rPr>
      </w:pPr>
      <w:r>
        <w:rPr>
          <w:rFonts w:hint="cs"/>
          <w:rtl/>
        </w:rPr>
        <w:t xml:space="preserve">ועדיין, בהתחשב במאמציו של הנאשם לחזור לדרך הישר, התנהגות חיובית וסיכויי השיקום המובאים בתסקירי שירות המבחן אני סבורה שיש מקום להקלה מסויימת עמו תוך חריגה קלה מהרף התחתון של מתחם הענישה. עוד ניכר כי שליחתו של הנאשם, שהצליח לסיים את לימודיו בהצלחה תוך כדי ניהול תיקו, למאסר ממושך, תפגע פגיעה קשה בעתידו ובהליך שיקומו (ראו לעניין זה, </w:t>
      </w:r>
      <w:hyperlink r:id="rId40" w:history="1">
        <w:r w:rsidR="00F902F8" w:rsidRPr="00F902F8">
          <w:rPr>
            <w:color w:val="0000FF"/>
            <w:u w:val="single"/>
            <w:rtl/>
          </w:rPr>
          <w:t>ע"פ 4345/18</w:t>
        </w:r>
      </w:hyperlink>
      <w:r>
        <w:rPr>
          <w:rFonts w:hint="cs"/>
          <w:rtl/>
        </w:rPr>
        <w:t xml:space="preserve"> </w:t>
      </w:r>
      <w:r>
        <w:rPr>
          <w:rFonts w:hint="cs"/>
          <w:b/>
          <w:bCs/>
          <w:rtl/>
        </w:rPr>
        <w:t>אבו עאמר נ' מדינת ישראל</w:t>
      </w:r>
      <w:r>
        <w:rPr>
          <w:rFonts w:hint="cs"/>
          <w:rtl/>
        </w:rPr>
        <w:t xml:space="preserve"> (29.11.2018). </w:t>
      </w:r>
    </w:p>
    <w:p w14:paraId="1712A401" w14:textId="77777777" w:rsidR="00CA410C" w:rsidRDefault="00CA410C" w:rsidP="00CA410C">
      <w:pPr>
        <w:pStyle w:val="a9"/>
      </w:pPr>
    </w:p>
    <w:p w14:paraId="412A6F30" w14:textId="77777777" w:rsidR="00CA410C" w:rsidRDefault="00CA410C" w:rsidP="00CA410C">
      <w:pPr>
        <w:pStyle w:val="a9"/>
        <w:numPr>
          <w:ilvl w:val="0"/>
          <w:numId w:val="1"/>
        </w:numPr>
        <w:spacing w:after="160" w:line="360" w:lineRule="auto"/>
        <w:jc w:val="both"/>
        <w:rPr>
          <w:b/>
          <w:bCs/>
          <w:rtl/>
        </w:rPr>
      </w:pPr>
      <w:r>
        <w:rPr>
          <w:rFonts w:hint="cs"/>
          <w:b/>
          <w:bCs/>
          <w:rtl/>
        </w:rPr>
        <w:t xml:space="preserve">סיכומם של דברים, לאחר בחינה זהירה של כלל השיקולים, תוך מתן משקל בכורה לשיקולי ההרתעה, מצאתי לגזור על הנאשם ענישת מאסר החורגת חריגה קלה מהרף התחתון של המתחם. </w:t>
      </w:r>
    </w:p>
    <w:p w14:paraId="13F86074" w14:textId="77777777" w:rsidR="00CA410C" w:rsidRDefault="00CA410C" w:rsidP="00CA410C">
      <w:pPr>
        <w:pStyle w:val="a9"/>
      </w:pPr>
    </w:p>
    <w:p w14:paraId="3A98F7B7" w14:textId="77777777" w:rsidR="00CA410C" w:rsidRDefault="00CA410C" w:rsidP="00CA410C">
      <w:pPr>
        <w:pStyle w:val="a9"/>
        <w:numPr>
          <w:ilvl w:val="0"/>
          <w:numId w:val="1"/>
        </w:numPr>
        <w:spacing w:after="160" w:line="360" w:lineRule="auto"/>
        <w:jc w:val="both"/>
        <w:rPr>
          <w:rtl/>
        </w:rPr>
      </w:pPr>
      <w:r>
        <w:rPr>
          <w:rFonts w:ascii="Times New Roman" w:hAnsi="Times New Roman" w:hint="cs"/>
          <w:rtl/>
        </w:rPr>
        <w:t>באשר לגובה הקנס- ב"כ המאשימה עתר להטלת קנס מכביד, עמדתו מקובלת עליי, גם בשים לב לעלותם הגבוהה של כלי הנשק ופוטנציאל הסחר בהם.</w:t>
      </w:r>
      <w:r>
        <w:rPr>
          <w:rFonts w:hint="cs"/>
          <w:rtl/>
        </w:rPr>
        <w:t xml:space="preserve"> עוד אתחשב במצבו הכלכלי של הנאשם. </w:t>
      </w:r>
    </w:p>
    <w:p w14:paraId="1963FC74" w14:textId="77777777" w:rsidR="00CA410C" w:rsidRDefault="00CA410C" w:rsidP="00CA410C">
      <w:pPr>
        <w:pStyle w:val="a9"/>
        <w:spacing w:after="160" w:line="360" w:lineRule="auto"/>
        <w:jc w:val="both"/>
        <w:rPr>
          <w:rtl/>
        </w:rPr>
      </w:pPr>
    </w:p>
    <w:p w14:paraId="2BD8A0DE" w14:textId="77777777" w:rsidR="00CA410C" w:rsidRDefault="00CA410C" w:rsidP="00CA410C">
      <w:pPr>
        <w:pStyle w:val="a9"/>
        <w:spacing w:line="360" w:lineRule="auto"/>
        <w:jc w:val="both"/>
      </w:pPr>
      <w:r>
        <w:rPr>
          <w:rFonts w:hint="cs"/>
          <w:b/>
          <w:bCs/>
          <w:u w:val="single"/>
          <w:rtl/>
        </w:rPr>
        <w:t>סוף דבר</w:t>
      </w:r>
    </w:p>
    <w:p w14:paraId="30A03D5D" w14:textId="77777777" w:rsidR="00CA410C" w:rsidRDefault="00CA410C" w:rsidP="00CA410C">
      <w:pPr>
        <w:pStyle w:val="a9"/>
        <w:numPr>
          <w:ilvl w:val="0"/>
          <w:numId w:val="1"/>
        </w:numPr>
        <w:spacing w:after="160" w:line="360" w:lineRule="auto"/>
        <w:jc w:val="both"/>
        <w:rPr>
          <w:rtl/>
        </w:rPr>
      </w:pPr>
      <w:r>
        <w:rPr>
          <w:rFonts w:hint="cs"/>
          <w:b/>
          <w:bCs/>
          <w:rtl/>
        </w:rPr>
        <w:t>אני גוזרת על הנאשם את העונשים הבאים:</w:t>
      </w:r>
    </w:p>
    <w:p w14:paraId="0E5EF506" w14:textId="77777777" w:rsidR="00CA410C" w:rsidRDefault="00CA410C" w:rsidP="00CA410C">
      <w:pPr>
        <w:pStyle w:val="a9"/>
        <w:numPr>
          <w:ilvl w:val="0"/>
          <w:numId w:val="2"/>
        </w:numPr>
        <w:spacing w:after="160" w:line="360" w:lineRule="auto"/>
        <w:jc w:val="both"/>
        <w:rPr>
          <w:rtl/>
        </w:rPr>
      </w:pPr>
      <w:r>
        <w:rPr>
          <w:rFonts w:hint="cs"/>
          <w:rtl/>
        </w:rPr>
        <w:t xml:space="preserve">20 חודשי מאסר בפועל, בניכוי ימי מעצרו </w:t>
      </w:r>
      <w:r>
        <w:rPr>
          <w:rFonts w:ascii="Times New Roman" w:hAnsi="Times New Roman" w:hint="cs"/>
          <w:rtl/>
        </w:rPr>
        <w:t>27.4.20 עד 1.6.20</w:t>
      </w:r>
      <w:r>
        <w:rPr>
          <w:rFonts w:hint="cs"/>
          <w:rtl/>
        </w:rPr>
        <w:t>.</w:t>
      </w:r>
    </w:p>
    <w:p w14:paraId="6BEAB1A8" w14:textId="77777777" w:rsidR="00CA410C" w:rsidRDefault="00CA410C" w:rsidP="00CA410C">
      <w:pPr>
        <w:pStyle w:val="a9"/>
        <w:numPr>
          <w:ilvl w:val="0"/>
          <w:numId w:val="2"/>
        </w:numPr>
        <w:spacing w:after="160" w:line="360" w:lineRule="auto"/>
        <w:jc w:val="both"/>
      </w:pPr>
      <w:r>
        <w:rPr>
          <w:rFonts w:hint="cs"/>
          <w:rtl/>
        </w:rPr>
        <w:t xml:space="preserve">מאסר על תנאי בן 12 חודשים לבל יעבור הנאשם עבירת נשק תוך 3 שנים מיום שחרורו. </w:t>
      </w:r>
    </w:p>
    <w:p w14:paraId="25AE6901" w14:textId="77777777" w:rsidR="00CA410C" w:rsidRDefault="00CA410C" w:rsidP="00CA410C">
      <w:pPr>
        <w:pStyle w:val="a9"/>
        <w:numPr>
          <w:ilvl w:val="0"/>
          <w:numId w:val="2"/>
        </w:numPr>
        <w:spacing w:after="160" w:line="360" w:lineRule="auto"/>
        <w:jc w:val="both"/>
      </w:pPr>
      <w:r>
        <w:rPr>
          <w:rFonts w:hint="cs"/>
          <w:rtl/>
        </w:rPr>
        <w:t xml:space="preserve">קנס בסך 8000 ₪ או 60 ימי מאסר. הקנס ישולם בארבעה תשלומים החל מיום 11.1.23 </w:t>
      </w:r>
    </w:p>
    <w:p w14:paraId="2EFEFF4A" w14:textId="77777777" w:rsidR="00CA410C" w:rsidRDefault="00CA410C" w:rsidP="00CA410C">
      <w:pPr>
        <w:pStyle w:val="a9"/>
        <w:numPr>
          <w:ilvl w:val="0"/>
          <w:numId w:val="2"/>
        </w:numPr>
        <w:spacing w:after="160" w:line="360" w:lineRule="auto"/>
        <w:jc w:val="both"/>
      </w:pPr>
      <w:r>
        <w:rPr>
          <w:rFonts w:hint="cs"/>
          <w:rtl/>
        </w:rPr>
        <w:t>הנאשם יתייצב לריצוי מאסרו ביום 9.4.23 עד שעה 10:00 בבית מעצר הדרים. לצורך הבטחת התייצבותו למאסר תעמודנה הערבויות הכספיות מהליך המעצר הנלווה וצו עיכוב יציאה מהארץ.</w:t>
      </w:r>
    </w:p>
    <w:p w14:paraId="07948F01" w14:textId="77777777" w:rsidR="00CA410C" w:rsidRDefault="00CA410C" w:rsidP="00CA410C">
      <w:pPr>
        <w:spacing w:line="360" w:lineRule="auto"/>
        <w:jc w:val="both"/>
      </w:pPr>
    </w:p>
    <w:p w14:paraId="693EDA06" w14:textId="77777777" w:rsidR="00CA410C" w:rsidRDefault="00CA410C" w:rsidP="00CA410C">
      <w:pPr>
        <w:spacing w:line="360" w:lineRule="auto"/>
        <w:jc w:val="both"/>
        <w:rPr>
          <w:b/>
          <w:bCs/>
        </w:rPr>
      </w:pPr>
      <w:r>
        <w:rPr>
          <w:rFonts w:hint="cs"/>
          <w:b/>
          <w:bCs/>
          <w:rtl/>
        </w:rPr>
        <w:t xml:space="preserve">זכות ערעור לבית המשפט העליון תוך 45 יום. </w:t>
      </w:r>
    </w:p>
    <w:p w14:paraId="2B3F0F04" w14:textId="77777777" w:rsidR="00CA410C" w:rsidRDefault="00CA410C" w:rsidP="00CA410C">
      <w:pPr>
        <w:pStyle w:val="Ruller40"/>
        <w:textAlignment w:val="baseline"/>
        <w:rPr>
          <w:rFonts w:ascii="Times New Roman" w:hAnsi="Times New Roman" w:cs="David"/>
          <w:spacing w:val="0"/>
          <w:sz w:val="24"/>
          <w:szCs w:val="24"/>
        </w:rPr>
      </w:pPr>
    </w:p>
    <w:p w14:paraId="2D2FE971" w14:textId="77777777" w:rsidR="00CA410C" w:rsidRDefault="00CA410C" w:rsidP="00CA410C">
      <w:pPr>
        <w:pStyle w:val="Ruller40"/>
        <w:textAlignment w:val="baseline"/>
        <w:rPr>
          <w:rFonts w:ascii="Times New Roman" w:hAnsi="Times New Roman" w:cs="David"/>
          <w:spacing w:val="0"/>
          <w:sz w:val="24"/>
          <w:szCs w:val="24"/>
          <w:rtl/>
        </w:rPr>
      </w:pPr>
    </w:p>
    <w:p w14:paraId="221B577D" w14:textId="77777777" w:rsidR="00CA410C" w:rsidRDefault="00CA410C" w:rsidP="00CA410C">
      <w:pPr>
        <w:pStyle w:val="Ruller40"/>
        <w:textAlignment w:val="baseline"/>
        <w:rPr>
          <w:rFonts w:ascii="Times New Roman" w:hAnsi="Times New Roman" w:cs="David"/>
          <w:spacing w:val="0"/>
          <w:sz w:val="24"/>
          <w:szCs w:val="24"/>
          <w:rtl/>
        </w:rPr>
      </w:pPr>
      <w:r>
        <w:rPr>
          <w:rFonts w:ascii="Times New Roman" w:hAnsi="Times New Roman" w:cs="David"/>
          <w:spacing w:val="0"/>
          <w:sz w:val="24"/>
          <w:szCs w:val="24"/>
          <w:rtl/>
        </w:rPr>
        <w:t xml:space="preserve"> </w:t>
      </w:r>
    </w:p>
    <w:p w14:paraId="0DF81C2C" w14:textId="77777777" w:rsidR="00CA410C" w:rsidRPr="00F902F8" w:rsidRDefault="00F902F8" w:rsidP="00CA410C">
      <w:pPr>
        <w:rPr>
          <w:rFonts w:ascii="Arial" w:hAnsi="Arial"/>
          <w:b/>
          <w:bCs/>
          <w:color w:val="FFFFFF"/>
          <w:sz w:val="2"/>
          <w:szCs w:val="2"/>
          <w:rtl/>
        </w:rPr>
      </w:pPr>
      <w:r w:rsidRPr="00F902F8">
        <w:rPr>
          <w:rFonts w:ascii="Arial" w:hAnsi="Arial"/>
          <w:b/>
          <w:bCs/>
          <w:color w:val="FFFFFF"/>
          <w:sz w:val="2"/>
          <w:szCs w:val="2"/>
          <w:rtl/>
        </w:rPr>
        <w:t>5129371</w:t>
      </w:r>
    </w:p>
    <w:p w14:paraId="025D7B96" w14:textId="77777777" w:rsidR="00CA410C" w:rsidRPr="00F902F8" w:rsidRDefault="00F902F8" w:rsidP="00CA410C">
      <w:pPr>
        <w:rPr>
          <w:rFonts w:ascii="Arial" w:hAnsi="Arial"/>
          <w:b/>
          <w:bCs/>
          <w:color w:val="FFFFFF"/>
          <w:sz w:val="2"/>
          <w:szCs w:val="2"/>
          <w:rtl/>
        </w:rPr>
      </w:pPr>
      <w:r w:rsidRPr="00F902F8">
        <w:rPr>
          <w:rFonts w:ascii="Arial" w:hAnsi="Arial"/>
          <w:b/>
          <w:bCs/>
          <w:color w:val="FFFFFF"/>
          <w:sz w:val="2"/>
          <w:szCs w:val="2"/>
          <w:rtl/>
        </w:rPr>
        <w:t>54678313</w:t>
      </w:r>
    </w:p>
    <w:p w14:paraId="575AD46D" w14:textId="77777777" w:rsidR="00CA410C" w:rsidRPr="000F2247" w:rsidRDefault="00CA410C" w:rsidP="00CA410C">
      <w:pPr>
        <w:rPr>
          <w:rFonts w:ascii="Arial" w:hAnsi="Arial"/>
          <w:b/>
          <w:bCs/>
          <w:sz w:val="26"/>
          <w:szCs w:val="26"/>
          <w:rtl/>
        </w:rPr>
      </w:pPr>
    </w:p>
    <w:p w14:paraId="52943683" w14:textId="77777777" w:rsidR="00CA410C" w:rsidRPr="001D62FD" w:rsidRDefault="00F902F8" w:rsidP="00CA410C">
      <w:pPr>
        <w:rPr>
          <w:rFonts w:ascii="Arial" w:hAnsi="Arial"/>
          <w:b/>
          <w:bCs/>
          <w:sz w:val="26"/>
          <w:szCs w:val="26"/>
          <w:rtl/>
        </w:rPr>
      </w:pPr>
      <w:bookmarkStart w:id="8" w:name="Nitan"/>
      <w:r>
        <w:rPr>
          <w:rFonts w:ascii="Arial" w:hAnsi="Arial"/>
          <w:b/>
          <w:bCs/>
          <w:sz w:val="26"/>
          <w:szCs w:val="26"/>
          <w:rtl/>
        </w:rPr>
        <w:t xml:space="preserve">ניתן היום, כ' חשוון תשפ"ג, 14 נובמבר 2022. </w:t>
      </w:r>
      <w:bookmarkEnd w:id="8"/>
    </w:p>
    <w:p w14:paraId="1AFC1310" w14:textId="77777777" w:rsidR="00CA410C" w:rsidRPr="000F2247" w:rsidRDefault="00CA410C" w:rsidP="00F902F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740DA0" w14:textId="77777777" w:rsidR="00CA410C" w:rsidRPr="00A941C6" w:rsidRDefault="00A941C6" w:rsidP="00CA410C">
      <w:pPr>
        <w:jc w:val="center"/>
        <w:rPr>
          <w:rFonts w:ascii="Arial" w:hAnsi="Arial"/>
          <w:b/>
          <w:bCs/>
          <w:color w:val="FFFFFF"/>
          <w:sz w:val="2"/>
          <w:szCs w:val="2"/>
          <w:rtl/>
        </w:rPr>
      </w:pPr>
      <w:r w:rsidRPr="00A941C6">
        <w:rPr>
          <w:rFonts w:ascii="Arial" w:hAnsi="Arial"/>
          <w:b/>
          <w:bCs/>
          <w:color w:val="FFFFFF"/>
          <w:sz w:val="2"/>
          <w:szCs w:val="2"/>
          <w:rtl/>
        </w:rPr>
        <w:t>5129371</w:t>
      </w:r>
    </w:p>
    <w:p w14:paraId="263B9189" w14:textId="77777777" w:rsidR="00944E9C" w:rsidRPr="00A941C6" w:rsidRDefault="00A941C6" w:rsidP="00F902F8">
      <w:pPr>
        <w:keepNext/>
        <w:rPr>
          <w:rFonts w:ascii="David" w:hAnsi="David"/>
          <w:color w:val="FFFFFF"/>
          <w:sz w:val="2"/>
          <w:szCs w:val="2"/>
          <w:rtl/>
        </w:rPr>
      </w:pPr>
      <w:r w:rsidRPr="00A941C6">
        <w:rPr>
          <w:rFonts w:ascii="David" w:hAnsi="David"/>
          <w:color w:val="FFFFFF"/>
          <w:sz w:val="2"/>
          <w:szCs w:val="2"/>
          <w:rtl/>
        </w:rPr>
        <w:t>54678313</w:t>
      </w:r>
    </w:p>
    <w:p w14:paraId="564B0983" w14:textId="77777777" w:rsidR="00F902F8" w:rsidRDefault="00F902F8" w:rsidP="00F902F8">
      <w:pPr>
        <w:rPr>
          <w:rtl/>
        </w:rPr>
      </w:pPr>
    </w:p>
    <w:p w14:paraId="17B8D124" w14:textId="77777777" w:rsidR="00F902F8" w:rsidRDefault="00F902F8" w:rsidP="00F902F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83C10CB" w14:textId="77777777" w:rsidR="00A941C6" w:rsidRPr="00A941C6" w:rsidRDefault="00A941C6" w:rsidP="00A941C6">
      <w:pPr>
        <w:keepNext/>
        <w:rPr>
          <w:rFonts w:ascii="David" w:hAnsi="David"/>
          <w:color w:val="000000"/>
          <w:sz w:val="22"/>
          <w:szCs w:val="22"/>
          <w:rtl/>
        </w:rPr>
      </w:pPr>
    </w:p>
    <w:p w14:paraId="235D16DC" w14:textId="77777777" w:rsidR="00A941C6" w:rsidRPr="00A941C6" w:rsidRDefault="00A941C6" w:rsidP="00A941C6">
      <w:pPr>
        <w:keepNext/>
        <w:rPr>
          <w:rFonts w:ascii="David" w:hAnsi="David"/>
          <w:color w:val="000000"/>
          <w:sz w:val="22"/>
          <w:szCs w:val="22"/>
          <w:rtl/>
        </w:rPr>
      </w:pPr>
      <w:r w:rsidRPr="00A941C6">
        <w:rPr>
          <w:rFonts w:ascii="David" w:hAnsi="David"/>
          <w:color w:val="000000"/>
          <w:sz w:val="22"/>
          <w:szCs w:val="22"/>
          <w:rtl/>
        </w:rPr>
        <w:t>מרב גרינברג 54678313-/</w:t>
      </w:r>
    </w:p>
    <w:p w14:paraId="4542CAF7" w14:textId="77777777" w:rsidR="00F902F8" w:rsidRPr="00F902F8" w:rsidRDefault="00A941C6" w:rsidP="00A941C6">
      <w:pPr>
        <w:rPr>
          <w:color w:val="0000FF"/>
          <w:u w:val="single"/>
        </w:rPr>
      </w:pPr>
      <w:r w:rsidRPr="00A941C6">
        <w:rPr>
          <w:color w:val="000000"/>
          <w:u w:val="single"/>
          <w:rtl/>
        </w:rPr>
        <w:t>נוסח מסמך זה כפוף לשינויי ניסוח ועריכה</w:t>
      </w:r>
    </w:p>
    <w:sectPr w:rsidR="00F902F8" w:rsidRPr="00F902F8" w:rsidSect="00A941C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99846" w14:textId="77777777" w:rsidR="00F83DA5" w:rsidRDefault="00F83DA5" w:rsidP="009C41AC">
      <w:r>
        <w:separator/>
      </w:r>
    </w:p>
  </w:endnote>
  <w:endnote w:type="continuationSeparator" w:id="0">
    <w:p w14:paraId="2039D334" w14:textId="77777777" w:rsidR="00F83DA5" w:rsidRDefault="00F83DA5" w:rsidP="009C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237E3" w14:textId="77777777" w:rsidR="00A941C6" w:rsidRDefault="00A941C6" w:rsidP="00A941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C6A5AE" w14:textId="77777777" w:rsidR="001211B7" w:rsidRPr="00A941C6" w:rsidRDefault="00A941C6" w:rsidP="00A941C6">
    <w:pPr>
      <w:pStyle w:val="a5"/>
      <w:pBdr>
        <w:top w:val="single" w:sz="4" w:space="1" w:color="auto"/>
        <w:between w:val="single" w:sz="4" w:space="0" w:color="auto"/>
      </w:pBdr>
      <w:spacing w:after="60"/>
      <w:jc w:val="center"/>
      <w:rPr>
        <w:rFonts w:ascii="FrankRuehl" w:hAnsi="FrankRuehl" w:cs="FrankRuehl"/>
        <w:color w:val="000000"/>
      </w:rPr>
    </w:pPr>
    <w:r w:rsidRPr="00A941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2C274" w14:textId="77777777" w:rsidR="00A941C6" w:rsidRDefault="00A941C6" w:rsidP="00A941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7CE8">
      <w:rPr>
        <w:rFonts w:ascii="FrankRuehl" w:hAnsi="FrankRuehl" w:cs="FrankRuehl"/>
        <w:noProof/>
        <w:rtl/>
      </w:rPr>
      <w:t>1</w:t>
    </w:r>
    <w:r>
      <w:rPr>
        <w:rFonts w:ascii="FrankRuehl" w:hAnsi="FrankRuehl" w:cs="FrankRuehl"/>
        <w:rtl/>
      </w:rPr>
      <w:fldChar w:fldCharType="end"/>
    </w:r>
  </w:p>
  <w:p w14:paraId="01BA8E6C" w14:textId="77777777" w:rsidR="001211B7" w:rsidRPr="00A941C6" w:rsidRDefault="00A941C6" w:rsidP="00A941C6">
    <w:pPr>
      <w:pStyle w:val="a5"/>
      <w:pBdr>
        <w:top w:val="single" w:sz="4" w:space="1" w:color="auto"/>
        <w:between w:val="single" w:sz="4" w:space="0" w:color="auto"/>
      </w:pBdr>
      <w:spacing w:after="60"/>
      <w:jc w:val="center"/>
      <w:rPr>
        <w:rFonts w:ascii="FrankRuehl" w:hAnsi="FrankRuehl" w:cs="FrankRuehl"/>
        <w:color w:val="000000"/>
      </w:rPr>
    </w:pPr>
    <w:r w:rsidRPr="00A941C6">
      <w:rPr>
        <w:rFonts w:ascii="FrankRuehl" w:hAnsi="FrankRuehl" w:cs="FrankRuehl"/>
        <w:color w:val="000000"/>
      </w:rPr>
      <w:pict w14:anchorId="34ECC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F2AFA" w14:textId="77777777" w:rsidR="00F83DA5" w:rsidRDefault="00F83DA5" w:rsidP="009C41AC">
      <w:r>
        <w:separator/>
      </w:r>
    </w:p>
  </w:footnote>
  <w:footnote w:type="continuationSeparator" w:id="0">
    <w:p w14:paraId="07218A49" w14:textId="77777777" w:rsidR="00F83DA5" w:rsidRDefault="00F83DA5" w:rsidP="009C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89D54" w14:textId="77777777" w:rsidR="00F902F8" w:rsidRPr="00A941C6" w:rsidRDefault="00A941C6" w:rsidP="00A941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10686-05-20</w:t>
    </w:r>
    <w:r>
      <w:rPr>
        <w:rFonts w:ascii="David" w:hAnsi="David"/>
        <w:color w:val="000000"/>
        <w:sz w:val="22"/>
        <w:szCs w:val="22"/>
        <w:rtl/>
      </w:rPr>
      <w:tab/>
      <w:t xml:space="preserve"> מדינת ישראל נ' עבד אל פתאח עאזם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183C8" w14:textId="77777777" w:rsidR="00F902F8" w:rsidRPr="00A941C6" w:rsidRDefault="00A941C6" w:rsidP="00A941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10686-05-20</w:t>
    </w:r>
    <w:r>
      <w:rPr>
        <w:rFonts w:ascii="David" w:hAnsi="David"/>
        <w:color w:val="000000"/>
        <w:sz w:val="22"/>
        <w:szCs w:val="22"/>
        <w:rtl/>
      </w:rPr>
      <w:tab/>
      <w:t xml:space="preserve"> מדינת ישראל נ' עבד אל פתאח עאזם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7B5841F0"/>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925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7473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410C"/>
    <w:rsid w:val="000662E1"/>
    <w:rsid w:val="001106FF"/>
    <w:rsid w:val="001211B7"/>
    <w:rsid w:val="002B0F7D"/>
    <w:rsid w:val="005B7CE8"/>
    <w:rsid w:val="00645966"/>
    <w:rsid w:val="006C13E2"/>
    <w:rsid w:val="00944E9C"/>
    <w:rsid w:val="009A4E4C"/>
    <w:rsid w:val="009C41AC"/>
    <w:rsid w:val="00A941C6"/>
    <w:rsid w:val="00AE5423"/>
    <w:rsid w:val="00B43134"/>
    <w:rsid w:val="00CA410C"/>
    <w:rsid w:val="00F83DA5"/>
    <w:rsid w:val="00F902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B9CCF1"/>
  <w15:chartTrackingRefBased/>
  <w15:docId w15:val="{0BF22947-0B58-49C5-8E42-E5B915D7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41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410C"/>
    <w:pPr>
      <w:tabs>
        <w:tab w:val="center" w:pos="4153"/>
        <w:tab w:val="right" w:pos="8306"/>
      </w:tabs>
    </w:pPr>
  </w:style>
  <w:style w:type="character" w:customStyle="1" w:styleId="a4">
    <w:name w:val="כותרת עליונה תו"/>
    <w:link w:val="a3"/>
    <w:rsid w:val="00CA410C"/>
    <w:rPr>
      <w:rFonts w:ascii="Times New Roman" w:eastAsia="Times New Roman" w:hAnsi="Times New Roman" w:cs="David"/>
      <w:sz w:val="24"/>
      <w:szCs w:val="24"/>
    </w:rPr>
  </w:style>
  <w:style w:type="paragraph" w:styleId="a5">
    <w:name w:val="footer"/>
    <w:basedOn w:val="a"/>
    <w:link w:val="a6"/>
    <w:rsid w:val="00CA410C"/>
    <w:pPr>
      <w:tabs>
        <w:tab w:val="center" w:pos="4153"/>
        <w:tab w:val="right" w:pos="8306"/>
      </w:tabs>
    </w:pPr>
  </w:style>
  <w:style w:type="character" w:customStyle="1" w:styleId="a6">
    <w:name w:val="כותרת תחתונה תו"/>
    <w:link w:val="a5"/>
    <w:rsid w:val="00CA410C"/>
    <w:rPr>
      <w:rFonts w:ascii="Times New Roman" w:eastAsia="Times New Roman" w:hAnsi="Times New Roman" w:cs="David"/>
      <w:sz w:val="24"/>
      <w:szCs w:val="24"/>
    </w:rPr>
  </w:style>
  <w:style w:type="table" w:styleId="a7">
    <w:name w:val="Table Grid"/>
    <w:basedOn w:val="a1"/>
    <w:rsid w:val="00CA41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410C"/>
  </w:style>
  <w:style w:type="character" w:styleId="Hyperlink">
    <w:name w:val="Hyperlink"/>
    <w:rsid w:val="00CA410C"/>
    <w:rPr>
      <w:color w:val="0000FF"/>
      <w:u w:val="single"/>
    </w:rPr>
  </w:style>
  <w:style w:type="paragraph" w:styleId="a9">
    <w:name w:val="List Paragraph"/>
    <w:basedOn w:val="a"/>
    <w:qFormat/>
    <w:rsid w:val="00CA410C"/>
    <w:pPr>
      <w:ind w:left="720"/>
      <w:contextualSpacing/>
    </w:pPr>
    <w:rPr>
      <w:rFonts w:ascii="David" w:eastAsia="David" w:hAnsi="David"/>
    </w:rPr>
  </w:style>
  <w:style w:type="character" w:customStyle="1" w:styleId="Ruller4">
    <w:name w:val="Ruller4 תו"/>
    <w:link w:val="Ruller40"/>
    <w:locked/>
    <w:rsid w:val="00CA410C"/>
    <w:rPr>
      <w:rFonts w:ascii="Arial TUR" w:hAnsi="Arial TUR" w:cs="FrankRuehl"/>
      <w:spacing w:val="10"/>
      <w:szCs w:val="28"/>
    </w:rPr>
  </w:style>
  <w:style w:type="paragraph" w:customStyle="1" w:styleId="Ruller40">
    <w:name w:val="Ruller4"/>
    <w:basedOn w:val="a"/>
    <w:link w:val="Ruller4"/>
    <w:rsid w:val="00CA410C"/>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5">
    <w:name w:val="ruller5"/>
    <w:basedOn w:val="a"/>
    <w:rsid w:val="00CA410C"/>
    <w:pPr>
      <w:bidi w:val="0"/>
      <w:spacing w:before="100" w:beforeAutospacing="1" w:after="100" w:afterAutospacing="1"/>
    </w:pPr>
    <w:rPr>
      <w:rFonts w:cs="Times New Roman"/>
    </w:rPr>
  </w:style>
  <w:style w:type="paragraph" w:customStyle="1" w:styleId="ruller400">
    <w:name w:val="ruller40"/>
    <w:basedOn w:val="a"/>
    <w:rsid w:val="00CA410C"/>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7494821" TargetMode="External"/><Relationship Id="rId39" Type="http://schemas.openxmlformats.org/officeDocument/2006/relationships/hyperlink" Target="http://www.nevo.co.il/case/26934681" TargetMode="External"/><Relationship Id="rId21" Type="http://schemas.openxmlformats.org/officeDocument/2006/relationships/hyperlink" Target="http://www.nevo.co.il/case/28452933" TargetMode="External"/><Relationship Id="rId34" Type="http://schemas.openxmlformats.org/officeDocument/2006/relationships/hyperlink" Target="http://www.nevo.co.il/law/70301/40d.a"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268880" TargetMode="External"/><Relationship Id="rId29" Type="http://schemas.openxmlformats.org/officeDocument/2006/relationships/hyperlink" Target="http://www.nevo.co.il/case/243199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24269595"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986954" TargetMode="External"/><Relationship Id="rId23" Type="http://schemas.openxmlformats.org/officeDocument/2006/relationships/hyperlink" Target="http://www.nevo.co.il/case/27499246" TargetMode="External"/><Relationship Id="rId28" Type="http://schemas.openxmlformats.org/officeDocument/2006/relationships/hyperlink" Target="http://www.nevo.co.il/case/24140726" TargetMode="External"/><Relationship Id="rId36" Type="http://schemas.openxmlformats.org/officeDocument/2006/relationships/hyperlink" Target="http://www.nevo.co.il/law/71553"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911638" TargetMode="External"/><Relationship Id="rId31" Type="http://schemas.openxmlformats.org/officeDocument/2006/relationships/hyperlink" Target="http://www.nevo.co.il/case/2147278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7305799" TargetMode="External"/><Relationship Id="rId27" Type="http://schemas.openxmlformats.org/officeDocument/2006/relationships/hyperlink" Target="http://www.nevo.co.il/case/28380863" TargetMode="External"/><Relationship Id="rId30" Type="http://schemas.openxmlformats.org/officeDocument/2006/relationships/hyperlink" Target="http://www.nevo.co.il/case/28384637"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791165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0442671" TargetMode="External"/><Relationship Id="rId46" Type="http://schemas.openxmlformats.org/officeDocument/2006/relationships/fontTable" Target="fontTable.xml"/><Relationship Id="rId20" Type="http://schemas.openxmlformats.org/officeDocument/2006/relationships/hyperlink" Target="http://www.nevo.co.il/case/2815213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2600</Words>
  <Characters>13002</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15571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3145843</vt:i4>
      </vt:variant>
      <vt:variant>
        <vt:i4>99</vt:i4>
      </vt:variant>
      <vt:variant>
        <vt:i4>0</vt:i4>
      </vt:variant>
      <vt:variant>
        <vt:i4>5</vt:i4>
      </vt:variant>
      <vt:variant>
        <vt:lpwstr>http://www.nevo.co.il/case/24269595</vt:lpwstr>
      </vt:variant>
      <vt:variant>
        <vt:lpwstr/>
      </vt:variant>
      <vt:variant>
        <vt:i4>3604599</vt:i4>
      </vt:variant>
      <vt:variant>
        <vt:i4>96</vt:i4>
      </vt:variant>
      <vt:variant>
        <vt:i4>0</vt:i4>
      </vt:variant>
      <vt:variant>
        <vt:i4>5</vt:i4>
      </vt:variant>
      <vt:variant>
        <vt:lpwstr>http://www.nevo.co.il/case/26934681</vt:lpwstr>
      </vt:variant>
      <vt:variant>
        <vt:lpwstr/>
      </vt:variant>
      <vt:variant>
        <vt:i4>3145846</vt:i4>
      </vt:variant>
      <vt:variant>
        <vt:i4>93</vt:i4>
      </vt:variant>
      <vt:variant>
        <vt:i4>0</vt:i4>
      </vt:variant>
      <vt:variant>
        <vt:i4>5</vt:i4>
      </vt:variant>
      <vt:variant>
        <vt:lpwstr>http://www.nevo.co.il/case/10442671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8257634</vt:i4>
      </vt:variant>
      <vt:variant>
        <vt:i4>87</vt:i4>
      </vt:variant>
      <vt:variant>
        <vt:i4>0</vt:i4>
      </vt:variant>
      <vt:variant>
        <vt:i4>5</vt:i4>
      </vt:variant>
      <vt:variant>
        <vt:lpwstr>http://www.nevo.co.il/law/71553</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3932277</vt:i4>
      </vt:variant>
      <vt:variant>
        <vt:i4>72</vt:i4>
      </vt:variant>
      <vt:variant>
        <vt:i4>0</vt:i4>
      </vt:variant>
      <vt:variant>
        <vt:i4>5</vt:i4>
      </vt:variant>
      <vt:variant>
        <vt:lpwstr>http://www.nevo.co.il/case/21472788</vt:lpwstr>
      </vt:variant>
      <vt:variant>
        <vt:lpwstr/>
      </vt:variant>
      <vt:variant>
        <vt:i4>3539058</vt:i4>
      </vt:variant>
      <vt:variant>
        <vt:i4>69</vt:i4>
      </vt:variant>
      <vt:variant>
        <vt:i4>0</vt:i4>
      </vt:variant>
      <vt:variant>
        <vt:i4>5</vt:i4>
      </vt:variant>
      <vt:variant>
        <vt:lpwstr>http://www.nevo.co.il/case/28384637</vt:lpwstr>
      </vt:variant>
      <vt:variant>
        <vt:lpwstr/>
      </vt:variant>
      <vt:variant>
        <vt:i4>3801208</vt:i4>
      </vt:variant>
      <vt:variant>
        <vt:i4>66</vt:i4>
      </vt:variant>
      <vt:variant>
        <vt:i4>0</vt:i4>
      </vt:variant>
      <vt:variant>
        <vt:i4>5</vt:i4>
      </vt:variant>
      <vt:variant>
        <vt:lpwstr>http://www.nevo.co.il/case/24319926</vt:lpwstr>
      </vt:variant>
      <vt:variant>
        <vt:lpwstr/>
      </vt:variant>
      <vt:variant>
        <vt:i4>3211379</vt:i4>
      </vt:variant>
      <vt:variant>
        <vt:i4>63</vt:i4>
      </vt:variant>
      <vt:variant>
        <vt:i4>0</vt:i4>
      </vt:variant>
      <vt:variant>
        <vt:i4>5</vt:i4>
      </vt:variant>
      <vt:variant>
        <vt:lpwstr>http://www.nevo.co.il/case/24140726</vt:lpwstr>
      </vt:variant>
      <vt:variant>
        <vt:lpwstr/>
      </vt:variant>
      <vt:variant>
        <vt:i4>3604604</vt:i4>
      </vt:variant>
      <vt:variant>
        <vt:i4>60</vt:i4>
      </vt:variant>
      <vt:variant>
        <vt:i4>0</vt:i4>
      </vt:variant>
      <vt:variant>
        <vt:i4>5</vt:i4>
      </vt:variant>
      <vt:variant>
        <vt:lpwstr>http://www.nevo.co.il/case/28380863</vt:lpwstr>
      </vt:variant>
      <vt:variant>
        <vt:lpwstr/>
      </vt:variant>
      <vt:variant>
        <vt:i4>3145842</vt:i4>
      </vt:variant>
      <vt:variant>
        <vt:i4>57</vt:i4>
      </vt:variant>
      <vt:variant>
        <vt:i4>0</vt:i4>
      </vt:variant>
      <vt:variant>
        <vt:i4>5</vt:i4>
      </vt:variant>
      <vt:variant>
        <vt:lpwstr>http://www.nevo.co.il/case/27494821</vt:lpwstr>
      </vt:variant>
      <vt:variant>
        <vt:lpwstr/>
      </vt:variant>
      <vt:variant>
        <vt:i4>4128884</vt:i4>
      </vt:variant>
      <vt:variant>
        <vt:i4>54</vt:i4>
      </vt:variant>
      <vt:variant>
        <vt:i4>0</vt:i4>
      </vt:variant>
      <vt:variant>
        <vt:i4>5</vt:i4>
      </vt:variant>
      <vt:variant>
        <vt:lpwstr>http://www.nevo.co.il/case/27911655</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3866744</vt:i4>
      </vt:variant>
      <vt:variant>
        <vt:i4>48</vt:i4>
      </vt:variant>
      <vt:variant>
        <vt:i4>0</vt:i4>
      </vt:variant>
      <vt:variant>
        <vt:i4>5</vt:i4>
      </vt:variant>
      <vt:variant>
        <vt:lpwstr>http://www.nevo.co.il/case/27499246</vt:lpwstr>
      </vt:variant>
      <vt:variant>
        <vt:lpwstr/>
      </vt:variant>
      <vt:variant>
        <vt:i4>3997812</vt:i4>
      </vt:variant>
      <vt:variant>
        <vt:i4>45</vt:i4>
      </vt:variant>
      <vt:variant>
        <vt:i4>0</vt:i4>
      </vt:variant>
      <vt:variant>
        <vt:i4>5</vt:i4>
      </vt:variant>
      <vt:variant>
        <vt:lpwstr>http://www.nevo.co.il/case/27305799</vt:lpwstr>
      </vt:variant>
      <vt:variant>
        <vt:lpwstr/>
      </vt:variant>
      <vt:variant>
        <vt:i4>3604592</vt:i4>
      </vt:variant>
      <vt:variant>
        <vt:i4>42</vt:i4>
      </vt:variant>
      <vt:variant>
        <vt:i4>0</vt:i4>
      </vt:variant>
      <vt:variant>
        <vt:i4>5</vt:i4>
      </vt:variant>
      <vt:variant>
        <vt:lpwstr>http://www.nevo.co.il/case/28452933</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3735668</vt:i4>
      </vt:variant>
      <vt:variant>
        <vt:i4>36</vt:i4>
      </vt:variant>
      <vt:variant>
        <vt:i4>0</vt:i4>
      </vt:variant>
      <vt:variant>
        <vt:i4>5</vt:i4>
      </vt:variant>
      <vt:variant>
        <vt:lpwstr>http://www.nevo.co.il/case/27911638</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3145842</vt:i4>
      </vt:variant>
      <vt:variant>
        <vt:i4>27</vt:i4>
      </vt:variant>
      <vt:variant>
        <vt:i4>0</vt:i4>
      </vt:variant>
      <vt:variant>
        <vt:i4>5</vt:i4>
      </vt:variant>
      <vt:variant>
        <vt:lpwstr>http://www.nevo.co.il/case/28268880</vt:lpwstr>
      </vt:variant>
      <vt:variant>
        <vt:lpwstr/>
      </vt:variant>
      <vt:variant>
        <vt:i4>3670131</vt:i4>
      </vt:variant>
      <vt:variant>
        <vt:i4>24</vt:i4>
      </vt:variant>
      <vt:variant>
        <vt:i4>0</vt:i4>
      </vt:variant>
      <vt:variant>
        <vt:i4>5</vt:i4>
      </vt:variant>
      <vt:variant>
        <vt:lpwstr>http://www.nevo.co.il/case/26986954</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8257634</vt:i4>
      </vt:variant>
      <vt:variant>
        <vt:i4>12</vt:i4>
      </vt:variant>
      <vt:variant>
        <vt:i4>0</vt:i4>
      </vt:variant>
      <vt:variant>
        <vt:i4>5</vt:i4>
      </vt:variant>
      <vt:variant>
        <vt:lpwstr>http://www.nevo.co.il/law/71553</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2025-04-24T20:04:00Z</dcterms:created>
  <dcterms:modified xsi:type="dcterms:W3CDTF">2025-04-24T20:04:00Z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10686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עבד אל פתאח עאזם;מוחמד מצארוה </vt:lpwstr>
  </property>
  <property fmtid="{D5CDD505-2E9C-101B-9397-08002B2CF9AE}" pid="10" name="LAWYER">
    <vt:lpwstr>אורי רינצקי;איהאב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20221114</vt:lpwstr>
  </property>
  <property fmtid="{D5CDD505-2E9C-101B-9397-08002B2CF9AE}" pid="14" name="TYPE_N_DATE">
    <vt:lpwstr>39020221114</vt:lpwstr>
  </property>
  <property fmtid="{D5CDD505-2E9C-101B-9397-08002B2CF9AE}" pid="15" name="WORDNUMPAGES">
    <vt:lpwstr>8</vt:lpwstr>
  </property>
  <property fmtid="{D5CDD505-2E9C-101B-9397-08002B2CF9AE}" pid="16" name="TYPE_ABS_DATE">
    <vt:lpwstr>390020221114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25824863;26986954;28268880;28513828;27894608;27911638;28152132;28452933;27305799;27499246;28243273;27911655;27494821;28380863;24140726;24319926;28384637;21472788;10442671;26934681;24269595</vt:lpwstr>
  </property>
  <property fmtid="{D5CDD505-2E9C-101B-9397-08002B2CF9AE}" pid="36" name="LAWLISTTMP1">
    <vt:lpwstr>70301/144.b;040d.a:2;040d</vt:lpwstr>
  </property>
  <property fmtid="{D5CDD505-2E9C-101B-9397-08002B2CF9AE}" pid="37" name="LAWLISTTMP2">
    <vt:lpwstr>71553</vt:lpwstr>
  </property>
</Properties>
</file>