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37B5B" w:rsidRPr="00C550C7" w14:paraId="0A3C0970" w14:textId="77777777" w:rsidTr="008E76C8">
        <w:trPr>
          <w:trHeight w:hRule="exact" w:val="418"/>
          <w:jc w:val="center"/>
        </w:trPr>
        <w:tc>
          <w:tcPr>
            <w:tcW w:w="8721" w:type="dxa"/>
            <w:gridSpan w:val="2"/>
          </w:tcPr>
          <w:p w14:paraId="1219FE43" w14:textId="77777777" w:rsidR="00D37B5B" w:rsidRPr="00C550C7" w:rsidRDefault="00D37B5B" w:rsidP="00C0495F">
            <w:pPr>
              <w:pStyle w:val="a3"/>
              <w:jc w:val="center"/>
              <w:rPr>
                <w:rFonts w:ascii="Tahoma" w:hAnsi="Tahoma" w:cs="Tahoma"/>
                <w:color w:val="000080"/>
                <w:rtl/>
              </w:rPr>
            </w:pPr>
            <w:bookmarkStart w:id="0" w:name="LastJudge"/>
            <w:r w:rsidRPr="00C550C7">
              <w:rPr>
                <w:rFonts w:ascii="Tahoma" w:hAnsi="Tahoma" w:cs="Tahoma"/>
                <w:b/>
                <w:bCs/>
                <w:color w:val="000080"/>
                <w:rtl/>
              </w:rPr>
              <w:t>בית המשפט המחוזי בחיפה</w:t>
            </w:r>
          </w:p>
        </w:tc>
      </w:tr>
      <w:tr w:rsidR="00D37B5B" w:rsidRPr="00C550C7" w14:paraId="0C9B9C01" w14:textId="77777777" w:rsidTr="008E76C8">
        <w:trPr>
          <w:trHeight w:val="337"/>
          <w:jc w:val="center"/>
        </w:trPr>
        <w:tc>
          <w:tcPr>
            <w:tcW w:w="5060" w:type="dxa"/>
          </w:tcPr>
          <w:p w14:paraId="3C42D0E6" w14:textId="77777777" w:rsidR="00D37B5B" w:rsidRPr="00C550C7" w:rsidRDefault="00D37B5B" w:rsidP="00C0495F">
            <w:pPr>
              <w:rPr>
                <w:rFonts w:cs="FrankRuehl"/>
                <w:sz w:val="28"/>
                <w:szCs w:val="28"/>
                <w:rtl/>
              </w:rPr>
            </w:pPr>
            <w:r w:rsidRPr="00C550C7">
              <w:rPr>
                <w:rFonts w:cs="FrankRuehl"/>
                <w:sz w:val="28"/>
                <w:szCs w:val="28"/>
                <w:rtl/>
              </w:rPr>
              <w:t>ת"פ</w:t>
            </w:r>
            <w:r w:rsidRPr="00C550C7">
              <w:rPr>
                <w:rFonts w:cs="FrankRuehl" w:hint="cs"/>
                <w:sz w:val="28"/>
                <w:szCs w:val="28"/>
                <w:rtl/>
              </w:rPr>
              <w:t xml:space="preserve"> </w:t>
            </w:r>
            <w:r w:rsidRPr="00C550C7">
              <w:rPr>
                <w:rFonts w:cs="FrankRuehl"/>
                <w:sz w:val="28"/>
                <w:szCs w:val="28"/>
                <w:rtl/>
              </w:rPr>
              <w:t>33131-05-20</w:t>
            </w:r>
            <w:r w:rsidRPr="00C550C7">
              <w:rPr>
                <w:rFonts w:cs="FrankRuehl" w:hint="cs"/>
                <w:sz w:val="28"/>
                <w:szCs w:val="28"/>
                <w:rtl/>
              </w:rPr>
              <w:t xml:space="preserve"> </w:t>
            </w:r>
            <w:r w:rsidRPr="00C550C7">
              <w:rPr>
                <w:rFonts w:cs="FrankRuehl"/>
                <w:sz w:val="28"/>
                <w:szCs w:val="28"/>
                <w:rtl/>
              </w:rPr>
              <w:t>מדינת ישראל נ' מחאמיד(עציר) ואח'</w:t>
            </w:r>
          </w:p>
          <w:p w14:paraId="6A54DEC5" w14:textId="77777777" w:rsidR="00D37B5B" w:rsidRPr="00C550C7" w:rsidRDefault="00D37B5B" w:rsidP="00C0495F">
            <w:pPr>
              <w:pStyle w:val="a3"/>
              <w:rPr>
                <w:rFonts w:cs="FrankRuehl"/>
                <w:sz w:val="28"/>
                <w:szCs w:val="28"/>
                <w:rtl/>
              </w:rPr>
            </w:pPr>
          </w:p>
        </w:tc>
        <w:tc>
          <w:tcPr>
            <w:tcW w:w="3661" w:type="dxa"/>
          </w:tcPr>
          <w:p w14:paraId="54F315E4" w14:textId="77777777" w:rsidR="00D37B5B" w:rsidRPr="00C550C7" w:rsidRDefault="00D37B5B" w:rsidP="00C0495F">
            <w:pPr>
              <w:pStyle w:val="a3"/>
              <w:jc w:val="right"/>
              <w:rPr>
                <w:rFonts w:cs="FrankRuehl"/>
                <w:sz w:val="28"/>
                <w:szCs w:val="28"/>
                <w:rtl/>
              </w:rPr>
            </w:pPr>
          </w:p>
        </w:tc>
      </w:tr>
    </w:tbl>
    <w:p w14:paraId="48BC937A" w14:textId="77777777" w:rsidR="00D37B5B" w:rsidRPr="00C550C7" w:rsidRDefault="00D37B5B" w:rsidP="00D37B5B">
      <w:pPr>
        <w:pStyle w:val="a3"/>
        <w:rPr>
          <w:rtl/>
        </w:rPr>
      </w:pPr>
      <w:r w:rsidRPr="00C550C7">
        <w:rPr>
          <w:rFonts w:hint="cs"/>
          <w:rtl/>
        </w:rPr>
        <w:t xml:space="preserve"> </w:t>
      </w:r>
    </w:p>
    <w:p w14:paraId="0572833E" w14:textId="77777777" w:rsidR="00D37B5B" w:rsidRPr="00C550C7" w:rsidRDefault="00D37B5B" w:rsidP="00D37B5B">
      <w:pPr>
        <w:rPr>
          <w:rFonts w:ascii="David" w:hAnsi="David"/>
          <w:rtl/>
        </w:rPr>
      </w:pPr>
    </w:p>
    <w:p w14:paraId="1521A5C9" w14:textId="77777777" w:rsidR="00D37B5B" w:rsidRPr="00C550C7" w:rsidRDefault="00D37B5B" w:rsidP="00D37B5B">
      <w:pPr>
        <w:rPr>
          <w:rFonts w:ascii="David" w:hAnsi="David"/>
          <w:rtl/>
        </w:rPr>
      </w:pPr>
    </w:p>
    <w:tbl>
      <w:tblPr>
        <w:bidiVisual/>
        <w:tblW w:w="9018" w:type="dxa"/>
        <w:tblInd w:w="-28" w:type="dxa"/>
        <w:tblLook w:val="01E0" w:firstRow="1" w:lastRow="1" w:firstColumn="1" w:lastColumn="1" w:noHBand="0" w:noVBand="0"/>
      </w:tblPr>
      <w:tblGrid>
        <w:gridCol w:w="9018"/>
      </w:tblGrid>
      <w:tr w:rsidR="00D37B5B" w:rsidRPr="00C550C7" w14:paraId="4C387D08" w14:textId="77777777" w:rsidTr="00D37B5B">
        <w:tc>
          <w:tcPr>
            <w:tcW w:w="9018" w:type="dxa"/>
            <w:shd w:val="clear" w:color="auto" w:fill="auto"/>
          </w:tcPr>
          <w:p w14:paraId="46E1D5B4" w14:textId="77777777" w:rsidR="00D37B5B" w:rsidRPr="00C550C7" w:rsidRDefault="00D37B5B" w:rsidP="00C0495F">
            <w:pPr>
              <w:rPr>
                <w:rFonts w:ascii="David" w:hAnsi="David"/>
                <w:b/>
                <w:bCs/>
                <w:sz w:val="26"/>
                <w:szCs w:val="26"/>
                <w:rtl/>
              </w:rPr>
            </w:pPr>
            <w:bookmarkStart w:id="1" w:name="FirstAppellant"/>
            <w:bookmarkStart w:id="2" w:name="FirstLawyer"/>
            <w:r w:rsidRPr="00C550C7">
              <w:rPr>
                <w:rFonts w:ascii="David" w:hAnsi="David"/>
                <w:b/>
                <w:bCs/>
                <w:sz w:val="26"/>
                <w:szCs w:val="26"/>
                <w:rtl/>
              </w:rPr>
              <w:t>לפני כבוד השופט ארז פורת</w:t>
            </w:r>
            <w:r w:rsidRPr="00C550C7">
              <w:rPr>
                <w:rStyle w:val="TimesNewRomanTimesNewRoman"/>
                <w:rFonts w:ascii="David" w:hAnsi="David"/>
                <w:rtl/>
              </w:rPr>
              <w:t xml:space="preserve"> </w:t>
            </w:r>
          </w:p>
          <w:p w14:paraId="60D03161" w14:textId="77777777" w:rsidR="00D37B5B" w:rsidRPr="00C550C7" w:rsidRDefault="00D37B5B" w:rsidP="00C0495F">
            <w:pPr>
              <w:rPr>
                <w:rFonts w:ascii="David" w:hAnsi="David"/>
                <w:b/>
                <w:bCs/>
                <w:sz w:val="26"/>
                <w:szCs w:val="26"/>
                <w:rtl/>
              </w:rPr>
            </w:pPr>
          </w:p>
          <w:p w14:paraId="2E035205" w14:textId="77777777" w:rsidR="00D37B5B" w:rsidRPr="00C550C7" w:rsidRDefault="00D37B5B" w:rsidP="00C0495F">
            <w:pPr>
              <w:rPr>
                <w:rFonts w:ascii="David" w:hAnsi="David"/>
                <w:rtl/>
              </w:rPr>
            </w:pPr>
            <w:r w:rsidRPr="00C550C7">
              <w:rPr>
                <w:rFonts w:ascii="David" w:hAnsi="David"/>
                <w:b/>
                <w:bCs/>
                <w:sz w:val="26"/>
                <w:szCs w:val="26"/>
                <w:rtl/>
              </w:rPr>
              <w:t>המאשימה-</w:t>
            </w:r>
          </w:p>
          <w:p w14:paraId="506E665A" w14:textId="77777777" w:rsidR="00D37B5B" w:rsidRPr="00C550C7" w:rsidRDefault="00D37B5B" w:rsidP="00C0495F">
            <w:pPr>
              <w:rPr>
                <w:rFonts w:ascii="David" w:hAnsi="David"/>
                <w:b/>
                <w:bCs/>
                <w:sz w:val="26"/>
                <w:szCs w:val="26"/>
                <w:rtl/>
              </w:rPr>
            </w:pPr>
            <w:r w:rsidRPr="00C550C7">
              <w:rPr>
                <w:rFonts w:ascii="David" w:hAnsi="David"/>
                <w:rtl/>
              </w:rPr>
              <w:t xml:space="preserve"> </w:t>
            </w:r>
            <w:r w:rsidRPr="00C550C7">
              <w:rPr>
                <w:rFonts w:ascii="David" w:hAnsi="David"/>
                <w:b/>
                <w:bCs/>
                <w:sz w:val="26"/>
                <w:szCs w:val="26"/>
                <w:rtl/>
              </w:rPr>
              <w:t>מדינת ישראל</w:t>
            </w:r>
          </w:p>
          <w:p w14:paraId="3659710C" w14:textId="77777777" w:rsidR="00D37B5B" w:rsidRPr="00C550C7" w:rsidRDefault="00D37B5B" w:rsidP="00C0495F">
            <w:pPr>
              <w:rPr>
                <w:rFonts w:ascii="David" w:hAnsi="David"/>
                <w:b/>
                <w:bCs/>
                <w:sz w:val="26"/>
                <w:szCs w:val="26"/>
                <w:rtl/>
              </w:rPr>
            </w:pPr>
          </w:p>
          <w:p w14:paraId="2052B7D9" w14:textId="77777777" w:rsidR="00D37B5B" w:rsidRPr="00C550C7" w:rsidRDefault="00D37B5B" w:rsidP="00C0495F">
            <w:pPr>
              <w:rPr>
                <w:rFonts w:ascii="David" w:hAnsi="David"/>
                <w:b/>
                <w:bCs/>
                <w:sz w:val="26"/>
                <w:szCs w:val="26"/>
                <w:rtl/>
              </w:rPr>
            </w:pPr>
          </w:p>
          <w:bookmarkEnd w:id="1"/>
          <w:p w14:paraId="2063B52F" w14:textId="77777777" w:rsidR="00D37B5B" w:rsidRPr="00C550C7" w:rsidRDefault="00D37B5B" w:rsidP="00D37B5B">
            <w:pPr>
              <w:jc w:val="center"/>
              <w:rPr>
                <w:rFonts w:ascii="David" w:hAnsi="David"/>
                <w:b/>
                <w:bCs/>
                <w:sz w:val="26"/>
                <w:szCs w:val="26"/>
                <w:rtl/>
              </w:rPr>
            </w:pPr>
            <w:r w:rsidRPr="00C550C7">
              <w:rPr>
                <w:rFonts w:ascii="David" w:hAnsi="David"/>
                <w:b/>
                <w:bCs/>
                <w:sz w:val="26"/>
                <w:szCs w:val="26"/>
                <w:rtl/>
              </w:rPr>
              <w:t>נגד</w:t>
            </w:r>
          </w:p>
          <w:p w14:paraId="2C2A8C24" w14:textId="77777777" w:rsidR="00D37B5B" w:rsidRPr="00C550C7" w:rsidRDefault="00D37B5B" w:rsidP="00C0495F">
            <w:pPr>
              <w:rPr>
                <w:rFonts w:ascii="David" w:hAnsi="David"/>
                <w:b/>
                <w:bCs/>
                <w:sz w:val="26"/>
                <w:szCs w:val="26"/>
                <w:rtl/>
              </w:rPr>
            </w:pPr>
          </w:p>
          <w:p w14:paraId="774F002A" w14:textId="77777777" w:rsidR="00D37B5B" w:rsidRPr="00C550C7" w:rsidRDefault="00D37B5B" w:rsidP="00C0495F">
            <w:pPr>
              <w:rPr>
                <w:rFonts w:ascii="David" w:hAnsi="David"/>
                <w:b/>
                <w:bCs/>
                <w:sz w:val="26"/>
                <w:szCs w:val="26"/>
              </w:rPr>
            </w:pPr>
            <w:r w:rsidRPr="00C550C7">
              <w:rPr>
                <w:rFonts w:ascii="David" w:hAnsi="David"/>
                <w:b/>
                <w:bCs/>
                <w:sz w:val="26"/>
                <w:szCs w:val="26"/>
                <w:rtl/>
              </w:rPr>
              <w:t>הנאשמים-</w:t>
            </w:r>
            <w:r w:rsidRPr="00C550C7">
              <w:rPr>
                <w:rFonts w:ascii="David" w:hAnsi="David"/>
                <w:b/>
                <w:bCs/>
                <w:sz w:val="26"/>
                <w:szCs w:val="26"/>
              </w:rPr>
              <w:t>.1</w:t>
            </w:r>
            <w:r w:rsidRPr="00C550C7">
              <w:rPr>
                <w:rFonts w:ascii="David" w:hAnsi="David"/>
                <w:rtl/>
              </w:rPr>
              <w:t xml:space="preserve"> </w:t>
            </w:r>
            <w:r w:rsidRPr="00C550C7">
              <w:rPr>
                <w:rFonts w:ascii="David" w:hAnsi="David"/>
                <w:b/>
                <w:bCs/>
                <w:sz w:val="26"/>
                <w:szCs w:val="26"/>
                <w:rtl/>
              </w:rPr>
              <w:t>ואיל מחאמיד (עציר)</w:t>
            </w:r>
            <w:r w:rsidRPr="00C550C7">
              <w:rPr>
                <w:rFonts w:ascii="David" w:hAnsi="David"/>
                <w:rtl/>
              </w:rPr>
              <w:t xml:space="preserve"> </w:t>
            </w:r>
            <w:r w:rsidRPr="00C550C7">
              <w:rPr>
                <w:rFonts w:ascii="David" w:hAnsi="David"/>
                <w:b/>
                <w:bCs/>
                <w:sz w:val="26"/>
                <w:szCs w:val="26"/>
                <w:rtl/>
              </w:rPr>
              <w:t xml:space="preserve">ת"ז  </w:t>
            </w:r>
            <w:r w:rsidR="00C550C7">
              <w:rPr>
                <w:rFonts w:ascii="David" w:hAnsi="David"/>
                <w:b/>
                <w:bCs/>
                <w:sz w:val="26"/>
                <w:szCs w:val="26"/>
              </w:rPr>
              <w:t>xxxxxxxxxx</w:t>
            </w:r>
          </w:p>
          <w:p w14:paraId="2CC64937" w14:textId="77777777" w:rsidR="00D37B5B" w:rsidRPr="00C550C7" w:rsidRDefault="00D37B5B" w:rsidP="00C0495F">
            <w:pPr>
              <w:rPr>
                <w:rFonts w:ascii="David" w:hAnsi="David"/>
                <w:b/>
                <w:bCs/>
                <w:sz w:val="26"/>
                <w:szCs w:val="26"/>
                <w:rtl/>
              </w:rPr>
            </w:pPr>
            <w:r w:rsidRPr="00C550C7">
              <w:rPr>
                <w:rFonts w:ascii="David" w:hAnsi="David"/>
                <w:b/>
                <w:bCs/>
                <w:sz w:val="26"/>
                <w:szCs w:val="26"/>
              </w:rPr>
              <w:t>.2</w:t>
            </w:r>
            <w:r w:rsidRPr="00C550C7">
              <w:rPr>
                <w:rFonts w:ascii="David" w:hAnsi="David"/>
                <w:rtl/>
              </w:rPr>
              <w:t xml:space="preserve"> </w:t>
            </w:r>
            <w:r w:rsidRPr="00C550C7">
              <w:rPr>
                <w:rFonts w:ascii="David" w:hAnsi="David"/>
                <w:b/>
                <w:bCs/>
                <w:sz w:val="26"/>
                <w:szCs w:val="26"/>
                <w:rtl/>
              </w:rPr>
              <w:t>מוחמד גריפאת (עציר)</w:t>
            </w:r>
            <w:r w:rsidRPr="00C550C7">
              <w:rPr>
                <w:rFonts w:ascii="David" w:hAnsi="David"/>
                <w:rtl/>
              </w:rPr>
              <w:t xml:space="preserve"> </w:t>
            </w:r>
            <w:r w:rsidRPr="00C550C7">
              <w:rPr>
                <w:rFonts w:ascii="David" w:hAnsi="David"/>
                <w:b/>
                <w:bCs/>
                <w:sz w:val="26"/>
                <w:szCs w:val="26"/>
                <w:rtl/>
              </w:rPr>
              <w:t xml:space="preserve">ת"ז  </w:t>
            </w:r>
            <w:r w:rsidR="00C550C7">
              <w:rPr>
                <w:rFonts w:ascii="David" w:hAnsi="David"/>
                <w:b/>
                <w:bCs/>
                <w:sz w:val="26"/>
                <w:szCs w:val="26"/>
              </w:rPr>
              <w:t>xxxxxxxxxx</w:t>
            </w:r>
          </w:p>
          <w:p w14:paraId="4DF3837E" w14:textId="77777777" w:rsidR="00D37B5B" w:rsidRPr="00C550C7" w:rsidRDefault="00D37B5B" w:rsidP="00C0495F">
            <w:pPr>
              <w:rPr>
                <w:rFonts w:ascii="David" w:hAnsi="David"/>
                <w:b/>
                <w:bCs/>
                <w:sz w:val="26"/>
                <w:szCs w:val="26"/>
                <w:rtl/>
              </w:rPr>
            </w:pPr>
            <w:r w:rsidRPr="00C550C7">
              <w:rPr>
                <w:rFonts w:ascii="David" w:hAnsi="David"/>
                <w:b/>
                <w:bCs/>
                <w:sz w:val="26"/>
                <w:szCs w:val="26"/>
              </w:rPr>
              <w:t>.3</w:t>
            </w:r>
            <w:r w:rsidRPr="00C550C7">
              <w:rPr>
                <w:rFonts w:ascii="David" w:hAnsi="David"/>
                <w:rtl/>
              </w:rPr>
              <w:t xml:space="preserve"> </w:t>
            </w:r>
            <w:r w:rsidRPr="00C550C7">
              <w:rPr>
                <w:rFonts w:ascii="David" w:hAnsi="David"/>
                <w:b/>
                <w:bCs/>
                <w:sz w:val="26"/>
                <w:szCs w:val="26"/>
                <w:rtl/>
              </w:rPr>
              <w:t>פאדי גריפאת (נדון)</w:t>
            </w:r>
            <w:r w:rsidRPr="00C550C7">
              <w:rPr>
                <w:rFonts w:ascii="David" w:hAnsi="David"/>
                <w:rtl/>
              </w:rPr>
              <w:t xml:space="preserve"> </w:t>
            </w:r>
            <w:r w:rsidRPr="00C550C7">
              <w:rPr>
                <w:rFonts w:ascii="David" w:hAnsi="David"/>
                <w:b/>
                <w:bCs/>
                <w:sz w:val="26"/>
                <w:szCs w:val="26"/>
                <w:rtl/>
              </w:rPr>
              <w:t xml:space="preserve">ת"ז  </w:t>
            </w:r>
            <w:r w:rsidR="00C550C7">
              <w:rPr>
                <w:rFonts w:ascii="David" w:hAnsi="David"/>
                <w:b/>
                <w:bCs/>
                <w:sz w:val="26"/>
                <w:szCs w:val="26"/>
              </w:rPr>
              <w:t>xxxxxxxxxx</w:t>
            </w:r>
          </w:p>
          <w:p w14:paraId="120861AD" w14:textId="77777777" w:rsidR="00D37B5B" w:rsidRPr="00C550C7" w:rsidRDefault="00D37B5B" w:rsidP="00D37B5B">
            <w:pPr>
              <w:spacing w:line="360" w:lineRule="auto"/>
              <w:jc w:val="both"/>
              <w:rPr>
                <w:rFonts w:ascii="David" w:hAnsi="David"/>
                <w:sz w:val="6"/>
                <w:szCs w:val="6"/>
                <w:rtl/>
              </w:rPr>
            </w:pPr>
            <w:r w:rsidRPr="00C550C7">
              <w:rPr>
                <w:rFonts w:ascii="David" w:hAnsi="David"/>
                <w:sz w:val="6"/>
                <w:szCs w:val="6"/>
                <w:rtl/>
              </w:rPr>
              <w:t>&lt;#1#&gt;</w:t>
            </w:r>
          </w:p>
          <w:p w14:paraId="6697E8B6" w14:textId="77777777" w:rsidR="00D37B5B" w:rsidRPr="00C550C7" w:rsidRDefault="00D37B5B" w:rsidP="00C0495F">
            <w:pPr>
              <w:pStyle w:val="12"/>
              <w:rPr>
                <w:rFonts w:ascii="David" w:hAnsi="David"/>
                <w:b w:val="0"/>
                <w:bCs w:val="0"/>
                <w:u w:val="none"/>
                <w:rtl/>
              </w:rPr>
            </w:pPr>
          </w:p>
          <w:p w14:paraId="6CC7772A" w14:textId="77777777" w:rsidR="00D37B5B" w:rsidRPr="00C550C7" w:rsidRDefault="00D37B5B" w:rsidP="00C0495F">
            <w:pPr>
              <w:pStyle w:val="12"/>
              <w:rPr>
                <w:rFonts w:ascii="David" w:hAnsi="David"/>
                <w:u w:val="none"/>
                <w:rtl/>
              </w:rPr>
            </w:pPr>
            <w:r w:rsidRPr="00C550C7">
              <w:rPr>
                <w:rFonts w:ascii="David" w:hAnsi="David"/>
                <w:u w:val="none"/>
                <w:rtl/>
              </w:rPr>
              <w:t>נוכחים:</w:t>
            </w:r>
          </w:p>
          <w:p w14:paraId="3B33796C" w14:textId="77777777" w:rsidR="00D37B5B" w:rsidRPr="00C550C7" w:rsidRDefault="00D37B5B" w:rsidP="00C0495F">
            <w:pPr>
              <w:pStyle w:val="12"/>
              <w:rPr>
                <w:rFonts w:ascii="David" w:hAnsi="David"/>
                <w:b w:val="0"/>
                <w:bCs w:val="0"/>
                <w:u w:val="none"/>
                <w:rtl/>
              </w:rPr>
            </w:pPr>
            <w:r w:rsidRPr="00C550C7">
              <w:rPr>
                <w:rFonts w:ascii="David" w:hAnsi="David"/>
                <w:b w:val="0"/>
                <w:bCs w:val="0"/>
                <w:u w:val="none"/>
                <w:rtl/>
              </w:rPr>
              <w:t>ב"כ המאשימה:</w:t>
            </w:r>
            <w:r w:rsidRPr="00C550C7">
              <w:rPr>
                <w:rFonts w:ascii="David" w:hAnsi="David"/>
                <w:b w:val="0"/>
                <w:bCs w:val="0"/>
                <w:u w:val="none"/>
              </w:rPr>
              <w:t xml:space="preserve"> </w:t>
            </w:r>
            <w:r w:rsidRPr="00C550C7">
              <w:rPr>
                <w:rFonts w:ascii="David" w:hAnsi="David"/>
                <w:b w:val="0"/>
                <w:bCs w:val="0"/>
                <w:u w:val="none"/>
                <w:rtl/>
              </w:rPr>
              <w:t xml:space="preserve"> עו"ד גב' רינת לוי </w:t>
            </w:r>
          </w:p>
          <w:p w14:paraId="40C6051E" w14:textId="77777777" w:rsidR="00D37B5B" w:rsidRPr="00C550C7" w:rsidRDefault="00D37B5B" w:rsidP="00C0495F">
            <w:pPr>
              <w:pStyle w:val="12"/>
              <w:rPr>
                <w:rFonts w:ascii="David" w:hAnsi="David"/>
                <w:b w:val="0"/>
                <w:bCs w:val="0"/>
                <w:u w:val="none"/>
                <w:rtl/>
              </w:rPr>
            </w:pPr>
            <w:r w:rsidRPr="00C550C7">
              <w:rPr>
                <w:rFonts w:ascii="David" w:hAnsi="David"/>
                <w:b w:val="0"/>
                <w:bCs w:val="0"/>
                <w:u w:val="none"/>
                <w:rtl/>
              </w:rPr>
              <w:t xml:space="preserve">ב"כ הנאשם 1:  עו"ד מוחמד מחאג'נה  </w:t>
            </w:r>
          </w:p>
          <w:p w14:paraId="07BF246C" w14:textId="77777777" w:rsidR="00D37B5B" w:rsidRPr="00C550C7" w:rsidRDefault="00D37B5B" w:rsidP="00C0495F">
            <w:pPr>
              <w:pStyle w:val="12"/>
              <w:rPr>
                <w:rFonts w:ascii="David" w:hAnsi="David"/>
                <w:b w:val="0"/>
                <w:bCs w:val="0"/>
                <w:u w:val="none"/>
                <w:rtl/>
              </w:rPr>
            </w:pPr>
            <w:r w:rsidRPr="00C550C7">
              <w:rPr>
                <w:rFonts w:ascii="David" w:hAnsi="David"/>
                <w:b w:val="0"/>
                <w:bCs w:val="0"/>
                <w:u w:val="none"/>
                <w:rtl/>
              </w:rPr>
              <w:t xml:space="preserve">ב"כ הנאשם 2: עו"ד גיל דביר </w:t>
            </w:r>
          </w:p>
          <w:p w14:paraId="4AE4F284" w14:textId="77777777" w:rsidR="00D37B5B" w:rsidRPr="00C550C7" w:rsidRDefault="00D37B5B" w:rsidP="00C0495F">
            <w:pPr>
              <w:pStyle w:val="12"/>
              <w:rPr>
                <w:rFonts w:ascii="David" w:hAnsi="David"/>
                <w:b w:val="0"/>
                <w:bCs w:val="0"/>
                <w:u w:val="none"/>
                <w:rtl/>
              </w:rPr>
            </w:pPr>
          </w:p>
        </w:tc>
      </w:tr>
    </w:tbl>
    <w:p w14:paraId="2E2175E6" w14:textId="77777777" w:rsidR="00E44062" w:rsidRDefault="00E44062" w:rsidP="00E44062">
      <w:pPr>
        <w:rPr>
          <w:rtl/>
        </w:rPr>
      </w:pPr>
      <w:bookmarkStart w:id="3" w:name="LawTable"/>
      <w:bookmarkEnd w:id="2"/>
      <w:bookmarkEnd w:id="3"/>
    </w:p>
    <w:p w14:paraId="54B4B1CD" w14:textId="77777777" w:rsidR="00E44062" w:rsidRPr="00E44062" w:rsidRDefault="00E44062" w:rsidP="00E44062">
      <w:pPr>
        <w:spacing w:before="120" w:after="120" w:line="240" w:lineRule="exact"/>
        <w:ind w:left="283" w:hanging="283"/>
        <w:jc w:val="both"/>
        <w:rPr>
          <w:rFonts w:ascii="FrankRuehl" w:hAnsi="FrankRuehl" w:cs="FrankRuehl"/>
          <w:rtl/>
        </w:rPr>
      </w:pPr>
    </w:p>
    <w:p w14:paraId="3315D69F" w14:textId="77777777" w:rsidR="00E44062" w:rsidRPr="00E44062" w:rsidRDefault="00E44062" w:rsidP="00E44062">
      <w:pPr>
        <w:spacing w:before="120" w:after="120" w:line="240" w:lineRule="exact"/>
        <w:ind w:left="283" w:hanging="283"/>
        <w:jc w:val="both"/>
        <w:rPr>
          <w:rFonts w:ascii="FrankRuehl" w:hAnsi="FrankRuehl" w:cs="FrankRuehl"/>
          <w:rtl/>
        </w:rPr>
      </w:pPr>
    </w:p>
    <w:p w14:paraId="67D760BC" w14:textId="77777777" w:rsidR="00E44062" w:rsidRPr="00E44062" w:rsidRDefault="00E44062" w:rsidP="00E44062">
      <w:pPr>
        <w:spacing w:before="120" w:after="120" w:line="240" w:lineRule="exact"/>
        <w:ind w:left="283" w:hanging="283"/>
        <w:jc w:val="both"/>
        <w:rPr>
          <w:rFonts w:ascii="FrankRuehl" w:hAnsi="FrankRuehl" w:cs="FrankRuehl"/>
          <w:rtl/>
        </w:rPr>
      </w:pPr>
      <w:r w:rsidRPr="00E44062">
        <w:rPr>
          <w:rFonts w:ascii="FrankRuehl" w:hAnsi="FrankRuehl" w:cs="FrankRuehl"/>
          <w:rtl/>
        </w:rPr>
        <w:t xml:space="preserve">חקיקה שאוזכרה: </w:t>
      </w:r>
    </w:p>
    <w:p w14:paraId="4CA6F75E" w14:textId="77777777" w:rsidR="00E44062" w:rsidRPr="00E44062" w:rsidRDefault="00E44062" w:rsidP="00E44062">
      <w:pPr>
        <w:spacing w:before="120" w:after="120" w:line="240" w:lineRule="exact"/>
        <w:ind w:left="283" w:hanging="283"/>
        <w:jc w:val="both"/>
        <w:rPr>
          <w:rFonts w:ascii="FrankRuehl" w:hAnsi="FrankRuehl" w:cs="FrankRuehl"/>
          <w:rtl/>
        </w:rPr>
      </w:pPr>
      <w:hyperlink r:id="rId6" w:history="1">
        <w:r w:rsidRPr="00E44062">
          <w:rPr>
            <w:rFonts w:ascii="FrankRuehl" w:hAnsi="FrankRuehl" w:cs="FrankRuehl"/>
            <w:color w:val="0000FF"/>
            <w:rtl/>
          </w:rPr>
          <w:t>חוק העונשין, תשל"ז-1977</w:t>
        </w:r>
      </w:hyperlink>
      <w:r w:rsidRPr="00E44062">
        <w:rPr>
          <w:rFonts w:ascii="FrankRuehl" w:hAnsi="FrankRuehl" w:cs="FrankRuehl"/>
          <w:rtl/>
        </w:rPr>
        <w:t xml:space="preserve">: סע'  </w:t>
      </w:r>
      <w:hyperlink r:id="rId7" w:history="1">
        <w:r w:rsidRPr="00E44062">
          <w:rPr>
            <w:rFonts w:ascii="FrankRuehl" w:hAnsi="FrankRuehl" w:cs="FrankRuehl"/>
            <w:color w:val="0000FF"/>
            <w:rtl/>
          </w:rPr>
          <w:t>29</w:t>
        </w:r>
      </w:hyperlink>
      <w:r w:rsidRPr="00E44062">
        <w:rPr>
          <w:rFonts w:ascii="FrankRuehl" w:hAnsi="FrankRuehl" w:cs="FrankRuehl"/>
          <w:rtl/>
        </w:rPr>
        <w:t xml:space="preserve">, </w:t>
      </w:r>
      <w:hyperlink r:id="rId8" w:history="1">
        <w:r w:rsidRPr="00E44062">
          <w:rPr>
            <w:rFonts w:ascii="FrankRuehl" w:hAnsi="FrankRuehl" w:cs="FrankRuehl"/>
            <w:color w:val="0000FF"/>
            <w:rtl/>
          </w:rPr>
          <w:t>58</w:t>
        </w:r>
      </w:hyperlink>
      <w:r w:rsidRPr="00E44062">
        <w:rPr>
          <w:rFonts w:ascii="FrankRuehl" w:hAnsi="FrankRuehl" w:cs="FrankRuehl"/>
          <w:rtl/>
        </w:rPr>
        <w:t xml:space="preserve">, </w:t>
      </w:r>
      <w:hyperlink r:id="rId9" w:history="1">
        <w:r w:rsidRPr="00E44062">
          <w:rPr>
            <w:rFonts w:ascii="FrankRuehl" w:hAnsi="FrankRuehl" w:cs="FrankRuehl"/>
            <w:color w:val="0000FF"/>
            <w:rtl/>
          </w:rPr>
          <w:t>144</w:t>
        </w:r>
      </w:hyperlink>
      <w:r w:rsidRPr="00E44062">
        <w:rPr>
          <w:rFonts w:ascii="FrankRuehl" w:hAnsi="FrankRuehl" w:cs="FrankRuehl"/>
          <w:rtl/>
        </w:rPr>
        <w:t xml:space="preserve">, </w:t>
      </w:r>
      <w:hyperlink r:id="rId10" w:history="1">
        <w:r w:rsidRPr="00E44062">
          <w:rPr>
            <w:rFonts w:ascii="FrankRuehl" w:hAnsi="FrankRuehl" w:cs="FrankRuehl"/>
            <w:color w:val="0000FF"/>
            <w:rtl/>
          </w:rPr>
          <w:t>144(א)</w:t>
        </w:r>
      </w:hyperlink>
      <w:r w:rsidRPr="00E44062">
        <w:rPr>
          <w:rFonts w:ascii="FrankRuehl" w:hAnsi="FrankRuehl" w:cs="FrankRuehl"/>
          <w:rtl/>
        </w:rPr>
        <w:t xml:space="preserve">, </w:t>
      </w:r>
      <w:hyperlink r:id="rId11" w:history="1">
        <w:r w:rsidRPr="00E44062">
          <w:rPr>
            <w:rFonts w:ascii="FrankRuehl" w:hAnsi="FrankRuehl" w:cs="FrankRuehl"/>
            <w:color w:val="0000FF"/>
            <w:rtl/>
          </w:rPr>
          <w:t>144(ב)</w:t>
        </w:r>
      </w:hyperlink>
      <w:r w:rsidRPr="00E44062">
        <w:rPr>
          <w:rFonts w:ascii="FrankRuehl" w:hAnsi="FrankRuehl" w:cs="FrankRuehl"/>
          <w:rtl/>
        </w:rPr>
        <w:t xml:space="preserve">, </w:t>
      </w:r>
      <w:hyperlink r:id="rId12" w:history="1">
        <w:r w:rsidRPr="00E44062">
          <w:rPr>
            <w:rFonts w:ascii="FrankRuehl" w:hAnsi="FrankRuehl" w:cs="FrankRuehl"/>
            <w:color w:val="0000FF"/>
            <w:rtl/>
          </w:rPr>
          <w:t>144(ב2)</w:t>
        </w:r>
      </w:hyperlink>
      <w:r w:rsidRPr="00E44062">
        <w:rPr>
          <w:rFonts w:ascii="FrankRuehl" w:hAnsi="FrankRuehl" w:cs="FrankRuehl"/>
          <w:rtl/>
        </w:rPr>
        <w:t xml:space="preserve">, </w:t>
      </w:r>
      <w:hyperlink r:id="rId13" w:history="1">
        <w:r w:rsidRPr="00E44062">
          <w:rPr>
            <w:rFonts w:ascii="FrankRuehl" w:hAnsi="FrankRuehl" w:cs="FrankRuehl"/>
            <w:color w:val="0000FF"/>
            <w:rtl/>
          </w:rPr>
          <w:t>499(א)(1)</w:t>
        </w:r>
      </w:hyperlink>
    </w:p>
    <w:p w14:paraId="3C6CC0A4" w14:textId="77777777" w:rsidR="00E44062" w:rsidRPr="00E44062" w:rsidRDefault="00E44062" w:rsidP="00E44062">
      <w:pPr>
        <w:spacing w:before="120" w:after="120" w:line="240" w:lineRule="exact"/>
        <w:ind w:left="283" w:hanging="283"/>
        <w:jc w:val="both"/>
        <w:rPr>
          <w:rFonts w:ascii="FrankRuehl" w:hAnsi="FrankRuehl" w:cs="FrankRuehl"/>
          <w:rtl/>
        </w:rPr>
      </w:pPr>
      <w:hyperlink r:id="rId14" w:history="1">
        <w:r w:rsidRPr="00E44062">
          <w:rPr>
            <w:rFonts w:ascii="FrankRuehl" w:hAnsi="FrankRuehl" w:cs="FrankRuehl"/>
            <w:color w:val="0000FF"/>
            <w:rtl/>
          </w:rPr>
          <w:t>פקודת הסמים המסוכנים [נוסח חדש], תשל"ג-1973</w:t>
        </w:r>
      </w:hyperlink>
      <w:r w:rsidRPr="00E44062">
        <w:rPr>
          <w:rFonts w:ascii="FrankRuehl" w:hAnsi="FrankRuehl" w:cs="FrankRuehl"/>
          <w:rtl/>
        </w:rPr>
        <w:t xml:space="preserve">: סע'  </w:t>
      </w:r>
      <w:hyperlink r:id="rId15" w:history="1">
        <w:r w:rsidRPr="00E44062">
          <w:rPr>
            <w:rFonts w:ascii="FrankRuehl" w:hAnsi="FrankRuehl" w:cs="FrankRuehl"/>
            <w:color w:val="0000FF"/>
            <w:rtl/>
          </w:rPr>
          <w:t>7(א)</w:t>
        </w:r>
      </w:hyperlink>
      <w:r w:rsidRPr="00E44062">
        <w:rPr>
          <w:rFonts w:ascii="FrankRuehl" w:hAnsi="FrankRuehl" w:cs="FrankRuehl"/>
          <w:rtl/>
        </w:rPr>
        <w:t xml:space="preserve">, </w:t>
      </w:r>
      <w:hyperlink r:id="rId16" w:history="1">
        <w:r w:rsidRPr="00E44062">
          <w:rPr>
            <w:rFonts w:ascii="FrankRuehl" w:hAnsi="FrankRuehl" w:cs="FrankRuehl"/>
            <w:color w:val="0000FF"/>
            <w:rtl/>
          </w:rPr>
          <w:t>7(ג)</w:t>
        </w:r>
      </w:hyperlink>
    </w:p>
    <w:p w14:paraId="33273835" w14:textId="77777777" w:rsidR="00E44062" w:rsidRPr="00E44062" w:rsidRDefault="00E44062" w:rsidP="00E44062">
      <w:pPr>
        <w:spacing w:before="120" w:after="120" w:line="240" w:lineRule="exact"/>
        <w:ind w:left="283" w:hanging="283"/>
        <w:jc w:val="both"/>
        <w:rPr>
          <w:rFonts w:ascii="FrankRuehl" w:hAnsi="FrankRuehl" w:cs="FrankRuehl"/>
          <w:rtl/>
        </w:rPr>
      </w:pPr>
      <w:hyperlink r:id="rId17" w:history="1">
        <w:r w:rsidRPr="00E44062">
          <w:rPr>
            <w:rFonts w:ascii="FrankRuehl" w:hAnsi="FrankRuehl" w:cs="FrankRuehl"/>
            <w:color w:val="0000FF"/>
            <w:rtl/>
          </w:rPr>
          <w:t>פקודת ביטוח רכב מנועי [נוסח חדש], תש"ל-1970</w:t>
        </w:r>
      </w:hyperlink>
      <w:r w:rsidRPr="00E44062">
        <w:rPr>
          <w:rFonts w:ascii="FrankRuehl" w:hAnsi="FrankRuehl" w:cs="FrankRuehl"/>
          <w:rtl/>
        </w:rPr>
        <w:t xml:space="preserve">: סע'  </w:t>
      </w:r>
      <w:hyperlink r:id="rId18" w:history="1">
        <w:r w:rsidRPr="00E44062">
          <w:rPr>
            <w:rFonts w:ascii="FrankRuehl" w:hAnsi="FrankRuehl" w:cs="FrankRuehl"/>
            <w:color w:val="0000FF"/>
            <w:rtl/>
          </w:rPr>
          <w:t>2(א)</w:t>
        </w:r>
      </w:hyperlink>
    </w:p>
    <w:p w14:paraId="02A420ED" w14:textId="77777777" w:rsidR="00E44062" w:rsidRPr="00E44062" w:rsidRDefault="00E44062" w:rsidP="00E44062">
      <w:pPr>
        <w:spacing w:before="120" w:after="120" w:line="240" w:lineRule="exact"/>
        <w:ind w:left="283" w:hanging="283"/>
        <w:jc w:val="both"/>
        <w:rPr>
          <w:rFonts w:ascii="FrankRuehl" w:hAnsi="FrankRuehl" w:cs="FrankRuehl"/>
          <w:rtl/>
        </w:rPr>
      </w:pPr>
      <w:hyperlink r:id="rId19" w:history="1">
        <w:r w:rsidRPr="00E44062">
          <w:rPr>
            <w:rFonts w:ascii="FrankRuehl" w:hAnsi="FrankRuehl" w:cs="FrankRuehl"/>
            <w:color w:val="0000FF"/>
            <w:rtl/>
          </w:rPr>
          <w:t>פקודת התעבורה [נוסח חדש]</w:t>
        </w:r>
      </w:hyperlink>
      <w:r w:rsidRPr="00E44062">
        <w:rPr>
          <w:rFonts w:ascii="FrankRuehl" w:hAnsi="FrankRuehl" w:cs="FrankRuehl"/>
          <w:rtl/>
        </w:rPr>
        <w:t xml:space="preserve">: סע'  </w:t>
      </w:r>
      <w:hyperlink r:id="rId20" w:history="1">
        <w:r w:rsidRPr="00E44062">
          <w:rPr>
            <w:rFonts w:ascii="FrankRuehl" w:hAnsi="FrankRuehl" w:cs="FrankRuehl"/>
            <w:color w:val="0000FF"/>
            <w:rtl/>
          </w:rPr>
          <w:t>10(א)</w:t>
        </w:r>
      </w:hyperlink>
      <w:r w:rsidRPr="00E44062">
        <w:rPr>
          <w:rFonts w:ascii="FrankRuehl" w:hAnsi="FrankRuehl" w:cs="FrankRuehl"/>
          <w:rtl/>
        </w:rPr>
        <w:t xml:space="preserve">, </w:t>
      </w:r>
      <w:hyperlink r:id="rId21" w:history="1">
        <w:r w:rsidRPr="00E44062">
          <w:rPr>
            <w:rFonts w:ascii="FrankRuehl" w:hAnsi="FrankRuehl" w:cs="FrankRuehl"/>
            <w:color w:val="0000FF"/>
            <w:rtl/>
          </w:rPr>
          <w:t>37</w:t>
        </w:r>
      </w:hyperlink>
      <w:r w:rsidRPr="00E44062">
        <w:rPr>
          <w:rFonts w:ascii="FrankRuehl" w:hAnsi="FrankRuehl" w:cs="FrankRuehl"/>
          <w:rtl/>
        </w:rPr>
        <w:t xml:space="preserve">, </w:t>
      </w:r>
      <w:hyperlink r:id="rId22" w:history="1">
        <w:r w:rsidRPr="00E44062">
          <w:rPr>
            <w:rFonts w:ascii="FrankRuehl" w:hAnsi="FrankRuehl" w:cs="FrankRuehl"/>
            <w:color w:val="0000FF"/>
            <w:rtl/>
          </w:rPr>
          <w:t>38(1)</w:t>
        </w:r>
      </w:hyperlink>
      <w:r w:rsidRPr="00E44062">
        <w:rPr>
          <w:rFonts w:ascii="FrankRuehl" w:hAnsi="FrankRuehl" w:cs="FrankRuehl"/>
          <w:rtl/>
        </w:rPr>
        <w:t xml:space="preserve">, </w:t>
      </w:r>
      <w:hyperlink r:id="rId23" w:history="1">
        <w:r w:rsidRPr="00E44062">
          <w:rPr>
            <w:rFonts w:ascii="FrankRuehl" w:hAnsi="FrankRuehl" w:cs="FrankRuehl"/>
            <w:color w:val="0000FF"/>
            <w:rtl/>
          </w:rPr>
          <w:t>62(2)</w:t>
        </w:r>
      </w:hyperlink>
    </w:p>
    <w:p w14:paraId="6D8FC523" w14:textId="77777777" w:rsidR="00E44062" w:rsidRPr="00E44062" w:rsidRDefault="00E44062" w:rsidP="00E44062">
      <w:pPr>
        <w:rPr>
          <w:rtl/>
        </w:rPr>
      </w:pPr>
      <w:bookmarkStart w:id="4" w:name="LawTable_End"/>
      <w:bookmarkEnd w:id="4"/>
    </w:p>
    <w:p w14:paraId="3F8AD3E4" w14:textId="77777777" w:rsidR="00D37B5B" w:rsidRPr="00505923" w:rsidRDefault="00D37B5B" w:rsidP="0050592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7B5B" w14:paraId="4487E443" w14:textId="77777777" w:rsidTr="00D37B5B">
        <w:trPr>
          <w:trHeight w:val="355"/>
          <w:jc w:val="center"/>
        </w:trPr>
        <w:tc>
          <w:tcPr>
            <w:tcW w:w="8820" w:type="dxa"/>
            <w:tcBorders>
              <w:top w:val="nil"/>
              <w:left w:val="nil"/>
              <w:bottom w:val="nil"/>
              <w:right w:val="nil"/>
            </w:tcBorders>
            <w:shd w:val="clear" w:color="auto" w:fill="auto"/>
          </w:tcPr>
          <w:p w14:paraId="4BEFAC44" w14:textId="77777777" w:rsidR="00C550C7" w:rsidRPr="00C550C7" w:rsidRDefault="00C550C7" w:rsidP="00C550C7">
            <w:pPr>
              <w:jc w:val="center"/>
              <w:rPr>
                <w:rFonts w:ascii="Arial" w:hAnsi="Arial" w:cs="FrankRuehl"/>
                <w:b/>
                <w:bCs/>
                <w:sz w:val="32"/>
                <w:szCs w:val="32"/>
                <w:u w:val="single"/>
                <w:rtl/>
              </w:rPr>
            </w:pPr>
            <w:bookmarkStart w:id="5" w:name="PsakDin" w:colFirst="0" w:colLast="0"/>
            <w:bookmarkEnd w:id="0"/>
            <w:r w:rsidRPr="00C550C7">
              <w:rPr>
                <w:rFonts w:ascii="Arial" w:hAnsi="Arial" w:cs="FrankRuehl"/>
                <w:b/>
                <w:bCs/>
                <w:sz w:val="32"/>
                <w:szCs w:val="32"/>
                <w:u w:val="single"/>
                <w:rtl/>
              </w:rPr>
              <w:t>גזר דין</w:t>
            </w:r>
          </w:p>
          <w:p w14:paraId="44B08FC2" w14:textId="77777777" w:rsidR="00D37B5B" w:rsidRPr="00C550C7" w:rsidRDefault="00D37B5B" w:rsidP="00C550C7">
            <w:pPr>
              <w:jc w:val="center"/>
              <w:rPr>
                <w:rFonts w:ascii="Arial" w:hAnsi="Arial" w:cs="FrankRuehl"/>
                <w:bCs/>
                <w:sz w:val="32"/>
                <w:szCs w:val="32"/>
                <w:u w:val="single"/>
                <w:rtl/>
              </w:rPr>
            </w:pPr>
          </w:p>
        </w:tc>
      </w:tr>
      <w:bookmarkEnd w:id="5"/>
    </w:tbl>
    <w:p w14:paraId="2C4CAF90" w14:textId="77777777" w:rsidR="00D37B5B" w:rsidRPr="00B05847" w:rsidRDefault="00D37B5B" w:rsidP="00D37B5B">
      <w:pPr>
        <w:rPr>
          <w:rtl/>
        </w:rPr>
      </w:pPr>
    </w:p>
    <w:p w14:paraId="14F7FD42" w14:textId="77777777" w:rsidR="00D37B5B" w:rsidRDefault="00D37B5B" w:rsidP="00D37B5B">
      <w:pPr>
        <w:spacing w:line="360" w:lineRule="auto"/>
        <w:jc w:val="center"/>
        <w:rPr>
          <w:rFonts w:ascii="David" w:hAnsi="David"/>
          <w:b/>
          <w:bCs/>
          <w:u w:val="single"/>
          <w:rtl/>
        </w:rPr>
      </w:pPr>
      <w:r>
        <w:rPr>
          <w:rFonts w:ascii="David" w:hAnsi="David"/>
          <w:b/>
          <w:bCs/>
          <w:u w:val="single"/>
          <w:rtl/>
        </w:rPr>
        <w:t>בעניינם של נאשמים 1 ו-2</w:t>
      </w:r>
    </w:p>
    <w:p w14:paraId="08BB8D92" w14:textId="77777777" w:rsidR="00D37B5B" w:rsidRDefault="00D37B5B" w:rsidP="00D37B5B">
      <w:pPr>
        <w:spacing w:line="360" w:lineRule="auto"/>
        <w:jc w:val="both"/>
        <w:rPr>
          <w:rFonts w:ascii="David" w:hAnsi="David"/>
          <w:rtl/>
        </w:rPr>
      </w:pPr>
    </w:p>
    <w:p w14:paraId="1E32BD2F" w14:textId="77777777" w:rsidR="00D37B5B" w:rsidRDefault="00D37B5B" w:rsidP="00D37B5B">
      <w:pPr>
        <w:spacing w:line="360" w:lineRule="auto"/>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 xml:space="preserve">הנאשמים 1 ו- 2 הודו בכתב אישום מתוקן במסגרת הסדר טיעון, בביצוע עבירות בנשק, והורשעו בהן. נאשם 1 הורשע </w:t>
      </w:r>
      <w:r>
        <w:rPr>
          <w:rFonts w:ascii="David" w:hAnsi="David"/>
          <w:b/>
          <w:bCs/>
          <w:rtl/>
        </w:rPr>
        <w:t>בביצוע עסקה אחרת בנשק</w:t>
      </w:r>
      <w:r>
        <w:rPr>
          <w:rFonts w:ascii="David" w:hAnsi="David"/>
          <w:rtl/>
        </w:rPr>
        <w:t xml:space="preserve"> בצוותא, לפי </w:t>
      </w:r>
      <w:hyperlink r:id="rId24" w:history="1">
        <w:r w:rsidR="008E76C8" w:rsidRPr="008E76C8">
          <w:rPr>
            <w:rStyle w:val="Hyperlink"/>
            <w:rFonts w:ascii="David" w:hAnsi="David"/>
            <w:rtl/>
          </w:rPr>
          <w:t>סעיף 144(ב2)</w:t>
        </w:r>
      </w:hyperlink>
      <w:r>
        <w:rPr>
          <w:rFonts w:ascii="David" w:hAnsi="David"/>
          <w:rtl/>
        </w:rPr>
        <w:t xml:space="preserve"> </w:t>
      </w:r>
      <w:hyperlink r:id="rId25" w:history="1">
        <w:r w:rsidR="008E76C8" w:rsidRPr="008E76C8">
          <w:rPr>
            <w:rStyle w:val="Hyperlink"/>
            <w:rFonts w:ascii="David" w:hAnsi="David"/>
            <w:rtl/>
          </w:rPr>
          <w:t>וסעיף 29</w:t>
        </w:r>
      </w:hyperlink>
      <w:r>
        <w:rPr>
          <w:rFonts w:ascii="David" w:hAnsi="David"/>
          <w:rtl/>
        </w:rPr>
        <w:t xml:space="preserve"> ל</w:t>
      </w:r>
      <w:hyperlink r:id="rId26" w:history="1">
        <w:r w:rsidR="00C550C7" w:rsidRPr="00C550C7">
          <w:rPr>
            <w:rFonts w:ascii="David" w:hAnsi="David"/>
            <w:color w:val="0000FF"/>
            <w:u w:val="single"/>
            <w:rtl/>
          </w:rPr>
          <w:t>חוק העונשין</w:t>
        </w:r>
      </w:hyperlink>
      <w:r>
        <w:rPr>
          <w:rFonts w:ascii="David" w:hAnsi="David"/>
          <w:rtl/>
        </w:rPr>
        <w:t xml:space="preserve"> התשל"ז-1977 </w:t>
      </w:r>
      <w:r>
        <w:rPr>
          <w:rFonts w:ascii="David" w:hAnsi="David"/>
          <w:b/>
          <w:bCs/>
          <w:rtl/>
        </w:rPr>
        <w:t>ובהחזקת נשק</w:t>
      </w:r>
      <w:r>
        <w:rPr>
          <w:rFonts w:ascii="David" w:hAnsi="David"/>
          <w:rtl/>
        </w:rPr>
        <w:t xml:space="preserve"> לפי </w:t>
      </w:r>
      <w:hyperlink r:id="rId27" w:history="1">
        <w:r w:rsidR="008E76C8" w:rsidRPr="008E76C8">
          <w:rPr>
            <w:rStyle w:val="Hyperlink"/>
            <w:rFonts w:ascii="David" w:hAnsi="David"/>
            <w:rtl/>
          </w:rPr>
          <w:t>סעיף 144(א)</w:t>
        </w:r>
      </w:hyperlink>
      <w:r>
        <w:rPr>
          <w:rFonts w:ascii="David" w:hAnsi="David"/>
          <w:rtl/>
        </w:rPr>
        <w:t xml:space="preserve"> רישה לחוק. נאשם 2 הורשע </w:t>
      </w:r>
      <w:r>
        <w:rPr>
          <w:rFonts w:ascii="David" w:hAnsi="David"/>
          <w:b/>
          <w:bCs/>
          <w:rtl/>
        </w:rPr>
        <w:t xml:space="preserve">בביצוע עסקה </w:t>
      </w:r>
      <w:r>
        <w:rPr>
          <w:rFonts w:ascii="David" w:hAnsi="David"/>
          <w:b/>
          <w:bCs/>
          <w:rtl/>
        </w:rPr>
        <w:lastRenderedPageBreak/>
        <w:t>אחרת בנשק</w:t>
      </w:r>
      <w:r>
        <w:rPr>
          <w:rFonts w:ascii="David" w:hAnsi="David"/>
          <w:rtl/>
        </w:rPr>
        <w:t xml:space="preserve"> בצוותא, לפי </w:t>
      </w:r>
      <w:hyperlink r:id="rId28" w:history="1">
        <w:r w:rsidR="008E76C8" w:rsidRPr="008E76C8">
          <w:rPr>
            <w:rStyle w:val="Hyperlink"/>
            <w:rFonts w:ascii="David" w:hAnsi="David"/>
            <w:rtl/>
          </w:rPr>
          <w:t>סעיף 144(ב2)</w:t>
        </w:r>
      </w:hyperlink>
      <w:r>
        <w:rPr>
          <w:rFonts w:ascii="David" w:hAnsi="David"/>
          <w:rtl/>
        </w:rPr>
        <w:t xml:space="preserve"> </w:t>
      </w:r>
      <w:hyperlink r:id="rId29" w:history="1">
        <w:r w:rsidR="008E76C8" w:rsidRPr="008E76C8">
          <w:rPr>
            <w:rStyle w:val="Hyperlink"/>
            <w:rFonts w:ascii="David" w:hAnsi="David"/>
            <w:rtl/>
          </w:rPr>
          <w:t>וסעיף 29</w:t>
        </w:r>
      </w:hyperlink>
      <w:r>
        <w:rPr>
          <w:rFonts w:ascii="David" w:hAnsi="David"/>
          <w:rtl/>
        </w:rPr>
        <w:t xml:space="preserve"> ל</w:t>
      </w:r>
      <w:hyperlink r:id="rId30" w:history="1">
        <w:r w:rsidR="00C550C7" w:rsidRPr="00C550C7">
          <w:rPr>
            <w:rFonts w:ascii="David" w:hAnsi="David"/>
            <w:color w:val="0000FF"/>
            <w:u w:val="single"/>
            <w:rtl/>
          </w:rPr>
          <w:t>חוק העונשין</w:t>
        </w:r>
      </w:hyperlink>
      <w:r>
        <w:rPr>
          <w:rFonts w:ascii="David" w:hAnsi="David"/>
          <w:rtl/>
        </w:rPr>
        <w:t>, ו</w:t>
      </w:r>
      <w:r>
        <w:rPr>
          <w:rFonts w:ascii="David" w:hAnsi="David"/>
          <w:b/>
          <w:bCs/>
          <w:rtl/>
        </w:rPr>
        <w:t>בהחזקה, נשיאה והובלת נשק</w:t>
      </w:r>
      <w:r>
        <w:rPr>
          <w:rFonts w:ascii="David" w:hAnsi="David"/>
          <w:rtl/>
        </w:rPr>
        <w:t xml:space="preserve"> בצוותא, לפי </w:t>
      </w:r>
      <w:hyperlink r:id="rId31" w:history="1">
        <w:r w:rsidR="008E76C8" w:rsidRPr="008E76C8">
          <w:rPr>
            <w:rStyle w:val="Hyperlink"/>
            <w:rFonts w:ascii="David" w:hAnsi="David"/>
            <w:rtl/>
          </w:rPr>
          <w:t>סעיפים 144(א)</w:t>
        </w:r>
      </w:hyperlink>
      <w:r>
        <w:rPr>
          <w:rFonts w:ascii="David" w:hAnsi="David"/>
          <w:rtl/>
        </w:rPr>
        <w:t xml:space="preserve"> רישה, </w:t>
      </w:r>
      <w:hyperlink r:id="rId32" w:history="1">
        <w:r w:rsidR="008E76C8" w:rsidRPr="008E76C8">
          <w:rPr>
            <w:rStyle w:val="Hyperlink"/>
            <w:rFonts w:ascii="David" w:hAnsi="David"/>
            <w:rtl/>
          </w:rPr>
          <w:t>144(ב)</w:t>
        </w:r>
      </w:hyperlink>
      <w:r>
        <w:rPr>
          <w:rFonts w:ascii="David" w:hAnsi="David"/>
          <w:rtl/>
        </w:rPr>
        <w:t xml:space="preserve"> רישה </w:t>
      </w:r>
      <w:hyperlink r:id="rId33" w:history="1">
        <w:r w:rsidR="008E76C8" w:rsidRPr="008E76C8">
          <w:rPr>
            <w:rStyle w:val="Hyperlink"/>
            <w:rFonts w:ascii="David" w:hAnsi="David"/>
            <w:rtl/>
          </w:rPr>
          <w:t>וסעיף 29</w:t>
        </w:r>
      </w:hyperlink>
      <w:r>
        <w:rPr>
          <w:rFonts w:ascii="David" w:hAnsi="David"/>
          <w:rtl/>
        </w:rPr>
        <w:t xml:space="preserve"> לחוק.</w:t>
      </w:r>
    </w:p>
    <w:p w14:paraId="1B906ED2" w14:textId="77777777" w:rsidR="00D37B5B" w:rsidRDefault="00D37B5B" w:rsidP="00D37B5B">
      <w:pPr>
        <w:spacing w:line="360" w:lineRule="auto"/>
        <w:jc w:val="both"/>
        <w:rPr>
          <w:rFonts w:ascii="David" w:hAnsi="David"/>
          <w:rtl/>
        </w:rPr>
      </w:pPr>
      <w:bookmarkStart w:id="7" w:name="ABSTRACT_END"/>
      <w:bookmarkEnd w:id="7"/>
    </w:p>
    <w:p w14:paraId="0EF8315A" w14:textId="77777777" w:rsidR="00D37B5B" w:rsidRDefault="00D37B5B" w:rsidP="00D37B5B">
      <w:pPr>
        <w:spacing w:line="360" w:lineRule="auto"/>
        <w:ind w:firstLine="720"/>
        <w:jc w:val="both"/>
        <w:rPr>
          <w:rFonts w:ascii="David" w:hAnsi="David"/>
          <w:rtl/>
        </w:rPr>
      </w:pPr>
      <w:r>
        <w:rPr>
          <w:rFonts w:ascii="David" w:hAnsi="David"/>
          <w:rtl/>
        </w:rPr>
        <w:t xml:space="preserve">נאשם 1 צירף לתיק העיקרי תיק מבית משפט השלום בחדרה, שמספרו 7029-06-18, והודה לפניי בעובדות כתב אישום מתוקן, שעניינו החזקת סמים מסוכנים שלא לצריכה עצמית ועבירות תעבורה. </w:t>
      </w:r>
    </w:p>
    <w:p w14:paraId="628A12F9" w14:textId="77777777" w:rsidR="00D37B5B" w:rsidRDefault="00D37B5B" w:rsidP="00D37B5B">
      <w:pPr>
        <w:spacing w:line="360" w:lineRule="auto"/>
        <w:jc w:val="both"/>
        <w:rPr>
          <w:rFonts w:ascii="David" w:hAnsi="David"/>
          <w:rtl/>
        </w:rPr>
      </w:pPr>
    </w:p>
    <w:p w14:paraId="6606CD05" w14:textId="77777777" w:rsidR="00D37B5B" w:rsidRDefault="00D37B5B" w:rsidP="00D37B5B">
      <w:pPr>
        <w:spacing w:line="360" w:lineRule="auto"/>
        <w:ind w:firstLine="720"/>
        <w:jc w:val="both"/>
        <w:rPr>
          <w:rFonts w:ascii="David" w:hAnsi="David"/>
          <w:rtl/>
        </w:rPr>
      </w:pPr>
      <w:r>
        <w:rPr>
          <w:rFonts w:ascii="David" w:hAnsi="David"/>
          <w:rtl/>
        </w:rPr>
        <w:t xml:space="preserve">נאשם 2 צירף לתיק העיקרי תיק מבית משפט השלום בנתניה, שמספרו 57757-03-19, והודה לפניי בעובדות כתב האישום שם, שעניינו ניסיון להחדרת סם מסוכן מסוג חשיש לכלא, אותו ביצע בהיותו אסיר בחופשה. </w:t>
      </w:r>
    </w:p>
    <w:p w14:paraId="2DF42E9B" w14:textId="77777777" w:rsidR="00D37B5B" w:rsidRDefault="00D37B5B" w:rsidP="00D37B5B">
      <w:pPr>
        <w:spacing w:line="360" w:lineRule="auto"/>
        <w:jc w:val="both"/>
        <w:rPr>
          <w:rFonts w:ascii="David" w:hAnsi="David"/>
          <w:rtl/>
        </w:rPr>
      </w:pPr>
    </w:p>
    <w:p w14:paraId="0BACB878" w14:textId="77777777" w:rsidR="00D37B5B" w:rsidRDefault="00D37B5B" w:rsidP="00D37B5B">
      <w:pPr>
        <w:spacing w:line="360" w:lineRule="auto"/>
        <w:jc w:val="both"/>
        <w:rPr>
          <w:rFonts w:ascii="David" w:hAnsi="David"/>
          <w:rtl/>
        </w:rPr>
      </w:pPr>
      <w:r>
        <w:rPr>
          <w:rFonts w:ascii="David" w:hAnsi="David"/>
          <w:rtl/>
        </w:rPr>
        <w:t>2.</w:t>
      </w:r>
      <w:r>
        <w:rPr>
          <w:rFonts w:ascii="David" w:hAnsi="David"/>
          <w:rtl/>
        </w:rPr>
        <w:tab/>
        <w:t xml:space="preserve">כעולה מכתב האישום המתוקן בתיק העיקרי, במהלך חודש אפריל סיכמו נאשמים 1 ו-2 לבצע עסקה בנשק, במסגרתה יקבל לידיו נאשם 1 שלושה מטעני חבלה, יעבירם לנאשם 2 תמורת 1,700 ₪, ונאשם 2 יעביר את המטענים לאדם אחר. ביום 24.4.2020, הסיע נאשם 3 (שעניינו הופרד ועונשו נגזר קודם לכן) את נאשם 2 לביתו של נאשם 1. נאשם 1 מסר את שלושת המטענים בקופסת קרטון לנאשם 2, והנאשמים 2 ו-3 נסעו ברכב כשהם נושאים בצוותא את המטענים. במהלך הנסיעה, האט נאשם 3 את הרכב בהגיעם למחסום משטרתי, ומשהבחינו בשוטרים, השליך נאשם 2 את הקופסה עם המטענים מחלון הרכב. המטענים נתפסו על ידי השוטרים. </w:t>
      </w:r>
    </w:p>
    <w:p w14:paraId="7C2D83FE" w14:textId="77777777" w:rsidR="00D37B5B" w:rsidRDefault="00D37B5B" w:rsidP="00D37B5B">
      <w:pPr>
        <w:spacing w:line="360" w:lineRule="auto"/>
        <w:ind w:firstLine="720"/>
        <w:jc w:val="both"/>
        <w:rPr>
          <w:rFonts w:ascii="David" w:hAnsi="David"/>
          <w:rtl/>
        </w:rPr>
      </w:pPr>
    </w:p>
    <w:p w14:paraId="792DB483" w14:textId="77777777" w:rsidR="00D37B5B" w:rsidRDefault="00D37B5B" w:rsidP="00D37B5B">
      <w:pPr>
        <w:spacing w:line="360" w:lineRule="auto"/>
        <w:jc w:val="both"/>
        <w:rPr>
          <w:rFonts w:ascii="David" w:hAnsi="David"/>
          <w:rtl/>
        </w:rPr>
      </w:pPr>
      <w:r>
        <w:rPr>
          <w:rFonts w:ascii="David" w:hAnsi="David"/>
          <w:rtl/>
        </w:rPr>
        <w:t xml:space="preserve"> </w:t>
      </w:r>
      <w:r>
        <w:rPr>
          <w:rFonts w:ascii="David" w:hAnsi="David"/>
          <w:rtl/>
        </w:rPr>
        <w:tab/>
        <w:t xml:space="preserve">בנסיבות אלו נאשמים 1 ו-2 תכננו ולקחו חלק בעסקת נשק שכללה העברת מספר מטעני חבלה המכילים תערובת נפץ מאולתרת, שבכוחם להמית אדם בהתפוצצותם (ראו ת/37), לידי צד שלישי. רק בהתערבות המשטרה נמנעה העברתם לאותו גורם.   </w:t>
      </w:r>
    </w:p>
    <w:p w14:paraId="6972EE90" w14:textId="77777777" w:rsidR="00D37B5B" w:rsidRDefault="00D37B5B" w:rsidP="00D37B5B">
      <w:pPr>
        <w:spacing w:line="360" w:lineRule="auto"/>
        <w:jc w:val="both"/>
        <w:rPr>
          <w:rFonts w:ascii="David" w:hAnsi="David"/>
        </w:rPr>
      </w:pPr>
    </w:p>
    <w:p w14:paraId="7936F695" w14:textId="77777777" w:rsidR="00D37B5B" w:rsidRDefault="00D37B5B" w:rsidP="00D37B5B">
      <w:pPr>
        <w:spacing w:line="360" w:lineRule="auto"/>
        <w:jc w:val="both"/>
        <w:rPr>
          <w:rFonts w:ascii="David" w:hAnsi="David"/>
          <w:rtl/>
        </w:rPr>
      </w:pPr>
      <w:r>
        <w:rPr>
          <w:rFonts w:ascii="David" w:hAnsi="David"/>
          <w:rtl/>
        </w:rPr>
        <w:t>3.</w:t>
      </w:r>
      <w:r>
        <w:rPr>
          <w:rFonts w:ascii="David" w:hAnsi="David"/>
          <w:rtl/>
        </w:rPr>
        <w:tab/>
        <w:t>להשלמת התמונה יובהר כי נאשם 3 הודה בכתב אישום מתוקן בעניינו, קודם להודאת הנאשמים 1 ו-2 בתיק זה. בגזר דין מיום 22.12.2020, גזר בית משפט זה על הנאשם 3, שבעה (7) חודשי מאסר בפועל, לצד עונשים נלווים. המאשימה ערערה על גזר הדין ובית המשפט העליון קיבל את הערעור והעמיד את עונש המאסר בפועל של נאשם 3, על 14 חודשים (</w:t>
      </w:r>
      <w:hyperlink r:id="rId34" w:history="1">
        <w:r w:rsidR="00C550C7" w:rsidRPr="00C550C7">
          <w:rPr>
            <w:rFonts w:ascii="David" w:hAnsi="David"/>
            <w:color w:val="0000FF"/>
            <w:u w:val="single"/>
            <w:rtl/>
          </w:rPr>
          <w:t>ע"פ 8017/20</w:t>
        </w:r>
      </w:hyperlink>
      <w:r>
        <w:rPr>
          <w:rFonts w:ascii="David" w:hAnsi="David"/>
          <w:rtl/>
        </w:rPr>
        <w:t xml:space="preserve"> </w:t>
      </w:r>
      <w:r>
        <w:rPr>
          <w:rFonts w:ascii="David" w:hAnsi="David"/>
          <w:b/>
          <w:bCs/>
          <w:rtl/>
        </w:rPr>
        <w:t>מדינת ישראל נ' גריפאת</w:t>
      </w:r>
      <w:r>
        <w:rPr>
          <w:rFonts w:ascii="David" w:hAnsi="David"/>
          <w:rtl/>
        </w:rPr>
        <w:t xml:space="preserve"> (22.12.2020)).</w:t>
      </w:r>
    </w:p>
    <w:p w14:paraId="4C9E9E06" w14:textId="77777777" w:rsidR="00D37B5B" w:rsidRDefault="00D37B5B" w:rsidP="00D37B5B">
      <w:pPr>
        <w:spacing w:line="360" w:lineRule="auto"/>
        <w:jc w:val="both"/>
        <w:rPr>
          <w:rFonts w:ascii="David" w:hAnsi="David"/>
          <w:rtl/>
        </w:rPr>
      </w:pPr>
    </w:p>
    <w:p w14:paraId="7C213B98" w14:textId="77777777" w:rsidR="00D37B5B" w:rsidRDefault="00D37B5B" w:rsidP="00D37B5B">
      <w:pPr>
        <w:spacing w:line="360" w:lineRule="auto"/>
        <w:jc w:val="both"/>
        <w:rPr>
          <w:rFonts w:ascii="David" w:hAnsi="David"/>
        </w:rPr>
      </w:pPr>
      <w:r>
        <w:rPr>
          <w:rFonts w:ascii="David" w:hAnsi="David"/>
          <w:rtl/>
        </w:rPr>
        <w:t>4.</w:t>
      </w:r>
      <w:r>
        <w:rPr>
          <w:rFonts w:ascii="David" w:hAnsi="David"/>
          <w:rtl/>
        </w:rPr>
        <w:tab/>
        <w:t xml:space="preserve">הצדדים טענו לעונש והציגו את עמדתם לענישה ההולמת. המאשימה עתרה, לגבי שני הנאשמים, למתחם ענישה בתיק העיקרי </w:t>
      </w:r>
      <w:r>
        <w:rPr>
          <w:rFonts w:ascii="David" w:hAnsi="David"/>
          <w:b/>
          <w:bCs/>
          <w:rtl/>
        </w:rPr>
        <w:t>שנע בין 5 ועד ל-11 שנות מאסר בפועל</w:t>
      </w:r>
      <w:r>
        <w:rPr>
          <w:rFonts w:ascii="David" w:hAnsi="David"/>
          <w:rtl/>
        </w:rPr>
        <w:t xml:space="preserve">, בנוסף לעונש של מאסר מותנה, וקנס. המאשימה ביקשה לגזור את עונשם במחצית העליונה של המתחם. כמו כן ביקשה המאשימה להפעיל במצטבר </w:t>
      </w:r>
      <w:r>
        <w:rPr>
          <w:rFonts w:ascii="David" w:hAnsi="David"/>
          <w:b/>
          <w:bCs/>
          <w:rtl/>
        </w:rPr>
        <w:t>עונש מאסר מותנה</w:t>
      </w:r>
      <w:r>
        <w:rPr>
          <w:rFonts w:ascii="David" w:hAnsi="David"/>
          <w:rtl/>
        </w:rPr>
        <w:t xml:space="preserve"> שתלוי ועומד כנגד הנאשם 2 והוא בר הפעלה בתיק העיקרי.  </w:t>
      </w:r>
    </w:p>
    <w:p w14:paraId="21F83A3F" w14:textId="77777777" w:rsidR="00D37B5B" w:rsidRDefault="00D37B5B" w:rsidP="00D37B5B">
      <w:pPr>
        <w:spacing w:line="360" w:lineRule="auto"/>
        <w:ind w:firstLine="720"/>
        <w:jc w:val="both"/>
        <w:rPr>
          <w:rFonts w:ascii="David" w:hAnsi="David"/>
          <w:rtl/>
        </w:rPr>
      </w:pPr>
    </w:p>
    <w:p w14:paraId="4ADF3876" w14:textId="77777777" w:rsidR="00D37B5B" w:rsidRDefault="00D37B5B" w:rsidP="00D37B5B">
      <w:pPr>
        <w:spacing w:line="360" w:lineRule="auto"/>
        <w:ind w:firstLine="720"/>
        <w:jc w:val="both"/>
        <w:rPr>
          <w:rFonts w:ascii="David" w:hAnsi="David"/>
          <w:rtl/>
        </w:rPr>
      </w:pPr>
      <w:r>
        <w:rPr>
          <w:rFonts w:ascii="David" w:hAnsi="David"/>
          <w:rtl/>
        </w:rPr>
        <w:lastRenderedPageBreak/>
        <w:t xml:space="preserve">סנגורו של נאשם 1, עו"ד מחאג'נה, עתר למתחם הנע בין </w:t>
      </w:r>
      <w:r>
        <w:rPr>
          <w:rFonts w:ascii="David" w:hAnsi="David"/>
          <w:b/>
          <w:bCs/>
          <w:rtl/>
        </w:rPr>
        <w:t>12 ועד ל- 24 חודשי מאסר</w:t>
      </w:r>
      <w:r>
        <w:rPr>
          <w:rFonts w:ascii="David" w:hAnsi="David"/>
          <w:rtl/>
        </w:rPr>
        <w:t xml:space="preserve"> וביקש להטיל עונש קרוב לעונש שהוטל על נאשם 3 בערעור, היינו 14 חודשי מאסר בפועל. באשר לנסיבות כאן, ביקש הסנגור להתחשב בעדות מומחה החבלה בבית המשפט ממנה עלה, לגרסתו, שמדובר במטענים שטיבם "ירוד", ולא נשקפת מהם סכנה גדולה. כמו כן הסנגור טען לאכיפה בררנית, נוכח הימנעות התביעה מלהגיש כתב אישום כנגד חשוד נוסף באירוע – אותו צד שלישי, שהמשטרה סברה כי היה אמור לקבל לידיו את המטענים מידי נאשם 2. </w:t>
      </w:r>
    </w:p>
    <w:p w14:paraId="7085DBD5" w14:textId="77777777" w:rsidR="00D37B5B" w:rsidRDefault="00D37B5B" w:rsidP="00D37B5B">
      <w:pPr>
        <w:spacing w:line="360" w:lineRule="auto"/>
        <w:ind w:firstLine="720"/>
        <w:jc w:val="both"/>
        <w:rPr>
          <w:rFonts w:ascii="David" w:hAnsi="David"/>
          <w:rtl/>
        </w:rPr>
      </w:pPr>
    </w:p>
    <w:p w14:paraId="5A4F79D5" w14:textId="77777777" w:rsidR="00D37B5B" w:rsidRDefault="00D37B5B" w:rsidP="00D37B5B">
      <w:pPr>
        <w:spacing w:line="360" w:lineRule="auto"/>
        <w:ind w:firstLine="720"/>
        <w:jc w:val="both"/>
        <w:rPr>
          <w:rFonts w:ascii="David" w:hAnsi="David"/>
          <w:rtl/>
        </w:rPr>
      </w:pPr>
      <w:r>
        <w:rPr>
          <w:rFonts w:ascii="David" w:hAnsi="David"/>
          <w:rtl/>
        </w:rPr>
        <w:t xml:space="preserve">סנגורו של נאשם 2, עו"ד דביר, ביקש לעשות שימוש במתחם הענישה שנקבע לגבי נאשם 3 בהליך בבית המשפט המחוזי, היינו, מתחם הנע בין </w:t>
      </w:r>
      <w:r>
        <w:rPr>
          <w:rFonts w:ascii="David" w:hAnsi="David"/>
          <w:b/>
          <w:bCs/>
          <w:rtl/>
        </w:rPr>
        <w:t>6 חודשי מאסר ממשי ועד ל-24 חודשי מאסר ממשי</w:t>
      </w:r>
      <w:r>
        <w:rPr>
          <w:rFonts w:ascii="David" w:hAnsi="David"/>
          <w:rtl/>
        </w:rPr>
        <w:t xml:space="preserve">. עוד ביקש כי בית המשפט יתחשב באכיפה בררנית שארעה כאן כשיקול להקלה בעונש, ויגזור עונש הקרוב לעונש שנגזר על הנאשם 3. הסנגור ביקש כי עונש המאסר על תנאי שנגזר בתיק קודם, יופעל בחופף ולא במצטבר. עוד ביקש הסנגור כי לא יוטל על הנאשם רכיב עונשי של קנס, שיפול על כתפי המשפחה. </w:t>
      </w:r>
    </w:p>
    <w:p w14:paraId="3601B92B" w14:textId="77777777" w:rsidR="00D37B5B" w:rsidRDefault="00D37B5B" w:rsidP="00D37B5B">
      <w:pPr>
        <w:spacing w:line="360" w:lineRule="auto"/>
        <w:jc w:val="both"/>
        <w:rPr>
          <w:rFonts w:ascii="David" w:hAnsi="David"/>
          <w:rtl/>
        </w:rPr>
      </w:pPr>
    </w:p>
    <w:p w14:paraId="7B2989D3" w14:textId="77777777" w:rsidR="00D37B5B" w:rsidRDefault="00D37B5B" w:rsidP="00D37B5B">
      <w:pPr>
        <w:spacing w:line="360" w:lineRule="auto"/>
        <w:jc w:val="both"/>
        <w:rPr>
          <w:rFonts w:ascii="David" w:hAnsi="David"/>
          <w:rtl/>
        </w:rPr>
      </w:pPr>
      <w:r>
        <w:rPr>
          <w:rFonts w:ascii="David" w:hAnsi="David"/>
          <w:rtl/>
        </w:rPr>
        <w:t>5.</w:t>
      </w:r>
      <w:r>
        <w:rPr>
          <w:rFonts w:ascii="David" w:hAnsi="David"/>
          <w:rtl/>
        </w:rPr>
        <w:tab/>
        <w:t xml:space="preserve">הנאשם 1 בדברו האחרון לפניי הביע חרטה, וביקש כי יוטל עליו עונש מאסר על תנאי ארוך חלף מאסר ממשי ארוך. הנאשם סיפר כי ניסה לשים קץ לחייו לפני מספר ימים נוכח הפגיעה במשפחתו שנוצרה בעקבות ההליך המשפחתי. </w:t>
      </w:r>
    </w:p>
    <w:p w14:paraId="03995061" w14:textId="77777777" w:rsidR="00D37B5B" w:rsidRDefault="00D37B5B" w:rsidP="00D37B5B">
      <w:pPr>
        <w:spacing w:line="360" w:lineRule="auto"/>
        <w:ind w:firstLine="720"/>
        <w:jc w:val="both"/>
        <w:rPr>
          <w:rFonts w:ascii="David" w:hAnsi="David"/>
          <w:rtl/>
        </w:rPr>
      </w:pPr>
    </w:p>
    <w:p w14:paraId="2BAD3BEF" w14:textId="77777777" w:rsidR="00D37B5B" w:rsidRDefault="00D37B5B" w:rsidP="00D37B5B">
      <w:pPr>
        <w:spacing w:line="360" w:lineRule="auto"/>
        <w:ind w:firstLine="720"/>
        <w:jc w:val="both"/>
        <w:rPr>
          <w:rFonts w:ascii="David" w:hAnsi="David"/>
          <w:rtl/>
        </w:rPr>
      </w:pPr>
      <w:r>
        <w:rPr>
          <w:rFonts w:ascii="David" w:hAnsi="David"/>
          <w:rtl/>
        </w:rPr>
        <w:t xml:space="preserve">הנאשם 2 התנצל וביקש להתחשב בכך שימים ספורים לפני מעצרו הוא התחתן ולדבריו, יש לו מה להפסיד. </w:t>
      </w:r>
    </w:p>
    <w:p w14:paraId="2FE0F71F" w14:textId="77777777" w:rsidR="00D37B5B" w:rsidRDefault="00D37B5B" w:rsidP="00D37B5B">
      <w:pPr>
        <w:spacing w:line="360" w:lineRule="auto"/>
        <w:jc w:val="both"/>
        <w:rPr>
          <w:rFonts w:ascii="David" w:hAnsi="David"/>
          <w:rtl/>
        </w:rPr>
      </w:pPr>
    </w:p>
    <w:p w14:paraId="64753C0C" w14:textId="77777777" w:rsidR="00D37B5B" w:rsidRDefault="00D37B5B" w:rsidP="00D37B5B">
      <w:pPr>
        <w:spacing w:line="360" w:lineRule="auto"/>
        <w:jc w:val="both"/>
        <w:rPr>
          <w:rFonts w:ascii="David" w:hAnsi="David"/>
          <w:u w:val="single"/>
          <w:rtl/>
        </w:rPr>
      </w:pPr>
      <w:r>
        <w:rPr>
          <w:rFonts w:ascii="David" w:hAnsi="David"/>
          <w:u w:val="single"/>
          <w:rtl/>
        </w:rPr>
        <w:t>דיון והכרעה בתיק העיקרי</w:t>
      </w:r>
    </w:p>
    <w:p w14:paraId="008D85C2" w14:textId="77777777" w:rsidR="00D37B5B" w:rsidRDefault="00D37B5B" w:rsidP="00D37B5B">
      <w:pPr>
        <w:spacing w:line="360" w:lineRule="auto"/>
        <w:jc w:val="both"/>
        <w:rPr>
          <w:rFonts w:ascii="David" w:hAnsi="David"/>
          <w:rtl/>
        </w:rPr>
      </w:pPr>
      <w:r>
        <w:rPr>
          <w:rFonts w:ascii="David" w:hAnsi="David"/>
          <w:rtl/>
        </w:rPr>
        <w:t>6.</w:t>
      </w:r>
      <w:r>
        <w:rPr>
          <w:rFonts w:ascii="David" w:hAnsi="David"/>
          <w:rtl/>
        </w:rPr>
        <w:tab/>
        <w:t xml:space="preserve">כבר נאמר רבות בנוגע לעבירות של סחר במטעני חבלה כי "[...] </w:t>
      </w:r>
      <w:r>
        <w:rPr>
          <w:rFonts w:ascii="David" w:hAnsi="David"/>
          <w:b/>
          <w:bCs/>
          <w:rtl/>
        </w:rPr>
        <w:t>כחלק ממלחמת החורמה שמנהלים גורמי אכיפת החוק בכל חוליה וחוליה בשרשרת רכישת המטען – הכנתו – הטמנתו, על בית המשפט לתרום תרומתו בענישה מכאיבה בעבירות כגון דא</w:t>
      </w:r>
      <w:r>
        <w:rPr>
          <w:rFonts w:ascii="David" w:hAnsi="David"/>
          <w:rtl/>
        </w:rPr>
        <w:t>" (</w:t>
      </w:r>
      <w:hyperlink r:id="rId35" w:history="1">
        <w:r w:rsidR="00C550C7" w:rsidRPr="00C550C7">
          <w:rPr>
            <w:rFonts w:ascii="David" w:hAnsi="David"/>
            <w:color w:val="0000FF"/>
            <w:u w:val="single"/>
            <w:rtl/>
          </w:rPr>
          <w:t>ע"פ 5779/14</w:t>
        </w:r>
      </w:hyperlink>
      <w:r>
        <w:rPr>
          <w:rFonts w:ascii="David" w:hAnsi="David"/>
          <w:rtl/>
        </w:rPr>
        <w:t xml:space="preserve"> </w:t>
      </w:r>
      <w:r>
        <w:rPr>
          <w:rFonts w:ascii="David" w:hAnsi="David"/>
          <w:b/>
          <w:bCs/>
          <w:rtl/>
        </w:rPr>
        <w:t>אלגזי נ' מדינת ישראל</w:t>
      </w:r>
      <w:r>
        <w:rPr>
          <w:rFonts w:ascii="David" w:hAnsi="David"/>
          <w:rtl/>
        </w:rPr>
        <w:t xml:space="preserve"> (פורסם בנבו, 5.2.2015)). גם כשעסקינן בעבירות של סחר במטעני חבלה, יש משרעת ענישה הנובעת בין היתר מפוטנציאל הנזק הגלום בכל מטען, לנוכח סוגו ותכולתו; בכמות המטענים הנסחרת; ובחלקו של העבריין בשרשרת הסחר.  </w:t>
      </w:r>
    </w:p>
    <w:p w14:paraId="50511E72" w14:textId="77777777" w:rsidR="00D37B5B" w:rsidRDefault="00D37B5B" w:rsidP="00D37B5B">
      <w:pPr>
        <w:spacing w:line="360" w:lineRule="auto"/>
        <w:jc w:val="both"/>
        <w:rPr>
          <w:rFonts w:ascii="David" w:hAnsi="David"/>
          <w:rtl/>
        </w:rPr>
      </w:pPr>
    </w:p>
    <w:p w14:paraId="5309D361" w14:textId="77777777" w:rsidR="00D37B5B" w:rsidRDefault="00D37B5B" w:rsidP="00D37B5B">
      <w:pPr>
        <w:spacing w:line="360" w:lineRule="auto"/>
        <w:jc w:val="both"/>
        <w:rPr>
          <w:rFonts w:ascii="David" w:hAnsi="David"/>
          <w:rtl/>
        </w:rPr>
      </w:pPr>
      <w:r>
        <w:rPr>
          <w:rFonts w:ascii="David" w:hAnsi="David"/>
          <w:rtl/>
        </w:rPr>
        <w:t>7.</w:t>
      </w:r>
      <w:r>
        <w:rPr>
          <w:rFonts w:ascii="David" w:hAnsi="David"/>
          <w:rtl/>
        </w:rPr>
        <w:tab/>
        <w:t>הערכים החברתיים המוגנים העומדים ביסוד העבירות מושא כתב האישום הם שלום הציבור ובטחונו והסכנה לפגיעה בחיי אדם. בנסיבות ביצוע העבירות כאן מידת הפגיעה בערכים אלה היא בינונית. מדובר בכמות של כמה מטענים, אך לצד זאת, פוטנציאל הנזק הנשקף מכם אינו ברף הגבוה של מטעני חבלה תקניים ואף לא בהשוואה למטענים מאולתרים אחרים. לצד זאת יש לומר כי בהיותם "ייצור ביתי" יכולת החיזוי של פעולתם והיקף נזקם, מוגבלת ומשתנה ממקרה למקרה. כמו כן חלקם של הנאשמים בשרשרת הסחר, שהסתכמה בהיותם חוליה מקשרת ומתווכת בין מייצר המטען, שזהותו לא הובררה כאן, לרוכש, משליכה אף היא על מידת הפגיעה בערכים המוגנים. על חלקם ניתן גם ללמוד מגובה התמורה שהועברה, שאינו רב.</w:t>
      </w:r>
    </w:p>
    <w:p w14:paraId="3AFF1EFC" w14:textId="77777777" w:rsidR="00D37B5B" w:rsidRDefault="00D37B5B" w:rsidP="00D37B5B">
      <w:pPr>
        <w:spacing w:line="360" w:lineRule="auto"/>
        <w:jc w:val="both"/>
        <w:rPr>
          <w:rFonts w:ascii="Miriam" w:hAnsi="Miriam" w:cs="Miriam"/>
          <w:rtl/>
        </w:rPr>
      </w:pPr>
    </w:p>
    <w:p w14:paraId="68546EDA" w14:textId="77777777" w:rsidR="00D37B5B" w:rsidRDefault="00D37B5B" w:rsidP="00D37B5B">
      <w:pPr>
        <w:spacing w:line="360" w:lineRule="auto"/>
        <w:jc w:val="both"/>
        <w:rPr>
          <w:rFonts w:ascii="David" w:hAnsi="David"/>
          <w:rtl/>
        </w:rPr>
      </w:pPr>
      <w:r>
        <w:rPr>
          <w:rFonts w:ascii="David" w:hAnsi="David"/>
          <w:rtl/>
        </w:rPr>
        <w:t>8.</w:t>
      </w:r>
      <w:r>
        <w:rPr>
          <w:rFonts w:ascii="David" w:hAnsi="David"/>
          <w:rtl/>
        </w:rPr>
        <w:tab/>
        <w:t>באשר למדיניות הענישה הנוהגת, ראשית אציין את פסק הדין של בית המשפט העליון בערעור המדינה בעניינו של נאשם 3 בתיק זה. בית המשפט העליון נמנע מלשנות את מתחם הענישה שם, אך ציין כי "</w:t>
      </w:r>
      <w:r>
        <w:rPr>
          <w:rFonts w:ascii="David" w:hAnsi="David"/>
          <w:b/>
          <w:bCs/>
          <w:rtl/>
        </w:rPr>
        <w:t>לטעמנו מתחם ענישה זה, בשים לב לכל האמור לעיל, ובפרט לכך שמדובר בהחזקה, נשיאה והובלה של מטען חבלה אינו הולם את חומרת העבירה</w:t>
      </w:r>
      <w:r>
        <w:rPr>
          <w:rFonts w:ascii="David" w:hAnsi="David"/>
          <w:rtl/>
        </w:rPr>
        <w:t>" (</w:t>
      </w:r>
      <w:hyperlink r:id="rId36" w:history="1">
        <w:r w:rsidR="00C550C7" w:rsidRPr="00C550C7">
          <w:rPr>
            <w:rFonts w:ascii="David" w:hAnsi="David"/>
            <w:color w:val="0000FF"/>
            <w:u w:val="single"/>
            <w:rtl/>
          </w:rPr>
          <w:t>ע"פ 8017/20</w:t>
        </w:r>
      </w:hyperlink>
      <w:r>
        <w:rPr>
          <w:rFonts w:ascii="David" w:hAnsi="David"/>
          <w:rtl/>
        </w:rPr>
        <w:t xml:space="preserve"> </w:t>
      </w:r>
      <w:r>
        <w:rPr>
          <w:rFonts w:ascii="David" w:hAnsi="David"/>
          <w:b/>
          <w:bCs/>
          <w:rtl/>
        </w:rPr>
        <w:t>מדינת ישראל נ' גריפאת,</w:t>
      </w:r>
      <w:r>
        <w:rPr>
          <w:rFonts w:ascii="David" w:hAnsi="David"/>
          <w:rtl/>
        </w:rPr>
        <w:t xml:space="preserve"> פס'</w:t>
      </w:r>
      <w:r>
        <w:rPr>
          <w:rFonts w:ascii="David" w:hAnsi="David"/>
          <w:b/>
          <w:bCs/>
          <w:rtl/>
        </w:rPr>
        <w:t xml:space="preserve"> </w:t>
      </w:r>
      <w:r>
        <w:rPr>
          <w:rFonts w:ascii="David" w:hAnsi="David"/>
          <w:rtl/>
        </w:rPr>
        <w:t xml:space="preserve">9 (22.12.2020)). </w:t>
      </w:r>
    </w:p>
    <w:p w14:paraId="0A2DA213" w14:textId="77777777" w:rsidR="00D37B5B" w:rsidRDefault="00D37B5B" w:rsidP="00D37B5B">
      <w:pPr>
        <w:spacing w:line="360" w:lineRule="auto"/>
        <w:jc w:val="both"/>
        <w:rPr>
          <w:rFonts w:ascii="David" w:hAnsi="David"/>
          <w:rtl/>
        </w:rPr>
      </w:pPr>
    </w:p>
    <w:p w14:paraId="13AF7691" w14:textId="77777777" w:rsidR="00D37B5B" w:rsidRDefault="00D37B5B" w:rsidP="00D37B5B">
      <w:pPr>
        <w:spacing w:line="360" w:lineRule="auto"/>
        <w:ind w:firstLine="720"/>
        <w:jc w:val="both"/>
        <w:rPr>
          <w:rFonts w:ascii="David" w:hAnsi="David"/>
          <w:rtl/>
        </w:rPr>
      </w:pPr>
      <w:r>
        <w:rPr>
          <w:rFonts w:ascii="David" w:hAnsi="David"/>
          <w:rtl/>
        </w:rPr>
        <w:t xml:space="preserve">ברי כי נוכח חלקם של הנאשמים 1 ו-2 שהיה גדול מחלקו של הנאשם 3, ולאור התוויית המדיניות של בית המשפט העליון, יש מקום לקבוע כאן מתחם גבוה מהמתחם שנקבע בעניינו של נאשם 3.  </w:t>
      </w:r>
    </w:p>
    <w:p w14:paraId="4D644CFA" w14:textId="77777777" w:rsidR="00D37B5B" w:rsidRDefault="00D37B5B" w:rsidP="00D37B5B">
      <w:pPr>
        <w:spacing w:line="360" w:lineRule="auto"/>
        <w:jc w:val="both"/>
        <w:rPr>
          <w:rFonts w:ascii="David" w:hAnsi="David"/>
          <w:rtl/>
        </w:rPr>
      </w:pPr>
      <w:r>
        <w:rPr>
          <w:rFonts w:ascii="David" w:hAnsi="David"/>
          <w:rtl/>
        </w:rPr>
        <w:t xml:space="preserve"> </w:t>
      </w:r>
    </w:p>
    <w:p w14:paraId="1BE9E46B" w14:textId="77777777" w:rsidR="00D37B5B" w:rsidRDefault="00D37B5B" w:rsidP="00D37B5B">
      <w:pPr>
        <w:spacing w:line="360" w:lineRule="auto"/>
        <w:ind w:firstLine="720"/>
        <w:jc w:val="both"/>
        <w:rPr>
          <w:rFonts w:ascii="David" w:hAnsi="David"/>
          <w:rtl/>
        </w:rPr>
      </w:pPr>
      <w:r>
        <w:rPr>
          <w:rFonts w:ascii="David" w:hAnsi="David"/>
          <w:rtl/>
        </w:rPr>
        <w:t>ב</w:t>
      </w:r>
      <w:hyperlink r:id="rId37" w:history="1">
        <w:r w:rsidR="00C550C7" w:rsidRPr="00C550C7">
          <w:rPr>
            <w:rFonts w:ascii="David" w:hAnsi="David"/>
            <w:color w:val="0000FF"/>
            <w:u w:val="single"/>
            <w:rtl/>
          </w:rPr>
          <w:t>ע"פ 8959/14</w:t>
        </w:r>
      </w:hyperlink>
      <w:r>
        <w:rPr>
          <w:rFonts w:ascii="David" w:hAnsi="David"/>
          <w:rtl/>
        </w:rPr>
        <w:t xml:space="preserve"> </w:t>
      </w:r>
      <w:r>
        <w:rPr>
          <w:rFonts w:ascii="David" w:hAnsi="David"/>
          <w:b/>
          <w:bCs/>
          <w:rtl/>
        </w:rPr>
        <w:t>בן סימון נ' מדינת ישראל</w:t>
      </w:r>
      <w:r>
        <w:rPr>
          <w:rFonts w:ascii="David" w:hAnsi="David"/>
          <w:rtl/>
        </w:rPr>
        <w:t xml:space="preserve"> (פורסם בנבו, 24.5.2015) הורשע המערער בביצוע עבירה של עסקה אחרת בנשק והחזקת סמים שלא לצריכה עצמית. עסקת הנשק נגעה לשני מטעני חבלה שהוחזקו ברכבו של המערער ובהמשך הועברו לאחרים. בית המשפט המחוזי קבע מתחם ענישה הנע בין</w:t>
      </w:r>
      <w:r>
        <w:rPr>
          <w:rFonts w:ascii="David" w:hAnsi="David"/>
          <w:b/>
          <w:bCs/>
          <w:rtl/>
        </w:rPr>
        <w:t xml:space="preserve"> שנתיים מאסר וחצי ועד לשש שנות מאסר בפועל,</w:t>
      </w:r>
      <w:r>
        <w:rPr>
          <w:rFonts w:ascii="David" w:hAnsi="David"/>
          <w:rtl/>
        </w:rPr>
        <w:t xml:space="preserve"> וגזר על המערער 42 חודשי מאסר בפועל לצד ענישה נלווית. ערעור על חומרת העונש נדחה (שם, בפס' 47).  </w:t>
      </w:r>
    </w:p>
    <w:p w14:paraId="76ECAF4A" w14:textId="77777777" w:rsidR="00D37B5B" w:rsidRDefault="00D37B5B" w:rsidP="00D37B5B">
      <w:pPr>
        <w:spacing w:line="360" w:lineRule="auto"/>
        <w:jc w:val="both"/>
        <w:rPr>
          <w:rFonts w:ascii="David" w:hAnsi="David"/>
          <w:rtl/>
        </w:rPr>
      </w:pPr>
    </w:p>
    <w:p w14:paraId="710DA297" w14:textId="77777777" w:rsidR="00D37B5B" w:rsidRDefault="00D37B5B" w:rsidP="00D37B5B">
      <w:pPr>
        <w:spacing w:line="360" w:lineRule="auto"/>
        <w:jc w:val="both"/>
        <w:rPr>
          <w:rFonts w:ascii="David" w:hAnsi="David"/>
          <w:rtl/>
        </w:rPr>
      </w:pPr>
      <w:r>
        <w:rPr>
          <w:rFonts w:ascii="David" w:hAnsi="David"/>
          <w:rtl/>
        </w:rPr>
        <w:t>9.</w:t>
      </w:r>
      <w:r>
        <w:rPr>
          <w:rFonts w:ascii="David" w:hAnsi="David"/>
          <w:rtl/>
        </w:rPr>
        <w:tab/>
        <w:t xml:space="preserve">ראיתי בעבירות שבוצעו בתיק העיקרי משום אירוע אחד, נוכח ביצוען כחלק מאותו רצף עובדתי ביחס לאותם מטענים. עם זאת, ייקבע מתחם שונה לכל נאשם על פי חלקו היחסי באירוע ונוכח ההבדל בהיקף העבירות בהן הורשע. לצד זאת, אין קשר בין האירועים בתיק העיקרי לאלו שצורפו בתיקים הנוספים, ולגביהם אקבע מתחמי ענישה נפרדים ההולמים את אותם אירועים. </w:t>
      </w:r>
    </w:p>
    <w:p w14:paraId="33236CAC" w14:textId="77777777" w:rsidR="00D37B5B" w:rsidRDefault="00D37B5B" w:rsidP="00D37B5B">
      <w:pPr>
        <w:spacing w:line="360" w:lineRule="auto"/>
        <w:jc w:val="both"/>
        <w:rPr>
          <w:rFonts w:ascii="David" w:hAnsi="David"/>
          <w:rtl/>
        </w:rPr>
      </w:pPr>
      <w:r>
        <w:rPr>
          <w:rFonts w:ascii="David" w:hAnsi="David"/>
          <w:rtl/>
        </w:rPr>
        <w:t xml:space="preserve">  </w:t>
      </w:r>
    </w:p>
    <w:p w14:paraId="710CD906" w14:textId="77777777" w:rsidR="00D37B5B" w:rsidRDefault="00D37B5B" w:rsidP="00D37B5B">
      <w:pPr>
        <w:spacing w:line="360" w:lineRule="auto"/>
        <w:jc w:val="both"/>
        <w:rPr>
          <w:rFonts w:ascii="David" w:hAnsi="David"/>
          <w:u w:val="single"/>
          <w:rtl/>
        </w:rPr>
      </w:pPr>
      <w:r>
        <w:rPr>
          <w:rFonts w:ascii="David" w:hAnsi="David"/>
          <w:u w:val="single"/>
          <w:rtl/>
        </w:rPr>
        <w:t>מתחמי הענישה בתיק העיקרי</w:t>
      </w:r>
    </w:p>
    <w:p w14:paraId="14EEB384" w14:textId="77777777" w:rsidR="00D37B5B" w:rsidRDefault="00D37B5B" w:rsidP="00D37B5B">
      <w:pPr>
        <w:spacing w:line="360" w:lineRule="auto"/>
        <w:jc w:val="both"/>
        <w:rPr>
          <w:rFonts w:ascii="David" w:hAnsi="David"/>
          <w:rtl/>
        </w:rPr>
      </w:pPr>
      <w:r>
        <w:rPr>
          <w:rFonts w:ascii="David" w:hAnsi="David"/>
          <w:rtl/>
        </w:rPr>
        <w:t>10.</w:t>
      </w:r>
      <w:r>
        <w:rPr>
          <w:rFonts w:ascii="David" w:hAnsi="David"/>
          <w:rtl/>
        </w:rPr>
        <w:tab/>
        <w:t xml:space="preserve">נתתי דעתי לתכנון שקדם לביצוע העבירות מצד הנאשמים; להיקף התמורה שניתנה בעד העברת המטענים, שאינו גדול – 1,700 ₪; ולהיות הנאשמים חוליה מקשרת בשרשרת הסחר, ולא היעד הסופי או ההתחלתי שלה. לשון אחר: הנאשמים היו חוליה מקשרת נוספת בין מייצר המטענים שנותר עלום, לבין הצד השלישי שהיה היעד לקבלתם. עוד לקחתי בחשבון את פוטנציאל המסוכנות של המטענים שהועברו, על פי תיאורם בכתב האישום ועדות המומחה. מדובר בפוטנציאל מתוחם ומצומצם עם מנגנון הפעלה "פרימיטיבי". נאשם 1 החזיק את המטענים בביתו לפרק זמן שאינו ידוע ויש להניח לטובתו שלא היה ארוך, ומסר אותם לידי נאשם 2 וקיבל ממנו את התמורה. הוא הורשע בעבירה של עסקה אחרת בנשק והחזקת נשק. נאשם 2 הוביל ונשא את המטענים ברכבו של נאשם 3. במהלך הנסיעה, כשהתקרבו אל המחסום המשטרתי, השליך נאשם 2 את המטענים מחלון הרכב. לצד העבירות בהן הורשע נאשם 1, הורשע נאשם 2 גם בעבירה של נשיאה והובלת נשק. </w:t>
      </w:r>
    </w:p>
    <w:p w14:paraId="24699E01" w14:textId="77777777" w:rsidR="00D37B5B" w:rsidRDefault="00D37B5B" w:rsidP="00D37B5B">
      <w:pPr>
        <w:spacing w:line="360" w:lineRule="auto"/>
        <w:jc w:val="both"/>
        <w:rPr>
          <w:rFonts w:ascii="David" w:hAnsi="David"/>
          <w:rtl/>
        </w:rPr>
      </w:pPr>
      <w:r>
        <w:rPr>
          <w:rFonts w:ascii="David" w:hAnsi="David"/>
          <w:rtl/>
        </w:rPr>
        <w:t xml:space="preserve"> </w:t>
      </w:r>
    </w:p>
    <w:p w14:paraId="02DF580B" w14:textId="77777777" w:rsidR="00D37B5B" w:rsidRDefault="00D37B5B" w:rsidP="00D37B5B">
      <w:pPr>
        <w:spacing w:line="360" w:lineRule="auto"/>
        <w:jc w:val="both"/>
        <w:rPr>
          <w:rFonts w:ascii="David" w:hAnsi="David"/>
          <w:rtl/>
        </w:rPr>
      </w:pPr>
      <w:r>
        <w:rPr>
          <w:rFonts w:ascii="David" w:hAnsi="David"/>
          <w:rtl/>
        </w:rPr>
        <w:tab/>
        <w:t xml:space="preserve">בשים לב למידת הפגיעה בערכים המוגנים, למדיניות הענישה הנוהגת, לנסיבות הקשורות בביצוע העבירה לרבות חלקו היחסי של כל אחד מהנאשמים, אני מוצא לקבוע את מתחם הענישה בעניינו של נאשם 1 כנע בין </w:t>
      </w:r>
      <w:r>
        <w:rPr>
          <w:rFonts w:ascii="David" w:hAnsi="David"/>
          <w:b/>
          <w:bCs/>
          <w:rtl/>
        </w:rPr>
        <w:t>22 חודשי מאסר בפועל ברף התחתון ועד ל-42 חודשי מאסר בתקרתו</w:t>
      </w:r>
      <w:r>
        <w:rPr>
          <w:rFonts w:ascii="David" w:hAnsi="David"/>
          <w:rtl/>
        </w:rPr>
        <w:t xml:space="preserve">. זאת לצד מאסר מותנה וקנס. את מתחם הענישה ההולם בעניינו של נאשם 2 אני קובע כנע בין </w:t>
      </w:r>
      <w:r>
        <w:rPr>
          <w:rFonts w:ascii="David" w:hAnsi="David"/>
          <w:b/>
          <w:bCs/>
          <w:rtl/>
        </w:rPr>
        <w:t>25 חודשי מאסר בפועל ברף התחתון ומסתיים ב-45 חודשי מאסר בתקרתו</w:t>
      </w:r>
      <w:r>
        <w:rPr>
          <w:rFonts w:ascii="David" w:hAnsi="David"/>
          <w:rtl/>
        </w:rPr>
        <w:t xml:space="preserve">, בצירוף רכיב מאסר על תנאי וקנס. </w:t>
      </w:r>
    </w:p>
    <w:p w14:paraId="4D416301" w14:textId="77777777" w:rsidR="00D37B5B" w:rsidRDefault="00D37B5B" w:rsidP="00D37B5B">
      <w:pPr>
        <w:spacing w:line="360" w:lineRule="auto"/>
        <w:jc w:val="both"/>
        <w:rPr>
          <w:rFonts w:ascii="David" w:hAnsi="David"/>
          <w:rtl/>
        </w:rPr>
      </w:pPr>
    </w:p>
    <w:p w14:paraId="6080025E" w14:textId="77777777" w:rsidR="00D37B5B" w:rsidRDefault="00D37B5B" w:rsidP="00D37B5B">
      <w:pPr>
        <w:spacing w:line="360" w:lineRule="auto"/>
        <w:ind w:firstLine="720"/>
        <w:jc w:val="both"/>
        <w:rPr>
          <w:rFonts w:ascii="David" w:hAnsi="David"/>
          <w:rtl/>
        </w:rPr>
      </w:pPr>
      <w:r>
        <w:rPr>
          <w:rFonts w:ascii="David" w:hAnsi="David"/>
          <w:rtl/>
        </w:rPr>
        <w:t xml:space="preserve">לא הוצג לפניי אפיק שיקומי למי מהנאשמים ולא מצאתי עילה המצדיקה לסטות לקולה או לחומרה ממתחמי הענישה שקבעתי. </w:t>
      </w:r>
    </w:p>
    <w:p w14:paraId="29E7BB4C" w14:textId="77777777" w:rsidR="00D37B5B" w:rsidRDefault="00D37B5B" w:rsidP="00D37B5B">
      <w:pPr>
        <w:spacing w:line="360" w:lineRule="auto"/>
        <w:jc w:val="both"/>
        <w:rPr>
          <w:rFonts w:ascii="David" w:hAnsi="David"/>
          <w:rtl/>
        </w:rPr>
      </w:pPr>
    </w:p>
    <w:p w14:paraId="3A0922B5" w14:textId="77777777" w:rsidR="00D37B5B" w:rsidRDefault="00D37B5B" w:rsidP="00D37B5B">
      <w:pPr>
        <w:spacing w:line="360" w:lineRule="auto"/>
        <w:jc w:val="both"/>
        <w:rPr>
          <w:rFonts w:ascii="David" w:hAnsi="David"/>
          <w:rtl/>
        </w:rPr>
      </w:pPr>
      <w:r>
        <w:rPr>
          <w:rFonts w:ascii="David" w:hAnsi="David"/>
          <w:rtl/>
        </w:rPr>
        <w:t>11.</w:t>
      </w:r>
      <w:r>
        <w:rPr>
          <w:rFonts w:ascii="David" w:hAnsi="David"/>
          <w:rtl/>
        </w:rPr>
        <w:tab/>
        <w:t xml:space="preserve">טענה נוספת אותה כאמור העלו הסנגורים, היא קיומה של אכיפה בררנית נוכח הימנעות מהגשת כתב אישום כנגד אותו צד שלישי שאליו, לסברת המשטרה, היו מיועדים המטענים להגיע. לטענת הסנגורים, מעדות השוטר שהיה אמון על החקירה במשטרה, שנמסרה בדיון לפניי, עולה שהסיבה להפסקת החקירה כנגד אותו חשוד נבעה משיקולים של תיעדוף חקירתי. זאת משום שהחשוד היה מעורב גם בחקירה אחרת, שקיבלה תיעדוף, הגם שהיו ראיות שקשרו אותו לתיק זה. </w:t>
      </w:r>
    </w:p>
    <w:p w14:paraId="0B855A44" w14:textId="77777777" w:rsidR="00D37B5B" w:rsidRDefault="00D37B5B" w:rsidP="00D37B5B">
      <w:pPr>
        <w:spacing w:line="360" w:lineRule="auto"/>
        <w:jc w:val="both"/>
        <w:rPr>
          <w:rFonts w:ascii="David" w:hAnsi="David"/>
          <w:rtl/>
        </w:rPr>
      </w:pPr>
    </w:p>
    <w:p w14:paraId="15E49462" w14:textId="77777777" w:rsidR="00D37B5B" w:rsidRDefault="00D37B5B" w:rsidP="00D37B5B">
      <w:pPr>
        <w:spacing w:line="360" w:lineRule="auto"/>
        <w:ind w:firstLine="720"/>
        <w:jc w:val="both"/>
        <w:rPr>
          <w:rFonts w:ascii="David" w:hAnsi="David"/>
          <w:rtl/>
        </w:rPr>
      </w:pPr>
      <w:r>
        <w:rPr>
          <w:rFonts w:ascii="David" w:hAnsi="David"/>
          <w:rtl/>
        </w:rPr>
        <w:t>המאשימה הצהירה כי התיק נגד אותו חשוד נסגר מחמת חוסר ראיות. בדיון לפניי היא פירטה את חומר הראיות שנאסף כנגדו והסבירה כיצד הגיעה למסקנה שעל בסיס החומר הקיים, לא בוססה תשתית ראייתית מספקת להגשת כתב אישום.</w:t>
      </w:r>
    </w:p>
    <w:p w14:paraId="7D1D377C" w14:textId="77777777" w:rsidR="00D37B5B" w:rsidRDefault="00D37B5B" w:rsidP="00D37B5B">
      <w:pPr>
        <w:spacing w:line="360" w:lineRule="auto"/>
        <w:jc w:val="both"/>
        <w:rPr>
          <w:rFonts w:ascii="David" w:hAnsi="David"/>
          <w:rtl/>
        </w:rPr>
      </w:pPr>
    </w:p>
    <w:p w14:paraId="64E67F9D" w14:textId="77777777" w:rsidR="00D37B5B" w:rsidRDefault="00D37B5B" w:rsidP="00D37B5B">
      <w:pPr>
        <w:spacing w:line="360" w:lineRule="auto"/>
        <w:ind w:firstLine="720"/>
        <w:jc w:val="both"/>
        <w:rPr>
          <w:rFonts w:ascii="David" w:hAnsi="David"/>
          <w:rtl/>
        </w:rPr>
      </w:pPr>
      <w:r>
        <w:rPr>
          <w:rFonts w:ascii="David" w:hAnsi="David"/>
          <w:rtl/>
        </w:rPr>
        <w:t>לאחר ששקלתי את הדברים ראיתי לדחות את הטענה לאכיפה בררנית. נקבע בפסיקה כי "</w:t>
      </w:r>
      <w:r>
        <w:rPr>
          <w:rFonts w:ascii="David" w:hAnsi="David"/>
          <w:b/>
          <w:bCs/>
          <w:rtl/>
        </w:rPr>
        <w:t>אין בעצם החלטת רשויות התביעה להעמיד לדין חלק מהמעורבים בביצוע העבירה כדי לבסס טענה לקיומה של אכיפה בררנית. על פי רוב, טענה מעין זו תתקבל כאשר ניתן להצביע על שיקולים זרים או שרירותיות בהחלטת התביעה להגיש כתבי אישום נגד חלק מהמעורבים בעבירה בלבד. אולם, במקרים חריגים, תתקבל הטענה אף אם לא הוכחה כוונת זדון מצד רשויות התביעה, אם התשתית הראייתית אשר בבסיס החשדות כלפי כל אחד מהמעורבים דומה...</w:t>
      </w:r>
      <w:r>
        <w:rPr>
          <w:rFonts w:ascii="David" w:hAnsi="David"/>
          <w:rtl/>
        </w:rPr>
        <w:t>" (</w:t>
      </w:r>
      <w:hyperlink r:id="rId38" w:history="1">
        <w:r w:rsidR="00C550C7" w:rsidRPr="00C550C7">
          <w:rPr>
            <w:rFonts w:ascii="David" w:hAnsi="David"/>
            <w:color w:val="0000FF"/>
            <w:u w:val="single"/>
            <w:rtl/>
          </w:rPr>
          <w:t>ע"פ 5805/19</w:t>
        </w:r>
      </w:hyperlink>
      <w:r>
        <w:rPr>
          <w:rFonts w:ascii="David" w:hAnsi="David"/>
          <w:rtl/>
        </w:rPr>
        <w:t xml:space="preserve"> </w:t>
      </w:r>
      <w:r>
        <w:rPr>
          <w:rFonts w:ascii="David" w:hAnsi="David"/>
          <w:b/>
          <w:bCs/>
          <w:rtl/>
        </w:rPr>
        <w:t>קליינמן נ' מדינת ישראל</w:t>
      </w:r>
      <w:r>
        <w:rPr>
          <w:rFonts w:ascii="David" w:hAnsi="David"/>
          <w:rtl/>
        </w:rPr>
        <w:t xml:space="preserve">, פס' 14 (פורסם בנבו, 28.12.2020). בענייננו לא הונחה לפניי תשתית לכך שההחלטה שלא להגיש כתב אישום כנגד החשוד הנוסף נבעה משיקולים זרים או משרירותיות. הטעם שהוצג במהלך עדויות השוטרים לפניי, של תיעדוף חקירתי נוכח מעורבות החשוד בתיקים נוספים, הוא שיקול מקצועי לגיטימי. אמנם יתכן שאותו תיעדוף מנע את העמקת החקירה כנגד אותו חשוד, העמקה שיתכן והייתה מולידה ראיות נוספות, לו הייתה מתבצעת. אך כאמור, אי מיצוי החקירה לא נעשה מטעמים זרים או שרירותיים, ולכן אין בסגירת התיק בעניינו של החשוד הנוסף מחמת חוסר בראיות מספיקות, כדי לבסס טענה בדבר אכיפה בררנית. עם זאת הדבר יילקח בחשבון כנסיבה במסגרת שיקולים של "צדק רוחבי" (ראו והשוו </w:t>
      </w:r>
      <w:hyperlink r:id="rId39" w:history="1">
        <w:r w:rsidR="00C550C7" w:rsidRPr="00C550C7">
          <w:rPr>
            <w:rFonts w:ascii="David" w:hAnsi="David"/>
            <w:color w:val="0000FF"/>
            <w:u w:val="single"/>
            <w:rtl/>
          </w:rPr>
          <w:t>ע"פ 7216/20</w:t>
        </w:r>
      </w:hyperlink>
      <w:r>
        <w:rPr>
          <w:rFonts w:ascii="David" w:hAnsi="David"/>
          <w:rtl/>
        </w:rPr>
        <w:t xml:space="preserve"> </w:t>
      </w:r>
      <w:r>
        <w:rPr>
          <w:rFonts w:ascii="David" w:hAnsi="David"/>
          <w:b/>
          <w:bCs/>
          <w:rtl/>
        </w:rPr>
        <w:t>קליין נ' מדינת ישראל</w:t>
      </w:r>
      <w:r>
        <w:rPr>
          <w:rFonts w:ascii="David" w:hAnsi="David"/>
          <w:rtl/>
        </w:rPr>
        <w:t xml:space="preserve"> (פורסם בנבו, 18.2.2021)), בהתייחס לכלל המעורבים בתיק. </w:t>
      </w:r>
    </w:p>
    <w:p w14:paraId="79BA95B4" w14:textId="77777777" w:rsidR="00D37B5B" w:rsidRDefault="00D37B5B" w:rsidP="00D37B5B">
      <w:pPr>
        <w:spacing w:line="360" w:lineRule="auto"/>
        <w:jc w:val="both"/>
        <w:rPr>
          <w:rFonts w:ascii="David" w:hAnsi="David"/>
          <w:rtl/>
        </w:rPr>
      </w:pPr>
      <w:r>
        <w:rPr>
          <w:rFonts w:ascii="David" w:hAnsi="David"/>
          <w:rtl/>
        </w:rPr>
        <w:t xml:space="preserve"> </w:t>
      </w:r>
    </w:p>
    <w:p w14:paraId="060E1B45" w14:textId="77777777" w:rsidR="00D37B5B" w:rsidRDefault="00D37B5B" w:rsidP="00D37B5B">
      <w:pPr>
        <w:spacing w:line="360" w:lineRule="auto"/>
        <w:jc w:val="both"/>
        <w:rPr>
          <w:rFonts w:ascii="David" w:hAnsi="David"/>
          <w:u w:val="single"/>
          <w:rtl/>
        </w:rPr>
      </w:pPr>
      <w:r>
        <w:rPr>
          <w:rFonts w:ascii="David" w:hAnsi="David"/>
          <w:u w:val="single"/>
          <w:rtl/>
        </w:rPr>
        <w:t xml:space="preserve">גזירת העונש בתוך מתחם הענישה ההולם – נאשם 1: </w:t>
      </w:r>
    </w:p>
    <w:p w14:paraId="6638E9BA" w14:textId="77777777" w:rsidR="00D37B5B" w:rsidRDefault="00D37B5B" w:rsidP="00D37B5B">
      <w:pPr>
        <w:spacing w:line="360" w:lineRule="auto"/>
        <w:jc w:val="both"/>
        <w:rPr>
          <w:rFonts w:ascii="David" w:hAnsi="David"/>
        </w:rPr>
      </w:pPr>
      <w:r>
        <w:rPr>
          <w:rFonts w:ascii="David" w:hAnsi="David"/>
          <w:rtl/>
        </w:rPr>
        <w:t>12.</w:t>
      </w:r>
      <w:r>
        <w:rPr>
          <w:rFonts w:ascii="David" w:hAnsi="David"/>
          <w:rtl/>
        </w:rPr>
        <w:tab/>
        <w:t xml:space="preserve">נתתי דעתי להודאתו של הנאשם 1 בהזדמנות הראשונה לאחר תיקון כתב האישום ולחרטה שהביע לפניי בדיון. כמו כן, נתתי דעתי למצבו המשפחתי כאב לארבעה ילדים קטנים, שהצעיר ביניהם נולד אך כחודש לפני מעצרו. עוד נתתי דעתי לטענת הסנגור בדבר דלות חינוכית ורגשית שחווה הנאשם בילדותו. כמו כן לקחתי בחשבון את מצבו הבריאותי של הנאשם 1, המשתקם מפציעה ברגלו כתוצאה מפציעת ירי כלפיו שאירעה לפני שנה וחצי, והיום הוא נעזר בקביים. לקחתי בחשבון גם את אי מיצוי החקירה כנגד חשוד נוסף בפרשה – הצד השלישי – שהביא לאי העמדתו לדין מחמת חוסר בראיות, כשיקול של צדק רוחבי כאמור לעיל. לנאשם עבר פלילי בעבירות סמים, תעבורה ובעבירות נוספות נושנות – בגינן ריצה מאסר ממשי בפועל לפני כ-15 שנה. שקלתי גם את הצורך בהרתעת הנאשם, שזה אינו מפגשו הראשון עם גורמי החוק, וכן הצורך בהרתעת הרבים מהשתתפות, ולו קצרה, בשרשרת העברת כלי נשק ומטענים מאולתרים בפרט. </w:t>
      </w:r>
    </w:p>
    <w:p w14:paraId="306B5F3C" w14:textId="77777777" w:rsidR="00D37B5B" w:rsidRDefault="00D37B5B" w:rsidP="00D37B5B">
      <w:pPr>
        <w:spacing w:line="360" w:lineRule="auto"/>
        <w:jc w:val="both"/>
        <w:rPr>
          <w:rFonts w:ascii="David" w:hAnsi="David"/>
          <w:rtl/>
        </w:rPr>
      </w:pPr>
    </w:p>
    <w:p w14:paraId="22315265" w14:textId="77777777" w:rsidR="00D37B5B" w:rsidRDefault="00D37B5B" w:rsidP="00D37B5B">
      <w:pPr>
        <w:spacing w:line="360" w:lineRule="auto"/>
        <w:ind w:firstLine="720"/>
        <w:jc w:val="both"/>
        <w:rPr>
          <w:rFonts w:ascii="David" w:hAnsi="David"/>
          <w:b/>
          <w:bCs/>
          <w:rtl/>
        </w:rPr>
      </w:pPr>
      <w:r>
        <w:rPr>
          <w:rFonts w:ascii="David" w:hAnsi="David"/>
          <w:rtl/>
        </w:rPr>
        <w:t xml:space="preserve">בשקלול כלל הנסיבות לקולה ולחומרה, מצאתי לגזור את עונשו של הנאשם 1 בתוככי המתחם בחלקו הנמוך של המתחם, ולגזור עליו עונש של </w:t>
      </w:r>
      <w:r>
        <w:rPr>
          <w:rFonts w:ascii="David" w:hAnsi="David"/>
          <w:b/>
          <w:bCs/>
          <w:rtl/>
        </w:rPr>
        <w:t>עשרים ושמונה</w:t>
      </w:r>
      <w:r>
        <w:rPr>
          <w:rFonts w:ascii="David" w:hAnsi="David"/>
          <w:rtl/>
        </w:rPr>
        <w:t xml:space="preserve"> (</w:t>
      </w:r>
      <w:r>
        <w:rPr>
          <w:rFonts w:ascii="David" w:hAnsi="David"/>
          <w:b/>
          <w:bCs/>
          <w:rtl/>
        </w:rPr>
        <w:t xml:space="preserve">28) חודשי מאסר לריצוי בפועל, שמניינם מיום מעצרו בתיק זה, בתאריך 21.4.2020. </w:t>
      </w:r>
    </w:p>
    <w:p w14:paraId="5932BF1C" w14:textId="77777777" w:rsidR="00D37B5B" w:rsidRDefault="00D37B5B" w:rsidP="00D37B5B">
      <w:pPr>
        <w:spacing w:line="360" w:lineRule="auto"/>
        <w:jc w:val="both"/>
        <w:rPr>
          <w:rFonts w:ascii="David" w:hAnsi="David"/>
          <w:rtl/>
        </w:rPr>
      </w:pPr>
    </w:p>
    <w:p w14:paraId="0ADA8DE3" w14:textId="77777777" w:rsidR="00D37B5B" w:rsidRPr="00E34D26" w:rsidRDefault="00D37B5B" w:rsidP="00D37B5B">
      <w:pPr>
        <w:spacing w:line="360" w:lineRule="auto"/>
        <w:ind w:firstLine="720"/>
        <w:jc w:val="both"/>
        <w:rPr>
          <w:rFonts w:ascii="David" w:hAnsi="David"/>
          <w:rtl/>
        </w:rPr>
      </w:pPr>
      <w:r w:rsidRPr="00E34D26">
        <w:rPr>
          <w:rFonts w:ascii="David" w:hAnsi="David"/>
          <w:rtl/>
        </w:rPr>
        <w:t xml:space="preserve">נוסף לכך אני גוזר עליו עשרה (10) חודשי מאסר אותם לא ירצה אלא אם בתוך 3 שנים מיום שחרורו ממאסרו ישוב ויעבור על עבירה בנשק מסוג פשע לפי </w:t>
      </w:r>
      <w:hyperlink r:id="rId40" w:history="1">
        <w:r w:rsidR="008E76C8" w:rsidRPr="008E76C8">
          <w:rPr>
            <w:rStyle w:val="Hyperlink"/>
            <w:rFonts w:ascii="David" w:hAnsi="David"/>
            <w:rtl/>
          </w:rPr>
          <w:t>סעיף 144</w:t>
        </w:r>
      </w:hyperlink>
      <w:r w:rsidRPr="00E34D26">
        <w:rPr>
          <w:rFonts w:ascii="David" w:hAnsi="David"/>
          <w:rtl/>
        </w:rPr>
        <w:t xml:space="preserve"> ל</w:t>
      </w:r>
      <w:hyperlink r:id="rId41" w:history="1">
        <w:r w:rsidR="00C550C7" w:rsidRPr="00C550C7">
          <w:rPr>
            <w:rFonts w:ascii="David" w:hAnsi="David"/>
            <w:color w:val="0000FF"/>
            <w:u w:val="single"/>
            <w:rtl/>
          </w:rPr>
          <w:t>חוק העונשין</w:t>
        </w:r>
      </w:hyperlink>
      <w:r w:rsidRPr="00E34D26">
        <w:rPr>
          <w:rFonts w:ascii="David" w:hAnsi="David"/>
          <w:rtl/>
        </w:rPr>
        <w:t xml:space="preserve">. </w:t>
      </w:r>
    </w:p>
    <w:p w14:paraId="7D81E27A" w14:textId="77777777" w:rsidR="00D37B5B" w:rsidRPr="00E34D26" w:rsidRDefault="00D37B5B" w:rsidP="00D37B5B">
      <w:pPr>
        <w:spacing w:line="360" w:lineRule="auto"/>
        <w:jc w:val="both"/>
        <w:rPr>
          <w:rFonts w:ascii="David" w:hAnsi="David"/>
          <w:rtl/>
        </w:rPr>
      </w:pPr>
    </w:p>
    <w:p w14:paraId="7ADA582E" w14:textId="77777777" w:rsidR="00D37B5B" w:rsidRPr="00E34D26" w:rsidRDefault="00D37B5B" w:rsidP="00D37B5B">
      <w:pPr>
        <w:spacing w:line="360" w:lineRule="auto"/>
        <w:ind w:firstLine="720"/>
        <w:jc w:val="both"/>
        <w:rPr>
          <w:rFonts w:ascii="David" w:hAnsi="David"/>
          <w:rtl/>
        </w:rPr>
      </w:pPr>
      <w:r w:rsidRPr="00E34D26">
        <w:rPr>
          <w:rFonts w:ascii="David" w:hAnsi="David"/>
          <w:rtl/>
        </w:rPr>
        <w:t>כמו כן אני מטיל על הנאשם 1 קנס בגין כל העבירות בהן הורשע, לרבות אלו שבתיק המצורף, בסך 5,000 ₪ שישולם עד ליום 1.10.21 או חודש (1) מאסר נוסף, תמורתו.</w:t>
      </w:r>
    </w:p>
    <w:p w14:paraId="2575D246" w14:textId="77777777" w:rsidR="00D37B5B" w:rsidRDefault="00D37B5B" w:rsidP="00D37B5B">
      <w:pPr>
        <w:spacing w:line="360" w:lineRule="auto"/>
        <w:jc w:val="both"/>
        <w:rPr>
          <w:rFonts w:ascii="David" w:hAnsi="David"/>
          <w:rtl/>
        </w:rPr>
      </w:pPr>
    </w:p>
    <w:p w14:paraId="3410A11F" w14:textId="77777777" w:rsidR="00D37B5B" w:rsidRDefault="00D37B5B" w:rsidP="00D37B5B">
      <w:pPr>
        <w:spacing w:line="360" w:lineRule="auto"/>
        <w:jc w:val="both"/>
        <w:rPr>
          <w:rFonts w:ascii="David" w:hAnsi="David"/>
          <w:u w:val="single"/>
          <w:rtl/>
        </w:rPr>
      </w:pPr>
      <w:r>
        <w:rPr>
          <w:rFonts w:ascii="David" w:hAnsi="David"/>
          <w:u w:val="single"/>
          <w:rtl/>
        </w:rPr>
        <w:t xml:space="preserve">גזירת העונש בתוך מתחם הענישה – נאשם 2: </w:t>
      </w:r>
    </w:p>
    <w:p w14:paraId="7D01E5FE" w14:textId="77777777" w:rsidR="00D37B5B" w:rsidRDefault="00D37B5B" w:rsidP="00D37B5B">
      <w:pPr>
        <w:spacing w:line="360" w:lineRule="auto"/>
        <w:jc w:val="both"/>
        <w:rPr>
          <w:rFonts w:ascii="David" w:hAnsi="David"/>
          <w:rtl/>
        </w:rPr>
      </w:pPr>
      <w:r>
        <w:rPr>
          <w:rFonts w:ascii="David" w:hAnsi="David"/>
          <w:rtl/>
        </w:rPr>
        <w:t>13.</w:t>
      </w:r>
      <w:r>
        <w:rPr>
          <w:rFonts w:ascii="David" w:hAnsi="David"/>
          <w:rtl/>
        </w:rPr>
        <w:tab/>
        <w:t xml:space="preserve">נתתי דעתי להודאתו בכתב האישום עם תיקונו. עוד שקלתי את טענת הסנגור ביחס למסלול חייו המורכב של הנאשם 2; ולפגיעה באשתו של הנאשם, לה נישא ימים ספורים לפני מעצרו בתיק זה. לחובתו של נאשם 2 עבר פלילי מכביד, הכולל עבירות אלימות, נשק, ורכוש, בגינן ריצה תקופות מאסר משמעותיות, לרבות הרשעה משנת 2018 בעבירה של החזקת נשק, בגינה הוטל עליו עונש מאסר מותנה בן 6 חודשים שהוא בר הפעלה בתיק זה. חרף זאת, הנאשם לא הורתע מרכיב המאסר המותנה או מהענישה שריצה בגין ביצוע עבירת הנשק הקודמת, ונסיבה זו מחזקת את הצורך בנקיטת ענישה מרתיעה בעניינו, לצד האינטרס הציבורי בהרתעת הרבים בעבירות מסוג זה. בשקלול כלל הנסיבות מצאתי לגזור את עונשו של הנאשם בתוככי המתחם בחלק האמצעי של המתחם, ולגזור עליו </w:t>
      </w:r>
      <w:r>
        <w:rPr>
          <w:rFonts w:ascii="David" w:hAnsi="David"/>
          <w:b/>
          <w:bCs/>
          <w:rtl/>
        </w:rPr>
        <w:t>שלושים וארבעה</w:t>
      </w:r>
      <w:r>
        <w:rPr>
          <w:rFonts w:ascii="David" w:hAnsi="David"/>
          <w:rtl/>
        </w:rPr>
        <w:t xml:space="preserve"> (</w:t>
      </w:r>
      <w:r>
        <w:rPr>
          <w:rFonts w:ascii="David" w:hAnsi="David"/>
          <w:b/>
          <w:bCs/>
          <w:rtl/>
        </w:rPr>
        <w:t>34) חודשי מאסר לריצוי ממשי בפועל שמניינם מיום מעצרו בתיק זה, 21.4.2020</w:t>
      </w:r>
      <w:r>
        <w:rPr>
          <w:rFonts w:ascii="David" w:hAnsi="David"/>
          <w:rtl/>
        </w:rPr>
        <w:t xml:space="preserve">. אני מורה על </w:t>
      </w:r>
      <w:r>
        <w:rPr>
          <w:rFonts w:ascii="David" w:hAnsi="David"/>
          <w:b/>
          <w:bCs/>
          <w:rtl/>
        </w:rPr>
        <w:t>הפעלת המאסר המותנה בן 6 חודשים</w:t>
      </w:r>
      <w:r>
        <w:rPr>
          <w:rFonts w:ascii="David" w:hAnsi="David"/>
          <w:rtl/>
        </w:rPr>
        <w:t xml:space="preserve"> שנגזר עליו בתיק 55350-02-18 בבית משפט המחוזי בנצרת, מיום 20.6.2018. נוכח הצורך בהרתעה ממשית, והסיווג הדומה של העבירה הקודמת והנוכחית, ובהיעדר טעמים אחרים המצדיקים לנהוג אחרת, אני קובע כי עונש המאסר שהופעל ירוצה </w:t>
      </w:r>
      <w:r>
        <w:rPr>
          <w:rFonts w:ascii="David" w:hAnsi="David"/>
          <w:u w:val="single"/>
          <w:rtl/>
        </w:rPr>
        <w:t>במצטבר</w:t>
      </w:r>
      <w:r>
        <w:rPr>
          <w:rFonts w:ascii="David" w:hAnsi="David"/>
          <w:rtl/>
        </w:rPr>
        <w:t xml:space="preserve"> לעונש המאסר בתיק זה (וראו גם </w:t>
      </w:r>
      <w:hyperlink r:id="rId42" w:history="1">
        <w:r w:rsidR="008E76C8" w:rsidRPr="008E76C8">
          <w:rPr>
            <w:rStyle w:val="Hyperlink"/>
            <w:rFonts w:ascii="David" w:hAnsi="David"/>
            <w:rtl/>
          </w:rPr>
          <w:t>סעיף 58</w:t>
        </w:r>
      </w:hyperlink>
      <w:r>
        <w:rPr>
          <w:rFonts w:ascii="David" w:hAnsi="David"/>
          <w:rtl/>
        </w:rPr>
        <w:t xml:space="preserve"> ל</w:t>
      </w:r>
      <w:hyperlink r:id="rId43" w:history="1">
        <w:r w:rsidR="00C550C7" w:rsidRPr="00C550C7">
          <w:rPr>
            <w:rFonts w:ascii="David" w:hAnsi="David"/>
            <w:color w:val="0000FF"/>
            <w:u w:val="single"/>
            <w:rtl/>
          </w:rPr>
          <w:t>חוק העונשין</w:t>
        </w:r>
      </w:hyperlink>
      <w:r>
        <w:rPr>
          <w:rFonts w:ascii="David" w:hAnsi="David"/>
          <w:rtl/>
        </w:rPr>
        <w:t xml:space="preserve">, וכן </w:t>
      </w:r>
      <w:hyperlink r:id="rId44" w:history="1">
        <w:r w:rsidR="00C550C7" w:rsidRPr="00C550C7">
          <w:rPr>
            <w:rFonts w:ascii="David" w:hAnsi="David"/>
            <w:color w:val="0000FF"/>
            <w:u w:val="single"/>
            <w:rtl/>
          </w:rPr>
          <w:t>ע"פ 5522/20</w:t>
        </w:r>
      </w:hyperlink>
      <w:r>
        <w:rPr>
          <w:rFonts w:ascii="David" w:hAnsi="David"/>
          <w:rtl/>
        </w:rPr>
        <w:t xml:space="preserve"> </w:t>
      </w:r>
      <w:r>
        <w:rPr>
          <w:rFonts w:ascii="David" w:hAnsi="David"/>
          <w:b/>
          <w:bCs/>
          <w:rtl/>
        </w:rPr>
        <w:t>חלייחל נ' מדינת ישראל</w:t>
      </w:r>
      <w:r>
        <w:rPr>
          <w:rFonts w:ascii="David" w:hAnsi="David"/>
          <w:rtl/>
        </w:rPr>
        <w:t xml:space="preserve">, פס' 11 (פורסם בנבו, 24.2.2021)). </w:t>
      </w:r>
    </w:p>
    <w:p w14:paraId="4CE14945" w14:textId="77777777" w:rsidR="00D37B5B" w:rsidRDefault="00D37B5B" w:rsidP="00D37B5B">
      <w:pPr>
        <w:spacing w:line="360" w:lineRule="auto"/>
        <w:ind w:firstLine="720"/>
        <w:jc w:val="both"/>
        <w:rPr>
          <w:rFonts w:ascii="David" w:hAnsi="David"/>
          <w:b/>
          <w:bCs/>
          <w:rtl/>
        </w:rPr>
      </w:pPr>
    </w:p>
    <w:p w14:paraId="79C4A99D" w14:textId="77777777" w:rsidR="00D37B5B" w:rsidRPr="00F03D1A" w:rsidRDefault="00D37B5B" w:rsidP="00D37B5B">
      <w:pPr>
        <w:spacing w:line="360" w:lineRule="auto"/>
        <w:ind w:firstLine="720"/>
        <w:jc w:val="both"/>
        <w:rPr>
          <w:rFonts w:ascii="David" w:hAnsi="David"/>
          <w:rtl/>
        </w:rPr>
      </w:pPr>
      <w:r w:rsidRPr="00F03D1A">
        <w:rPr>
          <w:rFonts w:ascii="David" w:hAnsi="David"/>
          <w:rtl/>
        </w:rPr>
        <w:t xml:space="preserve">כמו כן אני גוזר על הנאשם 2 שנים עשר (12) חודשי מאסר אותם לא ירצה אלא אם בתוך 3 שנים מיום שחרורו ממאסרו ישוב ויעבור על עבירה בנשק מסוג פשע, לפי </w:t>
      </w:r>
      <w:hyperlink r:id="rId45" w:history="1">
        <w:r w:rsidR="008E76C8" w:rsidRPr="008E76C8">
          <w:rPr>
            <w:rStyle w:val="Hyperlink"/>
            <w:rFonts w:ascii="David" w:hAnsi="David"/>
            <w:rtl/>
          </w:rPr>
          <w:t>סעיף 144</w:t>
        </w:r>
      </w:hyperlink>
      <w:r w:rsidRPr="00F03D1A">
        <w:rPr>
          <w:rFonts w:ascii="David" w:hAnsi="David"/>
          <w:rtl/>
        </w:rPr>
        <w:t xml:space="preserve"> ל</w:t>
      </w:r>
      <w:hyperlink r:id="rId46" w:history="1">
        <w:r w:rsidR="00C550C7" w:rsidRPr="00C550C7">
          <w:rPr>
            <w:rFonts w:ascii="David" w:hAnsi="David"/>
            <w:color w:val="0000FF"/>
            <w:u w:val="single"/>
            <w:rtl/>
          </w:rPr>
          <w:t>חוק העונשין</w:t>
        </w:r>
      </w:hyperlink>
      <w:r w:rsidRPr="00F03D1A">
        <w:rPr>
          <w:rFonts w:ascii="David" w:hAnsi="David"/>
          <w:rtl/>
        </w:rPr>
        <w:t>.</w:t>
      </w:r>
    </w:p>
    <w:p w14:paraId="08ABEC2B" w14:textId="77777777" w:rsidR="00D37B5B" w:rsidRPr="00F03D1A" w:rsidRDefault="00D37B5B" w:rsidP="00D37B5B">
      <w:pPr>
        <w:spacing w:line="360" w:lineRule="auto"/>
        <w:ind w:firstLine="720"/>
        <w:jc w:val="both"/>
        <w:rPr>
          <w:rFonts w:ascii="David" w:hAnsi="David"/>
          <w:rtl/>
        </w:rPr>
      </w:pPr>
    </w:p>
    <w:p w14:paraId="468FD21C" w14:textId="77777777" w:rsidR="00D37B5B" w:rsidRPr="00F03D1A" w:rsidRDefault="00D37B5B" w:rsidP="00D37B5B">
      <w:pPr>
        <w:spacing w:line="360" w:lineRule="auto"/>
        <w:ind w:firstLine="720"/>
        <w:jc w:val="both"/>
        <w:rPr>
          <w:rFonts w:ascii="David" w:hAnsi="David"/>
          <w:rtl/>
        </w:rPr>
      </w:pPr>
      <w:r w:rsidRPr="00F03D1A">
        <w:rPr>
          <w:rFonts w:ascii="David" w:hAnsi="David"/>
          <w:rtl/>
        </w:rPr>
        <w:t>כמו כן אני מטיל על הנאשם 2 קנס בגין כל העבירות בהן הורשע, לרבות אלו שבתיק המצורף, בסך 5,000 ₪ שישולם עד ליום 1.10.21 או חודש (1) מאסר נוסף, תמורתו.</w:t>
      </w:r>
    </w:p>
    <w:p w14:paraId="167C679F" w14:textId="77777777" w:rsidR="00D37B5B" w:rsidRDefault="00D37B5B" w:rsidP="00D37B5B">
      <w:pPr>
        <w:spacing w:line="360" w:lineRule="auto"/>
        <w:jc w:val="both"/>
        <w:rPr>
          <w:rFonts w:ascii="David" w:hAnsi="David"/>
          <w:rtl/>
        </w:rPr>
      </w:pPr>
    </w:p>
    <w:p w14:paraId="3DA0045F" w14:textId="77777777" w:rsidR="00D37B5B" w:rsidRDefault="00D37B5B" w:rsidP="00D37B5B">
      <w:pPr>
        <w:spacing w:line="360" w:lineRule="auto"/>
        <w:jc w:val="both"/>
        <w:rPr>
          <w:rFonts w:ascii="David" w:hAnsi="David"/>
          <w:u w:val="single"/>
          <w:rtl/>
        </w:rPr>
      </w:pPr>
      <w:r>
        <w:rPr>
          <w:rFonts w:ascii="David" w:hAnsi="David"/>
          <w:u w:val="single"/>
          <w:rtl/>
        </w:rPr>
        <w:t>התיקים המצורפים</w:t>
      </w:r>
    </w:p>
    <w:p w14:paraId="3ED48089" w14:textId="77777777" w:rsidR="00D37B5B" w:rsidRDefault="00D37B5B" w:rsidP="00D37B5B">
      <w:pPr>
        <w:spacing w:line="360" w:lineRule="auto"/>
        <w:jc w:val="both"/>
        <w:rPr>
          <w:rFonts w:ascii="David" w:hAnsi="David"/>
          <w:u w:val="single"/>
          <w:rtl/>
        </w:rPr>
      </w:pPr>
      <w:r>
        <w:rPr>
          <w:rFonts w:ascii="David" w:hAnsi="David"/>
          <w:u w:val="single"/>
          <w:rtl/>
        </w:rPr>
        <w:t>תיק הסמים והתעבורה בעניינו של נאשם 1</w:t>
      </w:r>
    </w:p>
    <w:p w14:paraId="7953E14E" w14:textId="77777777" w:rsidR="00D37B5B" w:rsidRDefault="00D37B5B" w:rsidP="00D37B5B">
      <w:pPr>
        <w:spacing w:line="360" w:lineRule="auto"/>
        <w:jc w:val="both"/>
        <w:rPr>
          <w:rFonts w:ascii="David" w:hAnsi="David"/>
          <w:rtl/>
        </w:rPr>
      </w:pPr>
      <w:r>
        <w:rPr>
          <w:rFonts w:ascii="David" w:hAnsi="David"/>
          <w:rtl/>
        </w:rPr>
        <w:t>14.</w:t>
      </w:r>
      <w:r>
        <w:rPr>
          <w:rFonts w:ascii="David" w:hAnsi="David"/>
          <w:rtl/>
        </w:rPr>
        <w:tab/>
        <w:t xml:space="preserve">כעולה מכתב האישום המתוקן בתיק זה, נהג הנאשם 1 בקטנוע בפזיזות ובאופן מסוכן, וזאת מבלי שהוציא מעולם רישיון נהיגה. כמו כן הנאשם 1 החזיק בקטנוע כ-23 גרם של סם מסוג חשיש, מחולק למנות. נוכח הודאתו במעשים אלה, הורשע הנאשם 1 בעבירה של </w:t>
      </w:r>
      <w:r>
        <w:rPr>
          <w:rFonts w:ascii="David" w:hAnsi="David"/>
          <w:b/>
          <w:bCs/>
          <w:rtl/>
        </w:rPr>
        <w:t>החזקה בסמים שלא לצריכה עצמית</w:t>
      </w:r>
      <w:r>
        <w:rPr>
          <w:rFonts w:ascii="David" w:hAnsi="David"/>
          <w:rtl/>
        </w:rPr>
        <w:t xml:space="preserve"> לפי </w:t>
      </w:r>
      <w:hyperlink r:id="rId47" w:history="1">
        <w:r w:rsidR="00505923" w:rsidRPr="00505923">
          <w:rPr>
            <w:rStyle w:val="Hyperlink"/>
            <w:rFonts w:ascii="David" w:hAnsi="David"/>
            <w:rtl/>
          </w:rPr>
          <w:t>סעיף 7(א)</w:t>
        </w:r>
      </w:hyperlink>
      <w:r>
        <w:rPr>
          <w:rFonts w:ascii="David" w:hAnsi="David"/>
          <w:rtl/>
        </w:rPr>
        <w:t xml:space="preserve"> </w:t>
      </w:r>
      <w:hyperlink r:id="rId48" w:history="1">
        <w:r w:rsidR="00505923" w:rsidRPr="00505923">
          <w:rPr>
            <w:rStyle w:val="Hyperlink"/>
            <w:rFonts w:ascii="David" w:hAnsi="David"/>
            <w:rtl/>
          </w:rPr>
          <w:t>וסעיף 7(ג)</w:t>
        </w:r>
      </w:hyperlink>
      <w:r>
        <w:rPr>
          <w:rFonts w:ascii="David" w:hAnsi="David"/>
          <w:rtl/>
        </w:rPr>
        <w:t xml:space="preserve"> רישה ל</w:t>
      </w:r>
      <w:hyperlink r:id="rId49" w:history="1">
        <w:r w:rsidR="00C550C7" w:rsidRPr="00C550C7">
          <w:rPr>
            <w:rFonts w:ascii="David" w:hAnsi="David"/>
            <w:color w:val="0000FF"/>
            <w:u w:val="single"/>
            <w:rtl/>
          </w:rPr>
          <w:t>פקודת הסמים המסוכנים</w:t>
        </w:r>
      </w:hyperlink>
      <w:r>
        <w:rPr>
          <w:rFonts w:ascii="David" w:hAnsi="David"/>
          <w:rtl/>
        </w:rPr>
        <w:t xml:space="preserve">, התשל"ג-1973; </w:t>
      </w:r>
      <w:r>
        <w:rPr>
          <w:rFonts w:ascii="David" w:hAnsi="David"/>
          <w:b/>
          <w:bCs/>
          <w:rtl/>
        </w:rPr>
        <w:t>נהיגה ברכב ללא ביטוח</w:t>
      </w:r>
      <w:r>
        <w:rPr>
          <w:rFonts w:ascii="David" w:hAnsi="David"/>
          <w:rtl/>
        </w:rPr>
        <w:t xml:space="preserve">, לפי </w:t>
      </w:r>
      <w:hyperlink r:id="rId50" w:history="1">
        <w:r w:rsidR="00505923" w:rsidRPr="00505923">
          <w:rPr>
            <w:rStyle w:val="Hyperlink"/>
            <w:rFonts w:ascii="David" w:hAnsi="David"/>
            <w:rtl/>
          </w:rPr>
          <w:t>סעיף 2(א)</w:t>
        </w:r>
      </w:hyperlink>
      <w:r>
        <w:rPr>
          <w:rFonts w:ascii="David" w:hAnsi="David"/>
          <w:rtl/>
        </w:rPr>
        <w:t xml:space="preserve"> ל</w:t>
      </w:r>
      <w:hyperlink r:id="rId51" w:history="1">
        <w:r w:rsidR="00C550C7" w:rsidRPr="00C550C7">
          <w:rPr>
            <w:rFonts w:ascii="David" w:hAnsi="David"/>
            <w:color w:val="0000FF"/>
            <w:u w:val="single"/>
            <w:rtl/>
          </w:rPr>
          <w:t>פקודת ביטוח רכב מנועי</w:t>
        </w:r>
      </w:hyperlink>
      <w:r>
        <w:rPr>
          <w:rFonts w:ascii="David" w:hAnsi="David"/>
          <w:rtl/>
        </w:rPr>
        <w:t xml:space="preserve">, התש"ל-1970; </w:t>
      </w:r>
      <w:r>
        <w:rPr>
          <w:rFonts w:ascii="David" w:hAnsi="David"/>
          <w:b/>
          <w:bCs/>
          <w:rtl/>
        </w:rPr>
        <w:t>נהיגה בקלות ראש</w:t>
      </w:r>
      <w:r>
        <w:rPr>
          <w:rFonts w:ascii="David" w:hAnsi="David"/>
          <w:rtl/>
        </w:rPr>
        <w:t xml:space="preserve">, לפי </w:t>
      </w:r>
      <w:hyperlink r:id="rId52" w:history="1">
        <w:r w:rsidR="00505923" w:rsidRPr="00505923">
          <w:rPr>
            <w:rStyle w:val="Hyperlink"/>
            <w:rFonts w:ascii="David" w:hAnsi="David"/>
            <w:rtl/>
          </w:rPr>
          <w:t>סעיף 62(2)</w:t>
        </w:r>
      </w:hyperlink>
      <w:r>
        <w:rPr>
          <w:rFonts w:ascii="David" w:hAnsi="David"/>
          <w:rtl/>
        </w:rPr>
        <w:t xml:space="preserve"> ל</w:t>
      </w:r>
      <w:hyperlink r:id="rId53" w:history="1">
        <w:r w:rsidR="00C550C7" w:rsidRPr="00C550C7">
          <w:rPr>
            <w:rFonts w:ascii="David" w:hAnsi="David"/>
            <w:color w:val="0000FF"/>
            <w:u w:val="single"/>
            <w:rtl/>
          </w:rPr>
          <w:t>פקודת התעבורה</w:t>
        </w:r>
      </w:hyperlink>
      <w:r>
        <w:rPr>
          <w:rFonts w:ascii="David" w:hAnsi="David"/>
          <w:rtl/>
        </w:rPr>
        <w:t xml:space="preserve">, התשכ"א-1961; </w:t>
      </w:r>
      <w:r>
        <w:rPr>
          <w:rFonts w:ascii="David" w:hAnsi="David"/>
          <w:b/>
          <w:bCs/>
          <w:rtl/>
        </w:rPr>
        <w:t>ונהיגה ללא רישיון נהיגה</w:t>
      </w:r>
      <w:r>
        <w:rPr>
          <w:rFonts w:ascii="David" w:hAnsi="David"/>
          <w:rtl/>
        </w:rPr>
        <w:t xml:space="preserve">, לפי </w:t>
      </w:r>
      <w:hyperlink r:id="rId54" w:history="1">
        <w:r w:rsidR="00505923" w:rsidRPr="00505923">
          <w:rPr>
            <w:rStyle w:val="Hyperlink"/>
            <w:rFonts w:ascii="David" w:hAnsi="David"/>
            <w:rtl/>
          </w:rPr>
          <w:t>סעיף 10(א)</w:t>
        </w:r>
      </w:hyperlink>
      <w:r>
        <w:rPr>
          <w:rFonts w:ascii="David" w:hAnsi="David"/>
          <w:rtl/>
        </w:rPr>
        <w:t xml:space="preserve"> לפקודת התעבורה. </w:t>
      </w:r>
    </w:p>
    <w:p w14:paraId="21F76FDD" w14:textId="77777777" w:rsidR="00D37B5B" w:rsidRDefault="00D37B5B" w:rsidP="00D37B5B">
      <w:pPr>
        <w:spacing w:line="360" w:lineRule="auto"/>
        <w:jc w:val="both"/>
        <w:rPr>
          <w:rFonts w:ascii="David" w:hAnsi="David"/>
          <w:rtl/>
        </w:rPr>
      </w:pPr>
    </w:p>
    <w:p w14:paraId="2C8B34F2" w14:textId="77777777" w:rsidR="00D37B5B" w:rsidRDefault="00D37B5B" w:rsidP="00D37B5B">
      <w:pPr>
        <w:spacing w:line="360" w:lineRule="auto"/>
        <w:ind w:firstLine="720"/>
        <w:jc w:val="both"/>
        <w:rPr>
          <w:rFonts w:ascii="David" w:hAnsi="David"/>
          <w:rtl/>
        </w:rPr>
      </w:pPr>
      <w:r>
        <w:rPr>
          <w:rFonts w:ascii="David" w:hAnsi="David"/>
          <w:rtl/>
        </w:rPr>
        <w:t xml:space="preserve">בנסיבות אלו סיכן הנאשם 1 את משתמשי הדרך, והחזיק בסמים שלא לצריכה עצמית, ללא היתר כדין. </w:t>
      </w:r>
    </w:p>
    <w:p w14:paraId="737B0293" w14:textId="77777777" w:rsidR="00D37B5B" w:rsidRDefault="00D37B5B" w:rsidP="00D37B5B">
      <w:pPr>
        <w:spacing w:line="360" w:lineRule="auto"/>
        <w:ind w:firstLine="720"/>
        <w:jc w:val="both"/>
        <w:rPr>
          <w:rFonts w:ascii="David" w:hAnsi="David"/>
          <w:rtl/>
        </w:rPr>
      </w:pPr>
    </w:p>
    <w:p w14:paraId="511EB95D" w14:textId="77777777" w:rsidR="00D37B5B" w:rsidRDefault="00D37B5B" w:rsidP="00D37B5B">
      <w:pPr>
        <w:spacing w:line="360" w:lineRule="auto"/>
        <w:jc w:val="both"/>
        <w:rPr>
          <w:rFonts w:ascii="David" w:hAnsi="David"/>
          <w:rtl/>
        </w:rPr>
      </w:pPr>
      <w:r>
        <w:rPr>
          <w:rFonts w:ascii="David" w:hAnsi="David"/>
          <w:rtl/>
        </w:rPr>
        <w:t>15.</w:t>
      </w:r>
      <w:r>
        <w:rPr>
          <w:rFonts w:ascii="David" w:hAnsi="David"/>
          <w:rtl/>
        </w:rPr>
        <w:tab/>
        <w:t xml:space="preserve">המאשימה עתרה בתיק זה למתחם </w:t>
      </w:r>
      <w:r>
        <w:rPr>
          <w:rFonts w:ascii="David" w:hAnsi="David"/>
          <w:b/>
          <w:bCs/>
          <w:rtl/>
        </w:rPr>
        <w:t>שנע בין 6 חודשי מאסר שיכול וירוצ</w:t>
      </w:r>
      <w:r>
        <w:rPr>
          <w:rFonts w:ascii="David" w:hAnsi="David" w:hint="cs"/>
          <w:b/>
          <w:bCs/>
          <w:rtl/>
        </w:rPr>
        <w:t>ו</w:t>
      </w:r>
      <w:r>
        <w:rPr>
          <w:rFonts w:ascii="David" w:hAnsi="David"/>
          <w:b/>
          <w:bCs/>
          <w:rtl/>
        </w:rPr>
        <w:t xml:space="preserve"> בעבודות שירות, ועד ל-18 חודשי מאסר בפועל</w:t>
      </w:r>
      <w:r>
        <w:rPr>
          <w:rFonts w:ascii="David" w:hAnsi="David"/>
          <w:rtl/>
        </w:rPr>
        <w:t xml:space="preserve">, בנוסף להשתת פסילה בפועל, מאסר על תנאי, פסילה על תנאי וקנס. המאשימה ביקשה לקבוע את העונש במחצית העליונה של המתחם וכן להפעיל, במצטבר, </w:t>
      </w:r>
      <w:r>
        <w:rPr>
          <w:rFonts w:ascii="David" w:hAnsi="David"/>
          <w:b/>
          <w:bCs/>
          <w:rtl/>
        </w:rPr>
        <w:t>שני מאסרים מותנים ועונש פסילה על תנאי</w:t>
      </w:r>
      <w:r>
        <w:rPr>
          <w:rFonts w:ascii="David" w:hAnsi="David"/>
          <w:rtl/>
        </w:rPr>
        <w:t>, התלויים ועומדים כנגד הנאשם 1 בתיקים קודמים והם ברי הפעלה כאן.  סנגורו של הנאשם 1 ביקש לחפוף את עונשי המאסר המותנה שיופעלו.</w:t>
      </w:r>
    </w:p>
    <w:p w14:paraId="22B9F749" w14:textId="77777777" w:rsidR="00D37B5B" w:rsidRDefault="00D37B5B" w:rsidP="00D37B5B">
      <w:pPr>
        <w:spacing w:line="360" w:lineRule="auto"/>
        <w:ind w:firstLine="720"/>
        <w:jc w:val="both"/>
        <w:rPr>
          <w:rFonts w:ascii="David" w:hAnsi="David"/>
          <w:rtl/>
        </w:rPr>
      </w:pPr>
    </w:p>
    <w:p w14:paraId="53505E78" w14:textId="77777777" w:rsidR="00D37B5B" w:rsidRDefault="00D37B5B" w:rsidP="00D37B5B">
      <w:pPr>
        <w:spacing w:line="360" w:lineRule="auto"/>
        <w:jc w:val="both"/>
        <w:rPr>
          <w:rFonts w:ascii="David" w:hAnsi="David"/>
          <w:rtl/>
        </w:rPr>
      </w:pPr>
      <w:r>
        <w:rPr>
          <w:rFonts w:ascii="David" w:hAnsi="David"/>
          <w:rtl/>
        </w:rPr>
        <w:t>16.</w:t>
      </w:r>
      <w:r>
        <w:rPr>
          <w:rFonts w:ascii="David" w:hAnsi="David"/>
          <w:rtl/>
        </w:rPr>
        <w:tab/>
        <w:t xml:space="preserve">הנאשם 1 פגע בערכים של שמירה על הסדר הציבורי, שלום הציבור ובריאותו. הפגיעה בערכים אלה היא ברף הבינוני - נמוך. סוג הסם שנתפס והכמות הינם ברף חומרה נמוך. עם זאת, נסיעה בקטנוע באופן מסוכן, וללא רישיון או פוליסת ביטוח, יש בה פוטנציאל של פגיעה במשתמשים האחרים בדרך, הגם שבמקרה הזה לא נגרם נזק בפועל. </w:t>
      </w:r>
    </w:p>
    <w:p w14:paraId="4D450F37" w14:textId="77777777" w:rsidR="00D37B5B" w:rsidRDefault="00D37B5B" w:rsidP="00D37B5B">
      <w:pPr>
        <w:spacing w:line="360" w:lineRule="auto"/>
        <w:jc w:val="both"/>
        <w:rPr>
          <w:rFonts w:ascii="David" w:hAnsi="David"/>
          <w:rtl/>
        </w:rPr>
      </w:pPr>
    </w:p>
    <w:p w14:paraId="6D6580DA" w14:textId="77777777" w:rsidR="00D37B5B" w:rsidRDefault="00D37B5B" w:rsidP="00D37B5B">
      <w:pPr>
        <w:spacing w:line="360" w:lineRule="auto"/>
        <w:jc w:val="both"/>
        <w:rPr>
          <w:rFonts w:ascii="David" w:hAnsi="David"/>
          <w:rtl/>
        </w:rPr>
      </w:pPr>
      <w:r>
        <w:rPr>
          <w:rFonts w:ascii="David" w:hAnsi="David"/>
          <w:rtl/>
        </w:rPr>
        <w:t>17.</w:t>
      </w:r>
      <w:r>
        <w:rPr>
          <w:rFonts w:ascii="David" w:hAnsi="David"/>
          <w:rtl/>
        </w:rPr>
        <w:tab/>
        <w:t>ב</w:t>
      </w:r>
      <w:hyperlink r:id="rId55" w:history="1">
        <w:r w:rsidR="00C550C7" w:rsidRPr="00C550C7">
          <w:rPr>
            <w:rFonts w:ascii="David" w:hAnsi="David"/>
            <w:color w:val="0000FF"/>
            <w:u w:val="single"/>
            <w:rtl/>
          </w:rPr>
          <w:t>רע"פ 322/15</w:t>
        </w:r>
      </w:hyperlink>
      <w:r>
        <w:rPr>
          <w:rFonts w:ascii="David" w:hAnsi="David"/>
          <w:rtl/>
        </w:rPr>
        <w:t xml:space="preserve"> </w:t>
      </w:r>
      <w:r>
        <w:rPr>
          <w:rFonts w:ascii="David" w:hAnsi="David"/>
          <w:b/>
          <w:bCs/>
          <w:rtl/>
        </w:rPr>
        <w:t>ג'אנח נ' מדינת ישראל</w:t>
      </w:r>
      <w:r>
        <w:rPr>
          <w:rFonts w:ascii="David" w:hAnsi="David"/>
          <w:rtl/>
        </w:rPr>
        <w:t xml:space="preserve"> (פורסם בנבו, 22.1.2015), דובר על אישום של החזקת סם מסוג חשיש במשקל כולל של כ-400 גרם. בית משפט השלום קבע מתחם ענישה הנע בין </w:t>
      </w:r>
      <w:r>
        <w:rPr>
          <w:rFonts w:ascii="David" w:hAnsi="David"/>
          <w:b/>
          <w:bCs/>
          <w:rtl/>
        </w:rPr>
        <w:t>7 חודשי מאסר ועד ל-18 חודשי מאסר לריצוי ממשי בפועל</w:t>
      </w:r>
      <w:r>
        <w:rPr>
          <w:rFonts w:ascii="David" w:hAnsi="David"/>
          <w:rtl/>
        </w:rPr>
        <w:t xml:space="preserve">. ערעור שהוגש לבית המשפט המחוזי נדחה וכך גם בקשת רשות ערעור שהוגשה לעליון.  </w:t>
      </w:r>
    </w:p>
    <w:p w14:paraId="6A0D1D29" w14:textId="77777777" w:rsidR="00D37B5B" w:rsidRDefault="00D37B5B" w:rsidP="00D37B5B">
      <w:pPr>
        <w:spacing w:line="360" w:lineRule="auto"/>
        <w:ind w:firstLine="720"/>
        <w:jc w:val="both"/>
        <w:rPr>
          <w:rFonts w:ascii="David" w:hAnsi="David"/>
          <w:rtl/>
        </w:rPr>
      </w:pPr>
    </w:p>
    <w:p w14:paraId="14249260" w14:textId="77777777" w:rsidR="00D37B5B" w:rsidRDefault="00D37B5B" w:rsidP="00D37B5B">
      <w:pPr>
        <w:spacing w:line="360" w:lineRule="auto"/>
        <w:ind w:firstLine="720"/>
        <w:jc w:val="both"/>
        <w:rPr>
          <w:rFonts w:ascii="David" w:hAnsi="David"/>
          <w:rtl/>
        </w:rPr>
      </w:pPr>
      <w:r>
        <w:rPr>
          <w:rFonts w:ascii="David" w:hAnsi="David"/>
          <w:rtl/>
        </w:rPr>
        <w:t>ב</w:t>
      </w:r>
      <w:hyperlink r:id="rId56" w:history="1">
        <w:r w:rsidR="00C550C7" w:rsidRPr="00C550C7">
          <w:rPr>
            <w:rFonts w:ascii="David" w:hAnsi="David"/>
            <w:color w:val="0000FF"/>
            <w:u w:val="single"/>
            <w:rtl/>
          </w:rPr>
          <w:t>רע"פ 10116/16</w:t>
        </w:r>
      </w:hyperlink>
      <w:r>
        <w:rPr>
          <w:rFonts w:ascii="David" w:hAnsi="David"/>
          <w:rtl/>
        </w:rPr>
        <w:t xml:space="preserve"> </w:t>
      </w:r>
      <w:r>
        <w:rPr>
          <w:rFonts w:ascii="David" w:hAnsi="David"/>
          <w:b/>
          <w:bCs/>
          <w:rtl/>
        </w:rPr>
        <w:t>דסוקי נ' מדינת ישראל</w:t>
      </w:r>
      <w:r>
        <w:rPr>
          <w:rFonts w:ascii="David" w:hAnsi="David"/>
          <w:rtl/>
        </w:rPr>
        <w:t xml:space="preserve"> (פורסם בנבו, 24.1.2017) דובר על נאשם שהורשע בבית המשפט לתעבורה בעבירות של נהיגה בקלות ראש, אי ציות להוראות שוטר, נהיגה תחת השפעת משקאות משכרים, נהיגה ללא רישיון נהיגה בתוקף ונהיגה ללא פוליסת ביטוח בת-תוקף. דובר שם על מקרה חמור מהמקרה כאן. הנאשם חצה רמזורים באור אדום, עקף מחסום משטרתי, נסע בניגוד לכיוון התנועה ולא ציית לשוטרים שהורו לו לעצור, וכאמור נהג תחת השפעה משכרת. על הנאשם נגזרו 9 חודשי מאסר בפועל וענישה נלווית. בית המשפט המחוזי ובית המשפט העליון דחו את הערעור ובקשת רשות הערעור על חומרת העונש. </w:t>
      </w:r>
    </w:p>
    <w:p w14:paraId="5A10369A" w14:textId="77777777" w:rsidR="00D37B5B" w:rsidRDefault="00D37B5B" w:rsidP="00D37B5B">
      <w:pPr>
        <w:spacing w:line="360" w:lineRule="auto"/>
        <w:jc w:val="both"/>
        <w:rPr>
          <w:rFonts w:ascii="David" w:hAnsi="David"/>
        </w:rPr>
      </w:pPr>
    </w:p>
    <w:p w14:paraId="3B0BA7F5" w14:textId="77777777" w:rsidR="00D37B5B" w:rsidRDefault="00D37B5B" w:rsidP="00D37B5B">
      <w:pPr>
        <w:spacing w:line="360" w:lineRule="auto"/>
        <w:jc w:val="both"/>
        <w:rPr>
          <w:rFonts w:ascii="David" w:hAnsi="David"/>
          <w:rtl/>
        </w:rPr>
      </w:pPr>
      <w:r>
        <w:rPr>
          <w:rFonts w:ascii="David" w:hAnsi="David"/>
          <w:rtl/>
        </w:rPr>
        <w:t>18.</w:t>
      </w:r>
      <w:r>
        <w:rPr>
          <w:rFonts w:ascii="David" w:hAnsi="David"/>
          <w:rtl/>
        </w:rPr>
        <w:tab/>
        <w:t xml:space="preserve">ראיתי לקבוע מתחם אחד לעבירות בהן הורשע הנאשם 1 בתיק המצורף הנ"ל, נוכח סמיכות הזמנים והחזקת הסמים בכלי הרכב שבו בוצעו עבירות התעבורה – הקטנוע. בשקלול כלל הנסיבות, מדיניות הענישה הנוהגת ומידת הפגיעה בערכים המוגנים, אני קובע את מתחם הענישה בתיק המצורף כנע בין </w:t>
      </w:r>
      <w:r>
        <w:rPr>
          <w:rFonts w:ascii="David" w:hAnsi="David"/>
          <w:b/>
          <w:bCs/>
          <w:rtl/>
        </w:rPr>
        <w:t>מספר חודשי מאסר שיכול וירוצו בעבודות שירות ברף התחתון, ועד ל-18 חודשי מאסר לריצוי ממשי בפועל ברף העליון</w:t>
      </w:r>
      <w:r>
        <w:rPr>
          <w:rFonts w:ascii="David" w:hAnsi="David"/>
          <w:rtl/>
        </w:rPr>
        <w:t xml:space="preserve">. </w:t>
      </w:r>
    </w:p>
    <w:p w14:paraId="49373F11" w14:textId="77777777" w:rsidR="00D37B5B" w:rsidRDefault="00D37B5B" w:rsidP="00D37B5B">
      <w:pPr>
        <w:spacing w:line="360" w:lineRule="auto"/>
        <w:jc w:val="both"/>
        <w:rPr>
          <w:rFonts w:ascii="David" w:hAnsi="David"/>
          <w:rtl/>
        </w:rPr>
      </w:pPr>
    </w:p>
    <w:p w14:paraId="677B3994" w14:textId="77777777" w:rsidR="00D37B5B" w:rsidRDefault="00D37B5B" w:rsidP="00D37B5B">
      <w:pPr>
        <w:spacing w:line="360" w:lineRule="auto"/>
        <w:jc w:val="both"/>
        <w:rPr>
          <w:rFonts w:ascii="David" w:hAnsi="David"/>
          <w:rtl/>
        </w:rPr>
      </w:pPr>
      <w:r>
        <w:rPr>
          <w:rFonts w:ascii="David" w:hAnsi="David"/>
          <w:rtl/>
        </w:rPr>
        <w:tab/>
        <w:t xml:space="preserve">לא נמצאה עילה לסטייה ממתחם הענישה שקבעתי לקולה או לחומרה בהיעדר הצגת אפיק שיקומי. </w:t>
      </w:r>
    </w:p>
    <w:p w14:paraId="7D5CCAC3" w14:textId="77777777" w:rsidR="00D37B5B" w:rsidRDefault="00D37B5B" w:rsidP="00D37B5B">
      <w:pPr>
        <w:spacing w:line="360" w:lineRule="auto"/>
        <w:jc w:val="both"/>
        <w:rPr>
          <w:rFonts w:ascii="David" w:hAnsi="David"/>
          <w:rtl/>
        </w:rPr>
      </w:pPr>
    </w:p>
    <w:p w14:paraId="6BDB9F89" w14:textId="77777777" w:rsidR="00D37B5B" w:rsidRDefault="00D37B5B" w:rsidP="00D37B5B">
      <w:pPr>
        <w:spacing w:line="360" w:lineRule="auto"/>
        <w:jc w:val="both"/>
        <w:rPr>
          <w:rFonts w:ascii="David" w:hAnsi="David"/>
          <w:rtl/>
        </w:rPr>
      </w:pPr>
      <w:r>
        <w:rPr>
          <w:rFonts w:ascii="David" w:hAnsi="David"/>
          <w:rtl/>
        </w:rPr>
        <w:t>19.</w:t>
      </w:r>
      <w:r>
        <w:rPr>
          <w:rFonts w:ascii="David" w:hAnsi="David"/>
          <w:rtl/>
        </w:rPr>
        <w:tab/>
        <w:t xml:space="preserve">לצד שקילת נסיבותיו האישיות שפורטו לעיל, לקחתי בחשבון את הודאת הנאשם בהזדמנות הראשונה ובקשתו לצרף את התיק לכאן, ובכך לחסוך במשאב המשפטי. עוד לקחתי בחשבון את חלוף הזמן מאז ביצוע העבירות, לפני קרוב לשלוש שנים. מנגד, לנאשם 1 עבר פלילי מכביד בעבירות סמים ותעבורה ויש כנגדו עונשי מאסר מותנה ופסילה מותנית שהם ברי הפעלה כאן, שלא מנעו אותו מלשנות על העבירות. שקלתי גם את החשיבות המיוחדת שיש להרתעת הרבים והיחיד כאן, במיוחד נוכח עברו הפלילי המכביד של הנאשם בעבירות מסוג זה. </w:t>
      </w:r>
    </w:p>
    <w:p w14:paraId="63843EFB" w14:textId="77777777" w:rsidR="00D37B5B" w:rsidRDefault="00D37B5B" w:rsidP="00D37B5B">
      <w:pPr>
        <w:spacing w:line="360" w:lineRule="auto"/>
        <w:jc w:val="both"/>
        <w:rPr>
          <w:rFonts w:ascii="David" w:hAnsi="David"/>
          <w:rtl/>
        </w:rPr>
      </w:pPr>
    </w:p>
    <w:p w14:paraId="637118E5" w14:textId="77777777" w:rsidR="00D37B5B" w:rsidRDefault="00D37B5B" w:rsidP="00D37B5B">
      <w:pPr>
        <w:spacing w:line="360" w:lineRule="auto"/>
        <w:jc w:val="both"/>
        <w:rPr>
          <w:rFonts w:ascii="David" w:hAnsi="David"/>
          <w:rtl/>
        </w:rPr>
      </w:pPr>
      <w:r>
        <w:rPr>
          <w:rFonts w:ascii="David" w:hAnsi="David"/>
          <w:rtl/>
        </w:rPr>
        <w:t>20.</w:t>
      </w:r>
      <w:r>
        <w:rPr>
          <w:rFonts w:ascii="David" w:hAnsi="David"/>
          <w:rtl/>
        </w:rPr>
        <w:tab/>
        <w:t xml:space="preserve">בשקלול כלל הנסיבות מצאתי לגזור את עונשו של הנאשם בחלקו התחתון של מתחם הענישה, ואני גוזר עליו עונש של </w:t>
      </w:r>
      <w:r>
        <w:rPr>
          <w:rFonts w:ascii="David" w:hAnsi="David"/>
          <w:b/>
          <w:bCs/>
          <w:rtl/>
        </w:rPr>
        <w:t>שישה (6) חודשי מאסר לריצוי ממשי בפועל</w:t>
      </w:r>
      <w:r>
        <w:rPr>
          <w:rFonts w:ascii="David" w:hAnsi="David"/>
          <w:rtl/>
        </w:rPr>
        <w:t xml:space="preserve">, אשר ירוצו </w:t>
      </w:r>
      <w:r>
        <w:rPr>
          <w:rFonts w:ascii="David" w:hAnsi="David"/>
          <w:u w:val="single"/>
          <w:rtl/>
        </w:rPr>
        <w:t>במצטבר</w:t>
      </w:r>
      <w:r>
        <w:rPr>
          <w:rFonts w:ascii="David" w:hAnsi="David"/>
          <w:rtl/>
        </w:rPr>
        <w:t xml:space="preserve"> לעונש המאסר בפועל שנגזר עליו בתיק העיקרי (תיק עבירות הנשק). </w:t>
      </w:r>
      <w:r>
        <w:rPr>
          <w:rFonts w:ascii="David" w:hAnsi="David" w:hint="cs"/>
          <w:rtl/>
        </w:rPr>
        <w:t>מתקופה זו ינוכו ימי מעצרו הממשי  על פי הסכמת הצדדים מיןם 28.5.18 ועד 30.7.18 .</w:t>
      </w:r>
    </w:p>
    <w:p w14:paraId="04D4F0BF" w14:textId="77777777" w:rsidR="00D37B5B" w:rsidRDefault="00D37B5B" w:rsidP="00D37B5B">
      <w:pPr>
        <w:spacing w:line="360" w:lineRule="auto"/>
        <w:ind w:firstLine="720"/>
        <w:jc w:val="both"/>
        <w:rPr>
          <w:rFonts w:ascii="David" w:hAnsi="David"/>
          <w:rtl/>
        </w:rPr>
      </w:pPr>
    </w:p>
    <w:p w14:paraId="782483E9" w14:textId="77777777" w:rsidR="00D37B5B" w:rsidRDefault="00D37B5B" w:rsidP="00D37B5B">
      <w:pPr>
        <w:spacing w:line="360" w:lineRule="auto"/>
        <w:ind w:firstLine="720"/>
        <w:jc w:val="both"/>
        <w:rPr>
          <w:rFonts w:ascii="David" w:hAnsi="David"/>
          <w:rtl/>
        </w:rPr>
      </w:pPr>
      <w:r>
        <w:rPr>
          <w:rFonts w:ascii="David" w:hAnsi="David"/>
          <w:rtl/>
        </w:rPr>
        <w:t xml:space="preserve">לצד זאת אני מטיל על הנאשם 1, עונש של </w:t>
      </w:r>
      <w:r>
        <w:rPr>
          <w:rFonts w:ascii="David" w:hAnsi="David"/>
          <w:b/>
          <w:bCs/>
          <w:rtl/>
        </w:rPr>
        <w:t>שישה (6) חודשי פסילה מקבל או החזק רישיון נהיגה,</w:t>
      </w:r>
      <w:r>
        <w:rPr>
          <w:rFonts w:ascii="David" w:hAnsi="David"/>
          <w:rtl/>
        </w:rPr>
        <w:t xml:space="preserve"> </w:t>
      </w:r>
      <w:r>
        <w:rPr>
          <w:rFonts w:ascii="David" w:hAnsi="David"/>
          <w:b/>
          <w:bCs/>
          <w:rtl/>
        </w:rPr>
        <w:t>בפועל,</w:t>
      </w:r>
      <w:r>
        <w:rPr>
          <w:rFonts w:ascii="David" w:hAnsi="David"/>
          <w:rtl/>
        </w:rPr>
        <w:t xml:space="preserve"> שמניינם מיום שחרורו ממאסרו. משך הפסילה כאן נקבע בשים לב למשך המאסר הכולל שירצה הנאשם ולעונשי פסילת המינימום הקבועים </w:t>
      </w:r>
      <w:hyperlink r:id="rId57" w:history="1">
        <w:r w:rsidR="00505923" w:rsidRPr="00505923">
          <w:rPr>
            <w:rStyle w:val="Hyperlink"/>
            <w:rFonts w:ascii="David" w:hAnsi="David"/>
            <w:rtl/>
          </w:rPr>
          <w:t>בסעיף 38(1)</w:t>
        </w:r>
      </w:hyperlink>
      <w:r>
        <w:rPr>
          <w:rFonts w:ascii="David" w:hAnsi="David"/>
          <w:rtl/>
        </w:rPr>
        <w:t xml:space="preserve"> </w:t>
      </w:r>
      <w:hyperlink r:id="rId58" w:history="1">
        <w:r w:rsidR="00505923" w:rsidRPr="00505923">
          <w:rPr>
            <w:rStyle w:val="Hyperlink"/>
            <w:rFonts w:ascii="David" w:hAnsi="David"/>
            <w:rtl/>
          </w:rPr>
          <w:t>וסעיף 37</w:t>
        </w:r>
      </w:hyperlink>
      <w:r>
        <w:rPr>
          <w:rFonts w:ascii="David" w:hAnsi="David"/>
          <w:rtl/>
        </w:rPr>
        <w:t xml:space="preserve"> ל</w:t>
      </w:r>
      <w:hyperlink r:id="rId59" w:history="1">
        <w:r w:rsidR="00C550C7" w:rsidRPr="00C550C7">
          <w:rPr>
            <w:rFonts w:ascii="David" w:hAnsi="David"/>
            <w:color w:val="0000FF"/>
            <w:u w:val="single"/>
            <w:rtl/>
          </w:rPr>
          <w:t>פקודת התעבורה</w:t>
        </w:r>
      </w:hyperlink>
      <w:r>
        <w:rPr>
          <w:rFonts w:ascii="David" w:hAnsi="David"/>
          <w:rtl/>
        </w:rPr>
        <w:t xml:space="preserve"> על מי שביצע עבירה מהעבירות המפורטות בתוספת הראשונה והשנייה, כבענייננו. </w:t>
      </w:r>
    </w:p>
    <w:p w14:paraId="2BE56826" w14:textId="77777777" w:rsidR="00D37B5B" w:rsidRDefault="00D37B5B" w:rsidP="00D37B5B">
      <w:pPr>
        <w:spacing w:line="360" w:lineRule="auto"/>
        <w:jc w:val="both"/>
        <w:rPr>
          <w:rFonts w:ascii="David" w:hAnsi="David"/>
          <w:rtl/>
        </w:rPr>
      </w:pPr>
      <w:r>
        <w:rPr>
          <w:rFonts w:ascii="David" w:hAnsi="David"/>
          <w:rtl/>
        </w:rPr>
        <w:tab/>
      </w:r>
    </w:p>
    <w:p w14:paraId="1AD93FDE" w14:textId="77777777" w:rsidR="00D37B5B" w:rsidRDefault="00D37B5B" w:rsidP="00D37B5B">
      <w:pPr>
        <w:spacing w:line="360" w:lineRule="auto"/>
        <w:ind w:firstLine="720"/>
        <w:jc w:val="both"/>
        <w:rPr>
          <w:rFonts w:ascii="David" w:hAnsi="David"/>
          <w:rtl/>
        </w:rPr>
      </w:pPr>
      <w:r>
        <w:rPr>
          <w:rFonts w:ascii="David" w:hAnsi="David"/>
          <w:rtl/>
        </w:rPr>
        <w:t xml:space="preserve">לצד זאת אני גוזר על הנאשם 1, עשרה (10) חודשי מאסר אותם לא ירצה אלא אם ישוב ויעבור בתוך 3 שנים מיום שחרורו ממאסרו, עבירה של החזקה או שימוש בסמים שלא לצריכה עצמית לפי </w:t>
      </w:r>
      <w:hyperlink r:id="rId60" w:history="1">
        <w:r w:rsidR="00505923" w:rsidRPr="00505923">
          <w:rPr>
            <w:rStyle w:val="Hyperlink"/>
            <w:rFonts w:ascii="David" w:hAnsi="David"/>
            <w:rtl/>
          </w:rPr>
          <w:t>סעיף 7(ג)</w:t>
        </w:r>
      </w:hyperlink>
      <w:r>
        <w:rPr>
          <w:rFonts w:ascii="David" w:hAnsi="David"/>
          <w:rtl/>
        </w:rPr>
        <w:t xml:space="preserve"> רישה ל</w:t>
      </w:r>
      <w:hyperlink r:id="rId61" w:history="1">
        <w:r w:rsidR="00C550C7" w:rsidRPr="00C550C7">
          <w:rPr>
            <w:rFonts w:ascii="David" w:hAnsi="David"/>
            <w:color w:val="0000FF"/>
            <w:u w:val="single"/>
            <w:rtl/>
          </w:rPr>
          <w:t>פקודת הסמים המסוכנים</w:t>
        </w:r>
      </w:hyperlink>
      <w:r>
        <w:rPr>
          <w:rFonts w:ascii="David" w:hAnsi="David"/>
          <w:rtl/>
        </w:rPr>
        <w:t xml:space="preserve">. </w:t>
      </w:r>
    </w:p>
    <w:p w14:paraId="1B73D4C2" w14:textId="77777777" w:rsidR="00D37B5B" w:rsidRDefault="00D37B5B" w:rsidP="00D37B5B">
      <w:pPr>
        <w:spacing w:line="360" w:lineRule="auto"/>
        <w:jc w:val="both"/>
        <w:rPr>
          <w:rFonts w:ascii="David" w:hAnsi="David"/>
          <w:rtl/>
        </w:rPr>
      </w:pPr>
    </w:p>
    <w:p w14:paraId="45B5D74A" w14:textId="77777777" w:rsidR="00D37B5B" w:rsidRDefault="00D37B5B" w:rsidP="00D37B5B">
      <w:pPr>
        <w:spacing w:line="360" w:lineRule="auto"/>
        <w:jc w:val="both"/>
        <w:rPr>
          <w:rFonts w:ascii="David" w:hAnsi="David"/>
          <w:rtl/>
        </w:rPr>
      </w:pPr>
      <w:r>
        <w:rPr>
          <w:rFonts w:ascii="David" w:hAnsi="David"/>
          <w:rtl/>
        </w:rPr>
        <w:tab/>
        <w:t xml:space="preserve">עוד אני גוזר על הנאשם 1, שנים עשר (12) חודשי מאסר אותם לא ירצה אלא אם ישוב ויעבור בתוך 3 שנים מיום שחרורו ממאסרו, עבירה של נהיגה ללא רישיון נהיגה, לפי </w:t>
      </w:r>
      <w:hyperlink r:id="rId62" w:history="1">
        <w:r w:rsidR="00505923" w:rsidRPr="00505923">
          <w:rPr>
            <w:rStyle w:val="Hyperlink"/>
            <w:rFonts w:ascii="David" w:hAnsi="David"/>
            <w:rtl/>
          </w:rPr>
          <w:t>סעיף 10(א)</w:t>
        </w:r>
      </w:hyperlink>
      <w:r>
        <w:rPr>
          <w:rFonts w:ascii="David" w:hAnsi="David"/>
          <w:rtl/>
        </w:rPr>
        <w:t xml:space="preserve"> ל</w:t>
      </w:r>
      <w:hyperlink r:id="rId63" w:history="1">
        <w:r w:rsidR="00C550C7" w:rsidRPr="00C550C7">
          <w:rPr>
            <w:rFonts w:ascii="David" w:hAnsi="David"/>
            <w:color w:val="0000FF"/>
            <w:u w:val="single"/>
            <w:rtl/>
          </w:rPr>
          <w:t>פקודת התעבורה</w:t>
        </w:r>
      </w:hyperlink>
      <w:r>
        <w:rPr>
          <w:rFonts w:ascii="David" w:hAnsi="David"/>
          <w:rtl/>
        </w:rPr>
        <w:t xml:space="preserve">, או עבירה של נהיגה בקלות ראש, לפי </w:t>
      </w:r>
      <w:hyperlink r:id="rId64" w:history="1">
        <w:r w:rsidR="00505923" w:rsidRPr="00505923">
          <w:rPr>
            <w:rStyle w:val="Hyperlink"/>
            <w:rFonts w:ascii="David" w:hAnsi="David"/>
            <w:rtl/>
          </w:rPr>
          <w:t>סעיף 62(2)</w:t>
        </w:r>
      </w:hyperlink>
      <w:r>
        <w:rPr>
          <w:rFonts w:ascii="David" w:hAnsi="David"/>
          <w:rtl/>
        </w:rPr>
        <w:t xml:space="preserve"> לפקודת התעבורה. וכן שישה (6) חודשי פסילה על תנאי, לבל יעבור עבירה של נהיגה ללא רישיון נהיגה, לפי </w:t>
      </w:r>
      <w:hyperlink r:id="rId65" w:history="1">
        <w:r w:rsidR="00505923" w:rsidRPr="00505923">
          <w:rPr>
            <w:rStyle w:val="Hyperlink"/>
            <w:rFonts w:ascii="David" w:hAnsi="David"/>
            <w:rtl/>
          </w:rPr>
          <w:t>סעיף 10(א)</w:t>
        </w:r>
      </w:hyperlink>
      <w:r>
        <w:rPr>
          <w:rFonts w:ascii="David" w:hAnsi="David"/>
          <w:rtl/>
        </w:rPr>
        <w:t xml:space="preserve"> ל</w:t>
      </w:r>
      <w:hyperlink r:id="rId66" w:history="1">
        <w:r w:rsidR="00C550C7" w:rsidRPr="00C550C7">
          <w:rPr>
            <w:rFonts w:ascii="David" w:hAnsi="David"/>
            <w:color w:val="0000FF"/>
            <w:u w:val="single"/>
            <w:rtl/>
          </w:rPr>
          <w:t>פקודת התעבורה</w:t>
        </w:r>
      </w:hyperlink>
      <w:r>
        <w:rPr>
          <w:rFonts w:ascii="David" w:hAnsi="David"/>
          <w:rtl/>
        </w:rPr>
        <w:t xml:space="preserve">, או עבירה של נהיגה בקלות ראש, לפי </w:t>
      </w:r>
      <w:hyperlink r:id="rId67" w:history="1">
        <w:r w:rsidR="00505923" w:rsidRPr="00505923">
          <w:rPr>
            <w:rStyle w:val="Hyperlink"/>
            <w:rFonts w:ascii="David" w:hAnsi="David"/>
            <w:rtl/>
          </w:rPr>
          <w:t>סעיף 62(2)</w:t>
        </w:r>
      </w:hyperlink>
      <w:r>
        <w:rPr>
          <w:rFonts w:ascii="David" w:hAnsi="David"/>
          <w:rtl/>
        </w:rPr>
        <w:t xml:space="preserve"> לפקודת התעבורה, או עבירה של נהיגה ברכב ללא ביטוח, לפי </w:t>
      </w:r>
      <w:hyperlink r:id="rId68" w:history="1">
        <w:r w:rsidR="00505923" w:rsidRPr="00505923">
          <w:rPr>
            <w:rStyle w:val="Hyperlink"/>
            <w:rFonts w:ascii="David" w:hAnsi="David"/>
            <w:rtl/>
          </w:rPr>
          <w:t>סעיף 2(א)</w:t>
        </w:r>
      </w:hyperlink>
      <w:r>
        <w:rPr>
          <w:rFonts w:ascii="David" w:hAnsi="David"/>
          <w:rtl/>
        </w:rPr>
        <w:t xml:space="preserve"> ל</w:t>
      </w:r>
      <w:hyperlink r:id="rId69" w:history="1">
        <w:r w:rsidR="00C550C7" w:rsidRPr="00C550C7">
          <w:rPr>
            <w:rFonts w:ascii="David" w:hAnsi="David"/>
            <w:color w:val="0000FF"/>
            <w:u w:val="single"/>
            <w:rtl/>
          </w:rPr>
          <w:t>פקודת ביטוח רכב מנועי</w:t>
        </w:r>
      </w:hyperlink>
      <w:r>
        <w:rPr>
          <w:rFonts w:ascii="David" w:hAnsi="David"/>
          <w:rtl/>
        </w:rPr>
        <w:t xml:space="preserve">. </w:t>
      </w:r>
    </w:p>
    <w:p w14:paraId="6C11104A" w14:textId="77777777" w:rsidR="00D37B5B" w:rsidRDefault="00D37B5B" w:rsidP="00D37B5B">
      <w:pPr>
        <w:spacing w:line="360" w:lineRule="auto"/>
        <w:jc w:val="both"/>
        <w:rPr>
          <w:rFonts w:ascii="David" w:hAnsi="David"/>
          <w:rtl/>
        </w:rPr>
      </w:pPr>
    </w:p>
    <w:p w14:paraId="65AAE1FD" w14:textId="77777777" w:rsidR="00D37B5B" w:rsidRDefault="00D37B5B" w:rsidP="00D37B5B">
      <w:pPr>
        <w:spacing w:line="360" w:lineRule="auto"/>
        <w:ind w:firstLine="720"/>
        <w:jc w:val="both"/>
        <w:rPr>
          <w:rFonts w:ascii="David" w:hAnsi="David"/>
          <w:rtl/>
        </w:rPr>
      </w:pPr>
      <w:r>
        <w:rPr>
          <w:rFonts w:ascii="David" w:hAnsi="David"/>
          <w:rtl/>
        </w:rPr>
        <w:t xml:space="preserve">רכיב הקנס בגין ביצוע העבירות בתיק זה, נלקח בחשבון במסגרת הטלת הקנס הכולל כפי שפורט כאמור לעיל. </w:t>
      </w:r>
    </w:p>
    <w:p w14:paraId="67AC9188" w14:textId="77777777" w:rsidR="00D37B5B" w:rsidRDefault="00D37B5B" w:rsidP="00D37B5B">
      <w:pPr>
        <w:spacing w:line="360" w:lineRule="auto"/>
        <w:ind w:firstLine="720"/>
        <w:jc w:val="both"/>
        <w:rPr>
          <w:rFonts w:ascii="David" w:hAnsi="David"/>
          <w:rtl/>
        </w:rPr>
      </w:pPr>
    </w:p>
    <w:p w14:paraId="6257FA73" w14:textId="77777777" w:rsidR="00D37B5B" w:rsidRDefault="00D37B5B" w:rsidP="00D37B5B">
      <w:pPr>
        <w:spacing w:line="360" w:lineRule="auto"/>
        <w:ind w:firstLine="720"/>
        <w:jc w:val="both"/>
        <w:rPr>
          <w:rFonts w:ascii="David" w:hAnsi="David"/>
          <w:rtl/>
        </w:rPr>
      </w:pPr>
      <w:r>
        <w:rPr>
          <w:rFonts w:ascii="David" w:hAnsi="David"/>
          <w:rtl/>
        </w:rPr>
        <w:t xml:space="preserve">כמו כן אני מורה על </w:t>
      </w:r>
      <w:r>
        <w:rPr>
          <w:rFonts w:ascii="David" w:hAnsi="David"/>
          <w:b/>
          <w:bCs/>
          <w:rtl/>
        </w:rPr>
        <w:t>הפעלת מאסר מותנה בין 7 חודשים</w:t>
      </w:r>
      <w:r>
        <w:rPr>
          <w:rFonts w:ascii="David" w:hAnsi="David"/>
          <w:rtl/>
        </w:rPr>
        <w:t xml:space="preserve"> שנגזר על הנאשם 1 ב</w:t>
      </w:r>
      <w:hyperlink r:id="rId70" w:history="1">
        <w:r w:rsidR="00C550C7" w:rsidRPr="00C550C7">
          <w:rPr>
            <w:rFonts w:ascii="David" w:hAnsi="David"/>
            <w:color w:val="0000FF"/>
            <w:u w:val="single"/>
            <w:rtl/>
          </w:rPr>
          <w:t>ת"פ 36989-05-14</w:t>
        </w:r>
      </w:hyperlink>
      <w:r>
        <w:rPr>
          <w:rFonts w:ascii="David" w:hAnsi="David"/>
          <w:rtl/>
        </w:rPr>
        <w:t xml:space="preserve"> מיום 18.7.2017, בגין עבירות סמים מסוג פשע. נוכח הודאתו בהזדמנות הראשונה, וכן נוכח המאסר הממושך שיחול על הנאשם 1 בסופו של יום, אני קובע כי 5 חודשים מהמאסר שהופעל ירוצו בחופף, והחודשיים הנותרים </w:t>
      </w:r>
      <w:r>
        <w:rPr>
          <w:rFonts w:ascii="David" w:hAnsi="David"/>
          <w:u w:val="single"/>
          <w:rtl/>
        </w:rPr>
        <w:t>במצטבר</w:t>
      </w:r>
      <w:r>
        <w:rPr>
          <w:rFonts w:ascii="David" w:hAnsi="David"/>
          <w:rtl/>
        </w:rPr>
        <w:t xml:space="preserve">. </w:t>
      </w:r>
    </w:p>
    <w:p w14:paraId="64300B21" w14:textId="77777777" w:rsidR="00D37B5B" w:rsidRDefault="00D37B5B" w:rsidP="00D37B5B">
      <w:pPr>
        <w:spacing w:line="360" w:lineRule="auto"/>
        <w:ind w:firstLine="720"/>
        <w:jc w:val="both"/>
        <w:rPr>
          <w:rFonts w:ascii="David" w:hAnsi="David"/>
        </w:rPr>
      </w:pPr>
    </w:p>
    <w:p w14:paraId="2227ECC6" w14:textId="77777777" w:rsidR="00D37B5B" w:rsidRDefault="00D37B5B" w:rsidP="00D37B5B">
      <w:pPr>
        <w:spacing w:line="360" w:lineRule="auto"/>
        <w:jc w:val="both"/>
        <w:rPr>
          <w:rFonts w:ascii="David" w:hAnsi="David"/>
          <w:rtl/>
        </w:rPr>
      </w:pPr>
      <w:r>
        <w:rPr>
          <w:rFonts w:ascii="David" w:hAnsi="David"/>
          <w:rtl/>
        </w:rPr>
        <w:tab/>
        <w:t xml:space="preserve">נוסף לכך, אני מורה על </w:t>
      </w:r>
      <w:r>
        <w:rPr>
          <w:rFonts w:ascii="David" w:hAnsi="David"/>
          <w:b/>
          <w:bCs/>
          <w:rtl/>
        </w:rPr>
        <w:t>הפעלת מאסר מותנה בן 6 חודשים</w:t>
      </w:r>
      <w:r>
        <w:rPr>
          <w:rFonts w:ascii="David" w:hAnsi="David"/>
          <w:rtl/>
        </w:rPr>
        <w:t xml:space="preserve"> שנגזר על הנאשם ב</w:t>
      </w:r>
      <w:hyperlink r:id="rId71" w:history="1">
        <w:r w:rsidR="00C550C7" w:rsidRPr="00C550C7">
          <w:rPr>
            <w:rFonts w:ascii="David" w:hAnsi="David"/>
            <w:color w:val="0000FF"/>
            <w:u w:val="single"/>
            <w:rtl/>
          </w:rPr>
          <w:t>תת"ע 12140-03-17</w:t>
        </w:r>
      </w:hyperlink>
      <w:r>
        <w:rPr>
          <w:rFonts w:ascii="David" w:hAnsi="David"/>
          <w:rtl/>
        </w:rPr>
        <w:t xml:space="preserve"> מיום 25.4.2017, והתנאי היה שלא יעבור עבירה לפי </w:t>
      </w:r>
      <w:hyperlink r:id="rId72" w:history="1">
        <w:r w:rsidR="00505923" w:rsidRPr="00505923">
          <w:rPr>
            <w:rStyle w:val="Hyperlink"/>
            <w:rFonts w:ascii="David" w:hAnsi="David"/>
            <w:rtl/>
          </w:rPr>
          <w:t>סעיף 10(א)</w:t>
        </w:r>
      </w:hyperlink>
      <w:r>
        <w:rPr>
          <w:rFonts w:ascii="David" w:hAnsi="David"/>
          <w:rtl/>
        </w:rPr>
        <w:t xml:space="preserve"> ל</w:t>
      </w:r>
      <w:hyperlink r:id="rId73" w:history="1">
        <w:r w:rsidR="00C550C7" w:rsidRPr="00C550C7">
          <w:rPr>
            <w:rFonts w:ascii="David" w:hAnsi="David"/>
            <w:color w:val="0000FF"/>
            <w:u w:val="single"/>
            <w:rtl/>
          </w:rPr>
          <w:t>פקודת התעבורה</w:t>
        </w:r>
      </w:hyperlink>
      <w:r>
        <w:rPr>
          <w:rFonts w:ascii="David" w:hAnsi="David"/>
          <w:rtl/>
        </w:rPr>
        <w:t xml:space="preserve">. גם כאן ומשיקולים דומים, אני קובע כי מחצית מעונש המאסר – 3 חודשים – יופעל במצטבר ומחצית בחופף. </w:t>
      </w:r>
    </w:p>
    <w:p w14:paraId="70B31E1A" w14:textId="77777777" w:rsidR="00D37B5B" w:rsidRDefault="00D37B5B" w:rsidP="00D37B5B">
      <w:pPr>
        <w:spacing w:line="360" w:lineRule="auto"/>
        <w:jc w:val="both"/>
        <w:rPr>
          <w:rFonts w:ascii="David" w:hAnsi="David"/>
          <w:rtl/>
        </w:rPr>
      </w:pPr>
    </w:p>
    <w:p w14:paraId="2296B1CD" w14:textId="77777777" w:rsidR="00D37B5B" w:rsidRDefault="00D37B5B" w:rsidP="00D37B5B">
      <w:pPr>
        <w:spacing w:line="360" w:lineRule="auto"/>
        <w:ind w:firstLine="720"/>
        <w:jc w:val="both"/>
        <w:rPr>
          <w:rFonts w:ascii="David" w:hAnsi="David"/>
          <w:b/>
          <w:bCs/>
          <w:u w:val="single"/>
          <w:rtl/>
        </w:rPr>
      </w:pPr>
      <w:r>
        <w:rPr>
          <w:rFonts w:ascii="David" w:hAnsi="David"/>
          <w:b/>
          <w:bCs/>
          <w:u w:val="single"/>
          <w:rtl/>
        </w:rPr>
        <w:t>כעולה מהאמור, הנאשם 1 ירצה בסך הכל שלושים ותשעה (39) חודשי מאסר לריצוי בפועל שמניינם מיום מעצרו בתיק העיקרי, בתאריך 21.4.2020.</w:t>
      </w:r>
      <w:r>
        <w:rPr>
          <w:rFonts w:ascii="David" w:hAnsi="David" w:hint="cs"/>
          <w:b/>
          <w:bCs/>
          <w:u w:val="single"/>
          <w:rtl/>
        </w:rPr>
        <w:t>מתקופה זו יש לנכות את ימי המעצר  כאמור בסעיף 20 לעיל.</w:t>
      </w:r>
    </w:p>
    <w:p w14:paraId="0A2FBDBF" w14:textId="77777777" w:rsidR="00D37B5B" w:rsidRDefault="00D37B5B" w:rsidP="00D37B5B">
      <w:pPr>
        <w:spacing w:line="360" w:lineRule="auto"/>
        <w:jc w:val="both"/>
        <w:rPr>
          <w:rFonts w:ascii="David" w:hAnsi="David"/>
          <w:rtl/>
        </w:rPr>
      </w:pPr>
    </w:p>
    <w:p w14:paraId="648F0BAC" w14:textId="77777777" w:rsidR="00D37B5B" w:rsidRDefault="00D37B5B" w:rsidP="00D37B5B">
      <w:pPr>
        <w:spacing w:line="360" w:lineRule="auto"/>
        <w:jc w:val="both"/>
        <w:rPr>
          <w:rFonts w:ascii="David" w:hAnsi="David"/>
          <w:rtl/>
        </w:rPr>
      </w:pPr>
      <w:r>
        <w:rPr>
          <w:rFonts w:ascii="David" w:hAnsi="David"/>
          <w:rtl/>
        </w:rPr>
        <w:tab/>
        <w:t xml:space="preserve">כמו כן אני מורה על </w:t>
      </w:r>
      <w:r w:rsidRPr="006801A8">
        <w:rPr>
          <w:rFonts w:ascii="David" w:hAnsi="David"/>
          <w:b/>
          <w:bCs/>
          <w:rtl/>
        </w:rPr>
        <w:t>הפעלת פסילה על תנאי בת 6 חודשים</w:t>
      </w:r>
      <w:r>
        <w:rPr>
          <w:rFonts w:ascii="David" w:hAnsi="David"/>
          <w:rtl/>
        </w:rPr>
        <w:t xml:space="preserve"> שנגזרה על הנאשם ב</w:t>
      </w:r>
      <w:hyperlink r:id="rId74" w:history="1">
        <w:r w:rsidR="00C550C7" w:rsidRPr="00C550C7">
          <w:rPr>
            <w:rFonts w:ascii="David" w:hAnsi="David"/>
            <w:color w:val="0000FF"/>
            <w:u w:val="single"/>
            <w:rtl/>
          </w:rPr>
          <w:t>תת"ע 12140-03-17</w:t>
        </w:r>
      </w:hyperlink>
      <w:r>
        <w:rPr>
          <w:rFonts w:ascii="David" w:hAnsi="David"/>
          <w:rtl/>
        </w:rPr>
        <w:t xml:space="preserve"> הנ"ל, והתנאי היה שלא יעבור עבירה לפי </w:t>
      </w:r>
      <w:hyperlink r:id="rId75" w:history="1">
        <w:r w:rsidR="00505923" w:rsidRPr="00505923">
          <w:rPr>
            <w:rStyle w:val="Hyperlink"/>
            <w:rFonts w:ascii="David" w:hAnsi="David"/>
            <w:rtl/>
          </w:rPr>
          <w:t>סעיף 10(א)</w:t>
        </w:r>
      </w:hyperlink>
      <w:r>
        <w:rPr>
          <w:rFonts w:ascii="David" w:hAnsi="David"/>
          <w:rtl/>
        </w:rPr>
        <w:t xml:space="preserve"> ל</w:t>
      </w:r>
      <w:hyperlink r:id="rId76" w:history="1">
        <w:r w:rsidR="00C550C7" w:rsidRPr="00C550C7">
          <w:rPr>
            <w:rFonts w:ascii="David" w:hAnsi="David"/>
            <w:color w:val="0000FF"/>
            <w:u w:val="single"/>
            <w:rtl/>
          </w:rPr>
          <w:t>פקודת התעבורה</w:t>
        </w:r>
      </w:hyperlink>
      <w:r>
        <w:rPr>
          <w:rFonts w:ascii="David" w:hAnsi="David"/>
          <w:rtl/>
        </w:rPr>
        <w:t xml:space="preserve">. אני קובע כי הפסילה שהופעלה תחול </w:t>
      </w:r>
      <w:r>
        <w:rPr>
          <w:rFonts w:ascii="David" w:hAnsi="David"/>
          <w:u w:val="single"/>
          <w:rtl/>
        </w:rPr>
        <w:t>במצטבר</w:t>
      </w:r>
      <w:r>
        <w:rPr>
          <w:rFonts w:ascii="David" w:hAnsi="David"/>
          <w:rtl/>
        </w:rPr>
        <w:t xml:space="preserve"> לפסילה שקבעתי בגין העבירות החדשות בתיק זה. </w:t>
      </w:r>
    </w:p>
    <w:p w14:paraId="5EBFA3AB" w14:textId="77777777" w:rsidR="00D37B5B" w:rsidRDefault="00D37B5B" w:rsidP="00D37B5B">
      <w:pPr>
        <w:spacing w:line="360" w:lineRule="auto"/>
        <w:jc w:val="both"/>
        <w:rPr>
          <w:rFonts w:ascii="David" w:hAnsi="David"/>
          <w:rtl/>
        </w:rPr>
      </w:pPr>
    </w:p>
    <w:p w14:paraId="78F6BD52" w14:textId="77777777" w:rsidR="00D37B5B" w:rsidRDefault="00D37B5B" w:rsidP="00D37B5B">
      <w:pPr>
        <w:spacing w:line="360" w:lineRule="auto"/>
        <w:ind w:firstLine="720"/>
        <w:jc w:val="both"/>
        <w:rPr>
          <w:rFonts w:ascii="David" w:hAnsi="David"/>
          <w:b/>
          <w:bCs/>
          <w:rtl/>
        </w:rPr>
      </w:pPr>
      <w:r>
        <w:rPr>
          <w:rFonts w:ascii="David" w:hAnsi="David"/>
          <w:b/>
          <w:bCs/>
          <w:rtl/>
        </w:rPr>
        <w:t xml:space="preserve">כעולה מהאמור הנאשם יהיה פסול מקבל או החזק רישיון נהיגה בפועל, למשך 12 חודשים שמניינם מיום שחרורו ממאסרו. </w:t>
      </w:r>
    </w:p>
    <w:p w14:paraId="2CC9E9B4" w14:textId="77777777" w:rsidR="00D37B5B" w:rsidRDefault="00D37B5B" w:rsidP="00D37B5B">
      <w:pPr>
        <w:spacing w:line="360" w:lineRule="auto"/>
        <w:jc w:val="both"/>
        <w:rPr>
          <w:rFonts w:ascii="David" w:hAnsi="David"/>
          <w:rtl/>
        </w:rPr>
      </w:pPr>
    </w:p>
    <w:p w14:paraId="59175C0E" w14:textId="77777777" w:rsidR="00D37B5B" w:rsidRDefault="00D37B5B" w:rsidP="00D37B5B">
      <w:pPr>
        <w:spacing w:line="360" w:lineRule="auto"/>
        <w:jc w:val="both"/>
        <w:rPr>
          <w:rFonts w:ascii="David" w:hAnsi="David"/>
          <w:u w:val="single"/>
          <w:rtl/>
        </w:rPr>
      </w:pPr>
      <w:r>
        <w:rPr>
          <w:rFonts w:ascii="David" w:hAnsi="David"/>
          <w:u w:val="single"/>
          <w:rtl/>
        </w:rPr>
        <w:t>תיק הסמים בעניינו של נאשם 2</w:t>
      </w:r>
    </w:p>
    <w:p w14:paraId="703371BB" w14:textId="77777777" w:rsidR="00D37B5B" w:rsidRDefault="00D37B5B" w:rsidP="00D37B5B">
      <w:pPr>
        <w:spacing w:line="360" w:lineRule="auto"/>
        <w:jc w:val="both"/>
        <w:rPr>
          <w:rFonts w:ascii="David" w:hAnsi="David"/>
          <w:rtl/>
        </w:rPr>
      </w:pPr>
      <w:r>
        <w:rPr>
          <w:rFonts w:ascii="David" w:hAnsi="David"/>
          <w:rtl/>
        </w:rPr>
        <w:t>21.</w:t>
      </w:r>
      <w:r>
        <w:rPr>
          <w:rFonts w:ascii="David" w:hAnsi="David"/>
          <w:rtl/>
        </w:rPr>
        <w:tab/>
        <w:t xml:space="preserve">כעולה מכתב האישום בתיק המצורף, באחד מימי חודש אוקטובר 2018, ובעת שהיה בחופשה מהכלא, קשר הנאשם 2 קשר עם אחר להחדיר סמים לכלא. לצורך כך הוא בלע סם מסוג חשיש במשקל 5.8 גר' עטוף בניילון. המהלך לא הושלם הודות למידע שהתקבל אצל גורמי הביטחון שהביא להעברתו של הנאשם 2 למתקן אשמורת, שם הוא פלט את הסם. נוכח מעשיו בהם הודה, הורשע הנאשם 2 בעבירה של </w:t>
      </w:r>
      <w:r>
        <w:rPr>
          <w:rFonts w:ascii="David" w:hAnsi="David"/>
          <w:b/>
          <w:bCs/>
          <w:rtl/>
        </w:rPr>
        <w:t>קשירת קשר לעשות פשע</w:t>
      </w:r>
      <w:r>
        <w:rPr>
          <w:rFonts w:ascii="David" w:hAnsi="David"/>
          <w:rtl/>
        </w:rPr>
        <w:t xml:space="preserve">, לפי </w:t>
      </w:r>
      <w:hyperlink r:id="rId77" w:history="1">
        <w:r w:rsidR="00505923" w:rsidRPr="00505923">
          <w:rPr>
            <w:rStyle w:val="Hyperlink"/>
            <w:rFonts w:ascii="David" w:hAnsi="David"/>
            <w:rtl/>
          </w:rPr>
          <w:t>סעיף 499(א)(1)</w:t>
        </w:r>
      </w:hyperlink>
      <w:r>
        <w:rPr>
          <w:rFonts w:ascii="David" w:hAnsi="David"/>
          <w:rtl/>
        </w:rPr>
        <w:t xml:space="preserve"> ל</w:t>
      </w:r>
      <w:hyperlink r:id="rId78" w:history="1">
        <w:r w:rsidR="00C550C7" w:rsidRPr="00C550C7">
          <w:rPr>
            <w:rFonts w:ascii="David" w:hAnsi="David"/>
            <w:color w:val="0000FF"/>
            <w:u w:val="single"/>
            <w:rtl/>
          </w:rPr>
          <w:t>חוק העונשין</w:t>
        </w:r>
      </w:hyperlink>
      <w:r>
        <w:rPr>
          <w:rFonts w:ascii="David" w:hAnsi="David"/>
          <w:rtl/>
        </w:rPr>
        <w:t xml:space="preserve"> ובעבירה של </w:t>
      </w:r>
      <w:r>
        <w:rPr>
          <w:rFonts w:ascii="David" w:hAnsi="David"/>
          <w:b/>
          <w:bCs/>
          <w:rtl/>
        </w:rPr>
        <w:t>החזקת סמים שלא לצריכה עצמית</w:t>
      </w:r>
      <w:r>
        <w:rPr>
          <w:rFonts w:ascii="David" w:hAnsi="David"/>
          <w:rtl/>
        </w:rPr>
        <w:t xml:space="preserve"> לפי </w:t>
      </w:r>
      <w:hyperlink r:id="rId79" w:history="1">
        <w:r w:rsidR="00505923" w:rsidRPr="00505923">
          <w:rPr>
            <w:rStyle w:val="Hyperlink"/>
            <w:rFonts w:ascii="David" w:hAnsi="David"/>
            <w:rtl/>
          </w:rPr>
          <w:t>סעיף 7(א)</w:t>
        </w:r>
      </w:hyperlink>
      <w:r>
        <w:rPr>
          <w:rFonts w:ascii="David" w:hAnsi="David"/>
          <w:rtl/>
        </w:rPr>
        <w:t xml:space="preserve"> </w:t>
      </w:r>
      <w:hyperlink r:id="rId80" w:history="1">
        <w:r w:rsidR="00505923" w:rsidRPr="00505923">
          <w:rPr>
            <w:rStyle w:val="Hyperlink"/>
            <w:rFonts w:ascii="David" w:hAnsi="David"/>
            <w:rtl/>
          </w:rPr>
          <w:t>וסעיף 7(ג)</w:t>
        </w:r>
      </w:hyperlink>
      <w:r>
        <w:rPr>
          <w:rFonts w:ascii="David" w:hAnsi="David"/>
          <w:rtl/>
        </w:rPr>
        <w:t xml:space="preserve"> רישה ל</w:t>
      </w:r>
      <w:hyperlink r:id="rId81" w:history="1">
        <w:r w:rsidR="00C550C7" w:rsidRPr="00C550C7">
          <w:rPr>
            <w:rFonts w:ascii="David" w:hAnsi="David"/>
            <w:color w:val="0000FF"/>
            <w:u w:val="single"/>
            <w:rtl/>
          </w:rPr>
          <w:t>פקודת הסמים המסוכנים</w:t>
        </w:r>
      </w:hyperlink>
      <w:r>
        <w:rPr>
          <w:rFonts w:ascii="David" w:hAnsi="David"/>
          <w:rtl/>
        </w:rPr>
        <w:t xml:space="preserve">. </w:t>
      </w:r>
    </w:p>
    <w:p w14:paraId="009EFB50" w14:textId="77777777" w:rsidR="00D37B5B" w:rsidRDefault="00D37B5B" w:rsidP="00D37B5B">
      <w:pPr>
        <w:spacing w:line="360" w:lineRule="auto"/>
        <w:jc w:val="both"/>
        <w:rPr>
          <w:rFonts w:ascii="David" w:hAnsi="David"/>
          <w:rtl/>
        </w:rPr>
      </w:pPr>
      <w:r>
        <w:rPr>
          <w:rFonts w:ascii="David" w:hAnsi="David"/>
          <w:rtl/>
        </w:rPr>
        <w:tab/>
      </w:r>
    </w:p>
    <w:p w14:paraId="6E1BE096" w14:textId="77777777" w:rsidR="00D37B5B" w:rsidRDefault="00D37B5B" w:rsidP="00D37B5B">
      <w:pPr>
        <w:spacing w:line="360" w:lineRule="auto"/>
        <w:ind w:firstLine="720"/>
        <w:jc w:val="both"/>
        <w:rPr>
          <w:rFonts w:ascii="David" w:hAnsi="David"/>
          <w:rtl/>
        </w:rPr>
      </w:pPr>
      <w:r>
        <w:rPr>
          <w:rFonts w:ascii="David" w:hAnsi="David"/>
          <w:rtl/>
        </w:rPr>
        <w:t xml:space="preserve">בנסיבות אלה ניסה הנאשם להחדיר סמים לכלא, בהיותו אסיר הנתון למשמורת בית הכלא, תוך שהוא קושר קשר עם אחר לקידום התכנית העבריינית. </w:t>
      </w:r>
    </w:p>
    <w:p w14:paraId="3E83C0FF" w14:textId="77777777" w:rsidR="00D37B5B" w:rsidRDefault="00D37B5B" w:rsidP="00D37B5B">
      <w:pPr>
        <w:spacing w:line="360" w:lineRule="auto"/>
        <w:jc w:val="both"/>
        <w:rPr>
          <w:rFonts w:ascii="David" w:hAnsi="David"/>
          <w:rtl/>
        </w:rPr>
      </w:pPr>
      <w:r>
        <w:rPr>
          <w:rFonts w:ascii="David" w:hAnsi="David"/>
          <w:rtl/>
        </w:rPr>
        <w:tab/>
      </w:r>
    </w:p>
    <w:p w14:paraId="5F8FC83B" w14:textId="77777777" w:rsidR="00D37B5B" w:rsidRDefault="00D37B5B" w:rsidP="00D37B5B">
      <w:pPr>
        <w:spacing w:line="360" w:lineRule="auto"/>
        <w:jc w:val="both"/>
        <w:rPr>
          <w:rFonts w:ascii="David" w:hAnsi="David"/>
          <w:rtl/>
        </w:rPr>
      </w:pPr>
      <w:r>
        <w:rPr>
          <w:rFonts w:ascii="David" w:hAnsi="David"/>
          <w:rtl/>
        </w:rPr>
        <w:t>22.</w:t>
      </w:r>
      <w:r>
        <w:rPr>
          <w:rFonts w:ascii="David" w:hAnsi="David"/>
          <w:rtl/>
        </w:rPr>
        <w:tab/>
        <w:t xml:space="preserve">המאשימה ביקשה לקבוע מתחם </w:t>
      </w:r>
      <w:r w:rsidRPr="002C5BEF">
        <w:rPr>
          <w:rFonts w:ascii="David" w:hAnsi="David"/>
          <w:rtl/>
        </w:rPr>
        <w:t>שנע בין</w:t>
      </w:r>
      <w:r>
        <w:rPr>
          <w:rFonts w:ascii="David" w:hAnsi="David"/>
          <w:b/>
          <w:bCs/>
          <w:rtl/>
        </w:rPr>
        <w:t xml:space="preserve"> מספר חודשי מאסר ועד לשנת מאסר בפועל</w:t>
      </w:r>
      <w:r>
        <w:rPr>
          <w:rFonts w:ascii="David" w:hAnsi="David"/>
          <w:rtl/>
        </w:rPr>
        <w:t xml:space="preserve"> לצד מאסר על תנאי, פסילה על תנאי וקנס. המאשימה ביקשה לגזור את העונש במחצית העליונה של המתחם. סנגורו של נאשם 2 ביקש לקבוע מתחם הנע בין מספר </w:t>
      </w:r>
      <w:r>
        <w:rPr>
          <w:rFonts w:ascii="David" w:hAnsi="David"/>
          <w:b/>
          <w:bCs/>
          <w:rtl/>
        </w:rPr>
        <w:t>חודשי מאסר בפועל שיכול וירוצו בעבודות שירות ועד למספר חודשי מאסר בכליאה ממשית</w:t>
      </w:r>
      <w:r>
        <w:rPr>
          <w:rFonts w:ascii="David" w:hAnsi="David"/>
          <w:rtl/>
        </w:rPr>
        <w:t>.</w:t>
      </w:r>
    </w:p>
    <w:p w14:paraId="2A017838" w14:textId="77777777" w:rsidR="00D37B5B" w:rsidRDefault="00D37B5B" w:rsidP="00D37B5B">
      <w:pPr>
        <w:spacing w:line="360" w:lineRule="auto"/>
        <w:jc w:val="both"/>
        <w:rPr>
          <w:rFonts w:ascii="David" w:hAnsi="David"/>
          <w:rtl/>
        </w:rPr>
      </w:pPr>
    </w:p>
    <w:p w14:paraId="156DCEB1" w14:textId="77777777" w:rsidR="00D37B5B" w:rsidRDefault="00D37B5B" w:rsidP="00D37B5B">
      <w:pPr>
        <w:spacing w:line="360" w:lineRule="auto"/>
        <w:jc w:val="both"/>
        <w:rPr>
          <w:rFonts w:ascii="David" w:hAnsi="David"/>
          <w:rtl/>
        </w:rPr>
      </w:pPr>
      <w:r>
        <w:rPr>
          <w:rFonts w:ascii="David" w:hAnsi="David"/>
          <w:rtl/>
        </w:rPr>
        <w:t>23.</w:t>
      </w:r>
      <w:r>
        <w:rPr>
          <w:rFonts w:ascii="David" w:hAnsi="David"/>
          <w:rtl/>
        </w:rPr>
        <w:tab/>
        <w:t xml:space="preserve">הערכים החברתיים שנפגעו כאן הם שמירה על הסדר הציבורי והמשמעת בכותלי בית הכלא, וכן שמירה על בריאות האסירים וביטחונם, זאת נוכח ההשלכות שיש להימצאותם של סמים על החיים בכלא. מידת הפגיעה בערכים אלה היא בינונית, נוכח היקף וסוג הסמים אותם ניסה הנאשם 2 להכניס לכלא, וכן נוכח העובדה שהניסיון לא צלח ולא התקיימה פגיעה בפועל. </w:t>
      </w:r>
    </w:p>
    <w:p w14:paraId="309F27AE" w14:textId="77777777" w:rsidR="00D37B5B" w:rsidRDefault="00D37B5B" w:rsidP="00D37B5B">
      <w:pPr>
        <w:spacing w:line="360" w:lineRule="auto"/>
        <w:ind w:firstLine="720"/>
        <w:jc w:val="both"/>
        <w:rPr>
          <w:rFonts w:ascii="David" w:hAnsi="David"/>
          <w:rtl/>
        </w:rPr>
      </w:pPr>
    </w:p>
    <w:p w14:paraId="64C20DB5" w14:textId="77777777" w:rsidR="00D37B5B" w:rsidRDefault="00D37B5B" w:rsidP="00D37B5B">
      <w:pPr>
        <w:spacing w:line="360" w:lineRule="auto"/>
        <w:jc w:val="both"/>
        <w:rPr>
          <w:rFonts w:ascii="David" w:hAnsi="David"/>
          <w:rtl/>
        </w:rPr>
      </w:pPr>
      <w:r>
        <w:rPr>
          <w:rFonts w:ascii="David" w:hAnsi="David"/>
          <w:rtl/>
        </w:rPr>
        <w:t>24.</w:t>
      </w:r>
      <w:r>
        <w:rPr>
          <w:rFonts w:ascii="David" w:hAnsi="David"/>
          <w:rtl/>
        </w:rPr>
        <w:tab/>
        <w:t>ב</w:t>
      </w:r>
      <w:hyperlink r:id="rId82" w:history="1">
        <w:r w:rsidR="00C550C7" w:rsidRPr="00C550C7">
          <w:rPr>
            <w:rFonts w:ascii="David" w:hAnsi="David"/>
            <w:color w:val="0000FF"/>
            <w:u w:val="single"/>
            <w:rtl/>
          </w:rPr>
          <w:t>רע"פ 4144/15</w:t>
        </w:r>
      </w:hyperlink>
      <w:r>
        <w:rPr>
          <w:rFonts w:ascii="David" w:hAnsi="David"/>
          <w:rtl/>
        </w:rPr>
        <w:t xml:space="preserve"> </w:t>
      </w:r>
      <w:r>
        <w:rPr>
          <w:rFonts w:ascii="David" w:hAnsi="David"/>
          <w:b/>
          <w:bCs/>
          <w:rtl/>
        </w:rPr>
        <w:t>אבו אלטיף נ' מדינת ישראל</w:t>
      </w:r>
      <w:r>
        <w:rPr>
          <w:rFonts w:ascii="David" w:hAnsi="David"/>
          <w:rtl/>
        </w:rPr>
        <w:t xml:space="preserve"> (פורסם בנבו, 16.6.2015) הורשע הנאשם בעבירה של ניסיון להספקת סמים מסוכנים, בכך שבעת שהגיע לבקר אסיר בכלא, נתפסו על גופו ובתחתוניו סמים מסוג חשיש וקנבוס במשקל כולל של כ- 28 גרם. בית משפט השלום קבע שהמתחם בגין מקרה חד פעמי של ניסיון החדרת סם מסוכן למתקן כליאה נע בין 6 חודשי מאסר ועד ל-18 חודשי מאסר בפועל, לצד קנס כספי משמעותי. וגזר עליו עונש של 6 חודשי מאסר לריצוי ממשי בפועל. בית המשפט המחוזי ובית המשפט העליון דחו את ערעורו ואת בקשת רשות הערעור שהגיש, בהתאמה. </w:t>
      </w:r>
    </w:p>
    <w:p w14:paraId="0394CE3F" w14:textId="77777777" w:rsidR="00D37B5B" w:rsidRDefault="00D37B5B" w:rsidP="00D37B5B">
      <w:pPr>
        <w:spacing w:line="360" w:lineRule="auto"/>
        <w:ind w:firstLine="720"/>
        <w:jc w:val="both"/>
        <w:rPr>
          <w:rFonts w:ascii="David" w:hAnsi="David"/>
          <w:rtl/>
        </w:rPr>
      </w:pPr>
    </w:p>
    <w:p w14:paraId="7EB8F32A" w14:textId="77777777" w:rsidR="00D37B5B" w:rsidRDefault="00D37B5B" w:rsidP="00D37B5B">
      <w:pPr>
        <w:spacing w:line="360" w:lineRule="auto"/>
        <w:jc w:val="both"/>
        <w:rPr>
          <w:rFonts w:ascii="David" w:hAnsi="David"/>
          <w:rtl/>
        </w:rPr>
      </w:pPr>
      <w:r>
        <w:rPr>
          <w:rFonts w:ascii="David" w:hAnsi="David"/>
          <w:rtl/>
        </w:rPr>
        <w:t>25.</w:t>
      </w:r>
      <w:r>
        <w:rPr>
          <w:rFonts w:ascii="David" w:hAnsi="David"/>
          <w:rtl/>
        </w:rPr>
        <w:tab/>
        <w:t xml:space="preserve">נוכח ביצוע העבירות כאן בסמיכות, וכחלק מאותה תכנית עבריינית להחדרת סמים לכלא, ראיתי לראות בהן אירוע אחד. בשקילת כלל נסיבות ביצוע העבירה, לרבות התכנון שקדם לביצוע העבירות, סוג הסם שנתפס, כמותו, והעובדה שהחדרת הסמים סוכלה רק הודות למידע שהגיע לרשויות החוק, ראיתי לקבוע את מתחם הענישה כאן כנע בין </w:t>
      </w:r>
      <w:r>
        <w:rPr>
          <w:rFonts w:ascii="David" w:hAnsi="David"/>
          <w:b/>
          <w:bCs/>
          <w:rtl/>
        </w:rPr>
        <w:t>מספר חודשי מאסר שיכול וירוצו בדרך של עבודות שירות ברף התחתון, ועד ל-12 חודשי מאסר לריצוי ממשי בפועל, בתקרתו</w:t>
      </w:r>
      <w:r>
        <w:rPr>
          <w:rFonts w:ascii="David" w:hAnsi="David"/>
          <w:rtl/>
        </w:rPr>
        <w:t xml:space="preserve">. זאת לצד עונש מאסר מותנה וקנס. </w:t>
      </w:r>
    </w:p>
    <w:p w14:paraId="18559FE0" w14:textId="77777777" w:rsidR="00D37B5B" w:rsidRDefault="00D37B5B" w:rsidP="00D37B5B">
      <w:pPr>
        <w:spacing w:line="360" w:lineRule="auto"/>
        <w:ind w:firstLine="720"/>
        <w:jc w:val="both"/>
        <w:rPr>
          <w:rFonts w:ascii="David" w:hAnsi="David"/>
          <w:rtl/>
        </w:rPr>
      </w:pPr>
    </w:p>
    <w:p w14:paraId="27E3138B" w14:textId="77777777" w:rsidR="00D37B5B" w:rsidRDefault="00D37B5B" w:rsidP="00D37B5B">
      <w:pPr>
        <w:spacing w:line="360" w:lineRule="auto"/>
        <w:ind w:firstLine="720"/>
        <w:jc w:val="both"/>
        <w:rPr>
          <w:rFonts w:ascii="David" w:hAnsi="David"/>
          <w:rtl/>
        </w:rPr>
      </w:pPr>
      <w:r>
        <w:rPr>
          <w:rFonts w:ascii="David" w:hAnsi="David"/>
          <w:rtl/>
        </w:rPr>
        <w:t xml:space="preserve">לא מצאתי עילה לסטות ממתחם הענישה שקבעתי, לחומרה או לקולה. כאמור לעיל לא הוצג לפניי אפיק שיקומי בעניינו של נאשם זה. </w:t>
      </w:r>
    </w:p>
    <w:p w14:paraId="4D7173B1" w14:textId="77777777" w:rsidR="00D37B5B" w:rsidRDefault="00D37B5B" w:rsidP="00D37B5B">
      <w:pPr>
        <w:spacing w:line="360" w:lineRule="auto"/>
        <w:ind w:firstLine="720"/>
        <w:jc w:val="both"/>
        <w:rPr>
          <w:rFonts w:ascii="David" w:hAnsi="David"/>
          <w:rtl/>
        </w:rPr>
      </w:pPr>
    </w:p>
    <w:p w14:paraId="14702FFC" w14:textId="77777777" w:rsidR="00D37B5B" w:rsidRDefault="00D37B5B" w:rsidP="00D37B5B">
      <w:pPr>
        <w:spacing w:line="360" w:lineRule="auto"/>
        <w:jc w:val="both"/>
        <w:rPr>
          <w:rFonts w:ascii="David" w:hAnsi="David"/>
          <w:rtl/>
        </w:rPr>
      </w:pPr>
      <w:r>
        <w:rPr>
          <w:rFonts w:ascii="David" w:hAnsi="David"/>
          <w:rtl/>
        </w:rPr>
        <w:t>26.</w:t>
      </w:r>
      <w:r>
        <w:rPr>
          <w:rFonts w:ascii="David" w:hAnsi="David"/>
          <w:rtl/>
        </w:rPr>
        <w:tab/>
        <w:t xml:space="preserve">שקלתי את נסיבותיו האישיות של הנאשם 2 שפורטו במסגרת הדיון בתיק העיקרי; עוד התייחסתי לעברו הפלילי הרלוונטי לכאן, אמנם לנאשם 2 אין עבר פלילי בסמים, אך הוא ביצע עבירות חמורות מסוג פשע שגרמו לפגיעה בסדר הציבורי; כמו כן שקלתי את הודאתו בהזדמנות הראשונה לפניי; את צירוף התיק לכאן, שחסך זמן שיפוטי; ואת חלוף הזמן מאז ביצוע העבירות בתיק זה, לפני למעלה משנתיים. לצד זאת יש חשיבות להרתעת היחיד והרבים מביצוע עבירות מסוג זה. </w:t>
      </w:r>
    </w:p>
    <w:p w14:paraId="2EED927E" w14:textId="77777777" w:rsidR="00D37B5B" w:rsidRDefault="00D37B5B" w:rsidP="00D37B5B">
      <w:pPr>
        <w:spacing w:line="360" w:lineRule="auto"/>
        <w:jc w:val="both"/>
        <w:rPr>
          <w:rFonts w:ascii="David" w:hAnsi="David"/>
          <w:rtl/>
        </w:rPr>
      </w:pPr>
    </w:p>
    <w:p w14:paraId="6B19AB3C" w14:textId="77777777" w:rsidR="00D37B5B" w:rsidRDefault="00D37B5B" w:rsidP="00D37B5B">
      <w:pPr>
        <w:spacing w:line="360" w:lineRule="auto"/>
        <w:jc w:val="both"/>
        <w:rPr>
          <w:rFonts w:ascii="David" w:hAnsi="David"/>
          <w:rtl/>
        </w:rPr>
      </w:pPr>
      <w:r>
        <w:rPr>
          <w:rFonts w:ascii="David" w:hAnsi="David"/>
          <w:rtl/>
        </w:rPr>
        <w:t>27.</w:t>
      </w:r>
      <w:r>
        <w:rPr>
          <w:rFonts w:ascii="David" w:hAnsi="David"/>
          <w:rtl/>
        </w:rPr>
        <w:tab/>
        <w:t xml:space="preserve">לאחר שקילת כלל נסיבות ביצוע העבירה ראיתי לקבוע את עונשו של הנאשם 2 בחלקו התחתון של מתחם הענישה בעניינו, ולגזור עליו עונש של </w:t>
      </w:r>
      <w:r>
        <w:rPr>
          <w:rFonts w:ascii="David" w:hAnsi="David"/>
          <w:b/>
          <w:bCs/>
          <w:rtl/>
        </w:rPr>
        <w:t>ארבעה</w:t>
      </w:r>
      <w:r>
        <w:rPr>
          <w:rFonts w:ascii="David" w:hAnsi="David"/>
          <w:rtl/>
        </w:rPr>
        <w:t xml:space="preserve"> </w:t>
      </w:r>
      <w:r>
        <w:rPr>
          <w:rFonts w:ascii="David" w:hAnsi="David"/>
          <w:b/>
          <w:bCs/>
          <w:rtl/>
        </w:rPr>
        <w:t>(4) חודשי מאסר לריצוי ממשי בפועל</w:t>
      </w:r>
      <w:r>
        <w:rPr>
          <w:rFonts w:ascii="David" w:hAnsi="David"/>
          <w:rtl/>
        </w:rPr>
        <w:t xml:space="preserve">, </w:t>
      </w:r>
      <w:r>
        <w:rPr>
          <w:rFonts w:ascii="David" w:hAnsi="David"/>
          <w:u w:val="single"/>
          <w:rtl/>
        </w:rPr>
        <w:t>שיצטברו</w:t>
      </w:r>
      <w:r>
        <w:rPr>
          <w:rFonts w:ascii="David" w:hAnsi="David"/>
          <w:rtl/>
        </w:rPr>
        <w:t xml:space="preserve"> לעונש המאסר שנגזר עליו במסגרת התיק העיקרי. </w:t>
      </w:r>
    </w:p>
    <w:p w14:paraId="52CB173B" w14:textId="77777777" w:rsidR="00D37B5B" w:rsidRDefault="00D37B5B" w:rsidP="00D37B5B">
      <w:pPr>
        <w:tabs>
          <w:tab w:val="left" w:pos="2931"/>
        </w:tabs>
        <w:spacing w:line="360" w:lineRule="auto"/>
        <w:ind w:firstLine="720"/>
        <w:jc w:val="both"/>
        <w:rPr>
          <w:rFonts w:ascii="David" w:hAnsi="David"/>
          <w:rtl/>
        </w:rPr>
      </w:pPr>
      <w:r>
        <w:rPr>
          <w:rFonts w:ascii="David" w:hAnsi="David"/>
          <w:rtl/>
        </w:rPr>
        <w:tab/>
      </w:r>
    </w:p>
    <w:p w14:paraId="544704C7" w14:textId="77777777" w:rsidR="00D37B5B" w:rsidRDefault="00D37B5B" w:rsidP="00D37B5B">
      <w:pPr>
        <w:spacing w:line="360" w:lineRule="auto"/>
        <w:ind w:firstLine="720"/>
        <w:jc w:val="both"/>
        <w:rPr>
          <w:rFonts w:ascii="David" w:hAnsi="David"/>
          <w:b/>
          <w:bCs/>
          <w:u w:val="single"/>
          <w:rtl/>
        </w:rPr>
      </w:pPr>
      <w:r>
        <w:rPr>
          <w:rFonts w:ascii="David" w:hAnsi="David"/>
          <w:b/>
          <w:bCs/>
          <w:u w:val="single"/>
          <w:rtl/>
        </w:rPr>
        <w:t xml:space="preserve">העולה מן האמור הוא שהנאשם 2 ירצה סך הכל ארבעים וארבעה (44) חודשי מאסר בפועל, שמניינם מיום מעצרו בתיק העיקרי, בתאריך 21.4.2020.  </w:t>
      </w:r>
    </w:p>
    <w:p w14:paraId="438F3809" w14:textId="77777777" w:rsidR="00D37B5B" w:rsidRDefault="00D37B5B" w:rsidP="00D37B5B">
      <w:pPr>
        <w:spacing w:line="360" w:lineRule="auto"/>
        <w:ind w:firstLine="720"/>
        <w:jc w:val="both"/>
        <w:rPr>
          <w:rFonts w:ascii="David" w:hAnsi="David"/>
          <w:b/>
          <w:bCs/>
          <w:u w:val="single"/>
          <w:rtl/>
        </w:rPr>
      </w:pPr>
    </w:p>
    <w:p w14:paraId="686580C4" w14:textId="77777777" w:rsidR="00D37B5B" w:rsidRDefault="00D37B5B" w:rsidP="00D37B5B">
      <w:pPr>
        <w:spacing w:line="360" w:lineRule="auto"/>
        <w:ind w:firstLine="720"/>
        <w:jc w:val="both"/>
        <w:rPr>
          <w:rFonts w:ascii="David" w:hAnsi="David"/>
          <w:rtl/>
        </w:rPr>
      </w:pPr>
      <w:r>
        <w:rPr>
          <w:rFonts w:ascii="David" w:hAnsi="David"/>
          <w:rtl/>
        </w:rPr>
        <w:t xml:space="preserve">לצד זאת אני גוזר על הנאשם 2, עשרה (10) חודשי מאסר אותם לא ירצה אלא אם ישוב ויעבור בתוך 3 שנים מיום שחרורו ממאסרו, עבירה של החזקה או שימוש בסמים שלא לצריכה עצמית לפי </w:t>
      </w:r>
      <w:hyperlink r:id="rId83" w:history="1">
        <w:r w:rsidR="00505923" w:rsidRPr="00505923">
          <w:rPr>
            <w:rStyle w:val="Hyperlink"/>
            <w:rFonts w:ascii="David" w:hAnsi="David"/>
            <w:rtl/>
          </w:rPr>
          <w:t>סעיף 7(ג)</w:t>
        </w:r>
      </w:hyperlink>
      <w:r>
        <w:rPr>
          <w:rFonts w:ascii="David" w:hAnsi="David"/>
          <w:rtl/>
        </w:rPr>
        <w:t xml:space="preserve"> רישה ל</w:t>
      </w:r>
      <w:hyperlink r:id="rId84" w:history="1">
        <w:r w:rsidR="00C550C7" w:rsidRPr="00C550C7">
          <w:rPr>
            <w:rFonts w:ascii="David" w:hAnsi="David"/>
            <w:color w:val="0000FF"/>
            <w:u w:val="single"/>
            <w:rtl/>
          </w:rPr>
          <w:t>פקודת הסמים המסוכנים</w:t>
        </w:r>
      </w:hyperlink>
      <w:r>
        <w:rPr>
          <w:rFonts w:ascii="David" w:hAnsi="David"/>
          <w:rtl/>
        </w:rPr>
        <w:t xml:space="preserve"> או עבירה של סחר, תיווך או גידול של סמים מסוכנים בניגוד לפקודת הסמים המסוכנים.</w:t>
      </w:r>
    </w:p>
    <w:p w14:paraId="1909D4B2" w14:textId="77777777" w:rsidR="00D37B5B" w:rsidRDefault="00D37B5B" w:rsidP="00D37B5B">
      <w:pPr>
        <w:spacing w:line="360" w:lineRule="auto"/>
        <w:ind w:firstLine="720"/>
        <w:jc w:val="both"/>
        <w:rPr>
          <w:rFonts w:ascii="David" w:hAnsi="David"/>
          <w:rtl/>
        </w:rPr>
      </w:pPr>
    </w:p>
    <w:p w14:paraId="29315CF3" w14:textId="77777777" w:rsidR="00D37B5B" w:rsidRDefault="00D37B5B" w:rsidP="00D37B5B">
      <w:pPr>
        <w:spacing w:line="360" w:lineRule="auto"/>
        <w:ind w:firstLine="720"/>
        <w:jc w:val="both"/>
        <w:rPr>
          <w:rFonts w:ascii="David" w:hAnsi="David"/>
          <w:rtl/>
        </w:rPr>
      </w:pPr>
      <w:r>
        <w:rPr>
          <w:rFonts w:ascii="David" w:hAnsi="David"/>
          <w:rtl/>
        </w:rPr>
        <w:t xml:space="preserve">נוכח תקופת המאסר הממושכת בעניינו של הנאשם 2, לא מצאתי להטיל גם רכיב של פסילה מותנית של רישיון הנהיגה, כבקשת המאשימה. </w:t>
      </w:r>
    </w:p>
    <w:p w14:paraId="65C7972A" w14:textId="77777777" w:rsidR="00D37B5B" w:rsidRDefault="00D37B5B" w:rsidP="00D37B5B">
      <w:pPr>
        <w:spacing w:line="360" w:lineRule="auto"/>
        <w:ind w:firstLine="720"/>
        <w:jc w:val="both"/>
        <w:rPr>
          <w:rFonts w:ascii="David" w:hAnsi="David"/>
          <w:rtl/>
        </w:rPr>
      </w:pPr>
    </w:p>
    <w:p w14:paraId="34FF0BA3" w14:textId="77777777" w:rsidR="00D37B5B" w:rsidRDefault="00D37B5B" w:rsidP="00D37B5B">
      <w:pPr>
        <w:spacing w:line="360" w:lineRule="auto"/>
        <w:ind w:firstLine="720"/>
        <w:jc w:val="both"/>
        <w:rPr>
          <w:rFonts w:ascii="David" w:hAnsi="David"/>
          <w:rtl/>
        </w:rPr>
      </w:pPr>
      <w:r>
        <w:rPr>
          <w:rFonts w:ascii="David" w:hAnsi="David"/>
          <w:rtl/>
        </w:rPr>
        <w:t xml:space="preserve">רכיב הקנס בגין ביצוע העבירות בתיק זה, נלקח בחשבון במסגרת הטלת הקנס שניתנה בתיק העיקרי, כאמור לעיל. </w:t>
      </w:r>
    </w:p>
    <w:p w14:paraId="376E3CD7" w14:textId="77777777" w:rsidR="00D37B5B" w:rsidRDefault="00D37B5B" w:rsidP="00D37B5B">
      <w:pPr>
        <w:spacing w:line="360" w:lineRule="auto"/>
        <w:jc w:val="both"/>
        <w:rPr>
          <w:rFonts w:ascii="David" w:hAnsi="David"/>
          <w:b/>
          <w:bCs/>
          <w:rtl/>
        </w:rPr>
      </w:pPr>
    </w:p>
    <w:p w14:paraId="1B20C8AB" w14:textId="77777777" w:rsidR="00D37B5B" w:rsidRDefault="00D37B5B" w:rsidP="00D37B5B">
      <w:pPr>
        <w:spacing w:line="360" w:lineRule="auto"/>
        <w:ind w:firstLine="720"/>
        <w:jc w:val="both"/>
        <w:rPr>
          <w:rFonts w:ascii="David" w:hAnsi="David"/>
          <w:b/>
          <w:bCs/>
          <w:rtl/>
        </w:rPr>
      </w:pPr>
      <w:r>
        <w:rPr>
          <w:rFonts w:ascii="David" w:hAnsi="David"/>
          <w:b/>
          <w:bCs/>
          <w:rtl/>
        </w:rPr>
        <w:t xml:space="preserve">אני מורה על השמדת מוצגי הסמים והמטענים לאחר הפיכת גזר הדין לחלוט. </w:t>
      </w:r>
    </w:p>
    <w:p w14:paraId="53BF0350" w14:textId="77777777" w:rsidR="00D37B5B" w:rsidRDefault="00D37B5B" w:rsidP="00D37B5B">
      <w:pPr>
        <w:spacing w:line="360" w:lineRule="auto"/>
        <w:jc w:val="both"/>
        <w:rPr>
          <w:rFonts w:ascii="David" w:hAnsi="David"/>
          <w:rtl/>
        </w:rPr>
      </w:pPr>
      <w:r>
        <w:rPr>
          <w:rFonts w:ascii="David" w:hAnsi="David"/>
          <w:rtl/>
        </w:rPr>
        <w:tab/>
      </w:r>
    </w:p>
    <w:p w14:paraId="61EF00EE" w14:textId="77777777" w:rsidR="00D37B5B" w:rsidRPr="00B05847" w:rsidRDefault="00D37B5B" w:rsidP="00D37B5B">
      <w:pPr>
        <w:rPr>
          <w:rtl/>
        </w:rPr>
      </w:pPr>
    </w:p>
    <w:p w14:paraId="2903A7BE" w14:textId="77777777" w:rsidR="00D37B5B" w:rsidRPr="00B05847" w:rsidRDefault="00D37B5B" w:rsidP="00D37B5B">
      <w:pPr>
        <w:rPr>
          <w:rtl/>
        </w:rPr>
      </w:pPr>
    </w:p>
    <w:p w14:paraId="0C46F27A" w14:textId="77777777" w:rsidR="00D37B5B" w:rsidRDefault="00C550C7" w:rsidP="00D37B5B">
      <w:pPr>
        <w:spacing w:line="360" w:lineRule="auto"/>
        <w:jc w:val="both"/>
        <w:rPr>
          <w:rFonts w:ascii="Arial" w:hAnsi="Arial"/>
          <w:rtl/>
        </w:rPr>
      </w:pPr>
      <w:bookmarkStart w:id="8" w:name="Nitan"/>
      <w:r>
        <w:rPr>
          <w:rFonts w:ascii="Arial" w:hAnsi="Arial"/>
          <w:rtl/>
        </w:rPr>
        <w:t xml:space="preserve">ניתן היום,  ב' ניסן תשפ"א, 15 מרץ 2021, במעמד הצדדים. </w:t>
      </w:r>
      <w:bookmarkEnd w:id="8"/>
    </w:p>
    <w:p w14:paraId="18D0EC9E" w14:textId="77777777" w:rsidR="00D37B5B" w:rsidRDefault="00C550C7" w:rsidP="00D37B5B">
      <w:pPr>
        <w:spacing w:line="360" w:lineRule="auto"/>
        <w:ind w:firstLine="720"/>
        <w:jc w:val="both"/>
        <w:rPr>
          <w:rFonts w:ascii="David" w:hAnsi="David"/>
          <w:b/>
          <w:bCs/>
          <w:u w:val="single"/>
          <w:rtl/>
        </w:rPr>
      </w:pPr>
      <w:r>
        <w:rPr>
          <w:rFonts w:ascii="David" w:hAnsi="David"/>
          <w:rtl/>
        </w:rPr>
        <w:t xml:space="preserve">זכות ערעור כחוק מהיום, הודעה. </w:t>
      </w:r>
    </w:p>
    <w:p w14:paraId="22122904" w14:textId="77777777" w:rsidR="00D37B5B" w:rsidRDefault="00D37B5B" w:rsidP="00D37B5B">
      <w:pPr>
        <w:spacing w:line="360" w:lineRule="auto"/>
        <w:jc w:val="both"/>
        <w:rPr>
          <w:rFonts w:ascii="David" w:hAnsi="David"/>
          <w:rtl/>
        </w:rPr>
      </w:pPr>
      <w:r>
        <w:rPr>
          <w:rFonts w:ascii="David" w:hAnsi="David"/>
          <w:b/>
          <w:bCs/>
          <w:u w:val="single"/>
          <w:rtl/>
        </w:rPr>
        <w:t>הצדדים קיבלו עותקי גזר הדין</w:t>
      </w:r>
      <w:r>
        <w:rPr>
          <w:rFonts w:ascii="David" w:hAnsi="David"/>
          <w:rtl/>
        </w:rPr>
        <w:t xml:space="preserve">. </w:t>
      </w:r>
    </w:p>
    <w:p w14:paraId="2DBC3A19" w14:textId="77777777" w:rsidR="00D37B5B" w:rsidRPr="00C550C7" w:rsidRDefault="00C550C7" w:rsidP="00D37B5B">
      <w:pPr>
        <w:spacing w:line="360" w:lineRule="auto"/>
        <w:jc w:val="both"/>
        <w:rPr>
          <w:rFonts w:ascii="Arial" w:hAnsi="Arial"/>
          <w:color w:val="FFFFFF"/>
          <w:sz w:val="2"/>
          <w:szCs w:val="2"/>
        </w:rPr>
      </w:pPr>
      <w:r w:rsidRPr="00C550C7">
        <w:rPr>
          <w:rFonts w:ascii="Arial" w:hAnsi="Arial"/>
          <w:color w:val="FFFFFF"/>
          <w:sz w:val="2"/>
          <w:szCs w:val="2"/>
          <w:rtl/>
        </w:rPr>
        <w:t>5129371</w:t>
      </w:r>
    </w:p>
    <w:p w14:paraId="290D9B0A" w14:textId="77777777" w:rsidR="00D37B5B" w:rsidRPr="00C550C7" w:rsidRDefault="00C550C7" w:rsidP="00D37B5B">
      <w:pPr>
        <w:rPr>
          <w:rFonts w:cs="FrankRuehl"/>
          <w:color w:val="FFFFFF"/>
          <w:sz w:val="2"/>
          <w:szCs w:val="2"/>
          <w:rtl/>
        </w:rPr>
      </w:pPr>
      <w:r w:rsidRPr="00C550C7">
        <w:rPr>
          <w:rFonts w:cs="FrankRuehl"/>
          <w:color w:val="FFFFFF"/>
          <w:sz w:val="2"/>
          <w:szCs w:val="2"/>
          <w:rtl/>
        </w:rPr>
        <w:t>54678313</w:t>
      </w:r>
    </w:p>
    <w:p w14:paraId="0A018CD4" w14:textId="77777777" w:rsidR="00D37B5B" w:rsidRDefault="00D37B5B" w:rsidP="00C550C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8844B59" w14:textId="77777777" w:rsidR="00D37B5B" w:rsidRDefault="00D37B5B" w:rsidP="00D37B5B">
      <w:pPr>
        <w:jc w:val="center"/>
        <w:rPr>
          <w:rFonts w:ascii="Arial" w:hAnsi="Arial" w:cs="FrankRuehl"/>
          <w:sz w:val="28"/>
          <w:szCs w:val="28"/>
          <w:rtl/>
        </w:rPr>
      </w:pPr>
    </w:p>
    <w:p w14:paraId="064B873A" w14:textId="77777777" w:rsidR="00C550C7" w:rsidRDefault="00C550C7" w:rsidP="00C550C7">
      <w:pPr>
        <w:rPr>
          <w:rtl/>
        </w:rPr>
      </w:pPr>
    </w:p>
    <w:p w14:paraId="1A8F7325" w14:textId="77777777" w:rsidR="00C550C7" w:rsidRDefault="00C550C7" w:rsidP="00C550C7">
      <w:pPr>
        <w:jc w:val="center"/>
        <w:rPr>
          <w:color w:val="0000FF"/>
          <w:u w:val="single"/>
        </w:rPr>
      </w:pPr>
      <w:hyperlink r:id="rId85" w:history="1">
        <w:r>
          <w:rPr>
            <w:color w:val="0000FF"/>
            <w:u w:val="single"/>
            <w:rtl/>
          </w:rPr>
          <w:t>בעניין עריכה ושינויים במסמכי פסיקה, חקיקה ועוד באתר נבו – הקש כאן</w:t>
        </w:r>
      </w:hyperlink>
    </w:p>
    <w:p w14:paraId="0C411954" w14:textId="77777777" w:rsidR="00505923" w:rsidRPr="00505923" w:rsidRDefault="00505923" w:rsidP="00505923">
      <w:pPr>
        <w:keepNext/>
        <w:rPr>
          <w:rFonts w:ascii="David" w:hAnsi="David"/>
          <w:color w:val="000000"/>
          <w:sz w:val="22"/>
          <w:szCs w:val="22"/>
          <w:rtl/>
        </w:rPr>
      </w:pPr>
    </w:p>
    <w:p w14:paraId="3875588C" w14:textId="77777777" w:rsidR="00505923" w:rsidRPr="00505923" w:rsidRDefault="00505923" w:rsidP="00505923">
      <w:pPr>
        <w:keepNext/>
        <w:rPr>
          <w:rFonts w:ascii="David" w:hAnsi="David"/>
          <w:color w:val="000000"/>
          <w:sz w:val="22"/>
          <w:szCs w:val="22"/>
          <w:rtl/>
        </w:rPr>
      </w:pPr>
      <w:r w:rsidRPr="00505923">
        <w:rPr>
          <w:rFonts w:ascii="David" w:hAnsi="David"/>
          <w:color w:val="000000"/>
          <w:sz w:val="22"/>
          <w:szCs w:val="22"/>
          <w:rtl/>
        </w:rPr>
        <w:t>ארז פורת 54678313-/</w:t>
      </w:r>
    </w:p>
    <w:p w14:paraId="08D2D312" w14:textId="77777777" w:rsidR="00C550C7" w:rsidRPr="00C550C7" w:rsidRDefault="00505923" w:rsidP="00505923">
      <w:pPr>
        <w:rPr>
          <w:rFonts w:hint="cs"/>
          <w:color w:val="0000FF"/>
          <w:u w:val="single"/>
        </w:rPr>
      </w:pPr>
      <w:r w:rsidRPr="00505923">
        <w:rPr>
          <w:color w:val="000000"/>
          <w:u w:val="single"/>
          <w:rtl/>
        </w:rPr>
        <w:t>נוסח מסמך זה כפוף לשינויי ניסוח ועריכה</w:t>
      </w:r>
      <w:r w:rsidR="00C40050">
        <w:rPr>
          <w:rFonts w:hint="cs"/>
          <w:color w:val="0000FF"/>
          <w:u w:val="single"/>
          <w:rtl/>
        </w:rPr>
        <w:t xml:space="preserve"> </w:t>
      </w:r>
    </w:p>
    <w:sectPr w:rsidR="00C550C7" w:rsidRPr="00C550C7" w:rsidSect="00505923">
      <w:headerReference w:type="even" r:id="rId86"/>
      <w:headerReference w:type="default" r:id="rId87"/>
      <w:footerReference w:type="even" r:id="rId88"/>
      <w:footerReference w:type="default" r:id="rId8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D42DB" w14:textId="77777777" w:rsidR="002A560B" w:rsidRDefault="002A560B" w:rsidP="005B638C">
      <w:r>
        <w:separator/>
      </w:r>
    </w:p>
  </w:endnote>
  <w:endnote w:type="continuationSeparator" w:id="0">
    <w:p w14:paraId="456D958E" w14:textId="77777777" w:rsidR="002A560B" w:rsidRDefault="002A560B" w:rsidP="005B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2E29E" w14:textId="77777777" w:rsidR="00505923" w:rsidRDefault="00505923" w:rsidP="005059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A3CA0F0" w14:textId="77777777" w:rsidR="00C0495F" w:rsidRPr="00505923" w:rsidRDefault="00505923" w:rsidP="00505923">
    <w:pPr>
      <w:pStyle w:val="a5"/>
      <w:pBdr>
        <w:top w:val="single" w:sz="4" w:space="1" w:color="auto"/>
        <w:between w:val="single" w:sz="4" w:space="0" w:color="auto"/>
      </w:pBdr>
      <w:spacing w:after="60"/>
      <w:jc w:val="center"/>
      <w:rPr>
        <w:rFonts w:ascii="FrankRuehl" w:hAnsi="FrankRuehl" w:cs="FrankRuehl"/>
        <w:color w:val="000000"/>
      </w:rPr>
    </w:pPr>
    <w:r w:rsidRPr="0050592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28735" w14:textId="77777777" w:rsidR="00505923" w:rsidRDefault="00505923" w:rsidP="0050592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D6D43">
      <w:rPr>
        <w:rFonts w:ascii="FrankRuehl" w:hAnsi="FrankRuehl" w:cs="FrankRuehl"/>
        <w:noProof/>
        <w:rtl/>
      </w:rPr>
      <w:t>1</w:t>
    </w:r>
    <w:r>
      <w:rPr>
        <w:rFonts w:ascii="FrankRuehl" w:hAnsi="FrankRuehl" w:cs="FrankRuehl"/>
        <w:rtl/>
      </w:rPr>
      <w:fldChar w:fldCharType="end"/>
    </w:r>
  </w:p>
  <w:p w14:paraId="5B69C8FB" w14:textId="77777777" w:rsidR="00C0495F" w:rsidRPr="00505923" w:rsidRDefault="00505923" w:rsidP="00505923">
    <w:pPr>
      <w:pStyle w:val="a5"/>
      <w:pBdr>
        <w:top w:val="single" w:sz="4" w:space="1" w:color="auto"/>
        <w:between w:val="single" w:sz="4" w:space="0" w:color="auto"/>
      </w:pBdr>
      <w:spacing w:after="60"/>
      <w:jc w:val="center"/>
      <w:rPr>
        <w:rFonts w:ascii="FrankRuehl" w:hAnsi="FrankRuehl" w:cs="FrankRuehl"/>
        <w:color w:val="000000"/>
      </w:rPr>
    </w:pPr>
    <w:r w:rsidRPr="00505923">
      <w:rPr>
        <w:rFonts w:ascii="FrankRuehl" w:hAnsi="FrankRuehl" w:cs="FrankRuehl"/>
        <w:color w:val="000000"/>
      </w:rPr>
      <w:pict w14:anchorId="231E5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59520" w14:textId="77777777" w:rsidR="002A560B" w:rsidRDefault="002A560B" w:rsidP="005B638C">
      <w:r>
        <w:separator/>
      </w:r>
    </w:p>
  </w:footnote>
  <w:footnote w:type="continuationSeparator" w:id="0">
    <w:p w14:paraId="1010F434" w14:textId="77777777" w:rsidR="002A560B" w:rsidRDefault="002A560B" w:rsidP="005B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4572F" w14:textId="77777777" w:rsidR="00C550C7" w:rsidRPr="00505923" w:rsidRDefault="00505923" w:rsidP="005059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33131-05-20</w:t>
    </w:r>
    <w:r>
      <w:rPr>
        <w:rFonts w:ascii="David" w:hAnsi="David"/>
        <w:color w:val="000000"/>
        <w:sz w:val="22"/>
        <w:szCs w:val="22"/>
        <w:rtl/>
      </w:rPr>
      <w:tab/>
      <w:t xml:space="preserve"> מדינת ישראל נ' ואיל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1F8C" w14:textId="77777777" w:rsidR="00C550C7" w:rsidRPr="00505923" w:rsidRDefault="00505923" w:rsidP="0050592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33131-05-20</w:t>
    </w:r>
    <w:r>
      <w:rPr>
        <w:rFonts w:ascii="David" w:hAnsi="David"/>
        <w:color w:val="000000"/>
        <w:sz w:val="22"/>
        <w:szCs w:val="22"/>
        <w:rtl/>
      </w:rPr>
      <w:tab/>
      <w:t xml:space="preserve"> מדינת ישראל נ' ואיל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7B5B"/>
    <w:rsid w:val="00266009"/>
    <w:rsid w:val="002A560B"/>
    <w:rsid w:val="004D6D43"/>
    <w:rsid w:val="00505923"/>
    <w:rsid w:val="005B638C"/>
    <w:rsid w:val="00691BC4"/>
    <w:rsid w:val="006B3494"/>
    <w:rsid w:val="00887993"/>
    <w:rsid w:val="008E76C8"/>
    <w:rsid w:val="009A4E4C"/>
    <w:rsid w:val="00A00CFB"/>
    <w:rsid w:val="00C0495F"/>
    <w:rsid w:val="00C40050"/>
    <w:rsid w:val="00C550C7"/>
    <w:rsid w:val="00D37B5B"/>
    <w:rsid w:val="00E44062"/>
    <w:rsid w:val="00EF0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F90C98"/>
  <w15:chartTrackingRefBased/>
  <w15:docId w15:val="{45940101-FDD8-4C89-8ED4-9039CB53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7B5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7B5B"/>
    <w:pPr>
      <w:tabs>
        <w:tab w:val="center" w:pos="4153"/>
        <w:tab w:val="right" w:pos="8306"/>
      </w:tabs>
    </w:pPr>
  </w:style>
  <w:style w:type="character" w:customStyle="1" w:styleId="a4">
    <w:name w:val="כותרת עליונה תו"/>
    <w:link w:val="a3"/>
    <w:rsid w:val="00D37B5B"/>
    <w:rPr>
      <w:rFonts w:ascii="Times New Roman" w:eastAsia="Times New Roman" w:hAnsi="Times New Roman" w:cs="David"/>
      <w:sz w:val="24"/>
      <w:szCs w:val="24"/>
    </w:rPr>
  </w:style>
  <w:style w:type="paragraph" w:styleId="a5">
    <w:name w:val="footer"/>
    <w:basedOn w:val="a"/>
    <w:link w:val="a6"/>
    <w:rsid w:val="00D37B5B"/>
    <w:pPr>
      <w:tabs>
        <w:tab w:val="center" w:pos="4153"/>
        <w:tab w:val="right" w:pos="8306"/>
      </w:tabs>
    </w:pPr>
  </w:style>
  <w:style w:type="character" w:customStyle="1" w:styleId="a6">
    <w:name w:val="כותרת תחתונה תו"/>
    <w:link w:val="a5"/>
    <w:rsid w:val="00D37B5B"/>
    <w:rPr>
      <w:rFonts w:ascii="Times New Roman" w:eastAsia="Times New Roman" w:hAnsi="Times New Roman" w:cs="David"/>
      <w:sz w:val="24"/>
      <w:szCs w:val="24"/>
    </w:rPr>
  </w:style>
  <w:style w:type="table" w:styleId="a7">
    <w:name w:val="Table Grid"/>
    <w:basedOn w:val="a1"/>
    <w:rsid w:val="00D37B5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7B5B"/>
  </w:style>
  <w:style w:type="paragraph" w:customStyle="1" w:styleId="12">
    <w:name w:val="רגיל + ‏12 נק'"/>
    <w:aliases w:val="מיושר לשני הצדדים,מרווח בין שורות:  שורה וחצי"/>
    <w:basedOn w:val="a"/>
    <w:rsid w:val="00D37B5B"/>
    <w:rPr>
      <w:b/>
      <w:bCs/>
      <w:u w:val="single"/>
    </w:rPr>
  </w:style>
  <w:style w:type="character" w:customStyle="1" w:styleId="TimesNewRomanTimesNewRoman">
    <w:name w:val="סגנון (לטיני) Times New Roman (עברית ושפות אחרות) Times New Roman..."/>
    <w:rsid w:val="00D37B5B"/>
    <w:rPr>
      <w:rFonts w:ascii="Times New Roman" w:hAnsi="Times New Roman" w:cs="David" w:hint="default"/>
      <w:b/>
      <w:bCs/>
      <w:sz w:val="26"/>
      <w:szCs w:val="26"/>
    </w:rPr>
  </w:style>
  <w:style w:type="character" w:styleId="Hyperlink">
    <w:name w:val="Hyperlink"/>
    <w:rsid w:val="00C55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37" TargetMode="External"/><Relationship Id="rId42" Type="http://schemas.openxmlformats.org/officeDocument/2006/relationships/hyperlink" Target="http://www.nevo.co.il/law/70301/58" TargetMode="External"/><Relationship Id="rId47" Type="http://schemas.openxmlformats.org/officeDocument/2006/relationships/hyperlink" Target="http://www.nevo.co.il/law/4216/7.a" TargetMode="External"/><Relationship Id="rId63" Type="http://schemas.openxmlformats.org/officeDocument/2006/relationships/hyperlink" Target="http://www.nevo.co.il/law/5227" TargetMode="External"/><Relationship Id="rId68" Type="http://schemas.openxmlformats.org/officeDocument/2006/relationships/hyperlink" Target="http://www.nevo.co.il/law/74501/2.a" TargetMode="External"/><Relationship Id="rId84" Type="http://schemas.openxmlformats.org/officeDocument/2006/relationships/hyperlink" Target="http://www.nevo.co.il/law/4216" TargetMode="External"/><Relationship Id="rId89" Type="http://schemas.openxmlformats.org/officeDocument/2006/relationships/footer" Target="footer2.xml"/><Relationship Id="rId16" Type="http://schemas.openxmlformats.org/officeDocument/2006/relationships/hyperlink" Target="http://www.nevo.co.il/law/4216/7.c" TargetMode="External"/><Relationship Id="rId11" Type="http://schemas.openxmlformats.org/officeDocument/2006/relationships/hyperlink" Target="http://www.nevo.co.il/law/70301/144.b" TargetMode="External"/><Relationship Id="rId32" Type="http://schemas.openxmlformats.org/officeDocument/2006/relationships/hyperlink" Target="http://www.nevo.co.il/law/70301/144.b" TargetMode="External"/><Relationship Id="rId37" Type="http://schemas.openxmlformats.org/officeDocument/2006/relationships/hyperlink" Target="http://www.nevo.co.il/case/20395125" TargetMode="External"/><Relationship Id="rId53" Type="http://schemas.openxmlformats.org/officeDocument/2006/relationships/hyperlink" Target="http://www.nevo.co.il/law/5227" TargetMode="External"/><Relationship Id="rId58" Type="http://schemas.openxmlformats.org/officeDocument/2006/relationships/hyperlink" Target="http://www.nevo.co.il/law/5227/37" TargetMode="External"/><Relationship Id="rId74" Type="http://schemas.openxmlformats.org/officeDocument/2006/relationships/hyperlink" Target="http://www.nevo.co.il/case/22360419" TargetMode="External"/><Relationship Id="rId79" Type="http://schemas.openxmlformats.org/officeDocument/2006/relationships/hyperlink" Target="http://www.nevo.co.il/law/4216/7.a" TargetMode="External"/><Relationship Id="rId5" Type="http://schemas.openxmlformats.org/officeDocument/2006/relationships/endnotes" Target="endnotes.xml"/><Relationship Id="rId90" Type="http://schemas.openxmlformats.org/officeDocument/2006/relationships/fontTable" Target="fontTable.xml"/><Relationship Id="rId14" Type="http://schemas.openxmlformats.org/officeDocument/2006/relationships/hyperlink" Target="http://www.nevo.co.il/law/4216" TargetMode="External"/><Relationship Id="rId22" Type="http://schemas.openxmlformats.org/officeDocument/2006/relationships/hyperlink" Target="http://www.nevo.co.il/law/5227/38.1"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7948154" TargetMode="External"/><Relationship Id="rId43" Type="http://schemas.openxmlformats.org/officeDocument/2006/relationships/hyperlink" Target="http://www.nevo.co.il/law/70301" TargetMode="External"/><Relationship Id="rId48" Type="http://schemas.openxmlformats.org/officeDocument/2006/relationships/hyperlink" Target="http://www.nevo.co.il/law/4216/7.c" TargetMode="External"/><Relationship Id="rId56" Type="http://schemas.openxmlformats.org/officeDocument/2006/relationships/hyperlink" Target="http://www.nevo.co.il/case/21901025" TargetMode="External"/><Relationship Id="rId64" Type="http://schemas.openxmlformats.org/officeDocument/2006/relationships/hyperlink" Target="http://www.nevo.co.il/law/5227/62.2" TargetMode="External"/><Relationship Id="rId69" Type="http://schemas.openxmlformats.org/officeDocument/2006/relationships/hyperlink" Target="http://www.nevo.co.il/law/74501" TargetMode="External"/><Relationship Id="rId77" Type="http://schemas.openxmlformats.org/officeDocument/2006/relationships/hyperlink" Target="http://www.nevo.co.il/law/70301/499.a.1" TargetMode="External"/><Relationship Id="rId8" Type="http://schemas.openxmlformats.org/officeDocument/2006/relationships/hyperlink" Target="http://www.nevo.co.il/law/70301/58" TargetMode="External"/><Relationship Id="rId51" Type="http://schemas.openxmlformats.org/officeDocument/2006/relationships/hyperlink" Target="http://www.nevo.co.il/law/74501" TargetMode="External"/><Relationship Id="rId72" Type="http://schemas.openxmlformats.org/officeDocument/2006/relationships/hyperlink" Target="http://www.nevo.co.il/law/5227/10.a" TargetMode="External"/><Relationship Id="rId80" Type="http://schemas.openxmlformats.org/officeDocument/2006/relationships/hyperlink" Target="http://www.nevo.co.il/law/4216/7.c" TargetMode="External"/><Relationship Id="rId85"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144.b2"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29" TargetMode="External"/><Relationship Id="rId38" Type="http://schemas.openxmlformats.org/officeDocument/2006/relationships/hyperlink" Target="http://www.nevo.co.il/case/26019023" TargetMode="External"/><Relationship Id="rId46" Type="http://schemas.openxmlformats.org/officeDocument/2006/relationships/hyperlink" Target="http://www.nevo.co.il/law/70301" TargetMode="External"/><Relationship Id="rId59" Type="http://schemas.openxmlformats.org/officeDocument/2006/relationships/hyperlink" Target="http://www.nevo.co.il/law/5227" TargetMode="External"/><Relationship Id="rId67" Type="http://schemas.openxmlformats.org/officeDocument/2006/relationships/hyperlink" Target="http://www.nevo.co.il/law/5227/62.2" TargetMode="External"/><Relationship Id="rId20" Type="http://schemas.openxmlformats.org/officeDocument/2006/relationships/hyperlink" Target="http://www.nevo.co.il/law/5227/10.a" TargetMode="External"/><Relationship Id="rId41" Type="http://schemas.openxmlformats.org/officeDocument/2006/relationships/hyperlink" Target="http://www.nevo.co.il/law/70301" TargetMode="External"/><Relationship Id="rId54" Type="http://schemas.openxmlformats.org/officeDocument/2006/relationships/hyperlink" Target="http://www.nevo.co.il/law/5227/10.a" TargetMode="External"/><Relationship Id="rId62" Type="http://schemas.openxmlformats.org/officeDocument/2006/relationships/hyperlink" Target="http://www.nevo.co.il/law/5227/10.a" TargetMode="External"/><Relationship Id="rId70" Type="http://schemas.openxmlformats.org/officeDocument/2006/relationships/hyperlink" Target="http://www.nevo.co.il/case/16945205" TargetMode="External"/><Relationship Id="rId75" Type="http://schemas.openxmlformats.org/officeDocument/2006/relationships/hyperlink" Target="http://www.nevo.co.il/law/5227/10.a" TargetMode="External"/><Relationship Id="rId83" Type="http://schemas.openxmlformats.org/officeDocument/2006/relationships/hyperlink" Target="http://www.nevo.co.il/law/4216/7.c"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4216/7.a" TargetMode="External"/><Relationship Id="rId23" Type="http://schemas.openxmlformats.org/officeDocument/2006/relationships/hyperlink" Target="http://www.nevo.co.il/law/5227/62.2"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case/27171364" TargetMode="External"/><Relationship Id="rId49" Type="http://schemas.openxmlformats.org/officeDocument/2006/relationships/hyperlink" Target="http://www.nevo.co.il/law/4216" TargetMode="External"/><Relationship Id="rId57" Type="http://schemas.openxmlformats.org/officeDocument/2006/relationships/hyperlink" Target="http://www.nevo.co.il/law/5227/38.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144.a" TargetMode="External"/><Relationship Id="rId44" Type="http://schemas.openxmlformats.org/officeDocument/2006/relationships/hyperlink" Target="http://www.nevo.co.il/case/26905927" TargetMode="External"/><Relationship Id="rId52" Type="http://schemas.openxmlformats.org/officeDocument/2006/relationships/hyperlink" Target="http://www.nevo.co.il/law/5227/62.2" TargetMode="External"/><Relationship Id="rId60" Type="http://schemas.openxmlformats.org/officeDocument/2006/relationships/hyperlink" Target="http://www.nevo.co.il/law/4216/7.c" TargetMode="External"/><Relationship Id="rId65" Type="http://schemas.openxmlformats.org/officeDocument/2006/relationships/hyperlink" Target="http://www.nevo.co.il/law/5227/10.a" TargetMode="External"/><Relationship Id="rId73" Type="http://schemas.openxmlformats.org/officeDocument/2006/relationships/hyperlink" Target="http://www.nevo.co.il/law/5227" TargetMode="External"/><Relationship Id="rId78" Type="http://schemas.openxmlformats.org/officeDocument/2006/relationships/hyperlink" Target="http://www.nevo.co.il/law/70301" TargetMode="External"/><Relationship Id="rId81" Type="http://schemas.openxmlformats.org/officeDocument/2006/relationships/hyperlink" Target="http://www.nevo.co.il/law/4216" TargetMode="External"/><Relationship Id="rId86"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4501/2.a" TargetMode="External"/><Relationship Id="rId39" Type="http://schemas.openxmlformats.org/officeDocument/2006/relationships/hyperlink" Target="http://www.nevo.co.il/case/27091247" TargetMode="External"/><Relationship Id="rId34" Type="http://schemas.openxmlformats.org/officeDocument/2006/relationships/hyperlink" Target="http://www.nevo.co.il/case/27171364" TargetMode="External"/><Relationship Id="rId50" Type="http://schemas.openxmlformats.org/officeDocument/2006/relationships/hyperlink" Target="http://www.nevo.co.il/law/74501/2.a" TargetMode="External"/><Relationship Id="rId55" Type="http://schemas.openxmlformats.org/officeDocument/2006/relationships/hyperlink" Target="http://www.nevo.co.il/case/19999565" TargetMode="External"/><Relationship Id="rId76" Type="http://schemas.openxmlformats.org/officeDocument/2006/relationships/hyperlink" Target="http://www.nevo.co.il/law/5227"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22360419"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144" TargetMode="External"/><Relationship Id="rId45" Type="http://schemas.openxmlformats.org/officeDocument/2006/relationships/hyperlink" Target="http://www.nevo.co.il/law/70301/144" TargetMode="External"/><Relationship Id="rId66" Type="http://schemas.openxmlformats.org/officeDocument/2006/relationships/hyperlink" Target="http://www.nevo.co.il/law/5227" TargetMode="External"/><Relationship Id="rId87" Type="http://schemas.openxmlformats.org/officeDocument/2006/relationships/header" Target="header2.xml"/><Relationship Id="rId61" Type="http://schemas.openxmlformats.org/officeDocument/2006/relationships/hyperlink" Target="http://www.nevo.co.il/law/4216" TargetMode="External"/><Relationship Id="rId82" Type="http://schemas.openxmlformats.org/officeDocument/2006/relationships/hyperlink" Target="http://www.nevo.co.il/case/20356752" TargetMode="External"/><Relationship Id="rId19" Type="http://schemas.openxmlformats.org/officeDocument/2006/relationships/hyperlink" Target="http://www.nevo.co.il/law/522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4363</Words>
  <Characters>21815</Characters>
  <Application>Microsoft Office Word</Application>
  <DocSecurity>0</DocSecurity>
  <Lines>181</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26126</CharactersWithSpaces>
  <SharedDoc>false</SharedDoc>
  <HLinks>
    <vt:vector size="480" baseType="variant">
      <vt:variant>
        <vt:i4>393283</vt:i4>
      </vt:variant>
      <vt:variant>
        <vt:i4>237</vt:i4>
      </vt:variant>
      <vt:variant>
        <vt:i4>0</vt:i4>
      </vt:variant>
      <vt:variant>
        <vt:i4>5</vt:i4>
      </vt:variant>
      <vt:variant>
        <vt:lpwstr>http://www.nevo.co.il/advertisements/nevo-100.doc</vt:lpwstr>
      </vt:variant>
      <vt:variant>
        <vt:lpwstr/>
      </vt:variant>
      <vt:variant>
        <vt:i4>8257637</vt:i4>
      </vt:variant>
      <vt:variant>
        <vt:i4>234</vt:i4>
      </vt:variant>
      <vt:variant>
        <vt:i4>0</vt:i4>
      </vt:variant>
      <vt:variant>
        <vt:i4>5</vt:i4>
      </vt:variant>
      <vt:variant>
        <vt:lpwstr>http://www.nevo.co.il/law/4216</vt:lpwstr>
      </vt:variant>
      <vt:variant>
        <vt:lpwstr/>
      </vt:variant>
      <vt:variant>
        <vt:i4>2752612</vt:i4>
      </vt:variant>
      <vt:variant>
        <vt:i4>231</vt:i4>
      </vt:variant>
      <vt:variant>
        <vt:i4>0</vt:i4>
      </vt:variant>
      <vt:variant>
        <vt:i4>5</vt:i4>
      </vt:variant>
      <vt:variant>
        <vt:lpwstr>http://www.nevo.co.il/law/4216/7.c</vt:lpwstr>
      </vt:variant>
      <vt:variant>
        <vt:lpwstr/>
      </vt:variant>
      <vt:variant>
        <vt:i4>3276918</vt:i4>
      </vt:variant>
      <vt:variant>
        <vt:i4>228</vt:i4>
      </vt:variant>
      <vt:variant>
        <vt:i4>0</vt:i4>
      </vt:variant>
      <vt:variant>
        <vt:i4>5</vt:i4>
      </vt:variant>
      <vt:variant>
        <vt:lpwstr>http://www.nevo.co.il/case/20356752</vt:lpwstr>
      </vt:variant>
      <vt:variant>
        <vt:lpwstr/>
      </vt:variant>
      <vt:variant>
        <vt:i4>8257637</vt:i4>
      </vt:variant>
      <vt:variant>
        <vt:i4>225</vt:i4>
      </vt:variant>
      <vt:variant>
        <vt:i4>0</vt:i4>
      </vt:variant>
      <vt:variant>
        <vt:i4>5</vt:i4>
      </vt:variant>
      <vt:variant>
        <vt:lpwstr>http://www.nevo.co.il/law/4216</vt:lpwstr>
      </vt:variant>
      <vt:variant>
        <vt:lpwstr/>
      </vt:variant>
      <vt:variant>
        <vt:i4>2752612</vt:i4>
      </vt:variant>
      <vt:variant>
        <vt:i4>222</vt:i4>
      </vt:variant>
      <vt:variant>
        <vt:i4>0</vt:i4>
      </vt:variant>
      <vt:variant>
        <vt:i4>5</vt:i4>
      </vt:variant>
      <vt:variant>
        <vt:lpwstr>http://www.nevo.co.il/law/4216/7.c</vt:lpwstr>
      </vt:variant>
      <vt:variant>
        <vt:lpwstr/>
      </vt:variant>
      <vt:variant>
        <vt:i4>2621540</vt:i4>
      </vt:variant>
      <vt:variant>
        <vt:i4>219</vt:i4>
      </vt:variant>
      <vt:variant>
        <vt:i4>0</vt:i4>
      </vt:variant>
      <vt:variant>
        <vt:i4>5</vt:i4>
      </vt:variant>
      <vt:variant>
        <vt:lpwstr>http://www.nevo.co.il/law/4216/7.a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7077945</vt:i4>
      </vt:variant>
      <vt:variant>
        <vt:i4>213</vt:i4>
      </vt:variant>
      <vt:variant>
        <vt:i4>0</vt:i4>
      </vt:variant>
      <vt:variant>
        <vt:i4>5</vt:i4>
      </vt:variant>
      <vt:variant>
        <vt:lpwstr>http://www.nevo.co.il/law/70301/499.a.1</vt:lpwstr>
      </vt:variant>
      <vt:variant>
        <vt:lpwstr/>
      </vt:variant>
      <vt:variant>
        <vt:i4>8323175</vt:i4>
      </vt:variant>
      <vt:variant>
        <vt:i4>210</vt:i4>
      </vt:variant>
      <vt:variant>
        <vt:i4>0</vt:i4>
      </vt:variant>
      <vt:variant>
        <vt:i4>5</vt:i4>
      </vt:variant>
      <vt:variant>
        <vt:lpwstr>http://www.nevo.co.il/law/5227</vt:lpwstr>
      </vt:variant>
      <vt:variant>
        <vt:lpwstr/>
      </vt:variant>
      <vt:variant>
        <vt:i4>6291576</vt:i4>
      </vt:variant>
      <vt:variant>
        <vt:i4>207</vt:i4>
      </vt:variant>
      <vt:variant>
        <vt:i4>0</vt:i4>
      </vt:variant>
      <vt:variant>
        <vt:i4>5</vt:i4>
      </vt:variant>
      <vt:variant>
        <vt:lpwstr>http://www.nevo.co.il/law/5227/10.a</vt:lpwstr>
      </vt:variant>
      <vt:variant>
        <vt:lpwstr/>
      </vt:variant>
      <vt:variant>
        <vt:i4>3145844</vt:i4>
      </vt:variant>
      <vt:variant>
        <vt:i4>204</vt:i4>
      </vt:variant>
      <vt:variant>
        <vt:i4>0</vt:i4>
      </vt:variant>
      <vt:variant>
        <vt:i4>5</vt:i4>
      </vt:variant>
      <vt:variant>
        <vt:lpwstr>http://www.nevo.co.il/case/22360419</vt:lpwstr>
      </vt:variant>
      <vt:variant>
        <vt:lpwstr/>
      </vt:variant>
      <vt:variant>
        <vt:i4>8323175</vt:i4>
      </vt:variant>
      <vt:variant>
        <vt:i4>201</vt:i4>
      </vt:variant>
      <vt:variant>
        <vt:i4>0</vt:i4>
      </vt:variant>
      <vt:variant>
        <vt:i4>5</vt:i4>
      </vt:variant>
      <vt:variant>
        <vt:lpwstr>http://www.nevo.co.il/law/5227</vt:lpwstr>
      </vt:variant>
      <vt:variant>
        <vt:lpwstr/>
      </vt:variant>
      <vt:variant>
        <vt:i4>6291576</vt:i4>
      </vt:variant>
      <vt:variant>
        <vt:i4>198</vt:i4>
      </vt:variant>
      <vt:variant>
        <vt:i4>0</vt:i4>
      </vt:variant>
      <vt:variant>
        <vt:i4>5</vt:i4>
      </vt:variant>
      <vt:variant>
        <vt:lpwstr>http://www.nevo.co.il/law/5227/10.a</vt:lpwstr>
      </vt:variant>
      <vt:variant>
        <vt:lpwstr/>
      </vt:variant>
      <vt:variant>
        <vt:i4>3145844</vt:i4>
      </vt:variant>
      <vt:variant>
        <vt:i4>195</vt:i4>
      </vt:variant>
      <vt:variant>
        <vt:i4>0</vt:i4>
      </vt:variant>
      <vt:variant>
        <vt:i4>5</vt:i4>
      </vt:variant>
      <vt:variant>
        <vt:lpwstr>http://www.nevo.co.il/case/22360419</vt:lpwstr>
      </vt:variant>
      <vt:variant>
        <vt:lpwstr/>
      </vt:variant>
      <vt:variant>
        <vt:i4>3997812</vt:i4>
      </vt:variant>
      <vt:variant>
        <vt:i4>192</vt:i4>
      </vt:variant>
      <vt:variant>
        <vt:i4>0</vt:i4>
      </vt:variant>
      <vt:variant>
        <vt:i4>5</vt:i4>
      </vt:variant>
      <vt:variant>
        <vt:lpwstr>http://www.nevo.co.il/case/16945205</vt:lpwstr>
      </vt:variant>
      <vt:variant>
        <vt:lpwstr/>
      </vt:variant>
      <vt:variant>
        <vt:i4>8257634</vt:i4>
      </vt:variant>
      <vt:variant>
        <vt:i4>189</vt:i4>
      </vt:variant>
      <vt:variant>
        <vt:i4>0</vt:i4>
      </vt:variant>
      <vt:variant>
        <vt:i4>5</vt:i4>
      </vt:variant>
      <vt:variant>
        <vt:lpwstr>http://www.nevo.co.il/law/74501</vt:lpwstr>
      </vt:variant>
      <vt:variant>
        <vt:lpwstr/>
      </vt:variant>
      <vt:variant>
        <vt:i4>8323169</vt:i4>
      </vt:variant>
      <vt:variant>
        <vt:i4>186</vt:i4>
      </vt:variant>
      <vt:variant>
        <vt:i4>0</vt:i4>
      </vt:variant>
      <vt:variant>
        <vt:i4>5</vt:i4>
      </vt:variant>
      <vt:variant>
        <vt:lpwstr>http://www.nevo.co.il/law/74501/2.a</vt:lpwstr>
      </vt:variant>
      <vt:variant>
        <vt:lpwstr/>
      </vt:variant>
      <vt:variant>
        <vt:i4>6750330</vt:i4>
      </vt:variant>
      <vt:variant>
        <vt:i4>183</vt:i4>
      </vt:variant>
      <vt:variant>
        <vt:i4>0</vt:i4>
      </vt:variant>
      <vt:variant>
        <vt:i4>5</vt:i4>
      </vt:variant>
      <vt:variant>
        <vt:lpwstr>http://www.nevo.co.il/law/5227/62.2</vt:lpwstr>
      </vt:variant>
      <vt:variant>
        <vt:lpwstr/>
      </vt:variant>
      <vt:variant>
        <vt:i4>8323175</vt:i4>
      </vt:variant>
      <vt:variant>
        <vt:i4>180</vt:i4>
      </vt:variant>
      <vt:variant>
        <vt:i4>0</vt:i4>
      </vt:variant>
      <vt:variant>
        <vt:i4>5</vt:i4>
      </vt:variant>
      <vt:variant>
        <vt:lpwstr>http://www.nevo.co.il/law/5227</vt:lpwstr>
      </vt:variant>
      <vt:variant>
        <vt:lpwstr/>
      </vt:variant>
      <vt:variant>
        <vt:i4>6291576</vt:i4>
      </vt:variant>
      <vt:variant>
        <vt:i4>177</vt:i4>
      </vt:variant>
      <vt:variant>
        <vt:i4>0</vt:i4>
      </vt:variant>
      <vt:variant>
        <vt:i4>5</vt:i4>
      </vt:variant>
      <vt:variant>
        <vt:lpwstr>http://www.nevo.co.il/law/5227/10.a</vt:lpwstr>
      </vt:variant>
      <vt:variant>
        <vt:lpwstr/>
      </vt:variant>
      <vt:variant>
        <vt:i4>6750330</vt:i4>
      </vt:variant>
      <vt:variant>
        <vt:i4>174</vt:i4>
      </vt:variant>
      <vt:variant>
        <vt:i4>0</vt:i4>
      </vt:variant>
      <vt:variant>
        <vt:i4>5</vt:i4>
      </vt:variant>
      <vt:variant>
        <vt:lpwstr>http://www.nevo.co.il/law/5227/62.2</vt:lpwstr>
      </vt:variant>
      <vt:variant>
        <vt:lpwstr/>
      </vt:variant>
      <vt:variant>
        <vt:i4>8323175</vt:i4>
      </vt:variant>
      <vt:variant>
        <vt:i4>171</vt:i4>
      </vt:variant>
      <vt:variant>
        <vt:i4>0</vt:i4>
      </vt:variant>
      <vt:variant>
        <vt:i4>5</vt:i4>
      </vt:variant>
      <vt:variant>
        <vt:lpwstr>http://www.nevo.co.il/law/5227</vt:lpwstr>
      </vt:variant>
      <vt:variant>
        <vt:lpwstr/>
      </vt:variant>
      <vt:variant>
        <vt:i4>6291576</vt:i4>
      </vt:variant>
      <vt:variant>
        <vt:i4>168</vt:i4>
      </vt:variant>
      <vt:variant>
        <vt:i4>0</vt:i4>
      </vt:variant>
      <vt:variant>
        <vt:i4>5</vt:i4>
      </vt:variant>
      <vt:variant>
        <vt:lpwstr>http://www.nevo.co.il/law/5227/10.a</vt:lpwstr>
      </vt:variant>
      <vt:variant>
        <vt:lpwstr/>
      </vt:variant>
      <vt:variant>
        <vt:i4>8257637</vt:i4>
      </vt:variant>
      <vt:variant>
        <vt:i4>165</vt:i4>
      </vt:variant>
      <vt:variant>
        <vt:i4>0</vt:i4>
      </vt:variant>
      <vt:variant>
        <vt:i4>5</vt:i4>
      </vt:variant>
      <vt:variant>
        <vt:lpwstr>http://www.nevo.co.il/law/4216</vt:lpwstr>
      </vt:variant>
      <vt:variant>
        <vt:lpwstr/>
      </vt:variant>
      <vt:variant>
        <vt:i4>2752612</vt:i4>
      </vt:variant>
      <vt:variant>
        <vt:i4>162</vt:i4>
      </vt:variant>
      <vt:variant>
        <vt:i4>0</vt:i4>
      </vt:variant>
      <vt:variant>
        <vt:i4>5</vt:i4>
      </vt:variant>
      <vt:variant>
        <vt:lpwstr>http://www.nevo.co.il/law/4216/7.c</vt:lpwstr>
      </vt:variant>
      <vt:variant>
        <vt:lpwstr/>
      </vt:variant>
      <vt:variant>
        <vt:i4>8323175</vt:i4>
      </vt:variant>
      <vt:variant>
        <vt:i4>159</vt:i4>
      </vt:variant>
      <vt:variant>
        <vt:i4>0</vt:i4>
      </vt:variant>
      <vt:variant>
        <vt:i4>5</vt:i4>
      </vt:variant>
      <vt:variant>
        <vt:lpwstr>http://www.nevo.co.il/law/5227</vt:lpwstr>
      </vt:variant>
      <vt:variant>
        <vt:lpwstr/>
      </vt:variant>
      <vt:variant>
        <vt:i4>4980808</vt:i4>
      </vt:variant>
      <vt:variant>
        <vt:i4>156</vt:i4>
      </vt:variant>
      <vt:variant>
        <vt:i4>0</vt:i4>
      </vt:variant>
      <vt:variant>
        <vt:i4>5</vt:i4>
      </vt:variant>
      <vt:variant>
        <vt:lpwstr>http://www.nevo.co.il/law/5227/37</vt:lpwstr>
      </vt:variant>
      <vt:variant>
        <vt:lpwstr/>
      </vt:variant>
      <vt:variant>
        <vt:i4>6422640</vt:i4>
      </vt:variant>
      <vt:variant>
        <vt:i4>153</vt:i4>
      </vt:variant>
      <vt:variant>
        <vt:i4>0</vt:i4>
      </vt:variant>
      <vt:variant>
        <vt:i4>5</vt:i4>
      </vt:variant>
      <vt:variant>
        <vt:lpwstr>http://www.nevo.co.il/law/5227/38.1</vt:lpwstr>
      </vt:variant>
      <vt:variant>
        <vt:lpwstr/>
      </vt:variant>
      <vt:variant>
        <vt:i4>3670133</vt:i4>
      </vt:variant>
      <vt:variant>
        <vt:i4>150</vt:i4>
      </vt:variant>
      <vt:variant>
        <vt:i4>0</vt:i4>
      </vt:variant>
      <vt:variant>
        <vt:i4>5</vt:i4>
      </vt:variant>
      <vt:variant>
        <vt:lpwstr>http://www.nevo.co.il/case/21901025</vt:lpwstr>
      </vt:variant>
      <vt:variant>
        <vt:lpwstr/>
      </vt:variant>
      <vt:variant>
        <vt:i4>3604593</vt:i4>
      </vt:variant>
      <vt:variant>
        <vt:i4>147</vt:i4>
      </vt:variant>
      <vt:variant>
        <vt:i4>0</vt:i4>
      </vt:variant>
      <vt:variant>
        <vt:i4>5</vt:i4>
      </vt:variant>
      <vt:variant>
        <vt:lpwstr>http://www.nevo.co.il/case/19999565</vt:lpwstr>
      </vt:variant>
      <vt:variant>
        <vt:lpwstr/>
      </vt:variant>
      <vt:variant>
        <vt:i4>6291576</vt:i4>
      </vt:variant>
      <vt:variant>
        <vt:i4>144</vt:i4>
      </vt:variant>
      <vt:variant>
        <vt:i4>0</vt:i4>
      </vt:variant>
      <vt:variant>
        <vt:i4>5</vt:i4>
      </vt:variant>
      <vt:variant>
        <vt:lpwstr>http://www.nevo.co.il/law/5227/10.a</vt:lpwstr>
      </vt:variant>
      <vt:variant>
        <vt:lpwstr/>
      </vt:variant>
      <vt:variant>
        <vt:i4>8323175</vt:i4>
      </vt:variant>
      <vt:variant>
        <vt:i4>141</vt:i4>
      </vt:variant>
      <vt:variant>
        <vt:i4>0</vt:i4>
      </vt:variant>
      <vt:variant>
        <vt:i4>5</vt:i4>
      </vt:variant>
      <vt:variant>
        <vt:lpwstr>http://www.nevo.co.il/law/5227</vt:lpwstr>
      </vt:variant>
      <vt:variant>
        <vt:lpwstr/>
      </vt:variant>
      <vt:variant>
        <vt:i4>6750330</vt:i4>
      </vt:variant>
      <vt:variant>
        <vt:i4>138</vt:i4>
      </vt:variant>
      <vt:variant>
        <vt:i4>0</vt:i4>
      </vt:variant>
      <vt:variant>
        <vt:i4>5</vt:i4>
      </vt:variant>
      <vt:variant>
        <vt:lpwstr>http://www.nevo.co.il/law/5227/62.2</vt:lpwstr>
      </vt:variant>
      <vt:variant>
        <vt:lpwstr/>
      </vt:variant>
      <vt:variant>
        <vt:i4>8257634</vt:i4>
      </vt:variant>
      <vt:variant>
        <vt:i4>135</vt:i4>
      </vt:variant>
      <vt:variant>
        <vt:i4>0</vt:i4>
      </vt:variant>
      <vt:variant>
        <vt:i4>5</vt:i4>
      </vt:variant>
      <vt:variant>
        <vt:lpwstr>http://www.nevo.co.il/law/74501</vt:lpwstr>
      </vt:variant>
      <vt:variant>
        <vt:lpwstr/>
      </vt:variant>
      <vt:variant>
        <vt:i4>8323169</vt:i4>
      </vt:variant>
      <vt:variant>
        <vt:i4>132</vt:i4>
      </vt:variant>
      <vt:variant>
        <vt:i4>0</vt:i4>
      </vt:variant>
      <vt:variant>
        <vt:i4>5</vt:i4>
      </vt:variant>
      <vt:variant>
        <vt:lpwstr>http://www.nevo.co.il/law/74501/2.a</vt:lpwstr>
      </vt:variant>
      <vt:variant>
        <vt:lpwstr/>
      </vt:variant>
      <vt:variant>
        <vt:i4>8257637</vt:i4>
      </vt:variant>
      <vt:variant>
        <vt:i4>129</vt:i4>
      </vt:variant>
      <vt:variant>
        <vt:i4>0</vt:i4>
      </vt:variant>
      <vt:variant>
        <vt:i4>5</vt:i4>
      </vt:variant>
      <vt:variant>
        <vt:lpwstr>http://www.nevo.co.il/law/4216</vt:lpwstr>
      </vt:variant>
      <vt:variant>
        <vt:lpwstr/>
      </vt:variant>
      <vt:variant>
        <vt:i4>2752612</vt:i4>
      </vt:variant>
      <vt:variant>
        <vt:i4>126</vt:i4>
      </vt:variant>
      <vt:variant>
        <vt:i4>0</vt:i4>
      </vt:variant>
      <vt:variant>
        <vt:i4>5</vt:i4>
      </vt:variant>
      <vt:variant>
        <vt:lpwstr>http://www.nevo.co.il/law/4216/7.c</vt:lpwstr>
      </vt:variant>
      <vt:variant>
        <vt:lpwstr/>
      </vt:variant>
      <vt:variant>
        <vt:i4>2621540</vt:i4>
      </vt:variant>
      <vt:variant>
        <vt:i4>123</vt:i4>
      </vt:variant>
      <vt:variant>
        <vt:i4>0</vt:i4>
      </vt:variant>
      <vt:variant>
        <vt:i4>5</vt:i4>
      </vt:variant>
      <vt:variant>
        <vt:lpwstr>http://www.nevo.co.il/law/4216/7.a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6357092</vt:i4>
      </vt:variant>
      <vt:variant>
        <vt:i4>117</vt:i4>
      </vt:variant>
      <vt:variant>
        <vt:i4>0</vt:i4>
      </vt:variant>
      <vt:variant>
        <vt:i4>5</vt:i4>
      </vt:variant>
      <vt:variant>
        <vt:lpwstr>http://www.nevo.co.il/law/70301/144</vt:lpwstr>
      </vt:variant>
      <vt:variant>
        <vt:lpwstr/>
      </vt:variant>
      <vt:variant>
        <vt:i4>3932283</vt:i4>
      </vt:variant>
      <vt:variant>
        <vt:i4>114</vt:i4>
      </vt:variant>
      <vt:variant>
        <vt:i4>0</vt:i4>
      </vt:variant>
      <vt:variant>
        <vt:i4>5</vt:i4>
      </vt:variant>
      <vt:variant>
        <vt:lpwstr>http://www.nevo.co.il/case/26905927</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7143520</vt:i4>
      </vt:variant>
      <vt:variant>
        <vt:i4>108</vt:i4>
      </vt:variant>
      <vt:variant>
        <vt:i4>0</vt:i4>
      </vt:variant>
      <vt:variant>
        <vt:i4>5</vt:i4>
      </vt:variant>
      <vt:variant>
        <vt:lpwstr>http://www.nevo.co.il/law/70301/58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6357092</vt:i4>
      </vt:variant>
      <vt:variant>
        <vt:i4>102</vt:i4>
      </vt:variant>
      <vt:variant>
        <vt:i4>0</vt:i4>
      </vt:variant>
      <vt:variant>
        <vt:i4>5</vt:i4>
      </vt:variant>
      <vt:variant>
        <vt:lpwstr>http://www.nevo.co.il/law/70301/144</vt:lpwstr>
      </vt:variant>
      <vt:variant>
        <vt:lpwstr/>
      </vt:variant>
      <vt:variant>
        <vt:i4>3604600</vt:i4>
      </vt:variant>
      <vt:variant>
        <vt:i4>99</vt:i4>
      </vt:variant>
      <vt:variant>
        <vt:i4>0</vt:i4>
      </vt:variant>
      <vt:variant>
        <vt:i4>5</vt:i4>
      </vt:variant>
      <vt:variant>
        <vt:lpwstr>http://www.nevo.co.il/case/27091247</vt:lpwstr>
      </vt:variant>
      <vt:variant>
        <vt:lpwstr/>
      </vt:variant>
      <vt:variant>
        <vt:i4>3735667</vt:i4>
      </vt:variant>
      <vt:variant>
        <vt:i4>96</vt:i4>
      </vt:variant>
      <vt:variant>
        <vt:i4>0</vt:i4>
      </vt:variant>
      <vt:variant>
        <vt:i4>5</vt:i4>
      </vt:variant>
      <vt:variant>
        <vt:lpwstr>http://www.nevo.co.il/case/26019023</vt:lpwstr>
      </vt:variant>
      <vt:variant>
        <vt:lpwstr/>
      </vt:variant>
      <vt:variant>
        <vt:i4>3539068</vt:i4>
      </vt:variant>
      <vt:variant>
        <vt:i4>93</vt:i4>
      </vt:variant>
      <vt:variant>
        <vt:i4>0</vt:i4>
      </vt:variant>
      <vt:variant>
        <vt:i4>5</vt:i4>
      </vt:variant>
      <vt:variant>
        <vt:lpwstr>http://www.nevo.co.il/case/20395125</vt:lpwstr>
      </vt:variant>
      <vt:variant>
        <vt:lpwstr/>
      </vt:variant>
      <vt:variant>
        <vt:i4>3407991</vt:i4>
      </vt:variant>
      <vt:variant>
        <vt:i4>90</vt:i4>
      </vt:variant>
      <vt:variant>
        <vt:i4>0</vt:i4>
      </vt:variant>
      <vt:variant>
        <vt:i4>5</vt:i4>
      </vt:variant>
      <vt:variant>
        <vt:lpwstr>http://www.nevo.co.il/case/27171364</vt:lpwstr>
      </vt:variant>
      <vt:variant>
        <vt:lpwstr/>
      </vt:variant>
      <vt:variant>
        <vt:i4>3473526</vt:i4>
      </vt:variant>
      <vt:variant>
        <vt:i4>87</vt:i4>
      </vt:variant>
      <vt:variant>
        <vt:i4>0</vt:i4>
      </vt:variant>
      <vt:variant>
        <vt:i4>5</vt:i4>
      </vt:variant>
      <vt:variant>
        <vt:lpwstr>http://www.nevo.co.il/case/17948154</vt:lpwstr>
      </vt:variant>
      <vt:variant>
        <vt:lpwstr/>
      </vt:variant>
      <vt:variant>
        <vt:i4>3407991</vt:i4>
      </vt:variant>
      <vt:variant>
        <vt:i4>84</vt:i4>
      </vt:variant>
      <vt:variant>
        <vt:i4>0</vt:i4>
      </vt:variant>
      <vt:variant>
        <vt:i4>5</vt:i4>
      </vt:variant>
      <vt:variant>
        <vt:lpwstr>http://www.nevo.co.il/case/27171364</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5177424</vt:i4>
      </vt:variant>
      <vt:variant>
        <vt:i4>78</vt:i4>
      </vt:variant>
      <vt:variant>
        <vt:i4>0</vt:i4>
      </vt:variant>
      <vt:variant>
        <vt:i4>5</vt:i4>
      </vt:variant>
      <vt:variant>
        <vt:lpwstr>http://www.nevo.co.il/law/70301/144.b</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8192050</vt:i4>
      </vt:variant>
      <vt:variant>
        <vt:i4>66</vt:i4>
      </vt:variant>
      <vt:variant>
        <vt:i4>0</vt:i4>
      </vt:variant>
      <vt:variant>
        <vt:i4>5</vt:i4>
      </vt:variant>
      <vt:variant>
        <vt:lpwstr>http://www.nevo.co.il/law/70301/144.b2</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8192050</vt:i4>
      </vt:variant>
      <vt:variant>
        <vt:i4>54</vt:i4>
      </vt:variant>
      <vt:variant>
        <vt:i4>0</vt:i4>
      </vt:variant>
      <vt:variant>
        <vt:i4>5</vt:i4>
      </vt:variant>
      <vt:variant>
        <vt:lpwstr>http://www.nevo.co.il/law/70301/144.b2</vt:lpwstr>
      </vt:variant>
      <vt:variant>
        <vt:lpwstr/>
      </vt:variant>
      <vt:variant>
        <vt:i4>6750330</vt:i4>
      </vt:variant>
      <vt:variant>
        <vt:i4>51</vt:i4>
      </vt:variant>
      <vt:variant>
        <vt:i4>0</vt:i4>
      </vt:variant>
      <vt:variant>
        <vt:i4>5</vt:i4>
      </vt:variant>
      <vt:variant>
        <vt:lpwstr>http://www.nevo.co.il/law/5227/62.2</vt:lpwstr>
      </vt:variant>
      <vt:variant>
        <vt:lpwstr/>
      </vt:variant>
      <vt:variant>
        <vt:i4>6422640</vt:i4>
      </vt:variant>
      <vt:variant>
        <vt:i4>48</vt:i4>
      </vt:variant>
      <vt:variant>
        <vt:i4>0</vt:i4>
      </vt:variant>
      <vt:variant>
        <vt:i4>5</vt:i4>
      </vt:variant>
      <vt:variant>
        <vt:lpwstr>http://www.nevo.co.il/law/5227/38.1</vt:lpwstr>
      </vt:variant>
      <vt:variant>
        <vt:lpwstr/>
      </vt:variant>
      <vt:variant>
        <vt:i4>4980808</vt:i4>
      </vt:variant>
      <vt:variant>
        <vt:i4>45</vt:i4>
      </vt:variant>
      <vt:variant>
        <vt:i4>0</vt:i4>
      </vt:variant>
      <vt:variant>
        <vt:i4>5</vt:i4>
      </vt:variant>
      <vt:variant>
        <vt:lpwstr>http://www.nevo.co.il/law/5227/37</vt:lpwstr>
      </vt:variant>
      <vt:variant>
        <vt:lpwstr/>
      </vt:variant>
      <vt:variant>
        <vt:i4>6291576</vt:i4>
      </vt:variant>
      <vt:variant>
        <vt:i4>42</vt:i4>
      </vt:variant>
      <vt:variant>
        <vt:i4>0</vt:i4>
      </vt:variant>
      <vt:variant>
        <vt:i4>5</vt:i4>
      </vt:variant>
      <vt:variant>
        <vt:lpwstr>http://www.nevo.co.il/law/5227/10.a</vt:lpwstr>
      </vt:variant>
      <vt:variant>
        <vt:lpwstr/>
      </vt:variant>
      <vt:variant>
        <vt:i4>8323175</vt:i4>
      </vt:variant>
      <vt:variant>
        <vt:i4>39</vt:i4>
      </vt:variant>
      <vt:variant>
        <vt:i4>0</vt:i4>
      </vt:variant>
      <vt:variant>
        <vt:i4>5</vt:i4>
      </vt:variant>
      <vt:variant>
        <vt:lpwstr>http://www.nevo.co.il/law/5227</vt:lpwstr>
      </vt:variant>
      <vt:variant>
        <vt:lpwstr/>
      </vt:variant>
      <vt:variant>
        <vt:i4>8323169</vt:i4>
      </vt:variant>
      <vt:variant>
        <vt:i4>36</vt:i4>
      </vt:variant>
      <vt:variant>
        <vt:i4>0</vt:i4>
      </vt:variant>
      <vt:variant>
        <vt:i4>5</vt:i4>
      </vt:variant>
      <vt:variant>
        <vt:lpwstr>http://www.nevo.co.il/law/74501/2.a</vt:lpwstr>
      </vt:variant>
      <vt:variant>
        <vt:lpwstr/>
      </vt:variant>
      <vt:variant>
        <vt:i4>8257634</vt:i4>
      </vt:variant>
      <vt:variant>
        <vt:i4>33</vt:i4>
      </vt:variant>
      <vt:variant>
        <vt:i4>0</vt:i4>
      </vt:variant>
      <vt:variant>
        <vt:i4>5</vt:i4>
      </vt:variant>
      <vt:variant>
        <vt:lpwstr>http://www.nevo.co.il/law/74501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7143520</vt:i4>
      </vt:variant>
      <vt:variant>
        <vt:i4>6</vt:i4>
      </vt:variant>
      <vt:variant>
        <vt:i4>0</vt:i4>
      </vt:variant>
      <vt:variant>
        <vt:i4>5</vt:i4>
      </vt:variant>
      <vt:variant>
        <vt:lpwstr>http://www.nevo.co.il/law/70301/58</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2025-04-25T10:47:00Z</dcterms:created>
  <dcterms:modified xsi:type="dcterms:W3CDTF">2025-04-25T10:47:00Z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33131</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LAWYER">
    <vt:lpwstr>רינת לוי;מוחמד מחאג'נה;גיל דביר</vt:lpwstr>
  </property>
  <property fmtid="{D5CDD505-2E9C-101B-9397-08002B2CF9AE}" pid="10" name="JUDGE">
    <vt:lpwstr>ארז פורת</vt:lpwstr>
  </property>
  <property fmtid="{D5CDD505-2E9C-101B-9397-08002B2CF9AE}" pid="11" name="CITY">
    <vt:lpwstr>חי'</vt:lpwstr>
  </property>
  <property fmtid="{D5CDD505-2E9C-101B-9397-08002B2CF9AE}" pid="12" name="DATE">
    <vt:lpwstr>20210315</vt:lpwstr>
  </property>
  <property fmtid="{D5CDD505-2E9C-101B-9397-08002B2CF9AE}" pid="13" name="TYPE_N_DATE">
    <vt:lpwstr>39020210315</vt:lpwstr>
  </property>
  <property fmtid="{D5CDD505-2E9C-101B-9397-08002B2CF9AE}" pid="14" name="WORDNUMPAGES">
    <vt:lpwstr>12</vt:lpwstr>
  </property>
  <property fmtid="{D5CDD505-2E9C-101B-9397-08002B2CF9AE}" pid="15" name="TYPE_ABS_DATE">
    <vt:lpwstr>390020210315</vt:lpwstr>
  </property>
  <property fmtid="{D5CDD505-2E9C-101B-9397-08002B2CF9AE}" pid="16" name="APPELLEE">
    <vt:lpwstr>ואיל מחאמיד;מוחמד גריפאת;פאדי גריפאת</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27171364:2;17948154;20395125;26019023;27091247;26905927;19999565;21901025;16945205;22360419:2;20356752</vt:lpwstr>
  </property>
  <property fmtid="{D5CDD505-2E9C-101B-9397-08002B2CF9AE}" pid="36" name="LAWLISTTMP1">
    <vt:lpwstr>70301/144.b2:2;029:3;144.a:2;144.b;144:2;058;499.a.1</vt:lpwstr>
  </property>
  <property fmtid="{D5CDD505-2E9C-101B-9397-08002B2CF9AE}" pid="37" name="LAWLISTTMP2">
    <vt:lpwstr>4216/007.a:2;007.c:4</vt:lpwstr>
  </property>
  <property fmtid="{D5CDD505-2E9C-101B-9397-08002B2CF9AE}" pid="38" name="LAWLISTTMP3">
    <vt:lpwstr>74501/002.a:2</vt:lpwstr>
  </property>
  <property fmtid="{D5CDD505-2E9C-101B-9397-08002B2CF9AE}" pid="39" name="LAWLISTTMP4">
    <vt:lpwstr>5227/062.2:3;010.a:5;038.1;037</vt:lpwstr>
  </property>
</Properties>
</file>