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6"/>
        <w:gridCol w:w="11"/>
        <w:gridCol w:w="3661"/>
        <w:gridCol w:w="99"/>
      </w:tblGrid>
      <w:tr w:rsidR="004F0ABB" w:rsidRPr="00B558AC" w14:paraId="194B5707" w14:textId="77777777" w:rsidTr="00935EE6">
        <w:trPr>
          <w:gridAfter w:val="1"/>
          <w:wAfter w:w="99" w:type="dxa"/>
          <w:trHeight w:hRule="exact" w:val="418"/>
          <w:jc w:val="center"/>
        </w:trPr>
        <w:tc>
          <w:tcPr>
            <w:tcW w:w="8721" w:type="dxa"/>
            <w:gridSpan w:val="4"/>
          </w:tcPr>
          <w:p w14:paraId="10AB5E3F" w14:textId="77777777" w:rsidR="004F0ABB" w:rsidRPr="00B558AC" w:rsidRDefault="004F0ABB" w:rsidP="00842DC0">
            <w:pPr>
              <w:pStyle w:val="a3"/>
              <w:jc w:val="center"/>
              <w:rPr>
                <w:rFonts w:ascii="Tahoma" w:hAnsi="Tahoma" w:cs="Tahoma"/>
                <w:color w:val="000080"/>
                <w:rtl/>
              </w:rPr>
            </w:pPr>
            <w:bookmarkStart w:id="0" w:name="LastJudge"/>
            <w:r w:rsidRPr="00B558AC">
              <w:rPr>
                <w:rFonts w:ascii="Tahoma" w:hAnsi="Tahoma" w:cs="Tahoma"/>
                <w:b/>
                <w:bCs/>
                <w:color w:val="000080"/>
                <w:rtl/>
              </w:rPr>
              <w:t>בית המשפט המחוזי בחיפה</w:t>
            </w:r>
          </w:p>
        </w:tc>
      </w:tr>
      <w:tr w:rsidR="004F0ABB" w:rsidRPr="00B558AC" w14:paraId="240B5CBA" w14:textId="77777777" w:rsidTr="00935EE6">
        <w:trPr>
          <w:gridAfter w:val="1"/>
          <w:wAfter w:w="99" w:type="dxa"/>
          <w:trHeight w:val="337"/>
          <w:jc w:val="center"/>
        </w:trPr>
        <w:tc>
          <w:tcPr>
            <w:tcW w:w="5060" w:type="dxa"/>
            <w:gridSpan w:val="3"/>
          </w:tcPr>
          <w:p w14:paraId="7A566D99" w14:textId="77777777" w:rsidR="004F0ABB" w:rsidRPr="00B558AC" w:rsidRDefault="004F0ABB" w:rsidP="00842DC0">
            <w:pPr>
              <w:rPr>
                <w:rFonts w:cs="FrankRuehl"/>
                <w:sz w:val="28"/>
                <w:szCs w:val="28"/>
                <w:rtl/>
              </w:rPr>
            </w:pPr>
            <w:r w:rsidRPr="00B558AC">
              <w:rPr>
                <w:rFonts w:cs="FrankRuehl"/>
                <w:sz w:val="28"/>
                <w:szCs w:val="28"/>
                <w:rtl/>
              </w:rPr>
              <w:t>ת"פ</w:t>
            </w:r>
            <w:r w:rsidRPr="00B558AC">
              <w:rPr>
                <w:rFonts w:cs="FrankRuehl" w:hint="cs"/>
                <w:sz w:val="28"/>
                <w:szCs w:val="28"/>
                <w:rtl/>
              </w:rPr>
              <w:t xml:space="preserve"> </w:t>
            </w:r>
            <w:r w:rsidRPr="00B558AC">
              <w:rPr>
                <w:rFonts w:cs="FrankRuehl"/>
                <w:sz w:val="28"/>
                <w:szCs w:val="28"/>
                <w:rtl/>
              </w:rPr>
              <w:t>54083-05-20</w:t>
            </w:r>
            <w:r w:rsidRPr="00B558AC">
              <w:rPr>
                <w:rFonts w:cs="FrankRuehl" w:hint="cs"/>
                <w:sz w:val="28"/>
                <w:szCs w:val="28"/>
                <w:rtl/>
              </w:rPr>
              <w:t xml:space="preserve"> </w:t>
            </w:r>
            <w:r w:rsidRPr="00B558AC">
              <w:rPr>
                <w:rFonts w:cs="FrankRuehl"/>
                <w:sz w:val="28"/>
                <w:szCs w:val="28"/>
                <w:rtl/>
              </w:rPr>
              <w:t>מדינת ישראל נ' לוי(עצור/אסיר בפיקוח)</w:t>
            </w:r>
          </w:p>
          <w:p w14:paraId="60B7806A" w14:textId="77777777" w:rsidR="004F0ABB" w:rsidRPr="00B558AC" w:rsidRDefault="004F0ABB" w:rsidP="00842DC0">
            <w:pPr>
              <w:pStyle w:val="a3"/>
              <w:rPr>
                <w:rFonts w:cs="FrankRuehl"/>
                <w:sz w:val="28"/>
                <w:szCs w:val="28"/>
                <w:rtl/>
              </w:rPr>
            </w:pPr>
          </w:p>
        </w:tc>
        <w:tc>
          <w:tcPr>
            <w:tcW w:w="3661" w:type="dxa"/>
          </w:tcPr>
          <w:p w14:paraId="7AC649D5" w14:textId="77777777" w:rsidR="004F0ABB" w:rsidRPr="00B558AC" w:rsidRDefault="004F0ABB" w:rsidP="00842DC0">
            <w:pPr>
              <w:pStyle w:val="a3"/>
              <w:jc w:val="right"/>
              <w:rPr>
                <w:rFonts w:cs="FrankRuehl"/>
                <w:sz w:val="28"/>
                <w:szCs w:val="28"/>
                <w:rtl/>
              </w:rPr>
            </w:pPr>
          </w:p>
        </w:tc>
      </w:tr>
      <w:tr w:rsidR="004F0ABB" w:rsidRPr="00B558AC" w14:paraId="2730DAF7" w14:textId="77777777" w:rsidTr="00935E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2F11838" w14:textId="77777777" w:rsidR="004F0ABB" w:rsidRPr="00B558AC" w:rsidRDefault="004F0ABB" w:rsidP="004F0ABB">
            <w:pPr>
              <w:spacing w:line="360" w:lineRule="auto"/>
              <w:jc w:val="both"/>
              <w:rPr>
                <w:rFonts w:ascii="David" w:hAnsi="David"/>
              </w:rPr>
            </w:pPr>
            <w:r w:rsidRPr="00B558AC">
              <w:rPr>
                <w:rFonts w:hint="cs"/>
                <w:rtl/>
              </w:rPr>
              <w:t xml:space="preserve"> </w:t>
            </w:r>
            <w:r w:rsidRPr="00B558AC">
              <w:rPr>
                <w:rFonts w:ascii="David" w:hAnsi="David"/>
                <w:rtl/>
              </w:rPr>
              <w:t xml:space="preserve">בפני </w:t>
            </w:r>
          </w:p>
        </w:tc>
        <w:tc>
          <w:tcPr>
            <w:tcW w:w="7897" w:type="dxa"/>
            <w:gridSpan w:val="4"/>
            <w:tcBorders>
              <w:top w:val="nil"/>
              <w:left w:val="nil"/>
              <w:bottom w:val="nil"/>
              <w:right w:val="nil"/>
            </w:tcBorders>
            <w:shd w:val="clear" w:color="auto" w:fill="auto"/>
          </w:tcPr>
          <w:p w14:paraId="563B1594" w14:textId="77777777" w:rsidR="004F0ABB" w:rsidRPr="00B558AC" w:rsidRDefault="004F0ABB" w:rsidP="004F0ABB">
            <w:pPr>
              <w:spacing w:line="360" w:lineRule="auto"/>
              <w:rPr>
                <w:rFonts w:ascii="David" w:hAnsi="David"/>
                <w:b/>
                <w:bCs/>
                <w:rtl/>
              </w:rPr>
            </w:pPr>
            <w:r w:rsidRPr="00B558AC">
              <w:rPr>
                <w:rFonts w:ascii="David" w:hAnsi="David"/>
                <w:b/>
                <w:bCs/>
                <w:rtl/>
              </w:rPr>
              <w:t>כבוד השופטת  רונית בש</w:t>
            </w:r>
          </w:p>
          <w:p w14:paraId="33B7A48F" w14:textId="77777777" w:rsidR="004F0ABB" w:rsidRPr="00B558AC" w:rsidRDefault="004F0ABB" w:rsidP="004F0ABB">
            <w:pPr>
              <w:spacing w:line="360" w:lineRule="auto"/>
              <w:rPr>
                <w:rFonts w:ascii="David" w:hAnsi="David"/>
                <w:b/>
                <w:bCs/>
              </w:rPr>
            </w:pPr>
          </w:p>
        </w:tc>
      </w:tr>
      <w:tr w:rsidR="004F0ABB" w:rsidRPr="00B558AC" w14:paraId="4CFCC38D" w14:textId="77777777" w:rsidTr="00935E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84D077B" w14:textId="77777777" w:rsidR="004F0ABB" w:rsidRPr="00B558AC" w:rsidRDefault="004F0ABB" w:rsidP="004F0ABB">
            <w:pPr>
              <w:spacing w:line="360" w:lineRule="auto"/>
              <w:jc w:val="both"/>
              <w:rPr>
                <w:rFonts w:ascii="David" w:hAnsi="David"/>
              </w:rPr>
            </w:pPr>
            <w:bookmarkStart w:id="1" w:name="FirstAppellant"/>
            <w:r w:rsidRPr="00B558AC">
              <w:rPr>
                <w:rFonts w:ascii="David" w:hAnsi="David"/>
                <w:rtl/>
              </w:rPr>
              <w:t>בעניין:</w:t>
            </w:r>
          </w:p>
        </w:tc>
        <w:tc>
          <w:tcPr>
            <w:tcW w:w="4126" w:type="dxa"/>
            <w:tcBorders>
              <w:top w:val="nil"/>
              <w:left w:val="nil"/>
              <w:bottom w:val="nil"/>
              <w:right w:val="nil"/>
            </w:tcBorders>
            <w:shd w:val="clear" w:color="auto" w:fill="auto"/>
          </w:tcPr>
          <w:p w14:paraId="5E24B3AD" w14:textId="77777777" w:rsidR="004F0ABB" w:rsidRPr="00B558AC" w:rsidRDefault="004F0ABB" w:rsidP="004F0ABB">
            <w:pPr>
              <w:spacing w:line="360" w:lineRule="auto"/>
              <w:rPr>
                <w:rFonts w:ascii="David" w:hAnsi="David"/>
                <w:b/>
                <w:bCs/>
              </w:rPr>
            </w:pPr>
            <w:r w:rsidRPr="00B558AC">
              <w:rPr>
                <w:rFonts w:ascii="David" w:hAnsi="David"/>
                <w:b/>
                <w:bCs/>
                <w:rtl/>
              </w:rPr>
              <w:t>מדינת ישראל</w:t>
            </w:r>
          </w:p>
        </w:tc>
        <w:tc>
          <w:tcPr>
            <w:tcW w:w="3771" w:type="dxa"/>
            <w:gridSpan w:val="3"/>
            <w:tcBorders>
              <w:top w:val="nil"/>
              <w:left w:val="nil"/>
              <w:bottom w:val="nil"/>
              <w:right w:val="nil"/>
            </w:tcBorders>
            <w:shd w:val="clear" w:color="auto" w:fill="auto"/>
          </w:tcPr>
          <w:p w14:paraId="410DE451" w14:textId="77777777" w:rsidR="004F0ABB" w:rsidRPr="00B558AC" w:rsidRDefault="004F0ABB" w:rsidP="004F0ABB">
            <w:pPr>
              <w:spacing w:line="360" w:lineRule="auto"/>
              <w:jc w:val="both"/>
              <w:rPr>
                <w:rFonts w:ascii="David" w:hAnsi="David"/>
                <w:b/>
                <w:bCs/>
              </w:rPr>
            </w:pPr>
            <w:r w:rsidRPr="00B558AC">
              <w:rPr>
                <w:rFonts w:ascii="David" w:hAnsi="David" w:hint="cs"/>
                <w:b/>
                <w:bCs/>
                <w:rtl/>
              </w:rPr>
              <w:t>המאשימה</w:t>
            </w:r>
          </w:p>
        </w:tc>
      </w:tr>
      <w:bookmarkEnd w:id="1"/>
      <w:tr w:rsidR="004F0ABB" w:rsidRPr="00B558AC" w14:paraId="0C35CD15" w14:textId="77777777" w:rsidTr="00935E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218"/>
          <w:jc w:val="center"/>
        </w:trPr>
        <w:tc>
          <w:tcPr>
            <w:tcW w:w="923" w:type="dxa"/>
            <w:tcBorders>
              <w:top w:val="nil"/>
              <w:left w:val="nil"/>
              <w:bottom w:val="nil"/>
              <w:right w:val="nil"/>
            </w:tcBorders>
            <w:shd w:val="clear" w:color="auto" w:fill="auto"/>
          </w:tcPr>
          <w:p w14:paraId="17E6E70B" w14:textId="77777777" w:rsidR="004F0ABB" w:rsidRPr="00B558AC" w:rsidRDefault="004F0ABB" w:rsidP="004F0ABB">
            <w:pPr>
              <w:spacing w:line="360" w:lineRule="auto"/>
              <w:jc w:val="both"/>
              <w:rPr>
                <w:rFonts w:ascii="David" w:hAnsi="David"/>
                <w:rtl/>
              </w:rPr>
            </w:pPr>
          </w:p>
        </w:tc>
        <w:tc>
          <w:tcPr>
            <w:tcW w:w="7897" w:type="dxa"/>
            <w:gridSpan w:val="4"/>
            <w:tcBorders>
              <w:top w:val="nil"/>
              <w:left w:val="nil"/>
              <w:bottom w:val="nil"/>
              <w:right w:val="nil"/>
            </w:tcBorders>
            <w:shd w:val="clear" w:color="auto" w:fill="auto"/>
          </w:tcPr>
          <w:p w14:paraId="103A5D47" w14:textId="77777777" w:rsidR="004F0ABB" w:rsidRPr="00B558AC" w:rsidRDefault="004F0ABB" w:rsidP="004F0ABB">
            <w:pPr>
              <w:spacing w:line="360" w:lineRule="auto"/>
              <w:jc w:val="center"/>
              <w:rPr>
                <w:rFonts w:ascii="David" w:hAnsi="David"/>
                <w:b/>
                <w:bCs/>
                <w:rtl/>
              </w:rPr>
            </w:pPr>
          </w:p>
          <w:p w14:paraId="2A191CD3" w14:textId="77777777" w:rsidR="004F0ABB" w:rsidRPr="00B558AC" w:rsidRDefault="004F0ABB" w:rsidP="004F0ABB">
            <w:pPr>
              <w:spacing w:line="360" w:lineRule="auto"/>
              <w:jc w:val="center"/>
              <w:rPr>
                <w:rFonts w:ascii="David" w:hAnsi="David"/>
                <w:b/>
                <w:bCs/>
                <w:rtl/>
              </w:rPr>
            </w:pPr>
            <w:r w:rsidRPr="00B558AC">
              <w:rPr>
                <w:rFonts w:ascii="David" w:hAnsi="David"/>
                <w:b/>
                <w:bCs/>
                <w:rtl/>
              </w:rPr>
              <w:t>נגד</w:t>
            </w:r>
          </w:p>
          <w:p w14:paraId="20738EB1" w14:textId="77777777" w:rsidR="004F0ABB" w:rsidRPr="00B558AC" w:rsidRDefault="004F0ABB" w:rsidP="004F0ABB">
            <w:pPr>
              <w:spacing w:line="360" w:lineRule="auto"/>
              <w:jc w:val="both"/>
              <w:rPr>
                <w:rFonts w:ascii="David" w:hAnsi="David"/>
              </w:rPr>
            </w:pPr>
          </w:p>
        </w:tc>
      </w:tr>
      <w:tr w:rsidR="004F0ABB" w:rsidRPr="00B558AC" w14:paraId="549DB7E1" w14:textId="77777777" w:rsidTr="00935E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7095BA0" w14:textId="77777777" w:rsidR="004F0ABB" w:rsidRPr="00B558AC" w:rsidRDefault="004F0ABB" w:rsidP="004F0ABB">
            <w:pPr>
              <w:spacing w:line="360" w:lineRule="auto"/>
              <w:rPr>
                <w:rFonts w:ascii="David" w:hAnsi="David"/>
                <w:rtl/>
              </w:rPr>
            </w:pPr>
          </w:p>
        </w:tc>
        <w:tc>
          <w:tcPr>
            <w:tcW w:w="4126" w:type="dxa"/>
            <w:tcBorders>
              <w:top w:val="nil"/>
              <w:left w:val="nil"/>
              <w:bottom w:val="nil"/>
              <w:right w:val="nil"/>
            </w:tcBorders>
            <w:shd w:val="clear" w:color="auto" w:fill="auto"/>
          </w:tcPr>
          <w:p w14:paraId="0D0CB70F" w14:textId="77777777" w:rsidR="004F0ABB" w:rsidRPr="00B558AC" w:rsidRDefault="004F0ABB" w:rsidP="004F0ABB">
            <w:pPr>
              <w:spacing w:line="360" w:lineRule="auto"/>
              <w:rPr>
                <w:rFonts w:ascii="David" w:hAnsi="David"/>
                <w:rtl/>
              </w:rPr>
            </w:pPr>
            <w:r w:rsidRPr="00B558AC">
              <w:rPr>
                <w:rFonts w:ascii="David" w:hAnsi="David"/>
                <w:b/>
                <w:bCs/>
                <w:rtl/>
              </w:rPr>
              <w:t xml:space="preserve">אליהו לוי </w:t>
            </w:r>
          </w:p>
        </w:tc>
        <w:tc>
          <w:tcPr>
            <w:tcW w:w="3771" w:type="dxa"/>
            <w:gridSpan w:val="3"/>
            <w:tcBorders>
              <w:top w:val="nil"/>
              <w:left w:val="nil"/>
              <w:bottom w:val="nil"/>
              <w:right w:val="nil"/>
            </w:tcBorders>
            <w:shd w:val="clear" w:color="auto" w:fill="auto"/>
          </w:tcPr>
          <w:p w14:paraId="3BD77B30" w14:textId="77777777" w:rsidR="004F0ABB" w:rsidRPr="00B558AC" w:rsidRDefault="004F0ABB" w:rsidP="00842DC0">
            <w:pPr>
              <w:rPr>
                <w:rFonts w:ascii="David" w:hAnsi="David"/>
                <w:b/>
                <w:bCs/>
              </w:rPr>
            </w:pPr>
            <w:r w:rsidRPr="00B558AC">
              <w:rPr>
                <w:rFonts w:ascii="David" w:hAnsi="David" w:hint="cs"/>
                <w:b/>
                <w:bCs/>
                <w:rtl/>
              </w:rPr>
              <w:t>הנאשם</w:t>
            </w:r>
          </w:p>
        </w:tc>
      </w:tr>
    </w:tbl>
    <w:p w14:paraId="41A40B9A" w14:textId="77777777" w:rsidR="00935EE6" w:rsidRDefault="00935EE6" w:rsidP="004F0ABB">
      <w:pPr>
        <w:spacing w:line="360" w:lineRule="auto"/>
        <w:rPr>
          <w:rFonts w:ascii="David" w:hAnsi="David"/>
          <w:rtl/>
        </w:rPr>
      </w:pPr>
    </w:p>
    <w:p w14:paraId="4D5DFD1E" w14:textId="77777777" w:rsidR="00935EE6" w:rsidRPr="00935EE6" w:rsidRDefault="00935EE6" w:rsidP="00935EE6">
      <w:pPr>
        <w:spacing w:after="120" w:line="240" w:lineRule="exact"/>
        <w:ind w:left="283" w:hanging="283"/>
        <w:jc w:val="both"/>
        <w:rPr>
          <w:rFonts w:ascii="FrankRuehl" w:hAnsi="FrankRuehl" w:cs="FrankRuehl"/>
          <w:rtl/>
        </w:rPr>
      </w:pPr>
    </w:p>
    <w:p w14:paraId="29C45080" w14:textId="77777777" w:rsidR="000B672B" w:rsidRPr="000B672B" w:rsidRDefault="000B672B" w:rsidP="000B672B">
      <w:pPr>
        <w:spacing w:before="120" w:after="120" w:line="240" w:lineRule="exact"/>
        <w:ind w:left="283" w:hanging="283"/>
        <w:jc w:val="both"/>
        <w:rPr>
          <w:rFonts w:ascii="FrankRuehl" w:hAnsi="FrankRuehl" w:cs="FrankRuehl"/>
          <w:rtl/>
        </w:rPr>
      </w:pPr>
    </w:p>
    <w:p w14:paraId="6B5107DA" w14:textId="77777777" w:rsidR="000C72F0" w:rsidRDefault="000C72F0" w:rsidP="000C72F0">
      <w:pPr>
        <w:spacing w:line="360" w:lineRule="auto"/>
        <w:rPr>
          <w:rFonts w:ascii="David" w:hAnsi="David"/>
          <w:rtl/>
        </w:rPr>
      </w:pPr>
      <w:bookmarkStart w:id="2" w:name="LawTable"/>
      <w:bookmarkEnd w:id="2"/>
    </w:p>
    <w:p w14:paraId="1EA72FBB" w14:textId="77777777" w:rsidR="000C72F0" w:rsidRPr="000C72F0" w:rsidRDefault="000C72F0" w:rsidP="000C72F0">
      <w:pPr>
        <w:spacing w:before="120" w:after="120" w:line="240" w:lineRule="exact"/>
        <w:ind w:left="283" w:hanging="283"/>
        <w:jc w:val="both"/>
        <w:rPr>
          <w:rFonts w:ascii="FrankRuehl" w:hAnsi="FrankRuehl" w:cs="FrankRuehl"/>
          <w:rtl/>
        </w:rPr>
      </w:pPr>
    </w:p>
    <w:p w14:paraId="0EDEE464" w14:textId="77777777" w:rsidR="000C72F0" w:rsidRPr="000C72F0" w:rsidRDefault="000C72F0" w:rsidP="000C72F0">
      <w:pPr>
        <w:spacing w:before="120" w:after="120" w:line="240" w:lineRule="exact"/>
        <w:ind w:left="283" w:hanging="283"/>
        <w:jc w:val="both"/>
        <w:rPr>
          <w:rFonts w:ascii="FrankRuehl" w:hAnsi="FrankRuehl" w:cs="FrankRuehl"/>
          <w:rtl/>
        </w:rPr>
      </w:pPr>
    </w:p>
    <w:p w14:paraId="17EC806F" w14:textId="77777777" w:rsidR="000C72F0" w:rsidRPr="000C72F0" w:rsidRDefault="000C72F0" w:rsidP="000C72F0">
      <w:pPr>
        <w:spacing w:before="120" w:after="120" w:line="240" w:lineRule="exact"/>
        <w:ind w:left="283" w:hanging="283"/>
        <w:jc w:val="both"/>
        <w:rPr>
          <w:rFonts w:ascii="FrankRuehl" w:hAnsi="FrankRuehl" w:cs="FrankRuehl"/>
          <w:rtl/>
        </w:rPr>
      </w:pPr>
      <w:r w:rsidRPr="000C72F0">
        <w:rPr>
          <w:rFonts w:ascii="FrankRuehl" w:hAnsi="FrankRuehl" w:cs="FrankRuehl"/>
          <w:rtl/>
        </w:rPr>
        <w:t xml:space="preserve">חקיקה שאוזכרה: </w:t>
      </w:r>
    </w:p>
    <w:p w14:paraId="6707ED53" w14:textId="77777777" w:rsidR="000C72F0" w:rsidRPr="000C72F0" w:rsidRDefault="000C72F0" w:rsidP="000C72F0">
      <w:pPr>
        <w:spacing w:before="120" w:after="120" w:line="240" w:lineRule="exact"/>
        <w:ind w:left="283" w:hanging="283"/>
        <w:jc w:val="both"/>
        <w:rPr>
          <w:rFonts w:ascii="FrankRuehl" w:hAnsi="FrankRuehl" w:cs="FrankRuehl"/>
          <w:rtl/>
        </w:rPr>
      </w:pPr>
      <w:hyperlink r:id="rId7" w:history="1">
        <w:r w:rsidRPr="000C72F0">
          <w:rPr>
            <w:rFonts w:ascii="FrankRuehl" w:hAnsi="FrankRuehl" w:cs="FrankRuehl"/>
            <w:color w:val="0000FF"/>
            <w:rtl/>
          </w:rPr>
          <w:t>חוק העונשין, תשל"ז-1977</w:t>
        </w:r>
      </w:hyperlink>
      <w:r w:rsidRPr="000C72F0">
        <w:rPr>
          <w:rFonts w:ascii="FrankRuehl" w:hAnsi="FrankRuehl" w:cs="FrankRuehl"/>
          <w:rtl/>
        </w:rPr>
        <w:t xml:space="preserve">: סע'  </w:t>
      </w:r>
      <w:hyperlink r:id="rId8" w:history="1">
        <w:r w:rsidRPr="000C72F0">
          <w:rPr>
            <w:rFonts w:ascii="FrankRuehl" w:hAnsi="FrankRuehl" w:cs="FrankRuehl"/>
            <w:color w:val="0000FF"/>
            <w:rtl/>
          </w:rPr>
          <w:t>144</w:t>
        </w:r>
      </w:hyperlink>
      <w:r w:rsidRPr="000C72F0">
        <w:rPr>
          <w:rFonts w:ascii="FrankRuehl" w:hAnsi="FrankRuehl" w:cs="FrankRuehl"/>
          <w:rtl/>
        </w:rPr>
        <w:t xml:space="preserve">, </w:t>
      </w:r>
      <w:hyperlink r:id="rId9" w:history="1">
        <w:r w:rsidRPr="000C72F0">
          <w:rPr>
            <w:rFonts w:ascii="FrankRuehl" w:hAnsi="FrankRuehl" w:cs="FrankRuehl"/>
            <w:color w:val="0000FF"/>
            <w:rtl/>
          </w:rPr>
          <w:t>144 (ב)</w:t>
        </w:r>
      </w:hyperlink>
    </w:p>
    <w:p w14:paraId="36288289" w14:textId="77777777" w:rsidR="000C72F0" w:rsidRPr="000C72F0" w:rsidRDefault="000C72F0" w:rsidP="000C72F0">
      <w:pPr>
        <w:spacing w:line="360" w:lineRule="auto"/>
        <w:rPr>
          <w:rFonts w:ascii="David" w:hAnsi="David"/>
          <w:rtl/>
        </w:rPr>
      </w:pPr>
      <w:bookmarkStart w:id="3" w:name="LawTable_End"/>
      <w:bookmarkEnd w:id="3"/>
    </w:p>
    <w:p w14:paraId="4B24A580" w14:textId="77777777" w:rsidR="004F0ABB" w:rsidRPr="000B672B" w:rsidRDefault="004F0ABB" w:rsidP="000B672B">
      <w:pPr>
        <w:spacing w:line="360" w:lineRule="auto"/>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F0ABB" w:rsidRPr="00D00149" w14:paraId="2C63806A" w14:textId="77777777" w:rsidTr="004F0ABB">
        <w:trPr>
          <w:trHeight w:val="355"/>
          <w:jc w:val="center"/>
        </w:trPr>
        <w:tc>
          <w:tcPr>
            <w:tcW w:w="8820" w:type="dxa"/>
            <w:tcBorders>
              <w:top w:val="nil"/>
              <w:left w:val="nil"/>
              <w:bottom w:val="nil"/>
              <w:right w:val="nil"/>
            </w:tcBorders>
            <w:shd w:val="clear" w:color="auto" w:fill="auto"/>
          </w:tcPr>
          <w:p w14:paraId="57EDF046" w14:textId="77777777" w:rsidR="00B558AC" w:rsidRPr="00B558AC" w:rsidRDefault="00B558AC" w:rsidP="00B558AC">
            <w:pPr>
              <w:spacing w:line="360" w:lineRule="auto"/>
              <w:jc w:val="center"/>
              <w:rPr>
                <w:rFonts w:ascii="David" w:hAnsi="David"/>
                <w:b/>
                <w:bCs/>
                <w:u w:val="single"/>
                <w:rtl/>
              </w:rPr>
            </w:pPr>
            <w:bookmarkStart w:id="4" w:name="PsakDin" w:colFirst="0" w:colLast="0"/>
            <w:bookmarkEnd w:id="0"/>
            <w:r w:rsidRPr="00B558AC">
              <w:rPr>
                <w:rFonts w:ascii="David" w:hAnsi="David"/>
                <w:b/>
                <w:bCs/>
                <w:u w:val="single"/>
                <w:rtl/>
              </w:rPr>
              <w:t>גזר דין</w:t>
            </w:r>
          </w:p>
          <w:p w14:paraId="5E277FED" w14:textId="77777777" w:rsidR="004F0ABB" w:rsidRPr="00B558AC" w:rsidRDefault="004F0ABB" w:rsidP="00B558AC">
            <w:pPr>
              <w:spacing w:line="360" w:lineRule="auto"/>
              <w:jc w:val="center"/>
              <w:rPr>
                <w:rFonts w:ascii="David" w:hAnsi="David"/>
                <w:bCs/>
                <w:u w:val="single"/>
                <w:rtl/>
              </w:rPr>
            </w:pPr>
          </w:p>
        </w:tc>
      </w:tr>
      <w:bookmarkEnd w:id="4"/>
    </w:tbl>
    <w:p w14:paraId="004229C5" w14:textId="77777777" w:rsidR="004F0ABB" w:rsidRPr="00D00149" w:rsidRDefault="004F0ABB" w:rsidP="004F0ABB">
      <w:pPr>
        <w:spacing w:line="360" w:lineRule="auto"/>
        <w:rPr>
          <w:rFonts w:ascii="David" w:hAnsi="David"/>
          <w:rtl/>
        </w:rPr>
      </w:pPr>
    </w:p>
    <w:p w14:paraId="05491415" w14:textId="77777777" w:rsidR="004F0ABB" w:rsidRPr="00D00149" w:rsidRDefault="004F0ABB" w:rsidP="004F0ABB">
      <w:pPr>
        <w:spacing w:line="360" w:lineRule="auto"/>
        <w:jc w:val="both"/>
        <w:rPr>
          <w:rFonts w:ascii="David" w:hAnsi="David"/>
        </w:rPr>
      </w:pPr>
      <w:r w:rsidRPr="00D00149">
        <w:rPr>
          <w:rFonts w:ascii="David" w:hAnsi="David"/>
          <w:rtl/>
        </w:rPr>
        <w:t>1.</w:t>
      </w:r>
      <w:r w:rsidRPr="00D00149">
        <w:rPr>
          <w:rFonts w:ascii="David" w:hAnsi="David"/>
          <w:rtl/>
        </w:rPr>
        <w:tab/>
      </w:r>
      <w:bookmarkStart w:id="5" w:name="ABSTRACT_START"/>
      <w:bookmarkEnd w:id="5"/>
      <w:r w:rsidRPr="00D00149">
        <w:rPr>
          <w:rFonts w:ascii="David" w:hAnsi="David"/>
          <w:rtl/>
        </w:rPr>
        <w:t>הנאשם הורשע</w:t>
      </w:r>
      <w:r>
        <w:rPr>
          <w:rFonts w:ascii="David" w:hAnsi="David" w:hint="cs"/>
          <w:rtl/>
        </w:rPr>
        <w:t>,</w:t>
      </w:r>
      <w:r w:rsidRPr="00D00149">
        <w:rPr>
          <w:rFonts w:ascii="David" w:hAnsi="David"/>
          <w:rtl/>
        </w:rPr>
        <w:t xml:space="preserve"> </w:t>
      </w:r>
      <w:r>
        <w:rPr>
          <w:rFonts w:ascii="David" w:hAnsi="David"/>
          <w:rtl/>
        </w:rPr>
        <w:t>במסגרת של הסדר טיעון</w:t>
      </w:r>
      <w:r>
        <w:rPr>
          <w:rFonts w:ascii="David" w:hAnsi="David" w:hint="cs"/>
          <w:rtl/>
        </w:rPr>
        <w:t xml:space="preserve">, </w:t>
      </w:r>
      <w:r w:rsidRPr="00D00149">
        <w:rPr>
          <w:rFonts w:ascii="David" w:hAnsi="David"/>
          <w:rtl/>
        </w:rPr>
        <w:t>על יסוד הודאתו בעובדות כתב אישום מתוקן</w:t>
      </w:r>
      <w:r>
        <w:rPr>
          <w:rFonts w:ascii="David" w:hAnsi="David" w:hint="cs"/>
          <w:rtl/>
        </w:rPr>
        <w:t>,</w:t>
      </w:r>
      <w:r w:rsidRPr="00D00149">
        <w:rPr>
          <w:rFonts w:ascii="David" w:hAnsi="David"/>
          <w:rtl/>
        </w:rPr>
        <w:t xml:space="preserve"> בביצוע עבירה בנשק (נשיאה)</w:t>
      </w:r>
      <w:r>
        <w:rPr>
          <w:rFonts w:ascii="David" w:hAnsi="David" w:hint="cs"/>
          <w:rtl/>
        </w:rPr>
        <w:t>,</w:t>
      </w:r>
      <w:r w:rsidRPr="00D00149">
        <w:rPr>
          <w:rFonts w:ascii="David" w:hAnsi="David"/>
          <w:rtl/>
        </w:rPr>
        <w:t xml:space="preserve"> עבירה לפי סעיף </w:t>
      </w:r>
      <w:hyperlink r:id="rId10" w:history="1">
        <w:r w:rsidR="00935EE6" w:rsidRPr="00935EE6">
          <w:rPr>
            <w:rStyle w:val="Hyperlink"/>
            <w:rFonts w:ascii="David" w:hAnsi="David"/>
            <w:rtl/>
          </w:rPr>
          <w:t>144 (ב)</w:t>
        </w:r>
      </w:hyperlink>
      <w:r w:rsidRPr="00D00149">
        <w:rPr>
          <w:rFonts w:ascii="David" w:hAnsi="David"/>
          <w:rtl/>
        </w:rPr>
        <w:t xml:space="preserve"> רישא וסיפא ל</w:t>
      </w:r>
      <w:hyperlink r:id="rId11" w:history="1">
        <w:r w:rsidR="00B558AC" w:rsidRPr="00B558AC">
          <w:rPr>
            <w:rFonts w:ascii="David" w:hAnsi="David"/>
            <w:color w:val="0000FF"/>
            <w:u w:val="single"/>
            <w:rtl/>
          </w:rPr>
          <w:t>חוק העונשין</w:t>
        </w:r>
      </w:hyperlink>
      <w:r w:rsidRPr="00D00149">
        <w:rPr>
          <w:rFonts w:ascii="David" w:hAnsi="David"/>
          <w:rtl/>
        </w:rPr>
        <w:t xml:space="preserve">, התשל"ז – 1977. </w:t>
      </w:r>
      <w:r>
        <w:rPr>
          <w:rFonts w:ascii="David" w:hAnsi="David" w:hint="cs"/>
          <w:rtl/>
        </w:rPr>
        <w:t xml:space="preserve">כמו כן סוכם בין הצדדים כי ההגנה תטען שנשיאת הנשק הייתה נקודתית והמאשימה תאשר כי כתב האישום אינו סותר טענה זו. </w:t>
      </w:r>
    </w:p>
    <w:p w14:paraId="5F940EDE" w14:textId="77777777" w:rsidR="004F0ABB" w:rsidRPr="001722FD" w:rsidRDefault="004F0ABB" w:rsidP="004F0ABB">
      <w:pPr>
        <w:rPr>
          <w:rFonts w:ascii="Miriam" w:hAnsi="Miriam" w:cs="Miriam"/>
          <w:rtl/>
        </w:rPr>
      </w:pPr>
      <w:bookmarkStart w:id="6" w:name="ABSTRACT_END"/>
      <w:bookmarkEnd w:id="6"/>
    </w:p>
    <w:p w14:paraId="4E0B4D6D" w14:textId="77777777" w:rsidR="004F0ABB" w:rsidRPr="006D6AF8" w:rsidRDefault="004F0ABB" w:rsidP="004F0ABB">
      <w:pPr>
        <w:spacing w:line="360" w:lineRule="auto"/>
        <w:rPr>
          <w:rFonts w:ascii="Miriam" w:hAnsi="Miriam" w:cs="Miriam"/>
          <w:u w:val="single"/>
          <w:rtl/>
        </w:rPr>
      </w:pPr>
      <w:r w:rsidRPr="006D6AF8">
        <w:rPr>
          <w:rFonts w:ascii="Miriam" w:hAnsi="Miriam" w:cs="Miriam"/>
          <w:u w:val="single"/>
          <w:rtl/>
        </w:rPr>
        <w:t>כתב האישום המתוקן</w:t>
      </w:r>
    </w:p>
    <w:p w14:paraId="22A61C13" w14:textId="77777777" w:rsidR="004F0ABB" w:rsidRPr="00D00149" w:rsidRDefault="004F0ABB" w:rsidP="004F0ABB">
      <w:pPr>
        <w:rPr>
          <w:rFonts w:ascii="David" w:hAnsi="David"/>
          <w:rtl/>
        </w:rPr>
      </w:pPr>
    </w:p>
    <w:p w14:paraId="598FD7B2" w14:textId="77777777" w:rsidR="004F0ABB" w:rsidRDefault="004F0ABB" w:rsidP="004F0ABB">
      <w:pPr>
        <w:spacing w:line="360" w:lineRule="auto"/>
        <w:jc w:val="both"/>
        <w:rPr>
          <w:rFonts w:ascii="David" w:hAnsi="David"/>
          <w:rtl/>
        </w:rPr>
      </w:pPr>
      <w:r w:rsidRPr="00D00149">
        <w:rPr>
          <w:rFonts w:ascii="David" w:hAnsi="David"/>
          <w:rtl/>
        </w:rPr>
        <w:t>2.</w:t>
      </w:r>
      <w:r w:rsidRPr="00D00149">
        <w:rPr>
          <w:rFonts w:ascii="David" w:hAnsi="David"/>
          <w:rtl/>
        </w:rPr>
        <w:tab/>
      </w:r>
      <w:r>
        <w:rPr>
          <w:rFonts w:ascii="David" w:hAnsi="David" w:hint="cs"/>
          <w:rtl/>
        </w:rPr>
        <w:t xml:space="preserve">מעובדות כתב האישום המתוקן עולה, כי ביום 13/5/20 סמוך לשעה 19:40, בזמן שהיה הנאשם בסמטה הסמוכה למספרת "ניני" בבנימינה, כשכפפות על ידיו, הוא נשא על גופו, בלא רשות על פי דין, אקדח הזנקה </w:t>
      </w:r>
      <w:r>
        <w:rPr>
          <w:rFonts w:ascii="David" w:hAnsi="David"/>
        </w:rPr>
        <w:t>stalker</w:t>
      </w:r>
      <w:r>
        <w:rPr>
          <w:rFonts w:ascii="David" w:hAnsi="David" w:hint="cs"/>
          <w:rtl/>
        </w:rPr>
        <w:t xml:space="preserve"> מודל</w:t>
      </w:r>
      <w:r>
        <w:rPr>
          <w:rFonts w:ascii="David" w:hAnsi="David"/>
        </w:rPr>
        <w:t xml:space="preserve">4818-uk </w:t>
      </w:r>
      <w:r>
        <w:rPr>
          <w:rFonts w:ascii="David" w:hAnsi="David" w:hint="cs"/>
          <w:rtl/>
        </w:rPr>
        <w:t xml:space="preserve">, שבוצע בו שינוי מייעודו המקורי, כך שחסימת הקנה הוסרה והוא סוגל לירות תחמושת קליעית בקליבר 9 מ"מ קצר (להלן: </w:t>
      </w:r>
      <w:r w:rsidRPr="00C32483">
        <w:rPr>
          <w:rFonts w:ascii="Miriam" w:hAnsi="Miriam" w:cs="Miriam"/>
          <w:rtl/>
        </w:rPr>
        <w:t>האקדח</w:t>
      </w:r>
      <w:r>
        <w:rPr>
          <w:rFonts w:ascii="David" w:hAnsi="David" w:hint="cs"/>
          <w:rtl/>
        </w:rPr>
        <w:t>). בתוך האקדח הייתה מחסנית התואמת לאקדח הטעונה ב- 3 כדורים בקליבר 9 מ"מ התואמים למחסנית ולאקדח.</w:t>
      </w:r>
    </w:p>
    <w:p w14:paraId="7E52BCD9" w14:textId="77777777" w:rsidR="004F0ABB" w:rsidRDefault="004F0ABB" w:rsidP="004F0ABB">
      <w:pPr>
        <w:rPr>
          <w:rFonts w:ascii="David" w:hAnsi="David"/>
          <w:rtl/>
        </w:rPr>
      </w:pPr>
    </w:p>
    <w:p w14:paraId="4723D455" w14:textId="77777777" w:rsidR="004F0ABB" w:rsidRDefault="004F0ABB" w:rsidP="004F0ABB">
      <w:pPr>
        <w:spacing w:line="360" w:lineRule="auto"/>
        <w:jc w:val="both"/>
        <w:rPr>
          <w:rFonts w:ascii="David" w:hAnsi="David"/>
          <w:rtl/>
        </w:rPr>
      </w:pPr>
      <w:r>
        <w:rPr>
          <w:rFonts w:ascii="David" w:hAnsi="David" w:hint="cs"/>
          <w:rtl/>
        </w:rPr>
        <w:tab/>
        <w:t>האקדח הוא כלי נשק שסוגל לירות כדור שבכוחו להמית אדם, הכדורים הם תחמושת לכלי נשק והמחסנית היא אביזר לכלי נשק. בהמשך למתואר לעיל, סמוך לשעה 19:40 פשטו כוחות משטרה על הסמטה, אז השליך ארצה הנאשם את האקדח, המחסנית והכדורים  וניסה להימלט אך נעצר על ידי השוטרים כעבור מטרים ספורים. האקדח, המחסנית והכדורים נתפסו ע"י השוטרים.</w:t>
      </w:r>
    </w:p>
    <w:p w14:paraId="44959253" w14:textId="77777777" w:rsidR="004F0ABB" w:rsidRDefault="004F0ABB" w:rsidP="004F0ABB">
      <w:pPr>
        <w:rPr>
          <w:rFonts w:ascii="David" w:hAnsi="David"/>
          <w:rtl/>
        </w:rPr>
      </w:pPr>
    </w:p>
    <w:p w14:paraId="391B6500" w14:textId="77777777" w:rsidR="004F0ABB" w:rsidRDefault="004F0ABB" w:rsidP="004F0ABB">
      <w:pPr>
        <w:spacing w:line="360" w:lineRule="auto"/>
        <w:rPr>
          <w:rFonts w:ascii="David" w:hAnsi="David"/>
          <w:rtl/>
        </w:rPr>
      </w:pPr>
      <w:r w:rsidRPr="006D6AF8">
        <w:rPr>
          <w:rFonts w:ascii="Miriam" w:hAnsi="Miriam" w:cs="Miriam"/>
          <w:u w:val="single"/>
          <w:rtl/>
        </w:rPr>
        <w:t>תסקיר</w:t>
      </w:r>
      <w:r w:rsidRPr="006D6AF8">
        <w:rPr>
          <w:rFonts w:ascii="Miriam" w:hAnsi="Miriam" w:cs="Miriam" w:hint="cs"/>
          <w:u w:val="single"/>
          <w:rtl/>
        </w:rPr>
        <w:t>י</w:t>
      </w:r>
      <w:r w:rsidRPr="006D6AF8">
        <w:rPr>
          <w:rFonts w:ascii="Miriam" w:hAnsi="Miriam" w:cs="Miriam"/>
          <w:u w:val="single"/>
          <w:rtl/>
        </w:rPr>
        <w:t xml:space="preserve"> שירות המבחן</w:t>
      </w:r>
    </w:p>
    <w:p w14:paraId="6AFE8B96" w14:textId="77777777" w:rsidR="004F0ABB" w:rsidRPr="00D00149" w:rsidRDefault="004F0ABB" w:rsidP="004F0ABB">
      <w:pPr>
        <w:rPr>
          <w:rFonts w:ascii="David" w:hAnsi="David"/>
          <w:rtl/>
        </w:rPr>
      </w:pPr>
    </w:p>
    <w:p w14:paraId="423DEA7C" w14:textId="77777777" w:rsidR="004F0ABB" w:rsidRDefault="004F0ABB" w:rsidP="004F0ABB">
      <w:pPr>
        <w:spacing w:line="360" w:lineRule="auto"/>
        <w:jc w:val="both"/>
        <w:rPr>
          <w:rFonts w:ascii="David" w:hAnsi="David"/>
          <w:rtl/>
        </w:rPr>
      </w:pPr>
      <w:r>
        <w:rPr>
          <w:rFonts w:ascii="David" w:hAnsi="David" w:hint="cs"/>
          <w:rtl/>
        </w:rPr>
        <w:t>3.</w:t>
      </w:r>
      <w:r>
        <w:rPr>
          <w:rFonts w:ascii="David" w:hAnsi="David" w:hint="cs"/>
          <w:rtl/>
        </w:rPr>
        <w:tab/>
        <w:t xml:space="preserve">מתסקירו הראשון של  שירות המבחן שנערך ביום 23/5/21 על אודות הנאשם עולה, כי הלה בן 24, נשוי ללא ילדים, בוגר 11 שנות לימוד. הנאשם לא שירת שירות צבאי על רקע מעורבותו בפלילים. כיום הנאשם מגלה יכולת לשמור על רציפות תעסוקתית אחראית. הנאשם אף שהורשע בעבר פעמיים (בעבירת סמים ובעבירה של נהיגה ללא רישיון נהיגה), מעולם לא ריצה עונש של מאסר בפועל. </w:t>
      </w:r>
    </w:p>
    <w:p w14:paraId="5C596D96" w14:textId="77777777" w:rsidR="004F0ABB" w:rsidRDefault="004F0ABB" w:rsidP="004F0ABB">
      <w:pPr>
        <w:spacing w:line="360" w:lineRule="auto"/>
        <w:jc w:val="both"/>
        <w:rPr>
          <w:rFonts w:ascii="David" w:hAnsi="David"/>
          <w:rtl/>
        </w:rPr>
      </w:pPr>
    </w:p>
    <w:p w14:paraId="6DCE0BD3" w14:textId="77777777" w:rsidR="004F0ABB" w:rsidRDefault="004F0ABB" w:rsidP="004F0ABB">
      <w:pPr>
        <w:spacing w:line="360" w:lineRule="auto"/>
        <w:jc w:val="both"/>
        <w:rPr>
          <w:rFonts w:ascii="David" w:hAnsi="David"/>
          <w:rtl/>
        </w:rPr>
      </w:pPr>
      <w:r>
        <w:rPr>
          <w:rFonts w:ascii="David" w:hAnsi="David" w:hint="cs"/>
          <w:rtl/>
        </w:rPr>
        <w:t>4.</w:t>
      </w:r>
      <w:r>
        <w:rPr>
          <w:rFonts w:ascii="David" w:hAnsi="David" w:hint="cs"/>
          <w:rtl/>
        </w:rPr>
        <w:tab/>
        <w:t>בהתייחס לביצוע העבירה שבפנינו, הנאשם הודה בביצועה אך הפחית ממעורבותו. שירות המבחן ציין כי הרקע לביצוע העבירות נעוץ, ככל הנראה, בדפוסי חשיבה בעייתיי</w:t>
      </w:r>
      <w:r>
        <w:rPr>
          <w:rFonts w:ascii="David" w:hAnsi="David" w:hint="eastAsia"/>
          <w:rtl/>
        </w:rPr>
        <w:t>ם</w:t>
      </w:r>
      <w:r>
        <w:rPr>
          <w:rFonts w:ascii="David" w:hAnsi="David" w:hint="cs"/>
          <w:rtl/>
        </w:rPr>
        <w:t xml:space="preserve"> שהשתמרו אצל הנאשם. הנאשם ביטא  רצון לבחון את הרקע למעורבותו הנוכחית בביצוע העבירה והביע הבנה לעניין הפסול בהתנהגותו והשלכותיה. כמו כן, בשל רקע של שימוש בסמים, הופנה הנאשם לשתי בדיקות לאיתור סמים. הנאשם התייצב לבדיקה השנייה שנמצאה נקייה משרידי סם. שירות המבחן ציין כי מאז הרשעתו האחרונה בשנת 2016 ועד למעורבותו הנוכחית, שמר הנאשם על אורח חיים אחראי ויציב, דבר המלמד, להערכת שירות המבחן, על סיכויי שיקום בעניינו וכן על הכרתו בבעייתיות בהתנהלותו ועל רצון לבחון את מעשיו ודפוסי חשיבתו העשויים להפחית סיכון לביצוע עבירות דומות. </w:t>
      </w:r>
    </w:p>
    <w:p w14:paraId="14A892EB" w14:textId="77777777" w:rsidR="004F0ABB" w:rsidRDefault="004F0ABB" w:rsidP="004F0ABB">
      <w:pPr>
        <w:spacing w:line="360" w:lineRule="auto"/>
        <w:rPr>
          <w:rFonts w:ascii="David" w:hAnsi="David"/>
          <w:rtl/>
        </w:rPr>
      </w:pPr>
    </w:p>
    <w:p w14:paraId="2218FF30" w14:textId="77777777" w:rsidR="004F0ABB" w:rsidRDefault="004F0ABB" w:rsidP="004F0ABB">
      <w:pPr>
        <w:spacing w:line="360" w:lineRule="auto"/>
        <w:jc w:val="both"/>
        <w:rPr>
          <w:rFonts w:ascii="David" w:hAnsi="David"/>
          <w:rtl/>
        </w:rPr>
      </w:pPr>
      <w:r>
        <w:rPr>
          <w:rFonts w:ascii="David" w:hAnsi="David" w:hint="cs"/>
          <w:rtl/>
        </w:rPr>
        <w:t>5.</w:t>
      </w:r>
      <w:r>
        <w:rPr>
          <w:rFonts w:ascii="David" w:hAnsi="David" w:hint="cs"/>
          <w:rtl/>
        </w:rPr>
        <w:tab/>
        <w:t>בבואו לגבש את המלצתו בעניין הנאשם העריך שירות המבחן, כי הנאשם בעל יכולת להפיק תועלת מההליך הטיפולי, ולפיכך המליץ בתסקיר הנ"ל להעמידו תחת צו מבחן למשך שנה וחצי תוך שבד בבד המליץ להסתפק בעונש של מאסר בפועל שניתן לרצותו בעבודות שירות.</w:t>
      </w:r>
    </w:p>
    <w:p w14:paraId="3402A8A8" w14:textId="77777777" w:rsidR="004F0ABB" w:rsidRDefault="004F0ABB" w:rsidP="004F0ABB">
      <w:pPr>
        <w:spacing w:line="360" w:lineRule="auto"/>
        <w:rPr>
          <w:rFonts w:ascii="David" w:hAnsi="David"/>
          <w:rtl/>
        </w:rPr>
      </w:pPr>
    </w:p>
    <w:p w14:paraId="650D152A" w14:textId="77777777" w:rsidR="004F0ABB" w:rsidRDefault="004F0ABB" w:rsidP="004F0ABB">
      <w:pPr>
        <w:spacing w:line="360" w:lineRule="auto"/>
        <w:jc w:val="both"/>
        <w:rPr>
          <w:rFonts w:ascii="David" w:hAnsi="David"/>
          <w:rtl/>
        </w:rPr>
      </w:pPr>
      <w:r>
        <w:rPr>
          <w:rFonts w:ascii="David" w:hAnsi="David" w:hint="cs"/>
          <w:rtl/>
        </w:rPr>
        <w:t>6.</w:t>
      </w:r>
      <w:r>
        <w:rPr>
          <w:rFonts w:ascii="David" w:hAnsi="David" w:hint="cs"/>
          <w:rtl/>
        </w:rPr>
        <w:tab/>
        <w:t>לצורך בחינת השתלבותו של הנאשם באפיק הטיפולי הוריתי, לבקשת ההגנה, על עריכת תסקיר משלים. מהתסקיר המשלים שהוגש ביום 30/8/21 עולה כי בתקופת הדחייה נמצא הנאשם מתאים למסגרת טיפולית. לפיכך, נדחה שוב הדיון לצורך הגשת תסקיר עדכני וסופי בעניינו של הנאשם.</w:t>
      </w:r>
    </w:p>
    <w:p w14:paraId="41F1C7D2" w14:textId="77777777" w:rsidR="004F0ABB" w:rsidRDefault="004F0ABB" w:rsidP="004F0ABB">
      <w:pPr>
        <w:spacing w:line="360" w:lineRule="auto"/>
        <w:rPr>
          <w:rFonts w:ascii="David" w:hAnsi="David"/>
          <w:rtl/>
        </w:rPr>
      </w:pPr>
    </w:p>
    <w:p w14:paraId="738B9BC7" w14:textId="77777777" w:rsidR="004F0ABB" w:rsidRDefault="004F0ABB" w:rsidP="004F0ABB">
      <w:pPr>
        <w:spacing w:line="360" w:lineRule="auto"/>
        <w:jc w:val="both"/>
        <w:rPr>
          <w:rFonts w:ascii="David" w:hAnsi="David"/>
          <w:rtl/>
        </w:rPr>
      </w:pPr>
      <w:r>
        <w:rPr>
          <w:rFonts w:ascii="David" w:hAnsi="David" w:hint="cs"/>
          <w:rtl/>
        </w:rPr>
        <w:t>7.</w:t>
      </w:r>
      <w:r>
        <w:rPr>
          <w:rFonts w:ascii="David" w:hAnsi="David" w:hint="cs"/>
          <w:rtl/>
        </w:rPr>
        <w:tab/>
        <w:t xml:space="preserve">מהתסקיר שהוגש ביום 29/12/21 עולה, כי במהלך תקופת הדחייה לא נפתחו נגד הנאשם תיקים חדשים, וכי הוא הופנה במסגרת שרות המבחן לקבוצה טיפולית בת 4 מפגשים. </w:t>
      </w:r>
    </w:p>
    <w:p w14:paraId="4DE40EFD" w14:textId="77777777" w:rsidR="004F0ABB" w:rsidRDefault="004F0ABB" w:rsidP="004F0ABB">
      <w:pPr>
        <w:spacing w:line="360" w:lineRule="auto"/>
        <w:jc w:val="both"/>
        <w:rPr>
          <w:rFonts w:ascii="David" w:hAnsi="David"/>
          <w:rtl/>
        </w:rPr>
      </w:pPr>
    </w:p>
    <w:p w14:paraId="411FD6C1" w14:textId="77777777" w:rsidR="004F0ABB" w:rsidRDefault="004F0ABB" w:rsidP="004F0ABB">
      <w:pPr>
        <w:spacing w:line="360" w:lineRule="auto"/>
        <w:jc w:val="both"/>
        <w:rPr>
          <w:rFonts w:ascii="David" w:hAnsi="David"/>
          <w:rtl/>
        </w:rPr>
      </w:pPr>
      <w:r>
        <w:rPr>
          <w:rFonts w:ascii="David" w:hAnsi="David" w:hint="cs"/>
          <w:rtl/>
        </w:rPr>
        <w:lastRenderedPageBreak/>
        <w:t>8.</w:t>
      </w:r>
      <w:r>
        <w:rPr>
          <w:rFonts w:ascii="David" w:hAnsi="David" w:hint="cs"/>
          <w:rtl/>
        </w:rPr>
        <w:tab/>
        <w:t xml:space="preserve"> לשני המפגשים הראשונים הנאשם לא הגיע. לדבריו, על רקע אי הבנה מצדו לעניין המועד בו מתקיימת הקבוצה. למפגש השלישי התייצב הנאשם ולהתרשמות שירות המבחן השתתפותו במפגש הנ"ל התאפיינה בהשתתפות פעילה וחריגה שאינה מותאמת לשלב כה ראשוני של ההליך הטיפולי. למפגש הרביעי, לא הגיע הנאשם בטענה כי אינו חש בטוב. הנאשם זומן למפגש נוסף במסגרת שירות המבחן, אך ביום המפגש התקשר והודיע כי נבצר ממנו להגיע מטעמים רפואיים, מבלי שהמציא אישור לכך. נוכח האמור לעיל, התרשם שירות המבחן כי  הנאשם מתקשה לעמוד בדרישות ההליך הטיפולי, והעריך כי הוא אינו פנוי ובשל להליך זה  שנועד להפחית את הסיכון מצדו של הנאשם. לפיכך, על אף הערכתו הקודמת, ובהיעדר אפיק שיקומי בעת הזו, חזר בו שירות המבחן מהמלצתו לצו מבחן, ותוך כך הבהיר כי הוא סבור שיש מקום לענישה ללא מעורבות טיפולית מצדו.</w:t>
      </w:r>
    </w:p>
    <w:p w14:paraId="7D7E7197" w14:textId="77777777" w:rsidR="004F0ABB" w:rsidRDefault="004F0ABB" w:rsidP="004F0ABB">
      <w:pPr>
        <w:spacing w:line="360" w:lineRule="auto"/>
        <w:jc w:val="both"/>
        <w:rPr>
          <w:rFonts w:ascii="David" w:hAnsi="David"/>
          <w:rtl/>
        </w:rPr>
      </w:pPr>
      <w:r>
        <w:rPr>
          <w:rFonts w:ascii="David" w:hAnsi="David" w:hint="cs"/>
          <w:rtl/>
        </w:rPr>
        <w:t>9.</w:t>
      </w:r>
      <w:r>
        <w:rPr>
          <w:rFonts w:ascii="David" w:hAnsi="David" w:hint="cs"/>
          <w:rtl/>
        </w:rPr>
        <w:tab/>
        <w:t>ביום 3/2/22 הוגש תסקיר נוסף בעניינו של הנאשם. מעיון בתסקיר הנ"ל עולה כי הנאשם התייצב, ללא תיאום מראש, במשרדי שירות המבחן. חרף זאת נוהלה עם הנאשם שיחה קצרה במהלכה הביע את  רצונו  המילולי להשתלב מחדש בטיפול.  נוכח הפער שבין הצהרותיו המילוליות של הנאשם לבין התנהלותו בפועל ונוכח אי הבנת חומרת מצבו המשפטי והתנהגותו,  לא עלה בידי שירות המבחן  להוסיף על האמור בתסקירו מחודש דצמבר והוא חזר על האמור בו.</w:t>
      </w:r>
    </w:p>
    <w:p w14:paraId="76D8B8FF" w14:textId="77777777" w:rsidR="004F0ABB" w:rsidRDefault="004F0ABB" w:rsidP="004F0ABB">
      <w:pPr>
        <w:spacing w:line="360" w:lineRule="auto"/>
        <w:rPr>
          <w:rFonts w:ascii="David" w:hAnsi="David"/>
          <w:rtl/>
        </w:rPr>
      </w:pPr>
    </w:p>
    <w:p w14:paraId="733DF450" w14:textId="77777777" w:rsidR="004F0ABB" w:rsidRDefault="004F0ABB" w:rsidP="004F0ABB">
      <w:pPr>
        <w:spacing w:line="360" w:lineRule="auto"/>
        <w:jc w:val="both"/>
        <w:rPr>
          <w:rFonts w:ascii="David" w:hAnsi="David"/>
          <w:rtl/>
        </w:rPr>
      </w:pPr>
      <w:r>
        <w:rPr>
          <w:rFonts w:ascii="David" w:hAnsi="David" w:hint="cs"/>
          <w:rtl/>
        </w:rPr>
        <w:t>10.</w:t>
      </w:r>
      <w:r>
        <w:rPr>
          <w:rFonts w:ascii="David" w:hAnsi="David" w:hint="cs"/>
          <w:rtl/>
        </w:rPr>
        <w:tab/>
        <w:t>ביום 25/5/22  הגיש שירות המבחן תסקיר נוסף וסופי בעניינו של הנאשם.  שירות המבחן  שב על התרשמותו כי הנאשם הביע נכונות להשתלב בטיפול אך ורק נוכח אימת הדין וכי קיים פער בין הצהרותיו המילוליות לבין נכונותו בפועל. בסיכומו של דבר, שב שירות המבחן והבהיר בתסקירו האחרון כי הוא נמנע מלתת  המלצה שיקומית בעניינו של הנאשם אשר יהא בכוחה בעת הנוכחית  כדי להפחית מן הסיכון הקיים במצבו.</w:t>
      </w:r>
    </w:p>
    <w:p w14:paraId="2AD28DA3" w14:textId="77777777" w:rsidR="004F0ABB" w:rsidRDefault="004F0ABB" w:rsidP="004F0ABB">
      <w:pPr>
        <w:spacing w:line="360" w:lineRule="auto"/>
        <w:rPr>
          <w:rFonts w:ascii="David" w:hAnsi="David"/>
          <w:rtl/>
        </w:rPr>
      </w:pPr>
    </w:p>
    <w:p w14:paraId="6A906155" w14:textId="77777777" w:rsidR="004F0ABB" w:rsidRPr="006D6AF8" w:rsidRDefault="004F0ABB" w:rsidP="004F0ABB">
      <w:pPr>
        <w:spacing w:after="200" w:line="360" w:lineRule="auto"/>
        <w:rPr>
          <w:rFonts w:ascii="Miriam" w:hAnsi="Miriam" w:cs="Miriam"/>
          <w:color w:val="000000"/>
          <w:u w:val="single"/>
          <w:rtl/>
        </w:rPr>
      </w:pPr>
      <w:r w:rsidRPr="006D6AF8">
        <w:rPr>
          <w:rFonts w:ascii="Miriam" w:hAnsi="Miriam" w:cs="Miriam"/>
          <w:color w:val="000000"/>
          <w:u w:val="single"/>
          <w:rtl/>
        </w:rPr>
        <w:t>הראיות לעונש  וטיעוני הצדדים לעונש</w:t>
      </w:r>
    </w:p>
    <w:p w14:paraId="3FF2DFC8" w14:textId="77777777" w:rsidR="004F0ABB" w:rsidRDefault="004F0ABB" w:rsidP="004F0ABB">
      <w:pPr>
        <w:spacing w:after="200" w:line="360" w:lineRule="auto"/>
        <w:jc w:val="both"/>
        <w:rPr>
          <w:rFonts w:ascii="David" w:hAnsi="David"/>
          <w:color w:val="000000"/>
          <w:rtl/>
        </w:rPr>
      </w:pPr>
      <w:r>
        <w:rPr>
          <w:rFonts w:ascii="David" w:hAnsi="David" w:hint="cs"/>
          <w:color w:val="000000"/>
          <w:rtl/>
        </w:rPr>
        <w:t xml:space="preserve">11. </w:t>
      </w:r>
      <w:r w:rsidRPr="00015BD2">
        <w:rPr>
          <w:rFonts w:ascii="David" w:hAnsi="David"/>
          <w:color w:val="000000"/>
          <w:rtl/>
        </w:rPr>
        <w:tab/>
        <w:t>ב"כ המאשימה הגיש</w:t>
      </w:r>
      <w:r>
        <w:rPr>
          <w:rFonts w:ascii="David" w:hAnsi="David" w:hint="cs"/>
          <w:color w:val="000000"/>
          <w:rtl/>
        </w:rPr>
        <w:t xml:space="preserve"> בדיון לפניי מיום 27/5/21</w:t>
      </w:r>
      <w:r w:rsidRPr="00015BD2">
        <w:rPr>
          <w:rFonts w:ascii="David" w:hAnsi="David"/>
          <w:color w:val="000000"/>
          <w:rtl/>
        </w:rPr>
        <w:t xml:space="preserve"> </w:t>
      </w:r>
      <w:r>
        <w:rPr>
          <w:rFonts w:ascii="David" w:hAnsi="David"/>
          <w:color w:val="000000"/>
          <w:rtl/>
        </w:rPr>
        <w:t>את גיליון המרשם הפלילי של הנאשם</w:t>
      </w:r>
      <w:r w:rsidRPr="00015BD2">
        <w:rPr>
          <w:rFonts w:ascii="David" w:hAnsi="David"/>
          <w:color w:val="000000"/>
          <w:rtl/>
        </w:rPr>
        <w:t xml:space="preserve"> ממנו עולה כי</w:t>
      </w:r>
      <w:r>
        <w:rPr>
          <w:rFonts w:ascii="David" w:hAnsi="David" w:hint="cs"/>
          <w:color w:val="000000"/>
          <w:rtl/>
        </w:rPr>
        <w:t xml:space="preserve"> לחובתו שתי הרשעות קודמות </w:t>
      </w:r>
      <w:r>
        <w:rPr>
          <w:rFonts w:ascii="David" w:hAnsi="David"/>
          <w:color w:val="000000"/>
          <w:rtl/>
        </w:rPr>
        <w:t>–</w:t>
      </w:r>
      <w:r>
        <w:rPr>
          <w:rFonts w:ascii="David" w:hAnsi="David" w:hint="cs"/>
          <w:color w:val="000000"/>
          <w:rtl/>
        </w:rPr>
        <w:t xml:space="preserve"> האחת, בעבירה של נהיגת רכב ללא רישיון נהיגה והשנייה, בשתי עבירות של סחר בסמים. עבירת התעבורה הנ"ל בוצעה בהיות הנאשם קטין בן 15 ועבירות הסמים בוצעו בהיותו על סף בגירות. </w:t>
      </w:r>
    </w:p>
    <w:p w14:paraId="637FD6B1" w14:textId="77777777" w:rsidR="004F0ABB" w:rsidRPr="00015BD2" w:rsidRDefault="004F0ABB" w:rsidP="004F0ABB">
      <w:pPr>
        <w:spacing w:after="200" w:line="360" w:lineRule="auto"/>
        <w:jc w:val="both"/>
        <w:rPr>
          <w:rFonts w:ascii="David" w:hAnsi="David"/>
          <w:color w:val="000000"/>
          <w:rtl/>
        </w:rPr>
      </w:pPr>
      <w:r>
        <w:rPr>
          <w:rFonts w:ascii="David" w:hAnsi="David" w:hint="cs"/>
          <w:color w:val="000000"/>
          <w:rtl/>
        </w:rPr>
        <w:t>12.</w:t>
      </w:r>
      <w:r w:rsidRPr="00015BD2">
        <w:rPr>
          <w:rFonts w:ascii="David" w:hAnsi="David"/>
          <w:color w:val="000000"/>
          <w:rtl/>
        </w:rPr>
        <w:tab/>
        <w:t>מטיעוני המאשימה לעונש עולה כי מתחם העונש ההולם, לשיטתה, ובהתאם להנחיות פרקליט המדינה, נע בתיק זה שעניינו עבירה של נשיאת אקדח, בין עונש של שנה וחצי לעונש של ארבע שנות מאסר בפועל. צוין כי עסקינן בנשיאת אקדח הזנקה שהוסב ל</w:t>
      </w:r>
      <w:r>
        <w:rPr>
          <w:rFonts w:ascii="David" w:hAnsi="David" w:hint="cs"/>
          <w:color w:val="000000"/>
          <w:rtl/>
        </w:rPr>
        <w:t xml:space="preserve">אקדח בעל פוטנציאל לבצע </w:t>
      </w:r>
      <w:r w:rsidRPr="00015BD2">
        <w:rPr>
          <w:rFonts w:ascii="David" w:hAnsi="David"/>
          <w:color w:val="000000"/>
          <w:rtl/>
        </w:rPr>
        <w:t>ירי חי</w:t>
      </w:r>
      <w:r>
        <w:rPr>
          <w:rFonts w:ascii="David" w:hAnsi="David" w:hint="cs"/>
          <w:color w:val="000000"/>
          <w:rtl/>
        </w:rPr>
        <w:t xml:space="preserve">. עוד צוין כי האקדח היה טעון </w:t>
      </w:r>
      <w:r w:rsidRPr="00015BD2">
        <w:rPr>
          <w:rFonts w:ascii="David" w:hAnsi="David"/>
          <w:color w:val="000000"/>
          <w:rtl/>
        </w:rPr>
        <w:t>במחסנית ו-3 כדורים.</w:t>
      </w:r>
      <w:r>
        <w:rPr>
          <w:rFonts w:ascii="David" w:hAnsi="David" w:hint="cs"/>
          <w:color w:val="000000"/>
          <w:rtl/>
        </w:rPr>
        <w:t xml:space="preserve"> </w:t>
      </w:r>
    </w:p>
    <w:p w14:paraId="3A5C38BD" w14:textId="77777777" w:rsidR="004F0ABB" w:rsidRPr="00015BD2" w:rsidRDefault="004F0ABB" w:rsidP="004F0ABB">
      <w:pPr>
        <w:spacing w:after="200" w:line="360" w:lineRule="auto"/>
        <w:jc w:val="both"/>
        <w:rPr>
          <w:rFonts w:ascii="David" w:hAnsi="David"/>
          <w:color w:val="000000"/>
          <w:rtl/>
        </w:rPr>
      </w:pPr>
      <w:r>
        <w:rPr>
          <w:rFonts w:ascii="David" w:hAnsi="David" w:hint="cs"/>
          <w:color w:val="000000"/>
          <w:rtl/>
        </w:rPr>
        <w:t>13.</w:t>
      </w:r>
      <w:r>
        <w:rPr>
          <w:rFonts w:ascii="David" w:hAnsi="David" w:hint="cs"/>
          <w:color w:val="000000"/>
          <w:rtl/>
        </w:rPr>
        <w:tab/>
      </w:r>
      <w:r w:rsidRPr="00015BD2">
        <w:rPr>
          <w:rFonts w:ascii="David" w:hAnsi="David"/>
          <w:color w:val="000000"/>
          <w:rtl/>
        </w:rPr>
        <w:t>ב"כ המאשימה ביקש להתחשב בערכים החברת</w:t>
      </w:r>
      <w:r>
        <w:rPr>
          <w:rFonts w:ascii="David" w:hAnsi="David"/>
          <w:color w:val="000000"/>
          <w:rtl/>
        </w:rPr>
        <w:t>יים שנפגעו כתוצאה מביצוע העבירה</w:t>
      </w:r>
      <w:r w:rsidRPr="00015BD2">
        <w:rPr>
          <w:rFonts w:ascii="David" w:hAnsi="David"/>
          <w:color w:val="000000"/>
          <w:rtl/>
        </w:rPr>
        <w:t xml:space="preserve"> תוך שטען כי מדובר בחיי אדם, בשלטון החוק ובשלום הציבור. הוטעם כי נשיאת נשק ע"י מי שאינו מורשה לכך חותרת תחת שלטון החוק המאפשר נשיאת נשק רק ע"י מי שהוסמך לכך.  עוד נטען כי הנאשם נשא</w:t>
      </w:r>
      <w:r>
        <w:rPr>
          <w:rFonts w:ascii="David" w:hAnsi="David" w:hint="cs"/>
          <w:color w:val="000000"/>
          <w:rtl/>
        </w:rPr>
        <w:t>,</w:t>
      </w:r>
      <w:r w:rsidRPr="00015BD2">
        <w:rPr>
          <w:rFonts w:ascii="David" w:hAnsi="David"/>
          <w:color w:val="000000"/>
          <w:rtl/>
        </w:rPr>
        <w:t xml:space="preserve"> כשהוא עוטה כפפות על ידיו, אקדח טעון, לא קטן, בקוטר של 9 מ"מ, וכן כי הנאשם ניסה להימלט מהשוטרים. הודגש כי העבירה בוצעה באזור מגורים, בישוב בנימינה</w:t>
      </w:r>
      <w:r>
        <w:rPr>
          <w:rFonts w:ascii="David" w:hAnsi="David" w:hint="cs"/>
          <w:color w:val="000000"/>
          <w:rtl/>
        </w:rPr>
        <w:t>,</w:t>
      </w:r>
      <w:r w:rsidRPr="00015BD2">
        <w:rPr>
          <w:rFonts w:ascii="David" w:hAnsi="David"/>
          <w:color w:val="000000"/>
          <w:rtl/>
        </w:rPr>
        <w:t xml:space="preserve"> </w:t>
      </w:r>
      <w:r>
        <w:rPr>
          <w:rFonts w:ascii="David" w:hAnsi="David" w:hint="cs"/>
          <w:color w:val="000000"/>
          <w:rtl/>
        </w:rPr>
        <w:t xml:space="preserve">אשר </w:t>
      </w:r>
      <w:r w:rsidRPr="00015BD2">
        <w:rPr>
          <w:rFonts w:ascii="David" w:hAnsi="David"/>
          <w:color w:val="000000"/>
          <w:rtl/>
        </w:rPr>
        <w:t>אינו ישוב מגורי הנאשם.</w:t>
      </w:r>
    </w:p>
    <w:p w14:paraId="7EF98ED6" w14:textId="77777777" w:rsidR="004F0ABB" w:rsidRDefault="004F0ABB" w:rsidP="004F0ABB">
      <w:pPr>
        <w:spacing w:after="200" w:line="360" w:lineRule="auto"/>
        <w:jc w:val="both"/>
        <w:rPr>
          <w:rFonts w:ascii="David" w:hAnsi="David"/>
          <w:color w:val="000000"/>
          <w:rtl/>
        </w:rPr>
      </w:pPr>
      <w:r>
        <w:rPr>
          <w:rFonts w:ascii="David" w:hAnsi="David" w:hint="cs"/>
          <w:color w:val="000000"/>
          <w:rtl/>
        </w:rPr>
        <w:t>14.</w:t>
      </w:r>
      <w:r w:rsidRPr="00015BD2">
        <w:rPr>
          <w:rFonts w:ascii="David" w:hAnsi="David"/>
          <w:color w:val="000000"/>
          <w:rtl/>
        </w:rPr>
        <w:tab/>
        <w:t>לעניין הענישה בתוך המתחם ט</w:t>
      </w:r>
      <w:r>
        <w:rPr>
          <w:rFonts w:ascii="David" w:hAnsi="David" w:hint="cs"/>
          <w:color w:val="000000"/>
          <w:rtl/>
        </w:rPr>
        <w:t>ענה ה</w:t>
      </w:r>
      <w:r w:rsidRPr="00015BD2">
        <w:rPr>
          <w:rFonts w:ascii="David" w:hAnsi="David"/>
          <w:color w:val="000000"/>
          <w:rtl/>
        </w:rPr>
        <w:t xml:space="preserve">מאשימה כי  לנאשם עבר פלילי אף כי לא ריצה בעבר עונש של מאסר בפועל. צוין </w:t>
      </w:r>
      <w:r>
        <w:rPr>
          <w:rFonts w:ascii="David" w:hAnsi="David" w:hint="cs"/>
          <w:color w:val="000000"/>
          <w:rtl/>
        </w:rPr>
        <w:t xml:space="preserve">עוד כי </w:t>
      </w:r>
      <w:r w:rsidRPr="00015BD2">
        <w:rPr>
          <w:rFonts w:ascii="David" w:hAnsi="David"/>
          <w:color w:val="000000"/>
          <w:rtl/>
        </w:rPr>
        <w:t xml:space="preserve">הנאשם לא הפיק לקח מעברו. </w:t>
      </w:r>
      <w:r>
        <w:rPr>
          <w:rFonts w:ascii="David" w:hAnsi="David" w:hint="cs"/>
          <w:color w:val="000000"/>
          <w:rtl/>
        </w:rPr>
        <w:t xml:space="preserve">בדיון לפניי ביום 18/9/22 התייחסה באת כוח המאשימה לתסקיר האחרון  בעניינו של הנאשם, תוך שטענה כי שירות המבחן אינו רואה אופק שיקומי ואינו ממליץ על ענישה שיקומית. הודגש כי שירות המבחן זיהה אצל הנאשם אך מוטיבציה מילולית הצהרתית וחיצונית. בסיכומו של דבר, סבורה המאשימה כי </w:t>
      </w:r>
      <w:r w:rsidRPr="00015BD2">
        <w:rPr>
          <w:rFonts w:ascii="David" w:hAnsi="David"/>
          <w:color w:val="000000"/>
          <w:rtl/>
        </w:rPr>
        <w:t>ראוי להשית על הנאשם בתיק זה עונש של מאסר בפועל באמצע מתחם העונש ההולם המתבקש</w:t>
      </w:r>
      <w:r>
        <w:rPr>
          <w:rFonts w:ascii="David" w:hAnsi="David" w:hint="cs"/>
          <w:color w:val="000000"/>
          <w:rtl/>
        </w:rPr>
        <w:t>, כאמור,</w:t>
      </w:r>
      <w:r w:rsidRPr="00015BD2">
        <w:rPr>
          <w:rFonts w:ascii="David" w:hAnsi="David"/>
          <w:color w:val="000000"/>
          <w:rtl/>
        </w:rPr>
        <w:t xml:space="preserve"> על ידה.</w:t>
      </w:r>
    </w:p>
    <w:p w14:paraId="46E9A253" w14:textId="77777777" w:rsidR="004F0ABB" w:rsidRDefault="004F0ABB" w:rsidP="004F0ABB">
      <w:pPr>
        <w:spacing w:after="200" w:line="360" w:lineRule="auto"/>
        <w:jc w:val="both"/>
        <w:rPr>
          <w:rFonts w:ascii="David" w:hAnsi="David"/>
          <w:color w:val="000000"/>
          <w:rtl/>
        </w:rPr>
      </w:pPr>
      <w:r>
        <w:rPr>
          <w:rFonts w:ascii="David" w:hAnsi="David" w:hint="cs"/>
          <w:color w:val="000000"/>
          <w:rtl/>
        </w:rPr>
        <w:t>15.</w:t>
      </w:r>
      <w:r>
        <w:rPr>
          <w:rFonts w:ascii="David" w:hAnsi="David" w:hint="cs"/>
          <w:color w:val="000000"/>
          <w:rtl/>
        </w:rPr>
        <w:tab/>
        <w:t xml:space="preserve">בדיון לפניי ביום 18/9/2022 טען הסנגור לעונש,  תוך שביקש שלא למצות את הדין עם הנאשם בהתחשב בנסיבות המיוחדות הקיימות, לשיטתו, בתיק זה. נטען לעניין זה כי עסקינן אך באקדח הזנקה בו נעשה שינוי המאפשר לו לפלוט כדור.  הודגש כי לא מדובר בנשק קטלני במיוחד כדוגמת נשק ארוך או אקדח תקני. עוד נטען כי הנאשם נשא את האקדח נשיאה נקודתית בכך שהחזיקו בנקודת זמן מסוימת בידו, דבר עליו המאשימה אינה חולקת. </w:t>
      </w:r>
    </w:p>
    <w:p w14:paraId="0C052A4A" w14:textId="77777777" w:rsidR="004F0ABB" w:rsidRDefault="004F0ABB" w:rsidP="004F0ABB">
      <w:pPr>
        <w:spacing w:after="200" w:line="360" w:lineRule="auto"/>
        <w:jc w:val="both"/>
        <w:rPr>
          <w:rFonts w:ascii="David" w:hAnsi="David"/>
          <w:color w:val="000000"/>
          <w:rtl/>
        </w:rPr>
      </w:pPr>
      <w:r>
        <w:rPr>
          <w:rFonts w:ascii="David" w:hAnsi="David" w:hint="cs"/>
          <w:color w:val="000000"/>
          <w:rtl/>
        </w:rPr>
        <w:t xml:space="preserve">16. </w:t>
      </w:r>
      <w:r>
        <w:rPr>
          <w:rFonts w:ascii="David" w:hAnsi="David" w:hint="cs"/>
          <w:color w:val="000000"/>
          <w:rtl/>
        </w:rPr>
        <w:tab/>
        <w:t xml:space="preserve">הסנגור אף ביקש להתחשב בהיות הנאשם נתון במעצר של ממש במשך יותר מחודשיים, לאחר מכן </w:t>
      </w:r>
      <w:r>
        <w:rPr>
          <w:rFonts w:ascii="David" w:hAnsi="David"/>
          <w:color w:val="000000"/>
          <w:rtl/>
        </w:rPr>
        <w:t>–</w:t>
      </w:r>
      <w:r>
        <w:rPr>
          <w:rFonts w:ascii="David" w:hAnsi="David" w:hint="cs"/>
          <w:color w:val="000000"/>
          <w:rtl/>
        </w:rPr>
        <w:t xml:space="preserve"> במעצר באיזוק אלקטרוני במשך 11 חודשים ומיום 14/6/21 ועד כה </w:t>
      </w:r>
      <w:r>
        <w:rPr>
          <w:rFonts w:ascii="David" w:hAnsi="David"/>
          <w:color w:val="000000"/>
          <w:rtl/>
        </w:rPr>
        <w:t>–</w:t>
      </w:r>
      <w:r>
        <w:rPr>
          <w:rFonts w:ascii="David" w:hAnsi="David" w:hint="cs"/>
          <w:color w:val="000000"/>
          <w:rtl/>
        </w:rPr>
        <w:t xml:space="preserve"> במעצר בית חלקי. הסנגור ציין את היות הנאשם נשוי כמעט 4 שנים ללא ילדים, וכן ציין  כי הנאשם היה כבן 11 עת שנפרדו הוריו.  </w:t>
      </w:r>
    </w:p>
    <w:p w14:paraId="3D340E15" w14:textId="77777777" w:rsidR="004F0ABB" w:rsidRDefault="004F0ABB" w:rsidP="004F0ABB">
      <w:pPr>
        <w:spacing w:after="200" w:line="360" w:lineRule="auto"/>
        <w:jc w:val="both"/>
        <w:rPr>
          <w:rFonts w:ascii="David" w:hAnsi="David"/>
          <w:color w:val="000000"/>
          <w:rtl/>
        </w:rPr>
      </w:pPr>
      <w:r>
        <w:rPr>
          <w:rFonts w:ascii="David" w:hAnsi="David" w:hint="cs"/>
          <w:color w:val="000000"/>
          <w:rtl/>
        </w:rPr>
        <w:t xml:space="preserve">17. </w:t>
      </w:r>
      <w:r>
        <w:rPr>
          <w:rFonts w:ascii="David" w:hAnsi="David" w:hint="cs"/>
          <w:color w:val="000000"/>
          <w:rtl/>
        </w:rPr>
        <w:tab/>
        <w:t xml:space="preserve">עוד ביקש הסנגור להתחשב לקולה בכך שהנאשם ניסה ליצור קשר עם שירות המבחן ולהשתלב בהליך הטיפולי אך בקשתו נדחתה. נטען כי עסקינן בנאשם שמעולם לא ריצה עונש של מאסר ושומר על רצף תעסוקתי במשך שנים רבות. הסנגור הפנה בטיעוניו לכך ששירות המבחן הבהיר בתסקירו הראשון כי שילוב הנאשם במסגרת אחת עם עוברי חוק תביא להעמקת דפוסיו הבעייתיים ולרגרסיה במצבו. </w:t>
      </w:r>
    </w:p>
    <w:p w14:paraId="110D141F" w14:textId="77777777" w:rsidR="004F0ABB" w:rsidRDefault="004F0ABB" w:rsidP="004F0ABB">
      <w:pPr>
        <w:spacing w:after="200" w:line="360" w:lineRule="auto"/>
        <w:jc w:val="both"/>
        <w:rPr>
          <w:rFonts w:ascii="David" w:hAnsi="David"/>
          <w:color w:val="000000"/>
          <w:rtl/>
        </w:rPr>
      </w:pPr>
      <w:r>
        <w:rPr>
          <w:rFonts w:ascii="David" w:hAnsi="David" w:hint="cs"/>
          <w:color w:val="000000"/>
          <w:rtl/>
        </w:rPr>
        <w:t xml:space="preserve">18. </w:t>
      </w:r>
      <w:r>
        <w:rPr>
          <w:rFonts w:ascii="David" w:hAnsi="David" w:hint="cs"/>
          <w:color w:val="000000"/>
          <w:rtl/>
        </w:rPr>
        <w:tab/>
        <w:t>לאחר שציין כי חלף פרק זמן משמעותי מאז ביצוע העבירה בשנת 2020 וכן כי הנאשם הודה בהזדמנות הראשונה ולקח אחריות מלאה, הגיש  הסנגור פסיקה לצורך המחשת מדיניות הענישה הנהוגה בעבירות נשק (</w:t>
      </w:r>
      <w:r w:rsidRPr="003963D0">
        <w:rPr>
          <w:rFonts w:ascii="Miriam" w:hAnsi="Miriam" w:cs="Miriam"/>
          <w:color w:val="000000"/>
          <w:rtl/>
        </w:rPr>
        <w:t>נ/1 ו- נ/2</w:t>
      </w:r>
      <w:r>
        <w:rPr>
          <w:rFonts w:ascii="David" w:hAnsi="David" w:hint="cs"/>
          <w:color w:val="000000"/>
          <w:rtl/>
        </w:rPr>
        <w:t xml:space="preserve">).  לשיטת ההגנה מן הראוי להשית על הנאשם בתיק זה עונש של מאסר בפועל בדרך של עבודות שירות. </w:t>
      </w:r>
    </w:p>
    <w:p w14:paraId="3DC9B098" w14:textId="77777777" w:rsidR="004F0ABB" w:rsidRPr="00306664" w:rsidRDefault="004F0ABB" w:rsidP="004F0ABB">
      <w:pPr>
        <w:spacing w:after="200" w:line="360" w:lineRule="auto"/>
        <w:jc w:val="both"/>
        <w:rPr>
          <w:rFonts w:ascii="Miriam" w:hAnsi="Miriam" w:cs="Miriam"/>
          <w:color w:val="000000"/>
          <w:u w:val="single"/>
          <w:rtl/>
        </w:rPr>
      </w:pPr>
      <w:r w:rsidRPr="00306664">
        <w:rPr>
          <w:rFonts w:ascii="Miriam" w:hAnsi="Miriam" w:cs="Miriam"/>
          <w:color w:val="000000"/>
          <w:u w:val="single"/>
          <w:rtl/>
        </w:rPr>
        <w:t>דיון והכרעה</w:t>
      </w:r>
    </w:p>
    <w:p w14:paraId="7D888E0F" w14:textId="77777777" w:rsidR="004F0ABB" w:rsidRPr="009E238E" w:rsidRDefault="004F0ABB" w:rsidP="004F0ABB">
      <w:pPr>
        <w:spacing w:after="200" w:line="360" w:lineRule="auto"/>
        <w:jc w:val="both"/>
        <w:rPr>
          <w:rFonts w:ascii="David" w:hAnsi="David"/>
        </w:rPr>
      </w:pPr>
      <w:r>
        <w:rPr>
          <w:rFonts w:ascii="David" w:hAnsi="David" w:hint="cs"/>
          <w:color w:val="000000"/>
          <w:rtl/>
        </w:rPr>
        <w:t xml:space="preserve">19. </w:t>
      </w:r>
      <w:r>
        <w:rPr>
          <w:rFonts w:ascii="David" w:hAnsi="David"/>
          <w:color w:val="000000"/>
          <w:rtl/>
        </w:rPr>
        <w:tab/>
      </w:r>
      <w:r>
        <w:rPr>
          <w:rFonts w:ascii="David" w:hAnsi="David" w:hint="cs"/>
          <w:color w:val="000000"/>
          <w:rtl/>
        </w:rPr>
        <w:t>הנאשם הורשע, כאמור, בעבירה שעניינה נשיאת נשק ותחמושת לנשק. הערכים החברתיים הנפגעים כתוצאה מביצוע העבירה שבפנינו הם שלטון החוק ושלום הציבור וביטחונו.</w:t>
      </w:r>
      <w:r w:rsidRPr="009E238E">
        <w:rPr>
          <w:rFonts w:ascii="David" w:hAnsi="David" w:hint="cs"/>
          <w:rtl/>
        </w:rPr>
        <w:t xml:space="preserve"> </w:t>
      </w:r>
      <w:r>
        <w:rPr>
          <w:rFonts w:ascii="David" w:hAnsi="David" w:hint="cs"/>
          <w:rtl/>
        </w:rPr>
        <w:t>כאן ראוי להביא את דבריו הבאים של בית המשפט העליון ב</w:t>
      </w:r>
      <w:hyperlink r:id="rId12" w:history="1">
        <w:r w:rsidR="00B558AC" w:rsidRPr="00B558AC">
          <w:rPr>
            <w:rFonts w:ascii="David" w:hAnsi="David"/>
            <w:color w:val="0000FF"/>
            <w:u w:val="single"/>
            <w:rtl/>
          </w:rPr>
          <w:t>ע"פ 7502/12</w:t>
        </w:r>
      </w:hyperlink>
      <w:r w:rsidR="00B558AC">
        <w:rPr>
          <w:rFonts w:ascii="David" w:hAnsi="David"/>
          <w:rtl/>
        </w:rPr>
        <w:t xml:space="preserve"> </w:t>
      </w:r>
      <w:r w:rsidRPr="009E238E">
        <w:rPr>
          <w:rFonts w:ascii="Miriam" w:hAnsi="Miriam" w:cs="Miriam"/>
          <w:rtl/>
        </w:rPr>
        <w:t>בסאם כוויס נגד מדינת ישראל</w:t>
      </w:r>
      <w:r w:rsidR="00B558AC">
        <w:rPr>
          <w:rFonts w:ascii="David" w:hAnsi="David"/>
          <w:b/>
          <w:bCs/>
          <w:rtl/>
        </w:rPr>
        <w:t xml:space="preserve"> </w:t>
      </w:r>
      <w:r w:rsidRPr="009E238E">
        <w:rPr>
          <w:rFonts w:ascii="David" w:hAnsi="David"/>
          <w:rtl/>
        </w:rPr>
        <w:t xml:space="preserve"> (25</w:t>
      </w:r>
      <w:r>
        <w:rPr>
          <w:rFonts w:ascii="David" w:hAnsi="David" w:hint="cs"/>
          <w:rtl/>
        </w:rPr>
        <w:t>/</w:t>
      </w:r>
      <w:r w:rsidRPr="009E238E">
        <w:rPr>
          <w:rFonts w:ascii="David" w:hAnsi="David"/>
          <w:rtl/>
        </w:rPr>
        <w:t>06</w:t>
      </w:r>
      <w:r>
        <w:rPr>
          <w:rFonts w:ascii="David" w:hAnsi="David" w:hint="cs"/>
          <w:rtl/>
        </w:rPr>
        <w:t>/</w:t>
      </w:r>
      <w:r w:rsidRPr="009E238E">
        <w:rPr>
          <w:rFonts w:ascii="David" w:hAnsi="David"/>
          <w:rtl/>
        </w:rPr>
        <w:t>13)</w:t>
      </w:r>
      <w:r w:rsidRPr="009E238E">
        <w:rPr>
          <w:rFonts w:ascii="David" w:hAnsi="David"/>
          <w:b/>
          <w:bCs/>
          <w:rtl/>
        </w:rPr>
        <w:t>:</w:t>
      </w:r>
    </w:p>
    <w:p w14:paraId="7ABEC34A" w14:textId="77777777" w:rsidR="004F0ABB" w:rsidRPr="009E238E" w:rsidRDefault="00B558AC" w:rsidP="004F0ABB">
      <w:pPr>
        <w:spacing w:after="200" w:line="360" w:lineRule="auto"/>
        <w:ind w:left="1410" w:right="851"/>
        <w:rPr>
          <w:rFonts w:ascii="Miriam" w:hAnsi="Miriam" w:cs="Miriam"/>
          <w:color w:val="000000"/>
          <w:rtl/>
        </w:rPr>
      </w:pPr>
      <w:r>
        <w:rPr>
          <w:rFonts w:ascii="David" w:hAnsi="David"/>
          <w:b/>
          <w:bCs/>
          <w:color w:val="000000"/>
          <w:rtl/>
        </w:rPr>
        <w:t xml:space="preserve"> </w:t>
      </w:r>
      <w:r w:rsidR="004F0ABB" w:rsidRPr="009E238E">
        <w:rPr>
          <w:rFonts w:ascii="Miriam" w:hAnsi="Miriam" w:cs="Miriam"/>
          <w:color w:val="000000"/>
          <w:rtl/>
        </w:rPr>
        <w:t>"כפי שנפסק, לא אחת, עבירות בנשק לסוגיהן מגלמות בתוכן סיכון ממשי לשלום הציבור ולב</w:t>
      </w:r>
      <w:r w:rsidR="004F0ABB">
        <w:rPr>
          <w:rFonts w:ascii="Miriam" w:hAnsi="Miriam" w:cs="Miriam" w:hint="cs"/>
          <w:color w:val="000000"/>
          <w:rtl/>
        </w:rPr>
        <w:t>י</w:t>
      </w:r>
      <w:r w:rsidR="004F0ABB" w:rsidRPr="009E238E">
        <w:rPr>
          <w:rFonts w:ascii="Miriam" w:hAnsi="Miriam" w:cs="Miriam"/>
          <w:color w:val="000000"/>
          <w:rtl/>
        </w:rPr>
        <w:t xml:space="preserve">טחונו, שכן לא ניתן לדעת להיכן יתגלגלו כלי הנשק המוחזקים שלא כדין, ואיזה שימוש יעשה </w:t>
      </w:r>
      <w:r w:rsidR="004F0ABB">
        <w:rPr>
          <w:rFonts w:ascii="Miriam" w:hAnsi="Miriam" w:cs="Miriam"/>
          <w:color w:val="000000"/>
          <w:rtl/>
        </w:rPr>
        <w:t>בהם בעתיד</w:t>
      </w:r>
      <w:r w:rsidR="004F0ABB">
        <w:rPr>
          <w:rFonts w:ascii="Miriam" w:hAnsi="Miriam" w:cs="Miriam" w:hint="cs"/>
          <w:color w:val="000000"/>
          <w:rtl/>
        </w:rPr>
        <w:t>".</w:t>
      </w:r>
    </w:p>
    <w:p w14:paraId="0356F92E" w14:textId="77777777" w:rsidR="004F0ABB" w:rsidRDefault="00B558AC" w:rsidP="004F0ABB">
      <w:pPr>
        <w:spacing w:line="360" w:lineRule="auto"/>
        <w:ind w:left="41"/>
        <w:jc w:val="both"/>
        <w:rPr>
          <w:rFonts w:ascii="David" w:hAnsi="David"/>
          <w:color w:val="000000"/>
          <w:rtl/>
        </w:rPr>
      </w:pPr>
      <w:r>
        <w:rPr>
          <w:rFonts w:ascii="David" w:hAnsi="David"/>
          <w:color w:val="000000"/>
          <w:rtl/>
        </w:rPr>
        <w:t xml:space="preserve"> </w:t>
      </w:r>
      <w:r w:rsidR="004F0ABB">
        <w:rPr>
          <w:rFonts w:ascii="David" w:hAnsi="David" w:hint="cs"/>
          <w:rtl/>
        </w:rPr>
        <w:t xml:space="preserve">20. </w:t>
      </w:r>
      <w:r w:rsidR="004F0ABB">
        <w:rPr>
          <w:rFonts w:ascii="David" w:hAnsi="David" w:hint="cs"/>
          <w:rtl/>
        </w:rPr>
        <w:tab/>
      </w:r>
      <w:r w:rsidR="004F0ABB">
        <w:rPr>
          <w:rFonts w:ascii="David" w:hAnsi="David" w:hint="cs"/>
          <w:color w:val="000000"/>
          <w:rtl/>
        </w:rPr>
        <w:t>ב</w:t>
      </w:r>
      <w:r w:rsidR="004F0ABB">
        <w:rPr>
          <w:rFonts w:ascii="David" w:hAnsi="David"/>
          <w:rtl/>
        </w:rPr>
        <w:t>עת האחרונה התייחס בית המשפט העליון ב</w:t>
      </w:r>
      <w:hyperlink r:id="rId13" w:history="1">
        <w:r w:rsidRPr="00B558AC">
          <w:rPr>
            <w:rFonts w:ascii="David" w:hAnsi="David"/>
            <w:color w:val="0000FF"/>
            <w:u w:val="single"/>
            <w:rtl/>
          </w:rPr>
          <w:t>ע"פ 2482/22</w:t>
        </w:r>
      </w:hyperlink>
      <w:r w:rsidR="004F0ABB">
        <w:rPr>
          <w:rFonts w:ascii="Miriam" w:hAnsi="Miriam" w:cs="Miriam" w:hint="cs"/>
          <w:rtl/>
        </w:rPr>
        <w:t xml:space="preserve"> </w:t>
      </w:r>
      <w:r w:rsidR="004F0ABB" w:rsidRPr="009E238E">
        <w:rPr>
          <w:rFonts w:ascii="Miriam" w:hAnsi="Miriam" w:cs="Miriam"/>
          <w:rtl/>
        </w:rPr>
        <w:t>מדינת ישראל נ' קדורה</w:t>
      </w:r>
      <w:r w:rsidR="004F0ABB">
        <w:rPr>
          <w:rFonts w:ascii="David" w:hAnsi="David"/>
          <w:rtl/>
        </w:rPr>
        <w:t xml:space="preserve"> (14/4/22) (להלן: </w:t>
      </w:r>
      <w:r w:rsidR="004F0ABB" w:rsidRPr="009E238E">
        <w:rPr>
          <w:rFonts w:ascii="Miriam" w:hAnsi="Miriam" w:cs="Miriam"/>
          <w:rtl/>
        </w:rPr>
        <w:t>עניין קדורה</w:t>
      </w:r>
      <w:r w:rsidR="004F0ABB">
        <w:rPr>
          <w:rFonts w:ascii="David" w:hAnsi="David"/>
          <w:rtl/>
        </w:rPr>
        <w:t xml:space="preserve">) </w:t>
      </w:r>
      <w:r w:rsidR="004F0ABB">
        <w:rPr>
          <w:rFonts w:ascii="FrankRuehl" w:hAnsi="FrankRuehl"/>
          <w:color w:val="000000"/>
          <w:sz w:val="28"/>
          <w:shd w:val="clear" w:color="auto" w:fill="FFFFFF"/>
          <w:rtl/>
        </w:rPr>
        <w:t xml:space="preserve">לסיכון הטמון בעבירות המבוצעות בנשק תוך שהדגיש את הזמינות הבלתי נסבלת של החזקת נשק בידי מי שאינו מורשה לכך, דבר המגביר את  הסיכון לביצוע עבירות חמורות נוספות, ועל כך יעידו </w:t>
      </w:r>
      <w:r w:rsidR="004F0ABB">
        <w:rPr>
          <w:rFonts w:ascii="Century" w:hAnsi="Century"/>
          <w:rtl/>
        </w:rPr>
        <w:t>המקרים הרבים במגזר הערבי בתקופה האחרונה, כאשר אזרחים תמימים נפגעים ואף מוצאים את מותם כתוצאה משימוש בנשק. נקבע עוד בעניין קדורה כי "</w:t>
      </w:r>
      <w:r w:rsidR="004F0ABB" w:rsidRPr="009E238E">
        <w:rPr>
          <w:rFonts w:ascii="Miriam" w:hAnsi="Miriam" w:cs="Miriam"/>
          <w:rtl/>
        </w:rPr>
        <w:t>מציאות קשה זו מחייבת לנקוט ביד מחמירה כלפי מעורבים בעבירות נשק, אף אם הם נעדרי עבר פלילי</w:t>
      </w:r>
      <w:r w:rsidR="004F0ABB">
        <w:rPr>
          <w:rFonts w:ascii="Century" w:hAnsi="Century"/>
          <w:rtl/>
        </w:rPr>
        <w:t>"</w:t>
      </w:r>
      <w:r w:rsidR="004F0ABB">
        <w:rPr>
          <w:rFonts w:ascii="Century" w:hAnsi="Century" w:hint="cs"/>
          <w:rtl/>
        </w:rPr>
        <w:t>,</w:t>
      </w:r>
      <w:r w:rsidR="004F0ABB">
        <w:rPr>
          <w:rFonts w:ascii="Century" w:hAnsi="Century"/>
          <w:rtl/>
        </w:rPr>
        <w:t xml:space="preserve"> וכן כי "</w:t>
      </w:r>
      <w:r w:rsidR="004F0ABB" w:rsidRPr="009E238E">
        <w:rPr>
          <w:rFonts w:ascii="Miriam" w:hAnsi="Miriam" w:cs="Miriam"/>
          <w:color w:val="000000"/>
          <w:sz w:val="28"/>
          <w:rtl/>
        </w:rPr>
        <w:t>ענייננו ב"מכת מדינה" שהצורך להילחם בה על מנת להגן על הציבור, מצריך מענה הולם והטלת עונשי מאסר משמעותיים...</w:t>
      </w:r>
      <w:r w:rsidR="004F0ABB">
        <w:rPr>
          <w:rFonts w:ascii="FrankRuehl" w:hAnsi="FrankRuehl"/>
          <w:color w:val="000000"/>
          <w:sz w:val="28"/>
          <w:rtl/>
        </w:rPr>
        <w:t>".</w:t>
      </w:r>
    </w:p>
    <w:p w14:paraId="3AA20099" w14:textId="77777777" w:rsidR="004F0ABB" w:rsidRDefault="004F0ABB" w:rsidP="004F0ABB">
      <w:pPr>
        <w:spacing w:line="360" w:lineRule="auto"/>
        <w:ind w:left="41"/>
        <w:jc w:val="both"/>
        <w:rPr>
          <w:rFonts w:ascii="David" w:hAnsi="David"/>
          <w:color w:val="000000"/>
          <w:rtl/>
        </w:rPr>
      </w:pPr>
    </w:p>
    <w:p w14:paraId="73FDD1D5" w14:textId="77777777" w:rsidR="004F0ABB" w:rsidRDefault="004F0ABB" w:rsidP="004F0ABB">
      <w:pPr>
        <w:spacing w:line="360" w:lineRule="auto"/>
        <w:ind w:left="41"/>
        <w:jc w:val="both"/>
        <w:rPr>
          <w:rFonts w:ascii="David" w:hAnsi="David"/>
          <w:color w:val="000000"/>
          <w:rtl/>
        </w:rPr>
      </w:pPr>
      <w:r>
        <w:rPr>
          <w:rFonts w:ascii="David" w:hAnsi="David" w:hint="cs"/>
          <w:color w:val="000000"/>
          <w:rtl/>
        </w:rPr>
        <w:t xml:space="preserve">21. </w:t>
      </w:r>
      <w:r>
        <w:rPr>
          <w:rFonts w:ascii="David" w:hAnsi="David" w:hint="cs"/>
          <w:color w:val="000000"/>
          <w:rtl/>
        </w:rPr>
        <w:tab/>
        <w:t>ומהתם להכא: בענייננו מדובר, כאמור, בנשק מסוג אקדח הזנקה שבוצע בו שינוי באופן שהפך אותו להיות בעל יכולת לירות תחמושת קליעית בקליבר 9 מ"מ קצר. במילים אחרות: אין כבר עסקינן באקדח  הזנקה  כי אם בנשק חם בעל פוטנציאל לפגיעה בנפש. זאת ועוד, העובדה שבתוך האקדח נמצאה מחסנית תואמת וטעונה ב-3 כדורים בקליבר 9 מ"מ התואמים למחסנית ולאקדח, מחמירה את נסיבותיו של תיק זה וממחישה את פוטנציאל המסוכנות הטמון בביצוע העבירה.</w:t>
      </w:r>
    </w:p>
    <w:p w14:paraId="6B67D9ED" w14:textId="77777777" w:rsidR="004F0ABB" w:rsidRDefault="004F0ABB" w:rsidP="004F0ABB">
      <w:pPr>
        <w:spacing w:line="360" w:lineRule="auto"/>
        <w:ind w:left="41"/>
        <w:jc w:val="both"/>
        <w:rPr>
          <w:rFonts w:ascii="David" w:hAnsi="David"/>
          <w:color w:val="000000"/>
          <w:rtl/>
        </w:rPr>
      </w:pPr>
    </w:p>
    <w:p w14:paraId="0A205B8D" w14:textId="77777777" w:rsidR="004F0ABB" w:rsidRDefault="004F0ABB" w:rsidP="004F0ABB">
      <w:pPr>
        <w:spacing w:line="360" w:lineRule="auto"/>
        <w:ind w:left="41"/>
        <w:jc w:val="both"/>
        <w:rPr>
          <w:rFonts w:ascii="David" w:hAnsi="David"/>
          <w:color w:val="000000"/>
          <w:rtl/>
        </w:rPr>
      </w:pPr>
      <w:r>
        <w:rPr>
          <w:rFonts w:ascii="David" w:hAnsi="David" w:hint="cs"/>
          <w:color w:val="000000"/>
          <w:rtl/>
        </w:rPr>
        <w:t xml:space="preserve">22. </w:t>
      </w:r>
      <w:r>
        <w:rPr>
          <w:rFonts w:ascii="David" w:hAnsi="David" w:hint="cs"/>
          <w:color w:val="000000"/>
          <w:rtl/>
        </w:rPr>
        <w:tab/>
        <w:t xml:space="preserve">לטובת הנאשם יש לציין כי טענת ההגנה לפיה הנאשם החזיק בנשק החזקה נקודתית, לא נסתרה ע"י המאשימה. בד בבד אין  להתעלם מכך שלמרבה המזל האקדח נתפס במסגרת של פשיטת כוחות משטרה אשר הביאה להפסקת ביצוע העבירה ע"י הנאשם. עוד ראוי לציין, לחומרה, כי הנאשם, לאחר שהשליך את האקדח, המחסנית והכדורים, ניסה להימלט מהשוטרים. </w:t>
      </w:r>
    </w:p>
    <w:p w14:paraId="1664ECD8" w14:textId="77777777" w:rsidR="004F0ABB" w:rsidRDefault="004F0ABB" w:rsidP="004F0ABB">
      <w:pPr>
        <w:spacing w:line="360" w:lineRule="auto"/>
        <w:ind w:left="41"/>
        <w:jc w:val="both"/>
        <w:rPr>
          <w:rFonts w:ascii="David" w:hAnsi="David"/>
          <w:color w:val="000000"/>
          <w:rtl/>
        </w:rPr>
      </w:pPr>
    </w:p>
    <w:p w14:paraId="38DECBEC" w14:textId="77777777" w:rsidR="004F0ABB" w:rsidRDefault="004F0ABB" w:rsidP="004F0ABB">
      <w:pPr>
        <w:spacing w:line="360" w:lineRule="auto"/>
        <w:ind w:left="41"/>
        <w:jc w:val="both"/>
        <w:rPr>
          <w:rFonts w:ascii="David" w:hAnsi="David"/>
          <w:color w:val="000000"/>
          <w:rtl/>
        </w:rPr>
      </w:pPr>
      <w:r>
        <w:rPr>
          <w:rFonts w:ascii="David" w:hAnsi="David" w:hint="cs"/>
          <w:color w:val="000000"/>
          <w:rtl/>
        </w:rPr>
        <w:t xml:space="preserve">23. </w:t>
      </w:r>
      <w:r>
        <w:rPr>
          <w:rFonts w:ascii="David" w:hAnsi="David" w:hint="cs"/>
          <w:color w:val="000000"/>
          <w:rtl/>
        </w:rPr>
        <w:tab/>
        <w:t xml:space="preserve">במסגרת בחינת מדיניות הענישה לעונש בעבירה של נשיאת נשק, תובא הפסיקה הבאה: </w:t>
      </w:r>
    </w:p>
    <w:p w14:paraId="5641F214" w14:textId="77777777" w:rsidR="004F0ABB" w:rsidRDefault="004F0ABB" w:rsidP="004F0ABB">
      <w:pPr>
        <w:spacing w:line="360" w:lineRule="auto"/>
        <w:ind w:left="41"/>
        <w:jc w:val="both"/>
        <w:rPr>
          <w:rFonts w:ascii="David" w:hAnsi="David"/>
          <w:color w:val="000000"/>
          <w:rtl/>
        </w:rPr>
      </w:pPr>
    </w:p>
    <w:p w14:paraId="3AF0BED6" w14:textId="77777777" w:rsidR="004F0ABB" w:rsidRDefault="004F0ABB" w:rsidP="004F0ABB">
      <w:pPr>
        <w:pStyle w:val="a9"/>
        <w:numPr>
          <w:ilvl w:val="0"/>
          <w:numId w:val="1"/>
        </w:numPr>
        <w:spacing w:line="360" w:lineRule="auto"/>
        <w:jc w:val="both"/>
        <w:rPr>
          <w:rFonts w:ascii="David" w:hAnsi="David"/>
          <w:color w:val="000000"/>
        </w:rPr>
      </w:pPr>
      <w:r w:rsidRPr="002F2529">
        <w:rPr>
          <w:rFonts w:ascii="David" w:hAnsi="David"/>
          <w:rtl/>
        </w:rPr>
        <w:t>ב</w:t>
      </w:r>
      <w:hyperlink r:id="rId14" w:history="1">
        <w:r w:rsidR="00B558AC" w:rsidRPr="00B558AC">
          <w:rPr>
            <w:rFonts w:ascii="David" w:hAnsi="David"/>
            <w:color w:val="0000FF"/>
            <w:u w:val="single"/>
            <w:rtl/>
          </w:rPr>
          <w:t>ע"פ 3156/11</w:t>
        </w:r>
      </w:hyperlink>
      <w:r w:rsidR="00B558AC">
        <w:rPr>
          <w:rFonts w:ascii="David" w:hAnsi="David"/>
          <w:color w:val="000000"/>
          <w:rtl/>
        </w:rPr>
        <w:t xml:space="preserve"> </w:t>
      </w:r>
      <w:r w:rsidRPr="002F2529">
        <w:rPr>
          <w:rFonts w:ascii="Miriam" w:hAnsi="Miriam" w:cs="Miriam"/>
          <w:color w:val="000000"/>
          <w:rtl/>
        </w:rPr>
        <w:t>זראיעה נ' מ"י</w:t>
      </w:r>
      <w:r w:rsidR="00B558AC">
        <w:rPr>
          <w:rFonts w:ascii="David" w:hAnsi="David"/>
          <w:color w:val="000000"/>
          <w:rtl/>
        </w:rPr>
        <w:t xml:space="preserve"> </w:t>
      </w:r>
      <w:r w:rsidRPr="002F2529">
        <w:rPr>
          <w:rFonts w:ascii="David" w:hAnsi="David"/>
          <w:color w:val="000000"/>
          <w:rtl/>
        </w:rPr>
        <w:t xml:space="preserve"> (21</w:t>
      </w:r>
      <w:r>
        <w:rPr>
          <w:rFonts w:ascii="David" w:hAnsi="David" w:hint="cs"/>
          <w:color w:val="000000"/>
          <w:rtl/>
        </w:rPr>
        <w:t>/</w:t>
      </w:r>
      <w:r w:rsidRPr="002F2529">
        <w:rPr>
          <w:rFonts w:ascii="David" w:hAnsi="David"/>
          <w:color w:val="000000"/>
          <w:rtl/>
        </w:rPr>
        <w:t>2</w:t>
      </w:r>
      <w:r>
        <w:rPr>
          <w:rFonts w:ascii="David" w:hAnsi="David" w:hint="cs"/>
          <w:color w:val="000000"/>
          <w:rtl/>
        </w:rPr>
        <w:t>/</w:t>
      </w:r>
      <w:r w:rsidRPr="002F2529">
        <w:rPr>
          <w:rFonts w:ascii="David" w:hAnsi="David"/>
          <w:color w:val="000000"/>
          <w:rtl/>
        </w:rPr>
        <w:t>12) הורשע המערער בעבירות של נשיאת והובלת נשק והסתייעות ברכב לביצוע פשע, ובגין אלו הוטל עליו מאסר למשך 24 חודשים. על פי כתב האישום המתוקן, המערער נסע ברכבו אחרי שהסליק בו א</w:t>
      </w:r>
      <w:r w:rsidRPr="002F2529">
        <w:rPr>
          <w:rFonts w:ascii="David" w:hAnsi="David" w:hint="cs"/>
          <w:color w:val="000000"/>
          <w:rtl/>
        </w:rPr>
        <w:t>ק</w:t>
      </w:r>
      <w:r w:rsidRPr="002F2529">
        <w:rPr>
          <w:rFonts w:ascii="David" w:hAnsi="David"/>
          <w:color w:val="000000"/>
          <w:rtl/>
        </w:rPr>
        <w:t>דח, מחסנית טעונה בכדורי אקדח וקופס</w:t>
      </w:r>
      <w:r w:rsidRPr="002F2529">
        <w:rPr>
          <w:rFonts w:ascii="David" w:hAnsi="David" w:hint="cs"/>
          <w:color w:val="000000"/>
          <w:rtl/>
        </w:rPr>
        <w:t>א</w:t>
      </w:r>
      <w:r w:rsidRPr="002F2529">
        <w:rPr>
          <w:rFonts w:ascii="David" w:hAnsi="David"/>
          <w:color w:val="000000"/>
          <w:rtl/>
        </w:rPr>
        <w:t>ות עם כדורי אקדח</w:t>
      </w:r>
      <w:r>
        <w:rPr>
          <w:rFonts w:ascii="David" w:hAnsi="David" w:hint="cs"/>
          <w:color w:val="000000"/>
          <w:rtl/>
        </w:rPr>
        <w:t xml:space="preserve">. </w:t>
      </w:r>
      <w:r w:rsidRPr="002F2529">
        <w:rPr>
          <w:rFonts w:ascii="David" w:hAnsi="David"/>
          <w:color w:val="000000"/>
          <w:rtl/>
        </w:rPr>
        <w:t xml:space="preserve">האקדח והתחמושת נתפסו בחיפוש שגרתי שביצעה המשטרה ברכב. המערער היה נעדר עבר פלילי למעט עבירה </w:t>
      </w:r>
      <w:r w:rsidRPr="002F2529">
        <w:rPr>
          <w:rFonts w:ascii="David" w:hAnsi="David" w:hint="cs"/>
          <w:color w:val="000000"/>
          <w:rtl/>
        </w:rPr>
        <w:t>מסוג אחר</w:t>
      </w:r>
      <w:r w:rsidRPr="002F2529">
        <w:rPr>
          <w:rFonts w:ascii="David" w:hAnsi="David"/>
          <w:color w:val="000000"/>
          <w:rtl/>
        </w:rPr>
        <w:t>. הערעור נדחה.</w:t>
      </w:r>
    </w:p>
    <w:p w14:paraId="40D5DBDA" w14:textId="77777777" w:rsidR="004F0ABB" w:rsidRDefault="004F0ABB" w:rsidP="004F0ABB">
      <w:pPr>
        <w:pStyle w:val="a9"/>
        <w:spacing w:line="360" w:lineRule="auto"/>
        <w:ind w:left="1440"/>
        <w:jc w:val="both"/>
        <w:rPr>
          <w:rFonts w:ascii="David" w:hAnsi="David"/>
          <w:color w:val="000000"/>
        </w:rPr>
      </w:pPr>
    </w:p>
    <w:p w14:paraId="6760184E" w14:textId="77777777" w:rsidR="004F0ABB" w:rsidRPr="002F2529" w:rsidRDefault="004F0ABB" w:rsidP="004F0ABB">
      <w:pPr>
        <w:pStyle w:val="a9"/>
        <w:numPr>
          <w:ilvl w:val="0"/>
          <w:numId w:val="1"/>
        </w:numPr>
        <w:spacing w:line="360" w:lineRule="auto"/>
        <w:jc w:val="both"/>
        <w:rPr>
          <w:rFonts w:ascii="David" w:hAnsi="David"/>
          <w:color w:val="000000"/>
          <w:rtl/>
        </w:rPr>
      </w:pPr>
      <w:r w:rsidRPr="002F2529">
        <w:rPr>
          <w:rFonts w:ascii="David" w:hAnsi="David"/>
          <w:rtl/>
        </w:rPr>
        <w:t>ב-</w:t>
      </w:r>
      <w:hyperlink r:id="rId15" w:history="1">
        <w:r w:rsidR="00B558AC" w:rsidRPr="00B558AC">
          <w:rPr>
            <w:rFonts w:ascii="David" w:hAnsi="David"/>
            <w:color w:val="0000FF"/>
            <w:u w:val="single"/>
            <w:rtl/>
          </w:rPr>
          <w:t>ע"פ 3288/14</w:t>
        </w:r>
      </w:hyperlink>
      <w:r w:rsidR="00B558AC">
        <w:rPr>
          <w:rFonts w:ascii="David" w:hAnsi="David"/>
          <w:rtl/>
        </w:rPr>
        <w:t xml:space="preserve"> </w:t>
      </w:r>
      <w:r w:rsidRPr="00D50CD3">
        <w:rPr>
          <w:rFonts w:ascii="Miriam" w:hAnsi="Miriam" w:cs="Miriam"/>
          <w:rtl/>
        </w:rPr>
        <w:t>מדינת ישראל נ' מטיאל קריספיל</w:t>
      </w:r>
      <w:r w:rsidR="00B558AC">
        <w:rPr>
          <w:rFonts w:ascii="David" w:hAnsi="David"/>
          <w:color w:val="000000"/>
          <w:rtl/>
        </w:rPr>
        <w:t xml:space="preserve"> </w:t>
      </w:r>
      <w:r w:rsidRPr="002F2529">
        <w:rPr>
          <w:rFonts w:ascii="David" w:hAnsi="David"/>
          <w:color w:val="000000"/>
          <w:rtl/>
        </w:rPr>
        <w:t xml:space="preserve">(24.08.2014) </w:t>
      </w:r>
      <w:r w:rsidRPr="002F2529">
        <w:rPr>
          <w:rFonts w:ascii="David" w:hAnsi="David" w:hint="cs"/>
          <w:color w:val="000000"/>
          <w:rtl/>
        </w:rPr>
        <w:t>עסקינן ב</w:t>
      </w:r>
      <w:r>
        <w:rPr>
          <w:rFonts w:ascii="David" w:hAnsi="David" w:hint="cs"/>
          <w:color w:val="000000"/>
          <w:rtl/>
        </w:rPr>
        <w:t xml:space="preserve">מי </w:t>
      </w:r>
      <w:r w:rsidRPr="002F2529">
        <w:rPr>
          <w:rFonts w:ascii="David" w:hAnsi="David" w:hint="cs"/>
          <w:color w:val="000000"/>
          <w:rtl/>
        </w:rPr>
        <w:t xml:space="preserve">שהורשע </w:t>
      </w:r>
      <w:r w:rsidRPr="002F2529">
        <w:rPr>
          <w:rFonts w:ascii="David" w:hAnsi="David"/>
          <w:color w:val="000000"/>
          <w:rtl/>
        </w:rPr>
        <w:t>בהחזקה של אקדח ותחמושת</w:t>
      </w:r>
      <w:r>
        <w:rPr>
          <w:rFonts w:ascii="David" w:hAnsi="David" w:hint="cs"/>
          <w:color w:val="000000"/>
          <w:rtl/>
        </w:rPr>
        <w:t xml:space="preserve"> </w:t>
      </w:r>
      <w:r w:rsidRPr="002F2529">
        <w:rPr>
          <w:rFonts w:ascii="David" w:hAnsi="David"/>
          <w:color w:val="000000"/>
          <w:rtl/>
        </w:rPr>
        <w:t xml:space="preserve"> והושתו עליו 9 חודשי מאסר בפועל. בית המשפט העליון קיבל את ערעור המדינה וגזר על</w:t>
      </w:r>
      <w:r>
        <w:rPr>
          <w:rFonts w:ascii="David" w:hAnsi="David" w:hint="cs"/>
          <w:color w:val="000000"/>
          <w:rtl/>
        </w:rPr>
        <w:t xml:space="preserve">יו </w:t>
      </w:r>
      <w:r w:rsidRPr="002F2529">
        <w:rPr>
          <w:rFonts w:ascii="David" w:hAnsi="David"/>
          <w:color w:val="000000"/>
          <w:rtl/>
        </w:rPr>
        <w:t xml:space="preserve"> 18 חודשי מאסר בפועל.</w:t>
      </w:r>
    </w:p>
    <w:p w14:paraId="6C914791" w14:textId="77777777" w:rsidR="004F0ABB" w:rsidRPr="00D00149" w:rsidRDefault="00B558AC" w:rsidP="004F0ABB">
      <w:pPr>
        <w:spacing w:line="360" w:lineRule="auto"/>
        <w:jc w:val="both"/>
        <w:rPr>
          <w:rFonts w:ascii="David" w:hAnsi="David"/>
          <w:color w:val="000000"/>
          <w:rtl/>
        </w:rPr>
      </w:pPr>
      <w:r>
        <w:rPr>
          <w:rFonts w:ascii="David" w:hAnsi="David"/>
          <w:color w:val="000000"/>
          <w:rtl/>
        </w:rPr>
        <w:t xml:space="preserve"> </w:t>
      </w:r>
    </w:p>
    <w:p w14:paraId="1C7380B6" w14:textId="77777777" w:rsidR="004F0ABB" w:rsidRPr="002F2529" w:rsidRDefault="004F0ABB" w:rsidP="004F0ABB">
      <w:pPr>
        <w:pStyle w:val="a9"/>
        <w:numPr>
          <w:ilvl w:val="0"/>
          <w:numId w:val="1"/>
        </w:numPr>
        <w:spacing w:line="360" w:lineRule="auto"/>
        <w:jc w:val="both"/>
        <w:rPr>
          <w:rFonts w:ascii="David" w:hAnsi="David"/>
          <w:color w:val="000000"/>
          <w:rtl/>
        </w:rPr>
      </w:pPr>
      <w:r w:rsidRPr="007D4559">
        <w:rPr>
          <w:rFonts w:ascii="David" w:hAnsi="David"/>
          <w:rtl/>
        </w:rPr>
        <w:t>ב</w:t>
      </w:r>
      <w:hyperlink r:id="rId16" w:history="1">
        <w:r w:rsidR="00B558AC" w:rsidRPr="00B558AC">
          <w:rPr>
            <w:rFonts w:ascii="David" w:hAnsi="David"/>
            <w:color w:val="0000FF"/>
            <w:u w:val="single"/>
            <w:rtl/>
          </w:rPr>
          <w:t>ע"פ 135/17</w:t>
        </w:r>
      </w:hyperlink>
      <w:r w:rsidR="00B558AC">
        <w:rPr>
          <w:rFonts w:ascii="David" w:hAnsi="David"/>
          <w:rtl/>
        </w:rPr>
        <w:t xml:space="preserve"> </w:t>
      </w:r>
      <w:r w:rsidRPr="007D4559">
        <w:rPr>
          <w:rFonts w:ascii="Miriam" w:hAnsi="Miriam" w:cs="Miriam"/>
          <w:color w:val="000000"/>
          <w:rtl/>
        </w:rPr>
        <w:t>מדינת ישראל נ' סמיר</w:t>
      </w:r>
      <w:r w:rsidRPr="00D50CD3">
        <w:rPr>
          <w:rFonts w:ascii="Miriam" w:hAnsi="Miriam" w:cs="Miriam"/>
          <w:color w:val="000000"/>
          <w:rtl/>
        </w:rPr>
        <w:t xml:space="preserve"> בסל</w:t>
      </w:r>
      <w:r w:rsidR="00B558AC">
        <w:rPr>
          <w:rFonts w:ascii="David" w:hAnsi="David"/>
          <w:color w:val="000000"/>
          <w:rtl/>
        </w:rPr>
        <w:t xml:space="preserve"> </w:t>
      </w:r>
      <w:r w:rsidRPr="002F2529">
        <w:rPr>
          <w:rFonts w:ascii="David" w:hAnsi="David"/>
          <w:color w:val="000000"/>
          <w:rtl/>
        </w:rPr>
        <w:t xml:space="preserve"> (8</w:t>
      </w:r>
      <w:r>
        <w:rPr>
          <w:rFonts w:ascii="David" w:hAnsi="David" w:hint="cs"/>
          <w:color w:val="000000"/>
          <w:rtl/>
        </w:rPr>
        <w:t>/</w:t>
      </w:r>
      <w:r w:rsidRPr="002F2529">
        <w:rPr>
          <w:rFonts w:ascii="David" w:hAnsi="David"/>
          <w:color w:val="000000"/>
          <w:rtl/>
        </w:rPr>
        <w:t>3</w:t>
      </w:r>
      <w:r>
        <w:rPr>
          <w:rFonts w:ascii="David" w:hAnsi="David" w:hint="cs"/>
          <w:color w:val="000000"/>
          <w:rtl/>
        </w:rPr>
        <w:t>/</w:t>
      </w:r>
      <w:r w:rsidRPr="002F2529">
        <w:rPr>
          <w:rFonts w:ascii="David" w:hAnsi="David"/>
          <w:color w:val="000000"/>
          <w:rtl/>
        </w:rPr>
        <w:t xml:space="preserve">2017) </w:t>
      </w:r>
      <w:r>
        <w:rPr>
          <w:rFonts w:ascii="David" w:hAnsi="David" w:hint="cs"/>
          <w:color w:val="000000"/>
          <w:rtl/>
        </w:rPr>
        <w:t>עסקינן במי שהורשע</w:t>
      </w:r>
      <w:r w:rsidRPr="002F2529">
        <w:rPr>
          <w:rFonts w:ascii="David" w:hAnsi="David"/>
          <w:color w:val="000000"/>
          <w:rtl/>
        </w:rPr>
        <w:t xml:space="preserve"> בעבירה של החזקה ונשיאת נשק, בכך שלקח לבקשת קרוב משפחתו תת מקלע ומחסנית, הובילו למקום מסתור והחזיקו שם כשבוע ימים והעביר לקרוב משפחה אחר את הנשק. בית המשפט המחוזי קבע מתחם עונש הולם בין 9 חודשים ל – 3 שנות מאסר, והטיל 12 ח</w:t>
      </w:r>
      <w:r>
        <w:rPr>
          <w:rFonts w:ascii="David" w:hAnsi="David" w:hint="cs"/>
          <w:color w:val="000000"/>
          <w:rtl/>
        </w:rPr>
        <w:t>ו</w:t>
      </w:r>
      <w:r w:rsidRPr="002F2529">
        <w:rPr>
          <w:rFonts w:ascii="David" w:hAnsi="David"/>
          <w:color w:val="000000"/>
          <w:rtl/>
        </w:rPr>
        <w:t>דשי מאסר</w:t>
      </w:r>
      <w:r>
        <w:rPr>
          <w:rFonts w:ascii="David" w:hAnsi="David" w:hint="cs"/>
          <w:color w:val="000000"/>
          <w:rtl/>
        </w:rPr>
        <w:t xml:space="preserve"> בפועל</w:t>
      </w:r>
      <w:r w:rsidRPr="002F2529">
        <w:rPr>
          <w:rFonts w:ascii="David" w:hAnsi="David"/>
          <w:color w:val="000000"/>
          <w:rtl/>
        </w:rPr>
        <w:t>, ובית המשפט העליון החמיר את העונש ל – 18 חודשי</w:t>
      </w:r>
      <w:r>
        <w:rPr>
          <w:rFonts w:ascii="David" w:hAnsi="David" w:hint="cs"/>
          <w:color w:val="000000"/>
          <w:rtl/>
        </w:rPr>
        <w:t xml:space="preserve"> מאסר בפועל</w:t>
      </w:r>
      <w:r w:rsidRPr="002F2529">
        <w:rPr>
          <w:rFonts w:ascii="David" w:hAnsi="David"/>
          <w:color w:val="000000"/>
          <w:rtl/>
        </w:rPr>
        <w:t xml:space="preserve"> תוך שצוין כי ערכאת הערעור אינה ממצה את הדין עם הנאשם.</w:t>
      </w:r>
    </w:p>
    <w:p w14:paraId="161D837D" w14:textId="77777777" w:rsidR="004F0ABB" w:rsidRPr="00D00149" w:rsidRDefault="00B558AC" w:rsidP="004F0ABB">
      <w:pPr>
        <w:spacing w:line="360" w:lineRule="auto"/>
        <w:jc w:val="both"/>
        <w:rPr>
          <w:rFonts w:ascii="David" w:hAnsi="David"/>
          <w:color w:val="000000"/>
          <w:rtl/>
        </w:rPr>
      </w:pPr>
      <w:r>
        <w:rPr>
          <w:rFonts w:ascii="David" w:hAnsi="David"/>
          <w:b/>
          <w:bCs/>
          <w:color w:val="000000"/>
          <w:rtl/>
        </w:rPr>
        <w:t xml:space="preserve">  </w:t>
      </w:r>
    </w:p>
    <w:p w14:paraId="0549FCD3" w14:textId="77777777" w:rsidR="004F0ABB" w:rsidRDefault="004F0ABB" w:rsidP="004F0ABB">
      <w:pPr>
        <w:pStyle w:val="a9"/>
        <w:numPr>
          <w:ilvl w:val="0"/>
          <w:numId w:val="1"/>
        </w:numPr>
        <w:spacing w:line="360" w:lineRule="auto"/>
        <w:jc w:val="both"/>
        <w:rPr>
          <w:rFonts w:ascii="David" w:hAnsi="David"/>
          <w:color w:val="000000"/>
        </w:rPr>
      </w:pPr>
      <w:r w:rsidRPr="00FA1925">
        <w:rPr>
          <w:rFonts w:ascii="David" w:hAnsi="David"/>
          <w:rtl/>
        </w:rPr>
        <w:t>ב-</w:t>
      </w:r>
      <w:hyperlink r:id="rId17" w:history="1">
        <w:r w:rsidR="00B558AC" w:rsidRPr="00B558AC">
          <w:rPr>
            <w:rFonts w:ascii="David" w:hAnsi="David"/>
            <w:color w:val="0000FF"/>
            <w:u w:val="single"/>
            <w:rtl/>
          </w:rPr>
          <w:t>ע"פ 390/17</w:t>
        </w:r>
      </w:hyperlink>
      <w:r w:rsidR="00B558AC">
        <w:rPr>
          <w:rFonts w:ascii="David" w:hAnsi="David"/>
          <w:rtl/>
        </w:rPr>
        <w:t xml:space="preserve">  </w:t>
      </w:r>
      <w:r w:rsidRPr="00FA1925">
        <w:rPr>
          <w:rFonts w:ascii="Miriam" w:hAnsi="Miriam" w:cs="Miriam"/>
          <w:rtl/>
        </w:rPr>
        <w:t>עומר סער נ' מדינת ישראל</w:t>
      </w:r>
      <w:r w:rsidR="00B558AC">
        <w:rPr>
          <w:rFonts w:ascii="David" w:hAnsi="David"/>
          <w:rtl/>
        </w:rPr>
        <w:t xml:space="preserve"> </w:t>
      </w:r>
      <w:r w:rsidRPr="00FA1925">
        <w:rPr>
          <w:rFonts w:ascii="David" w:hAnsi="David"/>
          <w:color w:val="000000"/>
          <w:rtl/>
        </w:rPr>
        <w:t xml:space="preserve">(03.07.2017) </w:t>
      </w:r>
      <w:r>
        <w:rPr>
          <w:rFonts w:ascii="David" w:hAnsi="David" w:hint="cs"/>
          <w:color w:val="000000"/>
          <w:rtl/>
        </w:rPr>
        <w:t xml:space="preserve">עסקינן בבעל עבר פלילי מכביד  שהורשע בערכאה הדיונית מכוח הודאתו בעבירה שעניינה </w:t>
      </w:r>
      <w:r w:rsidRPr="00FA1925">
        <w:rPr>
          <w:rFonts w:ascii="David" w:hAnsi="David"/>
          <w:color w:val="000000"/>
          <w:rtl/>
        </w:rPr>
        <w:t xml:space="preserve">נשיאת אקדח בצוותא באמצעות אופנוע, וכן </w:t>
      </w:r>
      <w:r>
        <w:rPr>
          <w:rFonts w:ascii="David" w:hAnsi="David" w:hint="cs"/>
          <w:color w:val="000000"/>
          <w:rtl/>
        </w:rPr>
        <w:t xml:space="preserve">בעבירה של </w:t>
      </w:r>
      <w:r w:rsidRPr="00FA1925">
        <w:rPr>
          <w:rFonts w:ascii="David" w:hAnsi="David"/>
          <w:color w:val="000000"/>
          <w:rtl/>
        </w:rPr>
        <w:t>נהיגה בקלות-דעת. בית המשפט העליון קיבל את ערעורו של הנאשם וגזר עליו 34 חודשי מאסר בפועל</w:t>
      </w:r>
      <w:r>
        <w:rPr>
          <w:rFonts w:ascii="David" w:hAnsi="David" w:hint="cs"/>
          <w:color w:val="000000"/>
          <w:rtl/>
        </w:rPr>
        <w:t xml:space="preserve"> </w:t>
      </w:r>
      <w:r w:rsidRPr="00FA1925">
        <w:rPr>
          <w:rFonts w:ascii="David" w:hAnsi="David"/>
          <w:color w:val="000000"/>
          <w:rtl/>
        </w:rPr>
        <w:t xml:space="preserve"> חלף </w:t>
      </w:r>
      <w:r>
        <w:rPr>
          <w:rFonts w:ascii="David" w:hAnsi="David" w:hint="cs"/>
          <w:color w:val="000000"/>
          <w:rtl/>
        </w:rPr>
        <w:t xml:space="preserve">עונש של 40 חודשים </w:t>
      </w:r>
      <w:r w:rsidRPr="00FA1925">
        <w:rPr>
          <w:rFonts w:ascii="David" w:hAnsi="David"/>
          <w:color w:val="000000"/>
          <w:rtl/>
        </w:rPr>
        <w:t>שגזר עליו בית המשפט המחוזי.</w:t>
      </w:r>
    </w:p>
    <w:p w14:paraId="0274D6CA" w14:textId="77777777" w:rsidR="004F0ABB" w:rsidRDefault="004F0ABB" w:rsidP="004F0ABB">
      <w:pPr>
        <w:pStyle w:val="a9"/>
        <w:spacing w:line="360" w:lineRule="auto"/>
        <w:ind w:left="1440"/>
        <w:jc w:val="both"/>
        <w:rPr>
          <w:rFonts w:ascii="David" w:hAnsi="David"/>
          <w:color w:val="000000"/>
        </w:rPr>
      </w:pPr>
    </w:p>
    <w:p w14:paraId="5760B655" w14:textId="77777777" w:rsidR="004F0ABB" w:rsidRPr="007D4559" w:rsidRDefault="004F0ABB" w:rsidP="004F0ABB">
      <w:pPr>
        <w:pStyle w:val="a9"/>
        <w:numPr>
          <w:ilvl w:val="0"/>
          <w:numId w:val="1"/>
        </w:numPr>
        <w:spacing w:line="360" w:lineRule="auto"/>
        <w:jc w:val="both"/>
        <w:rPr>
          <w:rFonts w:ascii="David" w:hAnsi="David"/>
          <w:color w:val="000000"/>
          <w:rtl/>
        </w:rPr>
      </w:pPr>
      <w:r w:rsidRPr="007D4559">
        <w:rPr>
          <w:rFonts w:ascii="David" w:hAnsi="David"/>
          <w:rtl/>
        </w:rPr>
        <w:t>ב-</w:t>
      </w:r>
      <w:hyperlink r:id="rId18" w:history="1">
        <w:r w:rsidR="00B558AC" w:rsidRPr="00B558AC">
          <w:rPr>
            <w:rFonts w:ascii="David" w:hAnsi="David"/>
            <w:color w:val="0000FF"/>
            <w:u w:val="single"/>
            <w:rtl/>
          </w:rPr>
          <w:t>ע"פ 2564/19</w:t>
        </w:r>
      </w:hyperlink>
      <w:r w:rsidR="00B558AC">
        <w:rPr>
          <w:rFonts w:ascii="David" w:hAnsi="David"/>
          <w:rtl/>
        </w:rPr>
        <w:t xml:space="preserve"> </w:t>
      </w:r>
      <w:r w:rsidRPr="005F7510">
        <w:rPr>
          <w:rFonts w:ascii="Miriam" w:hAnsi="Miriam" w:cs="Miriam"/>
          <w:rtl/>
        </w:rPr>
        <w:t>איברהים</w:t>
      </w:r>
      <w:r w:rsidR="00B558AC">
        <w:rPr>
          <w:rFonts w:ascii="Miriam" w:hAnsi="Miriam" w:cs="Miriam"/>
          <w:rtl/>
        </w:rPr>
        <w:t xml:space="preserve"> </w:t>
      </w:r>
      <w:r w:rsidRPr="005F7510">
        <w:rPr>
          <w:rFonts w:ascii="Miriam" w:hAnsi="Miriam" w:cs="Miriam"/>
          <w:rtl/>
        </w:rPr>
        <w:t>אזברגה נ' מדינת ישראל</w:t>
      </w:r>
      <w:r w:rsidR="00B558AC">
        <w:rPr>
          <w:rFonts w:ascii="Miriam" w:hAnsi="Miriam" w:cs="Miriam"/>
          <w:rtl/>
        </w:rPr>
        <w:t xml:space="preserve"> </w:t>
      </w:r>
      <w:r w:rsidRPr="007D4559">
        <w:rPr>
          <w:rFonts w:ascii="David" w:hAnsi="David"/>
          <w:rtl/>
        </w:rPr>
        <w:t>(</w:t>
      </w:r>
      <w:r w:rsidRPr="007D4559">
        <w:rPr>
          <w:rFonts w:ascii="David" w:hAnsi="David"/>
          <w:color w:val="000000"/>
          <w:rtl/>
        </w:rPr>
        <w:t>18.07.2019)</w:t>
      </w:r>
      <w:r>
        <w:rPr>
          <w:rFonts w:ascii="David" w:hAnsi="David" w:hint="cs"/>
          <w:color w:val="000000"/>
          <w:rtl/>
        </w:rPr>
        <w:t xml:space="preserve"> מדובר בבעל עבר פלילי נקי שהורשע בערכאה הדיונית לאחר ש</w:t>
      </w:r>
      <w:r w:rsidRPr="007D4559">
        <w:rPr>
          <w:rFonts w:ascii="David" w:hAnsi="David"/>
          <w:color w:val="000000"/>
          <w:rtl/>
        </w:rPr>
        <w:t>הודה במעשיו</w:t>
      </w:r>
      <w:r>
        <w:rPr>
          <w:rFonts w:ascii="David" w:hAnsi="David" w:hint="cs"/>
          <w:color w:val="000000"/>
          <w:rtl/>
        </w:rPr>
        <w:t xml:space="preserve"> </w:t>
      </w:r>
      <w:r w:rsidRPr="007D4559">
        <w:rPr>
          <w:rFonts w:ascii="David" w:hAnsi="David"/>
          <w:color w:val="000000"/>
          <w:rtl/>
        </w:rPr>
        <w:t>ב</w:t>
      </w:r>
      <w:r>
        <w:rPr>
          <w:rFonts w:ascii="David" w:hAnsi="David" w:hint="cs"/>
          <w:color w:val="000000"/>
          <w:rtl/>
        </w:rPr>
        <w:t xml:space="preserve">עבירה שעניינה </w:t>
      </w:r>
      <w:r w:rsidRPr="007D4559">
        <w:rPr>
          <w:rFonts w:ascii="David" w:hAnsi="David"/>
          <w:color w:val="000000"/>
          <w:rtl/>
        </w:rPr>
        <w:t>נשיאת אקדח בקוטר 9 מ"מ באמצעות רכב</w:t>
      </w:r>
      <w:r>
        <w:rPr>
          <w:rFonts w:ascii="David" w:hAnsi="David" w:hint="cs"/>
          <w:color w:val="000000"/>
          <w:rtl/>
        </w:rPr>
        <w:t xml:space="preserve">. </w:t>
      </w:r>
      <w:r w:rsidRPr="007D4559">
        <w:rPr>
          <w:rFonts w:ascii="David" w:hAnsi="David"/>
          <w:color w:val="000000"/>
          <w:rtl/>
        </w:rPr>
        <w:t xml:space="preserve">נקבע מתחם ענישה </w:t>
      </w:r>
      <w:r>
        <w:rPr>
          <w:rFonts w:ascii="David" w:hAnsi="David" w:hint="cs"/>
          <w:color w:val="000000"/>
          <w:rtl/>
        </w:rPr>
        <w:t>הולם ה</w:t>
      </w:r>
      <w:r>
        <w:rPr>
          <w:rFonts w:ascii="David" w:hAnsi="David"/>
          <w:color w:val="000000"/>
          <w:rtl/>
        </w:rPr>
        <w:t>נע בי</w:t>
      </w:r>
      <w:r>
        <w:rPr>
          <w:rFonts w:ascii="David" w:hAnsi="David" w:hint="cs"/>
          <w:color w:val="000000"/>
          <w:rtl/>
        </w:rPr>
        <w:t>ו 40-12</w:t>
      </w:r>
      <w:r w:rsidRPr="007D4559">
        <w:rPr>
          <w:rFonts w:ascii="David" w:hAnsi="David"/>
          <w:color w:val="000000"/>
          <w:rtl/>
        </w:rPr>
        <w:t xml:space="preserve"> חודשי מאסר בפועל.</w:t>
      </w:r>
      <w:r>
        <w:rPr>
          <w:rFonts w:ascii="David" w:hAnsi="David" w:hint="cs"/>
          <w:color w:val="000000"/>
          <w:rtl/>
        </w:rPr>
        <w:t xml:space="preserve"> </w:t>
      </w:r>
      <w:r w:rsidRPr="007D4559">
        <w:rPr>
          <w:rFonts w:ascii="David" w:hAnsi="David" w:hint="cs"/>
          <w:color w:val="000000"/>
          <w:rtl/>
        </w:rPr>
        <w:t>ה</w:t>
      </w:r>
      <w:r>
        <w:rPr>
          <w:rFonts w:ascii="David" w:hAnsi="David" w:hint="cs"/>
          <w:color w:val="000000"/>
          <w:rtl/>
        </w:rPr>
        <w:t>נאשם</w:t>
      </w:r>
      <w:r w:rsidRPr="007D4559">
        <w:rPr>
          <w:rFonts w:ascii="David" w:hAnsi="David" w:hint="cs"/>
          <w:color w:val="000000"/>
          <w:rtl/>
        </w:rPr>
        <w:t xml:space="preserve">  נדון </w:t>
      </w:r>
      <w:r w:rsidRPr="007D4559">
        <w:rPr>
          <w:rFonts w:ascii="David" w:hAnsi="David"/>
          <w:color w:val="000000"/>
          <w:rtl/>
        </w:rPr>
        <w:t xml:space="preserve"> ל-16 חודשי מאסר בפועל ובית המשפט העליון אישר את גזר-הדין.</w:t>
      </w:r>
    </w:p>
    <w:p w14:paraId="343FC881" w14:textId="77777777" w:rsidR="004F0ABB" w:rsidRDefault="004F0ABB" w:rsidP="004F0ABB">
      <w:pPr>
        <w:pStyle w:val="listparagraph"/>
        <w:bidi/>
        <w:spacing w:before="0" w:beforeAutospacing="0" w:after="0" w:afterAutospacing="0" w:line="360" w:lineRule="auto"/>
        <w:ind w:left="1080"/>
        <w:jc w:val="both"/>
        <w:rPr>
          <w:rFonts w:ascii="David" w:hAnsi="David" w:cs="David"/>
          <w:color w:val="000000"/>
          <w:rtl/>
        </w:rPr>
      </w:pPr>
    </w:p>
    <w:p w14:paraId="0DFBBD61" w14:textId="77777777" w:rsidR="004F0ABB" w:rsidRDefault="004F0ABB" w:rsidP="004F0ABB">
      <w:pPr>
        <w:pStyle w:val="Ruller40"/>
        <w:rPr>
          <w:rFonts w:ascii="FrankRuehl" w:hAnsi="FrankRuehl"/>
          <w:color w:val="000000"/>
          <w:sz w:val="28"/>
        </w:rPr>
      </w:pPr>
      <w:r w:rsidRPr="00884327">
        <w:rPr>
          <w:rFonts w:ascii="David" w:hAnsi="David" w:cs="David"/>
          <w:color w:val="000000"/>
          <w:sz w:val="24"/>
          <w:szCs w:val="24"/>
          <w:rtl/>
        </w:rPr>
        <w:t xml:space="preserve">24. </w:t>
      </w:r>
      <w:r>
        <w:rPr>
          <w:rFonts w:ascii="David" w:hAnsi="David" w:cs="David"/>
          <w:color w:val="000000"/>
          <w:sz w:val="24"/>
          <w:szCs w:val="24"/>
          <w:rtl/>
        </w:rPr>
        <w:tab/>
      </w:r>
      <w:r w:rsidRPr="009224A0">
        <w:rPr>
          <w:rFonts w:ascii="David" w:hAnsi="David" w:cs="David"/>
          <w:color w:val="000000"/>
          <w:sz w:val="24"/>
          <w:szCs w:val="24"/>
          <w:rtl/>
        </w:rPr>
        <w:t xml:space="preserve">עוד ראוי לציין כי בעניין קדורה הנ"ל הוחמר ע"י בית המשפט העליון עונשו של נאשם שהורשע בעבירה שעניינה החזקת אקדח, מחסנית עם כדורים ורימון הלם, מעונש של 10 חודשי מאסר בפועל לעונש של 18 חודשי מאסר בפועל. הנה כי כן, בית המשפט העליון החמיר  אך לאחרונה  בעונשו של מי שהורשע בעבירה </w:t>
      </w:r>
      <w:r>
        <w:rPr>
          <w:rFonts w:ascii="David" w:hAnsi="David" w:cs="David" w:hint="cs"/>
          <w:color w:val="000000"/>
          <w:sz w:val="24"/>
          <w:szCs w:val="24"/>
          <w:rtl/>
        </w:rPr>
        <w:t xml:space="preserve">פחות חמורה של החזקת נשק שלא כדין, </w:t>
      </w:r>
      <w:r w:rsidRPr="009224A0">
        <w:rPr>
          <w:rFonts w:ascii="David" w:hAnsi="David" w:cs="David"/>
          <w:color w:val="000000"/>
          <w:sz w:val="24"/>
          <w:szCs w:val="24"/>
          <w:rtl/>
        </w:rPr>
        <w:t>באופן שהשית עליו עונש של 18 חודשי מאסר בפועל, דבר המבטא את מגמת ההחמרה בענישה בעבירות נשק.</w:t>
      </w:r>
      <w:r>
        <w:rPr>
          <w:rFonts w:ascii="FrankRuehl" w:hAnsi="FrankRuehl" w:hint="cs"/>
          <w:color w:val="000000"/>
          <w:sz w:val="28"/>
          <w:rtl/>
        </w:rPr>
        <w:t xml:space="preserve"> </w:t>
      </w:r>
    </w:p>
    <w:p w14:paraId="0D9CF4C7" w14:textId="77777777" w:rsidR="004F0ABB" w:rsidRDefault="004F0ABB" w:rsidP="004F0ABB">
      <w:pPr>
        <w:rPr>
          <w:rFonts w:cs="Calibri"/>
          <w:sz w:val="22"/>
          <w:szCs w:val="22"/>
        </w:rPr>
      </w:pPr>
    </w:p>
    <w:p w14:paraId="59673528" w14:textId="77777777" w:rsidR="004F0ABB" w:rsidRDefault="004F0ABB" w:rsidP="004F0ABB">
      <w:pPr>
        <w:spacing w:line="360" w:lineRule="auto"/>
        <w:jc w:val="both"/>
        <w:rPr>
          <w:rFonts w:ascii="David" w:hAnsi="David"/>
          <w:rtl/>
        </w:rPr>
      </w:pPr>
      <w:r>
        <w:rPr>
          <w:rFonts w:ascii="David" w:hAnsi="David" w:hint="cs"/>
          <w:rtl/>
        </w:rPr>
        <w:t xml:space="preserve">25. </w:t>
      </w:r>
      <w:r>
        <w:rPr>
          <w:rFonts w:ascii="David" w:hAnsi="David"/>
          <w:rtl/>
        </w:rPr>
        <w:tab/>
      </w:r>
      <w:r w:rsidRPr="00687B86">
        <w:rPr>
          <w:rFonts w:ascii="David" w:hAnsi="David"/>
          <w:rtl/>
        </w:rPr>
        <w:t>תיקון 140 (הוראת שעה) ל</w:t>
      </w:r>
      <w:hyperlink r:id="rId19" w:history="1">
        <w:r w:rsidR="00B558AC" w:rsidRPr="00B558AC">
          <w:rPr>
            <w:rFonts w:ascii="David" w:hAnsi="David"/>
            <w:color w:val="0000FF"/>
            <w:u w:val="single"/>
            <w:rtl/>
          </w:rPr>
          <w:t>חוק העונשין</w:t>
        </w:r>
      </w:hyperlink>
      <w:r w:rsidRPr="00687B86">
        <w:rPr>
          <w:rFonts w:ascii="David" w:hAnsi="David"/>
          <w:rtl/>
        </w:rPr>
        <w:t xml:space="preserve"> אמנם אינו חל בתיק זה אולם מן הראוי להביאו כדי להמחיש את עמדת המחוקק לעניין חומרת עבירות הנשק והצורך להחמיר בענישה ב</w:t>
      </w:r>
      <w:r>
        <w:rPr>
          <w:rFonts w:ascii="David" w:hAnsi="David" w:hint="cs"/>
          <w:rtl/>
        </w:rPr>
        <w:t>עבירות אלו</w:t>
      </w:r>
      <w:r w:rsidRPr="00687B86">
        <w:rPr>
          <w:rFonts w:ascii="David" w:hAnsi="David"/>
          <w:rtl/>
        </w:rPr>
        <w:t>.</w:t>
      </w:r>
      <w:r>
        <w:rPr>
          <w:rFonts w:ascii="David" w:hAnsi="David" w:hint="cs"/>
          <w:rtl/>
        </w:rPr>
        <w:t xml:space="preserve"> </w:t>
      </w:r>
      <w:r w:rsidRPr="00687B86">
        <w:rPr>
          <w:rFonts w:ascii="David" w:hAnsi="David"/>
          <w:rtl/>
        </w:rPr>
        <w:t>להלן קביעת המחוקק בתיקון הנ"ל</w:t>
      </w:r>
      <w:r>
        <w:rPr>
          <w:rFonts w:ascii="Arial" w:hAnsi="Arial" w:cs="Arial" w:hint="cs"/>
          <w:rtl/>
        </w:rPr>
        <w:t xml:space="preserve">: </w:t>
      </w:r>
      <w:r w:rsidRPr="00687B86">
        <w:rPr>
          <w:rFonts w:ascii="Miriam" w:hAnsi="Miriam" w:cs="Miriam"/>
          <w:rtl/>
        </w:rPr>
        <w:t>הורשע אדם בעבירה לפי סעיף קטן (א) רישה, (ב) רישה, (ב2) או (ב3) רישה,</w:t>
      </w:r>
      <w:r w:rsidRPr="0051686B">
        <w:rPr>
          <w:rFonts w:ascii="Miriam" w:hAnsi="Miriam" w:cs="Miriam"/>
          <w:b/>
          <w:bCs/>
          <w:rtl/>
        </w:rPr>
        <w:t xml:space="preserve"> לא יפחת עונשו מרבע העונש המרבי שנקבע לאותה עבירה</w:t>
      </w:r>
      <w:r w:rsidRPr="00687B86">
        <w:rPr>
          <w:rFonts w:ascii="Miriam" w:hAnsi="Miriam" w:cs="Miriam"/>
          <w:rtl/>
        </w:rPr>
        <w:t>, אלא אם כן החליט בית המשפט, מטעמים מיוחדים שיירשמו, להקל בעונשו; עונש מאסר לפי סעיף קטן זה לא יהיה, בהעדר טעמים מיוחדים, כולו על-תנאי</w:t>
      </w:r>
      <w:r>
        <w:rPr>
          <w:rFonts w:ascii="Miriam" w:hAnsi="Miriam" w:cs="Miriam" w:hint="cs"/>
          <w:rtl/>
        </w:rPr>
        <w:t xml:space="preserve"> </w:t>
      </w:r>
      <w:r w:rsidRPr="0051686B">
        <w:rPr>
          <w:rFonts w:ascii="David" w:hAnsi="David"/>
          <w:rtl/>
        </w:rPr>
        <w:t>(</w:t>
      </w:r>
      <w:r>
        <w:rPr>
          <w:rFonts w:ascii="David" w:hAnsi="David" w:hint="cs"/>
          <w:rtl/>
        </w:rPr>
        <w:t>ה</w:t>
      </w:r>
      <w:r w:rsidRPr="0051686B">
        <w:rPr>
          <w:rFonts w:ascii="David" w:hAnsi="David"/>
          <w:rtl/>
        </w:rPr>
        <w:t>הדגשה שלי-ר.ב.).</w:t>
      </w:r>
    </w:p>
    <w:p w14:paraId="676F2894" w14:textId="77777777" w:rsidR="004F0ABB" w:rsidRDefault="004F0ABB" w:rsidP="004F0ABB">
      <w:pPr>
        <w:spacing w:line="360" w:lineRule="auto"/>
        <w:rPr>
          <w:rFonts w:ascii="David" w:hAnsi="David"/>
          <w:rtl/>
        </w:rPr>
      </w:pPr>
    </w:p>
    <w:p w14:paraId="2E74A8EF" w14:textId="77777777" w:rsidR="004F0ABB" w:rsidRDefault="004F0ABB" w:rsidP="004F0ABB">
      <w:pPr>
        <w:spacing w:line="360" w:lineRule="auto"/>
        <w:jc w:val="both"/>
        <w:rPr>
          <w:rFonts w:ascii="David" w:hAnsi="David"/>
          <w:rtl/>
        </w:rPr>
      </w:pPr>
      <w:r>
        <w:rPr>
          <w:rFonts w:ascii="David" w:hAnsi="David" w:hint="cs"/>
          <w:rtl/>
        </w:rPr>
        <w:t xml:space="preserve">26. </w:t>
      </w:r>
      <w:r>
        <w:rPr>
          <w:rFonts w:ascii="David" w:hAnsi="David" w:hint="cs"/>
          <w:rtl/>
        </w:rPr>
        <w:tab/>
        <w:t xml:space="preserve">לאחר שבחנתי את הערכים החברתיים שנפגעו כתוצאה מביצוע העבירה,  את נסיבות ביצועה ואת מדיניות הענישה הנהוגה, הגעתי לכלל מסקנה, כי מתחם העונש ההולם בתיק זה נע בין  עונש של 15 חודשי מאסר בפועל לעונש של 30 חודשי מאסר בפועל, לצד רכיב ענישה של מאסר מותנה.   </w:t>
      </w:r>
    </w:p>
    <w:p w14:paraId="4C819345" w14:textId="77777777" w:rsidR="004F0ABB" w:rsidRDefault="004F0ABB" w:rsidP="004F0ABB">
      <w:pPr>
        <w:spacing w:line="360" w:lineRule="auto"/>
        <w:rPr>
          <w:rFonts w:ascii="David" w:hAnsi="David"/>
          <w:rtl/>
        </w:rPr>
      </w:pPr>
    </w:p>
    <w:p w14:paraId="21FB8B9F" w14:textId="77777777" w:rsidR="004F0ABB" w:rsidRDefault="004F0ABB" w:rsidP="004F0ABB">
      <w:pPr>
        <w:spacing w:line="360" w:lineRule="auto"/>
        <w:jc w:val="both"/>
        <w:rPr>
          <w:rFonts w:ascii="David" w:hAnsi="David"/>
          <w:rtl/>
        </w:rPr>
      </w:pPr>
      <w:r>
        <w:rPr>
          <w:rFonts w:ascii="David" w:hAnsi="David" w:hint="cs"/>
          <w:rtl/>
        </w:rPr>
        <w:t xml:space="preserve">27. </w:t>
      </w:r>
      <w:r>
        <w:rPr>
          <w:rFonts w:ascii="David" w:hAnsi="David" w:hint="cs"/>
          <w:rtl/>
        </w:rPr>
        <w:tab/>
        <w:t xml:space="preserve">במסגרת בחינת הנסיבות שאינן קשורות לביצוע העבירה, אציין לטובת הנאשם, את הודאתו בהזדמנות הראשונה בעובדות כתב האישום המתוקן אשר חסכה הן מזמנו היקר של בית המשפט והן  את העדת עדי התביעה.  עוד אציין כי הנאשם היה נתון במעצר  של ממש במשך תקופה של קצת יותר מחודשיים ולאחר מכן הושם במעצר באיזוק אלקטרוני למשך 11 חודשים ומזה תקופה ממושכת (מיום 14/6/21) מצוי הנאשם במעצר בית חלקי.  אציין עוד לקולה את נסיבותיו האישיות של הנאשם כפי שעולות מתסקירי שירות המבחן ומטיעוני הסנגור לעונש. </w:t>
      </w:r>
    </w:p>
    <w:p w14:paraId="4A28062A" w14:textId="77777777" w:rsidR="004F0ABB" w:rsidRDefault="004F0ABB" w:rsidP="004F0ABB">
      <w:pPr>
        <w:spacing w:line="360" w:lineRule="auto"/>
        <w:jc w:val="both"/>
        <w:rPr>
          <w:rFonts w:ascii="David" w:hAnsi="David"/>
          <w:rtl/>
        </w:rPr>
      </w:pPr>
    </w:p>
    <w:p w14:paraId="7C8143F5" w14:textId="77777777" w:rsidR="004F0ABB" w:rsidRDefault="004F0ABB" w:rsidP="004F0ABB">
      <w:pPr>
        <w:spacing w:line="360" w:lineRule="auto"/>
        <w:jc w:val="both"/>
        <w:rPr>
          <w:rFonts w:ascii="David" w:hAnsi="David"/>
          <w:rtl/>
        </w:rPr>
      </w:pPr>
      <w:r>
        <w:rPr>
          <w:rFonts w:ascii="David" w:hAnsi="David" w:hint="cs"/>
          <w:rtl/>
        </w:rPr>
        <w:t xml:space="preserve">28. </w:t>
      </w:r>
      <w:r>
        <w:rPr>
          <w:rFonts w:ascii="David" w:hAnsi="David" w:hint="cs"/>
          <w:rtl/>
        </w:rPr>
        <w:tab/>
        <w:t xml:space="preserve">לחובת הנאשם עבר פלילי אף כי לא ריצה עד כה מעולם מאסר מאחורי סורג ובריח.  בנוסף אין להתעלם מכך  ששירות המבחן התרשם כי הנאשם יצר קשר עמו אך מתוך אימת הדין ולא מתוך רצון אמיתי, ומשכך לא בא לגביו בהמלצה שיקומית.  </w:t>
      </w:r>
    </w:p>
    <w:p w14:paraId="061911E2" w14:textId="77777777" w:rsidR="004F0ABB" w:rsidRDefault="004F0ABB" w:rsidP="004F0ABB">
      <w:pPr>
        <w:spacing w:line="360" w:lineRule="auto"/>
        <w:jc w:val="both"/>
        <w:rPr>
          <w:rFonts w:ascii="David" w:hAnsi="David"/>
          <w:rtl/>
        </w:rPr>
      </w:pPr>
    </w:p>
    <w:p w14:paraId="0ACFB298" w14:textId="77777777" w:rsidR="004F0ABB" w:rsidRDefault="004F0ABB" w:rsidP="004F0ABB">
      <w:pPr>
        <w:spacing w:line="360" w:lineRule="auto"/>
        <w:jc w:val="both"/>
        <w:rPr>
          <w:rFonts w:ascii="David" w:hAnsi="David"/>
          <w:rtl/>
        </w:rPr>
      </w:pPr>
      <w:r>
        <w:rPr>
          <w:rFonts w:ascii="David" w:hAnsi="David" w:hint="cs"/>
          <w:rtl/>
        </w:rPr>
        <w:t xml:space="preserve">29. </w:t>
      </w:r>
      <w:r>
        <w:rPr>
          <w:rFonts w:ascii="David" w:hAnsi="David" w:hint="cs"/>
          <w:rtl/>
        </w:rPr>
        <w:tab/>
        <w:t xml:space="preserve">לאחר ששקלתי את מכלול הטעמים הנ"ל, אני משיתה על הנאשם את העונשים, כדלקמן: </w:t>
      </w:r>
    </w:p>
    <w:p w14:paraId="5D031A21" w14:textId="77777777" w:rsidR="004F0ABB" w:rsidRDefault="004F0ABB" w:rsidP="004F0ABB">
      <w:pPr>
        <w:spacing w:line="360" w:lineRule="auto"/>
        <w:jc w:val="both"/>
        <w:rPr>
          <w:rFonts w:ascii="David" w:hAnsi="David"/>
          <w:rtl/>
        </w:rPr>
      </w:pPr>
    </w:p>
    <w:p w14:paraId="5B0E4492" w14:textId="77777777" w:rsidR="004F0ABB" w:rsidRDefault="004F0ABB" w:rsidP="004F0ABB">
      <w:pPr>
        <w:pStyle w:val="a9"/>
        <w:numPr>
          <w:ilvl w:val="0"/>
          <w:numId w:val="2"/>
        </w:numPr>
        <w:spacing w:line="360" w:lineRule="auto"/>
        <w:jc w:val="both"/>
        <w:rPr>
          <w:rFonts w:ascii="David" w:hAnsi="David"/>
        </w:rPr>
      </w:pPr>
      <w:r w:rsidRPr="0086155D">
        <w:rPr>
          <w:rFonts w:ascii="David" w:hAnsi="David" w:hint="cs"/>
          <w:rtl/>
        </w:rPr>
        <w:t xml:space="preserve">מאסר בפועל לתקופה של 18 חודשים בניכוי ימי מעצרו - מיום 13/5/20 עד ליום 16/7/20. </w:t>
      </w:r>
    </w:p>
    <w:p w14:paraId="4D69740C" w14:textId="77777777" w:rsidR="004F0ABB" w:rsidRDefault="004F0ABB" w:rsidP="004F0ABB">
      <w:pPr>
        <w:pStyle w:val="a9"/>
        <w:spacing w:line="360" w:lineRule="auto"/>
        <w:ind w:left="1444"/>
        <w:jc w:val="both"/>
        <w:rPr>
          <w:rFonts w:ascii="David" w:hAnsi="David"/>
        </w:rPr>
      </w:pPr>
    </w:p>
    <w:p w14:paraId="6195D67C" w14:textId="77777777" w:rsidR="004F0ABB" w:rsidRDefault="004F0ABB" w:rsidP="004F0ABB">
      <w:pPr>
        <w:pStyle w:val="a9"/>
        <w:numPr>
          <w:ilvl w:val="0"/>
          <w:numId w:val="2"/>
        </w:numPr>
        <w:spacing w:line="360" w:lineRule="auto"/>
        <w:jc w:val="both"/>
        <w:rPr>
          <w:rFonts w:ascii="David" w:hAnsi="David"/>
        </w:rPr>
      </w:pPr>
      <w:r>
        <w:rPr>
          <w:rFonts w:ascii="David" w:hAnsi="David" w:hint="cs"/>
          <w:rtl/>
        </w:rPr>
        <w:t xml:space="preserve">מאסר על תנאי לתקופה של  12 חודשים למשך 3 שנים, והתנאי הוא לבל יעבור הנאשם עבירה מסוג פשע לפי </w:t>
      </w:r>
      <w:hyperlink r:id="rId20" w:history="1">
        <w:r w:rsidR="00935EE6" w:rsidRPr="00935EE6">
          <w:rPr>
            <w:rStyle w:val="Hyperlink"/>
            <w:rFonts w:ascii="David" w:hAnsi="David" w:hint="eastAsia"/>
            <w:rtl/>
          </w:rPr>
          <w:t>סעיף</w:t>
        </w:r>
        <w:r w:rsidR="00935EE6" w:rsidRPr="00935EE6">
          <w:rPr>
            <w:rStyle w:val="Hyperlink"/>
            <w:rFonts w:ascii="David" w:hAnsi="David"/>
            <w:rtl/>
          </w:rPr>
          <w:t xml:space="preserve"> 144</w:t>
        </w:r>
      </w:hyperlink>
      <w:r>
        <w:rPr>
          <w:rFonts w:ascii="David" w:hAnsi="David" w:hint="cs"/>
          <w:rtl/>
        </w:rPr>
        <w:t xml:space="preserve"> ל</w:t>
      </w:r>
      <w:hyperlink r:id="rId21" w:history="1">
        <w:r w:rsidR="00B558AC" w:rsidRPr="00B558AC">
          <w:rPr>
            <w:rFonts w:ascii="David" w:hAnsi="David"/>
            <w:color w:val="0000FF"/>
            <w:u w:val="single"/>
            <w:rtl/>
          </w:rPr>
          <w:t>חוק העונשין</w:t>
        </w:r>
      </w:hyperlink>
      <w:r>
        <w:rPr>
          <w:rFonts w:ascii="David" w:hAnsi="David" w:hint="cs"/>
          <w:rtl/>
        </w:rPr>
        <w:t xml:space="preserve">. </w:t>
      </w:r>
    </w:p>
    <w:p w14:paraId="4C5242FD" w14:textId="77777777" w:rsidR="004F0ABB" w:rsidRPr="009224A0" w:rsidRDefault="004F0ABB" w:rsidP="004F0ABB">
      <w:pPr>
        <w:spacing w:line="360" w:lineRule="auto"/>
        <w:jc w:val="both"/>
        <w:rPr>
          <w:rFonts w:ascii="David" w:hAnsi="David"/>
        </w:rPr>
      </w:pPr>
    </w:p>
    <w:p w14:paraId="0AE0CBFD" w14:textId="77777777" w:rsidR="004F0ABB" w:rsidRDefault="004F0ABB" w:rsidP="004F0ABB">
      <w:pPr>
        <w:pStyle w:val="a9"/>
        <w:numPr>
          <w:ilvl w:val="0"/>
          <w:numId w:val="2"/>
        </w:numPr>
        <w:spacing w:line="360" w:lineRule="auto"/>
        <w:jc w:val="both"/>
        <w:rPr>
          <w:rFonts w:ascii="David" w:hAnsi="David"/>
        </w:rPr>
      </w:pPr>
      <w:r>
        <w:rPr>
          <w:rFonts w:ascii="David" w:hAnsi="David" w:hint="cs"/>
          <w:rtl/>
        </w:rPr>
        <w:t xml:space="preserve">מאסר על תנאי לתקופה של  6 חודשים למשך 3 שנים, והתנאי הוא לבל יעבור הנאשם עבירה מסוג עוון לפי </w:t>
      </w:r>
      <w:hyperlink r:id="rId22" w:history="1">
        <w:r w:rsidR="00935EE6" w:rsidRPr="00935EE6">
          <w:rPr>
            <w:rStyle w:val="Hyperlink"/>
            <w:rFonts w:ascii="David" w:hAnsi="David" w:hint="eastAsia"/>
            <w:rtl/>
          </w:rPr>
          <w:t>סעיף</w:t>
        </w:r>
        <w:r w:rsidR="00935EE6" w:rsidRPr="00935EE6">
          <w:rPr>
            <w:rStyle w:val="Hyperlink"/>
            <w:rFonts w:ascii="David" w:hAnsi="David"/>
            <w:rtl/>
          </w:rPr>
          <w:t xml:space="preserve"> 144</w:t>
        </w:r>
      </w:hyperlink>
      <w:r>
        <w:rPr>
          <w:rFonts w:ascii="David" w:hAnsi="David" w:hint="cs"/>
          <w:rtl/>
        </w:rPr>
        <w:t xml:space="preserve"> ל</w:t>
      </w:r>
      <w:hyperlink r:id="rId23" w:history="1">
        <w:r w:rsidR="00B558AC" w:rsidRPr="00B558AC">
          <w:rPr>
            <w:rFonts w:ascii="David" w:hAnsi="David"/>
            <w:color w:val="0000FF"/>
            <w:u w:val="single"/>
            <w:rtl/>
          </w:rPr>
          <w:t>חוק העונשין</w:t>
        </w:r>
      </w:hyperlink>
      <w:r>
        <w:rPr>
          <w:rFonts w:ascii="David" w:hAnsi="David" w:hint="cs"/>
          <w:rtl/>
        </w:rPr>
        <w:t xml:space="preserve">. </w:t>
      </w:r>
    </w:p>
    <w:p w14:paraId="6CFE67D9" w14:textId="77777777" w:rsidR="004F0ABB" w:rsidRPr="0086155D" w:rsidRDefault="004F0ABB" w:rsidP="004F0ABB">
      <w:pPr>
        <w:pStyle w:val="a9"/>
        <w:spacing w:line="360" w:lineRule="auto"/>
        <w:ind w:left="1444"/>
        <w:jc w:val="both"/>
        <w:rPr>
          <w:rFonts w:ascii="David" w:hAnsi="David"/>
          <w:rtl/>
        </w:rPr>
      </w:pPr>
    </w:p>
    <w:p w14:paraId="76E2DFD9" w14:textId="77777777" w:rsidR="004F0ABB" w:rsidRDefault="00B558AC" w:rsidP="004F0ABB">
      <w:pPr>
        <w:spacing w:line="360" w:lineRule="auto"/>
        <w:jc w:val="both"/>
        <w:rPr>
          <w:rFonts w:ascii="David" w:hAnsi="David"/>
          <w:rtl/>
        </w:rPr>
      </w:pPr>
      <w:bookmarkStart w:id="7" w:name="Nitan"/>
      <w:r>
        <w:rPr>
          <w:rFonts w:ascii="David" w:hAnsi="David"/>
          <w:b/>
          <w:bCs/>
          <w:u w:val="single"/>
          <w:rtl/>
        </w:rPr>
        <w:t xml:space="preserve">זכות ערעור לבית המשפט העליון תוך 45 יום מהיום.  </w:t>
      </w:r>
      <w:bookmarkEnd w:id="7"/>
    </w:p>
    <w:p w14:paraId="78B276F3" w14:textId="77777777" w:rsidR="004F0ABB" w:rsidRDefault="00B558AC" w:rsidP="004F0ABB">
      <w:pPr>
        <w:spacing w:line="360" w:lineRule="auto"/>
        <w:jc w:val="both"/>
        <w:rPr>
          <w:rFonts w:ascii="David" w:hAnsi="David"/>
          <w:rtl/>
        </w:rPr>
      </w:pPr>
      <w:r w:rsidRPr="00B558AC">
        <w:rPr>
          <w:rFonts w:ascii="David" w:hAnsi="David"/>
          <w:color w:val="FFFFFF"/>
          <w:sz w:val="2"/>
          <w:szCs w:val="2"/>
          <w:rtl/>
        </w:rPr>
        <w:t>5129371</w:t>
      </w:r>
      <w:r w:rsidR="004F0ABB">
        <w:rPr>
          <w:rFonts w:ascii="David" w:hAnsi="David" w:hint="cs"/>
          <w:rtl/>
        </w:rPr>
        <w:t xml:space="preserve">המזכירות תמציא העתק גזר הדין לשירות המבחן. </w:t>
      </w:r>
    </w:p>
    <w:p w14:paraId="718A3080" w14:textId="77777777" w:rsidR="004F0ABB" w:rsidRPr="00B558AC" w:rsidRDefault="00B558AC" w:rsidP="004F0ABB">
      <w:pPr>
        <w:spacing w:line="360" w:lineRule="auto"/>
        <w:jc w:val="both"/>
        <w:rPr>
          <w:rFonts w:ascii="David" w:hAnsi="David"/>
          <w:color w:val="FFFFFF"/>
          <w:sz w:val="2"/>
          <w:szCs w:val="2"/>
          <w:rtl/>
        </w:rPr>
      </w:pPr>
      <w:r w:rsidRPr="00B558AC">
        <w:rPr>
          <w:rFonts w:ascii="David" w:hAnsi="David"/>
          <w:color w:val="FFFFFF"/>
          <w:sz w:val="2"/>
          <w:szCs w:val="2"/>
          <w:rtl/>
        </w:rPr>
        <w:t>54678313</w:t>
      </w:r>
    </w:p>
    <w:p w14:paraId="5D7391D0" w14:textId="77777777" w:rsidR="004F0ABB" w:rsidRPr="00D00149" w:rsidRDefault="00B558AC" w:rsidP="004F0ABB">
      <w:pPr>
        <w:spacing w:line="360" w:lineRule="auto"/>
        <w:jc w:val="both"/>
        <w:rPr>
          <w:rFonts w:ascii="David" w:hAnsi="David"/>
        </w:rPr>
      </w:pPr>
      <w:r>
        <w:rPr>
          <w:rFonts w:ascii="David" w:hAnsi="David"/>
          <w:rtl/>
        </w:rPr>
        <w:t xml:space="preserve">ניתן היום,  ה' חשוון תשפ"ג, במעמד בא כוח המאשימה עו"ד גויכמן, הנאשם ובא כוחו עו"ד מואסי </w:t>
      </w:r>
      <w:r w:rsidR="004F0ABB">
        <w:rPr>
          <w:rFonts w:ascii="David" w:hAnsi="David" w:hint="cs"/>
          <w:rtl/>
        </w:rPr>
        <w:t xml:space="preserve">(ממשרד עו"ד בויראת). </w:t>
      </w:r>
    </w:p>
    <w:p w14:paraId="35ADC762" w14:textId="77777777" w:rsidR="004F0ABB" w:rsidRPr="00D00149" w:rsidRDefault="004F0ABB" w:rsidP="004F0ABB">
      <w:pPr>
        <w:spacing w:line="360" w:lineRule="auto"/>
        <w:rPr>
          <w:rFonts w:ascii="David" w:hAnsi="David"/>
          <w:rtl/>
        </w:rPr>
      </w:pPr>
    </w:p>
    <w:p w14:paraId="66C6C6E0" w14:textId="77777777" w:rsidR="004F0ABB" w:rsidRPr="00D00149" w:rsidRDefault="004F0ABB" w:rsidP="00B558AC">
      <w:pPr>
        <w:spacing w:line="360" w:lineRule="auto"/>
        <w:jc w:val="center"/>
      </w:pPr>
      <w:r w:rsidRPr="00D00149">
        <w:rPr>
          <w:rFonts w:ascii="David" w:hAnsi="David"/>
          <w:rtl/>
        </w:rPr>
        <w:t xml:space="preserve">   </w:t>
      </w:r>
      <w:r w:rsidRPr="00D00149">
        <w:rPr>
          <w:rFonts w:ascii="David" w:hAnsi="David"/>
          <w:rtl/>
        </w:rPr>
        <w:tab/>
      </w:r>
      <w:r w:rsidRPr="00D00149">
        <w:rPr>
          <w:rFonts w:ascii="David" w:hAnsi="David"/>
          <w:rtl/>
        </w:rPr>
        <w:tab/>
      </w:r>
      <w:r w:rsidRPr="00D00149">
        <w:rPr>
          <w:rFonts w:ascii="David" w:hAnsi="David"/>
          <w:rtl/>
        </w:rPr>
        <w:tab/>
      </w:r>
      <w:r w:rsidRPr="00D00149">
        <w:rPr>
          <w:rFonts w:ascii="David" w:hAnsi="David"/>
          <w:rtl/>
        </w:rPr>
        <w:tab/>
      </w:r>
      <w:r w:rsidRPr="00D00149">
        <w:rPr>
          <w:rFonts w:ascii="David" w:hAnsi="David"/>
          <w:rtl/>
        </w:rPr>
        <w:tab/>
      </w:r>
    </w:p>
    <w:p w14:paraId="72C87C21" w14:textId="77777777" w:rsidR="004F0ABB" w:rsidRPr="00935EE6" w:rsidRDefault="00935EE6" w:rsidP="004F0ABB">
      <w:pPr>
        <w:spacing w:line="360" w:lineRule="auto"/>
        <w:jc w:val="center"/>
        <w:rPr>
          <w:rFonts w:ascii="David" w:hAnsi="David"/>
          <w:color w:val="FFFFFF"/>
          <w:sz w:val="2"/>
          <w:szCs w:val="2"/>
          <w:rtl/>
        </w:rPr>
      </w:pPr>
      <w:r w:rsidRPr="00935EE6">
        <w:rPr>
          <w:rFonts w:ascii="David" w:hAnsi="David"/>
          <w:color w:val="FFFFFF"/>
          <w:sz w:val="2"/>
          <w:szCs w:val="2"/>
          <w:rtl/>
        </w:rPr>
        <w:t>5129371</w:t>
      </w:r>
    </w:p>
    <w:p w14:paraId="104EE864" w14:textId="77777777" w:rsidR="003569B3" w:rsidRPr="00935EE6" w:rsidRDefault="00935EE6" w:rsidP="00B558AC">
      <w:pPr>
        <w:keepNext/>
        <w:rPr>
          <w:rFonts w:ascii="David" w:hAnsi="David"/>
          <w:color w:val="FFFFFF"/>
          <w:sz w:val="2"/>
          <w:szCs w:val="2"/>
          <w:rtl/>
        </w:rPr>
      </w:pPr>
      <w:r w:rsidRPr="00935EE6">
        <w:rPr>
          <w:rFonts w:ascii="David" w:hAnsi="David"/>
          <w:color w:val="FFFFFF"/>
          <w:sz w:val="2"/>
          <w:szCs w:val="2"/>
          <w:rtl/>
        </w:rPr>
        <w:t>54678313</w:t>
      </w:r>
    </w:p>
    <w:p w14:paraId="3E35F51B" w14:textId="77777777" w:rsidR="00B558AC" w:rsidRDefault="00B558AC" w:rsidP="00B558AC">
      <w:pPr>
        <w:rPr>
          <w:rtl/>
        </w:rPr>
      </w:pPr>
    </w:p>
    <w:p w14:paraId="3708F02A" w14:textId="77777777" w:rsidR="00B558AC" w:rsidRDefault="00B558AC" w:rsidP="00B558AC">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6CF24F8D" w14:textId="77777777" w:rsidR="00935EE6" w:rsidRPr="00935EE6" w:rsidRDefault="00935EE6" w:rsidP="00935EE6">
      <w:pPr>
        <w:keepNext/>
        <w:rPr>
          <w:rFonts w:ascii="David" w:hAnsi="David"/>
          <w:color w:val="000000"/>
          <w:sz w:val="22"/>
          <w:szCs w:val="22"/>
          <w:rtl/>
        </w:rPr>
      </w:pPr>
    </w:p>
    <w:p w14:paraId="26E2BB53" w14:textId="77777777" w:rsidR="00935EE6" w:rsidRPr="00935EE6" w:rsidRDefault="00935EE6" w:rsidP="00935EE6">
      <w:pPr>
        <w:keepNext/>
        <w:rPr>
          <w:rFonts w:ascii="David" w:hAnsi="David"/>
          <w:color w:val="000000"/>
          <w:sz w:val="22"/>
          <w:szCs w:val="22"/>
          <w:rtl/>
        </w:rPr>
      </w:pPr>
      <w:r w:rsidRPr="00935EE6">
        <w:rPr>
          <w:rFonts w:ascii="David" w:hAnsi="David"/>
          <w:color w:val="000000"/>
          <w:sz w:val="22"/>
          <w:szCs w:val="22"/>
          <w:rtl/>
        </w:rPr>
        <w:t>רונית בש 54678313-/</w:t>
      </w:r>
    </w:p>
    <w:p w14:paraId="63393698" w14:textId="77777777" w:rsidR="00B558AC" w:rsidRPr="00B558AC" w:rsidRDefault="00935EE6" w:rsidP="00935EE6">
      <w:pPr>
        <w:rPr>
          <w:color w:val="0000FF"/>
          <w:u w:val="single"/>
        </w:rPr>
      </w:pPr>
      <w:r w:rsidRPr="00935EE6">
        <w:rPr>
          <w:color w:val="000000"/>
          <w:u w:val="single"/>
          <w:rtl/>
        </w:rPr>
        <w:t>נוסח מסמך זה כפוף לשינויי ניסוח ועריכה</w:t>
      </w:r>
    </w:p>
    <w:sectPr w:rsidR="00B558AC" w:rsidRPr="00B558AC" w:rsidSect="00935EE6">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8D3FA" w14:textId="77777777" w:rsidR="003D2DB7" w:rsidRDefault="003D2DB7" w:rsidP="00406F83">
      <w:r>
        <w:separator/>
      </w:r>
    </w:p>
  </w:endnote>
  <w:endnote w:type="continuationSeparator" w:id="0">
    <w:p w14:paraId="272142A8" w14:textId="77777777" w:rsidR="003D2DB7" w:rsidRDefault="003D2DB7" w:rsidP="00406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467E4" w14:textId="77777777" w:rsidR="00935EE6" w:rsidRDefault="00935EE6" w:rsidP="00935EE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2B2748A" w14:textId="77777777" w:rsidR="00842DC0" w:rsidRPr="00935EE6" w:rsidRDefault="00935EE6" w:rsidP="00935EE6">
    <w:pPr>
      <w:pStyle w:val="a5"/>
      <w:pBdr>
        <w:top w:val="single" w:sz="4" w:space="1" w:color="auto"/>
        <w:between w:val="single" w:sz="4" w:space="0" w:color="auto"/>
      </w:pBdr>
      <w:spacing w:after="60"/>
      <w:jc w:val="center"/>
      <w:rPr>
        <w:rFonts w:ascii="FrankRuehl" w:hAnsi="FrankRuehl" w:cs="FrankRuehl"/>
        <w:color w:val="000000"/>
      </w:rPr>
    </w:pPr>
    <w:r w:rsidRPr="00935EE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55C07" w14:textId="77777777" w:rsidR="00935EE6" w:rsidRDefault="00935EE6" w:rsidP="00935EE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24867">
      <w:rPr>
        <w:rFonts w:ascii="FrankRuehl" w:hAnsi="FrankRuehl" w:cs="FrankRuehl"/>
        <w:noProof/>
        <w:rtl/>
      </w:rPr>
      <w:t>1</w:t>
    </w:r>
    <w:r>
      <w:rPr>
        <w:rFonts w:ascii="FrankRuehl" w:hAnsi="FrankRuehl" w:cs="FrankRuehl"/>
        <w:rtl/>
      </w:rPr>
      <w:fldChar w:fldCharType="end"/>
    </w:r>
  </w:p>
  <w:p w14:paraId="4F385F1F" w14:textId="77777777" w:rsidR="00842DC0" w:rsidRPr="00935EE6" w:rsidRDefault="00935EE6" w:rsidP="00935EE6">
    <w:pPr>
      <w:pStyle w:val="a5"/>
      <w:pBdr>
        <w:top w:val="single" w:sz="4" w:space="1" w:color="auto"/>
        <w:between w:val="single" w:sz="4" w:space="0" w:color="auto"/>
      </w:pBdr>
      <w:spacing w:after="60"/>
      <w:jc w:val="center"/>
      <w:rPr>
        <w:rFonts w:ascii="FrankRuehl" w:hAnsi="FrankRuehl" w:cs="FrankRuehl"/>
        <w:color w:val="000000"/>
      </w:rPr>
    </w:pPr>
    <w:r w:rsidRPr="00935EE6">
      <w:rPr>
        <w:rFonts w:ascii="FrankRuehl" w:hAnsi="FrankRuehl" w:cs="FrankRuehl"/>
        <w:color w:val="000000"/>
      </w:rPr>
      <w:pict w14:anchorId="005D13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A95CE" w14:textId="77777777" w:rsidR="003D2DB7" w:rsidRDefault="003D2DB7" w:rsidP="00406F83">
      <w:r>
        <w:separator/>
      </w:r>
    </w:p>
  </w:footnote>
  <w:footnote w:type="continuationSeparator" w:id="0">
    <w:p w14:paraId="429F1C42" w14:textId="77777777" w:rsidR="003D2DB7" w:rsidRDefault="003D2DB7" w:rsidP="00406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EF206" w14:textId="77777777" w:rsidR="00B558AC" w:rsidRPr="00935EE6" w:rsidRDefault="00935EE6" w:rsidP="00935EE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54083-05-20</w:t>
    </w:r>
    <w:r>
      <w:rPr>
        <w:rFonts w:ascii="David" w:hAnsi="David"/>
        <w:color w:val="000000"/>
        <w:sz w:val="22"/>
        <w:szCs w:val="22"/>
        <w:rtl/>
      </w:rPr>
      <w:tab/>
      <w:t xml:space="preserve"> מדינת ישראל נ' אליהו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BC680" w14:textId="77777777" w:rsidR="00B558AC" w:rsidRPr="00935EE6" w:rsidRDefault="00935EE6" w:rsidP="00935EE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54083-05-20</w:t>
    </w:r>
    <w:r>
      <w:rPr>
        <w:rFonts w:ascii="David" w:hAnsi="David"/>
        <w:color w:val="000000"/>
        <w:sz w:val="22"/>
        <w:szCs w:val="22"/>
        <w:rtl/>
      </w:rPr>
      <w:tab/>
      <w:t xml:space="preserve"> מדינת ישראל נ' אליהו לוי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1F1343"/>
    <w:multiLevelType w:val="hybridMultilevel"/>
    <w:tmpl w:val="DFE4D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62C1398"/>
    <w:multiLevelType w:val="hybridMultilevel"/>
    <w:tmpl w:val="DD02135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16cid:durableId="1178276175">
    <w:abstractNumId w:val="0"/>
  </w:num>
  <w:num w:numId="2" w16cid:durableId="766004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F0ABB"/>
    <w:rsid w:val="000B672B"/>
    <w:rsid w:val="000C72F0"/>
    <w:rsid w:val="001B5A3B"/>
    <w:rsid w:val="002D026D"/>
    <w:rsid w:val="003569B3"/>
    <w:rsid w:val="003D2DB7"/>
    <w:rsid w:val="00404516"/>
    <w:rsid w:val="00406F83"/>
    <w:rsid w:val="004E7804"/>
    <w:rsid w:val="004F0ABB"/>
    <w:rsid w:val="00842DC0"/>
    <w:rsid w:val="00935EE6"/>
    <w:rsid w:val="00B558AC"/>
    <w:rsid w:val="00C831F1"/>
    <w:rsid w:val="00D24867"/>
    <w:rsid w:val="00DC60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257733"/>
  <w15:chartTrackingRefBased/>
  <w15:docId w15:val="{862B91E0-5883-42BE-99B2-2A05CF3F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F0AB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F0ABB"/>
    <w:pPr>
      <w:tabs>
        <w:tab w:val="center" w:pos="4153"/>
        <w:tab w:val="right" w:pos="8306"/>
      </w:tabs>
    </w:pPr>
  </w:style>
  <w:style w:type="character" w:customStyle="1" w:styleId="a4">
    <w:name w:val="כותרת עליונה תו"/>
    <w:link w:val="a3"/>
    <w:rsid w:val="004F0ABB"/>
    <w:rPr>
      <w:rFonts w:ascii="Times New Roman" w:eastAsia="Times New Roman" w:hAnsi="Times New Roman" w:cs="David"/>
      <w:sz w:val="24"/>
      <w:szCs w:val="24"/>
    </w:rPr>
  </w:style>
  <w:style w:type="paragraph" w:styleId="a5">
    <w:name w:val="footer"/>
    <w:basedOn w:val="a"/>
    <w:link w:val="a6"/>
    <w:rsid w:val="004F0ABB"/>
    <w:pPr>
      <w:tabs>
        <w:tab w:val="center" w:pos="4153"/>
        <w:tab w:val="right" w:pos="8306"/>
      </w:tabs>
    </w:pPr>
  </w:style>
  <w:style w:type="character" w:customStyle="1" w:styleId="a6">
    <w:name w:val="כותרת תחתונה תו"/>
    <w:link w:val="a5"/>
    <w:rsid w:val="004F0ABB"/>
    <w:rPr>
      <w:rFonts w:ascii="Times New Roman" w:eastAsia="Times New Roman" w:hAnsi="Times New Roman" w:cs="David"/>
      <w:sz w:val="24"/>
      <w:szCs w:val="24"/>
    </w:rPr>
  </w:style>
  <w:style w:type="table" w:styleId="a7">
    <w:name w:val="Table Grid"/>
    <w:basedOn w:val="a1"/>
    <w:rsid w:val="004F0AB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F0ABB"/>
  </w:style>
  <w:style w:type="character" w:styleId="Hyperlink">
    <w:name w:val="Hyperlink"/>
    <w:rsid w:val="004F0ABB"/>
    <w:rPr>
      <w:color w:val="0000FF"/>
      <w:u w:val="single"/>
    </w:rPr>
  </w:style>
  <w:style w:type="paragraph" w:customStyle="1" w:styleId="listparagraph">
    <w:name w:val="listparagraph"/>
    <w:basedOn w:val="a"/>
    <w:rsid w:val="004F0ABB"/>
    <w:pPr>
      <w:bidi w:val="0"/>
      <w:spacing w:before="100" w:beforeAutospacing="1" w:after="100" w:afterAutospacing="1"/>
    </w:pPr>
    <w:rPr>
      <w:rFonts w:cs="Times New Roman"/>
    </w:rPr>
  </w:style>
  <w:style w:type="paragraph" w:styleId="a9">
    <w:name w:val="List Paragraph"/>
    <w:basedOn w:val="a"/>
    <w:qFormat/>
    <w:rsid w:val="004F0ABB"/>
    <w:pPr>
      <w:ind w:left="720"/>
      <w:contextualSpacing/>
    </w:pPr>
  </w:style>
  <w:style w:type="character" w:customStyle="1" w:styleId="Ruller4">
    <w:name w:val="Ruller4 תו"/>
    <w:link w:val="Ruller40"/>
    <w:locked/>
    <w:rsid w:val="004F0ABB"/>
    <w:rPr>
      <w:rFonts w:ascii="Arial TUR" w:hAnsi="Arial TUR" w:cs="FrankRuehl"/>
      <w:spacing w:val="10"/>
      <w:szCs w:val="28"/>
    </w:rPr>
  </w:style>
  <w:style w:type="paragraph" w:customStyle="1" w:styleId="Ruller40">
    <w:name w:val="Ruller4"/>
    <w:basedOn w:val="a"/>
    <w:link w:val="Ruller4"/>
    <w:rsid w:val="004F0ABB"/>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 TargetMode="External"/><Relationship Id="rId13" Type="http://schemas.openxmlformats.org/officeDocument/2006/relationships/hyperlink" Target="http://www.nevo.co.il/case/28513828" TargetMode="External"/><Relationship Id="rId18" Type="http://schemas.openxmlformats.org/officeDocument/2006/relationships/hyperlink" Target="http://www.nevo.co.il/case/25612982"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12" Type="http://schemas.openxmlformats.org/officeDocument/2006/relationships/hyperlink" Target="http://www.nevo.co.il/case/5601503" TargetMode="External"/><Relationship Id="rId17" Type="http://schemas.openxmlformats.org/officeDocument/2006/relationships/hyperlink" Target="http://www.nevo.co.il/case/22137915"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22006503" TargetMode="External"/><Relationship Id="rId20" Type="http://schemas.openxmlformats.org/officeDocument/2006/relationships/hyperlink" Target="http://www.nevo.co.il/law/70301/144"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case/16913730" TargetMode="External"/><Relationship Id="rId23" Type="http://schemas.openxmlformats.org/officeDocument/2006/relationships/hyperlink" Target="http://www.nevo.co.il/law/70301" TargetMode="External"/><Relationship Id="rId28" Type="http://schemas.openxmlformats.org/officeDocument/2006/relationships/footer" Target="footer2.xml"/><Relationship Id="rId10" Type="http://schemas.openxmlformats.org/officeDocument/2006/relationships/hyperlink" Target="http://www.nevo.co.il/law/70301/144.b" TargetMode="Externa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5878682" TargetMode="External"/><Relationship Id="rId22" Type="http://schemas.openxmlformats.org/officeDocument/2006/relationships/hyperlink" Target="http://www.nevo.co.il/law/70301/144"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2388</Words>
  <Characters>11943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14303</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7995492</vt:i4>
      </vt:variant>
      <vt:variant>
        <vt:i4>48</vt:i4>
      </vt:variant>
      <vt:variant>
        <vt:i4>0</vt:i4>
      </vt:variant>
      <vt:variant>
        <vt:i4>5</vt:i4>
      </vt:variant>
      <vt:variant>
        <vt:lpwstr>http://www.nevo.co.il/law/70301</vt:lpwstr>
      </vt:variant>
      <vt:variant>
        <vt:lpwstr/>
      </vt:variant>
      <vt:variant>
        <vt:i4>6357092</vt:i4>
      </vt:variant>
      <vt:variant>
        <vt:i4>45</vt:i4>
      </vt:variant>
      <vt:variant>
        <vt:i4>0</vt:i4>
      </vt:variant>
      <vt:variant>
        <vt:i4>5</vt:i4>
      </vt:variant>
      <vt:variant>
        <vt:lpwstr>http://www.nevo.co.il/law/70301/144</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6357092</vt:i4>
      </vt:variant>
      <vt:variant>
        <vt:i4>39</vt:i4>
      </vt:variant>
      <vt:variant>
        <vt:i4>0</vt:i4>
      </vt:variant>
      <vt:variant>
        <vt:i4>5</vt:i4>
      </vt:variant>
      <vt:variant>
        <vt:lpwstr>http://www.nevo.co.il/law/70301/144</vt:lpwstr>
      </vt:variant>
      <vt:variant>
        <vt:lpwstr/>
      </vt:variant>
      <vt:variant>
        <vt:i4>7995492</vt:i4>
      </vt:variant>
      <vt:variant>
        <vt:i4>36</vt:i4>
      </vt:variant>
      <vt:variant>
        <vt:i4>0</vt:i4>
      </vt:variant>
      <vt:variant>
        <vt:i4>5</vt:i4>
      </vt:variant>
      <vt:variant>
        <vt:lpwstr>http://www.nevo.co.il/law/70301</vt:lpwstr>
      </vt:variant>
      <vt:variant>
        <vt:lpwstr/>
      </vt:variant>
      <vt:variant>
        <vt:i4>4063353</vt:i4>
      </vt:variant>
      <vt:variant>
        <vt:i4>33</vt:i4>
      </vt:variant>
      <vt:variant>
        <vt:i4>0</vt:i4>
      </vt:variant>
      <vt:variant>
        <vt:i4>5</vt:i4>
      </vt:variant>
      <vt:variant>
        <vt:lpwstr>http://www.nevo.co.il/case/25612982</vt:lpwstr>
      </vt:variant>
      <vt:variant>
        <vt:lpwstr/>
      </vt:variant>
      <vt:variant>
        <vt:i4>3473532</vt:i4>
      </vt:variant>
      <vt:variant>
        <vt:i4>30</vt:i4>
      </vt:variant>
      <vt:variant>
        <vt:i4>0</vt:i4>
      </vt:variant>
      <vt:variant>
        <vt:i4>5</vt:i4>
      </vt:variant>
      <vt:variant>
        <vt:lpwstr>http://www.nevo.co.il/case/22137915</vt:lpwstr>
      </vt:variant>
      <vt:variant>
        <vt:lpwstr/>
      </vt:variant>
      <vt:variant>
        <vt:i4>3407987</vt:i4>
      </vt:variant>
      <vt:variant>
        <vt:i4>27</vt:i4>
      </vt:variant>
      <vt:variant>
        <vt:i4>0</vt:i4>
      </vt:variant>
      <vt:variant>
        <vt:i4>5</vt:i4>
      </vt:variant>
      <vt:variant>
        <vt:lpwstr>http://www.nevo.co.il/case/22006503</vt:lpwstr>
      </vt:variant>
      <vt:variant>
        <vt:lpwstr/>
      </vt:variant>
      <vt:variant>
        <vt:i4>3670132</vt:i4>
      </vt:variant>
      <vt:variant>
        <vt:i4>24</vt:i4>
      </vt:variant>
      <vt:variant>
        <vt:i4>0</vt:i4>
      </vt:variant>
      <vt:variant>
        <vt:i4>5</vt:i4>
      </vt:variant>
      <vt:variant>
        <vt:lpwstr>http://www.nevo.co.il/case/16913730</vt:lpwstr>
      </vt:variant>
      <vt:variant>
        <vt:lpwstr/>
      </vt:variant>
      <vt:variant>
        <vt:i4>3539068</vt:i4>
      </vt:variant>
      <vt:variant>
        <vt:i4>21</vt:i4>
      </vt:variant>
      <vt:variant>
        <vt:i4>0</vt:i4>
      </vt:variant>
      <vt:variant>
        <vt:i4>5</vt:i4>
      </vt:variant>
      <vt:variant>
        <vt:lpwstr>http://www.nevo.co.il/case/5878682</vt:lpwstr>
      </vt:variant>
      <vt:variant>
        <vt:lpwstr/>
      </vt:variant>
      <vt:variant>
        <vt:i4>3539061</vt:i4>
      </vt:variant>
      <vt:variant>
        <vt:i4>18</vt:i4>
      </vt:variant>
      <vt:variant>
        <vt:i4>0</vt:i4>
      </vt:variant>
      <vt:variant>
        <vt:i4>5</vt:i4>
      </vt:variant>
      <vt:variant>
        <vt:lpwstr>http://www.nevo.co.il/case/28513828</vt:lpwstr>
      </vt:variant>
      <vt:variant>
        <vt:lpwstr/>
      </vt:variant>
      <vt:variant>
        <vt:i4>3342451</vt:i4>
      </vt:variant>
      <vt:variant>
        <vt:i4>15</vt:i4>
      </vt:variant>
      <vt:variant>
        <vt:i4>0</vt:i4>
      </vt:variant>
      <vt:variant>
        <vt:i4>5</vt:i4>
      </vt:variant>
      <vt:variant>
        <vt:lpwstr>http://www.nevo.co.il/case/5601503</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2025-01-19T16:33:00Z</dcterms:created>
  <dcterms:modified xsi:type="dcterms:W3CDTF">2025-01-19T16:33:00Z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54083</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אליהו לוי</vt:lpwstr>
  </property>
  <property fmtid="{D5CDD505-2E9C-101B-9397-08002B2CF9AE}" pid="10" name="JUDGE">
    <vt:lpwstr>רונית בש</vt:lpwstr>
  </property>
  <property fmtid="{D5CDD505-2E9C-101B-9397-08002B2CF9AE}" pid="11" name="CITY">
    <vt:lpwstr>חי'</vt:lpwstr>
  </property>
  <property fmtid="{D5CDD505-2E9C-101B-9397-08002B2CF9AE}" pid="12" name="TYPE_N_DATE">
    <vt:lpwstr>39020221030</vt:lpwstr>
  </property>
  <property fmtid="{D5CDD505-2E9C-101B-9397-08002B2CF9AE}" pid="13" name="WORDNUMPAGES">
    <vt:lpwstr>8</vt:lpwstr>
  </property>
  <property fmtid="{D5CDD505-2E9C-101B-9397-08002B2CF9AE}" pid="14" name="LAWYER">
    <vt:lpwstr/>
  </property>
  <property fmtid="{D5CDD505-2E9C-101B-9397-08002B2CF9AE}" pid="15" name="APPELLANT1">
    <vt:lpwstr/>
  </property>
  <property fmtid="{D5CDD505-2E9C-101B-9397-08002B2CF9AE}" pid="16" name="APPELLANT2">
    <vt:lpwstr/>
  </property>
  <property fmtid="{D5CDD505-2E9C-101B-9397-08002B2CF9AE}" pid="17" name="APPELLEE1">
    <vt:lpwstr/>
  </property>
  <property fmtid="{D5CDD505-2E9C-101B-9397-08002B2CF9AE}" pid="18" name="APPELLEE2">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DATE">
    <vt:lpwstr>20221030</vt:lpwstr>
  </property>
  <property fmtid="{D5CDD505-2E9C-101B-9397-08002B2CF9AE}" pid="33" name="TYPE_ABS_DATE">
    <vt:lpwstr>390020221030</vt:lpwstr>
  </property>
  <property fmtid="{D5CDD505-2E9C-101B-9397-08002B2CF9AE}" pid="34" name="ISABSTRACT">
    <vt:lpwstr>Y</vt:lpwstr>
  </property>
  <property fmtid="{D5CDD505-2E9C-101B-9397-08002B2CF9AE}" pid="35" name="CASESLISTTMP1">
    <vt:lpwstr>5601503;28513828;5878682;16913730;22006503;22137915;25612982</vt:lpwstr>
  </property>
  <property fmtid="{D5CDD505-2E9C-101B-9397-08002B2CF9AE}" pid="36" name="LAWLISTTMP1">
    <vt:lpwstr>70301/144.b;144:2</vt:lpwstr>
  </property>
</Properties>
</file>