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16AAC" w:rsidRPr="00135FE7" w14:paraId="4FFC25F4" w14:textId="77777777" w:rsidTr="001265BB">
        <w:trPr>
          <w:trHeight w:hRule="exact" w:val="418"/>
          <w:jc w:val="center"/>
        </w:trPr>
        <w:tc>
          <w:tcPr>
            <w:tcW w:w="8721" w:type="dxa"/>
            <w:gridSpan w:val="2"/>
          </w:tcPr>
          <w:p w14:paraId="0768867D" w14:textId="77777777" w:rsidR="00F16AAC" w:rsidRPr="00135FE7" w:rsidRDefault="00F16AAC" w:rsidP="001D57B2">
            <w:pPr>
              <w:pStyle w:val="a3"/>
              <w:jc w:val="center"/>
              <w:rPr>
                <w:rFonts w:ascii="Tahoma" w:hAnsi="Tahoma" w:cs="Tahoma"/>
                <w:color w:val="000080"/>
                <w:rtl/>
              </w:rPr>
            </w:pPr>
            <w:bookmarkStart w:id="0" w:name="LastJudge"/>
            <w:r w:rsidRPr="00135FE7">
              <w:rPr>
                <w:rFonts w:ascii="Tahoma" w:hAnsi="Tahoma" w:cs="Tahoma"/>
                <w:b/>
                <w:bCs/>
                <w:color w:val="000080"/>
                <w:rtl/>
              </w:rPr>
              <w:t>בית המשפט המחוזי בירושלים</w:t>
            </w:r>
          </w:p>
        </w:tc>
      </w:tr>
      <w:tr w:rsidR="00F16AAC" w:rsidRPr="00135FE7" w14:paraId="54AD04AB" w14:textId="77777777" w:rsidTr="001265BB">
        <w:trPr>
          <w:trHeight w:val="337"/>
          <w:jc w:val="center"/>
        </w:trPr>
        <w:tc>
          <w:tcPr>
            <w:tcW w:w="5055" w:type="dxa"/>
          </w:tcPr>
          <w:p w14:paraId="1748D27E" w14:textId="77777777" w:rsidR="00F16AAC" w:rsidRPr="00135FE7" w:rsidRDefault="00F16AAC" w:rsidP="001D57B2">
            <w:pPr>
              <w:rPr>
                <w:rFonts w:ascii="David" w:hAnsi="David"/>
                <w:sz w:val="28"/>
                <w:szCs w:val="28"/>
                <w:rtl/>
              </w:rPr>
            </w:pPr>
            <w:r w:rsidRPr="00135FE7">
              <w:rPr>
                <w:rFonts w:ascii="David" w:hAnsi="David"/>
                <w:sz w:val="28"/>
                <w:szCs w:val="28"/>
                <w:rtl/>
              </w:rPr>
              <w:t>ת"פ 57996-05-20 מדינת ישראל נ' אבו גרבייה</w:t>
            </w:r>
          </w:p>
          <w:p w14:paraId="5FBFDEDF" w14:textId="77777777" w:rsidR="00F16AAC" w:rsidRPr="00135FE7" w:rsidRDefault="00F16AAC" w:rsidP="001D57B2">
            <w:pPr>
              <w:pStyle w:val="a3"/>
              <w:rPr>
                <w:rFonts w:ascii="David" w:hAnsi="David"/>
                <w:sz w:val="12"/>
                <w:szCs w:val="12"/>
                <w:rtl/>
              </w:rPr>
            </w:pPr>
          </w:p>
        </w:tc>
        <w:tc>
          <w:tcPr>
            <w:tcW w:w="3666" w:type="dxa"/>
          </w:tcPr>
          <w:p w14:paraId="5ED60C91" w14:textId="77777777" w:rsidR="00F16AAC" w:rsidRPr="00135FE7" w:rsidRDefault="00F16AAC" w:rsidP="001D57B2">
            <w:pPr>
              <w:pStyle w:val="a3"/>
              <w:jc w:val="right"/>
              <w:rPr>
                <w:rFonts w:cs="FrankRuehl"/>
                <w:sz w:val="28"/>
                <w:szCs w:val="28"/>
                <w:rtl/>
              </w:rPr>
            </w:pPr>
          </w:p>
        </w:tc>
      </w:tr>
    </w:tbl>
    <w:p w14:paraId="0C9906D7" w14:textId="77777777" w:rsidR="00F16AAC" w:rsidRPr="00135FE7" w:rsidRDefault="00F16AAC" w:rsidP="00F16AAC">
      <w:pPr>
        <w:pStyle w:val="a3"/>
        <w:rPr>
          <w:sz w:val="2"/>
          <w:szCs w:val="2"/>
          <w:rtl/>
        </w:rPr>
      </w:pPr>
    </w:p>
    <w:p w14:paraId="65A81D1A" w14:textId="77777777" w:rsidR="00F16AAC" w:rsidRPr="00135FE7" w:rsidRDefault="00F16AAC" w:rsidP="00F16AAC">
      <w:pPr>
        <w:rPr>
          <w:sz w:val="12"/>
          <w:szCs w:val="12"/>
          <w:rtl/>
        </w:rPr>
      </w:pPr>
    </w:p>
    <w:p w14:paraId="7D7154B8" w14:textId="77777777" w:rsidR="00F16AAC" w:rsidRPr="00135FE7" w:rsidRDefault="00F16AAC" w:rsidP="00F16AAC">
      <w:pPr>
        <w:rPr>
          <w:sz w:val="12"/>
          <w:szCs w:val="1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69"/>
        <w:gridCol w:w="283"/>
        <w:gridCol w:w="3119"/>
      </w:tblGrid>
      <w:tr w:rsidR="00F16AAC" w:rsidRPr="00135FE7" w14:paraId="6FD4386B" w14:textId="77777777" w:rsidTr="00F16AAC">
        <w:trPr>
          <w:trHeight w:val="295"/>
          <w:jc w:val="center"/>
        </w:trPr>
        <w:tc>
          <w:tcPr>
            <w:tcW w:w="923" w:type="dxa"/>
            <w:tcBorders>
              <w:top w:val="nil"/>
              <w:left w:val="nil"/>
              <w:bottom w:val="nil"/>
              <w:right w:val="nil"/>
            </w:tcBorders>
            <w:shd w:val="clear" w:color="auto" w:fill="auto"/>
          </w:tcPr>
          <w:p w14:paraId="7FCC14B8" w14:textId="77777777" w:rsidR="00F16AAC" w:rsidRPr="00135FE7" w:rsidRDefault="00F16AAC" w:rsidP="00F16AAC">
            <w:pPr>
              <w:jc w:val="both"/>
              <w:rPr>
                <w:rFonts w:ascii="David" w:hAnsi="David"/>
                <w:b/>
                <w:bCs/>
                <w:sz w:val="26"/>
                <w:szCs w:val="26"/>
              </w:rPr>
            </w:pPr>
            <w:r w:rsidRPr="00135FE7">
              <w:rPr>
                <w:rFonts w:ascii="David" w:hAnsi="David"/>
                <w:b/>
                <w:bCs/>
                <w:sz w:val="26"/>
                <w:szCs w:val="26"/>
                <w:rtl/>
              </w:rPr>
              <w:t xml:space="preserve">לפני </w:t>
            </w:r>
          </w:p>
        </w:tc>
        <w:tc>
          <w:tcPr>
            <w:tcW w:w="7897" w:type="dxa"/>
            <w:gridSpan w:val="4"/>
            <w:tcBorders>
              <w:top w:val="nil"/>
              <w:left w:val="nil"/>
              <w:bottom w:val="nil"/>
              <w:right w:val="nil"/>
            </w:tcBorders>
            <w:shd w:val="clear" w:color="auto" w:fill="auto"/>
          </w:tcPr>
          <w:p w14:paraId="5343DD0A" w14:textId="77777777" w:rsidR="00F16AAC" w:rsidRPr="00135FE7" w:rsidRDefault="00F16AAC" w:rsidP="001D57B2">
            <w:pPr>
              <w:rPr>
                <w:rFonts w:ascii="David" w:hAnsi="David"/>
                <w:b/>
                <w:bCs/>
                <w:sz w:val="26"/>
                <w:szCs w:val="26"/>
                <w:rtl/>
              </w:rPr>
            </w:pPr>
            <w:r w:rsidRPr="00135FE7">
              <w:rPr>
                <w:rFonts w:ascii="David" w:hAnsi="David"/>
                <w:b/>
                <w:bCs/>
                <w:sz w:val="26"/>
                <w:szCs w:val="26"/>
                <w:rtl/>
              </w:rPr>
              <w:t>כבוד השופטת  חנה מרים לומפ</w:t>
            </w:r>
          </w:p>
          <w:p w14:paraId="6D83AEC2" w14:textId="77777777" w:rsidR="00F16AAC" w:rsidRPr="00135FE7" w:rsidRDefault="00F16AAC" w:rsidP="00F16AAC">
            <w:pPr>
              <w:jc w:val="both"/>
              <w:rPr>
                <w:rFonts w:ascii="David" w:hAnsi="David"/>
                <w:b/>
                <w:bCs/>
                <w:sz w:val="26"/>
                <w:szCs w:val="26"/>
              </w:rPr>
            </w:pPr>
          </w:p>
        </w:tc>
      </w:tr>
      <w:tr w:rsidR="00F16AAC" w:rsidRPr="00135FE7" w14:paraId="10666557" w14:textId="77777777" w:rsidTr="00F16AAC">
        <w:trPr>
          <w:trHeight w:val="355"/>
          <w:jc w:val="center"/>
        </w:trPr>
        <w:tc>
          <w:tcPr>
            <w:tcW w:w="923" w:type="dxa"/>
            <w:tcBorders>
              <w:top w:val="nil"/>
              <w:left w:val="nil"/>
              <w:bottom w:val="nil"/>
              <w:right w:val="nil"/>
            </w:tcBorders>
            <w:shd w:val="clear" w:color="auto" w:fill="auto"/>
          </w:tcPr>
          <w:p w14:paraId="3B854919" w14:textId="77777777" w:rsidR="00F16AAC" w:rsidRPr="00135FE7" w:rsidRDefault="00F16AAC" w:rsidP="00F16AAC">
            <w:pPr>
              <w:jc w:val="both"/>
              <w:rPr>
                <w:rFonts w:ascii="David" w:hAnsi="David"/>
                <w:b/>
                <w:bCs/>
                <w:sz w:val="26"/>
                <w:szCs w:val="26"/>
                <w:rtl/>
              </w:rPr>
            </w:pPr>
            <w:bookmarkStart w:id="1" w:name="FirstAppellant"/>
          </w:p>
          <w:p w14:paraId="0352110A" w14:textId="77777777" w:rsidR="00F16AAC" w:rsidRPr="00135FE7" w:rsidRDefault="00F16AAC" w:rsidP="00F16AAC">
            <w:pPr>
              <w:jc w:val="both"/>
              <w:rPr>
                <w:rFonts w:ascii="David" w:hAnsi="David"/>
                <w:b/>
                <w:bCs/>
                <w:sz w:val="26"/>
                <w:szCs w:val="26"/>
              </w:rPr>
            </w:pPr>
            <w:r w:rsidRPr="00135FE7">
              <w:rPr>
                <w:rFonts w:ascii="David" w:hAnsi="David"/>
                <w:b/>
                <w:bCs/>
                <w:sz w:val="26"/>
                <w:szCs w:val="26"/>
                <w:rtl/>
              </w:rPr>
              <w:t>בעניין:</w:t>
            </w:r>
          </w:p>
        </w:tc>
        <w:tc>
          <w:tcPr>
            <w:tcW w:w="4778" w:type="dxa"/>
            <w:gridSpan w:val="3"/>
            <w:tcBorders>
              <w:top w:val="nil"/>
              <w:left w:val="nil"/>
              <w:bottom w:val="nil"/>
              <w:right w:val="nil"/>
            </w:tcBorders>
            <w:shd w:val="clear" w:color="auto" w:fill="auto"/>
          </w:tcPr>
          <w:p w14:paraId="7E644EA6" w14:textId="77777777" w:rsidR="00F16AAC" w:rsidRPr="00135FE7" w:rsidRDefault="00F16AAC" w:rsidP="001D57B2">
            <w:pPr>
              <w:rPr>
                <w:rFonts w:ascii="David" w:hAnsi="David"/>
                <w:b/>
                <w:bCs/>
                <w:sz w:val="26"/>
                <w:szCs w:val="26"/>
              </w:rPr>
            </w:pPr>
            <w:r w:rsidRPr="00135FE7">
              <w:rPr>
                <w:rFonts w:ascii="David" w:hAnsi="David"/>
                <w:b/>
                <w:bCs/>
                <w:sz w:val="26"/>
                <w:szCs w:val="26"/>
                <w:rtl/>
              </w:rPr>
              <w:br/>
              <w:t>מדינת ישראל</w:t>
            </w:r>
          </w:p>
        </w:tc>
        <w:tc>
          <w:tcPr>
            <w:tcW w:w="3119" w:type="dxa"/>
            <w:tcBorders>
              <w:top w:val="nil"/>
              <w:left w:val="nil"/>
              <w:bottom w:val="nil"/>
              <w:right w:val="nil"/>
            </w:tcBorders>
            <w:shd w:val="clear" w:color="auto" w:fill="auto"/>
          </w:tcPr>
          <w:p w14:paraId="692A21FA" w14:textId="77777777" w:rsidR="00F16AAC" w:rsidRPr="00135FE7" w:rsidRDefault="00F16AAC" w:rsidP="00F16AAC">
            <w:pPr>
              <w:jc w:val="both"/>
              <w:rPr>
                <w:rFonts w:ascii="David" w:hAnsi="David"/>
                <w:b/>
                <w:bCs/>
                <w:sz w:val="26"/>
                <w:szCs w:val="26"/>
              </w:rPr>
            </w:pPr>
          </w:p>
        </w:tc>
      </w:tr>
      <w:tr w:rsidR="00F16AAC" w:rsidRPr="00135FE7" w14:paraId="1954DBD3" w14:textId="77777777" w:rsidTr="00F16AAC">
        <w:trPr>
          <w:trHeight w:val="355"/>
          <w:jc w:val="center"/>
        </w:trPr>
        <w:tc>
          <w:tcPr>
            <w:tcW w:w="923" w:type="dxa"/>
            <w:tcBorders>
              <w:top w:val="nil"/>
              <w:left w:val="nil"/>
              <w:bottom w:val="nil"/>
              <w:right w:val="nil"/>
            </w:tcBorders>
            <w:shd w:val="clear" w:color="auto" w:fill="auto"/>
          </w:tcPr>
          <w:p w14:paraId="434A7533" w14:textId="77777777" w:rsidR="00F16AAC" w:rsidRPr="00135FE7" w:rsidRDefault="00F16AAC" w:rsidP="00F16AAC">
            <w:pPr>
              <w:jc w:val="both"/>
              <w:rPr>
                <w:rFonts w:ascii="David" w:hAnsi="David"/>
                <w:b/>
                <w:bCs/>
                <w:sz w:val="26"/>
                <w:szCs w:val="26"/>
                <w:rtl/>
              </w:rPr>
            </w:pPr>
            <w:bookmarkStart w:id="2" w:name="FirstLawyer"/>
            <w:bookmarkEnd w:id="1"/>
          </w:p>
        </w:tc>
        <w:tc>
          <w:tcPr>
            <w:tcW w:w="4495" w:type="dxa"/>
            <w:gridSpan w:val="2"/>
            <w:tcBorders>
              <w:top w:val="nil"/>
              <w:left w:val="nil"/>
              <w:bottom w:val="nil"/>
              <w:right w:val="nil"/>
            </w:tcBorders>
            <w:shd w:val="clear" w:color="auto" w:fill="auto"/>
          </w:tcPr>
          <w:p w14:paraId="1A7F0104" w14:textId="77777777" w:rsidR="00F16AAC" w:rsidRPr="00135FE7" w:rsidRDefault="00F16AAC" w:rsidP="00F16AAC">
            <w:pPr>
              <w:jc w:val="both"/>
              <w:rPr>
                <w:rFonts w:ascii="David" w:hAnsi="David"/>
                <w:sz w:val="26"/>
                <w:szCs w:val="26"/>
                <w:rtl/>
              </w:rPr>
            </w:pPr>
            <w:r w:rsidRPr="00135FE7">
              <w:rPr>
                <w:rFonts w:ascii="David" w:hAnsi="David" w:hint="cs"/>
                <w:sz w:val="26"/>
                <w:szCs w:val="26"/>
                <w:rtl/>
              </w:rPr>
              <w:t>באמצעות פרקליטות מחוז ירושלים (פלילי)</w:t>
            </w:r>
          </w:p>
          <w:p w14:paraId="1556C7FA" w14:textId="77777777" w:rsidR="00F16AAC" w:rsidRPr="00135FE7" w:rsidRDefault="00F16AAC" w:rsidP="00F16AAC">
            <w:pPr>
              <w:jc w:val="both"/>
              <w:rPr>
                <w:rFonts w:ascii="David" w:hAnsi="David"/>
                <w:sz w:val="26"/>
                <w:szCs w:val="26"/>
                <w:rtl/>
              </w:rPr>
            </w:pPr>
            <w:r w:rsidRPr="00135FE7">
              <w:rPr>
                <w:rFonts w:ascii="David" w:hAnsi="David" w:hint="cs"/>
                <w:sz w:val="26"/>
                <w:szCs w:val="26"/>
                <w:rtl/>
              </w:rPr>
              <w:t>על ידי ב"כ עו"ד אילן אקוקה</w:t>
            </w:r>
          </w:p>
          <w:p w14:paraId="3D428D46" w14:textId="77777777" w:rsidR="00F16AAC" w:rsidRPr="00135FE7" w:rsidRDefault="00F16AAC" w:rsidP="00F16AAC">
            <w:pPr>
              <w:jc w:val="both"/>
              <w:rPr>
                <w:rFonts w:ascii="David" w:hAnsi="David"/>
                <w:b/>
                <w:bCs/>
                <w:sz w:val="26"/>
                <w:szCs w:val="26"/>
                <w:rtl/>
              </w:rPr>
            </w:pPr>
          </w:p>
        </w:tc>
        <w:tc>
          <w:tcPr>
            <w:tcW w:w="3402" w:type="dxa"/>
            <w:gridSpan w:val="2"/>
            <w:tcBorders>
              <w:top w:val="nil"/>
              <w:left w:val="nil"/>
              <w:bottom w:val="nil"/>
              <w:right w:val="nil"/>
            </w:tcBorders>
            <w:shd w:val="clear" w:color="auto" w:fill="auto"/>
          </w:tcPr>
          <w:p w14:paraId="3D328CE6" w14:textId="77777777" w:rsidR="00F16AAC" w:rsidRPr="00135FE7" w:rsidRDefault="00F16AAC" w:rsidP="00F16AAC">
            <w:pPr>
              <w:jc w:val="right"/>
              <w:rPr>
                <w:rFonts w:ascii="David" w:hAnsi="David"/>
                <w:b/>
                <w:bCs/>
                <w:sz w:val="26"/>
                <w:szCs w:val="26"/>
                <w:rtl/>
              </w:rPr>
            </w:pPr>
          </w:p>
          <w:p w14:paraId="57541E8F" w14:textId="77777777" w:rsidR="00F16AAC" w:rsidRPr="00135FE7" w:rsidRDefault="00F16AAC" w:rsidP="00F16AAC">
            <w:pPr>
              <w:jc w:val="right"/>
              <w:rPr>
                <w:rFonts w:ascii="David" w:hAnsi="David"/>
                <w:b/>
                <w:bCs/>
                <w:sz w:val="26"/>
                <w:szCs w:val="26"/>
                <w:rtl/>
              </w:rPr>
            </w:pPr>
          </w:p>
          <w:p w14:paraId="512526F8" w14:textId="77777777" w:rsidR="00F16AAC" w:rsidRPr="00135FE7" w:rsidRDefault="00F16AAC" w:rsidP="00F16AAC">
            <w:pPr>
              <w:jc w:val="right"/>
              <w:rPr>
                <w:rFonts w:ascii="David" w:hAnsi="David"/>
                <w:b/>
                <w:bCs/>
                <w:sz w:val="26"/>
                <w:szCs w:val="26"/>
                <w:rtl/>
              </w:rPr>
            </w:pPr>
            <w:r w:rsidRPr="00135FE7">
              <w:rPr>
                <w:rFonts w:ascii="David" w:hAnsi="David"/>
                <w:b/>
                <w:bCs/>
                <w:sz w:val="26"/>
                <w:szCs w:val="26"/>
                <w:rtl/>
              </w:rPr>
              <w:t>המאשימה</w:t>
            </w:r>
          </w:p>
        </w:tc>
      </w:tr>
      <w:bookmarkEnd w:id="2"/>
      <w:tr w:rsidR="00F16AAC" w:rsidRPr="00135FE7" w14:paraId="4F3A5E6B" w14:textId="77777777" w:rsidTr="00F16AAC">
        <w:trPr>
          <w:trHeight w:val="355"/>
          <w:jc w:val="center"/>
        </w:trPr>
        <w:tc>
          <w:tcPr>
            <w:tcW w:w="923" w:type="dxa"/>
            <w:tcBorders>
              <w:top w:val="nil"/>
              <w:left w:val="nil"/>
              <w:bottom w:val="nil"/>
              <w:right w:val="nil"/>
            </w:tcBorders>
            <w:shd w:val="clear" w:color="auto" w:fill="auto"/>
          </w:tcPr>
          <w:p w14:paraId="6781FE6C" w14:textId="77777777" w:rsidR="00F16AAC" w:rsidRPr="00135FE7" w:rsidRDefault="00F16AAC" w:rsidP="00F16AAC">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010A6E19" w14:textId="77777777" w:rsidR="00F16AAC" w:rsidRPr="00135FE7" w:rsidRDefault="00F16AAC" w:rsidP="00F16AAC">
            <w:pPr>
              <w:jc w:val="center"/>
              <w:rPr>
                <w:rFonts w:ascii="David" w:hAnsi="David"/>
                <w:b/>
                <w:bCs/>
                <w:sz w:val="26"/>
                <w:szCs w:val="26"/>
                <w:rtl/>
              </w:rPr>
            </w:pPr>
          </w:p>
          <w:p w14:paraId="082E6809" w14:textId="77777777" w:rsidR="00F16AAC" w:rsidRPr="00135FE7" w:rsidRDefault="00F16AAC" w:rsidP="00F16AAC">
            <w:pPr>
              <w:jc w:val="center"/>
              <w:rPr>
                <w:rFonts w:ascii="David" w:hAnsi="David"/>
                <w:b/>
                <w:bCs/>
                <w:sz w:val="26"/>
                <w:szCs w:val="26"/>
                <w:rtl/>
              </w:rPr>
            </w:pPr>
            <w:r w:rsidRPr="00135FE7">
              <w:rPr>
                <w:rFonts w:ascii="David" w:hAnsi="David"/>
                <w:b/>
                <w:bCs/>
                <w:sz w:val="26"/>
                <w:szCs w:val="26"/>
                <w:rtl/>
              </w:rPr>
              <w:t>נגד</w:t>
            </w:r>
          </w:p>
          <w:p w14:paraId="7759E886" w14:textId="77777777" w:rsidR="00F16AAC" w:rsidRPr="00135FE7" w:rsidRDefault="00F16AAC" w:rsidP="00F16AAC">
            <w:pPr>
              <w:jc w:val="both"/>
              <w:rPr>
                <w:rFonts w:ascii="David" w:hAnsi="David"/>
                <w:b/>
                <w:bCs/>
                <w:sz w:val="26"/>
                <w:szCs w:val="26"/>
              </w:rPr>
            </w:pPr>
          </w:p>
        </w:tc>
      </w:tr>
      <w:tr w:rsidR="00F16AAC" w:rsidRPr="00135FE7" w14:paraId="65B6B17F" w14:textId="77777777" w:rsidTr="00F16AAC">
        <w:trPr>
          <w:trHeight w:val="355"/>
          <w:jc w:val="center"/>
        </w:trPr>
        <w:tc>
          <w:tcPr>
            <w:tcW w:w="923" w:type="dxa"/>
            <w:tcBorders>
              <w:top w:val="nil"/>
              <w:left w:val="nil"/>
              <w:bottom w:val="nil"/>
              <w:right w:val="nil"/>
            </w:tcBorders>
            <w:shd w:val="clear" w:color="auto" w:fill="auto"/>
          </w:tcPr>
          <w:p w14:paraId="0D45092A" w14:textId="77777777" w:rsidR="00F16AAC" w:rsidRPr="00135FE7" w:rsidRDefault="00F16AAC" w:rsidP="001D57B2">
            <w:pPr>
              <w:rPr>
                <w:rFonts w:ascii="David" w:hAnsi="David"/>
                <w:b/>
                <w:bCs/>
                <w:sz w:val="26"/>
                <w:szCs w:val="26"/>
                <w:rtl/>
              </w:rPr>
            </w:pPr>
          </w:p>
        </w:tc>
        <w:tc>
          <w:tcPr>
            <w:tcW w:w="4126" w:type="dxa"/>
            <w:tcBorders>
              <w:top w:val="nil"/>
              <w:left w:val="nil"/>
              <w:bottom w:val="nil"/>
              <w:right w:val="nil"/>
            </w:tcBorders>
            <w:shd w:val="clear" w:color="auto" w:fill="auto"/>
          </w:tcPr>
          <w:p w14:paraId="2C7D3F04" w14:textId="77777777" w:rsidR="00F16AAC" w:rsidRPr="00135FE7" w:rsidRDefault="00F16AAC" w:rsidP="001D57B2">
            <w:pPr>
              <w:rPr>
                <w:rFonts w:ascii="David" w:hAnsi="David"/>
                <w:b/>
                <w:bCs/>
                <w:sz w:val="26"/>
                <w:szCs w:val="26"/>
                <w:rtl/>
              </w:rPr>
            </w:pPr>
            <w:r w:rsidRPr="00135FE7">
              <w:rPr>
                <w:rFonts w:ascii="David" w:hAnsi="David"/>
                <w:b/>
                <w:bCs/>
                <w:sz w:val="26"/>
                <w:szCs w:val="26"/>
                <w:rtl/>
              </w:rPr>
              <w:t>מחמוד אבו גרבייה (עציר)</w:t>
            </w:r>
          </w:p>
          <w:p w14:paraId="5BE73D1D" w14:textId="77777777" w:rsidR="00F16AAC" w:rsidRPr="00135FE7" w:rsidRDefault="00F16AAC" w:rsidP="001D57B2">
            <w:pPr>
              <w:rPr>
                <w:rFonts w:ascii="David" w:hAnsi="David"/>
                <w:sz w:val="26"/>
                <w:szCs w:val="26"/>
                <w:rtl/>
              </w:rPr>
            </w:pPr>
            <w:r w:rsidRPr="00135FE7">
              <w:rPr>
                <w:rFonts w:ascii="David" w:hAnsi="David" w:hint="cs"/>
                <w:sz w:val="26"/>
                <w:szCs w:val="26"/>
                <w:rtl/>
              </w:rPr>
              <w:t>על ידי ב"כ עו"ד רמי עותמאן</w:t>
            </w:r>
          </w:p>
        </w:tc>
        <w:tc>
          <w:tcPr>
            <w:tcW w:w="3771" w:type="dxa"/>
            <w:gridSpan w:val="3"/>
            <w:tcBorders>
              <w:top w:val="nil"/>
              <w:left w:val="nil"/>
              <w:bottom w:val="nil"/>
              <w:right w:val="nil"/>
            </w:tcBorders>
            <w:shd w:val="clear" w:color="auto" w:fill="auto"/>
          </w:tcPr>
          <w:p w14:paraId="5120785F" w14:textId="77777777" w:rsidR="00F16AAC" w:rsidRPr="00135FE7" w:rsidRDefault="00F16AAC" w:rsidP="00F16AAC">
            <w:pPr>
              <w:jc w:val="right"/>
              <w:rPr>
                <w:rFonts w:ascii="David" w:hAnsi="David"/>
                <w:b/>
                <w:bCs/>
                <w:sz w:val="26"/>
                <w:szCs w:val="26"/>
              </w:rPr>
            </w:pPr>
          </w:p>
        </w:tc>
      </w:tr>
      <w:tr w:rsidR="00F16AAC" w:rsidRPr="00135FE7" w14:paraId="294231D3" w14:textId="77777777" w:rsidTr="00F16AAC">
        <w:trPr>
          <w:trHeight w:val="355"/>
          <w:jc w:val="center"/>
        </w:trPr>
        <w:tc>
          <w:tcPr>
            <w:tcW w:w="923" w:type="dxa"/>
            <w:tcBorders>
              <w:top w:val="nil"/>
              <w:left w:val="nil"/>
              <w:bottom w:val="nil"/>
              <w:right w:val="nil"/>
            </w:tcBorders>
            <w:shd w:val="clear" w:color="auto" w:fill="auto"/>
          </w:tcPr>
          <w:p w14:paraId="2CC43EF0" w14:textId="77777777" w:rsidR="00F16AAC" w:rsidRPr="00135FE7" w:rsidRDefault="00F16AAC" w:rsidP="00F16AAC">
            <w:pPr>
              <w:jc w:val="both"/>
              <w:rPr>
                <w:rFonts w:ascii="David" w:hAnsi="David"/>
                <w:b/>
                <w:bCs/>
                <w:sz w:val="26"/>
                <w:szCs w:val="26"/>
                <w:rtl/>
              </w:rPr>
            </w:pPr>
          </w:p>
        </w:tc>
        <w:tc>
          <w:tcPr>
            <w:tcW w:w="4126" w:type="dxa"/>
            <w:tcBorders>
              <w:top w:val="nil"/>
              <w:left w:val="nil"/>
              <w:bottom w:val="nil"/>
              <w:right w:val="nil"/>
            </w:tcBorders>
            <w:shd w:val="clear" w:color="auto" w:fill="auto"/>
          </w:tcPr>
          <w:p w14:paraId="7FAF42F1" w14:textId="77777777" w:rsidR="00F16AAC" w:rsidRPr="00135FE7" w:rsidRDefault="00F16AAC" w:rsidP="00F16AAC">
            <w:pPr>
              <w:jc w:val="both"/>
              <w:rPr>
                <w:rFonts w:ascii="David" w:hAnsi="David"/>
                <w:b/>
                <w:bCs/>
                <w:rtl/>
              </w:rPr>
            </w:pPr>
          </w:p>
        </w:tc>
        <w:tc>
          <w:tcPr>
            <w:tcW w:w="3771" w:type="dxa"/>
            <w:gridSpan w:val="3"/>
            <w:tcBorders>
              <w:top w:val="nil"/>
              <w:left w:val="nil"/>
              <w:bottom w:val="nil"/>
              <w:right w:val="nil"/>
            </w:tcBorders>
            <w:shd w:val="clear" w:color="auto" w:fill="auto"/>
          </w:tcPr>
          <w:p w14:paraId="01A81BE1" w14:textId="77777777" w:rsidR="00F16AAC" w:rsidRPr="00135FE7" w:rsidRDefault="00F16AAC" w:rsidP="00F16AAC">
            <w:pPr>
              <w:jc w:val="right"/>
              <w:rPr>
                <w:rFonts w:ascii="David" w:hAnsi="David"/>
                <w:b/>
                <w:bCs/>
                <w:sz w:val="26"/>
                <w:szCs w:val="26"/>
              </w:rPr>
            </w:pPr>
            <w:r w:rsidRPr="00135FE7">
              <w:rPr>
                <w:rFonts w:ascii="David" w:hAnsi="David"/>
                <w:b/>
                <w:bCs/>
                <w:sz w:val="26"/>
                <w:szCs w:val="26"/>
                <w:rtl/>
              </w:rPr>
              <w:t>הנאשם</w:t>
            </w:r>
          </w:p>
        </w:tc>
      </w:tr>
    </w:tbl>
    <w:p w14:paraId="6B7E3023" w14:textId="77777777" w:rsidR="001265BB" w:rsidRDefault="001265BB" w:rsidP="00135FE7">
      <w:pPr>
        <w:rPr>
          <w:rFonts w:ascii="David" w:hAnsi="David"/>
          <w:sz w:val="12"/>
          <w:szCs w:val="12"/>
          <w:rtl/>
        </w:rPr>
      </w:pPr>
    </w:p>
    <w:p w14:paraId="630994CE" w14:textId="77777777" w:rsidR="001265BB" w:rsidRPr="001265BB" w:rsidRDefault="001265BB" w:rsidP="001265BB">
      <w:pPr>
        <w:spacing w:after="120" w:line="240" w:lineRule="exact"/>
        <w:ind w:left="283" w:hanging="283"/>
        <w:jc w:val="both"/>
        <w:rPr>
          <w:rFonts w:ascii="FrankRuehl" w:hAnsi="FrankRuehl" w:cs="FrankRuehl"/>
          <w:rtl/>
        </w:rPr>
      </w:pPr>
    </w:p>
    <w:p w14:paraId="019E7C3B" w14:textId="77777777" w:rsidR="001E2254" w:rsidRDefault="001E2254" w:rsidP="001E2254">
      <w:pPr>
        <w:rPr>
          <w:rFonts w:ascii="David" w:hAnsi="David"/>
          <w:sz w:val="12"/>
          <w:szCs w:val="12"/>
          <w:rtl/>
        </w:rPr>
      </w:pPr>
      <w:bookmarkStart w:id="3" w:name="LawTable"/>
      <w:bookmarkEnd w:id="3"/>
    </w:p>
    <w:p w14:paraId="38108B4C" w14:textId="77777777" w:rsidR="001E2254" w:rsidRPr="001E2254" w:rsidRDefault="001E2254" w:rsidP="001E2254">
      <w:pPr>
        <w:spacing w:before="120" w:after="120" w:line="240" w:lineRule="exact"/>
        <w:ind w:left="283" w:hanging="283"/>
        <w:jc w:val="both"/>
        <w:rPr>
          <w:rFonts w:ascii="FrankRuehl" w:hAnsi="FrankRuehl" w:cs="FrankRuehl"/>
          <w:rtl/>
        </w:rPr>
      </w:pPr>
    </w:p>
    <w:p w14:paraId="6DBCAE5C" w14:textId="77777777" w:rsidR="001E2254" w:rsidRPr="001E2254" w:rsidRDefault="001E2254" w:rsidP="001E2254">
      <w:pPr>
        <w:spacing w:before="120" w:after="120" w:line="240" w:lineRule="exact"/>
        <w:ind w:left="283" w:hanging="283"/>
        <w:jc w:val="both"/>
        <w:rPr>
          <w:rFonts w:ascii="FrankRuehl" w:hAnsi="FrankRuehl" w:cs="FrankRuehl"/>
          <w:rtl/>
        </w:rPr>
      </w:pPr>
    </w:p>
    <w:p w14:paraId="7A79FD39" w14:textId="77777777" w:rsidR="001E2254" w:rsidRPr="001E2254" w:rsidRDefault="001E2254" w:rsidP="001E2254">
      <w:pPr>
        <w:spacing w:before="120" w:after="120" w:line="240" w:lineRule="exact"/>
        <w:ind w:left="283" w:hanging="283"/>
        <w:jc w:val="both"/>
        <w:rPr>
          <w:rFonts w:ascii="FrankRuehl" w:hAnsi="FrankRuehl" w:cs="FrankRuehl"/>
          <w:rtl/>
        </w:rPr>
      </w:pPr>
      <w:r w:rsidRPr="001E2254">
        <w:rPr>
          <w:rFonts w:ascii="FrankRuehl" w:hAnsi="FrankRuehl" w:cs="FrankRuehl"/>
          <w:rtl/>
        </w:rPr>
        <w:t xml:space="preserve">חקיקה שאוזכרה: </w:t>
      </w:r>
    </w:p>
    <w:p w14:paraId="34F47303" w14:textId="77777777" w:rsidR="001E2254" w:rsidRPr="001E2254" w:rsidRDefault="001E2254" w:rsidP="001E2254">
      <w:pPr>
        <w:spacing w:before="120" w:after="120" w:line="240" w:lineRule="exact"/>
        <w:ind w:left="283" w:hanging="283"/>
        <w:jc w:val="both"/>
        <w:rPr>
          <w:rFonts w:ascii="FrankRuehl" w:hAnsi="FrankRuehl" w:cs="FrankRuehl"/>
          <w:rtl/>
        </w:rPr>
      </w:pPr>
      <w:hyperlink r:id="rId7" w:history="1">
        <w:r w:rsidRPr="001E2254">
          <w:rPr>
            <w:rFonts w:ascii="FrankRuehl" w:hAnsi="FrankRuehl" w:cs="FrankRuehl"/>
            <w:color w:val="0000FF"/>
            <w:rtl/>
          </w:rPr>
          <w:t>חוק העונשין, תשל"ז-1977</w:t>
        </w:r>
      </w:hyperlink>
      <w:r w:rsidRPr="001E2254">
        <w:rPr>
          <w:rFonts w:ascii="FrankRuehl" w:hAnsi="FrankRuehl" w:cs="FrankRuehl"/>
          <w:rtl/>
        </w:rPr>
        <w:t xml:space="preserve">: סע'  </w:t>
      </w:r>
      <w:hyperlink r:id="rId8" w:history="1">
        <w:r w:rsidRPr="001E2254">
          <w:rPr>
            <w:rFonts w:ascii="FrankRuehl" w:hAnsi="FrankRuehl" w:cs="FrankRuehl"/>
            <w:color w:val="0000FF"/>
            <w:rtl/>
          </w:rPr>
          <w:t>40ב'</w:t>
        </w:r>
      </w:hyperlink>
      <w:r w:rsidRPr="001E2254">
        <w:rPr>
          <w:rFonts w:ascii="FrankRuehl" w:hAnsi="FrankRuehl" w:cs="FrankRuehl"/>
          <w:rtl/>
        </w:rPr>
        <w:t xml:space="preserve">, </w:t>
      </w:r>
      <w:hyperlink r:id="rId9" w:history="1">
        <w:r w:rsidRPr="001E2254">
          <w:rPr>
            <w:rFonts w:ascii="FrankRuehl" w:hAnsi="FrankRuehl" w:cs="FrankRuehl"/>
            <w:color w:val="0000FF"/>
            <w:rtl/>
          </w:rPr>
          <w:t>144 (ב)</w:t>
        </w:r>
      </w:hyperlink>
      <w:r w:rsidRPr="001E2254">
        <w:rPr>
          <w:rFonts w:ascii="FrankRuehl" w:hAnsi="FrankRuehl" w:cs="FrankRuehl"/>
          <w:rtl/>
        </w:rPr>
        <w:t xml:space="preserve">, </w:t>
      </w:r>
      <w:hyperlink r:id="rId10" w:history="1">
        <w:r w:rsidRPr="001E2254">
          <w:rPr>
            <w:rFonts w:ascii="FrankRuehl" w:hAnsi="FrankRuehl" w:cs="FrankRuehl"/>
            <w:color w:val="0000FF"/>
            <w:rtl/>
          </w:rPr>
          <w:t>40יא</w:t>
        </w:r>
      </w:hyperlink>
    </w:p>
    <w:p w14:paraId="20ED04F2" w14:textId="77777777" w:rsidR="001E2254" w:rsidRPr="001E2254" w:rsidRDefault="001E2254" w:rsidP="001E2254">
      <w:pPr>
        <w:rPr>
          <w:rFonts w:ascii="David" w:hAnsi="David"/>
          <w:sz w:val="12"/>
          <w:szCs w:val="12"/>
          <w:rtl/>
        </w:rPr>
      </w:pPr>
      <w:bookmarkStart w:id="4" w:name="LawTable_End"/>
      <w:bookmarkEnd w:id="4"/>
    </w:p>
    <w:p w14:paraId="3FE37D00" w14:textId="77777777" w:rsidR="00F16AAC" w:rsidRPr="00135FE7" w:rsidRDefault="00F16AAC" w:rsidP="00F16AAC">
      <w:pPr>
        <w:rPr>
          <w:rFonts w:ascii="David" w:hAnsi="David"/>
          <w:sz w:val="12"/>
          <w:szCs w:val="1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16AAC" w14:paraId="7BFE1433" w14:textId="77777777" w:rsidTr="00F16AAC">
        <w:trPr>
          <w:trHeight w:val="355"/>
          <w:jc w:val="center"/>
        </w:trPr>
        <w:tc>
          <w:tcPr>
            <w:tcW w:w="8820" w:type="dxa"/>
            <w:tcBorders>
              <w:top w:val="nil"/>
              <w:left w:val="nil"/>
              <w:bottom w:val="nil"/>
              <w:right w:val="nil"/>
            </w:tcBorders>
            <w:shd w:val="clear" w:color="auto" w:fill="auto"/>
          </w:tcPr>
          <w:p w14:paraId="153F2E9C" w14:textId="77777777" w:rsidR="00135FE7" w:rsidRPr="00135FE7" w:rsidRDefault="00135FE7" w:rsidP="00135FE7">
            <w:pPr>
              <w:jc w:val="center"/>
              <w:rPr>
                <w:rFonts w:ascii="David" w:hAnsi="David"/>
                <w:b/>
                <w:bCs/>
                <w:sz w:val="28"/>
                <w:szCs w:val="28"/>
                <w:u w:val="single"/>
                <w:rtl/>
              </w:rPr>
            </w:pPr>
            <w:bookmarkStart w:id="5" w:name="PsakDin" w:colFirst="0" w:colLast="0"/>
            <w:bookmarkEnd w:id="0"/>
            <w:r w:rsidRPr="00135FE7">
              <w:rPr>
                <w:rFonts w:ascii="David" w:hAnsi="David"/>
                <w:b/>
                <w:bCs/>
                <w:sz w:val="28"/>
                <w:szCs w:val="28"/>
                <w:u w:val="single"/>
                <w:rtl/>
              </w:rPr>
              <w:t>גזר דין</w:t>
            </w:r>
          </w:p>
          <w:p w14:paraId="33EBE6B2" w14:textId="77777777" w:rsidR="00F16AAC" w:rsidRPr="00135FE7" w:rsidRDefault="00F16AAC" w:rsidP="00135FE7">
            <w:pPr>
              <w:jc w:val="center"/>
              <w:rPr>
                <w:rFonts w:ascii="David" w:hAnsi="David"/>
                <w:bCs/>
                <w:sz w:val="28"/>
                <w:szCs w:val="28"/>
                <w:u w:val="single"/>
                <w:rtl/>
              </w:rPr>
            </w:pPr>
          </w:p>
        </w:tc>
      </w:tr>
      <w:bookmarkEnd w:id="5"/>
    </w:tbl>
    <w:p w14:paraId="5D59EB0D" w14:textId="77777777" w:rsidR="00F16AAC" w:rsidRPr="00D907B3" w:rsidRDefault="00F16AAC" w:rsidP="00F16AAC">
      <w:pPr>
        <w:rPr>
          <w:rFonts w:ascii="Arial" w:hAnsi="Arial"/>
          <w:sz w:val="12"/>
          <w:szCs w:val="12"/>
          <w:rtl/>
        </w:rPr>
      </w:pPr>
    </w:p>
    <w:p w14:paraId="5D9B3BBF" w14:textId="77777777" w:rsidR="00F16AAC" w:rsidRDefault="00F16AAC" w:rsidP="00F16AAC">
      <w:pPr>
        <w:spacing w:line="360" w:lineRule="auto"/>
        <w:ind w:left="-52"/>
        <w:jc w:val="both"/>
        <w:rPr>
          <w:rFonts w:ascii="David" w:hAnsi="David"/>
          <w:b/>
          <w:bCs/>
          <w:u w:val="single"/>
          <w:rtl/>
        </w:rPr>
      </w:pPr>
    </w:p>
    <w:p w14:paraId="274FE90D" w14:textId="77777777" w:rsidR="00F16AAC" w:rsidRDefault="00F16AAC" w:rsidP="00F16AAC">
      <w:pPr>
        <w:spacing w:line="360" w:lineRule="auto"/>
        <w:ind w:left="-52"/>
        <w:jc w:val="both"/>
        <w:rPr>
          <w:rFonts w:ascii="David" w:hAnsi="David"/>
          <w:b/>
          <w:bCs/>
          <w:u w:val="single"/>
          <w:rtl/>
        </w:rPr>
      </w:pPr>
      <w:r w:rsidRPr="000100EE">
        <w:rPr>
          <w:rFonts w:ascii="David" w:hAnsi="David"/>
          <w:b/>
          <w:bCs/>
          <w:u w:val="single"/>
          <w:rtl/>
        </w:rPr>
        <w:t>רקע</w:t>
      </w:r>
    </w:p>
    <w:p w14:paraId="3FAC6952" w14:textId="77777777" w:rsidR="00F16AAC" w:rsidRPr="00DF172C" w:rsidRDefault="00F16AAC" w:rsidP="00F16AAC">
      <w:pPr>
        <w:spacing w:line="360" w:lineRule="auto"/>
        <w:ind w:left="-52"/>
        <w:jc w:val="both"/>
        <w:rPr>
          <w:rFonts w:ascii="David" w:hAnsi="David"/>
          <w:b/>
          <w:bCs/>
          <w:sz w:val="12"/>
          <w:szCs w:val="12"/>
          <w:u w:val="single"/>
          <w:rtl/>
        </w:rPr>
      </w:pPr>
    </w:p>
    <w:p w14:paraId="54514136" w14:textId="77777777" w:rsidR="00F16AAC" w:rsidRDefault="00F16AAC" w:rsidP="00F16AAC">
      <w:pPr>
        <w:numPr>
          <w:ilvl w:val="0"/>
          <w:numId w:val="1"/>
        </w:numPr>
        <w:spacing w:after="160" w:line="360" w:lineRule="auto"/>
        <w:ind w:left="232" w:hanging="284"/>
        <w:contextualSpacing/>
        <w:jc w:val="both"/>
        <w:rPr>
          <w:rFonts w:ascii="David" w:hAnsi="David"/>
        </w:rPr>
      </w:pPr>
      <w:bookmarkStart w:id="6" w:name="ABSTRACT_START"/>
      <w:bookmarkEnd w:id="6"/>
      <w:r w:rsidRPr="005645EC">
        <w:rPr>
          <w:rFonts w:ascii="David" w:hAnsi="David"/>
          <w:rtl/>
        </w:rPr>
        <w:t xml:space="preserve">הנאשם הורשע על פי הודאתו, במסגרת הסדר טיעון בכתב אישום מתוקן, בעבירת נשיאת נשק לפי סעיף </w:t>
      </w:r>
      <w:hyperlink r:id="rId11" w:history="1">
        <w:r w:rsidR="001265BB" w:rsidRPr="001265BB">
          <w:rPr>
            <w:rStyle w:val="Hyperlink"/>
            <w:rFonts w:ascii="David" w:hAnsi="David"/>
            <w:rtl/>
          </w:rPr>
          <w:t>144 (ב)</w:t>
        </w:r>
      </w:hyperlink>
      <w:r w:rsidRPr="005645EC">
        <w:rPr>
          <w:rFonts w:ascii="David" w:hAnsi="David"/>
          <w:rtl/>
        </w:rPr>
        <w:t xml:space="preserve"> ל</w:t>
      </w:r>
      <w:hyperlink r:id="rId12" w:history="1">
        <w:r w:rsidR="00135FE7" w:rsidRPr="00135FE7">
          <w:rPr>
            <w:rFonts w:ascii="David" w:hAnsi="David"/>
            <w:color w:val="0000FF"/>
            <w:u w:val="single"/>
            <w:rtl/>
          </w:rPr>
          <w:t>חוק העונשין</w:t>
        </w:r>
      </w:hyperlink>
      <w:r w:rsidRPr="005645EC">
        <w:rPr>
          <w:rFonts w:ascii="David" w:hAnsi="David"/>
          <w:rtl/>
        </w:rPr>
        <w:t>, התשל"ז-1977 (להלן: "</w:t>
      </w:r>
      <w:r w:rsidRPr="005645EC">
        <w:rPr>
          <w:rFonts w:ascii="David" w:hAnsi="David"/>
          <w:b/>
          <w:bCs/>
          <w:rtl/>
        </w:rPr>
        <w:t>החוק</w:t>
      </w:r>
      <w:r w:rsidRPr="005645EC">
        <w:rPr>
          <w:rFonts w:ascii="David" w:hAnsi="David"/>
          <w:rtl/>
        </w:rPr>
        <w:t>").</w:t>
      </w:r>
    </w:p>
    <w:p w14:paraId="4C3F86F7" w14:textId="77777777" w:rsidR="00F16AAC" w:rsidRPr="00D907B3" w:rsidRDefault="00F16AAC" w:rsidP="00F16AAC">
      <w:pPr>
        <w:spacing w:after="160" w:line="360" w:lineRule="auto"/>
        <w:ind w:left="232"/>
        <w:contextualSpacing/>
        <w:jc w:val="both"/>
        <w:rPr>
          <w:rFonts w:ascii="David" w:hAnsi="David"/>
          <w:sz w:val="10"/>
          <w:szCs w:val="10"/>
        </w:rPr>
      </w:pPr>
      <w:bookmarkStart w:id="7" w:name="ABSTRACT_END"/>
      <w:bookmarkEnd w:id="7"/>
    </w:p>
    <w:p w14:paraId="3C297D1C" w14:textId="77777777" w:rsidR="00F16AAC" w:rsidRDefault="00F16AAC" w:rsidP="00F16AAC">
      <w:pPr>
        <w:numPr>
          <w:ilvl w:val="0"/>
          <w:numId w:val="1"/>
        </w:numPr>
        <w:spacing w:after="160" w:line="360" w:lineRule="auto"/>
        <w:ind w:left="232" w:hanging="284"/>
        <w:contextualSpacing/>
        <w:jc w:val="both"/>
        <w:rPr>
          <w:rFonts w:ascii="David" w:hAnsi="David"/>
        </w:rPr>
      </w:pPr>
      <w:r w:rsidRPr="005645EC">
        <w:rPr>
          <w:rFonts w:ascii="David" w:hAnsi="David"/>
          <w:rtl/>
        </w:rPr>
        <w:t>במסגרת</w:t>
      </w:r>
      <w:r w:rsidRPr="00F16AAC">
        <w:rPr>
          <w:rFonts w:ascii="David" w:hAnsi="David"/>
          <w:color w:val="000000"/>
          <w:rtl/>
        </w:rPr>
        <w:t xml:space="preserve"> הסדר הטיעון, </w:t>
      </w:r>
      <w:r w:rsidRPr="005645EC">
        <w:rPr>
          <w:rFonts w:ascii="David" w:hAnsi="David"/>
          <w:rtl/>
        </w:rPr>
        <w:t xml:space="preserve">המאשימה </w:t>
      </w:r>
      <w:r>
        <w:rPr>
          <w:rFonts w:ascii="David" w:hAnsi="David" w:hint="cs"/>
          <w:rtl/>
        </w:rPr>
        <w:t>הגבילה</w:t>
      </w:r>
      <w:r w:rsidRPr="005645EC">
        <w:rPr>
          <w:rFonts w:ascii="David" w:hAnsi="David"/>
          <w:rtl/>
        </w:rPr>
        <w:t xml:space="preserve"> עצמה לעתור לעונש של 48 חודשי מא</w:t>
      </w:r>
      <w:r>
        <w:rPr>
          <w:rFonts w:ascii="David" w:hAnsi="David"/>
          <w:rtl/>
        </w:rPr>
        <w:t xml:space="preserve">סר בפועל, מאסר מותנה וקנס, </w:t>
      </w:r>
      <w:r>
        <w:rPr>
          <w:rFonts w:ascii="David" w:hAnsi="David" w:hint="cs"/>
          <w:rtl/>
        </w:rPr>
        <w:t xml:space="preserve">בעוד שב"כ </w:t>
      </w:r>
      <w:r w:rsidRPr="005645EC">
        <w:rPr>
          <w:rFonts w:ascii="David" w:hAnsi="David"/>
          <w:rtl/>
        </w:rPr>
        <w:t>הנאשם יהא חופשי בטיעוניו. הטיעונים לעונש נדחו לאחר קבלת תסקיר שירות מבחן בעניינו של הנאשם</w:t>
      </w:r>
      <w:r>
        <w:rPr>
          <w:rFonts w:ascii="David" w:hAnsi="David" w:hint="cs"/>
          <w:rtl/>
        </w:rPr>
        <w:t>, לבקשת ב"כ הנאשם, כאשר המאשימה</w:t>
      </w:r>
      <w:r w:rsidRPr="005645EC">
        <w:rPr>
          <w:rFonts w:ascii="David" w:hAnsi="David"/>
          <w:rtl/>
        </w:rPr>
        <w:t xml:space="preserve"> התנגד</w:t>
      </w:r>
      <w:r>
        <w:rPr>
          <w:rFonts w:ascii="David" w:hAnsi="David" w:hint="cs"/>
          <w:rtl/>
        </w:rPr>
        <w:t xml:space="preserve">ה </w:t>
      </w:r>
      <w:r w:rsidRPr="005645EC">
        <w:rPr>
          <w:rFonts w:ascii="David" w:hAnsi="David"/>
          <w:rtl/>
        </w:rPr>
        <w:t>כך.</w:t>
      </w:r>
    </w:p>
    <w:p w14:paraId="1EB16AAC" w14:textId="77777777" w:rsidR="00F16AAC" w:rsidRPr="00D907B3" w:rsidRDefault="00F16AAC" w:rsidP="00F16AAC">
      <w:pPr>
        <w:spacing w:after="160" w:line="360" w:lineRule="auto"/>
        <w:ind w:left="232"/>
        <w:contextualSpacing/>
        <w:jc w:val="both"/>
        <w:rPr>
          <w:rFonts w:ascii="David" w:hAnsi="David"/>
          <w:sz w:val="10"/>
          <w:szCs w:val="10"/>
        </w:rPr>
      </w:pPr>
    </w:p>
    <w:p w14:paraId="1756179D" w14:textId="77777777" w:rsidR="00F16AAC" w:rsidRDefault="00F16AAC" w:rsidP="00F16AAC">
      <w:pPr>
        <w:numPr>
          <w:ilvl w:val="0"/>
          <w:numId w:val="1"/>
        </w:numPr>
        <w:spacing w:after="160" w:line="360" w:lineRule="auto"/>
        <w:ind w:left="232" w:hanging="284"/>
        <w:contextualSpacing/>
        <w:jc w:val="both"/>
        <w:rPr>
          <w:rFonts w:ascii="David" w:hAnsi="David"/>
        </w:rPr>
      </w:pPr>
      <w:r w:rsidRPr="005645EC">
        <w:rPr>
          <w:rFonts w:ascii="David" w:hAnsi="David"/>
          <w:rtl/>
        </w:rPr>
        <w:t>על פי</w:t>
      </w:r>
      <w:r>
        <w:rPr>
          <w:rFonts w:ascii="David" w:hAnsi="David"/>
          <w:rtl/>
        </w:rPr>
        <w:t xml:space="preserve"> עובדות כתב האישום המתוקן, ביום</w:t>
      </w:r>
      <w:r>
        <w:rPr>
          <w:rFonts w:ascii="David" w:hAnsi="David" w:hint="cs"/>
          <w:rtl/>
        </w:rPr>
        <w:t xml:space="preserve"> </w:t>
      </w:r>
      <w:r w:rsidRPr="005645EC">
        <w:rPr>
          <w:rFonts w:ascii="David" w:hAnsi="David"/>
          <w:rtl/>
        </w:rPr>
        <w:t xml:space="preserve">14.5.20 בשעה 22:30 או בסמוך לכך, נסע הנאשם יחד עם חברו בראא שוויש (להלן: </w:t>
      </w:r>
      <w:r w:rsidRPr="009C014D">
        <w:rPr>
          <w:rFonts w:ascii="David" w:hAnsi="David"/>
          <w:b/>
          <w:bCs/>
          <w:rtl/>
        </w:rPr>
        <w:t>"בראא"</w:t>
      </w:r>
      <w:r w:rsidRPr="005645EC">
        <w:rPr>
          <w:rFonts w:ascii="David" w:hAnsi="David"/>
          <w:rtl/>
        </w:rPr>
        <w:t xml:space="preserve">), ברכבו של בראא, מסוג מאזדה 5 ל.ז 4537014 (להלן: </w:t>
      </w:r>
      <w:r w:rsidRPr="009C014D">
        <w:rPr>
          <w:rFonts w:ascii="David" w:hAnsi="David"/>
          <w:b/>
          <w:bCs/>
          <w:rtl/>
        </w:rPr>
        <w:t>"הרכב"</w:t>
      </w:r>
      <w:r w:rsidRPr="005645EC">
        <w:rPr>
          <w:rFonts w:ascii="David" w:hAnsi="David"/>
          <w:rtl/>
        </w:rPr>
        <w:t>), מכפר עקב לעיר יריחו</w:t>
      </w:r>
      <w:r>
        <w:rPr>
          <w:rFonts w:ascii="David" w:hAnsi="David" w:hint="cs"/>
          <w:rtl/>
        </w:rPr>
        <w:t>,</w:t>
      </w:r>
      <w:r w:rsidRPr="005645EC">
        <w:rPr>
          <w:rFonts w:ascii="David" w:hAnsi="David"/>
          <w:rtl/>
        </w:rPr>
        <w:t xml:space="preserve"> וזאת על מנת לבצע עסקה בכלי נשק עם אדם שזהותו אינה ידועה למאשימה (להלן: </w:t>
      </w:r>
      <w:r w:rsidRPr="009C014D">
        <w:rPr>
          <w:rFonts w:ascii="David" w:hAnsi="David"/>
          <w:b/>
          <w:bCs/>
          <w:rtl/>
        </w:rPr>
        <w:t>"האחר"</w:t>
      </w:r>
      <w:r w:rsidRPr="005645EC">
        <w:rPr>
          <w:rFonts w:ascii="David" w:hAnsi="David"/>
          <w:rtl/>
        </w:rPr>
        <w:t>). ה</w:t>
      </w:r>
      <w:r>
        <w:rPr>
          <w:rFonts w:ascii="David" w:hAnsi="David"/>
          <w:rtl/>
        </w:rPr>
        <w:t>נאשם פגש את האחר ביריחו וסיכם ע</w:t>
      </w:r>
      <w:r w:rsidRPr="005645EC">
        <w:rPr>
          <w:rFonts w:ascii="David" w:hAnsi="David"/>
          <w:rtl/>
        </w:rPr>
        <w:t>מו</w:t>
      </w:r>
      <w:r>
        <w:rPr>
          <w:rFonts w:ascii="David" w:hAnsi="David" w:hint="cs"/>
          <w:rtl/>
        </w:rPr>
        <w:t>,</w:t>
      </w:r>
      <w:r w:rsidRPr="005645EC">
        <w:rPr>
          <w:rFonts w:ascii="David" w:hAnsi="David"/>
          <w:rtl/>
        </w:rPr>
        <w:t xml:space="preserve"> כי ישכ</w:t>
      </w:r>
      <w:r>
        <w:rPr>
          <w:rFonts w:ascii="David" w:hAnsi="David" w:hint="cs"/>
          <w:rtl/>
        </w:rPr>
        <w:t>ו</w:t>
      </w:r>
      <w:r w:rsidRPr="005645EC">
        <w:rPr>
          <w:rFonts w:ascii="David" w:hAnsi="David"/>
          <w:rtl/>
        </w:rPr>
        <w:t xml:space="preserve">ר ממנו שלושה אקדחים (להלן: </w:t>
      </w:r>
      <w:r w:rsidRPr="008341E8">
        <w:rPr>
          <w:rFonts w:ascii="David" w:hAnsi="David"/>
          <w:b/>
          <w:bCs/>
          <w:rtl/>
        </w:rPr>
        <w:t>"האקדחים"</w:t>
      </w:r>
      <w:r w:rsidRPr="005645EC">
        <w:rPr>
          <w:rFonts w:ascii="David" w:hAnsi="David"/>
          <w:rtl/>
        </w:rPr>
        <w:t>) שבכוחם להמית אדם, תמורת שכירות יומית לכל אקדח, לתקופה שאינה ידועה</w:t>
      </w:r>
      <w:r>
        <w:rPr>
          <w:rFonts w:ascii="David" w:hAnsi="David" w:hint="cs"/>
          <w:rtl/>
        </w:rPr>
        <w:t>,</w:t>
      </w:r>
      <w:r w:rsidRPr="005645EC">
        <w:rPr>
          <w:rFonts w:ascii="David" w:hAnsi="David"/>
          <w:rtl/>
        </w:rPr>
        <w:t xml:space="preserve"> וזאת על מנת להחזיק בהם לעת מצוא או להעבירם למכריו לשימוש בהם </w:t>
      </w:r>
      <w:r w:rsidRPr="005645EC">
        <w:rPr>
          <w:rFonts w:ascii="David" w:hAnsi="David"/>
          <w:rtl/>
        </w:rPr>
        <w:lastRenderedPageBreak/>
        <w:t xml:space="preserve">במקרה הצורך. בשלב זה, וכשבראא לא הבחין בכך, לקח הנאשם את האקדחים ששכר, והחביאם תחת המושב האחורי ברכב והשניים נסעו בחזרה לכיוון ירושלים. </w:t>
      </w:r>
    </w:p>
    <w:p w14:paraId="5CD48E51" w14:textId="77777777" w:rsidR="00F16AAC" w:rsidRPr="00D907B3" w:rsidRDefault="00F16AAC" w:rsidP="00F16AAC">
      <w:pPr>
        <w:spacing w:after="160" w:line="360" w:lineRule="auto"/>
        <w:ind w:left="232"/>
        <w:contextualSpacing/>
        <w:jc w:val="both"/>
        <w:rPr>
          <w:rFonts w:ascii="David" w:hAnsi="David"/>
          <w:sz w:val="10"/>
          <w:szCs w:val="10"/>
        </w:rPr>
      </w:pPr>
    </w:p>
    <w:p w14:paraId="6164A0AD" w14:textId="77777777" w:rsidR="00F16AAC" w:rsidRDefault="00F16AAC" w:rsidP="00F16AAC">
      <w:pPr>
        <w:numPr>
          <w:ilvl w:val="0"/>
          <w:numId w:val="1"/>
        </w:numPr>
        <w:spacing w:after="160" w:line="360" w:lineRule="auto"/>
        <w:ind w:left="232" w:hanging="284"/>
        <w:contextualSpacing/>
        <w:jc w:val="both"/>
        <w:rPr>
          <w:rFonts w:ascii="David" w:hAnsi="David"/>
          <w:rtl/>
        </w:rPr>
      </w:pPr>
      <w:r w:rsidRPr="005645EC">
        <w:rPr>
          <w:rFonts w:ascii="David" w:hAnsi="David"/>
          <w:rtl/>
        </w:rPr>
        <w:t xml:space="preserve">עם חזרתם, בשעה 00:10, נעצר הנאשם ברכב בכביש 437 לכיוון ירושלים, כשתחת המושב האחורי הוסלקו שלושה אקדחים: אקדח מסוג </w:t>
      </w:r>
      <w:r w:rsidRPr="005645EC">
        <w:rPr>
          <w:rFonts w:ascii="David" w:hAnsi="David"/>
        </w:rPr>
        <w:t>FN</w:t>
      </w:r>
      <w:r w:rsidRPr="005645EC">
        <w:rPr>
          <w:rFonts w:ascii="David" w:hAnsi="David"/>
          <w:rtl/>
        </w:rPr>
        <w:t xml:space="preserve"> שמספרו הסידורי </w:t>
      </w:r>
      <w:r w:rsidRPr="005645EC">
        <w:rPr>
          <w:rFonts w:ascii="David" w:hAnsi="David"/>
        </w:rPr>
        <w:t>C78835</w:t>
      </w:r>
      <w:r w:rsidRPr="005645EC">
        <w:rPr>
          <w:rFonts w:ascii="David" w:hAnsi="David"/>
          <w:rtl/>
        </w:rPr>
        <w:t xml:space="preserve"> שבכוחו להמית אדם, אקדח מסוג </w:t>
      </w:r>
      <w:r w:rsidRPr="005645EC">
        <w:rPr>
          <w:rFonts w:ascii="David" w:hAnsi="David"/>
        </w:rPr>
        <w:t>FN</w:t>
      </w:r>
      <w:r w:rsidRPr="005645EC">
        <w:rPr>
          <w:rFonts w:ascii="David" w:hAnsi="David"/>
          <w:rtl/>
        </w:rPr>
        <w:t xml:space="preserve"> שמספרו הסידורי </w:t>
      </w:r>
      <w:r w:rsidRPr="005645EC">
        <w:rPr>
          <w:rFonts w:ascii="David" w:hAnsi="David"/>
        </w:rPr>
        <w:t>T227276</w:t>
      </w:r>
      <w:r w:rsidRPr="005645EC">
        <w:rPr>
          <w:rFonts w:ascii="David" w:hAnsi="David"/>
          <w:rtl/>
        </w:rPr>
        <w:t xml:space="preserve"> שבכוחו להמית אדם, אקדח מסוג </w:t>
      </w:r>
      <w:r w:rsidRPr="005645EC">
        <w:rPr>
          <w:rFonts w:ascii="David" w:hAnsi="David"/>
        </w:rPr>
        <w:t>FN</w:t>
      </w:r>
      <w:r w:rsidRPr="005645EC">
        <w:rPr>
          <w:rFonts w:ascii="David" w:hAnsi="David"/>
          <w:rtl/>
        </w:rPr>
        <w:t xml:space="preserve"> שמספרו הסידורי </w:t>
      </w:r>
      <w:r w:rsidRPr="005645EC">
        <w:rPr>
          <w:rFonts w:ascii="David" w:hAnsi="David"/>
        </w:rPr>
        <w:t>T346118</w:t>
      </w:r>
      <w:r w:rsidRPr="005645EC">
        <w:rPr>
          <w:rFonts w:ascii="David" w:hAnsi="David"/>
          <w:rtl/>
        </w:rPr>
        <w:t xml:space="preserve"> שבכוחו להמית אדם. הנאשם לא היה בעל רישיון לשאת את כלי הנשק, ומעולם לא החזיק ברישיון לנשק. במעשיו אלה נשא הנאשם כלי נשק בלא רשות על פי דין לנשיאתם.</w:t>
      </w:r>
    </w:p>
    <w:p w14:paraId="6C74F239" w14:textId="77777777" w:rsidR="00F16AAC" w:rsidRPr="00D907B3" w:rsidRDefault="00F16AAC" w:rsidP="00F16AAC">
      <w:pPr>
        <w:spacing w:after="160" w:line="360" w:lineRule="auto"/>
        <w:contextualSpacing/>
        <w:jc w:val="both"/>
        <w:rPr>
          <w:rFonts w:ascii="David" w:hAnsi="David"/>
          <w:b/>
          <w:bCs/>
          <w:highlight w:val="cyan"/>
          <w:u w:val="single"/>
          <w:rtl/>
        </w:rPr>
      </w:pPr>
    </w:p>
    <w:p w14:paraId="5D7D6BB1" w14:textId="77777777" w:rsidR="00F16AAC" w:rsidRDefault="00F16AAC" w:rsidP="00F16AAC">
      <w:pPr>
        <w:spacing w:after="160" w:line="360" w:lineRule="auto"/>
        <w:contextualSpacing/>
        <w:jc w:val="both"/>
        <w:rPr>
          <w:rFonts w:ascii="David" w:hAnsi="David"/>
          <w:rtl/>
        </w:rPr>
      </w:pPr>
      <w:r w:rsidRPr="00D907B3">
        <w:rPr>
          <w:rFonts w:ascii="David" w:hAnsi="David"/>
          <w:b/>
          <w:bCs/>
          <w:u w:val="single"/>
          <w:rtl/>
        </w:rPr>
        <w:t>תסקיר שירות המבחן</w:t>
      </w:r>
    </w:p>
    <w:p w14:paraId="2F99503A" w14:textId="77777777" w:rsidR="00F16AAC" w:rsidRPr="00DF172C" w:rsidRDefault="00F16AAC" w:rsidP="00F16AAC">
      <w:pPr>
        <w:spacing w:after="160" w:line="360" w:lineRule="auto"/>
        <w:contextualSpacing/>
        <w:jc w:val="both"/>
        <w:rPr>
          <w:rFonts w:ascii="David" w:hAnsi="David"/>
          <w:sz w:val="12"/>
          <w:szCs w:val="12"/>
          <w:rtl/>
        </w:rPr>
      </w:pPr>
    </w:p>
    <w:p w14:paraId="27A77C44" w14:textId="77777777" w:rsidR="00F16AAC" w:rsidRPr="00D907B3" w:rsidRDefault="00F16AAC" w:rsidP="00F16AAC">
      <w:pPr>
        <w:numPr>
          <w:ilvl w:val="0"/>
          <w:numId w:val="1"/>
        </w:numPr>
        <w:spacing w:after="160" w:line="360" w:lineRule="auto"/>
        <w:ind w:left="232" w:hanging="284"/>
        <w:contextualSpacing/>
        <w:jc w:val="both"/>
        <w:rPr>
          <w:rFonts w:ascii="David" w:hAnsi="David"/>
        </w:rPr>
      </w:pPr>
      <w:r w:rsidRPr="00D907B3">
        <w:rPr>
          <w:rFonts w:ascii="David" w:hAnsi="David" w:hint="cs"/>
          <w:rtl/>
        </w:rPr>
        <w:t>קצין</w:t>
      </w:r>
      <w:r w:rsidRPr="00D907B3">
        <w:rPr>
          <w:rFonts w:ascii="David" w:hAnsi="David"/>
          <w:rtl/>
        </w:rPr>
        <w:t xml:space="preserve"> המבחן פגש </w:t>
      </w:r>
      <w:r w:rsidRPr="00D907B3">
        <w:rPr>
          <w:rFonts w:ascii="David" w:hAnsi="David" w:hint="cs"/>
          <w:rtl/>
        </w:rPr>
        <w:t>ב</w:t>
      </w:r>
      <w:r w:rsidRPr="00D907B3">
        <w:rPr>
          <w:rFonts w:ascii="David" w:hAnsi="David"/>
          <w:rtl/>
        </w:rPr>
        <w:t xml:space="preserve">נאשם </w:t>
      </w:r>
      <w:r w:rsidRPr="00D907B3">
        <w:rPr>
          <w:rFonts w:ascii="David" w:hAnsi="David" w:hint="cs"/>
          <w:rtl/>
        </w:rPr>
        <w:t>במקום מעצרו</w:t>
      </w:r>
      <w:r w:rsidRPr="00D907B3">
        <w:rPr>
          <w:rFonts w:ascii="David" w:hAnsi="David"/>
          <w:rtl/>
        </w:rPr>
        <w:t xml:space="preserve"> בכלא "אלה", ב</w:t>
      </w:r>
      <w:r w:rsidRPr="00D907B3">
        <w:rPr>
          <w:rFonts w:ascii="David" w:hAnsi="David" w:hint="cs"/>
          <w:rtl/>
        </w:rPr>
        <w:t xml:space="preserve">אמצעות </w:t>
      </w:r>
      <w:r w:rsidRPr="00D907B3">
        <w:rPr>
          <w:rFonts w:ascii="David" w:hAnsi="David"/>
          <w:rtl/>
        </w:rPr>
        <w:t>התוועדות חזותית עקב מגפת הקורונה, ובנוכחותה של מתורגמנית לשפה הערבית.</w:t>
      </w:r>
    </w:p>
    <w:p w14:paraId="5F570336" w14:textId="77777777" w:rsidR="00F16AAC" w:rsidRPr="00DB3540" w:rsidRDefault="00F16AAC" w:rsidP="00F16AAC">
      <w:pPr>
        <w:numPr>
          <w:ilvl w:val="0"/>
          <w:numId w:val="1"/>
        </w:numPr>
        <w:spacing w:after="160" w:line="360" w:lineRule="auto"/>
        <w:ind w:left="232" w:hanging="284"/>
        <w:contextualSpacing/>
        <w:jc w:val="both"/>
        <w:rPr>
          <w:rFonts w:ascii="David" w:hAnsi="David"/>
        </w:rPr>
      </w:pPr>
      <w:r w:rsidRPr="00DB3540">
        <w:rPr>
          <w:rFonts w:ascii="David" w:hAnsi="David"/>
          <w:rtl/>
        </w:rPr>
        <w:t>מתסקיר שירות המבחן עולה, כי הנאשם בן 31, מאורס וטרם מעצרו התגורר עם הוריו בעיסאוויה, ועסק בתחום האלומיניום. הנאשם סיים 11 שנות לימוד</w:t>
      </w:r>
      <w:r>
        <w:rPr>
          <w:rFonts w:ascii="David" w:hAnsi="David" w:hint="cs"/>
          <w:rtl/>
        </w:rPr>
        <w:t>, ונשר מלימודיו לסייע בפרנסת המשפחה</w:t>
      </w:r>
      <w:r w:rsidRPr="00DB3540">
        <w:rPr>
          <w:rFonts w:ascii="David" w:hAnsi="David"/>
          <w:rtl/>
        </w:rPr>
        <w:t xml:space="preserve">. לפני כשנה וחצי הכיר את ארוסתו דרך הרשתות החברתיות, והם מחכים לשחרורו כדי להתחתן. משפחת מוצאו מונה זוג הורים ושמונה אחים ואחיות, בטווח הגילאים 22 </w:t>
      </w:r>
      <w:r w:rsidRPr="00DB3540">
        <w:rPr>
          <w:rFonts w:ascii="David" w:hAnsi="David" w:hint="cs"/>
          <w:rtl/>
        </w:rPr>
        <w:t>עד</w:t>
      </w:r>
      <w:r w:rsidRPr="00DB3540">
        <w:rPr>
          <w:rFonts w:ascii="David" w:hAnsi="David"/>
          <w:rtl/>
        </w:rPr>
        <w:t xml:space="preserve"> 44, והנאשם ה</w:t>
      </w:r>
      <w:r w:rsidRPr="00DB3540">
        <w:rPr>
          <w:rFonts w:ascii="David" w:hAnsi="David" w:hint="cs"/>
          <w:rtl/>
        </w:rPr>
        <w:t>וא</w:t>
      </w:r>
      <w:r w:rsidRPr="00DB3540">
        <w:rPr>
          <w:rFonts w:ascii="David" w:hAnsi="David"/>
          <w:rtl/>
        </w:rPr>
        <w:t xml:space="preserve"> השישי בסדר הלידה. הוריו בשנות השישים לחיי</w:t>
      </w:r>
      <w:r w:rsidRPr="00DB3540">
        <w:rPr>
          <w:rFonts w:ascii="David" w:hAnsi="David" w:hint="cs"/>
          <w:rtl/>
        </w:rPr>
        <w:t>ה</w:t>
      </w:r>
      <w:r w:rsidRPr="00DB3540">
        <w:rPr>
          <w:rFonts w:ascii="David" w:hAnsi="David"/>
          <w:rtl/>
        </w:rPr>
        <w:t xml:space="preserve">ם ומתגוררים בעיסאוויה. אביו של הנאשם מתמודד עם נכות ברגליו עקב תאונה אותה עבר לפני כעשור, בעקבותיה עזב את עבודתו כטבח בחברת </w:t>
      </w:r>
      <w:r>
        <w:rPr>
          <w:rFonts w:ascii="David" w:hAnsi="David" w:hint="cs"/>
          <w:rtl/>
        </w:rPr>
        <w:t>"</w:t>
      </w:r>
      <w:r w:rsidRPr="00DB3540">
        <w:rPr>
          <w:rFonts w:ascii="David" w:hAnsi="David"/>
          <w:rtl/>
        </w:rPr>
        <w:t>אגד</w:t>
      </w:r>
      <w:r>
        <w:rPr>
          <w:rFonts w:ascii="David" w:hAnsi="David" w:hint="cs"/>
          <w:rtl/>
        </w:rPr>
        <w:t>"</w:t>
      </w:r>
      <w:r w:rsidRPr="00DB3540">
        <w:rPr>
          <w:rFonts w:ascii="David" w:hAnsi="David"/>
          <w:rtl/>
        </w:rPr>
        <w:t xml:space="preserve">, ומתקיים מקצבת נכות </w:t>
      </w:r>
      <w:r w:rsidRPr="009758A7">
        <w:rPr>
          <w:rFonts w:ascii="David" w:hAnsi="David"/>
          <w:rtl/>
        </w:rPr>
        <w:t>מ</w:t>
      </w:r>
      <w:r w:rsidRPr="009758A7">
        <w:rPr>
          <w:rFonts w:ascii="David" w:hAnsi="David" w:hint="cs"/>
          <w:rtl/>
        </w:rPr>
        <w:t>את</w:t>
      </w:r>
      <w:r w:rsidRPr="00DB3540">
        <w:rPr>
          <w:rFonts w:ascii="David" w:hAnsi="David"/>
          <w:rtl/>
        </w:rPr>
        <w:t xml:space="preserve"> הביטוח הלאומי. אמו הייתה עקרת בית לאורך השנים, מתמודדת עם מצב בריאותי מורכ</w:t>
      </w:r>
      <w:r w:rsidRPr="00DB3540">
        <w:rPr>
          <w:rFonts w:ascii="David" w:hAnsi="David" w:hint="cs"/>
          <w:rtl/>
        </w:rPr>
        <w:t>ב</w:t>
      </w:r>
      <w:r w:rsidRPr="00DB3540">
        <w:rPr>
          <w:rFonts w:ascii="David" w:hAnsi="David"/>
          <w:rtl/>
        </w:rPr>
        <w:t xml:space="preserve"> וזכאית אף היא לקצבת נכות. ל</w:t>
      </w:r>
      <w:r w:rsidRPr="00DB3540">
        <w:rPr>
          <w:rFonts w:ascii="David" w:hAnsi="David" w:hint="cs"/>
          <w:rtl/>
        </w:rPr>
        <w:t>דברי</w:t>
      </w:r>
      <w:r w:rsidRPr="00DB3540">
        <w:rPr>
          <w:rFonts w:ascii="David" w:hAnsi="David"/>
          <w:rtl/>
        </w:rPr>
        <w:t xml:space="preserve"> הנאשם, ארבע מאחיו מנהלים משקי בית עצמאיים ונפרדים, בעוד שהוא ושלושה נוספים מתגוררים בבית ההורים. הנאשם תיאר</w:t>
      </w:r>
      <w:r w:rsidRPr="00DB3540">
        <w:rPr>
          <w:rFonts w:ascii="David" w:hAnsi="David" w:hint="cs"/>
          <w:rtl/>
        </w:rPr>
        <w:t>,</w:t>
      </w:r>
      <w:r w:rsidRPr="00DB3540">
        <w:rPr>
          <w:rFonts w:ascii="David" w:hAnsi="David"/>
          <w:rtl/>
        </w:rPr>
        <w:t xml:space="preserve"> כי הוא נמצא בקשר טוב עם אחיו והוריו, איתם הוא משוחח טלפונית כל יום מעת מעצרו.</w:t>
      </w:r>
      <w:r>
        <w:rPr>
          <w:rFonts w:ascii="David" w:hAnsi="David" w:hint="cs"/>
          <w:rtl/>
        </w:rPr>
        <w:t xml:space="preserve"> </w:t>
      </w:r>
    </w:p>
    <w:p w14:paraId="28230589" w14:textId="77777777" w:rsidR="00F16AAC" w:rsidRPr="00DB3540" w:rsidRDefault="00F16AAC" w:rsidP="00F16AAC">
      <w:pPr>
        <w:spacing w:after="160" w:line="360" w:lineRule="auto"/>
        <w:ind w:left="232"/>
        <w:contextualSpacing/>
        <w:jc w:val="both"/>
        <w:rPr>
          <w:rFonts w:ascii="David" w:hAnsi="David"/>
          <w:sz w:val="12"/>
          <w:szCs w:val="12"/>
          <w:highlight w:val="cyan"/>
        </w:rPr>
      </w:pPr>
    </w:p>
    <w:p w14:paraId="62982738" w14:textId="77777777" w:rsidR="00F16AAC" w:rsidRPr="00034181" w:rsidRDefault="00F16AAC" w:rsidP="00F16AAC">
      <w:pPr>
        <w:numPr>
          <w:ilvl w:val="0"/>
          <w:numId w:val="1"/>
        </w:numPr>
        <w:spacing w:after="160" w:line="360" w:lineRule="auto"/>
        <w:ind w:left="232" w:hanging="284"/>
        <w:contextualSpacing/>
        <w:jc w:val="both"/>
        <w:rPr>
          <w:rFonts w:ascii="David" w:hAnsi="David"/>
        </w:rPr>
      </w:pPr>
      <w:r w:rsidRPr="00034181">
        <w:rPr>
          <w:rFonts w:ascii="David" w:hAnsi="David"/>
          <w:rtl/>
        </w:rPr>
        <w:t xml:space="preserve">אשר לביצוע העבירה – הנאשם מסר כי ברקע עבירה זו סכסוך כלכלי בין שניים מבני דודיו לבין גורמים עברייניים ברמאללה. </w:t>
      </w:r>
      <w:r w:rsidRPr="00034181">
        <w:rPr>
          <w:rFonts w:ascii="David" w:hAnsi="David" w:hint="cs"/>
          <w:rtl/>
        </w:rPr>
        <w:t>הנאשם סיפר</w:t>
      </w:r>
      <w:r w:rsidRPr="00034181">
        <w:rPr>
          <w:rFonts w:ascii="David" w:hAnsi="David"/>
          <w:rtl/>
        </w:rPr>
        <w:t xml:space="preserve">, </w:t>
      </w:r>
      <w:r w:rsidRPr="00034181">
        <w:rPr>
          <w:rFonts w:ascii="David" w:hAnsi="David" w:hint="cs"/>
          <w:rtl/>
        </w:rPr>
        <w:t xml:space="preserve">כי </w:t>
      </w:r>
      <w:r w:rsidRPr="00034181">
        <w:rPr>
          <w:rFonts w:ascii="David" w:hAnsi="David"/>
          <w:rtl/>
        </w:rPr>
        <w:t>הוא ליווה את בני דודיו לפגישה עם אותם גורמים עברייניים, פגישה אשר התפתחה לאירוע אלים ובמהלכה ירו אותם גורמים על הנאשם ובני דודיו ופגעו ברכבו של הנאשם.</w:t>
      </w:r>
      <w:r w:rsidRPr="00034181">
        <w:rPr>
          <w:rFonts w:ascii="David" w:hAnsi="David" w:hint="cs"/>
          <w:rtl/>
        </w:rPr>
        <w:t xml:space="preserve"> </w:t>
      </w:r>
      <w:r w:rsidRPr="00034181">
        <w:rPr>
          <w:rFonts w:ascii="David" w:hAnsi="David"/>
          <w:rtl/>
        </w:rPr>
        <w:t xml:space="preserve">לאחר </w:t>
      </w:r>
      <w:r w:rsidRPr="00034181">
        <w:rPr>
          <w:rFonts w:ascii="David" w:hAnsi="David" w:hint="cs"/>
          <w:rtl/>
        </w:rPr>
        <w:t>ה</w:t>
      </w:r>
      <w:r w:rsidRPr="00034181">
        <w:rPr>
          <w:rFonts w:ascii="David" w:hAnsi="David"/>
          <w:rtl/>
        </w:rPr>
        <w:t xml:space="preserve">אירוע הוא פנה הן למשטרה הישראלית, </w:t>
      </w:r>
      <w:r w:rsidRPr="00034181">
        <w:rPr>
          <w:rFonts w:ascii="David" w:hAnsi="David" w:hint="cs"/>
          <w:rtl/>
        </w:rPr>
        <w:t>ו</w:t>
      </w:r>
      <w:r w:rsidRPr="00034181">
        <w:rPr>
          <w:rFonts w:ascii="David" w:hAnsi="David"/>
          <w:rtl/>
        </w:rPr>
        <w:t xml:space="preserve">הן למשטרה הפלשתינאית – אך דבר לא נעשה בעניינו. לדבריו, </w:t>
      </w:r>
      <w:r>
        <w:rPr>
          <w:rFonts w:ascii="David" w:hAnsi="David" w:hint="cs"/>
          <w:rtl/>
        </w:rPr>
        <w:t xml:space="preserve">לאחר שניסה להגיע לסולחה והדבר לא צלח, הוא </w:t>
      </w:r>
      <w:r w:rsidRPr="00034181">
        <w:rPr>
          <w:rFonts w:ascii="David" w:hAnsi="David"/>
          <w:rtl/>
        </w:rPr>
        <w:t>פנ</w:t>
      </w:r>
      <w:r>
        <w:rPr>
          <w:rFonts w:ascii="David" w:hAnsi="David" w:hint="cs"/>
          <w:rtl/>
        </w:rPr>
        <w:t>ה</w:t>
      </w:r>
      <w:r w:rsidRPr="00034181">
        <w:rPr>
          <w:rFonts w:ascii="David" w:hAnsi="David"/>
          <w:rtl/>
        </w:rPr>
        <w:t xml:space="preserve"> לאדם ביריחו על מנת לשכור ממנו שלושה אקדחים. </w:t>
      </w:r>
      <w:r w:rsidRPr="00034181">
        <w:rPr>
          <w:rFonts w:ascii="David" w:hAnsi="David" w:hint="cs"/>
          <w:rtl/>
        </w:rPr>
        <w:t>הנאשם ציין, כי</w:t>
      </w:r>
      <w:r w:rsidRPr="00034181">
        <w:rPr>
          <w:rFonts w:ascii="David" w:hAnsi="David"/>
          <w:rtl/>
        </w:rPr>
        <w:t xml:space="preserve"> בעת ביצוע העבירה הוא ידע </w:t>
      </w:r>
      <w:r w:rsidRPr="00034181">
        <w:rPr>
          <w:rFonts w:ascii="David" w:hAnsi="David" w:hint="cs"/>
          <w:rtl/>
        </w:rPr>
        <w:t>שיש פסול</w:t>
      </w:r>
      <w:r w:rsidRPr="00034181">
        <w:rPr>
          <w:rFonts w:ascii="David" w:hAnsi="David"/>
          <w:rtl/>
        </w:rPr>
        <w:t xml:space="preserve"> במעשיו, אך לא הצליח לחשוב על דרך אחרת להגן עליו ועל בני דודיו </w:t>
      </w:r>
      <w:r>
        <w:rPr>
          <w:rFonts w:ascii="David" w:hAnsi="David" w:hint="cs"/>
          <w:rtl/>
        </w:rPr>
        <w:t>מ</w:t>
      </w:r>
      <w:r w:rsidRPr="00034181">
        <w:rPr>
          <w:rFonts w:ascii="David" w:hAnsi="David"/>
          <w:rtl/>
        </w:rPr>
        <w:t>פני אותם גורמים עבריינים.</w:t>
      </w:r>
      <w:r w:rsidRPr="00034181">
        <w:rPr>
          <w:rFonts w:ascii="David" w:hAnsi="David" w:hint="cs"/>
          <w:rtl/>
        </w:rPr>
        <w:t xml:space="preserve"> עוד מסר הנאשם, כי</w:t>
      </w:r>
      <w:r w:rsidRPr="00034181">
        <w:rPr>
          <w:rFonts w:ascii="David" w:hAnsi="David"/>
          <w:rtl/>
        </w:rPr>
        <w:t xml:space="preserve"> לפני כשלוש שנים חבר לחברה שולית באזור מגוריו, ו</w:t>
      </w:r>
      <w:r w:rsidRPr="00034181">
        <w:rPr>
          <w:rFonts w:ascii="David" w:hAnsi="David" w:hint="cs"/>
          <w:rtl/>
        </w:rPr>
        <w:t>על רקע זה פנו</w:t>
      </w:r>
      <w:r w:rsidRPr="00034181">
        <w:rPr>
          <w:rFonts w:ascii="David" w:hAnsi="David"/>
          <w:rtl/>
        </w:rPr>
        <w:t xml:space="preserve"> אליו בני דודיו. עוד תיאר הנאשם</w:t>
      </w:r>
      <w:r w:rsidRPr="00034181">
        <w:rPr>
          <w:rFonts w:ascii="David" w:hAnsi="David" w:hint="cs"/>
          <w:rtl/>
        </w:rPr>
        <w:t>,</w:t>
      </w:r>
      <w:r w:rsidRPr="00034181">
        <w:rPr>
          <w:rFonts w:ascii="David" w:hAnsi="David"/>
          <w:rtl/>
        </w:rPr>
        <w:t xml:space="preserve"> כי סביבת מגוריו מאופיינת בריבוי שימוש בנשק והדבר הפך לשגרתי וזמין עבורו.</w:t>
      </w:r>
    </w:p>
    <w:p w14:paraId="02257001" w14:textId="77777777" w:rsidR="00F16AAC" w:rsidRPr="00B61656" w:rsidRDefault="00F16AAC" w:rsidP="00F16AAC">
      <w:pPr>
        <w:spacing w:after="160" w:line="360" w:lineRule="auto"/>
        <w:ind w:left="232"/>
        <w:contextualSpacing/>
        <w:jc w:val="both"/>
        <w:rPr>
          <w:rFonts w:ascii="David" w:hAnsi="David"/>
          <w:sz w:val="12"/>
          <w:szCs w:val="12"/>
        </w:rPr>
      </w:pPr>
    </w:p>
    <w:p w14:paraId="714695FA" w14:textId="77777777" w:rsidR="00F16AAC" w:rsidRDefault="00F16AAC" w:rsidP="00F16AAC">
      <w:pPr>
        <w:numPr>
          <w:ilvl w:val="0"/>
          <w:numId w:val="1"/>
        </w:numPr>
        <w:spacing w:after="160" w:line="360" w:lineRule="auto"/>
        <w:ind w:left="232" w:hanging="284"/>
        <w:contextualSpacing/>
        <w:jc w:val="both"/>
        <w:rPr>
          <w:rFonts w:ascii="David" w:hAnsi="David"/>
        </w:rPr>
      </w:pPr>
      <w:r w:rsidRPr="00034181">
        <w:rPr>
          <w:rFonts w:ascii="David" w:hAnsi="David"/>
          <w:rtl/>
        </w:rPr>
        <w:lastRenderedPageBreak/>
        <w:t>אשר להערכת הסיכון לעבריינות והסיכוי לשיקום – שירות המבחן התרשם</w:t>
      </w:r>
      <w:r w:rsidRPr="00034181">
        <w:rPr>
          <w:rFonts w:ascii="David" w:hAnsi="David" w:hint="cs"/>
          <w:rtl/>
        </w:rPr>
        <w:t>,</w:t>
      </w:r>
      <w:r w:rsidRPr="00034181">
        <w:rPr>
          <w:rFonts w:ascii="David" w:hAnsi="David"/>
          <w:rtl/>
        </w:rPr>
        <w:t xml:space="preserve"> כי הנאשם מתקשה לשתף בעולמו הפנימי, </w:t>
      </w:r>
      <w:r w:rsidRPr="00034181">
        <w:rPr>
          <w:rFonts w:ascii="David" w:hAnsi="David" w:hint="cs"/>
          <w:rtl/>
        </w:rPr>
        <w:t>הוא</w:t>
      </w:r>
      <w:r w:rsidRPr="00034181">
        <w:rPr>
          <w:rFonts w:ascii="David" w:hAnsi="David"/>
          <w:rtl/>
        </w:rPr>
        <w:t xml:space="preserve"> גדל במשפחה בה הוריו היו טרודים בבעיות פרנסה ובבעיות בריאותיות, שייתכן והתקשו לשמש דמויות מציבות גבול ומכוונות. עוד עולה מהתסקיר</w:t>
      </w:r>
      <w:r w:rsidRPr="00034181">
        <w:rPr>
          <w:rFonts w:ascii="David" w:hAnsi="David" w:hint="cs"/>
          <w:rtl/>
        </w:rPr>
        <w:t>,</w:t>
      </w:r>
      <w:r w:rsidRPr="00034181">
        <w:rPr>
          <w:rFonts w:ascii="David" w:hAnsi="David"/>
          <w:rtl/>
        </w:rPr>
        <w:t xml:space="preserve"> כי בגיל צעיר הנאשם לקח על עצמו את תפקיד המפרנס והמסייע למשפחתו, דבר שככל הנראה לא היה מותאם לגילו ומנע ממנו התפתחות אישית וחברתית תקינה. שירות המבחן</w:t>
      </w:r>
      <w:r w:rsidRPr="00034181">
        <w:rPr>
          <w:rFonts w:ascii="David" w:hAnsi="David" w:hint="cs"/>
          <w:rtl/>
        </w:rPr>
        <w:t xml:space="preserve"> ציין, כי טרם מעצרו </w:t>
      </w:r>
      <w:r w:rsidRPr="00034181">
        <w:rPr>
          <w:rFonts w:ascii="David" w:hAnsi="David"/>
          <w:rtl/>
        </w:rPr>
        <w:t>הנאשם עבד באופן יציב</w:t>
      </w:r>
      <w:r w:rsidRPr="00034181">
        <w:rPr>
          <w:rFonts w:ascii="David" w:hAnsi="David" w:hint="cs"/>
          <w:rtl/>
        </w:rPr>
        <w:t>, ומתכוון עם שחורו</w:t>
      </w:r>
      <w:r w:rsidRPr="00034181">
        <w:rPr>
          <w:rFonts w:ascii="David" w:hAnsi="David"/>
          <w:rtl/>
        </w:rPr>
        <w:t xml:space="preserve"> לפתוח פרק חדש בחייו ולהקים משפחה</w:t>
      </w:r>
      <w:r w:rsidRPr="00034181">
        <w:rPr>
          <w:rFonts w:ascii="David" w:hAnsi="David" w:hint="cs"/>
          <w:rtl/>
        </w:rPr>
        <w:t>. צוין</w:t>
      </w:r>
      <w:r w:rsidRPr="00034181">
        <w:rPr>
          <w:rFonts w:ascii="David" w:hAnsi="David"/>
          <w:rtl/>
        </w:rPr>
        <w:t xml:space="preserve">, </w:t>
      </w:r>
      <w:r w:rsidRPr="00034181">
        <w:rPr>
          <w:rFonts w:ascii="David" w:hAnsi="David" w:hint="cs"/>
          <w:rtl/>
        </w:rPr>
        <w:t xml:space="preserve">כי </w:t>
      </w:r>
      <w:r w:rsidRPr="00034181">
        <w:rPr>
          <w:rFonts w:ascii="David" w:hAnsi="David"/>
          <w:rtl/>
        </w:rPr>
        <w:t>בשנים האחרונות הנאשם תופס את משפחתו כרשת תמיכה המעודדת אותו לגייס את כוחותיו לתפקוד תקין.</w:t>
      </w:r>
    </w:p>
    <w:p w14:paraId="3BF479D4" w14:textId="77777777" w:rsidR="00F16AAC" w:rsidRPr="00034181" w:rsidRDefault="00F16AAC" w:rsidP="00F16AAC">
      <w:pPr>
        <w:spacing w:after="160" w:line="360" w:lineRule="auto"/>
        <w:ind w:left="232"/>
        <w:contextualSpacing/>
        <w:jc w:val="both"/>
        <w:rPr>
          <w:rFonts w:ascii="David" w:hAnsi="David"/>
          <w:sz w:val="12"/>
          <w:szCs w:val="12"/>
        </w:rPr>
      </w:pPr>
    </w:p>
    <w:p w14:paraId="2CF29B0D" w14:textId="77777777" w:rsidR="00F16AAC" w:rsidRDefault="00F16AAC" w:rsidP="00F16AAC">
      <w:pPr>
        <w:numPr>
          <w:ilvl w:val="0"/>
          <w:numId w:val="1"/>
        </w:numPr>
        <w:spacing w:after="160" w:line="360" w:lineRule="auto"/>
        <w:ind w:left="232" w:hanging="284"/>
        <w:contextualSpacing/>
        <w:jc w:val="both"/>
        <w:rPr>
          <w:rFonts w:ascii="David" w:hAnsi="David"/>
        </w:rPr>
      </w:pPr>
      <w:r w:rsidRPr="00080358">
        <w:rPr>
          <w:rFonts w:ascii="David" w:hAnsi="David"/>
          <w:rtl/>
        </w:rPr>
        <w:t>שירות המבחן התרשם</w:t>
      </w:r>
      <w:r w:rsidRPr="00080358">
        <w:rPr>
          <w:rFonts w:ascii="David" w:hAnsi="David" w:hint="cs"/>
          <w:rtl/>
        </w:rPr>
        <w:t>,</w:t>
      </w:r>
      <w:r w:rsidRPr="00080358">
        <w:rPr>
          <w:rFonts w:ascii="David" w:hAnsi="David"/>
          <w:rtl/>
        </w:rPr>
        <w:t xml:space="preserve"> כי לנאשם קושי בהפעלת שיקול דעת ובחינת השלכות מעשיו, וכי לנאשם קשרים חברתיים בעלי השפעה שלילית. הנאשם מתקשה לקחת אחריות בתחומי חייו השונים ונוטה לטשטש ולמזער בעייתיות בהתנהלותו. להערכת שירות המבחן, הנאשם מזוהה עם נורמות שוליות ובעל גבולות פנימיים מטושטשים. לנאשם קושי בהפעלת שיקול דעת, דימוי עצמי נמוך, צורך בהוכחת מסוגלות גברית ונטייה להיגררות לסביבה שלילית.</w:t>
      </w:r>
    </w:p>
    <w:p w14:paraId="7232FDD0" w14:textId="77777777" w:rsidR="00F16AAC" w:rsidRPr="00080358" w:rsidRDefault="00F16AAC" w:rsidP="00F16AAC">
      <w:pPr>
        <w:spacing w:after="160" w:line="360" w:lineRule="auto"/>
        <w:ind w:left="232"/>
        <w:contextualSpacing/>
        <w:jc w:val="both"/>
        <w:rPr>
          <w:rFonts w:ascii="David" w:hAnsi="David"/>
          <w:sz w:val="12"/>
          <w:szCs w:val="12"/>
        </w:rPr>
      </w:pPr>
    </w:p>
    <w:p w14:paraId="29400854" w14:textId="77777777" w:rsidR="00F16AAC" w:rsidRPr="00080358" w:rsidRDefault="00F16AAC" w:rsidP="00F16AAC">
      <w:pPr>
        <w:numPr>
          <w:ilvl w:val="0"/>
          <w:numId w:val="1"/>
        </w:numPr>
        <w:spacing w:after="160" w:line="360" w:lineRule="auto"/>
        <w:ind w:left="232" w:hanging="284"/>
        <w:contextualSpacing/>
        <w:jc w:val="both"/>
        <w:rPr>
          <w:rFonts w:ascii="David" w:hAnsi="David"/>
        </w:rPr>
      </w:pPr>
      <w:r w:rsidRPr="00080358">
        <w:rPr>
          <w:rFonts w:ascii="David" w:hAnsi="David" w:hint="cs"/>
          <w:rtl/>
        </w:rPr>
        <w:t>סופו של דבר</w:t>
      </w:r>
      <w:r w:rsidRPr="00080358">
        <w:rPr>
          <w:rFonts w:ascii="David" w:hAnsi="David"/>
          <w:rtl/>
        </w:rPr>
        <w:t xml:space="preserve">, </w:t>
      </w:r>
      <w:r w:rsidRPr="00080358">
        <w:rPr>
          <w:rFonts w:ascii="David" w:hAnsi="David" w:hint="cs"/>
          <w:rtl/>
        </w:rPr>
        <w:t>ב</w:t>
      </w:r>
      <w:r w:rsidRPr="00080358">
        <w:rPr>
          <w:rFonts w:ascii="David" w:hAnsi="David"/>
          <w:rtl/>
        </w:rPr>
        <w:t xml:space="preserve">התחשב בכך שבסביבת הנאשם נשק רב המהווה גרום סיכון משמעותי, המליץ שירות המבחן על ענישה מוחשית אשר תציב גבולות ברורים, </w:t>
      </w:r>
      <w:r>
        <w:rPr>
          <w:rFonts w:ascii="David" w:hAnsi="David" w:hint="cs"/>
          <w:rtl/>
        </w:rPr>
        <w:t>באמצעות הטלת</w:t>
      </w:r>
      <w:r w:rsidRPr="00080358">
        <w:rPr>
          <w:rFonts w:ascii="David" w:hAnsi="David"/>
          <w:rtl/>
        </w:rPr>
        <w:t xml:space="preserve"> מאסר בפועל.</w:t>
      </w:r>
    </w:p>
    <w:p w14:paraId="188C4A6C" w14:textId="77777777" w:rsidR="00F16AAC" w:rsidRDefault="00F16AAC" w:rsidP="00F16AAC">
      <w:pPr>
        <w:spacing w:after="160" w:line="360" w:lineRule="auto"/>
        <w:ind w:left="-52"/>
        <w:contextualSpacing/>
        <w:jc w:val="both"/>
        <w:rPr>
          <w:rFonts w:ascii="David" w:hAnsi="David"/>
          <w:b/>
          <w:bCs/>
          <w:u w:val="single"/>
          <w:rtl/>
        </w:rPr>
      </w:pPr>
    </w:p>
    <w:p w14:paraId="590FC4C9" w14:textId="77777777" w:rsidR="00F16AAC" w:rsidRDefault="00F16AAC" w:rsidP="00F16AAC">
      <w:pPr>
        <w:spacing w:after="160" w:line="360" w:lineRule="auto"/>
        <w:ind w:left="-52"/>
        <w:contextualSpacing/>
        <w:jc w:val="both"/>
        <w:rPr>
          <w:rFonts w:ascii="David" w:hAnsi="David"/>
          <w:b/>
          <w:bCs/>
          <w:u w:val="single"/>
          <w:rtl/>
        </w:rPr>
      </w:pPr>
      <w:r w:rsidRPr="009758A7">
        <w:rPr>
          <w:rFonts w:ascii="David" w:hAnsi="David"/>
          <w:b/>
          <w:bCs/>
          <w:u w:val="single"/>
          <w:rtl/>
        </w:rPr>
        <w:t>ראיות לעונש</w:t>
      </w:r>
    </w:p>
    <w:p w14:paraId="4CFD2BA9" w14:textId="77777777" w:rsidR="00F16AAC" w:rsidRPr="00DF172C" w:rsidRDefault="00F16AAC" w:rsidP="00F16AAC">
      <w:pPr>
        <w:spacing w:after="160" w:line="360" w:lineRule="auto"/>
        <w:ind w:left="-52"/>
        <w:contextualSpacing/>
        <w:jc w:val="both"/>
        <w:rPr>
          <w:rFonts w:ascii="David" w:hAnsi="David"/>
          <w:b/>
          <w:bCs/>
          <w:sz w:val="12"/>
          <w:szCs w:val="12"/>
          <w:u w:val="single"/>
        </w:rPr>
      </w:pPr>
    </w:p>
    <w:p w14:paraId="2780C7AA" w14:textId="77777777" w:rsidR="00F16AAC" w:rsidRPr="009758A7" w:rsidRDefault="00F16AAC" w:rsidP="00F16AAC">
      <w:pPr>
        <w:numPr>
          <w:ilvl w:val="0"/>
          <w:numId w:val="1"/>
        </w:numPr>
        <w:spacing w:after="160" w:line="360" w:lineRule="auto"/>
        <w:ind w:left="232" w:hanging="284"/>
        <w:contextualSpacing/>
        <w:jc w:val="both"/>
        <w:rPr>
          <w:rFonts w:ascii="David" w:hAnsi="David"/>
        </w:rPr>
      </w:pPr>
      <w:r w:rsidRPr="009758A7">
        <w:rPr>
          <w:rFonts w:ascii="David" w:hAnsi="David" w:hint="cs"/>
          <w:rtl/>
        </w:rPr>
        <w:t xml:space="preserve">מטעם הנאשם הוגשה חוות הדעת של מר אבי קופמן, ממעבדת הנשק, החטיבה לזיהוי פלילי במשטרת ישראל. מחוות הדעת עולה, כי </w:t>
      </w:r>
      <w:r>
        <w:rPr>
          <w:rFonts w:ascii="David" w:hAnsi="David" w:hint="cs"/>
          <w:rtl/>
        </w:rPr>
        <w:t xml:space="preserve">שניים מתוך </w:t>
      </w:r>
      <w:r w:rsidRPr="009758A7">
        <w:rPr>
          <w:rFonts w:ascii="David" w:hAnsi="David" w:hint="cs"/>
          <w:rtl/>
        </w:rPr>
        <w:t>שלושת האקדחים אותם נשא הנאשם נמצאו במצב לא תקין, שכן מנגנון ניצרת יד-הדק-דוקרן אינו פועל באופן תקין בכל אחד מהם. עם זאת, צוין בחוות הדעת כי למרות זאת, ניתן לבצע עם</w:t>
      </w:r>
      <w:r>
        <w:rPr>
          <w:rFonts w:ascii="David" w:hAnsi="David" w:hint="cs"/>
          <w:rtl/>
        </w:rPr>
        <w:t xml:space="preserve"> כל</w:t>
      </w:r>
      <w:r w:rsidRPr="009758A7">
        <w:rPr>
          <w:rFonts w:ascii="David" w:hAnsi="David" w:hint="cs"/>
          <w:rtl/>
        </w:rPr>
        <w:t xml:space="preserve"> האקדחים ירי ובכוחם להמית אדם.</w:t>
      </w:r>
    </w:p>
    <w:p w14:paraId="1278935C" w14:textId="77777777" w:rsidR="00F16AAC" w:rsidRPr="00D67300" w:rsidRDefault="00F16AAC" w:rsidP="00F16AAC">
      <w:pPr>
        <w:spacing w:after="160" w:line="360" w:lineRule="auto"/>
        <w:ind w:left="-52"/>
        <w:contextualSpacing/>
        <w:jc w:val="both"/>
        <w:rPr>
          <w:rFonts w:ascii="David" w:hAnsi="David"/>
          <w:rtl/>
        </w:rPr>
      </w:pPr>
    </w:p>
    <w:p w14:paraId="36B9F8A7" w14:textId="77777777" w:rsidR="00F16AAC" w:rsidRDefault="00F16AAC" w:rsidP="00F16AAC">
      <w:pPr>
        <w:spacing w:after="160" w:line="360" w:lineRule="auto"/>
        <w:ind w:left="-52"/>
        <w:contextualSpacing/>
        <w:jc w:val="both"/>
        <w:rPr>
          <w:rFonts w:ascii="David" w:hAnsi="David"/>
          <w:b/>
          <w:bCs/>
          <w:u w:val="single"/>
          <w:rtl/>
        </w:rPr>
      </w:pPr>
      <w:r w:rsidRPr="0018761C">
        <w:rPr>
          <w:rFonts w:ascii="David" w:hAnsi="David"/>
          <w:b/>
          <w:bCs/>
          <w:u w:val="single"/>
          <w:rtl/>
        </w:rPr>
        <w:t>טענ</w:t>
      </w:r>
      <w:r w:rsidRPr="0018761C">
        <w:rPr>
          <w:rFonts w:ascii="David" w:hAnsi="David" w:hint="cs"/>
          <w:b/>
          <w:bCs/>
          <w:u w:val="single"/>
          <w:rtl/>
        </w:rPr>
        <w:t>ות הצדדים ל</w:t>
      </w:r>
      <w:r w:rsidRPr="0018761C">
        <w:rPr>
          <w:rFonts w:ascii="David" w:hAnsi="David"/>
          <w:b/>
          <w:bCs/>
          <w:u w:val="single"/>
          <w:rtl/>
        </w:rPr>
        <w:t>עונש</w:t>
      </w:r>
    </w:p>
    <w:p w14:paraId="1784FC68" w14:textId="77777777" w:rsidR="00F16AAC" w:rsidRPr="00DF172C" w:rsidRDefault="00F16AAC" w:rsidP="00F16AAC">
      <w:pPr>
        <w:spacing w:after="160" w:line="360" w:lineRule="auto"/>
        <w:ind w:left="-52"/>
        <w:contextualSpacing/>
        <w:jc w:val="both"/>
        <w:rPr>
          <w:rFonts w:ascii="David" w:hAnsi="David"/>
          <w:b/>
          <w:bCs/>
          <w:sz w:val="12"/>
          <w:szCs w:val="12"/>
          <w:u w:val="single"/>
        </w:rPr>
      </w:pPr>
    </w:p>
    <w:p w14:paraId="63D3DE2C" w14:textId="77777777" w:rsidR="00F16AAC" w:rsidRDefault="00F16AAC" w:rsidP="00F16AAC">
      <w:pPr>
        <w:numPr>
          <w:ilvl w:val="0"/>
          <w:numId w:val="1"/>
        </w:numPr>
        <w:spacing w:after="160" w:line="360" w:lineRule="auto"/>
        <w:ind w:left="232" w:hanging="284"/>
        <w:contextualSpacing/>
        <w:jc w:val="both"/>
        <w:rPr>
          <w:rFonts w:ascii="David" w:hAnsi="David"/>
        </w:rPr>
      </w:pPr>
      <w:r w:rsidRPr="0018761C">
        <w:rPr>
          <w:rFonts w:ascii="David" w:hAnsi="David" w:hint="cs"/>
          <w:rtl/>
        </w:rPr>
        <w:t xml:space="preserve"> אשר לנסיבות ביצוע העבירה, טען ב"כ המאשימה כי מדובר בנאשם שתכנן היטב את מעשיו, נסע לשטחי הרשות הפלשתינית במטרה ברורה לשכירת כלי נשק, הסליק את כלי הנשק לתוך כלי הרכב, תוך שחברו לנסיעה אינו מודע להימצאות כלי הנשק ברכב. ב"כ המאשימה ציין</w:t>
      </w:r>
      <w:r>
        <w:rPr>
          <w:rFonts w:ascii="David" w:hAnsi="David" w:hint="cs"/>
          <w:rtl/>
        </w:rPr>
        <w:t>,</w:t>
      </w:r>
      <w:r w:rsidRPr="0018761C">
        <w:rPr>
          <w:rFonts w:ascii="David" w:hAnsi="David" w:hint="cs"/>
          <w:rtl/>
        </w:rPr>
        <w:t xml:space="preserve"> כי מדובר בשלושה כלי נשק, וממספרם של כלי הנשק בצירוף העובדה שהם הושכרו לנאשם ולא נקנו על ידו, ניתן ללמוד שהנאשם התעתד להשתמש בהם. עוד הוסיף וטען ב"כ המאשימה, כי אין להתחשב בחוות הדעת בעת קביעת עונשו של הנאשם, שכן הנאשם לא יכול היה לדעת כי הוא מחזיק בידו כלי נשק שאינם תקינים, ובכוונתו הייתה להשיג כלי נשק תקינים ומכל מקום ניתן לבצע ירי בכלי הנשק. בנסיבות אלה עתר ב"כ המאשימה למתחם עונש הולם הנע בין 42 ל-60 חודשי מאסר.</w:t>
      </w:r>
    </w:p>
    <w:p w14:paraId="51FF2742" w14:textId="77777777" w:rsidR="00F16AAC" w:rsidRPr="0018761C" w:rsidRDefault="00F16AAC" w:rsidP="00F16AAC">
      <w:pPr>
        <w:spacing w:after="160" w:line="360" w:lineRule="auto"/>
        <w:ind w:left="232"/>
        <w:contextualSpacing/>
        <w:jc w:val="both"/>
        <w:rPr>
          <w:rFonts w:ascii="David" w:hAnsi="David"/>
          <w:sz w:val="12"/>
          <w:szCs w:val="12"/>
        </w:rPr>
      </w:pPr>
    </w:p>
    <w:p w14:paraId="4491F0AF" w14:textId="77777777" w:rsidR="00F16AAC" w:rsidRDefault="00F16AAC" w:rsidP="00F16AAC">
      <w:pPr>
        <w:numPr>
          <w:ilvl w:val="0"/>
          <w:numId w:val="1"/>
        </w:numPr>
        <w:spacing w:after="160" w:line="360" w:lineRule="auto"/>
        <w:ind w:left="232" w:hanging="284"/>
        <w:contextualSpacing/>
        <w:jc w:val="both"/>
        <w:rPr>
          <w:rFonts w:ascii="David" w:hAnsi="David"/>
        </w:rPr>
      </w:pPr>
      <w:r w:rsidRPr="0018761C">
        <w:rPr>
          <w:rFonts w:ascii="David" w:hAnsi="David" w:hint="cs"/>
          <w:rtl/>
        </w:rPr>
        <w:t>אשר לנסיבות שאינן קשורות לביצוע העבירה, טען ב"כ המאשימה</w:t>
      </w:r>
      <w:r>
        <w:rPr>
          <w:rFonts w:ascii="David" w:hAnsi="David" w:hint="cs"/>
          <w:rtl/>
        </w:rPr>
        <w:t>,</w:t>
      </w:r>
      <w:r w:rsidRPr="0018761C">
        <w:rPr>
          <w:rFonts w:ascii="David" w:hAnsi="David" w:hint="cs"/>
          <w:rtl/>
        </w:rPr>
        <w:t xml:space="preserve"> כי מחד</w:t>
      </w:r>
      <w:r>
        <w:rPr>
          <w:rFonts w:ascii="David" w:hAnsi="David" w:hint="cs"/>
          <w:rtl/>
        </w:rPr>
        <w:t xml:space="preserve"> גיסא</w:t>
      </w:r>
      <w:r w:rsidRPr="0018761C">
        <w:rPr>
          <w:rFonts w:ascii="David" w:hAnsi="David" w:hint="cs"/>
          <w:rtl/>
        </w:rPr>
        <w:t>, הנאשם הודה ב</w:t>
      </w:r>
      <w:r>
        <w:rPr>
          <w:rFonts w:ascii="David" w:hAnsi="David" w:hint="cs"/>
          <w:rtl/>
        </w:rPr>
        <w:t>ביצוע העבירה</w:t>
      </w:r>
      <w:r w:rsidRPr="0018761C">
        <w:rPr>
          <w:rFonts w:ascii="David" w:hAnsi="David" w:hint="cs"/>
          <w:rtl/>
        </w:rPr>
        <w:t xml:space="preserve"> וחסך זמן שיפוטי רב, אך מאידך</w:t>
      </w:r>
      <w:r>
        <w:rPr>
          <w:rFonts w:ascii="David" w:hAnsi="David" w:hint="cs"/>
          <w:rtl/>
        </w:rPr>
        <w:t xml:space="preserve"> גיסא,</w:t>
      </w:r>
      <w:r w:rsidRPr="0018761C">
        <w:rPr>
          <w:rFonts w:ascii="David" w:hAnsi="David" w:hint="cs"/>
          <w:rtl/>
        </w:rPr>
        <w:t xml:space="preserve"> </w:t>
      </w:r>
      <w:r>
        <w:rPr>
          <w:rFonts w:ascii="David" w:hAnsi="David" w:hint="cs"/>
          <w:rtl/>
        </w:rPr>
        <w:t xml:space="preserve">הנאשם צבר </w:t>
      </w:r>
      <w:r w:rsidRPr="0018761C">
        <w:rPr>
          <w:rFonts w:ascii="David" w:hAnsi="David" w:hint="cs"/>
          <w:rtl/>
        </w:rPr>
        <w:t>לחובת רישום פלילי מכביד הכולל שתי הרשעות, אחת מהן בעבירות נשק, בגינה נשפט ל</w:t>
      </w:r>
      <w:r>
        <w:rPr>
          <w:rFonts w:ascii="David" w:hAnsi="David" w:hint="cs"/>
          <w:rtl/>
        </w:rPr>
        <w:t>-</w:t>
      </w:r>
      <w:r w:rsidRPr="0018761C">
        <w:rPr>
          <w:rFonts w:ascii="David" w:hAnsi="David" w:hint="cs"/>
          <w:rtl/>
        </w:rPr>
        <w:t>18 חודשי מאסר. עוד הוסיף ב"כ המאשימה</w:t>
      </w:r>
      <w:r>
        <w:rPr>
          <w:rFonts w:ascii="David" w:hAnsi="David" w:hint="cs"/>
          <w:rtl/>
        </w:rPr>
        <w:t>,</w:t>
      </w:r>
      <w:r w:rsidRPr="0018761C">
        <w:rPr>
          <w:rFonts w:ascii="David" w:hAnsi="David" w:hint="cs"/>
          <w:rtl/>
        </w:rPr>
        <w:t xml:space="preserve"> כי תסקיר שירות המבחן המליץ על </w:t>
      </w:r>
      <w:r>
        <w:rPr>
          <w:rFonts w:ascii="David" w:hAnsi="David" w:hint="cs"/>
          <w:rtl/>
        </w:rPr>
        <w:t xml:space="preserve">השתת </w:t>
      </w:r>
      <w:r w:rsidRPr="0018761C">
        <w:rPr>
          <w:rFonts w:ascii="David" w:hAnsi="David" w:hint="cs"/>
          <w:rtl/>
        </w:rPr>
        <w:t xml:space="preserve">מאסר בפועל, וציין שקיים גורם סיכון משמעותי למעורבות נוספת של הנאשם בפלילים, כמו גם את העובדה </w:t>
      </w:r>
      <w:r>
        <w:rPr>
          <w:rFonts w:ascii="David" w:hAnsi="David" w:hint="cs"/>
          <w:rtl/>
        </w:rPr>
        <w:t>שהוא</w:t>
      </w:r>
      <w:r w:rsidRPr="0018761C">
        <w:rPr>
          <w:rFonts w:ascii="David" w:hAnsi="David" w:hint="cs"/>
          <w:rtl/>
        </w:rPr>
        <w:t xml:space="preserve"> מתקשה לקבל אחריות בתחומי החיים. </w:t>
      </w:r>
      <w:r>
        <w:rPr>
          <w:rFonts w:ascii="David" w:hAnsi="David" w:hint="cs"/>
          <w:rtl/>
        </w:rPr>
        <w:t>בנוסף טען,</w:t>
      </w:r>
      <w:r w:rsidRPr="0018761C">
        <w:rPr>
          <w:rFonts w:ascii="David" w:hAnsi="David" w:hint="cs"/>
          <w:rtl/>
        </w:rPr>
        <w:t xml:space="preserve"> כי </w:t>
      </w:r>
      <w:r>
        <w:rPr>
          <w:rFonts w:ascii="David" w:hAnsi="David" w:hint="cs"/>
          <w:rtl/>
        </w:rPr>
        <w:t>עולה מהתסקיר</w:t>
      </w:r>
      <w:r w:rsidRPr="0018761C">
        <w:rPr>
          <w:rFonts w:ascii="David" w:hAnsi="David" w:hint="cs"/>
          <w:rtl/>
        </w:rPr>
        <w:t xml:space="preserve"> שכלי הנשק נשכרו </w:t>
      </w:r>
      <w:r>
        <w:rPr>
          <w:rFonts w:ascii="David" w:hAnsi="David" w:hint="cs"/>
          <w:rtl/>
        </w:rPr>
        <w:t xml:space="preserve">בעקבות </w:t>
      </w:r>
      <w:r w:rsidRPr="0018761C">
        <w:rPr>
          <w:rFonts w:ascii="David" w:hAnsi="David" w:hint="cs"/>
          <w:rtl/>
        </w:rPr>
        <w:t>סכסוך</w:t>
      </w:r>
      <w:r>
        <w:rPr>
          <w:rFonts w:ascii="David" w:hAnsi="David" w:hint="cs"/>
          <w:rtl/>
        </w:rPr>
        <w:t>, על מנת לה</w:t>
      </w:r>
      <w:r w:rsidRPr="0018761C">
        <w:rPr>
          <w:rFonts w:ascii="David" w:hAnsi="David" w:hint="cs"/>
          <w:rtl/>
        </w:rPr>
        <w:t>ש</w:t>
      </w:r>
      <w:r>
        <w:rPr>
          <w:rFonts w:ascii="David" w:hAnsi="David" w:hint="cs"/>
          <w:rtl/>
        </w:rPr>
        <w:t>ת</w:t>
      </w:r>
      <w:r w:rsidRPr="0018761C">
        <w:rPr>
          <w:rFonts w:ascii="David" w:hAnsi="David" w:hint="cs"/>
          <w:rtl/>
        </w:rPr>
        <w:t>מש בהם.</w:t>
      </w:r>
    </w:p>
    <w:p w14:paraId="2DCB3E05" w14:textId="77777777" w:rsidR="00F16AAC" w:rsidRPr="0018761C" w:rsidRDefault="00F16AAC" w:rsidP="00F16AAC">
      <w:pPr>
        <w:spacing w:after="160" w:line="360" w:lineRule="auto"/>
        <w:ind w:left="232"/>
        <w:contextualSpacing/>
        <w:jc w:val="both"/>
        <w:rPr>
          <w:rFonts w:ascii="David" w:hAnsi="David"/>
          <w:sz w:val="12"/>
          <w:szCs w:val="12"/>
        </w:rPr>
      </w:pPr>
    </w:p>
    <w:p w14:paraId="6917147D" w14:textId="77777777" w:rsidR="00F16AAC" w:rsidRDefault="00F16AAC" w:rsidP="00F16AAC">
      <w:pPr>
        <w:numPr>
          <w:ilvl w:val="0"/>
          <w:numId w:val="1"/>
        </w:numPr>
        <w:spacing w:after="160" w:line="360" w:lineRule="auto"/>
        <w:ind w:left="232" w:hanging="284"/>
        <w:contextualSpacing/>
        <w:jc w:val="both"/>
        <w:rPr>
          <w:rFonts w:ascii="David" w:hAnsi="David"/>
        </w:rPr>
      </w:pPr>
      <w:r w:rsidRPr="00904F35">
        <w:rPr>
          <w:rFonts w:ascii="David" w:hAnsi="David" w:hint="cs"/>
          <w:rtl/>
        </w:rPr>
        <w:t>בנסיבות אלה, טע</w:t>
      </w:r>
      <w:r>
        <w:rPr>
          <w:rFonts w:ascii="David" w:hAnsi="David" w:hint="cs"/>
          <w:rtl/>
        </w:rPr>
        <w:t xml:space="preserve">ן ב"כ המאשימה, כי היה מקום </w:t>
      </w:r>
      <w:r w:rsidRPr="00904F35">
        <w:rPr>
          <w:rFonts w:ascii="David" w:hAnsi="David" w:hint="cs"/>
          <w:rtl/>
        </w:rPr>
        <w:t xml:space="preserve">להטיל על הנאשם </w:t>
      </w:r>
      <w:r>
        <w:rPr>
          <w:rFonts w:ascii="David" w:hAnsi="David" w:hint="cs"/>
          <w:rtl/>
        </w:rPr>
        <w:t>עונש ב</w:t>
      </w:r>
      <w:r w:rsidRPr="00904F35">
        <w:rPr>
          <w:rFonts w:ascii="David" w:hAnsi="David" w:hint="cs"/>
          <w:rtl/>
        </w:rPr>
        <w:t>חלק</w:t>
      </w:r>
      <w:r>
        <w:rPr>
          <w:rFonts w:ascii="David" w:hAnsi="David" w:hint="cs"/>
          <w:rtl/>
        </w:rPr>
        <w:t>ו</w:t>
      </w:r>
      <w:r w:rsidRPr="00904F35">
        <w:rPr>
          <w:rFonts w:ascii="David" w:hAnsi="David" w:hint="cs"/>
          <w:rtl/>
        </w:rPr>
        <w:t xml:space="preserve"> </w:t>
      </w:r>
      <w:r>
        <w:rPr>
          <w:rFonts w:ascii="David" w:hAnsi="David" w:hint="cs"/>
          <w:rtl/>
        </w:rPr>
        <w:t xml:space="preserve">האמצעי של </w:t>
      </w:r>
      <w:r w:rsidRPr="00904F35">
        <w:rPr>
          <w:rFonts w:ascii="David" w:hAnsi="David" w:hint="cs"/>
          <w:rtl/>
        </w:rPr>
        <w:t>מתחם</w:t>
      </w:r>
      <w:r>
        <w:rPr>
          <w:rFonts w:ascii="David" w:hAnsi="David" w:hint="cs"/>
          <w:rtl/>
        </w:rPr>
        <w:t xml:space="preserve"> העונש ההולם</w:t>
      </w:r>
      <w:r w:rsidRPr="00904F35">
        <w:rPr>
          <w:rFonts w:ascii="David" w:hAnsi="David" w:hint="cs"/>
          <w:rtl/>
        </w:rPr>
        <w:t xml:space="preserve">, אך </w:t>
      </w:r>
      <w:r>
        <w:rPr>
          <w:rFonts w:ascii="David" w:hAnsi="David" w:hint="cs"/>
          <w:rtl/>
        </w:rPr>
        <w:t xml:space="preserve">בעקבות </w:t>
      </w:r>
      <w:r w:rsidRPr="00904F35">
        <w:rPr>
          <w:rFonts w:ascii="David" w:hAnsi="David" w:hint="cs"/>
          <w:rtl/>
        </w:rPr>
        <w:t xml:space="preserve">הסדר הטיעון </w:t>
      </w:r>
      <w:r>
        <w:rPr>
          <w:rFonts w:ascii="David" w:hAnsi="David" w:hint="cs"/>
          <w:rtl/>
        </w:rPr>
        <w:t xml:space="preserve">אשר בגדרו הסכימה המאשימה להגביל עצמה לעתור לעונש של </w:t>
      </w:r>
      <w:r w:rsidRPr="00904F35">
        <w:rPr>
          <w:rFonts w:ascii="David" w:hAnsi="David" w:hint="cs"/>
          <w:rtl/>
        </w:rPr>
        <w:t>48 חודשי מאסר בניכוי ימי מעצרו של הנאשם</w:t>
      </w:r>
      <w:r>
        <w:rPr>
          <w:rFonts w:ascii="David" w:hAnsi="David" w:hint="cs"/>
          <w:rtl/>
        </w:rPr>
        <w:t xml:space="preserve"> הוא עתר לעונש זה</w:t>
      </w:r>
      <w:r w:rsidRPr="00904F35">
        <w:rPr>
          <w:rFonts w:ascii="David" w:hAnsi="David" w:hint="cs"/>
          <w:rtl/>
        </w:rPr>
        <w:t xml:space="preserve">, </w:t>
      </w:r>
      <w:r>
        <w:rPr>
          <w:rFonts w:ascii="David" w:hAnsi="David" w:hint="cs"/>
          <w:rtl/>
        </w:rPr>
        <w:t xml:space="preserve">לצד הטלת </w:t>
      </w:r>
      <w:r w:rsidRPr="00904F35">
        <w:rPr>
          <w:rFonts w:ascii="David" w:hAnsi="David" w:hint="cs"/>
          <w:rtl/>
        </w:rPr>
        <w:t>מאסר על תנאי וקנס. ב"כ המאשימה הגיש פסיקה לתמיכה בטענותיו.</w:t>
      </w:r>
    </w:p>
    <w:p w14:paraId="3579F4F9" w14:textId="77777777" w:rsidR="00F16AAC" w:rsidRPr="00904F35" w:rsidRDefault="00F16AAC" w:rsidP="00F16AAC">
      <w:pPr>
        <w:spacing w:after="160" w:line="360" w:lineRule="auto"/>
        <w:ind w:left="232"/>
        <w:contextualSpacing/>
        <w:jc w:val="both"/>
        <w:rPr>
          <w:rFonts w:ascii="David" w:hAnsi="David"/>
          <w:sz w:val="12"/>
          <w:szCs w:val="12"/>
        </w:rPr>
      </w:pPr>
    </w:p>
    <w:p w14:paraId="22B7CE13" w14:textId="77777777" w:rsidR="00F16AAC" w:rsidRDefault="00F16AAC" w:rsidP="00F16AAC">
      <w:pPr>
        <w:numPr>
          <w:ilvl w:val="0"/>
          <w:numId w:val="1"/>
        </w:numPr>
        <w:spacing w:after="160" w:line="360" w:lineRule="auto"/>
        <w:ind w:left="232" w:hanging="284"/>
        <w:contextualSpacing/>
        <w:jc w:val="both"/>
        <w:rPr>
          <w:rFonts w:ascii="David" w:hAnsi="David"/>
        </w:rPr>
      </w:pPr>
      <w:r>
        <w:rPr>
          <w:rFonts w:ascii="David" w:hAnsi="David" w:hint="cs"/>
          <w:rtl/>
        </w:rPr>
        <w:t xml:space="preserve">מנגד, טען </w:t>
      </w:r>
      <w:r w:rsidRPr="00904F35">
        <w:rPr>
          <w:rFonts w:ascii="David" w:hAnsi="David" w:hint="cs"/>
          <w:rtl/>
        </w:rPr>
        <w:t xml:space="preserve">ב"כ הנאשם כי הנאשם </w:t>
      </w:r>
      <w:r>
        <w:rPr>
          <w:rFonts w:ascii="David" w:hAnsi="David" w:hint="cs"/>
          <w:rtl/>
        </w:rPr>
        <w:t xml:space="preserve">לקח אחריות מלאה למעשיו מיד עם </w:t>
      </w:r>
      <w:r w:rsidRPr="00904F35">
        <w:rPr>
          <w:rFonts w:ascii="David" w:hAnsi="David" w:hint="cs"/>
          <w:rtl/>
        </w:rPr>
        <w:t>מעצרו, ואף נמנע מלנסות ולטפול את המעשים של שותפו לנסיעה</w:t>
      </w:r>
      <w:r>
        <w:rPr>
          <w:rFonts w:ascii="David" w:hAnsi="David" w:hint="cs"/>
          <w:rtl/>
        </w:rPr>
        <w:t>. עוד טען</w:t>
      </w:r>
      <w:r w:rsidRPr="00904F35">
        <w:rPr>
          <w:rFonts w:ascii="David" w:hAnsi="David" w:hint="cs"/>
          <w:rtl/>
        </w:rPr>
        <w:t xml:space="preserve"> ב"כ הנאשם</w:t>
      </w:r>
      <w:r>
        <w:rPr>
          <w:rFonts w:ascii="David" w:hAnsi="David" w:hint="cs"/>
          <w:rtl/>
        </w:rPr>
        <w:t>,</w:t>
      </w:r>
      <w:r w:rsidRPr="00904F35">
        <w:rPr>
          <w:rFonts w:ascii="David" w:hAnsi="David" w:hint="cs"/>
          <w:rtl/>
        </w:rPr>
        <w:t xml:space="preserve"> כי האירוע התרחש בשטחים, כשלא הייתה לנאשם כל כוונה להכניס </w:t>
      </w:r>
      <w:r>
        <w:rPr>
          <w:rFonts w:ascii="David" w:hAnsi="David" w:hint="cs"/>
          <w:rtl/>
        </w:rPr>
        <w:t xml:space="preserve">את כלי הנשק לתחומי מדינת ישראל, כאשר </w:t>
      </w:r>
      <w:r w:rsidRPr="00904F35">
        <w:rPr>
          <w:rFonts w:ascii="David" w:hAnsi="David" w:hint="cs"/>
          <w:rtl/>
        </w:rPr>
        <w:t xml:space="preserve">ברקע </w:t>
      </w:r>
      <w:r>
        <w:rPr>
          <w:rFonts w:ascii="David" w:hAnsi="David" w:hint="cs"/>
          <w:rtl/>
        </w:rPr>
        <w:t xml:space="preserve">לשכירת הנשק </w:t>
      </w:r>
      <w:r w:rsidRPr="00904F35">
        <w:rPr>
          <w:rFonts w:ascii="David" w:hAnsi="David" w:hint="cs"/>
          <w:rtl/>
        </w:rPr>
        <w:t>סכסוך</w:t>
      </w:r>
      <w:r>
        <w:rPr>
          <w:rFonts w:ascii="David" w:hAnsi="David" w:hint="cs"/>
          <w:rtl/>
        </w:rPr>
        <w:t xml:space="preserve"> של בני דודיו עם עבריינים ברמאללה</w:t>
      </w:r>
      <w:r w:rsidRPr="00904F35">
        <w:rPr>
          <w:rFonts w:ascii="David" w:hAnsi="David" w:hint="cs"/>
          <w:rtl/>
        </w:rPr>
        <w:t>, והתעלמות הגורמים השונים והמשטרה מפניותיו של הנאשם ומבקשות העזרה שלו</w:t>
      </w:r>
      <w:r>
        <w:rPr>
          <w:rFonts w:ascii="David" w:hAnsi="David" w:hint="cs"/>
          <w:rtl/>
        </w:rPr>
        <w:t>.</w:t>
      </w:r>
      <w:r w:rsidRPr="00904F35">
        <w:rPr>
          <w:rFonts w:ascii="David" w:hAnsi="David" w:hint="cs"/>
          <w:rtl/>
        </w:rPr>
        <w:t xml:space="preserve"> </w:t>
      </w:r>
      <w:r>
        <w:rPr>
          <w:rFonts w:ascii="David" w:hAnsi="David" w:hint="cs"/>
          <w:rtl/>
        </w:rPr>
        <w:t>לדבריו,</w:t>
      </w:r>
      <w:r w:rsidRPr="00904F35">
        <w:rPr>
          <w:rFonts w:ascii="David" w:hAnsi="David" w:hint="cs"/>
          <w:rtl/>
        </w:rPr>
        <w:t xml:space="preserve"> הנאשם מתגורר באזור אל-רם, אזור מופקר </w:t>
      </w:r>
      <w:r>
        <w:rPr>
          <w:rFonts w:ascii="David" w:hAnsi="David" w:hint="cs"/>
          <w:rtl/>
        </w:rPr>
        <w:t>אשר</w:t>
      </w:r>
      <w:r w:rsidRPr="00904F35">
        <w:rPr>
          <w:rFonts w:ascii="David" w:hAnsi="David" w:hint="cs"/>
          <w:rtl/>
        </w:rPr>
        <w:t xml:space="preserve"> "אין דין </w:t>
      </w:r>
      <w:r>
        <w:rPr>
          <w:rFonts w:ascii="David" w:hAnsi="David" w:hint="cs"/>
          <w:rtl/>
        </w:rPr>
        <w:t>ו</w:t>
      </w:r>
      <w:r w:rsidRPr="00904F35">
        <w:rPr>
          <w:rFonts w:ascii="David" w:hAnsi="David" w:hint="cs"/>
          <w:rtl/>
        </w:rPr>
        <w:t>אין דיין"</w:t>
      </w:r>
      <w:r>
        <w:rPr>
          <w:rFonts w:ascii="David" w:hAnsi="David" w:hint="cs"/>
          <w:rtl/>
        </w:rPr>
        <w:t xml:space="preserve"> שם</w:t>
      </w:r>
      <w:r w:rsidRPr="00904F35">
        <w:rPr>
          <w:rFonts w:ascii="David" w:hAnsi="David" w:hint="cs"/>
          <w:rtl/>
        </w:rPr>
        <w:t>.</w:t>
      </w:r>
    </w:p>
    <w:p w14:paraId="00696BAC" w14:textId="77777777" w:rsidR="00F16AAC" w:rsidRPr="009A0BA1" w:rsidRDefault="00F16AAC" w:rsidP="00F16AAC">
      <w:pPr>
        <w:spacing w:after="160" w:line="360" w:lineRule="auto"/>
        <w:ind w:left="232"/>
        <w:contextualSpacing/>
        <w:jc w:val="both"/>
        <w:rPr>
          <w:rFonts w:ascii="David" w:hAnsi="David"/>
          <w:sz w:val="12"/>
          <w:szCs w:val="12"/>
        </w:rPr>
      </w:pPr>
    </w:p>
    <w:p w14:paraId="675464DF" w14:textId="77777777" w:rsidR="00F16AAC" w:rsidRDefault="00F16AAC" w:rsidP="00F16AAC">
      <w:pPr>
        <w:numPr>
          <w:ilvl w:val="0"/>
          <w:numId w:val="1"/>
        </w:numPr>
        <w:spacing w:after="160" w:line="360" w:lineRule="auto"/>
        <w:ind w:left="232" w:hanging="284"/>
        <w:contextualSpacing/>
        <w:jc w:val="both"/>
        <w:rPr>
          <w:rFonts w:ascii="David" w:hAnsi="David"/>
        </w:rPr>
      </w:pPr>
      <w:r w:rsidRPr="00904F35">
        <w:rPr>
          <w:rFonts w:ascii="David" w:hAnsi="David" w:hint="cs"/>
          <w:rtl/>
        </w:rPr>
        <w:t>עוד הוסיף ב"כ הנאשם</w:t>
      </w:r>
      <w:r>
        <w:rPr>
          <w:rFonts w:ascii="David" w:hAnsi="David" w:hint="cs"/>
          <w:rtl/>
        </w:rPr>
        <w:t>,</w:t>
      </w:r>
      <w:r w:rsidRPr="00904F35">
        <w:rPr>
          <w:rFonts w:ascii="David" w:hAnsi="David" w:hint="cs"/>
          <w:rtl/>
        </w:rPr>
        <w:t xml:space="preserve"> כי שניים משלושת כלי הנשק היו תקולים, כמפורט בחוות הדעת, ובנוסף הדגיש ב"כ הנאשם את העובדה</w:t>
      </w:r>
      <w:r>
        <w:rPr>
          <w:rFonts w:ascii="David" w:hAnsi="David" w:hint="cs"/>
          <w:rtl/>
        </w:rPr>
        <w:t>,</w:t>
      </w:r>
      <w:r w:rsidRPr="00904F35">
        <w:rPr>
          <w:rFonts w:ascii="David" w:hAnsi="David" w:hint="cs"/>
          <w:rtl/>
        </w:rPr>
        <w:t xml:space="preserve"> כי לנאשם לא הייתה תחמושת </w:t>
      </w:r>
      <w:r>
        <w:rPr>
          <w:rFonts w:ascii="David" w:hAnsi="David" w:hint="cs"/>
          <w:rtl/>
        </w:rPr>
        <w:t>מתאימה לכלי הנשק</w:t>
      </w:r>
      <w:r w:rsidRPr="00904F35">
        <w:rPr>
          <w:rFonts w:ascii="David" w:hAnsi="David" w:hint="cs"/>
          <w:rtl/>
        </w:rPr>
        <w:t xml:space="preserve"> אל</w:t>
      </w:r>
      <w:r>
        <w:rPr>
          <w:rFonts w:ascii="David" w:hAnsi="David" w:hint="cs"/>
          <w:rtl/>
        </w:rPr>
        <w:t>א כלי נשק בלבד. לדברי ב"כ הנאשם</w:t>
      </w:r>
      <w:r w:rsidRPr="00904F35">
        <w:rPr>
          <w:rFonts w:ascii="David" w:hAnsi="David" w:hint="cs"/>
          <w:rtl/>
        </w:rPr>
        <w:t xml:space="preserve"> עובדה זו מלמדת</w:t>
      </w:r>
      <w:r>
        <w:rPr>
          <w:rFonts w:ascii="David" w:hAnsi="David" w:hint="cs"/>
          <w:rtl/>
        </w:rPr>
        <w:t>,</w:t>
      </w:r>
      <w:r w:rsidRPr="00904F35">
        <w:rPr>
          <w:rFonts w:ascii="David" w:hAnsi="David" w:hint="cs"/>
          <w:rtl/>
        </w:rPr>
        <w:t xml:space="preserve"> כי הנאשם לא התכוון להשתמש בכלי הנשק</w:t>
      </w:r>
      <w:r>
        <w:rPr>
          <w:rFonts w:ascii="David" w:hAnsi="David" w:hint="cs"/>
          <w:rtl/>
        </w:rPr>
        <w:t xml:space="preserve"> אלא </w:t>
      </w:r>
      <w:r w:rsidRPr="00904F35">
        <w:rPr>
          <w:rFonts w:ascii="David" w:hAnsi="David" w:hint="cs"/>
          <w:rtl/>
        </w:rPr>
        <w:t>לצורכי הרתעה בלבד. בנסיבות אלה, עתר ב"כ הנאשם למתחם עונש הולם הנע בין מספר חודשי עבודות שירות ועד ל-40 חודשי מאסר.</w:t>
      </w:r>
    </w:p>
    <w:p w14:paraId="2BAEB27B" w14:textId="77777777" w:rsidR="00F16AAC" w:rsidRPr="00E16E6A" w:rsidRDefault="00F16AAC" w:rsidP="00F16AAC">
      <w:pPr>
        <w:spacing w:after="160" w:line="360" w:lineRule="auto"/>
        <w:ind w:left="232"/>
        <w:contextualSpacing/>
        <w:jc w:val="both"/>
        <w:rPr>
          <w:rFonts w:ascii="David" w:hAnsi="David"/>
          <w:sz w:val="12"/>
          <w:szCs w:val="12"/>
        </w:rPr>
      </w:pPr>
    </w:p>
    <w:p w14:paraId="6801D706" w14:textId="77777777" w:rsidR="00F16AAC" w:rsidRDefault="00F16AAC" w:rsidP="00F16AAC">
      <w:pPr>
        <w:numPr>
          <w:ilvl w:val="0"/>
          <w:numId w:val="1"/>
        </w:numPr>
        <w:spacing w:after="160" w:line="360" w:lineRule="auto"/>
        <w:ind w:left="232" w:hanging="284"/>
        <w:contextualSpacing/>
        <w:jc w:val="both"/>
        <w:rPr>
          <w:rFonts w:ascii="David" w:hAnsi="David"/>
        </w:rPr>
      </w:pPr>
      <w:r w:rsidRPr="00904F35">
        <w:rPr>
          <w:rFonts w:ascii="David" w:hAnsi="David" w:hint="cs"/>
          <w:rtl/>
        </w:rPr>
        <w:t xml:space="preserve">אשר לנסיבות שאינן קשורות לביצוע העבירה, הדגיש ב"כ הנאשם כי הנאשם הודה בעבירות מיד, וחסך זמן שיפוטי יקר. בנוסף, טען ב"כ הנאשם כי הנאשם לקח אחריות והפנים את המעשים ואת העבירות שביצע, והתנצל על מעשיו. </w:t>
      </w:r>
      <w:r>
        <w:rPr>
          <w:rFonts w:ascii="David" w:hAnsi="David" w:hint="cs"/>
          <w:rtl/>
        </w:rPr>
        <w:t>אשר לעברו הפלילי של הנאשם,</w:t>
      </w:r>
      <w:r w:rsidRPr="00904F35">
        <w:rPr>
          <w:rFonts w:ascii="David" w:hAnsi="David" w:hint="cs"/>
          <w:rtl/>
        </w:rPr>
        <w:t xml:space="preserve"> </w:t>
      </w:r>
      <w:r>
        <w:rPr>
          <w:rFonts w:ascii="David" w:hAnsi="David" w:hint="cs"/>
          <w:rtl/>
        </w:rPr>
        <w:t xml:space="preserve">טען ב"כ </w:t>
      </w:r>
      <w:r w:rsidRPr="00904F35">
        <w:rPr>
          <w:rFonts w:ascii="David" w:hAnsi="David" w:hint="cs"/>
          <w:rtl/>
        </w:rPr>
        <w:t>כי הנאשם מכחיש את עבירת נשיאת הנשק בה הורשע</w:t>
      </w:r>
      <w:r>
        <w:rPr>
          <w:rFonts w:ascii="David" w:hAnsi="David" w:hint="cs"/>
          <w:rtl/>
        </w:rPr>
        <w:t>, ולקח אחריות למעשיו לאחר שהודה לפני מדובב בהחזקת הנשק</w:t>
      </w:r>
      <w:r w:rsidRPr="00904F35">
        <w:rPr>
          <w:rFonts w:ascii="David" w:hAnsi="David" w:hint="cs"/>
          <w:rtl/>
        </w:rPr>
        <w:t xml:space="preserve">. בנסיבות אלה, עתר ב"כ הנאשם להטיל עונש </w:t>
      </w:r>
      <w:r>
        <w:rPr>
          <w:rFonts w:ascii="David" w:hAnsi="David" w:hint="cs"/>
          <w:rtl/>
        </w:rPr>
        <w:t xml:space="preserve">שלא יעלה על </w:t>
      </w:r>
      <w:r w:rsidRPr="00904F35">
        <w:rPr>
          <w:rFonts w:ascii="David" w:hAnsi="David" w:hint="cs"/>
          <w:rtl/>
        </w:rPr>
        <w:t>20 חודשי מאסר בפועל. ב"כ הנאשם הגיש פסיקה לתמיכה בטענותיו.</w:t>
      </w:r>
    </w:p>
    <w:p w14:paraId="29A2DFD1" w14:textId="77777777" w:rsidR="00F16AAC" w:rsidRPr="00E16E6A" w:rsidRDefault="00F16AAC" w:rsidP="00F16AAC">
      <w:pPr>
        <w:spacing w:after="160" w:line="360" w:lineRule="auto"/>
        <w:ind w:left="232"/>
        <w:contextualSpacing/>
        <w:jc w:val="both"/>
        <w:rPr>
          <w:rFonts w:ascii="David" w:hAnsi="David"/>
          <w:sz w:val="12"/>
          <w:szCs w:val="12"/>
        </w:rPr>
      </w:pPr>
    </w:p>
    <w:p w14:paraId="68711836" w14:textId="77777777" w:rsidR="00F16AAC" w:rsidRPr="00904F35" w:rsidRDefault="00F16AAC" w:rsidP="00F16AAC">
      <w:pPr>
        <w:numPr>
          <w:ilvl w:val="0"/>
          <w:numId w:val="1"/>
        </w:numPr>
        <w:spacing w:after="160" w:line="360" w:lineRule="auto"/>
        <w:ind w:left="232" w:hanging="284"/>
        <w:contextualSpacing/>
        <w:jc w:val="both"/>
        <w:rPr>
          <w:rFonts w:ascii="David" w:hAnsi="David"/>
        </w:rPr>
      </w:pPr>
      <w:r w:rsidRPr="00904F35">
        <w:rPr>
          <w:rFonts w:ascii="David" w:hAnsi="David" w:hint="cs"/>
          <w:rtl/>
        </w:rPr>
        <w:t xml:space="preserve">הנאשם בדבריו האחרונים התנצל על מעשיו, </w:t>
      </w:r>
      <w:r>
        <w:rPr>
          <w:rFonts w:ascii="David" w:hAnsi="David" w:hint="cs"/>
          <w:rtl/>
        </w:rPr>
        <w:t>לקח אחריות למעשיו, ו</w:t>
      </w:r>
      <w:r w:rsidRPr="00904F35">
        <w:rPr>
          <w:rFonts w:ascii="David" w:hAnsi="David" w:hint="cs"/>
          <w:rtl/>
        </w:rPr>
        <w:t>ביקש מבית המשפט להתחשב בו ולנהוג במידת הרחמים, באומרו כי לא ישוב לסורו ויימנע מהתנהגות עבריינית בעתיד.</w:t>
      </w:r>
    </w:p>
    <w:p w14:paraId="55BAADCD" w14:textId="77777777" w:rsidR="00F16AAC" w:rsidRPr="00E16E6A" w:rsidRDefault="00F16AAC" w:rsidP="00F16AAC">
      <w:pPr>
        <w:spacing w:line="360" w:lineRule="auto"/>
        <w:ind w:left="-142"/>
        <w:contextualSpacing/>
        <w:jc w:val="both"/>
        <w:rPr>
          <w:rFonts w:ascii="David" w:hAnsi="David"/>
          <w:b/>
          <w:bCs/>
          <w:u w:val="single"/>
          <w:rtl/>
        </w:rPr>
      </w:pPr>
    </w:p>
    <w:p w14:paraId="75AA77AC" w14:textId="77777777" w:rsidR="00F16AAC" w:rsidRDefault="00F16AAC" w:rsidP="00F16AAC">
      <w:pPr>
        <w:spacing w:line="360" w:lineRule="auto"/>
        <w:ind w:left="-142"/>
        <w:contextualSpacing/>
        <w:jc w:val="both"/>
        <w:rPr>
          <w:rFonts w:ascii="David" w:hAnsi="David"/>
          <w:rtl/>
        </w:rPr>
      </w:pPr>
      <w:r w:rsidRPr="000100EE">
        <w:rPr>
          <w:rFonts w:ascii="David" w:hAnsi="David"/>
          <w:b/>
          <w:bCs/>
          <w:u w:val="single"/>
          <w:rtl/>
        </w:rPr>
        <w:t>דיון והכרעה</w:t>
      </w:r>
    </w:p>
    <w:p w14:paraId="27BDF866" w14:textId="77777777" w:rsidR="00F16AAC" w:rsidRPr="00335FC8" w:rsidRDefault="00F16AAC" w:rsidP="00F16AAC">
      <w:pPr>
        <w:spacing w:line="360" w:lineRule="auto"/>
        <w:ind w:left="-142"/>
        <w:contextualSpacing/>
        <w:jc w:val="both"/>
        <w:rPr>
          <w:rFonts w:ascii="David" w:hAnsi="David"/>
          <w:sz w:val="12"/>
          <w:szCs w:val="12"/>
          <w:rtl/>
        </w:rPr>
      </w:pPr>
    </w:p>
    <w:p w14:paraId="3DEF1EB9" w14:textId="77777777" w:rsidR="00F16AAC" w:rsidRDefault="00F16AAC" w:rsidP="00F16AAC">
      <w:pPr>
        <w:spacing w:line="360" w:lineRule="auto"/>
        <w:ind w:left="-142"/>
        <w:contextualSpacing/>
        <w:jc w:val="both"/>
        <w:rPr>
          <w:rFonts w:ascii="David" w:hAnsi="David"/>
          <w:rtl/>
        </w:rPr>
      </w:pPr>
      <w:r w:rsidRPr="000100EE">
        <w:rPr>
          <w:rFonts w:ascii="David" w:hAnsi="David"/>
          <w:b/>
          <w:bCs/>
          <w:u w:val="single"/>
          <w:rtl/>
        </w:rPr>
        <w:t>מתחם העונש ההולם</w:t>
      </w:r>
    </w:p>
    <w:p w14:paraId="197A657E" w14:textId="77777777" w:rsidR="00F16AAC" w:rsidRPr="00DF172C" w:rsidRDefault="00F16AAC" w:rsidP="00F16AAC">
      <w:pPr>
        <w:spacing w:line="360" w:lineRule="auto"/>
        <w:ind w:left="-142"/>
        <w:contextualSpacing/>
        <w:jc w:val="both"/>
        <w:rPr>
          <w:rFonts w:ascii="David" w:hAnsi="David"/>
          <w:sz w:val="12"/>
          <w:szCs w:val="12"/>
          <w:rtl/>
        </w:rPr>
      </w:pPr>
    </w:p>
    <w:p w14:paraId="079454CA" w14:textId="77777777" w:rsidR="00F16AAC" w:rsidRDefault="00F16AAC" w:rsidP="00F16AAC">
      <w:pPr>
        <w:numPr>
          <w:ilvl w:val="0"/>
          <w:numId w:val="1"/>
        </w:numPr>
        <w:spacing w:after="160" w:line="360" w:lineRule="auto"/>
        <w:ind w:left="232" w:hanging="374"/>
        <w:contextualSpacing/>
        <w:jc w:val="both"/>
        <w:rPr>
          <w:rFonts w:ascii="David" w:hAnsi="David"/>
        </w:rPr>
      </w:pPr>
      <w:r w:rsidRPr="005645EC">
        <w:rPr>
          <w:rFonts w:ascii="David" w:hAnsi="David"/>
          <w:rtl/>
        </w:rPr>
        <w:t xml:space="preserve">בהתאם לאמור </w:t>
      </w:r>
      <w:hyperlink r:id="rId13" w:history="1">
        <w:r w:rsidR="001265BB" w:rsidRPr="001265BB">
          <w:rPr>
            <w:rStyle w:val="Hyperlink"/>
            <w:rFonts w:ascii="David" w:hAnsi="David"/>
            <w:rtl/>
          </w:rPr>
          <w:t>בסעיף 40ב'</w:t>
        </w:r>
      </w:hyperlink>
      <w:r w:rsidRPr="005645EC">
        <w:rPr>
          <w:rFonts w:ascii="David" w:hAnsi="David"/>
          <w:rtl/>
        </w:rPr>
        <w:t xml:space="preserve"> 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 </w:t>
      </w:r>
    </w:p>
    <w:p w14:paraId="60857DD5" w14:textId="77777777" w:rsidR="00F16AAC" w:rsidRPr="00584F57" w:rsidRDefault="00F16AAC" w:rsidP="00F16AAC">
      <w:pPr>
        <w:spacing w:after="160" w:line="360" w:lineRule="auto"/>
        <w:ind w:left="232"/>
        <w:contextualSpacing/>
        <w:jc w:val="both"/>
        <w:rPr>
          <w:rFonts w:ascii="David" w:hAnsi="David"/>
          <w:sz w:val="12"/>
          <w:szCs w:val="12"/>
        </w:rPr>
      </w:pPr>
    </w:p>
    <w:p w14:paraId="7C3933E9" w14:textId="77777777" w:rsidR="00F16AAC" w:rsidRDefault="00F16AAC" w:rsidP="00F16AAC">
      <w:pPr>
        <w:numPr>
          <w:ilvl w:val="0"/>
          <w:numId w:val="1"/>
        </w:numPr>
        <w:spacing w:after="160" w:line="360" w:lineRule="auto"/>
        <w:ind w:left="232" w:hanging="374"/>
        <w:contextualSpacing/>
        <w:jc w:val="both"/>
        <w:rPr>
          <w:rFonts w:ascii="David" w:hAnsi="David"/>
          <w:lang w:eastAsia="he-IL"/>
        </w:rPr>
      </w:pPr>
      <w:r w:rsidRPr="005645EC">
        <w:rPr>
          <w:rFonts w:ascii="David" w:hAnsi="David"/>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w:t>
      </w:r>
      <w:r>
        <w:rPr>
          <w:rFonts w:ascii="David" w:hAnsi="David" w:hint="cs"/>
          <w:rtl/>
        </w:rPr>
        <w:t>,</w:t>
      </w:r>
      <w:r w:rsidRPr="005645EC">
        <w:rPr>
          <w:rFonts w:ascii="David" w:hAnsi="David"/>
          <w:rtl/>
        </w:rPr>
        <w:t xml:space="preserve"> ועל פוטנציאל הפגיעה בנפש וברכוש שעלולים להיגרם כתוצאה מהשימוש בו. עוד נפסק</w:t>
      </w:r>
      <w:r>
        <w:rPr>
          <w:rFonts w:ascii="David" w:hAnsi="David" w:hint="cs"/>
          <w:rtl/>
        </w:rPr>
        <w:t>,</w:t>
      </w:r>
      <w:r w:rsidRPr="005645EC">
        <w:rPr>
          <w:rFonts w:ascii="David" w:hAnsi="David"/>
          <w:rtl/>
        </w:rPr>
        <w:t xml:space="preserve">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rPr>
          <w:rFonts w:ascii="David" w:hAnsi="David" w:hint="cs"/>
          <w:rtl/>
        </w:rPr>
        <w:t>.</w:t>
      </w:r>
    </w:p>
    <w:p w14:paraId="39896230" w14:textId="77777777" w:rsidR="00F16AAC" w:rsidRPr="00A8541C" w:rsidRDefault="00F16AAC" w:rsidP="00F16AAC">
      <w:pPr>
        <w:spacing w:after="160" w:line="360" w:lineRule="auto"/>
        <w:ind w:left="232"/>
        <w:contextualSpacing/>
        <w:jc w:val="both"/>
        <w:rPr>
          <w:rFonts w:ascii="David" w:hAnsi="David"/>
          <w:sz w:val="12"/>
          <w:szCs w:val="12"/>
          <w:lang w:eastAsia="he-IL"/>
        </w:rPr>
      </w:pPr>
    </w:p>
    <w:p w14:paraId="66889EAE" w14:textId="77777777" w:rsidR="00F16AAC" w:rsidRPr="00166C41" w:rsidRDefault="00F16AAC" w:rsidP="00F16AAC">
      <w:pPr>
        <w:numPr>
          <w:ilvl w:val="0"/>
          <w:numId w:val="1"/>
        </w:numPr>
        <w:spacing w:after="160" w:line="360" w:lineRule="auto"/>
        <w:ind w:left="232" w:hanging="374"/>
        <w:contextualSpacing/>
        <w:jc w:val="both"/>
        <w:rPr>
          <w:rFonts w:ascii="David" w:hAnsi="David"/>
        </w:rPr>
      </w:pPr>
      <w:r w:rsidRPr="00166C41">
        <w:rPr>
          <w:rFonts w:ascii="David" w:hAnsi="David"/>
          <w:rtl/>
        </w:rPr>
        <w:t>המגמה להחמיר בענישה בעבירות נשק באה לידי ביטוי בשורה ארוכה של פסקי דין שניתנו על ידי בית משפט העליון, בין היתר, ב</w:t>
      </w:r>
      <w:hyperlink r:id="rId14" w:history="1">
        <w:r w:rsidR="00135FE7" w:rsidRPr="00135FE7">
          <w:rPr>
            <w:rFonts w:ascii="David" w:hAnsi="David"/>
            <w:color w:val="0000FF"/>
            <w:u w:val="single"/>
            <w:rtl/>
          </w:rPr>
          <w:t>ע"פ 1323/13</w:t>
        </w:r>
      </w:hyperlink>
      <w:r w:rsidRPr="00166C41">
        <w:rPr>
          <w:rFonts w:ascii="David" w:hAnsi="David"/>
          <w:rtl/>
        </w:rPr>
        <w:t xml:space="preserve"> </w:t>
      </w:r>
      <w:r w:rsidRPr="00166C41">
        <w:rPr>
          <w:rFonts w:ascii="David" w:hAnsi="David"/>
          <w:b/>
          <w:bCs/>
          <w:rtl/>
        </w:rPr>
        <w:t>רך חסן  נגד מדינת ישראל</w:t>
      </w:r>
      <w:r w:rsidRPr="00166C41">
        <w:rPr>
          <w:rFonts w:ascii="David" w:hAnsi="David"/>
          <w:rtl/>
        </w:rPr>
        <w:t xml:space="preserve">  (ניתן ביום 5.6.13), שם קבעה כבוד השופטת ע' ארבל:</w:t>
      </w:r>
    </w:p>
    <w:p w14:paraId="223C71D9" w14:textId="77777777" w:rsidR="00F16AAC" w:rsidRPr="00166C41" w:rsidRDefault="00F16AAC" w:rsidP="00F16AAC">
      <w:pPr>
        <w:spacing w:before="120" w:after="120" w:line="360" w:lineRule="auto"/>
        <w:ind w:left="782"/>
        <w:contextualSpacing/>
        <w:jc w:val="both"/>
        <w:rPr>
          <w:rFonts w:ascii="David" w:hAnsi="David"/>
          <w:sz w:val="12"/>
          <w:szCs w:val="12"/>
        </w:rPr>
      </w:pPr>
    </w:p>
    <w:p w14:paraId="03E8563F" w14:textId="77777777" w:rsidR="00F16AAC" w:rsidRDefault="00F16AAC" w:rsidP="00F16AAC">
      <w:pPr>
        <w:spacing w:before="120" w:after="120" w:line="360" w:lineRule="auto"/>
        <w:ind w:left="567" w:right="567" w:hanging="142"/>
        <w:contextualSpacing/>
        <w:jc w:val="both"/>
        <w:rPr>
          <w:rFonts w:ascii="David" w:hAnsi="David"/>
          <w:b/>
          <w:bCs/>
          <w:rtl/>
        </w:rPr>
      </w:pPr>
      <w:r w:rsidRPr="005645EC">
        <w:rPr>
          <w:rFonts w:ascii="David" w:hAnsi="David"/>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03415C26" w14:textId="77777777" w:rsidR="00F16AAC" w:rsidRPr="00335FC8" w:rsidRDefault="00F16AAC" w:rsidP="00F16AAC">
      <w:pPr>
        <w:spacing w:after="160" w:line="360" w:lineRule="auto"/>
        <w:ind w:left="567" w:right="567" w:hanging="142"/>
        <w:contextualSpacing/>
        <w:jc w:val="both"/>
        <w:rPr>
          <w:rFonts w:ascii="David" w:hAnsi="David"/>
          <w:sz w:val="12"/>
          <w:szCs w:val="12"/>
        </w:rPr>
      </w:pPr>
    </w:p>
    <w:p w14:paraId="7D78C630" w14:textId="77777777" w:rsidR="00F16AAC" w:rsidRPr="00EB6BA7" w:rsidRDefault="00F16AAC" w:rsidP="00F16AAC">
      <w:pPr>
        <w:numPr>
          <w:ilvl w:val="0"/>
          <w:numId w:val="1"/>
        </w:numPr>
        <w:spacing w:after="160" w:line="360" w:lineRule="auto"/>
        <w:ind w:left="232" w:hanging="374"/>
        <w:contextualSpacing/>
        <w:jc w:val="both"/>
        <w:rPr>
          <w:rFonts w:ascii="David" w:hAnsi="David"/>
          <w:sz w:val="12"/>
          <w:szCs w:val="12"/>
        </w:rPr>
      </w:pPr>
      <w:r w:rsidRPr="00166C41">
        <w:rPr>
          <w:rFonts w:ascii="David" w:hAnsi="David" w:hint="cs"/>
          <w:rtl/>
        </w:rPr>
        <w:t xml:space="preserve">זאת ועוד, מגמת ההחמרה בעבירות הנשק באה </w:t>
      </w:r>
      <w:r>
        <w:rPr>
          <w:rFonts w:ascii="David" w:hAnsi="David" w:hint="cs"/>
          <w:rtl/>
        </w:rPr>
        <w:t xml:space="preserve">לאחרונה </w:t>
      </w:r>
      <w:r w:rsidRPr="00166C41">
        <w:rPr>
          <w:rFonts w:ascii="David" w:hAnsi="David" w:hint="cs"/>
          <w:rtl/>
        </w:rPr>
        <w:t xml:space="preserve">לידי ביטוי </w:t>
      </w:r>
      <w:r w:rsidRPr="00166C41">
        <w:rPr>
          <w:rFonts w:ascii="David" w:hAnsi="David"/>
          <w:rtl/>
        </w:rPr>
        <w:t xml:space="preserve">גם בדבריו של כב' השופט </w:t>
      </w:r>
      <w:r w:rsidRPr="00581720">
        <w:rPr>
          <w:rFonts w:ascii="David" w:hAnsi="David"/>
          <w:rtl/>
        </w:rPr>
        <w:t>י' אלרון ב</w:t>
      </w:r>
      <w:hyperlink r:id="rId15" w:history="1">
        <w:r w:rsidR="00135FE7" w:rsidRPr="00135FE7">
          <w:rPr>
            <w:rFonts w:ascii="David" w:hAnsi="David"/>
            <w:color w:val="0000FF"/>
            <w:u w:val="single"/>
            <w:rtl/>
          </w:rPr>
          <w:t>רע"פ 5613/20</w:t>
        </w:r>
      </w:hyperlink>
      <w:r w:rsidRPr="00581720">
        <w:rPr>
          <w:rFonts w:ascii="David" w:hAnsi="David"/>
          <w:rtl/>
        </w:rPr>
        <w:t xml:space="preserve"> </w:t>
      </w:r>
      <w:r w:rsidRPr="00581720">
        <w:rPr>
          <w:rFonts w:ascii="David" w:hAnsi="David"/>
          <w:b/>
          <w:bCs/>
          <w:rtl/>
        </w:rPr>
        <w:t xml:space="preserve">אלהוזייל נ' מדינת ישראל </w:t>
      </w:r>
      <w:r w:rsidRPr="00581720">
        <w:rPr>
          <w:rFonts w:ascii="David" w:hAnsi="David"/>
          <w:rtl/>
        </w:rPr>
        <w:t>(25.08.20):</w:t>
      </w:r>
      <w:r w:rsidRPr="00581720">
        <w:rPr>
          <w:rFonts w:ascii="David" w:hAnsi="David" w:hint="cs"/>
          <w:rtl/>
        </w:rPr>
        <w:t xml:space="preserve"> </w:t>
      </w:r>
      <w:r w:rsidRPr="00581720">
        <w:rPr>
          <w:rFonts w:ascii="David" w:hAnsi="David"/>
          <w:b/>
          <w:bCs/>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w:t>
      </w:r>
      <w:r w:rsidRPr="00EB6BA7">
        <w:rPr>
          <w:rFonts w:ascii="David" w:hAnsi="David" w:hint="cs"/>
          <w:rtl/>
        </w:rPr>
        <w:t xml:space="preserve">עוד </w:t>
      </w:r>
      <w:r w:rsidRPr="00EB6BA7">
        <w:rPr>
          <w:rFonts w:ascii="David" w:hAnsi="David"/>
          <w:rtl/>
        </w:rPr>
        <w:t xml:space="preserve">ר' </w:t>
      </w:r>
      <w:r w:rsidRPr="00EB6BA7">
        <w:rPr>
          <w:rFonts w:ascii="David" w:hAnsi="David" w:hint="cs"/>
          <w:rtl/>
        </w:rPr>
        <w:t>ב</w:t>
      </w:r>
      <w:hyperlink r:id="rId16" w:history="1">
        <w:r w:rsidR="00135FE7" w:rsidRPr="00135FE7">
          <w:rPr>
            <w:rFonts w:ascii="David" w:hAnsi="David"/>
            <w:color w:val="0000FF"/>
            <w:u w:val="single"/>
            <w:rtl/>
          </w:rPr>
          <w:t>ע"פ 8017/20</w:t>
        </w:r>
      </w:hyperlink>
      <w:r w:rsidRPr="00EB6BA7">
        <w:rPr>
          <w:rFonts w:ascii="David" w:hAnsi="David"/>
          <w:rtl/>
        </w:rPr>
        <w:t xml:space="preserve"> </w:t>
      </w:r>
      <w:r w:rsidRPr="00EB6BA7">
        <w:rPr>
          <w:rFonts w:ascii="David" w:hAnsi="David"/>
          <w:b/>
          <w:bCs/>
          <w:rtl/>
        </w:rPr>
        <w:t>מדינת ישראל נ' פאדי גריפאת</w:t>
      </w:r>
      <w:r w:rsidRPr="00EB6BA7">
        <w:rPr>
          <w:rFonts w:ascii="David" w:hAnsi="David"/>
          <w:rtl/>
        </w:rPr>
        <w:t xml:space="preserve"> (22.12.2020):</w:t>
      </w:r>
      <w:r w:rsidRPr="00EB6BA7">
        <w:rPr>
          <w:rFonts w:ascii="David" w:hAnsi="David" w:hint="cs"/>
          <w:rtl/>
        </w:rPr>
        <w:t xml:space="preserve"> </w:t>
      </w:r>
      <w:r w:rsidRPr="00EB6BA7">
        <w:rPr>
          <w:rFonts w:hint="cs"/>
          <w:b/>
          <w:bCs/>
          <w:rtl/>
        </w:rPr>
        <w:t xml:space="preserve">"בית משפט זה עמד בשורה ארוכה של פסקי דין על החומרה היתרה של עבירות הנשק ועל הסכנה הגבוהה שנשקפת מהן לשלום הציבור ולביטחונו". </w:t>
      </w:r>
    </w:p>
    <w:p w14:paraId="1D581BF9" w14:textId="77777777" w:rsidR="00F16AAC" w:rsidRPr="00EB6BA7" w:rsidRDefault="00F16AAC" w:rsidP="00F16AAC">
      <w:pPr>
        <w:spacing w:after="160" w:line="360" w:lineRule="auto"/>
        <w:ind w:left="232"/>
        <w:contextualSpacing/>
        <w:jc w:val="both"/>
        <w:rPr>
          <w:rFonts w:ascii="David" w:hAnsi="David"/>
          <w:sz w:val="12"/>
          <w:szCs w:val="12"/>
          <w:rtl/>
        </w:rPr>
      </w:pPr>
    </w:p>
    <w:p w14:paraId="5835E5AA" w14:textId="77777777" w:rsidR="00F16AAC" w:rsidRDefault="00F16AAC" w:rsidP="00F16AAC">
      <w:pPr>
        <w:numPr>
          <w:ilvl w:val="0"/>
          <w:numId w:val="1"/>
        </w:numPr>
        <w:spacing w:after="160" w:line="360" w:lineRule="auto"/>
        <w:ind w:left="232" w:hanging="374"/>
        <w:contextualSpacing/>
        <w:jc w:val="both"/>
      </w:pPr>
      <w:r>
        <w:rPr>
          <w:rFonts w:hint="cs"/>
          <w:rtl/>
        </w:rPr>
        <w:t>עוד</w:t>
      </w:r>
      <w:r w:rsidRPr="00166C41">
        <w:rPr>
          <w:rFonts w:hint="cs"/>
          <w:rtl/>
        </w:rPr>
        <w:t xml:space="preserve"> נאמר</w:t>
      </w:r>
      <w:r>
        <w:rPr>
          <w:rFonts w:hint="cs"/>
          <w:rtl/>
        </w:rPr>
        <w:t>,</w:t>
      </w:r>
      <w:r w:rsidRPr="00166C41">
        <w:rPr>
          <w:rFonts w:hint="cs"/>
          <w:rtl/>
        </w:rPr>
        <w:t xml:space="preserve">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17" w:history="1">
        <w:r w:rsidR="00135FE7" w:rsidRPr="00135FE7">
          <w:rPr>
            <w:color w:val="0000FF"/>
            <w:u w:val="single"/>
            <w:rtl/>
          </w:rPr>
          <w:t>ע"פ 5446/19</w:t>
        </w:r>
      </w:hyperlink>
      <w:r w:rsidRPr="00166C41">
        <w:rPr>
          <w:rFonts w:hint="cs"/>
          <w:rtl/>
        </w:rPr>
        <w:t xml:space="preserve"> </w:t>
      </w:r>
      <w:r w:rsidRPr="00166C41">
        <w:rPr>
          <w:rFonts w:hint="cs"/>
          <w:b/>
          <w:bCs/>
          <w:rtl/>
        </w:rPr>
        <w:t>מדינת ישראל נ' הוארי</w:t>
      </w:r>
      <w:r w:rsidRPr="00166C41">
        <w:rPr>
          <w:rFonts w:hint="cs"/>
          <w:rtl/>
        </w:rPr>
        <w:t xml:space="preserve"> (25.11.19) וכב' השופט א' שטיין ב</w:t>
      </w:r>
      <w:hyperlink r:id="rId18" w:history="1">
        <w:r w:rsidR="00135FE7" w:rsidRPr="00135FE7">
          <w:rPr>
            <w:color w:val="0000FF"/>
            <w:u w:val="single"/>
            <w:rtl/>
          </w:rPr>
          <w:t>ע"פ 1509/20</w:t>
        </w:r>
      </w:hyperlink>
      <w:r w:rsidRPr="00166C41">
        <w:rPr>
          <w:rFonts w:hint="cs"/>
          <w:rtl/>
        </w:rPr>
        <w:t xml:space="preserve"> </w:t>
      </w:r>
      <w:r w:rsidRPr="00166C41">
        <w:rPr>
          <w:rFonts w:hint="cs"/>
          <w:b/>
          <w:bCs/>
          <w:rtl/>
        </w:rPr>
        <w:t xml:space="preserve">מדינת ישראל נ' נבארי </w:t>
      </w:r>
      <w:r w:rsidRPr="00166C41">
        <w:rPr>
          <w:rFonts w:hint="cs"/>
          <w:rtl/>
        </w:rPr>
        <w:t>(2.7.20))</w:t>
      </w:r>
      <w:r>
        <w:rPr>
          <w:rFonts w:hint="cs"/>
          <w:rtl/>
        </w:rPr>
        <w:t>.</w:t>
      </w:r>
    </w:p>
    <w:p w14:paraId="26B88C2B" w14:textId="77777777" w:rsidR="00F16AAC" w:rsidRPr="00EB6BA7" w:rsidRDefault="00F16AAC" w:rsidP="00F16AAC">
      <w:pPr>
        <w:spacing w:after="160" w:line="360" w:lineRule="auto"/>
        <w:ind w:left="232"/>
        <w:contextualSpacing/>
        <w:jc w:val="both"/>
        <w:rPr>
          <w:sz w:val="12"/>
          <w:szCs w:val="12"/>
        </w:rPr>
      </w:pPr>
    </w:p>
    <w:p w14:paraId="10E60632" w14:textId="77777777" w:rsidR="00F16AAC" w:rsidRDefault="00F16AAC" w:rsidP="00F16AAC">
      <w:pPr>
        <w:numPr>
          <w:ilvl w:val="0"/>
          <w:numId w:val="1"/>
        </w:numPr>
        <w:spacing w:after="160" w:line="360" w:lineRule="auto"/>
        <w:ind w:left="232" w:hanging="374"/>
        <w:contextualSpacing/>
        <w:jc w:val="both"/>
        <w:rPr>
          <w:rFonts w:ascii="David" w:hAnsi="David"/>
          <w:b/>
          <w:bCs/>
        </w:rPr>
      </w:pPr>
      <w:r w:rsidRPr="00166C41">
        <w:rPr>
          <w:rFonts w:ascii="David" w:hAnsi="David"/>
          <w:rtl/>
        </w:rPr>
        <w:t>העבירה של נשיאת נשק שלא כדין, חמורה יותר מהעבירה של החזקת נשק שלא כדין, שכן, נשיאת נשק ממוקמת קרוב יותר לסביבת התוצאה הפוגענית הפ</w:t>
      </w:r>
      <w:r>
        <w:rPr>
          <w:rFonts w:ascii="David" w:hAnsi="David"/>
          <w:rtl/>
        </w:rPr>
        <w:t xml:space="preserve">וטנציאלית, בהשוואה להחזקת נשק. </w:t>
      </w:r>
      <w:r w:rsidRPr="00166C41">
        <w:rPr>
          <w:rFonts w:ascii="David" w:hAnsi="David"/>
          <w:rtl/>
        </w:rPr>
        <w:t xml:space="preserve">בהתאם, העונש הקבוע לצד עבירת נשיאת הנשק הוא 10 שנות מאסר </w:t>
      </w:r>
      <w:r>
        <w:rPr>
          <w:rFonts w:ascii="David" w:hAnsi="David" w:hint="cs"/>
          <w:rtl/>
        </w:rPr>
        <w:t>בעוד ש</w:t>
      </w:r>
      <w:r w:rsidRPr="00166C41">
        <w:rPr>
          <w:rFonts w:ascii="David" w:hAnsi="David"/>
          <w:rtl/>
        </w:rPr>
        <w:t>העונש הקבוע לצד עבירת החזקת הנשק הוא 7 שנות מאסר.</w:t>
      </w:r>
      <w:r w:rsidRPr="00166C41">
        <w:rPr>
          <w:rFonts w:ascii="David" w:hAnsi="David"/>
          <w:b/>
          <w:bCs/>
          <w:rtl/>
        </w:rPr>
        <w:t xml:space="preserve"> </w:t>
      </w:r>
      <w:r w:rsidRPr="00166C41">
        <w:rPr>
          <w:rFonts w:ascii="David" w:hAnsi="David"/>
          <w:rtl/>
        </w:rPr>
        <w:t xml:space="preserve">עם זאת, </w:t>
      </w:r>
      <w:r w:rsidRPr="000A1CAD">
        <w:rPr>
          <w:rFonts w:ascii="David" w:hAnsi="David"/>
          <w:b/>
          <w:bCs/>
          <w:rtl/>
        </w:rPr>
        <w:t>"כבכל עבירה, גם בעבירות נשק קיים מדרג של חומרה, ושומה על בית המשפט להביאו בחשבון בבואו לקבוע את מתחם העונש ההולם"</w:t>
      </w:r>
      <w:r>
        <w:rPr>
          <w:rFonts w:ascii="David" w:hAnsi="David"/>
          <w:rtl/>
        </w:rPr>
        <w:t xml:space="preserve"> (</w:t>
      </w:r>
      <w:hyperlink r:id="rId19" w:history="1">
        <w:r w:rsidR="00135FE7" w:rsidRPr="00135FE7">
          <w:rPr>
            <w:rFonts w:ascii="David" w:hAnsi="David"/>
            <w:color w:val="0000FF"/>
            <w:u w:val="single"/>
            <w:rtl/>
          </w:rPr>
          <w:t>ע"פ 9702/16</w:t>
        </w:r>
      </w:hyperlink>
      <w:r w:rsidRPr="00166C41">
        <w:rPr>
          <w:rFonts w:ascii="David" w:hAnsi="David"/>
          <w:rtl/>
        </w:rPr>
        <w:t xml:space="preserve"> </w:t>
      </w:r>
      <w:r w:rsidRPr="00166C41">
        <w:rPr>
          <w:rFonts w:ascii="David" w:hAnsi="David"/>
          <w:b/>
          <w:bCs/>
          <w:rtl/>
        </w:rPr>
        <w:t>אלוליאיה נ' מדינת ישראל</w:t>
      </w:r>
      <w:r w:rsidRPr="00166C41">
        <w:rPr>
          <w:rFonts w:ascii="David" w:hAnsi="David"/>
          <w:rtl/>
        </w:rPr>
        <w:t>, פסקה 8, ניתן ביום 13.9.17)</w:t>
      </w:r>
      <w:r>
        <w:rPr>
          <w:rFonts w:ascii="David" w:hAnsi="David" w:hint="cs"/>
          <w:rtl/>
        </w:rPr>
        <w:t>,</w:t>
      </w:r>
      <w:r w:rsidRPr="00166C41">
        <w:rPr>
          <w:rFonts w:ascii="David" w:hAnsi="David"/>
          <w:rtl/>
        </w:rPr>
        <w:t xml:space="preserve"> </w:t>
      </w:r>
      <w:r w:rsidRPr="000A1CAD">
        <w:rPr>
          <w:rFonts w:ascii="David" w:hAnsi="David" w:hint="cs"/>
          <w:rtl/>
        </w:rPr>
        <w:t>על כן</w:t>
      </w:r>
      <w:r>
        <w:rPr>
          <w:rFonts w:ascii="David" w:hAnsi="David" w:hint="cs"/>
          <w:b/>
          <w:bCs/>
          <w:rtl/>
        </w:rPr>
        <w:t xml:space="preserve"> </w:t>
      </w:r>
      <w:r w:rsidRPr="000A1CAD">
        <w:rPr>
          <w:rFonts w:ascii="David" w:hAnsi="David"/>
          <w:rtl/>
        </w:rPr>
        <w:t xml:space="preserve">בקביעת </w:t>
      </w:r>
      <w:r w:rsidRPr="000A1CAD">
        <w:rPr>
          <w:rFonts w:ascii="David" w:hAnsi="David" w:hint="cs"/>
          <w:rtl/>
        </w:rPr>
        <w:t xml:space="preserve">מתחם </w:t>
      </w:r>
      <w:r w:rsidRPr="000A1CAD">
        <w:rPr>
          <w:rFonts w:ascii="David" w:hAnsi="David"/>
          <w:rtl/>
        </w:rPr>
        <w:t xml:space="preserve">העונש </w:t>
      </w:r>
      <w:r w:rsidRPr="000A1CAD">
        <w:rPr>
          <w:rFonts w:ascii="David" w:hAnsi="David" w:hint="cs"/>
          <w:rtl/>
        </w:rPr>
        <w:t xml:space="preserve">ההולם </w:t>
      </w:r>
      <w:r w:rsidRPr="000A1CAD">
        <w:rPr>
          <w:rFonts w:ascii="David" w:hAnsi="David"/>
          <w:rtl/>
        </w:rPr>
        <w:t>בעבירות של נשיאת נשק יש ל</w:t>
      </w:r>
      <w:r w:rsidRPr="000A1CAD">
        <w:rPr>
          <w:rFonts w:ascii="David" w:hAnsi="David" w:hint="cs"/>
          <w:rtl/>
        </w:rPr>
        <w:t>תת משקל לסוג הנשק</w:t>
      </w:r>
      <w:r>
        <w:rPr>
          <w:rFonts w:ascii="David" w:hAnsi="David" w:hint="cs"/>
          <w:rtl/>
        </w:rPr>
        <w:t>, נסיבות תפיסתו,</w:t>
      </w:r>
      <w:r w:rsidRPr="000A1CAD">
        <w:rPr>
          <w:rFonts w:ascii="David" w:hAnsi="David" w:hint="cs"/>
          <w:rtl/>
        </w:rPr>
        <w:t xml:space="preserve"> </w:t>
      </w:r>
      <w:r w:rsidRPr="000A1CAD">
        <w:rPr>
          <w:rFonts w:ascii="David" w:hAnsi="David"/>
          <w:rtl/>
        </w:rPr>
        <w:t xml:space="preserve">מידת קטלניותו </w:t>
      </w:r>
      <w:r w:rsidRPr="000A1CAD">
        <w:rPr>
          <w:rFonts w:ascii="David" w:hAnsi="David" w:hint="cs"/>
          <w:rtl/>
        </w:rPr>
        <w:t>ול</w:t>
      </w:r>
      <w:r w:rsidRPr="000A1CAD">
        <w:rPr>
          <w:rFonts w:ascii="David" w:hAnsi="David"/>
          <w:rtl/>
        </w:rPr>
        <w:t xml:space="preserve">כמותו. כמו-כן, מיוחס משקל ממשי לתכלית הנשיאה. </w:t>
      </w:r>
    </w:p>
    <w:p w14:paraId="638864F5" w14:textId="77777777" w:rsidR="00F16AAC" w:rsidRPr="000A1CAD" w:rsidRDefault="00F16AAC" w:rsidP="00F16AAC">
      <w:pPr>
        <w:spacing w:after="160" w:line="360" w:lineRule="auto"/>
        <w:ind w:left="232"/>
        <w:contextualSpacing/>
        <w:jc w:val="both"/>
        <w:rPr>
          <w:rFonts w:ascii="David" w:hAnsi="David"/>
          <w:b/>
          <w:bCs/>
          <w:sz w:val="12"/>
          <w:szCs w:val="12"/>
          <w:rtl/>
        </w:rPr>
      </w:pPr>
    </w:p>
    <w:p w14:paraId="0295FF12" w14:textId="77777777" w:rsidR="00F16AAC" w:rsidRPr="00166C41" w:rsidRDefault="00F16AAC" w:rsidP="00F16AAC">
      <w:pPr>
        <w:numPr>
          <w:ilvl w:val="0"/>
          <w:numId w:val="1"/>
        </w:numPr>
        <w:spacing w:after="160" w:line="360" w:lineRule="auto"/>
        <w:ind w:left="232" w:hanging="374"/>
        <w:contextualSpacing/>
        <w:jc w:val="both"/>
        <w:rPr>
          <w:rFonts w:ascii="David" w:hAnsi="David"/>
        </w:rPr>
      </w:pPr>
      <w:r w:rsidRPr="00166C41">
        <w:rPr>
          <w:rFonts w:ascii="David" w:hAnsi="David"/>
          <w:rtl/>
        </w:rPr>
        <w:t>בחינת מדיניות הענישה הנהוגה מעלה, כי במק</w:t>
      </w:r>
      <w:r>
        <w:rPr>
          <w:rFonts w:ascii="David" w:hAnsi="David"/>
          <w:rtl/>
        </w:rPr>
        <w:t>רים דומים הוטלו על נאשמים עונשי</w:t>
      </w:r>
      <w:r w:rsidRPr="00166C41">
        <w:rPr>
          <w:rFonts w:ascii="David" w:hAnsi="David"/>
          <w:rtl/>
        </w:rPr>
        <w:t xml:space="preserve"> מאסר בפועל מ</w:t>
      </w:r>
      <w:r>
        <w:rPr>
          <w:rFonts w:ascii="David" w:hAnsi="David"/>
          <w:rtl/>
        </w:rPr>
        <w:t>אחורי סורג ובריח לתקופות משתנות</w:t>
      </w:r>
      <w:r>
        <w:rPr>
          <w:rFonts w:ascii="David" w:hAnsi="David" w:hint="cs"/>
          <w:rtl/>
        </w:rPr>
        <w:t>, כפי שיפורט להלן:</w:t>
      </w:r>
    </w:p>
    <w:p w14:paraId="4F6716E0" w14:textId="77777777" w:rsidR="00F16AAC" w:rsidRPr="00767C4A" w:rsidRDefault="00F16AAC" w:rsidP="00F16AAC">
      <w:pPr>
        <w:pStyle w:val="a9"/>
        <w:numPr>
          <w:ilvl w:val="1"/>
          <w:numId w:val="1"/>
        </w:numPr>
        <w:spacing w:after="160" w:line="360" w:lineRule="auto"/>
        <w:ind w:left="850" w:hanging="283"/>
        <w:jc w:val="both"/>
        <w:rPr>
          <w:rFonts w:ascii="David" w:hAnsi="David"/>
        </w:rPr>
      </w:pPr>
      <w:r w:rsidRPr="00767C4A">
        <w:rPr>
          <w:rFonts w:ascii="David" w:hAnsi="David" w:hint="cs"/>
          <w:rtl/>
        </w:rPr>
        <w:t>ב</w:t>
      </w:r>
      <w:hyperlink r:id="rId20" w:history="1">
        <w:r w:rsidR="00135FE7" w:rsidRPr="00135FE7">
          <w:rPr>
            <w:rFonts w:ascii="David" w:hAnsi="David"/>
            <w:color w:val="0000FF"/>
            <w:u w:val="single"/>
            <w:rtl/>
          </w:rPr>
          <w:t>ע"פ 5765/20</w:t>
        </w:r>
      </w:hyperlink>
      <w:r w:rsidRPr="00767C4A">
        <w:rPr>
          <w:rFonts w:ascii="David" w:hAnsi="David"/>
          <w:rtl/>
        </w:rPr>
        <w:t xml:space="preserve"> </w:t>
      </w:r>
      <w:r w:rsidRPr="00767C4A">
        <w:rPr>
          <w:rFonts w:ascii="David" w:hAnsi="David"/>
          <w:b/>
          <w:bCs/>
          <w:rtl/>
        </w:rPr>
        <w:t>וסים אבו בכר נ' מדינת ישראל</w:t>
      </w:r>
      <w:r w:rsidRPr="00767C4A">
        <w:rPr>
          <w:rFonts w:ascii="David" w:hAnsi="David"/>
          <w:rtl/>
        </w:rPr>
        <w:t xml:space="preserve"> (22.03.2021)</w:t>
      </w:r>
      <w:r w:rsidRPr="00767C4A">
        <w:rPr>
          <w:rFonts w:ascii="David" w:hAnsi="David" w:hint="cs"/>
          <w:rtl/>
        </w:rPr>
        <w:t xml:space="preserve"> המערערים נתפסו במהלך סיור משטרתי בעת שנהגו ברכב, כשהם נושאים עימם שני אקדחים (מסוג יריחו ומסוג </w:t>
      </w:r>
      <w:r w:rsidRPr="00767C4A">
        <w:rPr>
          <w:rFonts w:ascii="David" w:hAnsi="David" w:hint="cs"/>
        </w:rPr>
        <w:t>FN</w:t>
      </w:r>
      <w:r w:rsidRPr="00767C4A">
        <w:rPr>
          <w:rFonts w:ascii="David" w:hAnsi="David" w:hint="cs"/>
          <w:rtl/>
        </w:rPr>
        <w:t>) כשלכל אקדח מחסנית מלאה. בית המשפט המחוזי, לאחר ששקל את העובדה כי למערערים אין עבר פלילי כלל, השית על הנאשמים עונש מאסר של 18 חודשים. הערעור על חומרת העונש נדחה.</w:t>
      </w:r>
    </w:p>
    <w:p w14:paraId="40E57834" w14:textId="77777777" w:rsidR="00F16AAC" w:rsidRPr="00767C4A" w:rsidRDefault="00F16AAC" w:rsidP="00F16AAC">
      <w:pPr>
        <w:pStyle w:val="a9"/>
        <w:spacing w:after="160" w:line="360" w:lineRule="auto"/>
        <w:ind w:left="1440"/>
        <w:jc w:val="both"/>
        <w:rPr>
          <w:rFonts w:ascii="David" w:hAnsi="David"/>
          <w:sz w:val="12"/>
          <w:szCs w:val="12"/>
          <w:highlight w:val="cyan"/>
        </w:rPr>
      </w:pPr>
    </w:p>
    <w:p w14:paraId="3E4131CA" w14:textId="77777777" w:rsidR="00F16AAC" w:rsidRDefault="00F16AAC" w:rsidP="00F16AAC">
      <w:pPr>
        <w:pStyle w:val="a9"/>
        <w:numPr>
          <w:ilvl w:val="1"/>
          <w:numId w:val="1"/>
        </w:numPr>
        <w:spacing w:after="160" w:line="360" w:lineRule="auto"/>
        <w:ind w:left="850" w:hanging="283"/>
        <w:jc w:val="both"/>
        <w:rPr>
          <w:rFonts w:ascii="David" w:hAnsi="David"/>
        </w:rPr>
      </w:pPr>
      <w:r w:rsidRPr="00166C41">
        <w:rPr>
          <w:rFonts w:ascii="David" w:hAnsi="David"/>
          <w:rtl/>
        </w:rPr>
        <w:t>ב</w:t>
      </w:r>
      <w:hyperlink r:id="rId21" w:history="1">
        <w:r w:rsidR="00135FE7" w:rsidRPr="00135FE7">
          <w:rPr>
            <w:rFonts w:ascii="David" w:hAnsi="David"/>
            <w:color w:val="0000FF"/>
            <w:u w:val="single"/>
            <w:rtl/>
          </w:rPr>
          <w:t>ע"פ 4345/18</w:t>
        </w:r>
      </w:hyperlink>
      <w:r w:rsidRPr="00166C41">
        <w:rPr>
          <w:rFonts w:ascii="David" w:hAnsi="David"/>
          <w:rtl/>
        </w:rPr>
        <w:t xml:space="preserve"> </w:t>
      </w:r>
      <w:r w:rsidRPr="00166C41">
        <w:rPr>
          <w:rFonts w:ascii="David" w:hAnsi="David"/>
          <w:b/>
          <w:bCs/>
          <w:rtl/>
        </w:rPr>
        <w:t xml:space="preserve">חמודא אבו עמאר </w:t>
      </w:r>
      <w:r w:rsidRPr="00166C41">
        <w:rPr>
          <w:rFonts w:ascii="David" w:hAnsi="David"/>
          <w:rtl/>
        </w:rPr>
        <w:t>נ'</w:t>
      </w:r>
      <w:r w:rsidRPr="00166C41">
        <w:rPr>
          <w:rFonts w:ascii="David" w:hAnsi="David"/>
          <w:b/>
          <w:bCs/>
          <w:rtl/>
        </w:rPr>
        <w:t xml:space="preserve"> מדינת ישראל</w:t>
      </w:r>
      <w:r w:rsidRPr="00166C41">
        <w:rPr>
          <w:rFonts w:ascii="David" w:hAnsi="David"/>
          <w:rtl/>
        </w:rPr>
        <w:t xml:space="preserve"> (29.11.18) המערער מצא נשק מאולתר טעון במחסנית, נשא את הנשק הטעון ברכבו, נסע בחוסר זהירות ונעצר. הוא הורשע בנשיאת נשק ותחמושת ונהיגה בקלות ראש. המערער נעדר עבר פלילי והוא שולב בטיפול, ושירות המבחן המליץ על צו מבחן ומאסר בעבודות שירות. בית המשפט המחוזי </w:t>
      </w:r>
      <w:r w:rsidRPr="007A7BE5">
        <w:rPr>
          <w:rFonts w:ascii="David" w:hAnsi="David"/>
          <w:rtl/>
        </w:rPr>
        <w:t>קבע מתחם עונש הולם הנע בין 20 ל- 48 חודשי מאסר וגזר עליו 20 חודשי מאסר בפועל.</w:t>
      </w:r>
      <w:r w:rsidRPr="00166C41">
        <w:rPr>
          <w:rFonts w:ascii="David" w:hAnsi="David"/>
          <w:rtl/>
        </w:rPr>
        <w:t xml:space="preserve"> בית המשפט העליון קבע</w:t>
      </w:r>
      <w:r>
        <w:rPr>
          <w:rFonts w:ascii="David" w:hAnsi="David" w:hint="cs"/>
          <w:rtl/>
        </w:rPr>
        <w:t>,</w:t>
      </w:r>
      <w:r w:rsidRPr="00166C41">
        <w:rPr>
          <w:rFonts w:ascii="David" w:hAnsi="David"/>
          <w:rtl/>
        </w:rPr>
        <w:t xml:space="preserve"> כי אין להתערב במתחם </w:t>
      </w:r>
      <w:r>
        <w:rPr>
          <w:rFonts w:ascii="David" w:hAnsi="David" w:hint="cs"/>
          <w:rtl/>
        </w:rPr>
        <w:t xml:space="preserve">העונש ההולם </w:t>
      </w:r>
      <w:r w:rsidRPr="00166C41">
        <w:rPr>
          <w:rFonts w:ascii="David" w:hAnsi="David"/>
          <w:rtl/>
        </w:rPr>
        <w:t xml:space="preserve">שנקבע. ובשל </w:t>
      </w:r>
      <w:r w:rsidRPr="007A7BE5">
        <w:rPr>
          <w:rFonts w:ascii="David" w:hAnsi="David"/>
          <w:rtl/>
        </w:rPr>
        <w:t>שיקולי שיקום סטה לקול</w:t>
      </w:r>
      <w:r>
        <w:rPr>
          <w:rFonts w:ascii="David" w:hAnsi="David" w:hint="cs"/>
          <w:rtl/>
        </w:rPr>
        <w:t>ה</w:t>
      </w:r>
      <w:r w:rsidRPr="007A7BE5">
        <w:rPr>
          <w:rFonts w:ascii="David" w:hAnsi="David"/>
          <w:rtl/>
        </w:rPr>
        <w:t xml:space="preserve"> מהמתחם שנקבע והטיל על המערער 17 חודשי מאסר בפועל.</w:t>
      </w:r>
    </w:p>
    <w:p w14:paraId="661FF67C" w14:textId="77777777" w:rsidR="00F16AAC" w:rsidRPr="007A7BE5" w:rsidRDefault="00F16AAC" w:rsidP="00F16AAC">
      <w:pPr>
        <w:pStyle w:val="a9"/>
        <w:spacing w:after="160" w:line="360" w:lineRule="auto"/>
        <w:ind w:left="1440"/>
        <w:jc w:val="both"/>
        <w:rPr>
          <w:rFonts w:ascii="David" w:hAnsi="David"/>
          <w:sz w:val="12"/>
          <w:szCs w:val="12"/>
          <w:rtl/>
        </w:rPr>
      </w:pPr>
    </w:p>
    <w:p w14:paraId="733FE6A9" w14:textId="77777777" w:rsidR="00F16AAC" w:rsidRDefault="00F16AAC" w:rsidP="00F16AAC">
      <w:pPr>
        <w:pStyle w:val="a9"/>
        <w:numPr>
          <w:ilvl w:val="1"/>
          <w:numId w:val="1"/>
        </w:numPr>
        <w:spacing w:after="160" w:line="360" w:lineRule="auto"/>
        <w:ind w:left="850" w:hanging="283"/>
        <w:jc w:val="both"/>
        <w:rPr>
          <w:rFonts w:ascii="David" w:hAnsi="David"/>
        </w:rPr>
      </w:pPr>
      <w:r w:rsidRPr="00166C41">
        <w:rPr>
          <w:rFonts w:ascii="David" w:hAnsi="David"/>
          <w:rtl/>
        </w:rPr>
        <w:t>ב</w:t>
      </w:r>
      <w:hyperlink r:id="rId22" w:history="1">
        <w:r w:rsidR="00135FE7" w:rsidRPr="00135FE7">
          <w:rPr>
            <w:rFonts w:ascii="David" w:hAnsi="David"/>
            <w:color w:val="0000FF"/>
            <w:u w:val="single"/>
            <w:rtl/>
          </w:rPr>
          <w:t>ע"פ 2892/13</w:t>
        </w:r>
      </w:hyperlink>
      <w:r w:rsidRPr="00166C41">
        <w:rPr>
          <w:rFonts w:ascii="David" w:hAnsi="David"/>
          <w:rtl/>
        </w:rPr>
        <w:t xml:space="preserve"> </w:t>
      </w:r>
      <w:r w:rsidRPr="00166C41">
        <w:rPr>
          <w:rFonts w:ascii="David" w:hAnsi="David"/>
          <w:b/>
          <w:bCs/>
          <w:rtl/>
        </w:rPr>
        <w:t xml:space="preserve">מוחמד עודתאללה </w:t>
      </w:r>
      <w:r w:rsidRPr="00166C41">
        <w:rPr>
          <w:rFonts w:ascii="David" w:hAnsi="David"/>
          <w:rtl/>
        </w:rPr>
        <w:t>נ'</w:t>
      </w:r>
      <w:r w:rsidRPr="00166C41">
        <w:rPr>
          <w:rFonts w:ascii="David" w:hAnsi="David"/>
          <w:b/>
          <w:bCs/>
          <w:rtl/>
        </w:rPr>
        <w:t xml:space="preserve"> מדינת ישראל</w:t>
      </w:r>
      <w:r w:rsidRPr="00166C41">
        <w:rPr>
          <w:rFonts w:ascii="David" w:hAnsi="David"/>
          <w:rtl/>
        </w:rPr>
        <w:t xml:space="preserve"> (29.09.13) המערער נתפס נוהג ברכב כשהוא מוביל ונושא מתחת למושבו אקדח ובו מחסנית ריקה מכדורים. המערער </w:t>
      </w:r>
      <w:r>
        <w:rPr>
          <w:rFonts w:ascii="David" w:hAnsi="David" w:hint="cs"/>
          <w:rtl/>
        </w:rPr>
        <w:t xml:space="preserve">נעדר </w:t>
      </w:r>
      <w:r w:rsidRPr="00166C41">
        <w:rPr>
          <w:rFonts w:ascii="David" w:hAnsi="David"/>
          <w:rtl/>
        </w:rPr>
        <w:t>עבר פלילי. בית המשפט המחוזי קבע מתחם עונש הולם ש</w:t>
      </w:r>
      <w:r>
        <w:rPr>
          <w:rFonts w:ascii="David" w:hAnsi="David" w:hint="cs"/>
          <w:rtl/>
        </w:rPr>
        <w:t xml:space="preserve">נע </w:t>
      </w:r>
      <w:r w:rsidRPr="00166C41">
        <w:rPr>
          <w:rFonts w:ascii="David" w:hAnsi="David"/>
          <w:rtl/>
        </w:rPr>
        <w:t>בין שנה לשלוש שנים, וגזר עליו</w:t>
      </w:r>
      <w:r w:rsidRPr="00166C41">
        <w:rPr>
          <w:rFonts w:ascii="David" w:hAnsi="David"/>
          <w:b/>
          <w:bCs/>
          <w:rtl/>
        </w:rPr>
        <w:t xml:space="preserve"> </w:t>
      </w:r>
      <w:r w:rsidRPr="007A7BE5">
        <w:rPr>
          <w:rFonts w:ascii="David" w:hAnsi="David"/>
          <w:rtl/>
        </w:rPr>
        <w:t>21 חודשי מאסר</w:t>
      </w:r>
      <w:r w:rsidRPr="00166C41">
        <w:rPr>
          <w:rFonts w:ascii="David" w:hAnsi="David"/>
          <w:rtl/>
        </w:rPr>
        <w:t>. הערעור על</w:t>
      </w:r>
      <w:r>
        <w:rPr>
          <w:rFonts w:ascii="David" w:hAnsi="David" w:hint="cs"/>
          <w:rtl/>
        </w:rPr>
        <w:t xml:space="preserve"> חומרת</w:t>
      </w:r>
      <w:r w:rsidRPr="00166C41">
        <w:rPr>
          <w:rFonts w:ascii="David" w:hAnsi="David"/>
          <w:rtl/>
        </w:rPr>
        <w:t xml:space="preserve"> העונש נדחה. </w:t>
      </w:r>
    </w:p>
    <w:p w14:paraId="7580C5A5" w14:textId="77777777" w:rsidR="00F16AAC" w:rsidRPr="007A7BE5" w:rsidRDefault="00F16AAC" w:rsidP="00F16AAC">
      <w:pPr>
        <w:pStyle w:val="a9"/>
        <w:spacing w:after="160" w:line="360" w:lineRule="auto"/>
        <w:ind w:left="1440"/>
        <w:jc w:val="both"/>
        <w:rPr>
          <w:rFonts w:ascii="David" w:hAnsi="David"/>
          <w:sz w:val="12"/>
          <w:szCs w:val="12"/>
          <w:rtl/>
        </w:rPr>
      </w:pPr>
    </w:p>
    <w:p w14:paraId="682B4CA4" w14:textId="77777777" w:rsidR="00F16AAC" w:rsidRDefault="00F16AAC" w:rsidP="00F16AAC">
      <w:pPr>
        <w:pStyle w:val="a9"/>
        <w:numPr>
          <w:ilvl w:val="1"/>
          <w:numId w:val="1"/>
        </w:numPr>
        <w:spacing w:after="160" w:line="360" w:lineRule="auto"/>
        <w:ind w:left="850" w:hanging="283"/>
        <w:jc w:val="both"/>
        <w:rPr>
          <w:rFonts w:ascii="David" w:hAnsi="David"/>
        </w:rPr>
      </w:pPr>
      <w:r w:rsidRPr="00166C41">
        <w:rPr>
          <w:rFonts w:ascii="David" w:hAnsi="David"/>
          <w:rtl/>
        </w:rPr>
        <w:t>ב</w:t>
      </w:r>
      <w:hyperlink r:id="rId23" w:history="1">
        <w:r w:rsidR="00135FE7" w:rsidRPr="00135FE7">
          <w:rPr>
            <w:rFonts w:ascii="David" w:hAnsi="David"/>
            <w:color w:val="0000FF"/>
            <w:u w:val="single"/>
            <w:rtl/>
          </w:rPr>
          <w:t>ע"פ 4329/10</w:t>
        </w:r>
      </w:hyperlink>
      <w:r w:rsidRPr="00166C41">
        <w:rPr>
          <w:rFonts w:ascii="David" w:hAnsi="David"/>
          <w:rtl/>
        </w:rPr>
        <w:t xml:space="preserve"> </w:t>
      </w:r>
      <w:r w:rsidRPr="00166C41">
        <w:rPr>
          <w:rFonts w:ascii="David" w:hAnsi="David"/>
          <w:b/>
          <w:bCs/>
          <w:rtl/>
        </w:rPr>
        <w:t>פלוני</w:t>
      </w:r>
      <w:r w:rsidRPr="00166C41">
        <w:rPr>
          <w:rFonts w:ascii="David" w:hAnsi="David"/>
          <w:rtl/>
        </w:rPr>
        <w:t xml:space="preserve"> נ' </w:t>
      </w:r>
      <w:r w:rsidRPr="00166C41">
        <w:rPr>
          <w:rFonts w:ascii="David" w:hAnsi="David"/>
          <w:b/>
          <w:bCs/>
          <w:rtl/>
        </w:rPr>
        <w:t>מדינת ישראל</w:t>
      </w:r>
      <w:r w:rsidRPr="00166C41">
        <w:rPr>
          <w:rFonts w:ascii="David" w:hAnsi="David"/>
          <w:rtl/>
        </w:rPr>
        <w:t xml:space="preserve"> (25.10.10) </w:t>
      </w:r>
      <w:r w:rsidRPr="007A7BE5">
        <w:rPr>
          <w:rFonts w:ascii="David" w:hAnsi="David"/>
          <w:rtl/>
        </w:rPr>
        <w:t xml:space="preserve">המערער נתפס נוהג ברכב שבבעלותו, בו היה אקדח חמוש. המערער צעיר, ללא עבר פלילי, סטודנט. שירות המבחן המליץ על </w:t>
      </w:r>
      <w:r>
        <w:rPr>
          <w:rFonts w:ascii="David" w:hAnsi="David" w:hint="cs"/>
          <w:rtl/>
        </w:rPr>
        <w:t xml:space="preserve">הטלת </w:t>
      </w:r>
      <w:r w:rsidRPr="007A7BE5">
        <w:rPr>
          <w:rFonts w:ascii="David" w:hAnsi="David"/>
          <w:rtl/>
        </w:rPr>
        <w:t xml:space="preserve">מאסר </w:t>
      </w:r>
      <w:r>
        <w:rPr>
          <w:rFonts w:ascii="David" w:hAnsi="David" w:hint="cs"/>
          <w:rtl/>
        </w:rPr>
        <w:t xml:space="preserve">שירוצה </w:t>
      </w:r>
      <w:r w:rsidRPr="007A7BE5">
        <w:rPr>
          <w:rFonts w:ascii="David" w:hAnsi="David"/>
          <w:rtl/>
        </w:rPr>
        <w:t xml:space="preserve">בעבודות שירות. בית המשפט המחוזי דן אותו ל- 20 חודשי מאסר בפועל. הערעור על </w:t>
      </w:r>
      <w:r w:rsidRPr="007A7BE5">
        <w:rPr>
          <w:rFonts w:ascii="David" w:hAnsi="David" w:hint="cs"/>
          <w:rtl/>
        </w:rPr>
        <w:t xml:space="preserve">חומרת </w:t>
      </w:r>
      <w:r w:rsidRPr="007A7BE5">
        <w:rPr>
          <w:rFonts w:ascii="David" w:hAnsi="David"/>
          <w:rtl/>
        </w:rPr>
        <w:t>העונש נדחה.</w:t>
      </w:r>
    </w:p>
    <w:p w14:paraId="6028199A" w14:textId="77777777" w:rsidR="00F16AAC" w:rsidRPr="007A7BE5" w:rsidRDefault="00F16AAC" w:rsidP="00F16AAC">
      <w:pPr>
        <w:pStyle w:val="a9"/>
        <w:spacing w:after="160" w:line="360" w:lineRule="auto"/>
        <w:ind w:left="1440"/>
        <w:jc w:val="both"/>
        <w:rPr>
          <w:rFonts w:ascii="David" w:hAnsi="David"/>
          <w:sz w:val="12"/>
          <w:szCs w:val="12"/>
          <w:rtl/>
        </w:rPr>
      </w:pPr>
    </w:p>
    <w:p w14:paraId="7D6B039B" w14:textId="77777777" w:rsidR="00F16AAC" w:rsidRDefault="00F16AAC" w:rsidP="00F16AAC">
      <w:pPr>
        <w:pStyle w:val="a9"/>
        <w:numPr>
          <w:ilvl w:val="1"/>
          <w:numId w:val="1"/>
        </w:numPr>
        <w:spacing w:after="160" w:line="360" w:lineRule="auto"/>
        <w:ind w:left="850" w:hanging="283"/>
        <w:jc w:val="both"/>
        <w:rPr>
          <w:rFonts w:ascii="David" w:hAnsi="David"/>
        </w:rPr>
      </w:pPr>
      <w:r w:rsidRPr="00166C41">
        <w:rPr>
          <w:rFonts w:ascii="David" w:hAnsi="David"/>
          <w:rtl/>
        </w:rPr>
        <w:t>ב</w:t>
      </w:r>
      <w:hyperlink r:id="rId24" w:history="1">
        <w:r w:rsidR="00135FE7" w:rsidRPr="00135FE7">
          <w:rPr>
            <w:rFonts w:ascii="David" w:hAnsi="David"/>
            <w:color w:val="0000FF"/>
            <w:u w:val="single"/>
            <w:rtl/>
            <w:lang w:eastAsia="he-IL"/>
          </w:rPr>
          <w:t>ע"פ 3156/11</w:t>
        </w:r>
      </w:hyperlink>
      <w:r w:rsidRPr="00166C41">
        <w:rPr>
          <w:rFonts w:ascii="David" w:hAnsi="David"/>
          <w:b/>
          <w:bCs/>
          <w:rtl/>
        </w:rPr>
        <w:t xml:space="preserve"> ג'מיל זראיעה </w:t>
      </w:r>
      <w:r w:rsidRPr="00166C41">
        <w:rPr>
          <w:rFonts w:ascii="David" w:hAnsi="David"/>
          <w:rtl/>
        </w:rPr>
        <w:t>נ'</w:t>
      </w:r>
      <w:r w:rsidRPr="00166C41">
        <w:rPr>
          <w:rFonts w:ascii="David" w:hAnsi="David"/>
          <w:b/>
          <w:bCs/>
          <w:rtl/>
        </w:rPr>
        <w:t xml:space="preserve"> מדינת ישראל</w:t>
      </w:r>
      <w:r w:rsidRPr="00166C41">
        <w:rPr>
          <w:rFonts w:ascii="David" w:hAnsi="David"/>
          <w:rtl/>
        </w:rPr>
        <w:t xml:space="preserve"> (21.2.12), המערער החזיק ברכבו בעת שנסע בו, אקדח ותחמושת מתאימה. בעברו הרשעה קודמת אחת, ישנה, שלא </w:t>
      </w:r>
      <w:r>
        <w:rPr>
          <w:rFonts w:ascii="David" w:hAnsi="David" w:hint="cs"/>
          <w:rtl/>
        </w:rPr>
        <w:t>בעבירות נשק</w:t>
      </w:r>
      <w:r w:rsidRPr="00166C41">
        <w:rPr>
          <w:rFonts w:ascii="David" w:hAnsi="David"/>
          <w:rtl/>
        </w:rPr>
        <w:t xml:space="preserve">. </w:t>
      </w:r>
      <w:r w:rsidRPr="007A7BE5">
        <w:rPr>
          <w:rFonts w:ascii="David" w:hAnsi="David"/>
          <w:rtl/>
        </w:rPr>
        <w:t>בית המשפט גזר עליו 24 חודשי מאסר בפועל</w:t>
      </w:r>
      <w:r>
        <w:rPr>
          <w:rFonts w:ascii="David" w:hAnsi="David"/>
          <w:rtl/>
        </w:rPr>
        <w:t xml:space="preserve">, מאסר על תנאי וקנס </w:t>
      </w:r>
      <w:r w:rsidRPr="007A7BE5">
        <w:rPr>
          <w:rFonts w:ascii="David" w:hAnsi="David"/>
          <w:rtl/>
        </w:rPr>
        <w:t xml:space="preserve">בסך 10,000 ש"ח. ערעורו על חומרת העונש, נדחה. </w:t>
      </w:r>
    </w:p>
    <w:p w14:paraId="0D764946" w14:textId="77777777" w:rsidR="00F16AAC" w:rsidRPr="00DF172C" w:rsidRDefault="00F16AAC" w:rsidP="00F16AAC">
      <w:pPr>
        <w:pStyle w:val="a9"/>
        <w:spacing w:after="160" w:line="360" w:lineRule="auto"/>
        <w:ind w:left="850"/>
        <w:jc w:val="both"/>
        <w:rPr>
          <w:rFonts w:ascii="David" w:hAnsi="David"/>
          <w:sz w:val="12"/>
          <w:szCs w:val="12"/>
        </w:rPr>
      </w:pPr>
    </w:p>
    <w:p w14:paraId="0DE5AE91" w14:textId="77777777" w:rsidR="00F16AAC" w:rsidRPr="005645EC" w:rsidRDefault="00F16AAC" w:rsidP="00F16AAC">
      <w:pPr>
        <w:pStyle w:val="a9"/>
        <w:numPr>
          <w:ilvl w:val="1"/>
          <w:numId w:val="1"/>
        </w:numPr>
        <w:spacing w:after="160" w:line="360" w:lineRule="auto"/>
        <w:ind w:left="850" w:hanging="283"/>
        <w:jc w:val="both"/>
        <w:rPr>
          <w:rFonts w:ascii="David" w:hAnsi="David"/>
        </w:rPr>
      </w:pPr>
      <w:r w:rsidRPr="00166C41">
        <w:rPr>
          <w:rFonts w:ascii="David" w:hAnsi="David"/>
          <w:rtl/>
        </w:rPr>
        <w:t>ב</w:t>
      </w:r>
      <w:hyperlink r:id="rId25" w:history="1">
        <w:r w:rsidR="00135FE7" w:rsidRPr="00135FE7">
          <w:rPr>
            <w:rFonts w:ascii="David" w:hAnsi="David"/>
            <w:color w:val="0000FF"/>
            <w:u w:val="single"/>
            <w:rtl/>
          </w:rPr>
          <w:t>ת"פ  35007-04-13</w:t>
        </w:r>
      </w:hyperlink>
      <w:r w:rsidRPr="00166C41">
        <w:rPr>
          <w:rFonts w:ascii="David" w:hAnsi="David"/>
          <w:rtl/>
        </w:rPr>
        <w:t xml:space="preserve"> (מחוזי נצרת) </w:t>
      </w:r>
      <w:r w:rsidRPr="00166C41">
        <w:rPr>
          <w:rFonts w:ascii="David" w:hAnsi="David"/>
          <w:b/>
          <w:bCs/>
          <w:rtl/>
        </w:rPr>
        <w:t>מדינת ישראל נ' איסלאם עזאיזה</w:t>
      </w:r>
      <w:r w:rsidRPr="00166C41">
        <w:rPr>
          <w:rFonts w:ascii="David" w:hAnsi="David"/>
          <w:rtl/>
        </w:rPr>
        <w:t xml:space="preserve"> (פורס</w:t>
      </w:r>
      <w:r>
        <w:rPr>
          <w:rFonts w:ascii="David" w:hAnsi="David"/>
          <w:rtl/>
        </w:rPr>
        <w:t>ם בנבו, (08.01.15) עסקינן בנאשם</w:t>
      </w:r>
      <w:r>
        <w:rPr>
          <w:rFonts w:ascii="David" w:hAnsi="David" w:hint="cs"/>
          <w:rtl/>
        </w:rPr>
        <w:t xml:space="preserve"> </w:t>
      </w:r>
      <w:r w:rsidRPr="00166C41">
        <w:rPr>
          <w:rFonts w:ascii="David" w:hAnsi="David"/>
          <w:rtl/>
        </w:rPr>
        <w:t xml:space="preserve">"בגיר צעיר" שהורשע, מכוח הודאתו בעובדות כתב אישום שתוקן במסגרת הסדר טיעון, בביצוע עבירות של החזקת ונשיאת נשק שלא כדין, לאחר שנשא אקדח טעון על רקע סכסוך. הושת על הנאשם עונש של מאסר בפועל למשך 9 חודשים, מאסר מותנה וקנס בסך 5,000 ₪ , תוך קביעת  מתחם עונש הולם שנע בין 7 חודשי </w:t>
      </w:r>
      <w:r w:rsidRPr="005645EC">
        <w:rPr>
          <w:rFonts w:ascii="David" w:hAnsi="David"/>
          <w:rtl/>
        </w:rPr>
        <w:t xml:space="preserve">מאסר בפועל ובין 30 חודשי מאסר בפועל. </w:t>
      </w:r>
    </w:p>
    <w:p w14:paraId="3F66A3A1" w14:textId="77777777" w:rsidR="00F16AAC" w:rsidRPr="00AF4301" w:rsidRDefault="00F16AAC" w:rsidP="00F16AAC">
      <w:pPr>
        <w:numPr>
          <w:ilvl w:val="0"/>
          <w:numId w:val="1"/>
        </w:numPr>
        <w:spacing w:after="160" w:line="360" w:lineRule="auto"/>
        <w:ind w:left="232" w:hanging="374"/>
        <w:contextualSpacing/>
        <w:jc w:val="both"/>
        <w:rPr>
          <w:rFonts w:ascii="David" w:hAnsi="David"/>
        </w:rPr>
      </w:pPr>
      <w:r w:rsidRPr="00AF4301">
        <w:rPr>
          <w:rFonts w:ascii="David" w:hAnsi="David"/>
          <w:rtl/>
        </w:rPr>
        <w:t>אשר לנסיבות הקשורות בביצוע העביר</w:t>
      </w:r>
      <w:r w:rsidRPr="00AF4301">
        <w:rPr>
          <w:rFonts w:ascii="David" w:hAnsi="David" w:hint="cs"/>
          <w:rtl/>
        </w:rPr>
        <w:t xml:space="preserve">ה </w:t>
      </w:r>
      <w:r w:rsidRPr="00AF4301">
        <w:rPr>
          <w:rFonts w:ascii="David" w:hAnsi="David"/>
          <w:rtl/>
        </w:rPr>
        <w:t>- מעשה הנאשם חייב מטבעו תיאום ותכנון מוקדם</w:t>
      </w:r>
      <w:r w:rsidRPr="00AF4301">
        <w:rPr>
          <w:rFonts w:ascii="David" w:hAnsi="David" w:hint="cs"/>
          <w:rtl/>
        </w:rPr>
        <w:t xml:space="preserve">, </w:t>
      </w:r>
      <w:r w:rsidRPr="00AF4301">
        <w:rPr>
          <w:rFonts w:ascii="David" w:hAnsi="David"/>
          <w:rtl/>
        </w:rPr>
        <w:t xml:space="preserve">אין </w:t>
      </w:r>
      <w:r w:rsidRPr="00AF4301">
        <w:rPr>
          <w:rFonts w:ascii="David" w:hAnsi="David" w:hint="cs"/>
          <w:rtl/>
        </w:rPr>
        <w:t>מדובר באירוע</w:t>
      </w:r>
      <w:r w:rsidRPr="00AF4301">
        <w:rPr>
          <w:rFonts w:ascii="David" w:hAnsi="David"/>
          <w:rtl/>
        </w:rPr>
        <w:t xml:space="preserve"> ספונטני</w:t>
      </w:r>
      <w:r w:rsidRPr="00AF4301">
        <w:rPr>
          <w:rFonts w:ascii="David" w:hAnsi="David" w:hint="cs"/>
          <w:rtl/>
        </w:rPr>
        <w:t xml:space="preserve">, שכן </w:t>
      </w:r>
      <w:r w:rsidRPr="00AF4301">
        <w:rPr>
          <w:rFonts w:ascii="David" w:hAnsi="David"/>
          <w:rtl/>
        </w:rPr>
        <w:t>הנאשם נסע יחד עם חברו מכפר עקב ליריחו</w:t>
      </w:r>
      <w:r w:rsidRPr="00AF4301">
        <w:rPr>
          <w:rFonts w:ascii="David" w:hAnsi="David" w:hint="cs"/>
          <w:rtl/>
        </w:rPr>
        <w:t>,</w:t>
      </w:r>
      <w:r w:rsidRPr="00AF4301">
        <w:rPr>
          <w:rFonts w:ascii="David" w:hAnsi="David"/>
          <w:rtl/>
        </w:rPr>
        <w:t xml:space="preserve"> וזאת על מנת לבצע עסקה בכלי נשק עם אחר</w:t>
      </w:r>
      <w:r w:rsidRPr="00AF4301">
        <w:rPr>
          <w:rFonts w:ascii="David" w:hAnsi="David" w:hint="cs"/>
          <w:rtl/>
        </w:rPr>
        <w:t>. הנאשם הגיע ליריחו</w:t>
      </w:r>
      <w:r w:rsidRPr="00AF4301">
        <w:rPr>
          <w:rFonts w:ascii="David" w:hAnsi="David"/>
          <w:rtl/>
        </w:rPr>
        <w:t xml:space="preserve"> </w:t>
      </w:r>
      <w:r w:rsidRPr="00AF4301">
        <w:rPr>
          <w:rFonts w:ascii="David" w:hAnsi="David" w:hint="cs"/>
          <w:rtl/>
        </w:rPr>
        <w:t>לאחר ש</w:t>
      </w:r>
      <w:r w:rsidRPr="00AF4301">
        <w:rPr>
          <w:rFonts w:ascii="David" w:hAnsi="David"/>
          <w:rtl/>
        </w:rPr>
        <w:t>סיכם עמו</w:t>
      </w:r>
      <w:r w:rsidRPr="00AF4301">
        <w:rPr>
          <w:rFonts w:ascii="David" w:hAnsi="David" w:hint="cs"/>
          <w:rtl/>
        </w:rPr>
        <w:t>,</w:t>
      </w:r>
      <w:r w:rsidRPr="00AF4301">
        <w:rPr>
          <w:rFonts w:ascii="David" w:hAnsi="David"/>
          <w:rtl/>
        </w:rPr>
        <w:t xml:space="preserve"> כי ישכ</w:t>
      </w:r>
      <w:r>
        <w:rPr>
          <w:rFonts w:ascii="David" w:hAnsi="David" w:hint="cs"/>
          <w:rtl/>
        </w:rPr>
        <w:t>ו</w:t>
      </w:r>
      <w:r w:rsidRPr="00AF4301">
        <w:rPr>
          <w:rFonts w:ascii="David" w:hAnsi="David"/>
          <w:rtl/>
        </w:rPr>
        <w:t>ר ממנו שלושה אקדחים מסוג</w:t>
      </w:r>
      <w:r w:rsidRPr="00AF4301">
        <w:rPr>
          <w:rFonts w:ascii="David" w:hAnsi="David"/>
        </w:rPr>
        <w:t xml:space="preserve"> FN </w:t>
      </w:r>
      <w:r w:rsidRPr="00AF4301">
        <w:rPr>
          <w:rFonts w:ascii="David" w:hAnsi="David"/>
          <w:rtl/>
        </w:rPr>
        <w:t>שבכוחם להמית אדם, תמורת שכירות יומית</w:t>
      </w:r>
      <w:r w:rsidRPr="00AF4301">
        <w:rPr>
          <w:rFonts w:ascii="David" w:hAnsi="David" w:hint="cs"/>
          <w:rtl/>
        </w:rPr>
        <w:t>,</w:t>
      </w:r>
      <w:r w:rsidRPr="00AF4301">
        <w:rPr>
          <w:rFonts w:ascii="David" w:hAnsi="David"/>
          <w:rtl/>
        </w:rPr>
        <w:t xml:space="preserve"> לתקופה שאינה ידועה</w:t>
      </w:r>
      <w:r w:rsidRPr="00AF4301">
        <w:rPr>
          <w:rFonts w:ascii="David" w:hAnsi="David" w:hint="cs"/>
          <w:rtl/>
        </w:rPr>
        <w:t>,</w:t>
      </w:r>
      <w:r w:rsidRPr="00AF4301">
        <w:rPr>
          <w:rFonts w:ascii="David" w:hAnsi="David"/>
          <w:rtl/>
        </w:rPr>
        <w:t xml:space="preserve"> וזאת על מנת להחזיק בהם לעת מצוא או להעבירם למכריו לשימוש בהם במקרה הצורך. ייעודו של אקדח</w:t>
      </w:r>
      <w:r w:rsidRPr="00AF4301">
        <w:rPr>
          <w:rFonts w:ascii="David" w:hAnsi="David" w:hint="cs"/>
          <w:rtl/>
        </w:rPr>
        <w:t xml:space="preserve"> הוא ברור, ועל כן</w:t>
      </w:r>
      <w:r w:rsidRPr="00AF4301">
        <w:rPr>
          <w:rFonts w:ascii="David" w:hAnsi="David"/>
          <w:rtl/>
        </w:rPr>
        <w:t xml:space="preserve"> הנזק </w:t>
      </w:r>
      <w:r w:rsidRPr="00AF4301">
        <w:rPr>
          <w:rFonts w:ascii="David" w:hAnsi="David" w:hint="cs"/>
          <w:rtl/>
        </w:rPr>
        <w:t>הפוטנציאל</w:t>
      </w:r>
      <w:r w:rsidRPr="00AF4301">
        <w:rPr>
          <w:rFonts w:ascii="David" w:hAnsi="David" w:hint="eastAsia"/>
          <w:rtl/>
        </w:rPr>
        <w:t>י</w:t>
      </w:r>
      <w:r w:rsidRPr="00AF4301">
        <w:rPr>
          <w:rFonts w:ascii="David" w:hAnsi="David"/>
          <w:rtl/>
        </w:rPr>
        <w:t xml:space="preserve"> לולא התערבות המשטרה, </w:t>
      </w:r>
      <w:r w:rsidRPr="00AF4301">
        <w:rPr>
          <w:rFonts w:ascii="David" w:hAnsi="David" w:hint="cs"/>
          <w:rtl/>
        </w:rPr>
        <w:t>עלול היה להגיע</w:t>
      </w:r>
      <w:r w:rsidRPr="00AF4301">
        <w:rPr>
          <w:rFonts w:ascii="David" w:hAnsi="David"/>
          <w:rtl/>
        </w:rPr>
        <w:t xml:space="preserve"> </w:t>
      </w:r>
      <w:r w:rsidRPr="00AF4301">
        <w:rPr>
          <w:rFonts w:ascii="David" w:hAnsi="David" w:hint="cs"/>
          <w:rtl/>
        </w:rPr>
        <w:t>לפגיעה חמורה בשלמות הגוף עד כדי אובדן חיים</w:t>
      </w:r>
      <w:r w:rsidRPr="00AF4301">
        <w:rPr>
          <w:rFonts w:ascii="David" w:hAnsi="David"/>
          <w:rtl/>
        </w:rPr>
        <w:t xml:space="preserve">. </w:t>
      </w:r>
      <w:r w:rsidRPr="00AF4301">
        <w:rPr>
          <w:rFonts w:ascii="David" w:hAnsi="David" w:hint="cs"/>
          <w:rtl/>
        </w:rPr>
        <w:t>עם זאת</w:t>
      </w:r>
      <w:r w:rsidRPr="00AF4301">
        <w:rPr>
          <w:rFonts w:ascii="David" w:hAnsi="David"/>
          <w:rtl/>
        </w:rPr>
        <w:t xml:space="preserve">, </w:t>
      </w:r>
      <w:r w:rsidRPr="00AF4301">
        <w:rPr>
          <w:rFonts w:ascii="David" w:hAnsi="David" w:hint="cs"/>
          <w:rtl/>
        </w:rPr>
        <w:t xml:space="preserve">יש להתחשב בכך שמדובר בנשיאת </w:t>
      </w:r>
      <w:r w:rsidRPr="00AF4301">
        <w:rPr>
          <w:rFonts w:ascii="David" w:hAnsi="David"/>
          <w:rtl/>
        </w:rPr>
        <w:t>אקדחים</w:t>
      </w:r>
      <w:r w:rsidRPr="00AF4301">
        <w:rPr>
          <w:rFonts w:ascii="David" w:hAnsi="David" w:hint="cs"/>
          <w:rtl/>
        </w:rPr>
        <w:t xml:space="preserve"> ללא תחמושת מתאימה, </w:t>
      </w:r>
      <w:r w:rsidRPr="00AF4301">
        <w:rPr>
          <w:rFonts w:ascii="David" w:hAnsi="David"/>
          <w:rtl/>
        </w:rPr>
        <w:t>כך שאין מדובר בפוטנציאל שימוש מיידי בכלי הנשק</w:t>
      </w:r>
      <w:r w:rsidRPr="00AF4301">
        <w:rPr>
          <w:rFonts w:ascii="David" w:hAnsi="David" w:hint="cs"/>
          <w:rtl/>
        </w:rPr>
        <w:t>. בנוסף, שניים משלושת האקדחים אותם נשא הנאשם היו תקולים, אף שעדיין יכלו לבצע ירי, הנזק הפוטנציאלי הצפוי מהם נמוך יותר.</w:t>
      </w:r>
      <w:r w:rsidRPr="00AF4301">
        <w:rPr>
          <w:rFonts w:ascii="David" w:hAnsi="David"/>
          <w:rtl/>
        </w:rPr>
        <w:t xml:space="preserve"> </w:t>
      </w:r>
      <w:r w:rsidRPr="00AF4301">
        <w:rPr>
          <w:rFonts w:ascii="David" w:hAnsi="David" w:hint="cs"/>
          <w:rtl/>
        </w:rPr>
        <w:t>עוד יש להתחשב בכך ש</w:t>
      </w:r>
      <w:r w:rsidRPr="00AF4301">
        <w:rPr>
          <w:rFonts w:ascii="David" w:hAnsi="David"/>
          <w:rtl/>
        </w:rPr>
        <w:t xml:space="preserve">אין מדובר בנשק ארוך המאפשר ירי </w:t>
      </w:r>
      <w:r w:rsidRPr="00AF4301">
        <w:rPr>
          <w:rFonts w:ascii="David" w:hAnsi="David" w:hint="cs"/>
          <w:rtl/>
        </w:rPr>
        <w:t xml:space="preserve">אוטומטי </w:t>
      </w:r>
      <w:r w:rsidRPr="00AF4301">
        <w:rPr>
          <w:rFonts w:ascii="David" w:hAnsi="David"/>
          <w:rtl/>
        </w:rPr>
        <w:t>לטווח רחוק והוא בעל פוטנציאל</w:t>
      </w:r>
      <w:r w:rsidRPr="00AF4301">
        <w:rPr>
          <w:rFonts w:ascii="David" w:hAnsi="David" w:hint="cs"/>
          <w:rtl/>
        </w:rPr>
        <w:t xml:space="preserve"> לפגיעה בנפש ובגוף בעוצמה גבוהה יותר</w:t>
      </w:r>
      <w:r w:rsidRPr="00AF4301">
        <w:rPr>
          <w:rFonts w:ascii="David" w:hAnsi="David"/>
          <w:rtl/>
        </w:rPr>
        <w:t xml:space="preserve">. </w:t>
      </w:r>
      <w:r w:rsidRPr="00AF4301">
        <w:rPr>
          <w:rFonts w:ascii="David" w:hAnsi="David" w:hint="cs"/>
          <w:rtl/>
        </w:rPr>
        <w:t xml:space="preserve">כמו כן, </w:t>
      </w:r>
      <w:r w:rsidRPr="00AF4301">
        <w:rPr>
          <w:rFonts w:ascii="David" w:hAnsi="David"/>
          <w:rtl/>
        </w:rPr>
        <w:t>שקלתי את העובדה שבסופו של יום לא נגרם נזק ממשי בגין העבירה בה הורשע הנאשם</w:t>
      </w:r>
      <w:r w:rsidRPr="00AF4301">
        <w:rPr>
          <w:rFonts w:ascii="David" w:hAnsi="David" w:hint="cs"/>
          <w:rtl/>
        </w:rPr>
        <w:t>,</w:t>
      </w:r>
      <w:r w:rsidRPr="00AF4301">
        <w:rPr>
          <w:rFonts w:ascii="David" w:hAnsi="David"/>
          <w:rtl/>
        </w:rPr>
        <w:t xml:space="preserve"> </w:t>
      </w:r>
      <w:r w:rsidRPr="00AF4301">
        <w:rPr>
          <w:rFonts w:ascii="David" w:hAnsi="David" w:hint="cs"/>
          <w:rtl/>
        </w:rPr>
        <w:t>ואת העובדה כי ברקע האירוע סכסוך של גורמים עברייניים עם בני דודיו של הנאשם. אמנם, אין להשלים עם שימוש בנשק על מנת לפתור סכסוכים, וכך למשל נפסק: "</w:t>
      </w:r>
      <w:r w:rsidRPr="00AF4301">
        <w:rPr>
          <w:rFonts w:ascii="David" w:hAnsi="David"/>
          <w:b/>
          <w:bCs/>
          <w:rtl/>
        </w:rPr>
        <w:t>פתרון סכסוכים בדרכי אלימות ועשיית דין עצמי, מבטא לא רק זלזול בערך חיי אדם, אלא בכל אותם יסודות שקיומה של חברה מתוקנת תלוי בהם. מחובתו של בית המשפט לשרש התנהגות מעין זו לאור השלכותיה הרות האסון</w:t>
      </w:r>
      <w:r w:rsidRPr="00AF4301">
        <w:rPr>
          <w:rFonts w:ascii="David" w:hAnsi="David" w:hint="cs"/>
          <w:rtl/>
        </w:rPr>
        <w:t>" (</w:t>
      </w:r>
      <w:hyperlink r:id="rId26" w:history="1">
        <w:r w:rsidR="00135FE7" w:rsidRPr="00135FE7">
          <w:rPr>
            <w:rFonts w:ascii="David" w:hAnsi="David"/>
            <w:color w:val="0000FF"/>
            <w:u w:val="single"/>
            <w:rtl/>
          </w:rPr>
          <w:t>ע"פ 1645/08</w:t>
        </w:r>
      </w:hyperlink>
      <w:r w:rsidRPr="00AF4301">
        <w:rPr>
          <w:rFonts w:ascii="David" w:hAnsi="David"/>
          <w:rtl/>
        </w:rPr>
        <w:t xml:space="preserve"> </w:t>
      </w:r>
      <w:r w:rsidRPr="00AF4301">
        <w:rPr>
          <w:rFonts w:ascii="David" w:hAnsi="David"/>
          <w:b/>
          <w:bCs/>
          <w:rtl/>
        </w:rPr>
        <w:t>פלוני נ' מדינת ישראל</w:t>
      </w:r>
      <w:r w:rsidRPr="00AF4301">
        <w:rPr>
          <w:rFonts w:ascii="David" w:hAnsi="David" w:hint="cs"/>
          <w:rtl/>
        </w:rPr>
        <w:t>, פסקה 33 והאסמכתאות הנזכרות שם</w:t>
      </w:r>
      <w:r w:rsidRPr="00AF4301">
        <w:rPr>
          <w:rFonts w:ascii="David" w:hAnsi="David"/>
          <w:rtl/>
        </w:rPr>
        <w:t xml:space="preserve"> (03.09.2009)</w:t>
      </w:r>
      <w:r w:rsidRPr="00AF4301">
        <w:rPr>
          <w:rFonts w:ascii="David" w:hAnsi="David" w:hint="cs"/>
          <w:rtl/>
        </w:rPr>
        <w:t xml:space="preserve">; ר' גם </w:t>
      </w:r>
      <w:hyperlink r:id="rId27" w:history="1">
        <w:r w:rsidR="00135FE7" w:rsidRPr="00135FE7">
          <w:rPr>
            <w:rFonts w:ascii="David" w:hAnsi="David"/>
            <w:color w:val="0000FF"/>
            <w:u w:val="single"/>
            <w:rtl/>
          </w:rPr>
          <w:t>ע"פ 6277/20</w:t>
        </w:r>
      </w:hyperlink>
      <w:r w:rsidRPr="00AF4301">
        <w:rPr>
          <w:rFonts w:ascii="David" w:hAnsi="David"/>
          <w:rtl/>
        </w:rPr>
        <w:t xml:space="preserve"> </w:t>
      </w:r>
      <w:r w:rsidRPr="00AF4301">
        <w:rPr>
          <w:rFonts w:ascii="David" w:hAnsi="David"/>
          <w:b/>
          <w:bCs/>
          <w:rtl/>
        </w:rPr>
        <w:t>קנאו דניאל היילי נ' מדינת ישראל</w:t>
      </w:r>
      <w:r w:rsidRPr="00AF4301">
        <w:rPr>
          <w:rFonts w:ascii="David" w:hAnsi="David" w:hint="cs"/>
          <w:rtl/>
        </w:rPr>
        <w:t>, פסקאות 36-37 והאסמכתאות הנזכרות שם</w:t>
      </w:r>
      <w:r w:rsidRPr="00AF4301">
        <w:rPr>
          <w:rFonts w:ascii="David" w:hAnsi="David"/>
          <w:rtl/>
        </w:rPr>
        <w:t xml:space="preserve"> (24.03.2021)</w:t>
      </w:r>
      <w:r w:rsidRPr="00AF4301">
        <w:rPr>
          <w:rFonts w:ascii="David" w:hAnsi="David" w:hint="cs"/>
          <w:rtl/>
        </w:rPr>
        <w:t>). מנגד, יש לציין כי הנאשם לא יזם את האירוע, אלא נגרר אליו ופעל בתגובות למעשי אותם גורמים עברייניים, לאחר שפנה למשטרה וניסה להגיע עמהם לסולחה.</w:t>
      </w:r>
    </w:p>
    <w:p w14:paraId="5FA01EBE" w14:textId="77777777" w:rsidR="00F16AAC" w:rsidRPr="00AF4301" w:rsidRDefault="00F16AAC" w:rsidP="00F16AAC">
      <w:pPr>
        <w:spacing w:after="160" w:line="360" w:lineRule="auto"/>
        <w:ind w:left="232"/>
        <w:contextualSpacing/>
        <w:jc w:val="both"/>
        <w:rPr>
          <w:rFonts w:ascii="David" w:hAnsi="David"/>
          <w:sz w:val="12"/>
          <w:szCs w:val="12"/>
        </w:rPr>
      </w:pPr>
    </w:p>
    <w:p w14:paraId="1CC85543" w14:textId="77777777" w:rsidR="00F16AAC" w:rsidRPr="00AF4301" w:rsidRDefault="00F16AAC" w:rsidP="00F16AAC">
      <w:pPr>
        <w:numPr>
          <w:ilvl w:val="0"/>
          <w:numId w:val="1"/>
        </w:numPr>
        <w:spacing w:after="160" w:line="360" w:lineRule="auto"/>
        <w:ind w:left="232" w:hanging="374"/>
        <w:contextualSpacing/>
        <w:jc w:val="both"/>
        <w:rPr>
          <w:rFonts w:ascii="David" w:hAnsi="David"/>
        </w:rPr>
      </w:pPr>
      <w:r w:rsidRPr="00AF4301">
        <w:rPr>
          <w:rFonts w:ascii="David" w:hAnsi="David"/>
          <w:rtl/>
        </w:rPr>
        <w:t xml:space="preserve">לאחר שבחנתי את הערכים המוגנים שנפגעו כתוצאה מביצוע העבירות על ידי הנאשם, את נסיבות ביצוען, וכן נתתי דעתי למדיניות הענישה הנהוגה, הגעתי לכלל מסקנה כי מתחם העונש ההולם בתיק זה נע בין עונש של </w:t>
      </w:r>
      <w:r>
        <w:rPr>
          <w:rFonts w:ascii="David" w:hAnsi="David" w:hint="cs"/>
          <w:rtl/>
        </w:rPr>
        <w:t>24</w:t>
      </w:r>
      <w:r w:rsidRPr="00AF4301">
        <w:rPr>
          <w:rFonts w:ascii="David" w:hAnsi="David"/>
          <w:rtl/>
        </w:rPr>
        <w:t xml:space="preserve"> חודשי מאסר בפועל לבין עונש של </w:t>
      </w:r>
      <w:r>
        <w:rPr>
          <w:rFonts w:ascii="David" w:hAnsi="David" w:hint="cs"/>
          <w:rtl/>
        </w:rPr>
        <w:t>48</w:t>
      </w:r>
      <w:r w:rsidRPr="00AF4301">
        <w:rPr>
          <w:rFonts w:ascii="David" w:hAnsi="David"/>
          <w:rtl/>
        </w:rPr>
        <w:t xml:space="preserve"> חודשי מאסר בפועל.</w:t>
      </w:r>
    </w:p>
    <w:p w14:paraId="4C7BB6F1" w14:textId="77777777" w:rsidR="00F16AAC" w:rsidRPr="00AF4301" w:rsidRDefault="00F16AAC" w:rsidP="00F16AAC">
      <w:pPr>
        <w:spacing w:after="160" w:line="360" w:lineRule="auto"/>
        <w:ind w:left="-142"/>
        <w:contextualSpacing/>
        <w:jc w:val="both"/>
        <w:rPr>
          <w:rFonts w:ascii="David" w:hAnsi="David"/>
          <w:b/>
          <w:bCs/>
          <w:u w:val="single"/>
          <w:rtl/>
        </w:rPr>
      </w:pPr>
    </w:p>
    <w:p w14:paraId="41261FF4" w14:textId="77777777" w:rsidR="00F16AAC" w:rsidRPr="00AF4301" w:rsidRDefault="00F16AAC" w:rsidP="00F16AAC">
      <w:pPr>
        <w:spacing w:after="160" w:line="360" w:lineRule="auto"/>
        <w:ind w:left="-142"/>
        <w:contextualSpacing/>
        <w:jc w:val="both"/>
        <w:rPr>
          <w:rFonts w:ascii="David" w:hAnsi="David"/>
          <w:rtl/>
        </w:rPr>
      </w:pPr>
      <w:r w:rsidRPr="00AF4301">
        <w:rPr>
          <w:rFonts w:ascii="David" w:hAnsi="David" w:hint="cs"/>
          <w:b/>
          <w:bCs/>
          <w:u w:val="single"/>
          <w:rtl/>
        </w:rPr>
        <w:t>העונש המתאים</w:t>
      </w:r>
    </w:p>
    <w:p w14:paraId="6EA4BCC3" w14:textId="77777777" w:rsidR="00F16AAC" w:rsidRPr="00DF172C" w:rsidRDefault="00F16AAC" w:rsidP="00F16AAC">
      <w:pPr>
        <w:numPr>
          <w:ilvl w:val="0"/>
          <w:numId w:val="1"/>
        </w:numPr>
        <w:spacing w:after="160" w:line="360" w:lineRule="auto"/>
        <w:ind w:left="232" w:hanging="374"/>
        <w:contextualSpacing/>
        <w:jc w:val="both"/>
        <w:rPr>
          <w:rFonts w:ascii="David" w:hAnsi="David"/>
        </w:rPr>
      </w:pPr>
      <w:r w:rsidRPr="00AF4301">
        <w:rPr>
          <w:rFonts w:ascii="David" w:hAnsi="David" w:hint="cs"/>
          <w:rtl/>
        </w:rPr>
        <w:t xml:space="preserve">בבואי לשקול את העונש המתאים לנאשם אשקול, בין היתר, את הנסיבות שאינן קשורות בביצוע העבירה אשר מפורטות </w:t>
      </w:r>
      <w:hyperlink r:id="rId28" w:history="1">
        <w:r w:rsidR="001265BB" w:rsidRPr="001265BB">
          <w:rPr>
            <w:rStyle w:val="Hyperlink"/>
            <w:rFonts w:ascii="David" w:hAnsi="David" w:hint="eastAsia"/>
            <w:rtl/>
          </w:rPr>
          <w:t>בסעיף</w:t>
        </w:r>
        <w:r w:rsidR="001265BB" w:rsidRPr="001265BB">
          <w:rPr>
            <w:rStyle w:val="Hyperlink"/>
            <w:rFonts w:ascii="David" w:hAnsi="David"/>
            <w:rtl/>
          </w:rPr>
          <w:t xml:space="preserve"> 40יא</w:t>
        </w:r>
      </w:hyperlink>
      <w:r w:rsidRPr="00AF4301">
        <w:rPr>
          <w:rFonts w:ascii="David" w:hAnsi="David" w:hint="cs"/>
          <w:rtl/>
        </w:rPr>
        <w:t xml:space="preserve"> לחוק. לק</w:t>
      </w:r>
      <w:r>
        <w:rPr>
          <w:rFonts w:ascii="David" w:hAnsi="David" w:hint="cs"/>
          <w:rtl/>
        </w:rPr>
        <w:t>ולה אתחשב בכך שהנאשם צעיר כבן 31, א</w:t>
      </w:r>
      <w:r w:rsidRPr="00DF172C">
        <w:rPr>
          <w:rFonts w:ascii="David" w:hAnsi="David" w:hint="cs"/>
          <w:rtl/>
        </w:rPr>
        <w:t>ש</w:t>
      </w:r>
      <w:r>
        <w:rPr>
          <w:rFonts w:ascii="David" w:hAnsi="David" w:hint="cs"/>
          <w:rtl/>
        </w:rPr>
        <w:t xml:space="preserve">ר </w:t>
      </w:r>
      <w:r w:rsidRPr="00DF172C">
        <w:rPr>
          <w:rFonts w:ascii="David" w:hAnsi="David" w:hint="cs"/>
          <w:rtl/>
        </w:rPr>
        <w:t>שהה במעצר</w:t>
      </w:r>
      <w:r>
        <w:rPr>
          <w:rFonts w:ascii="David" w:hAnsi="David" w:hint="cs"/>
          <w:rtl/>
        </w:rPr>
        <w:t xml:space="preserve"> למשך</w:t>
      </w:r>
      <w:r w:rsidRPr="00DF172C">
        <w:rPr>
          <w:rFonts w:ascii="David" w:hAnsi="David" w:hint="cs"/>
          <w:rtl/>
        </w:rPr>
        <w:t xml:space="preserve"> </w:t>
      </w:r>
      <w:r>
        <w:rPr>
          <w:rFonts w:ascii="David" w:hAnsi="David" w:hint="cs"/>
          <w:rtl/>
        </w:rPr>
        <w:t xml:space="preserve">11 חודשים, </w:t>
      </w:r>
      <w:r w:rsidRPr="00DF172C">
        <w:rPr>
          <w:rFonts w:ascii="David" w:hAnsi="David" w:hint="cs"/>
          <w:rtl/>
        </w:rPr>
        <w:t>וכי</w:t>
      </w:r>
      <w:r>
        <w:rPr>
          <w:rFonts w:ascii="David" w:hAnsi="David" w:hint="cs"/>
          <w:rtl/>
        </w:rPr>
        <w:t>דוע תנאי מעצר קשים מתנאי מאסר.</w:t>
      </w:r>
      <w:r w:rsidRPr="00DF172C">
        <w:rPr>
          <w:rFonts w:ascii="David" w:hAnsi="David" w:hint="cs"/>
          <w:rtl/>
        </w:rPr>
        <w:t xml:space="preserve"> ברצונו </w:t>
      </w:r>
      <w:r>
        <w:rPr>
          <w:rFonts w:ascii="David" w:hAnsi="David" w:hint="cs"/>
          <w:rtl/>
        </w:rPr>
        <w:t xml:space="preserve">של הנאשם </w:t>
      </w:r>
      <w:r w:rsidRPr="00DF172C">
        <w:rPr>
          <w:rFonts w:ascii="David" w:hAnsi="David" w:hint="cs"/>
          <w:rtl/>
        </w:rPr>
        <w:t>לנהל אורח חיים נורמטיבי</w:t>
      </w:r>
      <w:r>
        <w:rPr>
          <w:rFonts w:ascii="David" w:hAnsi="David" w:hint="cs"/>
          <w:rtl/>
        </w:rPr>
        <w:t>, הוא</w:t>
      </w:r>
      <w:r w:rsidRPr="00DF172C">
        <w:rPr>
          <w:rFonts w:ascii="David" w:hAnsi="David" w:hint="cs"/>
          <w:rtl/>
        </w:rPr>
        <w:t xml:space="preserve"> התארס </w:t>
      </w:r>
      <w:r>
        <w:rPr>
          <w:rFonts w:ascii="David" w:hAnsi="David" w:hint="cs"/>
          <w:rtl/>
        </w:rPr>
        <w:t>טרם מעצרו, ורוצה להקים משפחה מיד לאחר שישוחרר</w:t>
      </w:r>
      <w:r w:rsidRPr="00DF172C">
        <w:rPr>
          <w:rFonts w:ascii="David" w:hAnsi="David" w:hint="cs"/>
          <w:rtl/>
        </w:rPr>
        <w:t>. עוד התחשבתי בעובדה שהנאשם שיתף פעולה עם הרשוי</w:t>
      </w:r>
      <w:r>
        <w:rPr>
          <w:rFonts w:ascii="David" w:hAnsi="David" w:hint="cs"/>
          <w:rtl/>
        </w:rPr>
        <w:t xml:space="preserve">ות באופן מלא, הודה באופן מיידי, </w:t>
      </w:r>
      <w:r w:rsidRPr="00DF172C">
        <w:rPr>
          <w:rFonts w:ascii="David" w:hAnsi="David" w:hint="cs"/>
          <w:rtl/>
        </w:rPr>
        <w:t>חסך זמן שיפוטי רב</w:t>
      </w:r>
      <w:r>
        <w:rPr>
          <w:rFonts w:ascii="David" w:hAnsi="David" w:hint="cs"/>
          <w:rtl/>
        </w:rPr>
        <w:t>, והביע חרטה על מעשיו</w:t>
      </w:r>
      <w:r w:rsidRPr="00DF172C">
        <w:rPr>
          <w:rFonts w:ascii="David" w:hAnsi="David" w:hint="cs"/>
          <w:rtl/>
        </w:rPr>
        <w:t>.</w:t>
      </w:r>
    </w:p>
    <w:p w14:paraId="40EA7EF9" w14:textId="77777777" w:rsidR="00F16AAC" w:rsidRPr="00475A61" w:rsidRDefault="00F16AAC" w:rsidP="00F16AAC">
      <w:pPr>
        <w:spacing w:after="160" w:line="360" w:lineRule="auto"/>
        <w:ind w:left="232"/>
        <w:contextualSpacing/>
        <w:jc w:val="both"/>
        <w:rPr>
          <w:rFonts w:ascii="David" w:hAnsi="David"/>
          <w:sz w:val="12"/>
          <w:szCs w:val="12"/>
          <w:highlight w:val="cyan"/>
        </w:rPr>
      </w:pPr>
    </w:p>
    <w:p w14:paraId="7F15F34A" w14:textId="77777777" w:rsidR="00F16AAC" w:rsidRPr="00AF4301" w:rsidRDefault="00F16AAC" w:rsidP="00F16AAC">
      <w:pPr>
        <w:numPr>
          <w:ilvl w:val="0"/>
          <w:numId w:val="1"/>
        </w:numPr>
        <w:spacing w:after="160" w:line="360" w:lineRule="auto"/>
        <w:ind w:left="232" w:hanging="374"/>
        <w:contextualSpacing/>
        <w:jc w:val="both"/>
        <w:rPr>
          <w:rFonts w:ascii="David" w:hAnsi="David"/>
        </w:rPr>
      </w:pPr>
      <w:r w:rsidRPr="00AF4301">
        <w:rPr>
          <w:rFonts w:ascii="David" w:hAnsi="David" w:hint="cs"/>
          <w:rtl/>
        </w:rPr>
        <w:t>לחומרה אשקול את היעדר האופק השיקומי לנאשם במסגרת הליך זה, כפי ש</w:t>
      </w:r>
      <w:r>
        <w:rPr>
          <w:rFonts w:ascii="David" w:hAnsi="David" w:hint="cs"/>
          <w:rtl/>
        </w:rPr>
        <w:t xml:space="preserve">הדבר </w:t>
      </w:r>
      <w:r w:rsidRPr="00AF4301">
        <w:rPr>
          <w:rFonts w:ascii="David" w:hAnsi="David" w:hint="cs"/>
          <w:rtl/>
        </w:rPr>
        <w:t xml:space="preserve">בא לידי ביטוי בתסקיר שירות המבחן שהמליץ על </w:t>
      </w:r>
      <w:r>
        <w:rPr>
          <w:rFonts w:ascii="David" w:hAnsi="David" w:hint="cs"/>
          <w:rtl/>
        </w:rPr>
        <w:t xml:space="preserve">ענישה מוחשית של </w:t>
      </w:r>
      <w:r w:rsidRPr="00AF4301">
        <w:rPr>
          <w:rFonts w:ascii="David" w:hAnsi="David" w:hint="cs"/>
          <w:rtl/>
        </w:rPr>
        <w:t>מאסר בפועל. עוד אשקול את עברו הפלילי  של הנאשם, אשר הורשע ב</w:t>
      </w:r>
      <w:r>
        <w:rPr>
          <w:rFonts w:ascii="David" w:hAnsi="David" w:hint="cs"/>
          <w:rtl/>
        </w:rPr>
        <w:t xml:space="preserve">עבירה של </w:t>
      </w:r>
      <w:r w:rsidRPr="00AF4301">
        <w:rPr>
          <w:rFonts w:ascii="David" w:hAnsi="David" w:hint="cs"/>
          <w:rtl/>
        </w:rPr>
        <w:t>החזקת סכין</w:t>
      </w:r>
      <w:r>
        <w:rPr>
          <w:rFonts w:ascii="David" w:hAnsi="David" w:hint="cs"/>
          <w:rtl/>
        </w:rPr>
        <w:t xml:space="preserve"> בשנת 2015</w:t>
      </w:r>
      <w:r w:rsidRPr="00AF4301">
        <w:rPr>
          <w:rFonts w:ascii="David" w:hAnsi="David" w:hint="cs"/>
          <w:rtl/>
        </w:rPr>
        <w:t xml:space="preserve"> וב</w:t>
      </w:r>
      <w:r>
        <w:rPr>
          <w:rFonts w:ascii="David" w:hAnsi="David" w:hint="cs"/>
          <w:rtl/>
        </w:rPr>
        <w:t xml:space="preserve">עבירה של </w:t>
      </w:r>
      <w:r w:rsidRPr="00AF4301">
        <w:rPr>
          <w:rFonts w:ascii="David" w:hAnsi="David" w:hint="cs"/>
          <w:rtl/>
        </w:rPr>
        <w:t>נשיאת נשק שלא כדין</w:t>
      </w:r>
      <w:r>
        <w:rPr>
          <w:rFonts w:ascii="David" w:hAnsi="David" w:hint="cs"/>
          <w:rtl/>
        </w:rPr>
        <w:t xml:space="preserve"> בשנת 2014</w:t>
      </w:r>
      <w:r w:rsidRPr="00AF4301">
        <w:rPr>
          <w:rFonts w:ascii="David" w:hAnsi="David" w:hint="cs"/>
          <w:rtl/>
        </w:rPr>
        <w:t>, בגינ</w:t>
      </w:r>
      <w:r>
        <w:rPr>
          <w:rFonts w:ascii="David" w:hAnsi="David" w:hint="cs"/>
          <w:rtl/>
        </w:rPr>
        <w:t>ן</w:t>
      </w:r>
      <w:r w:rsidRPr="00AF4301">
        <w:rPr>
          <w:rFonts w:ascii="David" w:hAnsi="David" w:hint="cs"/>
          <w:rtl/>
        </w:rPr>
        <w:t xml:space="preserve"> נשפט ל</w:t>
      </w:r>
      <w:r>
        <w:rPr>
          <w:rFonts w:ascii="David" w:hAnsi="David" w:hint="cs"/>
          <w:rtl/>
        </w:rPr>
        <w:t>עונש כולל של 19</w:t>
      </w:r>
      <w:r w:rsidRPr="00AF4301">
        <w:rPr>
          <w:rFonts w:ascii="David" w:hAnsi="David" w:hint="cs"/>
          <w:rtl/>
        </w:rPr>
        <w:t xml:space="preserve"> חודשי מאסר, </w:t>
      </w:r>
      <w:r>
        <w:rPr>
          <w:rFonts w:ascii="David" w:hAnsi="David" w:hint="cs"/>
          <w:rtl/>
        </w:rPr>
        <w:t xml:space="preserve">ולמרות זאת חזר לסורו וביצע עבירה דומה במקרה דנן. נסיבות אלה מלמדות על היעדר מורא </w:t>
      </w:r>
      <w:r w:rsidRPr="00AF4301">
        <w:rPr>
          <w:rFonts w:ascii="David" w:hAnsi="David" w:hint="cs"/>
          <w:rtl/>
        </w:rPr>
        <w:t>דין</w:t>
      </w:r>
      <w:r>
        <w:rPr>
          <w:rFonts w:ascii="David" w:hAnsi="David" w:hint="cs"/>
          <w:rtl/>
        </w:rPr>
        <w:t>,</w:t>
      </w:r>
      <w:r w:rsidRPr="00AF4301">
        <w:rPr>
          <w:rFonts w:ascii="David" w:hAnsi="David" w:hint="cs"/>
          <w:rtl/>
        </w:rPr>
        <w:t xml:space="preserve"> ועל הצורך להגן על הציבור מפניו.</w:t>
      </w:r>
    </w:p>
    <w:p w14:paraId="0823601D" w14:textId="77777777" w:rsidR="00F16AAC" w:rsidRPr="00DB6A22" w:rsidRDefault="00F16AAC" w:rsidP="00F16AAC">
      <w:pPr>
        <w:spacing w:after="160" w:line="360" w:lineRule="auto"/>
        <w:ind w:left="232"/>
        <w:contextualSpacing/>
        <w:jc w:val="both"/>
        <w:rPr>
          <w:rFonts w:ascii="David" w:hAnsi="David"/>
          <w:sz w:val="12"/>
          <w:szCs w:val="12"/>
          <w:highlight w:val="cyan"/>
        </w:rPr>
      </w:pPr>
    </w:p>
    <w:p w14:paraId="502AE052" w14:textId="77777777" w:rsidR="00F16AAC" w:rsidRDefault="00F16AAC" w:rsidP="00F16AAC">
      <w:pPr>
        <w:numPr>
          <w:ilvl w:val="0"/>
          <w:numId w:val="1"/>
        </w:numPr>
        <w:spacing w:after="160" w:line="360" w:lineRule="auto"/>
        <w:ind w:left="232" w:hanging="374"/>
        <w:contextualSpacing/>
        <w:jc w:val="both"/>
        <w:rPr>
          <w:rFonts w:ascii="David" w:hAnsi="David"/>
        </w:rPr>
      </w:pPr>
      <w:r w:rsidRPr="00DB6A22">
        <w:rPr>
          <w:rFonts w:ascii="David" w:hAnsi="David"/>
          <w:rtl/>
        </w:rPr>
        <w:t>עוד יש לתת דגש לצורך בהרתעת הרבים ובהרתעת היחיד</w:t>
      </w:r>
      <w:r>
        <w:rPr>
          <w:rFonts w:ascii="David" w:hAnsi="David" w:hint="cs"/>
          <w:rtl/>
        </w:rPr>
        <w:t>, כאמור ב</w:t>
      </w:r>
      <w:hyperlink r:id="rId29" w:history="1">
        <w:r w:rsidR="00135FE7" w:rsidRPr="00135FE7">
          <w:rPr>
            <w:rFonts w:ascii="David" w:hAnsi="David"/>
            <w:color w:val="0000FF"/>
            <w:u w:val="single"/>
            <w:rtl/>
          </w:rPr>
          <w:t>ע"פ 5681/14</w:t>
        </w:r>
      </w:hyperlink>
      <w:r w:rsidRPr="00DB6A22">
        <w:rPr>
          <w:rFonts w:ascii="David" w:hAnsi="David"/>
          <w:rtl/>
        </w:rPr>
        <w:t xml:space="preserve"> </w:t>
      </w:r>
      <w:r w:rsidRPr="00DB6A22">
        <w:rPr>
          <w:rFonts w:ascii="David" w:hAnsi="David"/>
          <w:b/>
          <w:bCs/>
          <w:rtl/>
        </w:rPr>
        <w:t>מדינת ישראל נ' טאטור</w:t>
      </w:r>
      <w:r w:rsidRPr="00DB6A22">
        <w:rPr>
          <w:rFonts w:ascii="David" w:hAnsi="David" w:hint="cs"/>
          <w:rtl/>
        </w:rPr>
        <w:t xml:space="preserve"> </w:t>
      </w:r>
      <w:r w:rsidRPr="00DB6A22">
        <w:rPr>
          <w:rFonts w:ascii="David" w:hAnsi="David"/>
          <w:rtl/>
        </w:rPr>
        <w:t>(1.2.15):</w:t>
      </w:r>
      <w:r w:rsidRPr="00DB6A22">
        <w:rPr>
          <w:rFonts w:ascii="David" w:hAnsi="David" w:hint="cs"/>
          <w:rtl/>
        </w:rPr>
        <w:t xml:space="preserve"> </w:t>
      </w:r>
    </w:p>
    <w:p w14:paraId="17EC94F0" w14:textId="77777777" w:rsidR="00F16AAC" w:rsidRPr="00DB6A22" w:rsidRDefault="00F16AAC" w:rsidP="00F16AAC">
      <w:pPr>
        <w:spacing w:after="160" w:line="360" w:lineRule="auto"/>
        <w:ind w:left="232"/>
        <w:contextualSpacing/>
        <w:jc w:val="both"/>
        <w:rPr>
          <w:rFonts w:ascii="David" w:hAnsi="David"/>
          <w:sz w:val="12"/>
          <w:szCs w:val="12"/>
          <w:rtl/>
        </w:rPr>
      </w:pPr>
    </w:p>
    <w:p w14:paraId="6A1A8B49" w14:textId="77777777" w:rsidR="00F16AAC" w:rsidRPr="00DB6A22" w:rsidRDefault="00F16AAC" w:rsidP="00F16AAC">
      <w:pPr>
        <w:spacing w:after="160" w:line="360" w:lineRule="auto"/>
        <w:ind w:left="567" w:right="567"/>
        <w:contextualSpacing/>
        <w:jc w:val="both"/>
        <w:rPr>
          <w:rFonts w:ascii="David" w:hAnsi="David"/>
        </w:rPr>
      </w:pPr>
      <w:r w:rsidRPr="00DB6A22">
        <w:rPr>
          <w:rFonts w:ascii="David" w:hAnsi="David"/>
          <w:rtl/>
        </w:rPr>
        <w:t>"</w:t>
      </w:r>
      <w:r w:rsidRPr="00DB6A22">
        <w:rPr>
          <w:rFonts w:ascii="David" w:hAnsi="David"/>
          <w:b/>
          <w:bCs/>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DB6A22">
        <w:rPr>
          <w:rFonts w:ascii="David" w:hAnsi="David"/>
          <w:rtl/>
        </w:rPr>
        <w:t>"</w:t>
      </w:r>
    </w:p>
    <w:p w14:paraId="175E5008" w14:textId="77777777" w:rsidR="00F16AAC" w:rsidRPr="00DB6A22" w:rsidRDefault="00F16AAC" w:rsidP="00F16AAC">
      <w:pPr>
        <w:spacing w:after="160" w:line="360" w:lineRule="auto"/>
        <w:ind w:left="232"/>
        <w:contextualSpacing/>
        <w:jc w:val="both"/>
        <w:rPr>
          <w:rFonts w:ascii="David" w:hAnsi="David"/>
          <w:sz w:val="12"/>
          <w:szCs w:val="12"/>
        </w:rPr>
      </w:pPr>
    </w:p>
    <w:p w14:paraId="1830F496" w14:textId="77777777" w:rsidR="00F16AAC" w:rsidRPr="00DB6A22" w:rsidRDefault="00F16AAC" w:rsidP="00F16AAC">
      <w:pPr>
        <w:numPr>
          <w:ilvl w:val="0"/>
          <w:numId w:val="1"/>
        </w:numPr>
        <w:spacing w:after="160" w:line="360" w:lineRule="auto"/>
        <w:ind w:left="232" w:hanging="374"/>
        <w:contextualSpacing/>
        <w:jc w:val="both"/>
        <w:rPr>
          <w:rFonts w:ascii="David" w:hAnsi="David"/>
        </w:rPr>
      </w:pPr>
      <w:r w:rsidRPr="00DB6A22">
        <w:rPr>
          <w:rFonts w:ascii="David" w:hAnsi="David" w:hint="cs"/>
          <w:rtl/>
        </w:rPr>
        <w:t>באיזון בין השיקולים השונים, אני סבורה כי יש לגזור על הנאשם עונש ב</w:t>
      </w:r>
      <w:r>
        <w:rPr>
          <w:rFonts w:ascii="David" w:hAnsi="David" w:hint="cs"/>
          <w:rtl/>
        </w:rPr>
        <w:t>חלק העליון של ה</w:t>
      </w:r>
      <w:r w:rsidRPr="00DB6A22">
        <w:rPr>
          <w:rFonts w:ascii="David" w:hAnsi="David" w:hint="cs"/>
          <w:rtl/>
        </w:rPr>
        <w:t xml:space="preserve">רף </w:t>
      </w:r>
      <w:r>
        <w:rPr>
          <w:rFonts w:ascii="David" w:hAnsi="David" w:hint="cs"/>
          <w:rtl/>
        </w:rPr>
        <w:t>התחתון</w:t>
      </w:r>
      <w:r w:rsidRPr="00DB6A22">
        <w:rPr>
          <w:rFonts w:ascii="David" w:hAnsi="David" w:hint="cs"/>
          <w:rtl/>
        </w:rPr>
        <w:t xml:space="preserve"> של המתחם</w:t>
      </w:r>
      <w:r>
        <w:rPr>
          <w:rFonts w:ascii="David" w:hAnsi="David" w:hint="cs"/>
          <w:rtl/>
        </w:rPr>
        <w:t xml:space="preserve">, </w:t>
      </w:r>
      <w:r w:rsidRPr="00DB6A22">
        <w:rPr>
          <w:rFonts w:ascii="David" w:hAnsi="David" w:hint="cs"/>
          <w:rtl/>
        </w:rPr>
        <w:t>כדלקמן:</w:t>
      </w:r>
    </w:p>
    <w:p w14:paraId="2923E261" w14:textId="77777777" w:rsidR="00F16AAC" w:rsidRDefault="00F16AAC" w:rsidP="00F16AAC">
      <w:pPr>
        <w:pStyle w:val="a9"/>
        <w:numPr>
          <w:ilvl w:val="0"/>
          <w:numId w:val="2"/>
        </w:numPr>
        <w:spacing w:after="160" w:line="360" w:lineRule="auto"/>
        <w:jc w:val="both"/>
        <w:rPr>
          <w:rFonts w:ascii="David" w:hAnsi="David"/>
        </w:rPr>
      </w:pPr>
      <w:r>
        <w:rPr>
          <w:rFonts w:ascii="David" w:hAnsi="David" w:hint="cs"/>
          <w:rtl/>
        </w:rPr>
        <w:t>30 חודשי מאסר אשר ירוצו מיום מעצרו 15.5.20.</w:t>
      </w:r>
    </w:p>
    <w:p w14:paraId="60B06C71" w14:textId="77777777" w:rsidR="00F16AAC" w:rsidRDefault="00F16AAC" w:rsidP="00F16AAC">
      <w:pPr>
        <w:pStyle w:val="a9"/>
        <w:numPr>
          <w:ilvl w:val="0"/>
          <w:numId w:val="2"/>
        </w:numPr>
        <w:spacing w:line="360" w:lineRule="auto"/>
        <w:jc w:val="both"/>
        <w:rPr>
          <w:rFonts w:ascii="Calibri" w:hAnsi="Calibri"/>
        </w:rPr>
      </w:pPr>
      <w:r>
        <w:rPr>
          <w:rFonts w:ascii="Calibri" w:hAnsi="Calibri"/>
          <w:rtl/>
        </w:rPr>
        <w:t>12 חודשי מאסר על תנאי שלא יעבור בתוך ש</w:t>
      </w:r>
      <w:r>
        <w:rPr>
          <w:rFonts w:ascii="Calibri" w:hAnsi="Calibri" w:hint="cs"/>
          <w:rtl/>
        </w:rPr>
        <w:t xml:space="preserve">לוש שנים </w:t>
      </w:r>
      <w:r>
        <w:rPr>
          <w:rFonts w:ascii="Calibri" w:hAnsi="Calibri"/>
          <w:rtl/>
        </w:rPr>
        <w:t>מיום שחרורו על עבירות נשק מסוג פשע.</w:t>
      </w:r>
    </w:p>
    <w:p w14:paraId="6B3D16A5" w14:textId="77777777" w:rsidR="00F16AAC" w:rsidRPr="00554503" w:rsidRDefault="00F16AAC" w:rsidP="00F16AAC">
      <w:pPr>
        <w:spacing w:line="360" w:lineRule="auto"/>
        <w:ind w:left="1620"/>
        <w:contextualSpacing/>
        <w:jc w:val="both"/>
        <w:rPr>
          <w:rFonts w:ascii="Calibri" w:hAnsi="Calibri"/>
          <w:sz w:val="2"/>
          <w:szCs w:val="2"/>
        </w:rPr>
      </w:pPr>
    </w:p>
    <w:p w14:paraId="219AB1DA" w14:textId="77777777" w:rsidR="00F16AAC" w:rsidRDefault="00F16AAC" w:rsidP="00F16AAC">
      <w:pPr>
        <w:pStyle w:val="a9"/>
        <w:numPr>
          <w:ilvl w:val="0"/>
          <w:numId w:val="2"/>
        </w:numPr>
        <w:spacing w:line="360" w:lineRule="auto"/>
        <w:jc w:val="both"/>
        <w:rPr>
          <w:rFonts w:ascii="Calibri" w:hAnsi="Calibri"/>
        </w:rPr>
      </w:pPr>
      <w:r>
        <w:rPr>
          <w:rFonts w:ascii="Calibri" w:hAnsi="Calibri"/>
          <w:rtl/>
        </w:rPr>
        <w:t xml:space="preserve">6 חודשי מאסר על תנאי שלא יעבור בתוך </w:t>
      </w:r>
      <w:r>
        <w:rPr>
          <w:rFonts w:ascii="Calibri" w:hAnsi="Calibri" w:hint="cs"/>
          <w:rtl/>
        </w:rPr>
        <w:t>שלוש שנים</w:t>
      </w:r>
      <w:r>
        <w:rPr>
          <w:rFonts w:ascii="Calibri" w:hAnsi="Calibri"/>
          <w:rtl/>
        </w:rPr>
        <w:t xml:space="preserve"> מיום שחרורו על עבירות נשק מסוג עוון.</w:t>
      </w:r>
    </w:p>
    <w:p w14:paraId="46A5C00D" w14:textId="77777777" w:rsidR="00F16AAC" w:rsidRPr="00554503" w:rsidRDefault="00F16AAC" w:rsidP="00F16AAC">
      <w:pPr>
        <w:spacing w:line="360" w:lineRule="auto"/>
        <w:ind w:left="1980"/>
        <w:contextualSpacing/>
        <w:jc w:val="both"/>
        <w:rPr>
          <w:rFonts w:ascii="Calibri" w:hAnsi="Calibri"/>
          <w:sz w:val="2"/>
          <w:szCs w:val="2"/>
        </w:rPr>
      </w:pPr>
    </w:p>
    <w:p w14:paraId="5FC593FA" w14:textId="77777777" w:rsidR="00F16AAC" w:rsidRDefault="00F16AAC" w:rsidP="00F16AAC">
      <w:pPr>
        <w:rPr>
          <w:sz w:val="12"/>
          <w:szCs w:val="12"/>
        </w:rPr>
      </w:pPr>
    </w:p>
    <w:p w14:paraId="39CAD52F" w14:textId="77777777" w:rsidR="00F16AAC" w:rsidRDefault="00F16AAC" w:rsidP="00F16AAC">
      <w:pPr>
        <w:rPr>
          <w:b/>
          <w:bCs/>
          <w:rtl/>
        </w:rPr>
      </w:pPr>
      <w:r>
        <w:rPr>
          <w:rFonts w:hint="cs"/>
          <w:b/>
          <w:bCs/>
          <w:rtl/>
        </w:rPr>
        <w:t xml:space="preserve">   העתק גזר הדין ישלח לשירות המבחן.</w:t>
      </w:r>
    </w:p>
    <w:p w14:paraId="35612D1D" w14:textId="77777777" w:rsidR="00F16AAC" w:rsidRPr="00554503" w:rsidRDefault="00F16AAC" w:rsidP="00F16AAC">
      <w:pPr>
        <w:rPr>
          <w:b/>
          <w:bCs/>
          <w:sz w:val="12"/>
          <w:szCs w:val="12"/>
          <w:rtl/>
        </w:rPr>
      </w:pPr>
    </w:p>
    <w:p w14:paraId="6C0C7E7C" w14:textId="77777777" w:rsidR="00F16AAC" w:rsidRDefault="00F16AAC" w:rsidP="00F16AAC">
      <w:pPr>
        <w:rPr>
          <w:b/>
          <w:bCs/>
        </w:rPr>
      </w:pPr>
      <w:r>
        <w:rPr>
          <w:rFonts w:hint="cs"/>
          <w:b/>
          <w:bCs/>
          <w:rtl/>
        </w:rPr>
        <w:t xml:space="preserve">   </w:t>
      </w:r>
      <w:r>
        <w:rPr>
          <w:b/>
          <w:bCs/>
          <w:rtl/>
        </w:rPr>
        <w:t>זכות ערעור לבית המשפט העליון תוך 45 יום מהיום</w:t>
      </w:r>
    </w:p>
    <w:p w14:paraId="365D49CB" w14:textId="77777777" w:rsidR="00F16AAC" w:rsidRDefault="00F16AAC" w:rsidP="00F16AAC">
      <w:pPr>
        <w:rPr>
          <w:color w:val="FFFFFF"/>
          <w:sz w:val="2"/>
          <w:szCs w:val="2"/>
          <w:rtl/>
        </w:rPr>
      </w:pPr>
      <w:r>
        <w:rPr>
          <w:color w:val="FFFFFF"/>
          <w:sz w:val="2"/>
          <w:szCs w:val="2"/>
          <w:rtl/>
        </w:rPr>
        <w:t>5129371</w:t>
      </w:r>
    </w:p>
    <w:p w14:paraId="33E4B635" w14:textId="77777777" w:rsidR="00F16AAC" w:rsidRPr="00554503" w:rsidRDefault="00F16AAC" w:rsidP="00F16AAC">
      <w:pPr>
        <w:rPr>
          <w:rFonts w:ascii="Arial" w:hAnsi="Arial"/>
          <w:sz w:val="12"/>
          <w:szCs w:val="12"/>
          <w:rtl/>
        </w:rPr>
      </w:pPr>
    </w:p>
    <w:p w14:paraId="682ED157" w14:textId="77777777" w:rsidR="00F16AAC" w:rsidRDefault="00135FE7" w:rsidP="00F16AAC">
      <w:pPr>
        <w:rPr>
          <w:rFonts w:cs="FrankRuehl"/>
          <w:sz w:val="28"/>
          <w:szCs w:val="28"/>
          <w:rtl/>
        </w:rPr>
      </w:pPr>
      <w:bookmarkStart w:id="8" w:name="Nitan"/>
      <w:r w:rsidRPr="00135FE7">
        <w:rPr>
          <w:rFonts w:ascii="Arial" w:hAnsi="Arial"/>
          <w:color w:val="FFFFFF"/>
          <w:sz w:val="2"/>
          <w:szCs w:val="2"/>
          <w:rtl/>
        </w:rPr>
        <w:t>5129371</w:t>
      </w:r>
      <w:r>
        <w:rPr>
          <w:rFonts w:ascii="Arial" w:hAnsi="Arial"/>
          <w:rtl/>
        </w:rPr>
        <w:t xml:space="preserve">ניתן היום,  ו' אייר תשפ"א, 18 אפריל 2021, במעמד ב"כ הצדדים והנאשם באמצעות התוועדות </w:t>
      </w:r>
      <w:bookmarkEnd w:id="8"/>
      <w:r w:rsidR="00F16AAC">
        <w:rPr>
          <w:rFonts w:ascii="Arial" w:hAnsi="Arial" w:hint="cs"/>
          <w:rtl/>
        </w:rPr>
        <w:t>חזותית</w:t>
      </w:r>
      <w:r w:rsidR="00F16AAC">
        <w:rPr>
          <w:rFonts w:ascii="Arial" w:hAnsi="Arial"/>
          <w:rtl/>
        </w:rPr>
        <w:t>.</w:t>
      </w:r>
    </w:p>
    <w:p w14:paraId="6721D863" w14:textId="77777777" w:rsidR="00F16AAC" w:rsidRPr="00135FE7" w:rsidRDefault="00135FE7" w:rsidP="00135FE7">
      <w:pPr>
        <w:jc w:val="center"/>
        <w:rPr>
          <w:color w:val="FFFFFF"/>
          <w:sz w:val="2"/>
          <w:szCs w:val="2"/>
        </w:rPr>
      </w:pPr>
      <w:r w:rsidRPr="00135FE7">
        <w:rPr>
          <w:color w:val="FFFFFF"/>
          <w:sz w:val="2"/>
          <w:szCs w:val="2"/>
          <w:rtl/>
        </w:rPr>
        <w:t>54678313</w:t>
      </w:r>
      <w:r w:rsidR="00F16AAC" w:rsidRPr="00135FE7">
        <w:rPr>
          <w:color w:val="FFFFFF"/>
          <w:sz w:val="2"/>
          <w:szCs w:val="2"/>
          <w:rtl/>
        </w:rPr>
        <w:t xml:space="preserve">   </w:t>
      </w:r>
      <w:r w:rsidR="00F16AAC" w:rsidRPr="00135FE7">
        <w:rPr>
          <w:color w:val="FFFFFF"/>
          <w:sz w:val="2"/>
          <w:szCs w:val="2"/>
          <w:rtl/>
        </w:rPr>
        <w:tab/>
      </w:r>
      <w:r w:rsidR="00F16AAC" w:rsidRPr="00135FE7">
        <w:rPr>
          <w:color w:val="FFFFFF"/>
          <w:sz w:val="2"/>
          <w:szCs w:val="2"/>
          <w:rtl/>
        </w:rPr>
        <w:tab/>
      </w:r>
      <w:r w:rsidR="00F16AAC" w:rsidRPr="00135FE7">
        <w:rPr>
          <w:color w:val="FFFFFF"/>
          <w:sz w:val="2"/>
          <w:szCs w:val="2"/>
          <w:rtl/>
        </w:rPr>
        <w:tab/>
      </w:r>
      <w:r w:rsidR="00F16AAC" w:rsidRPr="00135FE7">
        <w:rPr>
          <w:color w:val="FFFFFF"/>
          <w:sz w:val="2"/>
          <w:szCs w:val="2"/>
          <w:rtl/>
        </w:rPr>
        <w:tab/>
      </w:r>
      <w:r w:rsidR="00F16AAC" w:rsidRPr="00135FE7">
        <w:rPr>
          <w:color w:val="FFFFFF"/>
          <w:sz w:val="2"/>
          <w:szCs w:val="2"/>
          <w:rtl/>
        </w:rPr>
        <w:tab/>
      </w:r>
    </w:p>
    <w:p w14:paraId="18772961" w14:textId="77777777" w:rsidR="00F16AAC" w:rsidRDefault="00F16AAC" w:rsidP="00F16AAC">
      <w:pPr>
        <w:jc w:val="center"/>
        <w:rPr>
          <w:rtl/>
        </w:rPr>
      </w:pPr>
    </w:p>
    <w:p w14:paraId="2E7B38CB" w14:textId="77777777" w:rsidR="00F16AAC" w:rsidRDefault="00F16AAC" w:rsidP="00F16AAC">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Fonts w:ascii="Arial" w:hAnsi="Arial" w:cs="FrankRuehl"/>
          <w:sz w:val="28"/>
          <w:szCs w:val="28"/>
          <w:rtl/>
        </w:rPr>
        <w:t>חתימה</w:t>
      </w:r>
    </w:p>
    <w:p w14:paraId="483E9352" w14:textId="77777777" w:rsidR="00F16AAC" w:rsidRDefault="00F16AAC" w:rsidP="00F16AAC">
      <w:pPr>
        <w:rPr>
          <w:rFonts w:cs="FrankRuehl"/>
          <w:sz w:val="28"/>
          <w:szCs w:val="28"/>
          <w:rtl/>
        </w:rPr>
      </w:pPr>
    </w:p>
    <w:p w14:paraId="23A686E2" w14:textId="77777777" w:rsidR="00F16AAC" w:rsidRDefault="00F16AAC" w:rsidP="00F16AAC">
      <w:pPr>
        <w:pStyle w:val="a3"/>
        <w:jc w:val="center"/>
        <w:rPr>
          <w:rtl/>
        </w:rPr>
      </w:pPr>
    </w:p>
    <w:p w14:paraId="46915AA0" w14:textId="77777777" w:rsidR="00D3435C" w:rsidRPr="00135FE7" w:rsidRDefault="00D3435C" w:rsidP="00135FE7">
      <w:pPr>
        <w:keepNext/>
        <w:rPr>
          <w:rFonts w:ascii="David" w:hAnsi="David"/>
          <w:color w:val="000000"/>
          <w:sz w:val="22"/>
          <w:szCs w:val="22"/>
          <w:rtl/>
        </w:rPr>
      </w:pPr>
    </w:p>
    <w:p w14:paraId="514E93C0" w14:textId="77777777" w:rsidR="00135FE7" w:rsidRPr="00135FE7" w:rsidRDefault="00135FE7" w:rsidP="00135FE7">
      <w:pPr>
        <w:keepNext/>
        <w:rPr>
          <w:rFonts w:ascii="David" w:hAnsi="David"/>
          <w:color w:val="000000"/>
          <w:sz w:val="22"/>
          <w:szCs w:val="22"/>
          <w:rtl/>
        </w:rPr>
      </w:pPr>
      <w:r w:rsidRPr="00135FE7">
        <w:rPr>
          <w:rFonts w:ascii="David" w:hAnsi="David"/>
          <w:color w:val="000000"/>
          <w:sz w:val="22"/>
          <w:szCs w:val="22"/>
          <w:rtl/>
        </w:rPr>
        <w:t>חנה מרים לומפ 54678313</w:t>
      </w:r>
    </w:p>
    <w:p w14:paraId="4E870E9B" w14:textId="77777777" w:rsidR="00135FE7" w:rsidRDefault="00135FE7" w:rsidP="00135FE7">
      <w:pPr>
        <w:rPr>
          <w:rFonts w:hint="cs"/>
        </w:rPr>
      </w:pPr>
      <w:r w:rsidRPr="00135FE7">
        <w:rPr>
          <w:color w:val="000000"/>
          <w:rtl/>
        </w:rPr>
        <w:t>נוסח מסמך זה כפוף לשינויי ניסוח ועריכה</w:t>
      </w:r>
      <w:r w:rsidR="00C36918">
        <w:rPr>
          <w:rFonts w:hint="cs"/>
          <w:rtl/>
        </w:rPr>
        <w:t xml:space="preserve"> </w:t>
      </w:r>
    </w:p>
    <w:p w14:paraId="2E4832B1" w14:textId="77777777" w:rsidR="00135FE7" w:rsidRDefault="00135FE7" w:rsidP="00135FE7">
      <w:pPr>
        <w:rPr>
          <w:rtl/>
        </w:rPr>
      </w:pPr>
    </w:p>
    <w:p w14:paraId="22CD76BC" w14:textId="77777777" w:rsidR="00135FE7" w:rsidRDefault="00135FE7" w:rsidP="00135FE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F50DA3F" w14:textId="77777777" w:rsidR="00135FE7" w:rsidRPr="00135FE7" w:rsidRDefault="00135FE7" w:rsidP="00135FE7">
      <w:pPr>
        <w:jc w:val="center"/>
        <w:rPr>
          <w:color w:val="0000FF"/>
          <w:u w:val="single"/>
        </w:rPr>
      </w:pPr>
    </w:p>
    <w:sectPr w:rsidR="00135FE7" w:rsidRPr="00135FE7" w:rsidSect="00135FE7">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1AB47" w14:textId="77777777" w:rsidR="00D71AD6" w:rsidRDefault="00D71AD6" w:rsidP="00E10584">
      <w:r>
        <w:separator/>
      </w:r>
    </w:p>
  </w:endnote>
  <w:endnote w:type="continuationSeparator" w:id="0">
    <w:p w14:paraId="7DAC549F" w14:textId="77777777" w:rsidR="00D71AD6" w:rsidRDefault="00D71AD6" w:rsidP="00E1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B22AD" w14:textId="77777777" w:rsidR="00135FE7" w:rsidRDefault="00135FE7" w:rsidP="00135F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9E20C3" w14:textId="77777777" w:rsidR="001D57B2" w:rsidRPr="00135FE7" w:rsidRDefault="00135FE7" w:rsidP="00135FE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490F4" w14:textId="77777777" w:rsidR="00135FE7" w:rsidRDefault="00135FE7" w:rsidP="00135FE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6871">
      <w:rPr>
        <w:rFonts w:ascii="FrankRuehl" w:hAnsi="FrankRuehl" w:cs="FrankRuehl"/>
        <w:noProof/>
        <w:rtl/>
      </w:rPr>
      <w:t>1</w:t>
    </w:r>
    <w:r>
      <w:rPr>
        <w:rFonts w:ascii="FrankRuehl" w:hAnsi="FrankRuehl" w:cs="FrankRuehl"/>
        <w:rtl/>
      </w:rPr>
      <w:fldChar w:fldCharType="end"/>
    </w:r>
  </w:p>
  <w:p w14:paraId="2F29AF3E" w14:textId="77777777" w:rsidR="001D57B2" w:rsidRPr="00135FE7" w:rsidRDefault="00135FE7" w:rsidP="00135FE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57F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93E9C9" w14:textId="77777777" w:rsidR="00D71AD6" w:rsidRDefault="00D71AD6" w:rsidP="00E10584">
      <w:r>
        <w:separator/>
      </w:r>
    </w:p>
  </w:footnote>
  <w:footnote w:type="continuationSeparator" w:id="0">
    <w:p w14:paraId="50199790" w14:textId="77777777" w:rsidR="00D71AD6" w:rsidRDefault="00D71AD6" w:rsidP="00E10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8FF7A" w14:textId="77777777" w:rsidR="00135FE7" w:rsidRPr="00135FE7" w:rsidRDefault="00135FE7" w:rsidP="00135F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57996-05-20</w:t>
    </w:r>
    <w:r>
      <w:rPr>
        <w:rFonts w:ascii="David" w:hAnsi="David"/>
        <w:color w:val="000000"/>
        <w:sz w:val="22"/>
        <w:szCs w:val="22"/>
        <w:rtl/>
      </w:rPr>
      <w:tab/>
      <w:t xml:space="preserve"> מדינת ישראל נ' מחמוד אבו גרבייה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1FDF2" w14:textId="77777777" w:rsidR="00135FE7" w:rsidRPr="00135FE7" w:rsidRDefault="00135FE7" w:rsidP="00135FE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57996-05-20</w:t>
    </w:r>
    <w:r>
      <w:rPr>
        <w:rFonts w:ascii="David" w:hAnsi="David"/>
        <w:color w:val="000000"/>
        <w:sz w:val="22"/>
        <w:szCs w:val="22"/>
        <w:rtl/>
      </w:rPr>
      <w:tab/>
      <w:t xml:space="preserve"> מדינת ישראל נ' מחמוד אבו גרבייה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114"/>
    <w:multiLevelType w:val="hybridMultilevel"/>
    <w:tmpl w:val="B83EB536"/>
    <w:lvl w:ilvl="0" w:tplc="4E78B09A">
      <w:start w:val="1"/>
      <w:numFmt w:val="decimal"/>
      <w:lvlText w:val="%1."/>
      <w:lvlJc w:val="left"/>
      <w:pPr>
        <w:ind w:left="643" w:hanging="360"/>
      </w:pPr>
      <w:rPr>
        <w:rFonts w:ascii="David" w:hAnsi="David" w:cs="David" w:hint="cs"/>
        <w:b w:val="0"/>
        <w:bCs w:val="0"/>
        <w:sz w:val="24"/>
        <w:szCs w:val="24"/>
        <w:lang w:val="en-US"/>
      </w:rPr>
    </w:lvl>
    <w:lvl w:ilvl="1" w:tplc="04090013">
      <w:start w:val="1"/>
      <w:numFmt w:val="hebrew1"/>
      <w:lvlText w:val="%2."/>
      <w:lvlJc w:val="center"/>
      <w:pPr>
        <w:ind w:left="1440" w:hanging="360"/>
      </w:pPr>
      <w:rPr>
        <w:rFonts w:cs="Times New Roman"/>
      </w:rPr>
    </w:lvl>
    <w:lvl w:ilvl="2" w:tplc="04090013">
      <w:start w:val="1"/>
      <w:numFmt w:val="hebrew1"/>
      <w:lvlText w:val="%3."/>
      <w:lvlJc w:val="center"/>
      <w:pPr>
        <w:ind w:left="2160" w:hanging="180"/>
      </w:pPr>
      <w:rPr>
        <w:rFonts w:cs="Times New Roman"/>
      </w:rPr>
    </w:lvl>
    <w:lvl w:ilvl="3" w:tplc="7FA8E0CA">
      <w:start w:val="1"/>
      <w:numFmt w:val="decimal"/>
      <w:lvlText w:val="%4."/>
      <w:lvlJc w:val="left"/>
      <w:pPr>
        <w:ind w:left="2880" w:hanging="360"/>
      </w:pPr>
      <w:rPr>
        <w:rFonts w:cs="Times New Roman"/>
      </w:rPr>
    </w:lvl>
    <w:lvl w:ilvl="4" w:tplc="47CCAE2E">
      <w:start w:val="1"/>
      <w:numFmt w:val="lowerLetter"/>
      <w:lvlText w:val="%5."/>
      <w:lvlJc w:val="left"/>
      <w:pPr>
        <w:ind w:left="3600" w:hanging="360"/>
      </w:pPr>
      <w:rPr>
        <w:rFonts w:cs="Times New Roman"/>
      </w:rPr>
    </w:lvl>
    <w:lvl w:ilvl="5" w:tplc="C848F7FE">
      <w:start w:val="1"/>
      <w:numFmt w:val="lowerRoman"/>
      <w:lvlText w:val="%6."/>
      <w:lvlJc w:val="right"/>
      <w:pPr>
        <w:ind w:left="4320" w:hanging="180"/>
      </w:pPr>
      <w:rPr>
        <w:rFonts w:cs="Times New Roman"/>
      </w:rPr>
    </w:lvl>
    <w:lvl w:ilvl="6" w:tplc="89726094">
      <w:start w:val="1"/>
      <w:numFmt w:val="decimal"/>
      <w:lvlText w:val="%7."/>
      <w:lvlJc w:val="left"/>
      <w:pPr>
        <w:ind w:left="5040" w:hanging="360"/>
      </w:pPr>
      <w:rPr>
        <w:rFonts w:cs="Times New Roman"/>
      </w:rPr>
    </w:lvl>
    <w:lvl w:ilvl="7" w:tplc="7F788FEC">
      <w:start w:val="1"/>
      <w:numFmt w:val="lowerLetter"/>
      <w:lvlText w:val="%8."/>
      <w:lvlJc w:val="left"/>
      <w:pPr>
        <w:ind w:left="5760" w:hanging="360"/>
      </w:pPr>
      <w:rPr>
        <w:rFonts w:cs="Times New Roman"/>
      </w:rPr>
    </w:lvl>
    <w:lvl w:ilvl="8" w:tplc="C338F676">
      <w:start w:val="1"/>
      <w:numFmt w:val="lowerRoman"/>
      <w:lvlText w:val="%9."/>
      <w:lvlJc w:val="right"/>
      <w:pPr>
        <w:ind w:left="6480" w:hanging="180"/>
      </w:pPr>
      <w:rPr>
        <w:rFonts w:cs="Times New Roman"/>
      </w:rPr>
    </w:lvl>
  </w:abstractNum>
  <w:abstractNum w:abstractNumId="1" w15:restartNumberingAfterBreak="0">
    <w:nsid w:val="51E5067A"/>
    <w:multiLevelType w:val="hybridMultilevel"/>
    <w:tmpl w:val="5ABC5D78"/>
    <w:lvl w:ilvl="0" w:tplc="04090013">
      <w:start w:val="1"/>
      <w:numFmt w:val="hebrew1"/>
      <w:lvlText w:val="%1."/>
      <w:lvlJc w:val="center"/>
      <w:pPr>
        <w:ind w:left="952" w:hanging="360"/>
      </w:pPr>
    </w:lvl>
    <w:lvl w:ilvl="1" w:tplc="04090019">
      <w:start w:val="1"/>
      <w:numFmt w:val="lowerLetter"/>
      <w:lvlText w:val="%2."/>
      <w:lvlJc w:val="left"/>
      <w:pPr>
        <w:ind w:left="1672" w:hanging="360"/>
      </w:pPr>
    </w:lvl>
    <w:lvl w:ilvl="2" w:tplc="0409001B" w:tentative="1">
      <w:start w:val="1"/>
      <w:numFmt w:val="lowerRoman"/>
      <w:lvlText w:val="%3."/>
      <w:lvlJc w:val="right"/>
      <w:pPr>
        <w:ind w:left="2392" w:hanging="180"/>
      </w:pPr>
    </w:lvl>
    <w:lvl w:ilvl="3" w:tplc="0409000F" w:tentative="1">
      <w:start w:val="1"/>
      <w:numFmt w:val="decimal"/>
      <w:lvlText w:val="%4."/>
      <w:lvlJc w:val="left"/>
      <w:pPr>
        <w:ind w:left="3112" w:hanging="360"/>
      </w:pPr>
    </w:lvl>
    <w:lvl w:ilvl="4" w:tplc="04090019" w:tentative="1">
      <w:start w:val="1"/>
      <w:numFmt w:val="lowerLetter"/>
      <w:lvlText w:val="%5."/>
      <w:lvlJc w:val="left"/>
      <w:pPr>
        <w:ind w:left="3832" w:hanging="360"/>
      </w:pPr>
    </w:lvl>
    <w:lvl w:ilvl="5" w:tplc="0409001B" w:tentative="1">
      <w:start w:val="1"/>
      <w:numFmt w:val="lowerRoman"/>
      <w:lvlText w:val="%6."/>
      <w:lvlJc w:val="right"/>
      <w:pPr>
        <w:ind w:left="4552" w:hanging="180"/>
      </w:pPr>
    </w:lvl>
    <w:lvl w:ilvl="6" w:tplc="0409000F" w:tentative="1">
      <w:start w:val="1"/>
      <w:numFmt w:val="decimal"/>
      <w:lvlText w:val="%7."/>
      <w:lvlJc w:val="left"/>
      <w:pPr>
        <w:ind w:left="5272" w:hanging="360"/>
      </w:pPr>
    </w:lvl>
    <w:lvl w:ilvl="7" w:tplc="04090019" w:tentative="1">
      <w:start w:val="1"/>
      <w:numFmt w:val="lowerLetter"/>
      <w:lvlText w:val="%8."/>
      <w:lvlJc w:val="left"/>
      <w:pPr>
        <w:ind w:left="5992" w:hanging="360"/>
      </w:pPr>
    </w:lvl>
    <w:lvl w:ilvl="8" w:tplc="0409001B" w:tentative="1">
      <w:start w:val="1"/>
      <w:numFmt w:val="lowerRoman"/>
      <w:lvlText w:val="%9."/>
      <w:lvlJc w:val="right"/>
      <w:pPr>
        <w:ind w:left="6712" w:hanging="180"/>
      </w:pPr>
    </w:lvl>
  </w:abstractNum>
  <w:num w:numId="1" w16cid:durableId="597636216">
    <w:abstractNumId w:val="0"/>
  </w:num>
  <w:num w:numId="2" w16cid:durableId="420807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16AAC"/>
    <w:rsid w:val="000A6871"/>
    <w:rsid w:val="001265BB"/>
    <w:rsid w:val="00135FE7"/>
    <w:rsid w:val="001B5A3B"/>
    <w:rsid w:val="001D57B2"/>
    <w:rsid w:val="001E2254"/>
    <w:rsid w:val="002E258D"/>
    <w:rsid w:val="00524238"/>
    <w:rsid w:val="0074112F"/>
    <w:rsid w:val="00784AD1"/>
    <w:rsid w:val="00C36918"/>
    <w:rsid w:val="00D3435C"/>
    <w:rsid w:val="00D71AD6"/>
    <w:rsid w:val="00E10584"/>
    <w:rsid w:val="00F114A6"/>
    <w:rsid w:val="00F16A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E522CD"/>
  <w15:chartTrackingRefBased/>
  <w15:docId w15:val="{BBD8A6CF-A8D3-43F1-AC3B-1E61A01E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16A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6AAC"/>
    <w:pPr>
      <w:tabs>
        <w:tab w:val="center" w:pos="4153"/>
        <w:tab w:val="right" w:pos="8306"/>
      </w:tabs>
    </w:pPr>
  </w:style>
  <w:style w:type="character" w:customStyle="1" w:styleId="a4">
    <w:name w:val="כותרת עליונה תו"/>
    <w:link w:val="a3"/>
    <w:rsid w:val="00F16AAC"/>
    <w:rPr>
      <w:rFonts w:ascii="Times New Roman" w:eastAsia="Times New Roman" w:hAnsi="Times New Roman" w:cs="David"/>
      <w:sz w:val="24"/>
      <w:szCs w:val="24"/>
    </w:rPr>
  </w:style>
  <w:style w:type="paragraph" w:styleId="a5">
    <w:name w:val="footer"/>
    <w:basedOn w:val="a"/>
    <w:link w:val="a6"/>
    <w:rsid w:val="00F16AAC"/>
    <w:pPr>
      <w:tabs>
        <w:tab w:val="center" w:pos="4153"/>
        <w:tab w:val="right" w:pos="8306"/>
      </w:tabs>
    </w:pPr>
  </w:style>
  <w:style w:type="character" w:customStyle="1" w:styleId="a6">
    <w:name w:val="כותרת תחתונה תו"/>
    <w:link w:val="a5"/>
    <w:rsid w:val="00F16AAC"/>
    <w:rPr>
      <w:rFonts w:ascii="Times New Roman" w:eastAsia="Times New Roman" w:hAnsi="Times New Roman" w:cs="David"/>
      <w:sz w:val="24"/>
      <w:szCs w:val="24"/>
    </w:rPr>
  </w:style>
  <w:style w:type="table" w:styleId="a7">
    <w:name w:val="Table Grid"/>
    <w:basedOn w:val="a1"/>
    <w:rsid w:val="00F16A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16AAC"/>
  </w:style>
  <w:style w:type="paragraph" w:styleId="a9">
    <w:name w:val="List Paragraph"/>
    <w:basedOn w:val="a"/>
    <w:qFormat/>
    <w:rsid w:val="00F16AAC"/>
    <w:pPr>
      <w:ind w:left="720"/>
      <w:contextualSpacing/>
    </w:pPr>
  </w:style>
  <w:style w:type="character" w:styleId="Hyperlink">
    <w:name w:val="Hyperlink"/>
    <w:rsid w:val="00F16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b" TargetMode="External"/><Relationship Id="rId18" Type="http://schemas.openxmlformats.org/officeDocument/2006/relationships/hyperlink" Target="http://www.nevo.co.il/case/26492590" TargetMode="External"/><Relationship Id="rId26" Type="http://schemas.openxmlformats.org/officeDocument/2006/relationships/hyperlink" Target="http://www.nevo.co.il/case/6103934" TargetMode="External"/><Relationship Id="rId3" Type="http://schemas.openxmlformats.org/officeDocument/2006/relationships/settings" Target="settings.xml"/><Relationship Id="rId21" Type="http://schemas.openxmlformats.org/officeDocument/2006/relationships/hyperlink" Target="http://www.nevo.co.il/case/24269595"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5940943" TargetMode="External"/><Relationship Id="rId25" Type="http://schemas.openxmlformats.org/officeDocument/2006/relationships/hyperlink" Target="http://www.nevo.co.il/case/7878510"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171364" TargetMode="External"/><Relationship Id="rId20" Type="http://schemas.openxmlformats.org/officeDocument/2006/relationships/hyperlink" Target="http://www.nevo.co.il/case/26931111" TargetMode="External"/><Relationship Id="rId29" Type="http://schemas.openxmlformats.org/officeDocument/2006/relationships/hyperlink" Target="http://www.nevo.co.il/case/179542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587868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6913995" TargetMode="External"/><Relationship Id="rId23" Type="http://schemas.openxmlformats.org/officeDocument/2006/relationships/hyperlink" Target="http://www.nevo.co.il/case/5950172" TargetMode="External"/><Relationship Id="rId28" Type="http://schemas.openxmlformats.org/officeDocument/2006/relationships/hyperlink" Target="http://www.nevo.co.il/law/70301/40ja" TargetMode="External"/><Relationship Id="rId36" Type="http://schemas.openxmlformats.org/officeDocument/2006/relationships/theme" Target="theme/theme1.xml"/><Relationship Id="rId10" Type="http://schemas.openxmlformats.org/officeDocument/2006/relationships/hyperlink" Target="http://www.nevo.co.il/law/70301/40ja" TargetMode="External"/><Relationship Id="rId19" Type="http://schemas.openxmlformats.org/officeDocument/2006/relationships/hyperlink" Target="http://www.nevo.co.il/case/21771409"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473037" TargetMode="External"/><Relationship Id="rId22" Type="http://schemas.openxmlformats.org/officeDocument/2006/relationships/hyperlink" Target="http://www.nevo.co.il/case/6949290" TargetMode="External"/><Relationship Id="rId27" Type="http://schemas.openxmlformats.org/officeDocument/2006/relationships/hyperlink" Target="http://www.nevo.co.il/case/26986954"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3062</Words>
  <Characters>15311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18337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4063348</vt:i4>
      </vt:variant>
      <vt:variant>
        <vt:i4>66</vt:i4>
      </vt:variant>
      <vt:variant>
        <vt:i4>0</vt:i4>
      </vt:variant>
      <vt:variant>
        <vt:i4>5</vt:i4>
      </vt:variant>
      <vt:variant>
        <vt:lpwstr>http://www.nevo.co.il/case/17954222</vt:lpwstr>
      </vt:variant>
      <vt:variant>
        <vt:lpwstr/>
      </vt:variant>
      <vt:variant>
        <vt:i4>262155</vt:i4>
      </vt:variant>
      <vt:variant>
        <vt:i4>63</vt:i4>
      </vt:variant>
      <vt:variant>
        <vt:i4>0</vt:i4>
      </vt:variant>
      <vt:variant>
        <vt:i4>5</vt:i4>
      </vt:variant>
      <vt:variant>
        <vt:lpwstr>http://www.nevo.co.il/law/70301/40ja</vt:lpwstr>
      </vt:variant>
      <vt:variant>
        <vt:lpwstr/>
      </vt:variant>
      <vt:variant>
        <vt:i4>3670131</vt:i4>
      </vt:variant>
      <vt:variant>
        <vt:i4>60</vt:i4>
      </vt:variant>
      <vt:variant>
        <vt:i4>0</vt:i4>
      </vt:variant>
      <vt:variant>
        <vt:i4>5</vt:i4>
      </vt:variant>
      <vt:variant>
        <vt:lpwstr>http://www.nevo.co.il/case/26986954</vt:lpwstr>
      </vt:variant>
      <vt:variant>
        <vt:lpwstr/>
      </vt:variant>
      <vt:variant>
        <vt:i4>3866741</vt:i4>
      </vt:variant>
      <vt:variant>
        <vt:i4>57</vt:i4>
      </vt:variant>
      <vt:variant>
        <vt:i4>0</vt:i4>
      </vt:variant>
      <vt:variant>
        <vt:i4>5</vt:i4>
      </vt:variant>
      <vt:variant>
        <vt:lpwstr>http://www.nevo.co.il/case/6103934</vt:lpwstr>
      </vt:variant>
      <vt:variant>
        <vt:lpwstr/>
      </vt:variant>
      <vt:variant>
        <vt:i4>3473525</vt:i4>
      </vt:variant>
      <vt:variant>
        <vt:i4>54</vt:i4>
      </vt:variant>
      <vt:variant>
        <vt:i4>0</vt:i4>
      </vt:variant>
      <vt:variant>
        <vt:i4>5</vt:i4>
      </vt:variant>
      <vt:variant>
        <vt:lpwstr>http://www.nevo.co.il/case/7878510</vt:lpwstr>
      </vt:variant>
      <vt:variant>
        <vt:lpwstr/>
      </vt:variant>
      <vt:variant>
        <vt:i4>3539068</vt:i4>
      </vt:variant>
      <vt:variant>
        <vt:i4>51</vt:i4>
      </vt:variant>
      <vt:variant>
        <vt:i4>0</vt:i4>
      </vt:variant>
      <vt:variant>
        <vt:i4>5</vt:i4>
      </vt:variant>
      <vt:variant>
        <vt:lpwstr>http://www.nevo.co.il/case/5878682</vt:lpwstr>
      </vt:variant>
      <vt:variant>
        <vt:lpwstr/>
      </vt:variant>
      <vt:variant>
        <vt:i4>3342458</vt:i4>
      </vt:variant>
      <vt:variant>
        <vt:i4>48</vt:i4>
      </vt:variant>
      <vt:variant>
        <vt:i4>0</vt:i4>
      </vt:variant>
      <vt:variant>
        <vt:i4>5</vt:i4>
      </vt:variant>
      <vt:variant>
        <vt:lpwstr>http://www.nevo.co.il/case/5950172</vt:lpwstr>
      </vt:variant>
      <vt:variant>
        <vt:lpwstr/>
      </vt:variant>
      <vt:variant>
        <vt:i4>3145853</vt:i4>
      </vt:variant>
      <vt:variant>
        <vt:i4>45</vt:i4>
      </vt:variant>
      <vt:variant>
        <vt:i4>0</vt:i4>
      </vt:variant>
      <vt:variant>
        <vt:i4>5</vt:i4>
      </vt:variant>
      <vt:variant>
        <vt:lpwstr>http://www.nevo.co.il/case/6949290</vt:lpwstr>
      </vt:variant>
      <vt:variant>
        <vt:lpwstr/>
      </vt:variant>
      <vt:variant>
        <vt:i4>3145843</vt:i4>
      </vt:variant>
      <vt:variant>
        <vt:i4>42</vt:i4>
      </vt:variant>
      <vt:variant>
        <vt:i4>0</vt:i4>
      </vt:variant>
      <vt:variant>
        <vt:i4>5</vt:i4>
      </vt:variant>
      <vt:variant>
        <vt:lpwstr>http://www.nevo.co.il/case/24269595</vt:lpwstr>
      </vt:variant>
      <vt:variant>
        <vt:lpwstr/>
      </vt:variant>
      <vt:variant>
        <vt:i4>3866736</vt:i4>
      </vt:variant>
      <vt:variant>
        <vt:i4>39</vt:i4>
      </vt:variant>
      <vt:variant>
        <vt:i4>0</vt:i4>
      </vt:variant>
      <vt:variant>
        <vt:i4>5</vt:i4>
      </vt:variant>
      <vt:variant>
        <vt:lpwstr>http://www.nevo.co.il/case/26931111</vt:lpwstr>
      </vt:variant>
      <vt:variant>
        <vt:lpwstr/>
      </vt:variant>
      <vt:variant>
        <vt:i4>3407990</vt:i4>
      </vt:variant>
      <vt:variant>
        <vt:i4>36</vt:i4>
      </vt:variant>
      <vt:variant>
        <vt:i4>0</vt:i4>
      </vt:variant>
      <vt:variant>
        <vt:i4>5</vt:i4>
      </vt:variant>
      <vt:variant>
        <vt:lpwstr>http://www.nevo.co.il/case/21771409</vt:lpwstr>
      </vt:variant>
      <vt:variant>
        <vt:lpwstr/>
      </vt:variant>
      <vt:variant>
        <vt:i4>3997822</vt:i4>
      </vt:variant>
      <vt:variant>
        <vt:i4>33</vt:i4>
      </vt:variant>
      <vt:variant>
        <vt:i4>0</vt:i4>
      </vt:variant>
      <vt:variant>
        <vt:i4>5</vt:i4>
      </vt:variant>
      <vt:variant>
        <vt:lpwstr>http://www.nevo.co.il/case/26492590</vt:lpwstr>
      </vt:variant>
      <vt:variant>
        <vt:lpwstr/>
      </vt:variant>
      <vt:variant>
        <vt:i4>4128892</vt:i4>
      </vt:variant>
      <vt:variant>
        <vt:i4>30</vt:i4>
      </vt:variant>
      <vt:variant>
        <vt:i4>0</vt:i4>
      </vt:variant>
      <vt:variant>
        <vt:i4>5</vt:i4>
      </vt:variant>
      <vt:variant>
        <vt:lpwstr>http://www.nevo.co.il/case/25940943</vt:lpwstr>
      </vt:variant>
      <vt:variant>
        <vt:lpwstr/>
      </vt:variant>
      <vt:variant>
        <vt:i4>3407991</vt:i4>
      </vt:variant>
      <vt:variant>
        <vt:i4>27</vt:i4>
      </vt:variant>
      <vt:variant>
        <vt:i4>0</vt:i4>
      </vt:variant>
      <vt:variant>
        <vt:i4>5</vt:i4>
      </vt:variant>
      <vt:variant>
        <vt:lpwstr>http://www.nevo.co.il/case/27171364</vt:lpwstr>
      </vt:variant>
      <vt:variant>
        <vt:lpwstr/>
      </vt:variant>
      <vt:variant>
        <vt:i4>3211386</vt:i4>
      </vt:variant>
      <vt:variant>
        <vt:i4>24</vt:i4>
      </vt:variant>
      <vt:variant>
        <vt:i4>0</vt:i4>
      </vt:variant>
      <vt:variant>
        <vt:i4>5</vt:i4>
      </vt:variant>
      <vt:variant>
        <vt:lpwstr>http://www.nevo.co.il/case/26913995</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2025-01-19T16:33:00Z</dcterms:created>
  <dcterms:modified xsi:type="dcterms:W3CDTF">2025-01-19T16:33:00Z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57996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מחמוד אבו גרבייה</vt:lpwstr>
  </property>
  <property fmtid="{D5CDD505-2E9C-101B-9397-08002B2CF9AE}" pid="10" name="LAWYER">
    <vt:lpwstr>אילן אקוקה;רמי עותמאן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20210418</vt:lpwstr>
  </property>
  <property fmtid="{D5CDD505-2E9C-101B-9397-08002B2CF9AE}" pid="14" name="TYPE_N_DATE">
    <vt:lpwstr>39020210418</vt:lpwstr>
  </property>
  <property fmtid="{D5CDD505-2E9C-101B-9397-08002B2CF9AE}" pid="15" name="WORDNUMPAGES">
    <vt:lpwstr>9</vt:lpwstr>
  </property>
  <property fmtid="{D5CDD505-2E9C-101B-9397-08002B2CF9AE}" pid="16" name="TYPE_ABS_DATE">
    <vt:lpwstr>390020210418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6473037;26913995;27171364;25940943;26492590;21771409;26931111;24269595;6949290;5950172;5878682;7878510;6103934;26986954;17954222</vt:lpwstr>
  </property>
  <property fmtid="{D5CDD505-2E9C-101B-9397-08002B2CF9AE}" pid="36" name="LAWLISTTMP1">
    <vt:lpwstr>70301/144.b;040b;40ja</vt:lpwstr>
  </property>
</Properties>
</file>