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12DF6" w:rsidRPr="008314CF" w14:paraId="09F3A911" w14:textId="77777777" w:rsidTr="00B71B01">
        <w:trPr>
          <w:trHeight w:hRule="exact" w:val="418"/>
          <w:jc w:val="center"/>
        </w:trPr>
        <w:tc>
          <w:tcPr>
            <w:tcW w:w="8861" w:type="dxa"/>
            <w:gridSpan w:val="2"/>
          </w:tcPr>
          <w:p w14:paraId="0F6DFF9B" w14:textId="77777777" w:rsidR="00912DF6" w:rsidRPr="008314CF" w:rsidRDefault="00912DF6" w:rsidP="00B71B01">
            <w:pPr>
              <w:pStyle w:val="a3"/>
              <w:jc w:val="center"/>
              <w:rPr>
                <w:rFonts w:ascii="Tahoma" w:hAnsi="Tahoma"/>
                <w:color w:val="000080"/>
                <w:sz w:val="32"/>
                <w:szCs w:val="32"/>
                <w:rtl/>
              </w:rPr>
            </w:pPr>
            <w:r w:rsidRPr="008314CF">
              <w:rPr>
                <w:rFonts w:ascii="Tahoma" w:hAnsi="Tahoma"/>
                <w:b/>
                <w:bCs/>
                <w:color w:val="000080"/>
                <w:sz w:val="32"/>
                <w:szCs w:val="32"/>
                <w:rtl/>
              </w:rPr>
              <w:t>בית המשפט המחוזי בתל אביב - יפו</w:t>
            </w:r>
          </w:p>
        </w:tc>
      </w:tr>
      <w:tr w:rsidR="00912DF6" w:rsidRPr="008314CF" w14:paraId="34EFAE12" w14:textId="77777777" w:rsidTr="00B71B01">
        <w:trPr>
          <w:trHeight w:val="337"/>
          <w:jc w:val="center"/>
        </w:trPr>
        <w:tc>
          <w:tcPr>
            <w:tcW w:w="5131" w:type="dxa"/>
          </w:tcPr>
          <w:p w14:paraId="63A996CA" w14:textId="77777777" w:rsidR="00912DF6" w:rsidRPr="008314CF" w:rsidRDefault="00912DF6" w:rsidP="00B71B01">
            <w:pPr>
              <w:rPr>
                <w:rFonts w:ascii="David" w:hAnsi="David"/>
                <w:b/>
                <w:bCs/>
                <w:rtl/>
              </w:rPr>
            </w:pPr>
          </w:p>
          <w:p w14:paraId="7C0AA443" w14:textId="77777777" w:rsidR="00912DF6" w:rsidRPr="008314CF" w:rsidRDefault="00912DF6" w:rsidP="00B71B01">
            <w:pPr>
              <w:rPr>
                <w:rFonts w:ascii="David" w:hAnsi="David"/>
                <w:b/>
                <w:bCs/>
                <w:rtl/>
              </w:rPr>
            </w:pPr>
            <w:r w:rsidRPr="008314CF">
              <w:rPr>
                <w:rFonts w:ascii="David" w:hAnsi="David"/>
                <w:b/>
                <w:bCs/>
                <w:rtl/>
              </w:rPr>
              <w:t>ת"פ 61158-05-20 מדינת ישראל נ' סקא</w:t>
            </w:r>
          </w:p>
          <w:p w14:paraId="3F4C9939" w14:textId="77777777" w:rsidR="00912DF6" w:rsidRPr="008314CF" w:rsidRDefault="00912DF6" w:rsidP="00B71B01">
            <w:pPr>
              <w:pStyle w:val="a3"/>
              <w:rPr>
                <w:rFonts w:ascii="David" w:hAnsi="David"/>
                <w:b/>
                <w:bCs/>
                <w:rtl/>
              </w:rPr>
            </w:pPr>
          </w:p>
        </w:tc>
        <w:tc>
          <w:tcPr>
            <w:tcW w:w="3730" w:type="dxa"/>
          </w:tcPr>
          <w:p w14:paraId="789EF559" w14:textId="77777777" w:rsidR="00912DF6" w:rsidRPr="008314CF" w:rsidRDefault="00912DF6" w:rsidP="00B71B01">
            <w:pPr>
              <w:pStyle w:val="a3"/>
              <w:jc w:val="right"/>
              <w:rPr>
                <w:rFonts w:ascii="David" w:hAnsi="David"/>
                <w:b/>
                <w:bCs/>
                <w:rtl/>
              </w:rPr>
            </w:pPr>
          </w:p>
          <w:p w14:paraId="053748C7" w14:textId="77777777" w:rsidR="00912DF6" w:rsidRPr="008314CF" w:rsidRDefault="00912DF6" w:rsidP="00B71B01">
            <w:pPr>
              <w:pStyle w:val="a3"/>
              <w:jc w:val="right"/>
              <w:rPr>
                <w:rFonts w:ascii="David" w:hAnsi="David"/>
                <w:b/>
                <w:bCs/>
                <w:rtl/>
              </w:rPr>
            </w:pPr>
            <w:r w:rsidRPr="008314CF">
              <w:rPr>
                <w:rFonts w:ascii="David" w:hAnsi="David"/>
                <w:b/>
                <w:bCs/>
                <w:rtl/>
              </w:rPr>
              <w:t>24 בפברואר 2021</w:t>
            </w:r>
          </w:p>
        </w:tc>
      </w:tr>
    </w:tbl>
    <w:p w14:paraId="69F5AFB8" w14:textId="77777777" w:rsidR="00912DF6" w:rsidRPr="008314CF" w:rsidRDefault="00912DF6" w:rsidP="00912DF6">
      <w:pPr>
        <w:pStyle w:val="a3"/>
        <w:rPr>
          <w:rtl/>
        </w:rPr>
      </w:pPr>
      <w:r w:rsidRPr="008314CF">
        <w:rPr>
          <w:rFonts w:hint="cs"/>
          <w:rtl/>
        </w:rPr>
        <w:t xml:space="preserve"> </w:t>
      </w:r>
    </w:p>
    <w:p w14:paraId="1163151E" w14:textId="77777777" w:rsidR="00912DF6" w:rsidRPr="008314CF" w:rsidRDefault="00912DF6" w:rsidP="00912DF6">
      <w:pPr>
        <w:jc w:val="both"/>
        <w:rPr>
          <w:rFonts w:ascii="David" w:hAnsi="David"/>
          <w:rtl/>
        </w:rPr>
      </w:pPr>
    </w:p>
    <w:p w14:paraId="212DC943" w14:textId="77777777" w:rsidR="00912DF6" w:rsidRPr="008314CF" w:rsidRDefault="00912DF6" w:rsidP="00912DF6">
      <w:pPr>
        <w:jc w:val="both"/>
        <w:rPr>
          <w:rFonts w:ascii="David" w:hAnsi="David"/>
          <w:rtl/>
        </w:rPr>
      </w:pPr>
    </w:p>
    <w:tbl>
      <w:tblPr>
        <w:bidiVisual/>
        <w:tblW w:w="8219" w:type="dxa"/>
        <w:tblInd w:w="555" w:type="dxa"/>
        <w:tblLook w:val="01E0" w:firstRow="1" w:lastRow="1" w:firstColumn="1" w:lastColumn="1" w:noHBand="0" w:noVBand="0"/>
      </w:tblPr>
      <w:tblGrid>
        <w:gridCol w:w="2297"/>
        <w:gridCol w:w="5866"/>
        <w:gridCol w:w="56"/>
      </w:tblGrid>
      <w:tr w:rsidR="00912DF6" w:rsidRPr="008314CF" w14:paraId="44171140" w14:textId="77777777" w:rsidTr="00912DF6">
        <w:trPr>
          <w:gridAfter w:val="1"/>
          <w:wAfter w:w="56" w:type="dxa"/>
        </w:trPr>
        <w:tc>
          <w:tcPr>
            <w:tcW w:w="8163" w:type="dxa"/>
            <w:gridSpan w:val="2"/>
            <w:shd w:val="clear" w:color="auto" w:fill="auto"/>
          </w:tcPr>
          <w:p w14:paraId="748ECD01" w14:textId="77777777" w:rsidR="00912DF6" w:rsidRPr="008314CF" w:rsidRDefault="00912DF6" w:rsidP="00912DF6">
            <w:pPr>
              <w:spacing w:line="360" w:lineRule="auto"/>
              <w:jc w:val="both"/>
              <w:rPr>
                <w:rStyle w:val="TimesNewRomanTimesNewRoman"/>
              </w:rPr>
            </w:pPr>
            <w:r w:rsidRPr="008314CF">
              <w:rPr>
                <w:b/>
                <w:bCs/>
                <w:rtl/>
              </w:rPr>
              <w:t>לפני כבוד השופט בני שגיא</w:t>
            </w:r>
            <w:r w:rsidRPr="008314CF">
              <w:rPr>
                <w:rStyle w:val="TimesNewRomanTimesNewRoman"/>
                <w:rtl/>
              </w:rPr>
              <w:t>, סגן נשיא</w:t>
            </w:r>
          </w:p>
          <w:p w14:paraId="255B8C03" w14:textId="77777777" w:rsidR="00912DF6" w:rsidRPr="008314CF" w:rsidRDefault="00912DF6" w:rsidP="00912DF6">
            <w:pPr>
              <w:jc w:val="right"/>
              <w:rPr>
                <w:rFonts w:cs="Times New Roman"/>
                <w:rtl/>
              </w:rPr>
            </w:pPr>
          </w:p>
        </w:tc>
      </w:tr>
      <w:tr w:rsidR="00912DF6" w:rsidRPr="008314CF" w14:paraId="031E873C" w14:textId="77777777" w:rsidTr="00912DF6">
        <w:trPr>
          <w:cantSplit/>
          <w:trHeight w:val="724"/>
        </w:trPr>
        <w:tc>
          <w:tcPr>
            <w:tcW w:w="2297" w:type="dxa"/>
            <w:shd w:val="clear" w:color="auto" w:fill="auto"/>
          </w:tcPr>
          <w:p w14:paraId="43FDAD00" w14:textId="77777777" w:rsidR="00912DF6" w:rsidRPr="008314CF" w:rsidRDefault="00912DF6" w:rsidP="00912DF6">
            <w:pPr>
              <w:ind w:left="26"/>
              <w:jc w:val="right"/>
              <w:rPr>
                <w:b/>
                <w:bCs/>
                <w:rtl/>
              </w:rPr>
            </w:pPr>
            <w:bookmarkStart w:id="0" w:name="FirstAppellant"/>
            <w:bookmarkStart w:id="1" w:name="FirstLawyer"/>
            <w:bookmarkStart w:id="2" w:name="LastJudge"/>
            <w:bookmarkEnd w:id="2"/>
          </w:p>
          <w:p w14:paraId="75E2B04A" w14:textId="77777777" w:rsidR="00912DF6" w:rsidRPr="008314CF" w:rsidRDefault="00912DF6" w:rsidP="00912DF6">
            <w:pPr>
              <w:ind w:left="26"/>
              <w:rPr>
                <w:b/>
                <w:bCs/>
                <w:rtl/>
              </w:rPr>
            </w:pPr>
            <w:r w:rsidRPr="008314CF">
              <w:rPr>
                <w:b/>
                <w:bCs/>
                <w:rtl/>
              </w:rPr>
              <w:t>המאשימה</w:t>
            </w:r>
            <w:r w:rsidRPr="008314CF">
              <w:rPr>
                <w:rFonts w:hint="cs"/>
                <w:b/>
                <w:bCs/>
                <w:rtl/>
              </w:rPr>
              <w:t>:</w:t>
            </w:r>
          </w:p>
        </w:tc>
        <w:tc>
          <w:tcPr>
            <w:tcW w:w="5922" w:type="dxa"/>
            <w:gridSpan w:val="2"/>
            <w:shd w:val="clear" w:color="auto" w:fill="auto"/>
          </w:tcPr>
          <w:p w14:paraId="1491F82D" w14:textId="77777777" w:rsidR="00912DF6" w:rsidRPr="008314CF" w:rsidRDefault="00912DF6" w:rsidP="00912DF6">
            <w:pPr>
              <w:jc w:val="right"/>
              <w:rPr>
                <w:rtl/>
              </w:rPr>
            </w:pPr>
          </w:p>
          <w:p w14:paraId="3EEAA266" w14:textId="77777777" w:rsidR="00912DF6" w:rsidRPr="008314CF" w:rsidRDefault="00912DF6" w:rsidP="00912DF6">
            <w:pPr>
              <w:spacing w:line="360" w:lineRule="auto"/>
              <w:rPr>
                <w:rtl/>
              </w:rPr>
            </w:pPr>
            <w:r w:rsidRPr="008314CF">
              <w:rPr>
                <w:rtl/>
              </w:rPr>
              <w:t xml:space="preserve"> </w:t>
            </w:r>
            <w:r w:rsidRPr="008314CF">
              <w:rPr>
                <w:b/>
                <w:bCs/>
                <w:rtl/>
              </w:rPr>
              <w:t>מדינת ישראל</w:t>
            </w:r>
          </w:p>
          <w:p w14:paraId="4A650AE8" w14:textId="77777777" w:rsidR="00912DF6" w:rsidRPr="008314CF" w:rsidRDefault="00912DF6" w:rsidP="00912DF6">
            <w:pPr>
              <w:spacing w:line="360" w:lineRule="auto"/>
              <w:rPr>
                <w:rtl/>
              </w:rPr>
            </w:pPr>
            <w:r w:rsidRPr="008314CF">
              <w:rPr>
                <w:rtl/>
              </w:rPr>
              <w:t xml:space="preserve">על-ידי ב"כ עו"ד </w:t>
            </w:r>
            <w:r w:rsidRPr="008314CF">
              <w:rPr>
                <w:rFonts w:hint="cs"/>
                <w:rtl/>
              </w:rPr>
              <w:t>ענת בן זאב</w:t>
            </w:r>
            <w:r w:rsidRPr="008314CF">
              <w:rPr>
                <w:rtl/>
              </w:rPr>
              <w:t xml:space="preserve"> ועו"ד </w:t>
            </w:r>
            <w:r w:rsidRPr="008314CF">
              <w:rPr>
                <w:rFonts w:hint="cs"/>
                <w:rtl/>
              </w:rPr>
              <w:t>שלי קוטין</w:t>
            </w:r>
          </w:p>
          <w:p w14:paraId="216036AE" w14:textId="77777777" w:rsidR="00912DF6" w:rsidRPr="008314CF" w:rsidRDefault="00912DF6" w:rsidP="00912DF6">
            <w:pPr>
              <w:jc w:val="right"/>
              <w:rPr>
                <w:b/>
                <w:bCs/>
                <w:sz w:val="4"/>
                <w:szCs w:val="4"/>
                <w:rtl/>
              </w:rPr>
            </w:pPr>
          </w:p>
        </w:tc>
      </w:tr>
      <w:bookmarkEnd w:id="0"/>
      <w:bookmarkEnd w:id="1"/>
      <w:tr w:rsidR="00912DF6" w:rsidRPr="008314CF" w14:paraId="50A7E43F" w14:textId="77777777" w:rsidTr="00912DF6">
        <w:tc>
          <w:tcPr>
            <w:tcW w:w="8219" w:type="dxa"/>
            <w:gridSpan w:val="3"/>
            <w:shd w:val="clear" w:color="auto" w:fill="auto"/>
            <w:vAlign w:val="center"/>
          </w:tcPr>
          <w:p w14:paraId="4536A9FD" w14:textId="77777777" w:rsidR="00912DF6" w:rsidRPr="008314CF" w:rsidRDefault="00912DF6" w:rsidP="00912DF6">
            <w:pPr>
              <w:jc w:val="center"/>
              <w:rPr>
                <w:rFonts w:ascii="Arial" w:hAnsi="Arial"/>
                <w:b/>
                <w:bCs/>
                <w:rtl/>
              </w:rPr>
            </w:pPr>
          </w:p>
          <w:p w14:paraId="5D243AA8" w14:textId="77777777" w:rsidR="00912DF6" w:rsidRPr="008314CF" w:rsidRDefault="00912DF6" w:rsidP="00912DF6">
            <w:pPr>
              <w:jc w:val="center"/>
              <w:rPr>
                <w:rFonts w:ascii="Arial" w:hAnsi="Arial"/>
                <w:b/>
                <w:bCs/>
                <w:rtl/>
              </w:rPr>
            </w:pPr>
            <w:r w:rsidRPr="008314CF">
              <w:rPr>
                <w:rFonts w:ascii="Arial" w:hAnsi="Arial"/>
                <w:b/>
                <w:bCs/>
                <w:rtl/>
              </w:rPr>
              <w:t>נגד</w:t>
            </w:r>
          </w:p>
          <w:p w14:paraId="51EB3784" w14:textId="77777777" w:rsidR="00912DF6" w:rsidRPr="008314CF" w:rsidRDefault="00912DF6" w:rsidP="00912DF6">
            <w:pPr>
              <w:jc w:val="center"/>
              <w:rPr>
                <w:rFonts w:ascii="Arial" w:hAnsi="Arial"/>
                <w:b/>
                <w:bCs/>
                <w:sz w:val="16"/>
                <w:szCs w:val="16"/>
                <w:rtl/>
              </w:rPr>
            </w:pPr>
          </w:p>
          <w:p w14:paraId="47BD9FCA" w14:textId="77777777" w:rsidR="00912DF6" w:rsidRPr="008314CF" w:rsidRDefault="00912DF6" w:rsidP="00912DF6">
            <w:pPr>
              <w:jc w:val="right"/>
              <w:rPr>
                <w:rFonts w:ascii="Arial" w:hAnsi="Arial"/>
                <w:b/>
                <w:bCs/>
                <w:rtl/>
              </w:rPr>
            </w:pPr>
          </w:p>
        </w:tc>
      </w:tr>
      <w:tr w:rsidR="00912DF6" w:rsidRPr="008314CF" w14:paraId="31714E40" w14:textId="77777777" w:rsidTr="00912DF6">
        <w:tc>
          <w:tcPr>
            <w:tcW w:w="2297" w:type="dxa"/>
            <w:shd w:val="clear" w:color="auto" w:fill="auto"/>
          </w:tcPr>
          <w:p w14:paraId="53EC12E3" w14:textId="77777777" w:rsidR="00912DF6" w:rsidRPr="008314CF" w:rsidRDefault="00912DF6" w:rsidP="00912DF6">
            <w:pPr>
              <w:ind w:left="26"/>
              <w:rPr>
                <w:b/>
                <w:bCs/>
                <w:rtl/>
              </w:rPr>
            </w:pPr>
            <w:r w:rsidRPr="008314CF">
              <w:rPr>
                <w:b/>
                <w:bCs/>
                <w:rtl/>
              </w:rPr>
              <w:t>הנאשם</w:t>
            </w:r>
            <w:r w:rsidRPr="008314CF">
              <w:rPr>
                <w:rFonts w:hint="cs"/>
                <w:b/>
                <w:bCs/>
                <w:rtl/>
              </w:rPr>
              <w:t>:</w:t>
            </w:r>
          </w:p>
        </w:tc>
        <w:tc>
          <w:tcPr>
            <w:tcW w:w="5922" w:type="dxa"/>
            <w:gridSpan w:val="2"/>
            <w:shd w:val="clear" w:color="auto" w:fill="auto"/>
          </w:tcPr>
          <w:p w14:paraId="229D6BAE" w14:textId="77777777" w:rsidR="00912DF6" w:rsidRPr="008314CF" w:rsidRDefault="00912DF6" w:rsidP="00912DF6">
            <w:pPr>
              <w:spacing w:line="360" w:lineRule="auto"/>
              <w:rPr>
                <w:b/>
                <w:bCs/>
                <w:rtl/>
              </w:rPr>
            </w:pPr>
            <w:r w:rsidRPr="008314CF">
              <w:rPr>
                <w:rFonts w:hint="cs"/>
                <w:b/>
                <w:bCs/>
                <w:rtl/>
              </w:rPr>
              <w:t xml:space="preserve">רמאדאן סקא ת.ז. </w:t>
            </w:r>
            <w:r w:rsidR="008314CF">
              <w:rPr>
                <w:b/>
                <w:bCs/>
              </w:rPr>
              <w:t>xxxxxxxxx</w:t>
            </w:r>
          </w:p>
          <w:p w14:paraId="0C38A431" w14:textId="77777777" w:rsidR="00912DF6" w:rsidRPr="008314CF" w:rsidRDefault="00912DF6" w:rsidP="00B71B01">
            <w:pPr>
              <w:rPr>
                <w:rtl/>
              </w:rPr>
            </w:pPr>
            <w:r w:rsidRPr="008314CF">
              <w:rPr>
                <w:rtl/>
              </w:rPr>
              <w:t xml:space="preserve">על-ידי ב"כ עו"ד </w:t>
            </w:r>
            <w:r w:rsidRPr="008314CF">
              <w:rPr>
                <w:rFonts w:hint="cs"/>
                <w:rtl/>
              </w:rPr>
              <w:t>שאדי כבהא</w:t>
            </w:r>
          </w:p>
          <w:p w14:paraId="73FFA531" w14:textId="77777777" w:rsidR="00912DF6" w:rsidRPr="008314CF" w:rsidRDefault="00912DF6" w:rsidP="00B71B01">
            <w:pPr>
              <w:rPr>
                <w:rtl/>
              </w:rPr>
            </w:pPr>
          </w:p>
        </w:tc>
      </w:tr>
    </w:tbl>
    <w:p w14:paraId="62D3B40E" w14:textId="77777777" w:rsidR="00912DF6" w:rsidRPr="008314CF" w:rsidRDefault="00912DF6" w:rsidP="00912DF6">
      <w:pPr>
        <w:jc w:val="both"/>
        <w:rPr>
          <w:rFonts w:ascii="David" w:hAnsi="David"/>
          <w:rtl/>
        </w:rPr>
      </w:pPr>
    </w:p>
    <w:p w14:paraId="6EAF6FE0" w14:textId="77777777" w:rsidR="003E6254" w:rsidRDefault="003E6254" w:rsidP="003E6254">
      <w:pPr>
        <w:jc w:val="center"/>
        <w:rPr>
          <w:sz w:val="32"/>
          <w:szCs w:val="32"/>
          <w:rtl/>
        </w:rPr>
      </w:pPr>
      <w:bookmarkStart w:id="3" w:name="LawTable"/>
      <w:bookmarkEnd w:id="3"/>
    </w:p>
    <w:p w14:paraId="5B63C8B4" w14:textId="77777777" w:rsidR="003E6254" w:rsidRPr="003E6254" w:rsidRDefault="003E6254" w:rsidP="003E6254">
      <w:pPr>
        <w:spacing w:before="120" w:after="120" w:line="240" w:lineRule="exact"/>
        <w:ind w:left="283" w:hanging="283"/>
        <w:jc w:val="both"/>
        <w:rPr>
          <w:rFonts w:ascii="FrankRuehl" w:hAnsi="FrankRuehl" w:cs="FrankRuehl"/>
          <w:rtl/>
        </w:rPr>
      </w:pPr>
    </w:p>
    <w:p w14:paraId="1E1783A0" w14:textId="77777777" w:rsidR="003E6254" w:rsidRPr="003E6254" w:rsidRDefault="003E6254" w:rsidP="003E6254">
      <w:pPr>
        <w:spacing w:before="120" w:after="120" w:line="240" w:lineRule="exact"/>
        <w:ind w:left="283" w:hanging="283"/>
        <w:jc w:val="both"/>
        <w:rPr>
          <w:rFonts w:ascii="FrankRuehl" w:hAnsi="FrankRuehl" w:cs="FrankRuehl"/>
          <w:rtl/>
        </w:rPr>
      </w:pPr>
    </w:p>
    <w:p w14:paraId="072149A0" w14:textId="77777777" w:rsidR="003E6254" w:rsidRPr="003E6254" w:rsidRDefault="003E6254" w:rsidP="003E6254">
      <w:pPr>
        <w:spacing w:before="120" w:after="120" w:line="240" w:lineRule="exact"/>
        <w:ind w:left="283" w:hanging="283"/>
        <w:jc w:val="both"/>
        <w:rPr>
          <w:rFonts w:ascii="FrankRuehl" w:hAnsi="FrankRuehl" w:cs="FrankRuehl"/>
          <w:rtl/>
        </w:rPr>
      </w:pPr>
      <w:r w:rsidRPr="003E6254">
        <w:rPr>
          <w:rFonts w:ascii="FrankRuehl" w:hAnsi="FrankRuehl" w:cs="FrankRuehl"/>
          <w:rtl/>
        </w:rPr>
        <w:t xml:space="preserve">חקיקה שאוזכרה: </w:t>
      </w:r>
    </w:p>
    <w:p w14:paraId="231230F4" w14:textId="77777777" w:rsidR="003E6254" w:rsidRPr="003E6254" w:rsidRDefault="003E6254" w:rsidP="003E6254">
      <w:pPr>
        <w:spacing w:before="120" w:after="120" w:line="240" w:lineRule="exact"/>
        <w:ind w:left="283" w:hanging="283"/>
        <w:jc w:val="both"/>
        <w:rPr>
          <w:rFonts w:ascii="FrankRuehl" w:hAnsi="FrankRuehl" w:cs="FrankRuehl"/>
          <w:rtl/>
        </w:rPr>
      </w:pPr>
      <w:hyperlink r:id="rId7" w:history="1">
        <w:r w:rsidRPr="003E6254">
          <w:rPr>
            <w:rFonts w:ascii="FrankRuehl" w:hAnsi="FrankRuehl" w:cs="FrankRuehl"/>
            <w:color w:val="0000FF"/>
            <w:rtl/>
          </w:rPr>
          <w:t>חוק העונשין, תשל"ז-1977</w:t>
        </w:r>
      </w:hyperlink>
      <w:r w:rsidRPr="003E6254">
        <w:rPr>
          <w:rFonts w:ascii="FrankRuehl" w:hAnsi="FrankRuehl" w:cs="FrankRuehl"/>
          <w:rtl/>
        </w:rPr>
        <w:t xml:space="preserve">: סע'  </w:t>
      </w:r>
      <w:hyperlink r:id="rId8" w:history="1">
        <w:r w:rsidRPr="003E6254">
          <w:rPr>
            <w:rFonts w:ascii="FrankRuehl" w:hAnsi="FrankRuehl" w:cs="FrankRuehl"/>
            <w:color w:val="0000FF"/>
            <w:rtl/>
          </w:rPr>
          <w:t>144(ב)</w:t>
        </w:r>
      </w:hyperlink>
    </w:p>
    <w:p w14:paraId="0BECD277" w14:textId="77777777" w:rsidR="003E6254" w:rsidRPr="003E6254" w:rsidRDefault="003E6254" w:rsidP="003E6254">
      <w:pPr>
        <w:spacing w:before="120" w:after="120" w:line="240" w:lineRule="exact"/>
        <w:ind w:left="283" w:hanging="283"/>
        <w:jc w:val="both"/>
        <w:rPr>
          <w:rFonts w:ascii="FrankRuehl" w:hAnsi="FrankRuehl" w:cs="FrankRuehl"/>
          <w:rtl/>
        </w:rPr>
      </w:pPr>
      <w:hyperlink r:id="rId9" w:history="1">
        <w:r w:rsidRPr="003E6254">
          <w:rPr>
            <w:rFonts w:ascii="FrankRuehl" w:hAnsi="FrankRuehl" w:cs="FrankRuehl"/>
            <w:color w:val="0000FF"/>
            <w:rtl/>
          </w:rPr>
          <w:t>פקודת הסמים המסוכנים [נוסח חדש], תשל"ג-1973</w:t>
        </w:r>
      </w:hyperlink>
      <w:r w:rsidRPr="003E6254">
        <w:rPr>
          <w:rFonts w:ascii="FrankRuehl" w:hAnsi="FrankRuehl" w:cs="FrankRuehl"/>
          <w:rtl/>
        </w:rPr>
        <w:t xml:space="preserve">: סע'  </w:t>
      </w:r>
      <w:hyperlink r:id="rId10" w:history="1">
        <w:r w:rsidRPr="003E6254">
          <w:rPr>
            <w:rFonts w:ascii="FrankRuehl" w:hAnsi="FrankRuehl" w:cs="FrankRuehl"/>
            <w:color w:val="0000FF"/>
            <w:rtl/>
          </w:rPr>
          <w:t>7(א)</w:t>
        </w:r>
      </w:hyperlink>
      <w:r w:rsidRPr="003E6254">
        <w:rPr>
          <w:rFonts w:ascii="FrankRuehl" w:hAnsi="FrankRuehl" w:cs="FrankRuehl"/>
          <w:rtl/>
        </w:rPr>
        <w:t xml:space="preserve">, </w:t>
      </w:r>
      <w:hyperlink r:id="rId11" w:history="1">
        <w:r w:rsidRPr="003E6254">
          <w:rPr>
            <w:rFonts w:ascii="FrankRuehl" w:hAnsi="FrankRuehl" w:cs="FrankRuehl"/>
            <w:color w:val="0000FF"/>
            <w:rtl/>
          </w:rPr>
          <w:t>(ג)</w:t>
        </w:r>
      </w:hyperlink>
    </w:p>
    <w:p w14:paraId="1752E032" w14:textId="77777777" w:rsidR="003E6254" w:rsidRPr="003E6254" w:rsidRDefault="003E6254" w:rsidP="003E6254">
      <w:pPr>
        <w:jc w:val="center"/>
        <w:rPr>
          <w:sz w:val="32"/>
          <w:szCs w:val="32"/>
          <w:rtl/>
        </w:rPr>
      </w:pPr>
      <w:bookmarkStart w:id="4" w:name="LawTable_End"/>
      <w:bookmarkEnd w:id="4"/>
    </w:p>
    <w:p w14:paraId="616FA425" w14:textId="77777777" w:rsidR="008314CF" w:rsidRPr="00CB28E4" w:rsidRDefault="008314CF" w:rsidP="00CB28E4">
      <w:pPr>
        <w:jc w:val="center"/>
        <w:rPr>
          <w:sz w:val="32"/>
          <w:szCs w:val="32"/>
          <w:rtl/>
        </w:rPr>
      </w:pPr>
    </w:p>
    <w:p w14:paraId="12F9124F" w14:textId="77777777" w:rsidR="008314CF" w:rsidRPr="008314CF" w:rsidRDefault="008314CF" w:rsidP="008314CF">
      <w:pPr>
        <w:jc w:val="center"/>
        <w:rPr>
          <w:b/>
          <w:bCs/>
          <w:sz w:val="32"/>
          <w:szCs w:val="32"/>
          <w:u w:val="single"/>
          <w:rtl/>
        </w:rPr>
      </w:pPr>
      <w:bookmarkStart w:id="5" w:name="PsakDin"/>
      <w:r w:rsidRPr="008314CF">
        <w:rPr>
          <w:b/>
          <w:bCs/>
          <w:sz w:val="32"/>
          <w:szCs w:val="32"/>
          <w:u w:val="single"/>
          <w:rtl/>
        </w:rPr>
        <w:t>גזר דין</w:t>
      </w:r>
    </w:p>
    <w:bookmarkEnd w:id="5"/>
    <w:p w14:paraId="784025A1" w14:textId="77777777" w:rsidR="00912DF6" w:rsidRDefault="00912DF6" w:rsidP="00912DF6">
      <w:pPr>
        <w:rPr>
          <w:rtl/>
        </w:rPr>
      </w:pPr>
    </w:p>
    <w:p w14:paraId="4FF095E3" w14:textId="77777777" w:rsidR="00912DF6" w:rsidRDefault="00912DF6" w:rsidP="00912DF6">
      <w:pPr>
        <w:rPr>
          <w:rtl/>
        </w:rPr>
      </w:pPr>
      <w:r>
        <w:rPr>
          <w:rtl/>
        </w:rPr>
        <w:tab/>
      </w:r>
      <w:r>
        <w:rPr>
          <w:u w:val="single"/>
          <w:rtl/>
        </w:rPr>
        <w:t>כללי</w:t>
      </w:r>
    </w:p>
    <w:p w14:paraId="5BB2FDCE" w14:textId="77777777" w:rsidR="00912DF6" w:rsidRDefault="00912DF6" w:rsidP="00912DF6">
      <w:pPr>
        <w:rPr>
          <w:rtl/>
        </w:rPr>
      </w:pPr>
    </w:p>
    <w:p w14:paraId="7CBFA797" w14:textId="77777777" w:rsidR="00912DF6" w:rsidRDefault="00912DF6" w:rsidP="00912DF6">
      <w:pPr>
        <w:spacing w:before="240" w:line="360" w:lineRule="auto"/>
        <w:ind w:left="720" w:hanging="720"/>
        <w:jc w:val="both"/>
        <w:rPr>
          <w:rtl/>
        </w:rPr>
      </w:pPr>
      <w:r>
        <w:rPr>
          <w:rtl/>
        </w:rPr>
        <w:t>1.</w:t>
      </w:r>
      <w:r>
        <w:rPr>
          <w:rtl/>
        </w:rPr>
        <w:tab/>
      </w:r>
      <w:bookmarkStart w:id="6" w:name="ABSTRACT_START"/>
      <w:bookmarkEnd w:id="6"/>
      <w:r>
        <w:rPr>
          <w:rtl/>
        </w:rPr>
        <w:t>הנאשם הורשע על יסוד הודאתו, במסגרת הסדר טיעון, בעביר</w:t>
      </w:r>
      <w:r>
        <w:rPr>
          <w:rFonts w:hint="cs"/>
          <w:rtl/>
        </w:rPr>
        <w:t>ה</w:t>
      </w:r>
      <w:r>
        <w:rPr>
          <w:rtl/>
        </w:rPr>
        <w:t xml:space="preserve"> של </w:t>
      </w:r>
      <w:r>
        <w:rPr>
          <w:rFonts w:hint="cs"/>
          <w:rtl/>
        </w:rPr>
        <w:t xml:space="preserve">נשיאת נשק לפי </w:t>
      </w:r>
      <w:hyperlink r:id="rId12" w:history="1">
        <w:r w:rsidR="00CB28E4" w:rsidRPr="00CB28E4">
          <w:rPr>
            <w:rStyle w:val="Hyperlink"/>
            <w:rFonts w:hint="eastAsia"/>
            <w:rtl/>
          </w:rPr>
          <w:t>סעיף</w:t>
        </w:r>
        <w:r w:rsidR="00CB28E4" w:rsidRPr="00CB28E4">
          <w:rPr>
            <w:rStyle w:val="Hyperlink"/>
            <w:rtl/>
          </w:rPr>
          <w:t xml:space="preserve"> 144(ב)</w:t>
        </w:r>
      </w:hyperlink>
      <w:r>
        <w:rPr>
          <w:rtl/>
        </w:rPr>
        <w:t xml:space="preserve"> ל</w:t>
      </w:r>
      <w:hyperlink r:id="rId13" w:history="1">
        <w:r w:rsidR="008314CF" w:rsidRPr="008314CF">
          <w:rPr>
            <w:color w:val="0000FF"/>
            <w:u w:val="single"/>
            <w:rtl/>
          </w:rPr>
          <w:t>חוק העונשין</w:t>
        </w:r>
      </w:hyperlink>
      <w:r>
        <w:rPr>
          <w:rtl/>
        </w:rPr>
        <w:t xml:space="preserve">, תשל"ז-1977 (להלן - </w:t>
      </w:r>
      <w:r>
        <w:rPr>
          <w:b/>
          <w:bCs/>
          <w:rtl/>
        </w:rPr>
        <w:t>חוק העונשין</w:t>
      </w:r>
      <w:r>
        <w:rPr>
          <w:rtl/>
        </w:rPr>
        <w:t>)</w:t>
      </w:r>
      <w:r>
        <w:rPr>
          <w:rFonts w:hint="cs"/>
          <w:rtl/>
        </w:rPr>
        <w:t xml:space="preserve"> (להלן - </w:t>
      </w:r>
      <w:r>
        <w:rPr>
          <w:rFonts w:hint="cs"/>
          <w:b/>
          <w:bCs/>
          <w:rtl/>
        </w:rPr>
        <w:t>התיק העיקרי</w:t>
      </w:r>
      <w:r>
        <w:rPr>
          <w:rFonts w:hint="cs"/>
          <w:rtl/>
        </w:rPr>
        <w:t xml:space="preserve">). </w:t>
      </w:r>
      <w:r>
        <w:rPr>
          <w:rtl/>
        </w:rPr>
        <w:t xml:space="preserve">בנוסף, צירף הנאשם </w:t>
      </w:r>
      <w:r>
        <w:rPr>
          <w:rFonts w:hint="cs"/>
          <w:rtl/>
        </w:rPr>
        <w:t xml:space="preserve">שני </w:t>
      </w:r>
      <w:r>
        <w:rPr>
          <w:rtl/>
        </w:rPr>
        <w:t>תיק</w:t>
      </w:r>
      <w:r>
        <w:rPr>
          <w:rFonts w:hint="cs"/>
          <w:rtl/>
        </w:rPr>
        <w:t>ים</w:t>
      </w:r>
      <w:r>
        <w:rPr>
          <w:rtl/>
        </w:rPr>
        <w:t xml:space="preserve"> נוס</w:t>
      </w:r>
      <w:r>
        <w:rPr>
          <w:rFonts w:hint="cs"/>
          <w:rtl/>
        </w:rPr>
        <w:t>פים</w:t>
      </w:r>
      <w:r>
        <w:rPr>
          <w:rtl/>
        </w:rPr>
        <w:t xml:space="preserve"> שהתנהל</w:t>
      </w:r>
      <w:r>
        <w:rPr>
          <w:rFonts w:hint="cs"/>
          <w:rtl/>
        </w:rPr>
        <w:t>ו</w:t>
      </w:r>
      <w:r>
        <w:rPr>
          <w:rtl/>
        </w:rPr>
        <w:t xml:space="preserve"> בבית משפט השלום, הודה בעובדות</w:t>
      </w:r>
      <w:r>
        <w:rPr>
          <w:rFonts w:hint="cs"/>
          <w:rtl/>
        </w:rPr>
        <w:t>יהם</w:t>
      </w:r>
      <w:r>
        <w:rPr>
          <w:rtl/>
        </w:rPr>
        <w:t xml:space="preserve">, והורשע </w:t>
      </w:r>
      <w:r>
        <w:rPr>
          <w:rFonts w:hint="cs"/>
          <w:rtl/>
        </w:rPr>
        <w:t xml:space="preserve">בעבירה של החזקת סם לצריכה עצמית לפי </w:t>
      </w:r>
      <w:hyperlink r:id="rId14" w:history="1">
        <w:r w:rsidR="00CB28E4" w:rsidRPr="00CB28E4">
          <w:rPr>
            <w:rStyle w:val="Hyperlink"/>
            <w:rFonts w:hint="eastAsia"/>
            <w:rtl/>
          </w:rPr>
          <w:t>סעיף</w:t>
        </w:r>
        <w:r w:rsidR="00CB28E4" w:rsidRPr="00CB28E4">
          <w:rPr>
            <w:rStyle w:val="Hyperlink"/>
            <w:rtl/>
          </w:rPr>
          <w:t xml:space="preserve"> 7(א)</w:t>
        </w:r>
      </w:hyperlink>
      <w:r>
        <w:rPr>
          <w:rFonts w:hint="cs"/>
          <w:rtl/>
        </w:rPr>
        <w:t xml:space="preserve"> ו-</w:t>
      </w:r>
      <w:hyperlink r:id="rId15" w:history="1">
        <w:r w:rsidR="00CB28E4" w:rsidRPr="00CB28E4">
          <w:rPr>
            <w:rStyle w:val="Hyperlink"/>
            <w:rtl/>
          </w:rPr>
          <w:t>(ג)</w:t>
        </w:r>
      </w:hyperlink>
      <w:r>
        <w:rPr>
          <w:rFonts w:hint="cs"/>
          <w:rtl/>
        </w:rPr>
        <w:t xml:space="preserve"> סיפא ל</w:t>
      </w:r>
      <w:hyperlink r:id="rId16" w:history="1">
        <w:r w:rsidR="008314CF" w:rsidRPr="008314CF">
          <w:rPr>
            <w:color w:val="0000FF"/>
            <w:u w:val="single"/>
            <w:rtl/>
          </w:rPr>
          <w:t>פקודת הסמים המסוכנים</w:t>
        </w:r>
      </w:hyperlink>
      <w:r>
        <w:rPr>
          <w:rFonts w:hint="cs"/>
          <w:rtl/>
        </w:rPr>
        <w:t xml:space="preserve"> [נוסח חדש], תשל"ג-1973 (להלן - </w:t>
      </w:r>
      <w:r>
        <w:rPr>
          <w:rFonts w:hint="cs"/>
          <w:b/>
          <w:bCs/>
          <w:rtl/>
        </w:rPr>
        <w:t>פקודת הסמים</w:t>
      </w:r>
      <w:r>
        <w:rPr>
          <w:rFonts w:hint="cs"/>
          <w:rtl/>
        </w:rPr>
        <w:t>) (</w:t>
      </w:r>
      <w:hyperlink r:id="rId17" w:history="1">
        <w:r w:rsidR="008314CF" w:rsidRPr="008314CF">
          <w:rPr>
            <w:color w:val="0000FF"/>
            <w:u w:val="single"/>
            <w:rtl/>
          </w:rPr>
          <w:t>ת"פ 6297-06-19</w:t>
        </w:r>
      </w:hyperlink>
      <w:r>
        <w:rPr>
          <w:rFonts w:hint="cs"/>
          <w:rtl/>
        </w:rPr>
        <w:t xml:space="preserve">, להלן - </w:t>
      </w:r>
      <w:r>
        <w:rPr>
          <w:rFonts w:hint="cs"/>
          <w:b/>
          <w:bCs/>
          <w:rtl/>
        </w:rPr>
        <w:t>תיק הצירוף הראשון</w:t>
      </w:r>
      <w:r>
        <w:rPr>
          <w:rFonts w:hint="cs"/>
          <w:rtl/>
        </w:rPr>
        <w:t xml:space="preserve">), ובעבירה של החזקת סם שלא לצריכה עצמית לפי </w:t>
      </w:r>
      <w:hyperlink r:id="rId18" w:history="1">
        <w:r w:rsidR="00CB28E4" w:rsidRPr="00CB28E4">
          <w:rPr>
            <w:rStyle w:val="Hyperlink"/>
            <w:rFonts w:hint="eastAsia"/>
            <w:rtl/>
          </w:rPr>
          <w:t>סעיף</w:t>
        </w:r>
        <w:r w:rsidR="00CB28E4" w:rsidRPr="00CB28E4">
          <w:rPr>
            <w:rStyle w:val="Hyperlink"/>
            <w:rtl/>
          </w:rPr>
          <w:t xml:space="preserve"> 7(א)</w:t>
        </w:r>
      </w:hyperlink>
      <w:r>
        <w:rPr>
          <w:rFonts w:hint="cs"/>
          <w:rtl/>
        </w:rPr>
        <w:t xml:space="preserve"> ו-</w:t>
      </w:r>
      <w:hyperlink r:id="rId19" w:history="1">
        <w:r w:rsidR="00CB28E4" w:rsidRPr="00CB28E4">
          <w:rPr>
            <w:rStyle w:val="Hyperlink"/>
            <w:rtl/>
          </w:rPr>
          <w:t>(ג)</w:t>
        </w:r>
      </w:hyperlink>
      <w:r>
        <w:rPr>
          <w:rFonts w:hint="cs"/>
          <w:rtl/>
        </w:rPr>
        <w:t xml:space="preserve"> רישא לפקודת הסמים (ת"פ 6510-04-19, להלן - </w:t>
      </w:r>
      <w:r>
        <w:rPr>
          <w:rFonts w:hint="cs"/>
          <w:b/>
          <w:bCs/>
          <w:rtl/>
        </w:rPr>
        <w:t>תיק הצירוף השני</w:t>
      </w:r>
      <w:r>
        <w:rPr>
          <w:rFonts w:hint="cs"/>
          <w:rtl/>
        </w:rPr>
        <w:t xml:space="preserve">) (וביחד - </w:t>
      </w:r>
      <w:r>
        <w:rPr>
          <w:rFonts w:hint="cs"/>
          <w:b/>
          <w:bCs/>
          <w:rtl/>
        </w:rPr>
        <w:t>תיקי הצירוף</w:t>
      </w:r>
      <w:r>
        <w:rPr>
          <w:rFonts w:hint="cs"/>
          <w:rtl/>
        </w:rPr>
        <w:t xml:space="preserve">). </w:t>
      </w:r>
      <w:r>
        <w:rPr>
          <w:rtl/>
        </w:rPr>
        <w:t xml:space="preserve"> </w:t>
      </w:r>
    </w:p>
    <w:p w14:paraId="5F8D514D" w14:textId="77777777" w:rsidR="00912DF6" w:rsidRDefault="00912DF6" w:rsidP="00912DF6">
      <w:pPr>
        <w:spacing w:before="240" w:line="360" w:lineRule="auto"/>
        <w:ind w:left="720" w:hanging="720"/>
        <w:jc w:val="both"/>
        <w:rPr>
          <w:rtl/>
        </w:rPr>
      </w:pPr>
      <w:bookmarkStart w:id="7" w:name="ABSTRACT_END"/>
      <w:bookmarkEnd w:id="7"/>
      <w:r>
        <w:rPr>
          <w:rFonts w:hint="cs"/>
          <w:rtl/>
        </w:rPr>
        <w:t>2.</w:t>
      </w:r>
      <w:r>
        <w:rPr>
          <w:rFonts w:hint="cs"/>
          <w:rtl/>
        </w:rPr>
        <w:tab/>
        <w:t xml:space="preserve">הסדר הטיעון לא כלל הסכמה לעניין העונש, ובהקשר זה טענו הצדדים על-פי מיטב שיקול דעתם. </w:t>
      </w:r>
      <w:r>
        <w:rPr>
          <w:rtl/>
        </w:rPr>
        <w:t xml:space="preserve"> </w:t>
      </w:r>
    </w:p>
    <w:p w14:paraId="4B74E425" w14:textId="77777777" w:rsidR="00912DF6" w:rsidRDefault="00912DF6" w:rsidP="00912DF6">
      <w:pPr>
        <w:spacing w:line="360" w:lineRule="auto"/>
        <w:ind w:left="720" w:hanging="720"/>
        <w:jc w:val="both"/>
        <w:rPr>
          <w:rtl/>
        </w:rPr>
      </w:pPr>
    </w:p>
    <w:p w14:paraId="5E612BDE" w14:textId="77777777" w:rsidR="00912DF6" w:rsidRDefault="00912DF6" w:rsidP="00912DF6">
      <w:pPr>
        <w:spacing w:line="360" w:lineRule="auto"/>
        <w:ind w:left="720" w:hanging="720"/>
        <w:jc w:val="both"/>
        <w:rPr>
          <w:rtl/>
        </w:rPr>
      </w:pPr>
      <w:r>
        <w:rPr>
          <w:rtl/>
        </w:rPr>
        <w:tab/>
      </w:r>
      <w:r>
        <w:rPr>
          <w:u w:val="single"/>
          <w:rtl/>
        </w:rPr>
        <w:t>עובדות כתבי האישום</w:t>
      </w:r>
    </w:p>
    <w:p w14:paraId="50DCC7FA" w14:textId="77777777" w:rsidR="00912DF6" w:rsidRDefault="00912DF6" w:rsidP="00912DF6">
      <w:pPr>
        <w:spacing w:line="360" w:lineRule="auto"/>
        <w:ind w:left="720" w:hanging="720"/>
        <w:jc w:val="both"/>
        <w:rPr>
          <w:rtl/>
        </w:rPr>
      </w:pPr>
    </w:p>
    <w:p w14:paraId="40F0A3FA" w14:textId="77777777" w:rsidR="00912DF6" w:rsidRDefault="00912DF6" w:rsidP="00912DF6">
      <w:pPr>
        <w:spacing w:line="360" w:lineRule="auto"/>
        <w:ind w:left="720" w:hanging="720"/>
        <w:jc w:val="both"/>
        <w:rPr>
          <w:rtl/>
        </w:rPr>
      </w:pPr>
      <w:r>
        <w:rPr>
          <w:rFonts w:hint="cs"/>
          <w:rtl/>
        </w:rPr>
        <w:lastRenderedPageBreak/>
        <w:t>3</w:t>
      </w:r>
      <w:r>
        <w:rPr>
          <w:rtl/>
        </w:rPr>
        <w:t>.</w:t>
      </w:r>
      <w:r>
        <w:rPr>
          <w:rtl/>
        </w:rPr>
        <w:tab/>
      </w:r>
      <w:r>
        <w:rPr>
          <w:rFonts w:hint="cs"/>
          <w:rtl/>
        </w:rPr>
        <w:t xml:space="preserve">על-פי עובדות </w:t>
      </w:r>
      <w:r>
        <w:rPr>
          <w:rtl/>
        </w:rPr>
        <w:t xml:space="preserve">כתב האישום המתוקן </w:t>
      </w:r>
      <w:r w:rsidRPr="00EC0B74">
        <w:rPr>
          <w:b/>
          <w:bCs/>
          <w:rtl/>
        </w:rPr>
        <w:t>בתיק העיקרי</w:t>
      </w:r>
      <w:r w:rsidRPr="00EC0B74">
        <w:rPr>
          <w:rFonts w:hint="cs"/>
          <w:rtl/>
        </w:rPr>
        <w:t>,</w:t>
      </w:r>
      <w:r>
        <w:rPr>
          <w:rFonts w:hint="cs"/>
          <w:rtl/>
        </w:rPr>
        <w:t xml:space="preserve"> ביום 22.11.2019 בשעה 18:08, יצא הנאשם בריצה מביתו, במהלכה התקרב לאחר שזהותו אינה ידועה, אשר המתין לו ברחוב. האחר העביר לנאשם כלי נשק אשר ביכולתו להמית. הנאשם נטל את הנשק מהאחר, החזיקו בידו הימנית, דרך אותו באמצעות ידו השמאלית, ורץ במורד הרחוב, כשהנשק דרוך. בשעה 18:11, מסיבה עלומה, סב הנאשם על עקבותיו וחזר אל ביתו. בשעה 18:13 שב ויצא הנאשם מביתו בשנית, כשהוא מצויד בנשק. </w:t>
      </w:r>
    </w:p>
    <w:p w14:paraId="6ACF85B5" w14:textId="77777777" w:rsidR="00912DF6" w:rsidRDefault="00912DF6" w:rsidP="00912DF6">
      <w:pPr>
        <w:spacing w:line="360" w:lineRule="auto"/>
        <w:ind w:left="720" w:hanging="720"/>
        <w:jc w:val="both"/>
        <w:rPr>
          <w:rtl/>
        </w:rPr>
      </w:pPr>
      <w:r>
        <w:rPr>
          <w:rtl/>
        </w:rPr>
        <w:tab/>
      </w:r>
    </w:p>
    <w:p w14:paraId="3649736E" w14:textId="77777777" w:rsidR="00912DF6" w:rsidRDefault="00912DF6" w:rsidP="00912DF6">
      <w:pPr>
        <w:spacing w:line="360" w:lineRule="auto"/>
        <w:ind w:left="720" w:hanging="720"/>
        <w:jc w:val="both"/>
        <w:rPr>
          <w:rtl/>
        </w:rPr>
      </w:pPr>
      <w:r>
        <w:rPr>
          <w:rtl/>
        </w:rPr>
        <w:tab/>
      </w:r>
      <w:r>
        <w:rPr>
          <w:rFonts w:hint="cs"/>
          <w:rtl/>
        </w:rPr>
        <w:t>על בסיס האמור לעיל, הורשע הנאשם כאמור בעבירה של נשיאת נשק.</w:t>
      </w:r>
    </w:p>
    <w:p w14:paraId="3ADE1469" w14:textId="77777777" w:rsidR="00912DF6" w:rsidRDefault="00912DF6" w:rsidP="00912DF6">
      <w:pPr>
        <w:spacing w:line="360" w:lineRule="auto"/>
        <w:ind w:left="720" w:hanging="720"/>
        <w:jc w:val="both"/>
        <w:rPr>
          <w:rtl/>
        </w:rPr>
      </w:pPr>
    </w:p>
    <w:p w14:paraId="74C1C4A0" w14:textId="77777777" w:rsidR="00912DF6" w:rsidRDefault="00912DF6" w:rsidP="00912DF6">
      <w:pPr>
        <w:spacing w:line="360" w:lineRule="auto"/>
        <w:ind w:left="720" w:hanging="720"/>
        <w:jc w:val="both"/>
        <w:rPr>
          <w:rtl/>
        </w:rPr>
      </w:pPr>
      <w:r>
        <w:rPr>
          <w:rtl/>
        </w:rPr>
        <w:tab/>
      </w:r>
      <w:r>
        <w:rPr>
          <w:rFonts w:hint="cs"/>
          <w:rtl/>
        </w:rPr>
        <w:t xml:space="preserve">על-פי עובדות כתב האישום המתוקן </w:t>
      </w:r>
      <w:r w:rsidRPr="008F127D">
        <w:rPr>
          <w:rFonts w:hint="cs"/>
          <w:b/>
          <w:bCs/>
          <w:rtl/>
        </w:rPr>
        <w:t>בתיק הצירוף הראשון</w:t>
      </w:r>
      <w:r>
        <w:rPr>
          <w:rFonts w:hint="cs"/>
          <w:rtl/>
        </w:rPr>
        <w:t xml:space="preserve">, ביום 19.10.2017 בשעה 18:50 נהג הנאשם בקטנוע בעיר תל-אביב כשהוא נוסע ללא אורות. בנסיבות אלו התבקש על-ידי שוטר לעצור, אולם הנאשם לא שעה להוראות השוטר והמשיך בנסיעה על המדרכה. תוך כדי הנסיעה, זרק הנאשם מידו השמאלית שתי שקיות שהכילו סם מסוכן מסוג קוקאין במשקל 1.1789 גרם נטו, אותו החזיק הנאשם לצריכתו העצמית.    </w:t>
      </w:r>
    </w:p>
    <w:p w14:paraId="48A12F14" w14:textId="77777777" w:rsidR="00912DF6" w:rsidRDefault="00912DF6" w:rsidP="00912DF6">
      <w:pPr>
        <w:spacing w:line="360" w:lineRule="auto"/>
        <w:ind w:left="720"/>
        <w:jc w:val="both"/>
        <w:rPr>
          <w:rtl/>
        </w:rPr>
      </w:pPr>
      <w:r>
        <w:rPr>
          <w:rFonts w:hint="cs"/>
          <w:rtl/>
        </w:rPr>
        <w:t xml:space="preserve">על בסיס האמור לעיל, הורשע הנאשם בעבירה של החזקת סם לצריכה עצמית.  </w:t>
      </w:r>
    </w:p>
    <w:p w14:paraId="6A97DCF8" w14:textId="77777777" w:rsidR="00912DF6" w:rsidRDefault="00912DF6" w:rsidP="00912DF6">
      <w:pPr>
        <w:spacing w:line="360" w:lineRule="auto"/>
        <w:ind w:left="720" w:hanging="720"/>
        <w:jc w:val="both"/>
        <w:rPr>
          <w:rtl/>
        </w:rPr>
      </w:pPr>
    </w:p>
    <w:p w14:paraId="5F04F39A" w14:textId="77777777" w:rsidR="00912DF6" w:rsidRPr="000C0F05" w:rsidRDefault="00912DF6" w:rsidP="00912DF6">
      <w:pPr>
        <w:spacing w:line="360" w:lineRule="auto"/>
        <w:ind w:left="720" w:hanging="720"/>
        <w:jc w:val="both"/>
        <w:rPr>
          <w:rtl/>
        </w:rPr>
      </w:pPr>
      <w:r>
        <w:rPr>
          <w:rtl/>
        </w:rPr>
        <w:tab/>
      </w:r>
      <w:r>
        <w:rPr>
          <w:rFonts w:hint="cs"/>
          <w:rtl/>
        </w:rPr>
        <w:t xml:space="preserve">על-פי עובדות כתב האישום </w:t>
      </w:r>
      <w:r>
        <w:rPr>
          <w:rFonts w:hint="cs"/>
          <w:b/>
          <w:bCs/>
          <w:rtl/>
        </w:rPr>
        <w:t>בתיק הצירוף השני</w:t>
      </w:r>
      <w:r>
        <w:rPr>
          <w:rFonts w:hint="cs"/>
          <w:rtl/>
        </w:rPr>
        <w:t xml:space="preserve">, ביום 16.6.2018 בשעה 01:25, החזיק הנאשם בשקית שהכילה 4 מנות סגורות של סם מסוכן מסוג קוקאין במשקל 2.08 גרם נטו וסם מסוכן מסוג קנבוס במשקל 0.67 גרם, שלא לצריכתו העצמית. בנסיבות אלו החזיק הנאשם </w:t>
      </w:r>
      <w:r w:rsidRPr="00203FE6">
        <w:rPr>
          <w:rFonts w:hint="cs"/>
          <w:rtl/>
        </w:rPr>
        <w:t>סך של 6,570 ₪ במזומן</w:t>
      </w:r>
      <w:r>
        <w:rPr>
          <w:rFonts w:hint="cs"/>
          <w:rtl/>
        </w:rPr>
        <w:t xml:space="preserve">.  </w:t>
      </w:r>
    </w:p>
    <w:p w14:paraId="5C024F28" w14:textId="77777777" w:rsidR="00912DF6" w:rsidRDefault="00912DF6" w:rsidP="00912DF6">
      <w:pPr>
        <w:spacing w:line="360" w:lineRule="auto"/>
        <w:jc w:val="both"/>
        <w:rPr>
          <w:rtl/>
        </w:rPr>
      </w:pPr>
    </w:p>
    <w:p w14:paraId="5FA3A72B" w14:textId="77777777" w:rsidR="00912DF6" w:rsidRDefault="00912DF6" w:rsidP="00912DF6">
      <w:pPr>
        <w:spacing w:line="360" w:lineRule="auto"/>
        <w:jc w:val="both"/>
        <w:rPr>
          <w:rtl/>
        </w:rPr>
      </w:pPr>
      <w:r>
        <w:rPr>
          <w:rtl/>
        </w:rPr>
        <w:tab/>
      </w:r>
      <w:r>
        <w:rPr>
          <w:rFonts w:hint="cs"/>
          <w:rtl/>
        </w:rPr>
        <w:t xml:space="preserve">על בסיס האמור לעיל, הורשע הנאשם בעבירה של החזקת סם שלא לצריכה עצמית. </w:t>
      </w:r>
    </w:p>
    <w:p w14:paraId="2450FD35" w14:textId="77777777" w:rsidR="00912DF6" w:rsidRDefault="00912DF6" w:rsidP="00912DF6">
      <w:pPr>
        <w:spacing w:line="360" w:lineRule="auto"/>
        <w:jc w:val="both"/>
        <w:rPr>
          <w:rtl/>
        </w:rPr>
      </w:pPr>
    </w:p>
    <w:p w14:paraId="520E92E6" w14:textId="77777777" w:rsidR="00912DF6" w:rsidRDefault="00912DF6" w:rsidP="00912DF6">
      <w:pPr>
        <w:spacing w:line="360" w:lineRule="auto"/>
        <w:jc w:val="both"/>
        <w:rPr>
          <w:rtl/>
        </w:rPr>
      </w:pPr>
      <w:r>
        <w:rPr>
          <w:rtl/>
        </w:rPr>
        <w:tab/>
      </w:r>
      <w:r>
        <w:rPr>
          <w:rFonts w:hint="cs"/>
          <w:u w:val="single"/>
          <w:rtl/>
        </w:rPr>
        <w:t>ראיות לעונש</w:t>
      </w:r>
    </w:p>
    <w:p w14:paraId="142667AF" w14:textId="77777777" w:rsidR="00912DF6" w:rsidRDefault="00912DF6" w:rsidP="00912DF6">
      <w:pPr>
        <w:spacing w:line="360" w:lineRule="auto"/>
        <w:jc w:val="both"/>
        <w:rPr>
          <w:rtl/>
        </w:rPr>
      </w:pPr>
    </w:p>
    <w:p w14:paraId="20646E28" w14:textId="77777777" w:rsidR="00912DF6" w:rsidRDefault="00912DF6" w:rsidP="00912DF6">
      <w:pPr>
        <w:spacing w:line="360" w:lineRule="auto"/>
        <w:ind w:left="720" w:hanging="720"/>
        <w:jc w:val="both"/>
        <w:rPr>
          <w:rtl/>
        </w:rPr>
      </w:pPr>
      <w:r>
        <w:rPr>
          <w:rFonts w:hint="cs"/>
          <w:rtl/>
        </w:rPr>
        <w:t xml:space="preserve">4. </w:t>
      </w:r>
      <w:r>
        <w:rPr>
          <w:rFonts w:hint="cs"/>
          <w:rtl/>
        </w:rPr>
        <w:tab/>
        <w:t xml:space="preserve">מטעם </w:t>
      </w:r>
      <w:r w:rsidRPr="002C234C">
        <w:rPr>
          <w:rFonts w:hint="cs"/>
          <w:b/>
          <w:bCs/>
          <w:rtl/>
        </w:rPr>
        <w:t>התביעה</w:t>
      </w:r>
      <w:r>
        <w:rPr>
          <w:rFonts w:hint="cs"/>
          <w:rtl/>
        </w:rPr>
        <w:t xml:space="preserve"> הוגש גיליון הרשעותיו הקודמות של הנאשם (תע/1); ומטעם </w:t>
      </w:r>
      <w:r>
        <w:rPr>
          <w:rFonts w:hint="cs"/>
          <w:b/>
          <w:bCs/>
          <w:rtl/>
        </w:rPr>
        <w:t xml:space="preserve">ההגנה </w:t>
      </w:r>
      <w:r>
        <w:rPr>
          <w:rFonts w:hint="cs"/>
          <w:rtl/>
        </w:rPr>
        <w:t xml:space="preserve">הוגשה תעודת פטירה של אחיו של הנאשם (נע/1). </w:t>
      </w:r>
    </w:p>
    <w:p w14:paraId="47E2B63E" w14:textId="77777777" w:rsidR="00912DF6" w:rsidRDefault="00912DF6" w:rsidP="00912DF6">
      <w:pPr>
        <w:spacing w:line="360" w:lineRule="auto"/>
        <w:ind w:left="720" w:hanging="720"/>
        <w:jc w:val="both"/>
        <w:rPr>
          <w:rtl/>
        </w:rPr>
      </w:pPr>
    </w:p>
    <w:p w14:paraId="5F764DD3" w14:textId="77777777" w:rsidR="00912DF6" w:rsidRDefault="00912DF6" w:rsidP="00912DF6">
      <w:pPr>
        <w:spacing w:line="360" w:lineRule="auto"/>
        <w:ind w:left="720" w:hanging="720"/>
        <w:jc w:val="both"/>
        <w:rPr>
          <w:rtl/>
        </w:rPr>
      </w:pPr>
      <w:r>
        <w:rPr>
          <w:rtl/>
        </w:rPr>
        <w:tab/>
      </w:r>
      <w:r>
        <w:rPr>
          <w:rFonts w:hint="cs"/>
          <w:u w:val="single"/>
          <w:rtl/>
        </w:rPr>
        <w:t>טיעוני הצדדים לעונש</w:t>
      </w:r>
    </w:p>
    <w:p w14:paraId="589487AB" w14:textId="77777777" w:rsidR="00912DF6" w:rsidRDefault="00912DF6" w:rsidP="00912DF6">
      <w:pPr>
        <w:spacing w:line="360" w:lineRule="auto"/>
        <w:ind w:left="720" w:hanging="720"/>
        <w:jc w:val="both"/>
        <w:rPr>
          <w:rtl/>
        </w:rPr>
      </w:pPr>
    </w:p>
    <w:p w14:paraId="55259A2A" w14:textId="77777777" w:rsidR="00912DF6" w:rsidRDefault="00912DF6" w:rsidP="00912DF6">
      <w:pPr>
        <w:spacing w:line="360" w:lineRule="auto"/>
        <w:ind w:left="720" w:hanging="720"/>
        <w:jc w:val="both"/>
        <w:rPr>
          <w:rtl/>
        </w:rPr>
      </w:pPr>
      <w:r>
        <w:rPr>
          <w:rFonts w:hint="cs"/>
          <w:rtl/>
        </w:rPr>
        <w:t xml:space="preserve">5. </w:t>
      </w:r>
      <w:r>
        <w:rPr>
          <w:rFonts w:hint="cs"/>
          <w:rtl/>
        </w:rPr>
        <w:tab/>
        <w:t xml:space="preserve">בטיעוניה לעונש בתיק העיקרי עמדה </w:t>
      </w:r>
      <w:r w:rsidRPr="00AA3551">
        <w:rPr>
          <w:rFonts w:hint="cs"/>
          <w:b/>
          <w:bCs/>
          <w:rtl/>
        </w:rPr>
        <w:t>התביעה</w:t>
      </w:r>
      <w:r>
        <w:rPr>
          <w:rFonts w:hint="cs"/>
          <w:rtl/>
        </w:rPr>
        <w:t xml:space="preserve"> על נסיבות ביצוע העבירה וחומרת המעשה, תוך שהדגישה את העובדה כי הנאשם רץ, פעמיים, בתוך עיר מגורים מוכת סכסוכים וירי, כשהוא נושא בידו נשק דרוך. עוד נטען, כי הנאשם, בן 22, עובר עבירות החל מגיל 17, והגם שהעבירות בהן הורשע לא חמורות והנאשם לא ריצה בגינן עונשי מאסר בפועל, הרי שניתן לראות באירוע הנוכחי כ"קפיצת מדרגה" משמעותית המבטאת הסלמה. באשר לתיקי הצירוף נטען, כי יש משקל לחומרה לעובדה שהסם שנתפס בכליו בתיק הצירוף השני מחולק למנות, כך שמדובר בנסיבות הדומות לסחר. עוד הפנתה התובעת לעובדה כי הרשעתו האחרונה של הנאשם משנת 2019 היא בגין ביצוע עבירה של החזקת סם לצריכה עצמית.   </w:t>
      </w:r>
    </w:p>
    <w:p w14:paraId="1E981E71" w14:textId="77777777" w:rsidR="00912DF6" w:rsidRDefault="00912DF6" w:rsidP="00912DF6">
      <w:pPr>
        <w:spacing w:line="360" w:lineRule="auto"/>
        <w:ind w:left="720" w:hanging="720"/>
        <w:jc w:val="both"/>
        <w:rPr>
          <w:rtl/>
        </w:rPr>
      </w:pPr>
    </w:p>
    <w:p w14:paraId="4CD49F14" w14:textId="77777777" w:rsidR="00912DF6" w:rsidRDefault="00912DF6" w:rsidP="00912DF6">
      <w:pPr>
        <w:spacing w:line="360" w:lineRule="auto"/>
        <w:ind w:left="720" w:hanging="720"/>
        <w:jc w:val="both"/>
        <w:rPr>
          <w:rtl/>
        </w:rPr>
      </w:pPr>
      <w:r>
        <w:rPr>
          <w:rtl/>
        </w:rPr>
        <w:tab/>
      </w:r>
      <w:r>
        <w:rPr>
          <w:rFonts w:hint="cs"/>
          <w:rtl/>
        </w:rPr>
        <w:t>לאור האמור, עתרה התביעה לקבוע את מתחמי הענישה כדלקמן:</w:t>
      </w:r>
    </w:p>
    <w:p w14:paraId="13E7ADCA" w14:textId="77777777" w:rsidR="00912DF6" w:rsidRDefault="00912DF6" w:rsidP="00912DF6">
      <w:pPr>
        <w:spacing w:line="360" w:lineRule="auto"/>
        <w:ind w:left="720" w:hanging="720"/>
        <w:jc w:val="both"/>
        <w:rPr>
          <w:rtl/>
        </w:rPr>
      </w:pPr>
    </w:p>
    <w:p w14:paraId="3A02EAF6" w14:textId="77777777" w:rsidR="00912DF6" w:rsidRDefault="00912DF6" w:rsidP="00912DF6">
      <w:pPr>
        <w:spacing w:line="360" w:lineRule="auto"/>
        <w:ind w:left="720" w:hanging="720"/>
        <w:jc w:val="both"/>
        <w:rPr>
          <w:rtl/>
        </w:rPr>
      </w:pPr>
      <w:r>
        <w:rPr>
          <w:rtl/>
        </w:rPr>
        <w:tab/>
      </w:r>
      <w:r w:rsidRPr="00FB6CDD">
        <w:rPr>
          <w:rFonts w:hint="cs"/>
          <w:rtl/>
        </w:rPr>
        <w:t>בגין התיק העיקרי</w:t>
      </w:r>
      <w:r>
        <w:rPr>
          <w:rFonts w:hint="cs"/>
          <w:rtl/>
        </w:rPr>
        <w:t xml:space="preserve"> - מתחם הנע בין </w:t>
      </w:r>
      <w:r w:rsidRPr="00FB6CDD">
        <w:rPr>
          <w:rFonts w:hint="cs"/>
          <w:b/>
          <w:bCs/>
          <w:rtl/>
        </w:rPr>
        <w:t>24 ל- 48 חודשי מאסר</w:t>
      </w:r>
      <w:r>
        <w:rPr>
          <w:rFonts w:hint="cs"/>
          <w:rtl/>
        </w:rPr>
        <w:t>;</w:t>
      </w:r>
    </w:p>
    <w:p w14:paraId="1CFCAB46" w14:textId="77777777" w:rsidR="00912DF6" w:rsidRDefault="00912DF6" w:rsidP="00912DF6">
      <w:pPr>
        <w:spacing w:line="360" w:lineRule="auto"/>
        <w:ind w:left="720" w:hanging="720"/>
        <w:jc w:val="both"/>
        <w:rPr>
          <w:rtl/>
        </w:rPr>
      </w:pPr>
    </w:p>
    <w:p w14:paraId="24434FFB" w14:textId="77777777" w:rsidR="00912DF6" w:rsidRDefault="00912DF6" w:rsidP="00912DF6">
      <w:pPr>
        <w:spacing w:line="360" w:lineRule="auto"/>
        <w:ind w:left="720" w:hanging="720"/>
        <w:jc w:val="both"/>
        <w:rPr>
          <w:rtl/>
        </w:rPr>
      </w:pPr>
      <w:r>
        <w:rPr>
          <w:rtl/>
        </w:rPr>
        <w:tab/>
      </w:r>
      <w:r w:rsidRPr="00FB6CDD">
        <w:rPr>
          <w:rFonts w:hint="cs"/>
          <w:rtl/>
        </w:rPr>
        <w:t>ביחס לשני תיקי הצירוף</w:t>
      </w:r>
      <w:r>
        <w:rPr>
          <w:rFonts w:hint="cs"/>
          <w:rtl/>
        </w:rPr>
        <w:t xml:space="preserve"> - מתחם הנע בין </w:t>
      </w:r>
      <w:r w:rsidRPr="00FB6CDD">
        <w:rPr>
          <w:rFonts w:hint="cs"/>
          <w:b/>
          <w:bCs/>
          <w:rtl/>
        </w:rPr>
        <w:t>4 ל- 8 חודשי מאסר.</w:t>
      </w:r>
    </w:p>
    <w:p w14:paraId="456028D3" w14:textId="77777777" w:rsidR="00912DF6" w:rsidRDefault="00912DF6" w:rsidP="00912DF6">
      <w:pPr>
        <w:spacing w:line="360" w:lineRule="auto"/>
        <w:ind w:left="720" w:hanging="720"/>
        <w:jc w:val="both"/>
        <w:rPr>
          <w:rtl/>
        </w:rPr>
      </w:pPr>
    </w:p>
    <w:p w14:paraId="150AFBEC" w14:textId="77777777" w:rsidR="00912DF6" w:rsidRDefault="00912DF6" w:rsidP="00912DF6">
      <w:pPr>
        <w:spacing w:line="360" w:lineRule="auto"/>
        <w:ind w:left="720" w:hanging="720"/>
        <w:jc w:val="both"/>
        <w:rPr>
          <w:rtl/>
        </w:rPr>
      </w:pPr>
      <w:r>
        <w:rPr>
          <w:rtl/>
        </w:rPr>
        <w:tab/>
      </w:r>
      <w:r>
        <w:rPr>
          <w:rFonts w:hint="cs"/>
          <w:rtl/>
        </w:rPr>
        <w:t xml:space="preserve">לעמדת התביעה, יש למקם את הנאשם בשליש התחתון של כל אחד מהמתחמים להם עתרה, ולצבור את העונש שיושת על הנאשם בתיקי הצירוף לעונש שיושת עליו בתיק העיקרי. </w:t>
      </w:r>
    </w:p>
    <w:p w14:paraId="616F5B55" w14:textId="77777777" w:rsidR="00912DF6" w:rsidRDefault="00912DF6" w:rsidP="00912DF6">
      <w:pPr>
        <w:spacing w:line="360" w:lineRule="auto"/>
        <w:ind w:left="720" w:hanging="720"/>
        <w:jc w:val="both"/>
        <w:rPr>
          <w:rtl/>
        </w:rPr>
      </w:pPr>
    </w:p>
    <w:p w14:paraId="080FBA7A" w14:textId="77777777" w:rsidR="00912DF6" w:rsidRDefault="00912DF6" w:rsidP="00912DF6">
      <w:pPr>
        <w:spacing w:line="360" w:lineRule="auto"/>
        <w:ind w:left="720" w:hanging="720"/>
        <w:jc w:val="both"/>
        <w:rPr>
          <w:rtl/>
        </w:rPr>
      </w:pPr>
      <w:r>
        <w:rPr>
          <w:rFonts w:hint="cs"/>
          <w:rtl/>
        </w:rPr>
        <w:t xml:space="preserve">6. </w:t>
      </w:r>
      <w:r>
        <w:rPr>
          <w:rFonts w:hint="cs"/>
          <w:rtl/>
        </w:rPr>
        <w:tab/>
        <w:t xml:space="preserve">בפתח טיעונו, ציין </w:t>
      </w:r>
      <w:r>
        <w:rPr>
          <w:rFonts w:hint="cs"/>
          <w:b/>
          <w:bCs/>
          <w:rtl/>
        </w:rPr>
        <w:t>הסניגור</w:t>
      </w:r>
      <w:r>
        <w:rPr>
          <w:rFonts w:hint="cs"/>
          <w:rtl/>
        </w:rPr>
        <w:t xml:space="preserve"> כי הנאשם הודה בעובדות כתב האישום המתוקן בתיק העיקרי על אף שלא נתפס בתיק נשק, לא בוצע ירי והראיות התומכות באמור בכתב האישום דלות מאד. עוד הוסיף, כי הנשק אינו של הנאשם, הוא קיבל אותו מאחר ולא עשה איתו דבר.</w:t>
      </w:r>
    </w:p>
    <w:p w14:paraId="5E7191B1" w14:textId="77777777" w:rsidR="00912DF6" w:rsidRDefault="00912DF6" w:rsidP="00912DF6">
      <w:pPr>
        <w:spacing w:line="360" w:lineRule="auto"/>
        <w:ind w:left="720" w:hanging="720"/>
        <w:jc w:val="both"/>
        <w:rPr>
          <w:rtl/>
        </w:rPr>
      </w:pPr>
    </w:p>
    <w:p w14:paraId="45EF160E" w14:textId="77777777" w:rsidR="00912DF6" w:rsidRDefault="00912DF6" w:rsidP="00912DF6">
      <w:pPr>
        <w:spacing w:line="360" w:lineRule="auto"/>
        <w:ind w:left="720" w:hanging="720"/>
        <w:jc w:val="both"/>
        <w:rPr>
          <w:rtl/>
        </w:rPr>
      </w:pPr>
      <w:r>
        <w:rPr>
          <w:rtl/>
        </w:rPr>
        <w:tab/>
      </w:r>
      <w:r>
        <w:rPr>
          <w:rFonts w:hint="cs"/>
          <w:rtl/>
        </w:rPr>
        <w:t xml:space="preserve">הסנגור סבר כי בנסיבות בהן מדובר בנשיאה קצרה בת מספר דקות בודדות, שעה שהנשק לא של הנאשם ולא בוצע בו שימוש - יש לקבוע בתיק העיקרי מתחם ענישה שנע בין </w:t>
      </w:r>
      <w:r w:rsidRPr="00FB6CDD">
        <w:rPr>
          <w:rFonts w:hint="cs"/>
          <w:b/>
          <w:bCs/>
          <w:rtl/>
        </w:rPr>
        <w:t>10 ל- 24 חודשי מאסר</w:t>
      </w:r>
      <w:r>
        <w:rPr>
          <w:rFonts w:hint="cs"/>
          <w:rtl/>
        </w:rPr>
        <w:t xml:space="preserve">. </w:t>
      </w:r>
    </w:p>
    <w:p w14:paraId="002E005D" w14:textId="77777777" w:rsidR="00912DF6" w:rsidRDefault="00912DF6" w:rsidP="00912DF6">
      <w:pPr>
        <w:spacing w:line="360" w:lineRule="auto"/>
        <w:ind w:left="720" w:hanging="720"/>
        <w:jc w:val="both"/>
        <w:rPr>
          <w:rtl/>
        </w:rPr>
      </w:pPr>
    </w:p>
    <w:p w14:paraId="7FD0AB20" w14:textId="77777777" w:rsidR="00912DF6" w:rsidRDefault="00912DF6" w:rsidP="00912DF6">
      <w:pPr>
        <w:spacing w:line="360" w:lineRule="auto"/>
        <w:ind w:left="720" w:hanging="720"/>
        <w:jc w:val="both"/>
        <w:rPr>
          <w:rtl/>
        </w:rPr>
      </w:pPr>
      <w:r>
        <w:rPr>
          <w:rtl/>
        </w:rPr>
        <w:tab/>
      </w:r>
      <w:r w:rsidRPr="00FB6CDD">
        <w:rPr>
          <w:rFonts w:hint="cs"/>
          <w:rtl/>
        </w:rPr>
        <w:t>אשר לתיקי הצירוף</w:t>
      </w:r>
      <w:r>
        <w:rPr>
          <w:rFonts w:hint="cs"/>
          <w:rtl/>
        </w:rPr>
        <w:t xml:space="preserve"> נטען למתחם שנע בין </w:t>
      </w:r>
      <w:r w:rsidRPr="00FB6CDD">
        <w:rPr>
          <w:rFonts w:hint="cs"/>
          <w:b/>
          <w:bCs/>
          <w:rtl/>
        </w:rPr>
        <w:t>מאסר על תנאי ל- 6 חודשי מאסר לריצוי בדרך של עבודות שירות</w:t>
      </w:r>
      <w:r>
        <w:rPr>
          <w:rFonts w:hint="cs"/>
          <w:rtl/>
        </w:rPr>
        <w:t>.</w:t>
      </w:r>
    </w:p>
    <w:p w14:paraId="0341E570" w14:textId="77777777" w:rsidR="00912DF6" w:rsidRDefault="00912DF6" w:rsidP="00912DF6">
      <w:pPr>
        <w:spacing w:line="360" w:lineRule="auto"/>
        <w:ind w:left="720" w:hanging="720"/>
        <w:jc w:val="both"/>
        <w:rPr>
          <w:rtl/>
        </w:rPr>
      </w:pPr>
    </w:p>
    <w:p w14:paraId="120BB077" w14:textId="77777777" w:rsidR="00912DF6" w:rsidRDefault="00912DF6" w:rsidP="00912DF6">
      <w:pPr>
        <w:spacing w:line="360" w:lineRule="auto"/>
        <w:ind w:left="720" w:hanging="720"/>
        <w:jc w:val="both"/>
        <w:rPr>
          <w:rtl/>
        </w:rPr>
      </w:pPr>
      <w:r>
        <w:rPr>
          <w:rtl/>
        </w:rPr>
        <w:tab/>
      </w:r>
      <w:r>
        <w:rPr>
          <w:rFonts w:hint="cs"/>
          <w:rtl/>
        </w:rPr>
        <w:t xml:space="preserve">הסנגור עמד בהרחבה על נסיבותיו האישיות והמורכבות של הנאשם, ובכלל אלה: גילו הצעיר (22); עברו הפלילי הדל; מצבו הבריאותי של אביו; העובדה שגדל בשכונה לא פשוטה; איבד באופן טרגי את אחיו הגדול אשר נרצח בהיותו בגיל 20 בשל טעות בזיהוי; וחווה פרידה כואבת מבת זוגתו, לה אמור היה להינשא, בעקבות אירועי התיק דנא. לשיטת הסנגור, יש ליתן משקל משמעותי להודאת הנאשם בכתבי האישום ורצונו "לנקות שולחן", אשר מעידים על נטילת האחריות, הפנמת הפסול וכוונתו לשנות את אורחות חייו ולחזור לדרך הישר.  </w:t>
      </w:r>
    </w:p>
    <w:p w14:paraId="657D703D" w14:textId="77777777" w:rsidR="00912DF6" w:rsidRDefault="00912DF6" w:rsidP="00912DF6">
      <w:pPr>
        <w:spacing w:line="360" w:lineRule="auto"/>
        <w:ind w:left="720" w:hanging="720"/>
        <w:jc w:val="both"/>
        <w:rPr>
          <w:rtl/>
        </w:rPr>
      </w:pPr>
    </w:p>
    <w:p w14:paraId="1847CF0C" w14:textId="77777777" w:rsidR="00912DF6" w:rsidRDefault="00912DF6" w:rsidP="00912DF6">
      <w:pPr>
        <w:spacing w:line="360" w:lineRule="auto"/>
        <w:ind w:left="720" w:hanging="720"/>
        <w:jc w:val="both"/>
        <w:rPr>
          <w:rtl/>
        </w:rPr>
      </w:pPr>
      <w:r>
        <w:rPr>
          <w:rtl/>
        </w:rPr>
        <w:tab/>
      </w:r>
      <w:r>
        <w:rPr>
          <w:rFonts w:hint="cs"/>
          <w:rtl/>
        </w:rPr>
        <w:t xml:space="preserve">לאור האמור, עתר הסניגור למקם את הנאשם בחלקו התחתון של המתחם לו עתר בתיק העיקרי, ולחפוף את העונש שיושת עליו בתיקי הצירוף. </w:t>
      </w:r>
    </w:p>
    <w:p w14:paraId="15DEAEA4" w14:textId="77777777" w:rsidR="00912DF6" w:rsidRDefault="00912DF6" w:rsidP="00912DF6">
      <w:pPr>
        <w:spacing w:line="360" w:lineRule="auto"/>
        <w:ind w:left="720" w:hanging="720"/>
        <w:jc w:val="both"/>
        <w:rPr>
          <w:rtl/>
        </w:rPr>
      </w:pPr>
    </w:p>
    <w:p w14:paraId="1ADE94A9" w14:textId="77777777" w:rsidR="00912DF6" w:rsidRDefault="00912DF6" w:rsidP="00912DF6">
      <w:pPr>
        <w:spacing w:line="360" w:lineRule="auto"/>
        <w:ind w:left="720" w:hanging="720"/>
        <w:jc w:val="both"/>
        <w:rPr>
          <w:rtl/>
        </w:rPr>
      </w:pPr>
      <w:r>
        <w:rPr>
          <w:rFonts w:hint="cs"/>
          <w:rtl/>
        </w:rPr>
        <w:t xml:space="preserve">7. </w:t>
      </w:r>
      <w:r>
        <w:rPr>
          <w:rFonts w:hint="cs"/>
          <w:rtl/>
        </w:rPr>
        <w:tab/>
      </w:r>
      <w:r>
        <w:rPr>
          <w:rFonts w:hint="cs"/>
          <w:b/>
          <w:bCs/>
          <w:rtl/>
        </w:rPr>
        <w:t>הנאשם</w:t>
      </w:r>
      <w:r>
        <w:rPr>
          <w:rFonts w:hint="cs"/>
          <w:rtl/>
        </w:rPr>
        <w:t xml:space="preserve"> הביע חרטה על מעשיו וביקש הזדמנות לפתוח דף חדש בחייו.  </w:t>
      </w:r>
    </w:p>
    <w:p w14:paraId="67F9CB05" w14:textId="77777777" w:rsidR="00912DF6" w:rsidRDefault="00912DF6" w:rsidP="00912DF6">
      <w:pPr>
        <w:spacing w:line="360" w:lineRule="auto"/>
        <w:ind w:left="720" w:hanging="720"/>
        <w:jc w:val="both"/>
        <w:rPr>
          <w:rtl/>
        </w:rPr>
      </w:pPr>
    </w:p>
    <w:p w14:paraId="74EE5E6C" w14:textId="77777777" w:rsidR="00912DF6" w:rsidRDefault="00912DF6" w:rsidP="00912DF6">
      <w:pPr>
        <w:spacing w:line="360" w:lineRule="auto"/>
        <w:ind w:left="720" w:hanging="720"/>
        <w:jc w:val="both"/>
        <w:rPr>
          <w:rtl/>
        </w:rPr>
      </w:pPr>
      <w:r>
        <w:rPr>
          <w:rtl/>
        </w:rPr>
        <w:tab/>
      </w:r>
      <w:r w:rsidRPr="00577FA9">
        <w:rPr>
          <w:rFonts w:hint="cs"/>
          <w:b/>
          <w:bCs/>
          <w:sz w:val="28"/>
          <w:szCs w:val="28"/>
          <w:u w:val="single"/>
          <w:rtl/>
        </w:rPr>
        <w:t>דיון והכרעה</w:t>
      </w:r>
    </w:p>
    <w:p w14:paraId="77A94CBE" w14:textId="77777777" w:rsidR="00912DF6" w:rsidRDefault="00912DF6" w:rsidP="00912DF6">
      <w:pPr>
        <w:spacing w:line="360" w:lineRule="auto"/>
        <w:ind w:left="720" w:hanging="720"/>
        <w:jc w:val="both"/>
        <w:rPr>
          <w:rtl/>
        </w:rPr>
      </w:pPr>
    </w:p>
    <w:p w14:paraId="34F20A70" w14:textId="77777777" w:rsidR="00912DF6" w:rsidRPr="00577FA9" w:rsidRDefault="00912DF6" w:rsidP="00912DF6">
      <w:pPr>
        <w:spacing w:line="360" w:lineRule="auto"/>
        <w:ind w:left="720" w:hanging="720"/>
        <w:jc w:val="both"/>
        <w:rPr>
          <w:u w:val="single"/>
          <w:rtl/>
        </w:rPr>
      </w:pPr>
      <w:r>
        <w:rPr>
          <w:rtl/>
        </w:rPr>
        <w:tab/>
      </w:r>
      <w:r>
        <w:rPr>
          <w:rFonts w:hint="cs"/>
          <w:u w:val="single"/>
          <w:rtl/>
        </w:rPr>
        <w:t>מתחם העונש ההולם</w:t>
      </w:r>
    </w:p>
    <w:p w14:paraId="44873671" w14:textId="77777777" w:rsidR="00912DF6" w:rsidRDefault="00912DF6" w:rsidP="00912DF6">
      <w:pPr>
        <w:spacing w:line="360" w:lineRule="auto"/>
        <w:ind w:left="720" w:hanging="720"/>
        <w:jc w:val="both"/>
        <w:rPr>
          <w:rtl/>
        </w:rPr>
      </w:pPr>
    </w:p>
    <w:p w14:paraId="12405908" w14:textId="77777777" w:rsidR="00912DF6" w:rsidRDefault="00912DF6" w:rsidP="00912DF6">
      <w:pPr>
        <w:spacing w:line="360" w:lineRule="auto"/>
        <w:ind w:left="720" w:hanging="720"/>
        <w:jc w:val="both"/>
        <w:rPr>
          <w:rtl/>
        </w:rPr>
      </w:pPr>
      <w:r>
        <w:rPr>
          <w:rFonts w:hint="cs"/>
          <w:rtl/>
        </w:rPr>
        <w:t>8.</w:t>
      </w:r>
      <w:r>
        <w:rPr>
          <w:rtl/>
        </w:rPr>
        <w:tab/>
      </w:r>
      <w:r>
        <w:rPr>
          <w:rFonts w:hint="cs"/>
          <w:rtl/>
        </w:rPr>
        <w:t xml:space="preserve">הנאשם הורשע בעבירות בעלות חומרה משמעותית הן בתיק העיקרי והן בתיקי הצירוף. </w:t>
      </w:r>
    </w:p>
    <w:p w14:paraId="49A4426D" w14:textId="77777777" w:rsidR="00912DF6" w:rsidRDefault="00912DF6" w:rsidP="00912DF6">
      <w:pPr>
        <w:spacing w:line="360" w:lineRule="auto"/>
        <w:ind w:left="720" w:hanging="720"/>
        <w:jc w:val="both"/>
        <w:rPr>
          <w:rtl/>
        </w:rPr>
      </w:pPr>
    </w:p>
    <w:p w14:paraId="3D95241E" w14:textId="77777777" w:rsidR="00912DF6" w:rsidRDefault="00912DF6" w:rsidP="00912DF6">
      <w:pPr>
        <w:spacing w:line="360" w:lineRule="auto"/>
        <w:ind w:left="720"/>
        <w:jc w:val="both"/>
        <w:rPr>
          <w:rtl/>
        </w:rPr>
      </w:pPr>
      <w:r w:rsidRPr="003C10C3">
        <w:rPr>
          <w:rFonts w:hint="cs"/>
          <w:u w:val="single"/>
          <w:rtl/>
        </w:rPr>
        <w:t>בהתייחס לתיק העיקרי</w:t>
      </w:r>
      <w:r>
        <w:rPr>
          <w:rFonts w:hint="cs"/>
          <w:rtl/>
        </w:rPr>
        <w:t xml:space="preserve"> - הרי שעבירות נשק הן עבירות חמורות מעצם טיבן ומהותן. הן טומנות בחובן פוטנציאל להסלמה עבריינית ולסכנה ממשית לציבור, מהוות את התשתית לביצוע מגוון רחב של עבירות הגוררות פגיעה בגוף, בנפש וברכוש, ופוגעות בערכים החברתיים הבסיסיים ביותר שעניינם הגנה על שלום הציבור וביטחונו ועל הסדר החברתי (</w:t>
      </w:r>
      <w:hyperlink r:id="rId20" w:history="1">
        <w:r w:rsidR="008314CF" w:rsidRPr="008314CF">
          <w:rPr>
            <w:color w:val="0000FF"/>
            <w:u w:val="single"/>
            <w:rtl/>
          </w:rPr>
          <w:t>ע"פ 3156/11</w:t>
        </w:r>
      </w:hyperlink>
      <w:r>
        <w:rPr>
          <w:rFonts w:hint="cs"/>
          <w:rtl/>
        </w:rPr>
        <w:t xml:space="preserve"> </w:t>
      </w:r>
      <w:r>
        <w:rPr>
          <w:rFonts w:hint="cs"/>
          <w:b/>
          <w:bCs/>
          <w:rtl/>
        </w:rPr>
        <w:t>זראיעה נ' מדינת ישראל</w:t>
      </w:r>
      <w:r>
        <w:rPr>
          <w:rFonts w:hint="cs"/>
          <w:rtl/>
        </w:rPr>
        <w:t xml:space="preserve">, פס' 5 (21.2.2012); </w:t>
      </w:r>
      <w:hyperlink r:id="rId21" w:history="1">
        <w:r w:rsidR="008314CF" w:rsidRPr="008314CF">
          <w:rPr>
            <w:color w:val="0000FF"/>
            <w:u w:val="single"/>
            <w:rtl/>
          </w:rPr>
          <w:t>ע"פ 4406/19</w:t>
        </w:r>
      </w:hyperlink>
      <w:r>
        <w:rPr>
          <w:rFonts w:hint="cs"/>
          <w:rtl/>
        </w:rPr>
        <w:t xml:space="preserve"> </w:t>
      </w:r>
      <w:r>
        <w:rPr>
          <w:rFonts w:hint="cs"/>
          <w:b/>
          <w:bCs/>
          <w:rtl/>
        </w:rPr>
        <w:t>מדינת ישראל נ' סובח</w:t>
      </w:r>
      <w:r>
        <w:rPr>
          <w:rFonts w:hint="cs"/>
          <w:rtl/>
        </w:rPr>
        <w:t xml:space="preserve"> (5.11.2019)).  </w:t>
      </w:r>
    </w:p>
    <w:p w14:paraId="1D97688B" w14:textId="77777777" w:rsidR="00912DF6" w:rsidRDefault="00912DF6" w:rsidP="00912DF6">
      <w:pPr>
        <w:spacing w:line="360" w:lineRule="auto"/>
        <w:jc w:val="both"/>
        <w:rPr>
          <w:rtl/>
        </w:rPr>
      </w:pPr>
    </w:p>
    <w:p w14:paraId="54926793" w14:textId="77777777" w:rsidR="00912DF6" w:rsidRDefault="00912DF6" w:rsidP="00912DF6">
      <w:pPr>
        <w:spacing w:line="360" w:lineRule="auto"/>
        <w:ind w:left="720"/>
        <w:jc w:val="both"/>
        <w:rPr>
          <w:rtl/>
        </w:rPr>
      </w:pPr>
      <w:r>
        <w:rPr>
          <w:rFonts w:hint="cs"/>
          <w:rtl/>
        </w:rPr>
        <w:t>הנאשם רץ בשעות הערב בסביבת מגורים בטבורה של עיר כשהוא נושא בידו אקדח דרוך. כתב האישום לא מציין את הרקע לנשיאת האקדח או נתון בדבר כוונה לעשות בו שימוש, ואולם אין בכך כדי לגרוע מפוטנציאל הנזק הגלום בעבירה, שכן "</w:t>
      </w:r>
      <w:r>
        <w:rPr>
          <w:rFonts w:hint="cs"/>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w:t>
      </w:r>
      <w:hyperlink r:id="rId22" w:history="1">
        <w:r w:rsidR="008314CF" w:rsidRPr="008314CF">
          <w:rPr>
            <w:color w:val="0000FF"/>
            <w:u w:val="single"/>
            <w:rtl/>
          </w:rPr>
          <w:t>ע"פ 4945/13</w:t>
        </w:r>
      </w:hyperlink>
      <w:r>
        <w:rPr>
          <w:rFonts w:hint="cs"/>
          <w:rtl/>
        </w:rPr>
        <w:t xml:space="preserve"> </w:t>
      </w:r>
      <w:r>
        <w:rPr>
          <w:rFonts w:hint="cs"/>
          <w:b/>
          <w:bCs/>
          <w:rtl/>
        </w:rPr>
        <w:t>מדינת ישראל נ' סלימאן</w:t>
      </w:r>
      <w:r>
        <w:rPr>
          <w:rFonts w:hint="cs"/>
          <w:rtl/>
        </w:rPr>
        <w:t>, פס' 11 לפסק דינה של כב' השופטת ע' ארבל</w:t>
      </w:r>
      <w:r>
        <w:rPr>
          <w:rFonts w:hint="cs"/>
          <w:b/>
          <w:bCs/>
          <w:rtl/>
        </w:rPr>
        <w:t xml:space="preserve"> </w:t>
      </w:r>
      <w:r>
        <w:rPr>
          <w:rFonts w:hint="cs"/>
          <w:rtl/>
        </w:rPr>
        <w:t xml:space="preserve">(19.1.2014)).  </w:t>
      </w:r>
    </w:p>
    <w:p w14:paraId="0F9C4C65" w14:textId="77777777" w:rsidR="00912DF6" w:rsidRDefault="00912DF6" w:rsidP="00912DF6">
      <w:pPr>
        <w:spacing w:line="360" w:lineRule="auto"/>
        <w:ind w:left="720" w:hanging="720"/>
        <w:jc w:val="both"/>
        <w:rPr>
          <w:rtl/>
        </w:rPr>
      </w:pPr>
    </w:p>
    <w:p w14:paraId="7A2B77EF" w14:textId="77777777" w:rsidR="00912DF6" w:rsidRDefault="00912DF6" w:rsidP="00912DF6">
      <w:pPr>
        <w:spacing w:line="360" w:lineRule="auto"/>
        <w:ind w:left="720" w:hanging="720"/>
        <w:jc w:val="both"/>
        <w:rPr>
          <w:rFonts w:ascii="FrankRuehl" w:hAnsi="FrankRuehl"/>
          <w:sz w:val="28"/>
          <w:rtl/>
        </w:rPr>
      </w:pPr>
      <w:r>
        <w:rPr>
          <w:rtl/>
        </w:rPr>
        <w:tab/>
      </w:r>
      <w:r>
        <w:rPr>
          <w:rFonts w:hint="cs"/>
          <w:rtl/>
        </w:rPr>
        <w:t>יחד עם זאת, ומבלי לפגום בתוקפם של הדברים, בית המשפט העליון קבע לא פעם כי מתחם העונש ההולם בעבירות נשק צריך לשקלל גם את סוג הנשק שבו מדובר, "</w:t>
      </w:r>
      <w:r w:rsidRPr="00103075">
        <w:rPr>
          <w:rFonts w:ascii="FrankRuehl" w:hAnsi="FrankRuehl"/>
          <w:b/>
          <w:bCs/>
          <w:sz w:val="28"/>
          <w:rtl/>
        </w:rPr>
        <w:t xml:space="preserve">שהרי, </w:t>
      </w:r>
      <w:r w:rsidRPr="00103075">
        <w:rPr>
          <w:rFonts w:cs="Miriam"/>
          <w:b/>
          <w:bCs/>
          <w:sz w:val="28"/>
          <w:rtl/>
        </w:rPr>
        <w:t>סוג הנשק</w:t>
      </w:r>
      <w:r w:rsidRPr="00103075">
        <w:rPr>
          <w:rFonts w:ascii="FrankRuehl" w:hAnsi="FrankRuehl"/>
          <w:b/>
          <w:bCs/>
          <w:sz w:val="28"/>
          <w:rtl/>
        </w:rPr>
        <w:t xml:space="preserve">, כמו-גם </w:t>
      </w:r>
      <w:r w:rsidRPr="00103075">
        <w:rPr>
          <w:rFonts w:cs="Miriam"/>
          <w:b/>
          <w:bCs/>
          <w:sz w:val="28"/>
          <w:rtl/>
        </w:rPr>
        <w:t>ההיקף</w:t>
      </w:r>
      <w:r w:rsidRPr="00103075">
        <w:rPr>
          <w:rFonts w:ascii="FrankRuehl" w:hAnsi="FrankRuehl"/>
          <w:b/>
          <w:bCs/>
          <w:sz w:val="28"/>
          <w:rtl/>
        </w:rPr>
        <w:t xml:space="preserve"> שבו נסחר, הוחזק, הובל וכיוצא באלה, הם </w:t>
      </w:r>
      <w:r w:rsidRPr="00103075">
        <w:rPr>
          <w:rFonts w:cs="Miriam"/>
          <w:b/>
          <w:bCs/>
          <w:sz w:val="28"/>
          <w:rtl/>
        </w:rPr>
        <w:t xml:space="preserve">נסיבות הקשורות בביצוע העבירה </w:t>
      </w:r>
      <w:r w:rsidRPr="00103075">
        <w:rPr>
          <w:rFonts w:ascii="FrankRuehl" w:hAnsi="FrankRuehl"/>
          <w:b/>
          <w:bCs/>
          <w:sz w:val="28"/>
          <w:rtl/>
        </w:rPr>
        <w:t>והם שקובעים את פוטנציאל הנזק הכרוך במעשה העבירה</w:t>
      </w:r>
      <w:r>
        <w:rPr>
          <w:rFonts w:ascii="FrankRuehl" w:hAnsi="FrankRuehl" w:hint="cs"/>
          <w:b/>
          <w:bCs/>
          <w:sz w:val="28"/>
          <w:rtl/>
        </w:rPr>
        <w:t xml:space="preserve"> [..</w:t>
      </w:r>
      <w:r w:rsidRPr="00103075">
        <w:rPr>
          <w:rFonts w:ascii="FrankRuehl" w:hAnsi="FrankRuehl"/>
          <w:b/>
          <w:bCs/>
          <w:sz w:val="28"/>
          <w:rtl/>
        </w:rPr>
        <w:t>.</w:t>
      </w:r>
      <w:r>
        <w:rPr>
          <w:rFonts w:ascii="FrankRuehl" w:hAnsi="FrankRuehl" w:hint="cs"/>
          <w:b/>
          <w:bCs/>
          <w:sz w:val="28"/>
          <w:rtl/>
        </w:rPr>
        <w:t>]</w:t>
      </w:r>
      <w:r w:rsidRPr="00103075">
        <w:rPr>
          <w:rFonts w:ascii="FrankRuehl" w:hAnsi="FrankRuehl"/>
          <w:b/>
          <w:bCs/>
          <w:sz w:val="28"/>
          <w:rtl/>
        </w:rPr>
        <w:t xml:space="preserve"> למעשה, אין כל חידוש בקביעה כי קיים מדרג ענישה בעבירות המבוצעות בנשק, הנקבע, בין השאר, על-פי סוג, איכות וכמות הנשק שנעשה בו שימוש</w:t>
      </w:r>
      <w:r>
        <w:rPr>
          <w:rFonts w:ascii="FrankRuehl" w:hAnsi="FrankRuehl" w:hint="cs"/>
          <w:sz w:val="28"/>
          <w:rtl/>
        </w:rPr>
        <w:t>" [ההדגשות במקור - ב.ש] (</w:t>
      </w:r>
      <w:hyperlink r:id="rId23" w:history="1">
        <w:r w:rsidR="008314CF" w:rsidRPr="008314CF">
          <w:rPr>
            <w:rFonts w:ascii="FrankRuehl" w:hAnsi="FrankRuehl"/>
            <w:color w:val="0000FF"/>
            <w:sz w:val="28"/>
            <w:u w:val="single"/>
            <w:rtl/>
          </w:rPr>
          <w:t>ע"פ 1323/13</w:t>
        </w:r>
      </w:hyperlink>
      <w:r>
        <w:rPr>
          <w:rFonts w:ascii="FrankRuehl" w:hAnsi="FrankRuehl" w:hint="cs"/>
          <w:sz w:val="28"/>
          <w:rtl/>
        </w:rPr>
        <w:t xml:space="preserve"> </w:t>
      </w:r>
      <w:r>
        <w:rPr>
          <w:rFonts w:ascii="FrankRuehl" w:hAnsi="FrankRuehl" w:hint="cs"/>
          <w:b/>
          <w:bCs/>
          <w:sz w:val="28"/>
          <w:rtl/>
        </w:rPr>
        <w:t>חסן נ' מדינת ישראל</w:t>
      </w:r>
      <w:r>
        <w:rPr>
          <w:rFonts w:ascii="FrankRuehl" w:hAnsi="FrankRuehl" w:hint="cs"/>
          <w:sz w:val="28"/>
          <w:rtl/>
        </w:rPr>
        <w:t xml:space="preserve">, פס' 10 (5.6.2013) (להלן - </w:t>
      </w:r>
      <w:r>
        <w:rPr>
          <w:rFonts w:ascii="FrankRuehl" w:hAnsi="FrankRuehl" w:hint="cs"/>
          <w:b/>
          <w:bCs/>
          <w:sz w:val="28"/>
          <w:rtl/>
        </w:rPr>
        <w:t>עניין חסן</w:t>
      </w:r>
      <w:r>
        <w:rPr>
          <w:rFonts w:ascii="FrankRuehl" w:hAnsi="FrankRuehl" w:hint="cs"/>
          <w:sz w:val="28"/>
          <w:rtl/>
        </w:rPr>
        <w:t xml:space="preserve">). </w:t>
      </w:r>
    </w:p>
    <w:p w14:paraId="70A50355" w14:textId="77777777" w:rsidR="00912DF6" w:rsidRDefault="00912DF6" w:rsidP="00912DF6">
      <w:pPr>
        <w:spacing w:line="360" w:lineRule="auto"/>
        <w:ind w:left="720" w:hanging="720"/>
        <w:jc w:val="both"/>
        <w:rPr>
          <w:rFonts w:ascii="FrankRuehl" w:hAnsi="FrankRuehl"/>
          <w:sz w:val="28"/>
          <w:rtl/>
        </w:rPr>
      </w:pPr>
    </w:p>
    <w:p w14:paraId="057DC94C" w14:textId="77777777" w:rsidR="00912DF6" w:rsidRDefault="00912DF6" w:rsidP="00912DF6">
      <w:pPr>
        <w:spacing w:line="360" w:lineRule="auto"/>
        <w:ind w:left="720" w:hanging="720"/>
        <w:jc w:val="both"/>
        <w:rPr>
          <w:rtl/>
        </w:rPr>
      </w:pPr>
      <w:r>
        <w:rPr>
          <w:rFonts w:ascii="FrankRuehl" w:hAnsi="FrankRuehl" w:hint="cs"/>
          <w:sz w:val="28"/>
          <w:rtl/>
        </w:rPr>
        <w:t xml:space="preserve">9. </w:t>
      </w:r>
      <w:r>
        <w:rPr>
          <w:rFonts w:ascii="FrankRuehl" w:hAnsi="FrankRuehl" w:hint="cs"/>
          <w:sz w:val="28"/>
          <w:rtl/>
        </w:rPr>
        <w:tab/>
        <w:t xml:space="preserve">בנוסף לאמור, יש לקחת בחשבון את העובדה כי בפועל, הנאשם לא עשה שימוש באקדח ולא נגרם נזק ממשי בגין העבירה בה הורשע הנאשם. </w:t>
      </w:r>
    </w:p>
    <w:p w14:paraId="45A00E00" w14:textId="77777777" w:rsidR="00912DF6" w:rsidRDefault="00912DF6" w:rsidP="00912DF6">
      <w:pPr>
        <w:spacing w:line="360" w:lineRule="auto"/>
        <w:ind w:left="720" w:hanging="720"/>
        <w:jc w:val="both"/>
        <w:rPr>
          <w:rtl/>
        </w:rPr>
      </w:pPr>
    </w:p>
    <w:p w14:paraId="2845E1FB" w14:textId="77777777" w:rsidR="00912DF6" w:rsidRDefault="00912DF6" w:rsidP="00912DF6">
      <w:pPr>
        <w:spacing w:line="360" w:lineRule="auto"/>
        <w:ind w:left="720" w:hanging="720"/>
        <w:jc w:val="both"/>
        <w:rPr>
          <w:rtl/>
        </w:rPr>
      </w:pPr>
      <w:r>
        <w:rPr>
          <w:rFonts w:hint="cs"/>
          <w:rtl/>
        </w:rPr>
        <w:tab/>
        <w:t>בשנים האחרונות מסתמנת בפסיקה מגמה ברורה וניכרת של החמרה בעונשם של המורשעים בעבירות נשק, במטרה להרתיע</w:t>
      </w:r>
      <w:r w:rsidRPr="00674A92">
        <w:rPr>
          <w:rtl/>
        </w:rPr>
        <w:t xml:space="preserve"> ולקדם את מיגור התופעה</w:t>
      </w:r>
      <w:r>
        <w:rPr>
          <w:rFonts w:hint="cs"/>
          <w:rtl/>
        </w:rPr>
        <w:t>:</w:t>
      </w:r>
    </w:p>
    <w:p w14:paraId="1BFB14B5" w14:textId="77777777" w:rsidR="00912DF6" w:rsidRDefault="00912DF6" w:rsidP="00912DF6">
      <w:pPr>
        <w:spacing w:line="360" w:lineRule="auto"/>
        <w:ind w:left="720" w:hanging="720"/>
        <w:jc w:val="both"/>
        <w:rPr>
          <w:rtl/>
        </w:rPr>
      </w:pPr>
    </w:p>
    <w:p w14:paraId="0A5611EA" w14:textId="77777777" w:rsidR="00912DF6" w:rsidRDefault="00912DF6" w:rsidP="00912DF6">
      <w:pPr>
        <w:spacing w:line="360" w:lineRule="auto"/>
        <w:ind w:left="720"/>
        <w:jc w:val="both"/>
        <w:rPr>
          <w:rtl/>
        </w:rPr>
      </w:pPr>
      <w:r w:rsidRPr="00674A92">
        <w:rPr>
          <w:rtl/>
        </w:rPr>
        <w:t>"</w:t>
      </w:r>
      <w:r w:rsidRPr="00D1311C">
        <w:rPr>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674A92">
        <w:rPr>
          <w:rtl/>
        </w:rPr>
        <w:t>"</w:t>
      </w:r>
      <w:r>
        <w:rPr>
          <w:rFonts w:hint="cs"/>
          <w:rtl/>
        </w:rPr>
        <w:t xml:space="preserve"> (עניין חסן, פס' 12; </w:t>
      </w:r>
      <w:r w:rsidRPr="00557ECA">
        <w:rPr>
          <w:rFonts w:hint="cs"/>
          <w:u w:val="single"/>
          <w:rtl/>
        </w:rPr>
        <w:t>וראו גם</w:t>
      </w:r>
      <w:r>
        <w:rPr>
          <w:rFonts w:hint="cs"/>
          <w:rtl/>
        </w:rPr>
        <w:t xml:space="preserve">: </w:t>
      </w:r>
      <w:hyperlink r:id="rId24" w:history="1">
        <w:r w:rsidR="008314CF" w:rsidRPr="008314CF">
          <w:rPr>
            <w:color w:val="0000FF"/>
            <w:u w:val="single"/>
            <w:rtl/>
          </w:rPr>
          <w:t>ע"פ 8045/17</w:t>
        </w:r>
      </w:hyperlink>
      <w:r>
        <w:rPr>
          <w:rFonts w:hint="cs"/>
          <w:rtl/>
        </w:rPr>
        <w:t xml:space="preserve"> </w:t>
      </w:r>
      <w:r>
        <w:rPr>
          <w:rFonts w:hint="cs"/>
          <w:b/>
          <w:bCs/>
          <w:rtl/>
        </w:rPr>
        <w:t>בראנסי נ' מדינת ישראל</w:t>
      </w:r>
      <w:r>
        <w:rPr>
          <w:rFonts w:hint="cs"/>
          <w:rtl/>
        </w:rPr>
        <w:t xml:space="preserve">, פס' 11 (16.8.2018);  </w:t>
      </w:r>
      <w:hyperlink r:id="rId25" w:history="1">
        <w:r w:rsidR="008314CF" w:rsidRPr="008314CF">
          <w:rPr>
            <w:color w:val="0000FF"/>
            <w:u w:val="single"/>
            <w:rtl/>
          </w:rPr>
          <w:t>ע"פ 7177/20</w:t>
        </w:r>
      </w:hyperlink>
      <w:r>
        <w:rPr>
          <w:rFonts w:hint="cs"/>
          <w:rtl/>
        </w:rPr>
        <w:t xml:space="preserve"> </w:t>
      </w:r>
      <w:r>
        <w:rPr>
          <w:rFonts w:hint="cs"/>
          <w:b/>
          <w:bCs/>
          <w:rtl/>
        </w:rPr>
        <w:t>כנעאן נ' מדינת ישראל</w:t>
      </w:r>
      <w:r>
        <w:rPr>
          <w:rFonts w:hint="cs"/>
          <w:rtl/>
        </w:rPr>
        <w:t xml:space="preserve">, פס' 2 (27.1.2021); </w:t>
      </w:r>
      <w:hyperlink r:id="rId26" w:history="1">
        <w:r w:rsidR="008314CF" w:rsidRPr="008314CF">
          <w:rPr>
            <w:color w:val="0000FF"/>
            <w:u w:val="single"/>
            <w:rtl/>
          </w:rPr>
          <w:t>ע"פ 5807/20</w:t>
        </w:r>
      </w:hyperlink>
      <w:r>
        <w:rPr>
          <w:rFonts w:hint="cs"/>
          <w:rtl/>
        </w:rPr>
        <w:t xml:space="preserve"> </w:t>
      </w:r>
      <w:r>
        <w:rPr>
          <w:rFonts w:hint="cs"/>
          <w:b/>
          <w:bCs/>
          <w:rtl/>
        </w:rPr>
        <w:t>שיבלי נ' מדינת ישראל</w:t>
      </w:r>
      <w:r>
        <w:rPr>
          <w:rFonts w:hint="cs"/>
          <w:rtl/>
        </w:rPr>
        <w:t xml:space="preserve">, פס' 8 (30.12.2020); </w:t>
      </w:r>
      <w:hyperlink r:id="rId27" w:history="1">
        <w:r w:rsidR="008314CF" w:rsidRPr="008314CF">
          <w:rPr>
            <w:color w:val="0000FF"/>
            <w:u w:val="single"/>
            <w:rtl/>
          </w:rPr>
          <w:t>ע"פ 2564/19</w:t>
        </w:r>
      </w:hyperlink>
      <w:r>
        <w:rPr>
          <w:rFonts w:hint="cs"/>
          <w:rtl/>
        </w:rPr>
        <w:t xml:space="preserve"> </w:t>
      </w:r>
      <w:r>
        <w:rPr>
          <w:rFonts w:hint="cs"/>
          <w:b/>
          <w:bCs/>
          <w:rtl/>
        </w:rPr>
        <w:t>אזברגה נ' מדינת ישראל</w:t>
      </w:r>
      <w:r>
        <w:rPr>
          <w:rFonts w:hint="cs"/>
          <w:rtl/>
        </w:rPr>
        <w:t>, פס' 10 (18.7.2019))</w:t>
      </w:r>
      <w:r w:rsidRPr="00674A92">
        <w:rPr>
          <w:rtl/>
        </w:rPr>
        <w:t>.</w:t>
      </w:r>
    </w:p>
    <w:p w14:paraId="22F9ED4A" w14:textId="77777777" w:rsidR="00912DF6" w:rsidRDefault="00912DF6" w:rsidP="00912DF6">
      <w:pPr>
        <w:spacing w:line="360" w:lineRule="auto"/>
        <w:jc w:val="both"/>
        <w:rPr>
          <w:rtl/>
        </w:rPr>
      </w:pPr>
    </w:p>
    <w:p w14:paraId="6910FAF5" w14:textId="77777777" w:rsidR="00912DF6" w:rsidRDefault="00912DF6" w:rsidP="00912DF6">
      <w:pPr>
        <w:spacing w:line="360" w:lineRule="auto"/>
        <w:jc w:val="both"/>
        <w:rPr>
          <w:rtl/>
        </w:rPr>
      </w:pPr>
      <w:r>
        <w:rPr>
          <w:rFonts w:hint="cs"/>
          <w:rtl/>
        </w:rPr>
        <w:t xml:space="preserve">10. </w:t>
      </w:r>
      <w:r>
        <w:rPr>
          <w:rtl/>
        </w:rPr>
        <w:tab/>
      </w:r>
      <w:r>
        <w:rPr>
          <w:rFonts w:hint="cs"/>
          <w:rtl/>
        </w:rPr>
        <w:t>מצאתי את פסקי הדין הבאים כרלוונטיים לצורך קביעת מתחם העונש ההולם:</w:t>
      </w:r>
    </w:p>
    <w:p w14:paraId="4B78895B" w14:textId="77777777" w:rsidR="00912DF6" w:rsidRDefault="00912DF6" w:rsidP="00912DF6">
      <w:pPr>
        <w:spacing w:line="360" w:lineRule="auto"/>
        <w:jc w:val="both"/>
        <w:rPr>
          <w:rtl/>
        </w:rPr>
      </w:pPr>
    </w:p>
    <w:p w14:paraId="6A3A47AA" w14:textId="77777777" w:rsidR="00912DF6" w:rsidRDefault="008314CF" w:rsidP="00912DF6">
      <w:pPr>
        <w:pStyle w:val="a9"/>
        <w:numPr>
          <w:ilvl w:val="0"/>
          <w:numId w:val="1"/>
        </w:numPr>
        <w:spacing w:line="360" w:lineRule="auto"/>
        <w:jc w:val="both"/>
      </w:pPr>
      <w:hyperlink r:id="rId28" w:history="1">
        <w:r w:rsidRPr="008314CF">
          <w:rPr>
            <w:color w:val="0000FF"/>
            <w:u w:val="single"/>
            <w:rtl/>
          </w:rPr>
          <w:t>ע"פ 7177/20</w:t>
        </w:r>
      </w:hyperlink>
      <w:r w:rsidR="00912DF6">
        <w:rPr>
          <w:rFonts w:hint="cs"/>
          <w:rtl/>
        </w:rPr>
        <w:t xml:space="preserve"> </w:t>
      </w:r>
      <w:r w:rsidR="00912DF6" w:rsidRPr="00041F7D">
        <w:rPr>
          <w:rFonts w:hint="cs"/>
          <w:b/>
          <w:bCs/>
          <w:rtl/>
        </w:rPr>
        <w:t>כנעאן נ' מדינת ישראל</w:t>
      </w:r>
      <w:r w:rsidR="00912DF6">
        <w:rPr>
          <w:rFonts w:hint="cs"/>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912DF6" w:rsidRPr="00041F7D">
        <w:rPr>
          <w:rFonts w:hint="cs"/>
          <w:b/>
          <w:bCs/>
          <w:rtl/>
        </w:rPr>
        <w:t>מתחם ענישה שנע בין 15 ל- 36 חודשי מאסר בפועל</w:t>
      </w:r>
      <w:r w:rsidR="00912DF6">
        <w:rPr>
          <w:rFonts w:hint="cs"/>
          <w:rtl/>
        </w:rPr>
        <w:t xml:space="preserve">, והשית על המערער </w:t>
      </w:r>
      <w:r w:rsidR="00912DF6" w:rsidRPr="00041F7D">
        <w:rPr>
          <w:rFonts w:hint="cs"/>
          <w:b/>
          <w:bCs/>
          <w:rtl/>
        </w:rPr>
        <w:t>24 חודשי מאסר בפועל</w:t>
      </w:r>
      <w:r w:rsidR="00912DF6">
        <w:rPr>
          <w:rFonts w:hint="cs"/>
          <w:rtl/>
        </w:rPr>
        <w:t xml:space="preserve">, לצד עונשים נלווים. בית המשפט העליון דחה ערעור על חומרת העונש. </w:t>
      </w:r>
    </w:p>
    <w:p w14:paraId="58DC3C44" w14:textId="77777777" w:rsidR="00912DF6" w:rsidRDefault="00912DF6" w:rsidP="00912DF6">
      <w:pPr>
        <w:pStyle w:val="a9"/>
        <w:spacing w:line="360" w:lineRule="auto"/>
        <w:jc w:val="both"/>
        <w:rPr>
          <w:rtl/>
        </w:rPr>
      </w:pPr>
    </w:p>
    <w:p w14:paraId="1400F20B" w14:textId="77777777" w:rsidR="00912DF6" w:rsidRPr="0073095E" w:rsidRDefault="008314CF" w:rsidP="00912DF6">
      <w:pPr>
        <w:pStyle w:val="a9"/>
        <w:numPr>
          <w:ilvl w:val="0"/>
          <w:numId w:val="1"/>
        </w:numPr>
        <w:spacing w:before="240" w:after="240" w:line="360" w:lineRule="auto"/>
        <w:jc w:val="both"/>
      </w:pPr>
      <w:hyperlink r:id="rId29" w:history="1">
        <w:r w:rsidRPr="008314CF">
          <w:rPr>
            <w:color w:val="0000FF"/>
            <w:u w:val="single"/>
            <w:rtl/>
          </w:rPr>
          <w:t>ע"פ 4135/16</w:t>
        </w:r>
      </w:hyperlink>
      <w:r w:rsidR="00912DF6" w:rsidRPr="0073095E">
        <w:rPr>
          <w:rFonts w:hint="cs"/>
          <w:rtl/>
        </w:rPr>
        <w:t xml:space="preserve"> </w:t>
      </w:r>
      <w:r w:rsidR="00912DF6" w:rsidRPr="0073095E">
        <w:rPr>
          <w:rFonts w:hint="cs"/>
          <w:b/>
          <w:bCs/>
          <w:rtl/>
        </w:rPr>
        <w:t xml:space="preserve">נאסר נ' מדינת ישראל </w:t>
      </w:r>
      <w:r w:rsidR="00912DF6" w:rsidRPr="0073095E">
        <w:rPr>
          <w:rFonts w:hint="cs"/>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912DF6" w:rsidRPr="0073095E">
        <w:rPr>
          <w:rFonts w:hint="cs"/>
          <w:b/>
          <w:bCs/>
          <w:rtl/>
        </w:rPr>
        <w:t>מתחם ענישה שנע בין 18 ל- 40 חודשי מאסר בפועל</w:t>
      </w:r>
      <w:r w:rsidR="00912DF6" w:rsidRPr="0073095E">
        <w:rPr>
          <w:rFonts w:hint="cs"/>
          <w:rtl/>
        </w:rPr>
        <w:t xml:space="preserve">. לעבירת הנהיגה בזמן פסילה נקבע מתחם ענישה שנע בין מאסר על תנאי ועד ל- 10 חודשי מאסר. על המערער הושת </w:t>
      </w:r>
      <w:r w:rsidR="00912DF6" w:rsidRPr="0073095E">
        <w:rPr>
          <w:rFonts w:hint="cs"/>
          <w:b/>
          <w:bCs/>
          <w:rtl/>
        </w:rPr>
        <w:t>עונש כולל של</w:t>
      </w:r>
      <w:r w:rsidR="00912DF6" w:rsidRPr="0073095E">
        <w:rPr>
          <w:rFonts w:hint="cs"/>
          <w:rtl/>
        </w:rPr>
        <w:t xml:space="preserve"> </w:t>
      </w:r>
      <w:r w:rsidR="00912DF6" w:rsidRPr="0073095E">
        <w:rPr>
          <w:rFonts w:hint="cs"/>
          <w:b/>
          <w:bCs/>
          <w:rtl/>
        </w:rPr>
        <w:t>30 חודשי מאסר בפועל</w:t>
      </w:r>
      <w:r w:rsidR="00912DF6" w:rsidRPr="0073095E">
        <w:rPr>
          <w:rFonts w:hint="cs"/>
          <w:rtl/>
        </w:rPr>
        <w:t xml:space="preserve"> (כן הופעל עונש מאסר על תנאי כך שבסך הכל הושת על המערער עונש של 36 חודשי מאסר בפועל). בית המשפט העליון דחה ערעור על חומרת העונש.  </w:t>
      </w:r>
    </w:p>
    <w:p w14:paraId="035254B6" w14:textId="77777777" w:rsidR="00912DF6" w:rsidRDefault="00912DF6" w:rsidP="00912DF6">
      <w:pPr>
        <w:pStyle w:val="a9"/>
        <w:spacing w:before="240" w:after="240" w:line="360" w:lineRule="auto"/>
        <w:jc w:val="both"/>
        <w:rPr>
          <w:rtl/>
        </w:rPr>
      </w:pPr>
    </w:p>
    <w:p w14:paraId="08886CE3" w14:textId="77777777" w:rsidR="00912DF6" w:rsidRDefault="008314CF" w:rsidP="00912DF6">
      <w:pPr>
        <w:pStyle w:val="a9"/>
        <w:numPr>
          <w:ilvl w:val="0"/>
          <w:numId w:val="1"/>
        </w:numPr>
        <w:spacing w:before="240" w:after="240" w:line="360" w:lineRule="auto"/>
        <w:jc w:val="both"/>
      </w:pPr>
      <w:hyperlink r:id="rId30" w:history="1">
        <w:r w:rsidRPr="008314CF">
          <w:rPr>
            <w:color w:val="0000FF"/>
            <w:u w:val="single"/>
            <w:rtl/>
          </w:rPr>
          <w:t>ע"פ 4982/15</w:t>
        </w:r>
      </w:hyperlink>
      <w:r w:rsidR="00912DF6">
        <w:rPr>
          <w:rFonts w:hint="cs"/>
          <w:rtl/>
        </w:rPr>
        <w:t xml:space="preserve"> </w:t>
      </w:r>
      <w:r w:rsidR="00912DF6">
        <w:rPr>
          <w:rFonts w:hint="cs"/>
          <w:b/>
          <w:bCs/>
          <w:rtl/>
        </w:rPr>
        <w:t xml:space="preserve">שחיטה נ' מדינת ישראל </w:t>
      </w:r>
      <w:r w:rsidR="00912DF6">
        <w:rPr>
          <w:rFonts w:hint="cs"/>
          <w:rtl/>
        </w:rPr>
        <w:t>(3.9.2015) - המערער הורשע על יסוד הודאתו בעבירה של נשיאת נשק בכך ש</w:t>
      </w:r>
      <w:r w:rsidR="00912DF6">
        <w:rPr>
          <w:rFonts w:ascii="FrankRuehl" w:hAnsi="FrankRuehl" w:hint="cs"/>
          <w:rtl/>
        </w:rPr>
        <w:t>החזיק ברכבו במקום מוצנע אקדח (שלא היה תקין) יחד עם מחסנית ריקה.</w:t>
      </w:r>
      <w:r w:rsidR="00912DF6">
        <w:rPr>
          <w:rFonts w:hint="cs"/>
          <w:rtl/>
        </w:rPr>
        <w:t xml:space="preserve"> בית המשפט המחוזי קבע </w:t>
      </w:r>
      <w:r w:rsidR="00912DF6">
        <w:rPr>
          <w:rFonts w:hint="cs"/>
          <w:b/>
          <w:bCs/>
          <w:rtl/>
        </w:rPr>
        <w:t>מתחם ענישה שנע בין 12 ל- 36 חודשי מאסר בפועל</w:t>
      </w:r>
      <w:r w:rsidR="00912DF6">
        <w:rPr>
          <w:rFonts w:hint="cs"/>
          <w:rtl/>
        </w:rPr>
        <w:t xml:space="preserve">, והשית על המערער 20 חודשי מאסר בפועל, לצד עונשים נלווים. בית המשפט העליון קיבל ערעור על חומרת העונש והעמיד את עונשו של המערער על </w:t>
      </w:r>
      <w:r w:rsidR="00912DF6">
        <w:rPr>
          <w:rFonts w:hint="cs"/>
          <w:b/>
          <w:bCs/>
          <w:rtl/>
        </w:rPr>
        <w:t>16 חודשי מאסר בפועל</w:t>
      </w:r>
      <w:r w:rsidR="00912DF6">
        <w:rPr>
          <w:rFonts w:hint="cs"/>
          <w:rtl/>
        </w:rPr>
        <w:t xml:space="preserve">. </w:t>
      </w:r>
    </w:p>
    <w:p w14:paraId="74C5FEBB" w14:textId="77777777" w:rsidR="00912DF6" w:rsidRDefault="00912DF6" w:rsidP="00912DF6">
      <w:pPr>
        <w:pStyle w:val="a9"/>
        <w:rPr>
          <w:rtl/>
        </w:rPr>
      </w:pPr>
    </w:p>
    <w:p w14:paraId="6ACA3A97" w14:textId="77777777" w:rsidR="00912DF6" w:rsidRDefault="00912DF6" w:rsidP="00912DF6">
      <w:pPr>
        <w:pStyle w:val="a9"/>
        <w:spacing w:before="240" w:after="240" w:line="360" w:lineRule="auto"/>
        <w:jc w:val="both"/>
        <w:rPr>
          <w:rtl/>
        </w:rPr>
      </w:pPr>
      <w:r>
        <w:rPr>
          <w:rFonts w:hint="cs"/>
          <w:rtl/>
        </w:rPr>
        <w:t>בהשוואה למקרה דנא, ענייננו חמור יותר שכן לא זו בלבד שהאקדח היה תקין; אלא שהנאשם נשא אותו בידו כשהוא טעון ודרוך, שעה שהוא רץ ברחוב באזור מגורים. בית המשפט העליון קבע בעניין שחיטה כי "</w:t>
      </w:r>
      <w:r>
        <w:rPr>
          <w:rFonts w:hint="cs"/>
          <w:b/>
          <w:bCs/>
          <w:rtl/>
        </w:rPr>
        <w:t>גם אם המחוקק אינו מבחין בין נשק תקין לשאינו תקין, תיתכן לכך רלבנטיות מסוימת לעניין העונש</w:t>
      </w:r>
      <w:r>
        <w:rPr>
          <w:rFonts w:hint="cs"/>
          <w:rtl/>
        </w:rPr>
        <w:t xml:space="preserve">".  </w:t>
      </w:r>
    </w:p>
    <w:p w14:paraId="6B36AEB6" w14:textId="77777777" w:rsidR="00912DF6" w:rsidRDefault="00912DF6" w:rsidP="00912DF6">
      <w:pPr>
        <w:pStyle w:val="a9"/>
        <w:spacing w:before="240" w:after="240" w:line="360" w:lineRule="auto"/>
        <w:jc w:val="both"/>
      </w:pPr>
      <w:r>
        <w:rPr>
          <w:rFonts w:hint="cs"/>
          <w:rtl/>
        </w:rPr>
        <w:t xml:space="preserve">    </w:t>
      </w:r>
    </w:p>
    <w:p w14:paraId="2BD95FB3" w14:textId="77777777" w:rsidR="00912DF6" w:rsidRDefault="008314CF" w:rsidP="00912DF6">
      <w:pPr>
        <w:pStyle w:val="a9"/>
        <w:numPr>
          <w:ilvl w:val="0"/>
          <w:numId w:val="1"/>
        </w:numPr>
        <w:spacing w:before="240" w:after="240" w:line="360" w:lineRule="auto"/>
        <w:jc w:val="both"/>
      </w:pPr>
      <w:hyperlink r:id="rId31" w:history="1">
        <w:r w:rsidRPr="008314CF">
          <w:rPr>
            <w:color w:val="0000FF"/>
            <w:u w:val="single"/>
            <w:rtl/>
          </w:rPr>
          <w:t>ע"פ 2892/13</w:t>
        </w:r>
      </w:hyperlink>
      <w:r w:rsidR="00912DF6">
        <w:rPr>
          <w:rFonts w:hint="cs"/>
          <w:rtl/>
        </w:rPr>
        <w:t xml:space="preserve"> </w:t>
      </w:r>
      <w:r w:rsidR="00912DF6">
        <w:rPr>
          <w:rFonts w:hint="cs"/>
          <w:b/>
          <w:bCs/>
          <w:rtl/>
        </w:rPr>
        <w:t xml:space="preserve">עודתאללה נ' מדינת ישראל </w:t>
      </w:r>
      <w:r w:rsidR="00912DF6">
        <w:rPr>
          <w:rFonts w:hint="cs"/>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912DF6">
        <w:rPr>
          <w:rFonts w:hint="cs"/>
          <w:b/>
          <w:bCs/>
          <w:rtl/>
        </w:rPr>
        <w:t>מתחם ענישה שנע בין 12 ל- 36 חודשי מאסר בפועל</w:t>
      </w:r>
      <w:r w:rsidR="00912DF6">
        <w:rPr>
          <w:rFonts w:hint="cs"/>
          <w:rtl/>
        </w:rPr>
        <w:t xml:space="preserve">, והשית על המערער </w:t>
      </w:r>
      <w:r w:rsidR="00912DF6">
        <w:rPr>
          <w:rFonts w:hint="cs"/>
          <w:b/>
          <w:bCs/>
          <w:rtl/>
        </w:rPr>
        <w:t>21 חודשי מאסר בפועל</w:t>
      </w:r>
      <w:r w:rsidR="00912DF6">
        <w:rPr>
          <w:rFonts w:hint="cs"/>
          <w:rtl/>
        </w:rPr>
        <w:t xml:space="preserve">, לצד עונשים נלווים. בית המשפט העליון דחה ערעור על חומרת העונש. </w:t>
      </w:r>
    </w:p>
    <w:p w14:paraId="4D3918F0" w14:textId="77777777" w:rsidR="00912DF6" w:rsidRDefault="00912DF6" w:rsidP="00912DF6">
      <w:pPr>
        <w:pStyle w:val="a9"/>
        <w:spacing w:before="240" w:after="240" w:line="360" w:lineRule="auto"/>
        <w:jc w:val="both"/>
        <w:rPr>
          <w:rtl/>
        </w:rPr>
      </w:pPr>
    </w:p>
    <w:p w14:paraId="227E90E5" w14:textId="77777777" w:rsidR="00912DF6" w:rsidRDefault="00912DF6" w:rsidP="00912DF6">
      <w:pPr>
        <w:pStyle w:val="a9"/>
        <w:spacing w:before="240" w:after="240" w:line="360" w:lineRule="auto"/>
        <w:jc w:val="both"/>
        <w:rPr>
          <w:rtl/>
        </w:rPr>
      </w:pPr>
      <w:r>
        <w:rPr>
          <w:rFonts w:hint="cs"/>
          <w:rtl/>
        </w:rPr>
        <w:t xml:space="preserve">לטעמי, המקרה שבפניי חמור יותר וזאת מהטעמים שפורטו לעיל, היינו - נשיאת האקדח כשהוא טעון ודרוך. </w:t>
      </w:r>
    </w:p>
    <w:p w14:paraId="6C8975A2" w14:textId="77777777" w:rsidR="00912DF6" w:rsidRDefault="00912DF6" w:rsidP="00912DF6">
      <w:pPr>
        <w:pStyle w:val="a9"/>
        <w:spacing w:before="240" w:after="240" w:line="360" w:lineRule="auto"/>
        <w:jc w:val="both"/>
        <w:rPr>
          <w:rtl/>
        </w:rPr>
      </w:pPr>
    </w:p>
    <w:p w14:paraId="7072BCE3" w14:textId="77777777" w:rsidR="00912DF6" w:rsidRDefault="008314CF" w:rsidP="00912DF6">
      <w:pPr>
        <w:pStyle w:val="a9"/>
        <w:numPr>
          <w:ilvl w:val="0"/>
          <w:numId w:val="1"/>
        </w:numPr>
        <w:spacing w:before="240" w:after="240" w:line="360" w:lineRule="auto"/>
        <w:jc w:val="both"/>
      </w:pPr>
      <w:hyperlink r:id="rId32" w:history="1">
        <w:r w:rsidRPr="008314CF">
          <w:rPr>
            <w:color w:val="0000FF"/>
            <w:u w:val="single"/>
            <w:rtl/>
          </w:rPr>
          <w:t>ת"פ (ת"א) 39500-07-20</w:t>
        </w:r>
      </w:hyperlink>
      <w:r w:rsidR="00912DF6">
        <w:rPr>
          <w:rFonts w:hint="cs"/>
          <w:rtl/>
        </w:rPr>
        <w:t xml:space="preserve"> </w:t>
      </w:r>
      <w:r w:rsidR="00912DF6">
        <w:rPr>
          <w:rFonts w:hint="cs"/>
          <w:b/>
          <w:bCs/>
          <w:rtl/>
        </w:rPr>
        <w:t xml:space="preserve">מדינת ישראל נ' אסרף </w:t>
      </w:r>
      <w:r w:rsidR="00912DF6">
        <w:rPr>
          <w:rFonts w:hint="cs"/>
          <w:rtl/>
        </w:rPr>
        <w:t xml:space="preserve">(23.2.2021) - הנאשם הורשע על יסוד הודאתו בעבירה של נשיאת נשק בכך שנסע בעיר חולון כשהוא מורכב על קטנוע ונושא עמו בתוך תיק צד אקדח טעון ב- 11 כדורים ודרוך. באותו מקרה קבעתי </w:t>
      </w:r>
      <w:r w:rsidR="00912DF6" w:rsidRPr="00FB7C2C">
        <w:rPr>
          <w:rFonts w:hint="cs"/>
          <w:b/>
          <w:bCs/>
          <w:rtl/>
        </w:rPr>
        <w:t>מתחם ענישה שנע בין 16 ל- 40 חודשי מאסר</w:t>
      </w:r>
      <w:r w:rsidR="00912DF6">
        <w:rPr>
          <w:rFonts w:hint="cs"/>
          <w:rtl/>
        </w:rPr>
        <w:t xml:space="preserve">, וגזרתי על הנאשם </w:t>
      </w:r>
      <w:r w:rsidR="00912DF6" w:rsidRPr="00FB7C2C">
        <w:rPr>
          <w:rFonts w:hint="cs"/>
          <w:b/>
          <w:bCs/>
          <w:rtl/>
        </w:rPr>
        <w:t>30 חודשי מאסר בפועל</w:t>
      </w:r>
      <w:r w:rsidR="00912DF6">
        <w:rPr>
          <w:rFonts w:hint="cs"/>
          <w:rtl/>
        </w:rPr>
        <w:t xml:space="preserve">, לצד עונשים נלווים. </w:t>
      </w:r>
    </w:p>
    <w:p w14:paraId="7CC5462C" w14:textId="77777777" w:rsidR="00912DF6" w:rsidRDefault="00912DF6" w:rsidP="00912DF6">
      <w:pPr>
        <w:pStyle w:val="a9"/>
        <w:spacing w:before="240" w:after="240" w:line="360" w:lineRule="auto"/>
        <w:jc w:val="both"/>
      </w:pPr>
    </w:p>
    <w:p w14:paraId="372213F9" w14:textId="77777777" w:rsidR="00912DF6" w:rsidRDefault="008314CF" w:rsidP="00912DF6">
      <w:pPr>
        <w:pStyle w:val="a9"/>
        <w:numPr>
          <w:ilvl w:val="0"/>
          <w:numId w:val="1"/>
        </w:numPr>
        <w:spacing w:before="240" w:after="240" w:line="360" w:lineRule="auto"/>
        <w:jc w:val="both"/>
      </w:pPr>
      <w:hyperlink r:id="rId33" w:history="1">
        <w:r w:rsidRPr="008314CF">
          <w:rPr>
            <w:color w:val="0000FF"/>
            <w:u w:val="single"/>
            <w:rtl/>
          </w:rPr>
          <w:t>ת"פ (ת"א) 38687-04-20</w:t>
        </w:r>
      </w:hyperlink>
      <w:r w:rsidR="00912DF6">
        <w:rPr>
          <w:rFonts w:hint="cs"/>
          <w:rtl/>
        </w:rPr>
        <w:t xml:space="preserve"> </w:t>
      </w:r>
      <w:r w:rsidR="00912DF6">
        <w:rPr>
          <w:rFonts w:hint="cs"/>
          <w:b/>
          <w:bCs/>
          <w:rtl/>
        </w:rPr>
        <w:t xml:space="preserve">מדינת ישראל נ' טוביה </w:t>
      </w:r>
      <w:r w:rsidR="00912DF6">
        <w:rPr>
          <w:rFonts w:hint="cs"/>
          <w:rtl/>
        </w:rPr>
        <w:t xml:space="preserve">(10.2.2021) - הנאשם הורשע על יסוד הודאתו בעבירה של נשיאת נשק, וזאת לאחר שנשא אקדח ומחסנית שהכילה ארבעה כדורים בזמן שהיה בתוך רכב נוסע ונמלט מהשוטרים רגלית לאחר שביקשו כי יעצור, שאז גם השליך את הנשק לחצר הסמוכה. במקרה זה נקבע על ידי </w:t>
      </w:r>
      <w:r w:rsidR="00912DF6">
        <w:rPr>
          <w:rFonts w:hint="cs"/>
          <w:b/>
          <w:bCs/>
          <w:rtl/>
        </w:rPr>
        <w:t>מתחם ענישה הנע בין 16 ל- 40 חודשי מאסר</w:t>
      </w:r>
      <w:r w:rsidR="00912DF6">
        <w:rPr>
          <w:rFonts w:hint="cs"/>
          <w:rtl/>
        </w:rPr>
        <w:t xml:space="preserve">, והוטל עונש של </w:t>
      </w:r>
      <w:r w:rsidR="00912DF6">
        <w:rPr>
          <w:rFonts w:hint="cs"/>
          <w:b/>
          <w:bCs/>
          <w:rtl/>
        </w:rPr>
        <w:t>30 חודשי מאסר בפועל</w:t>
      </w:r>
      <w:r w:rsidR="00912DF6">
        <w:rPr>
          <w:rFonts w:hint="cs"/>
          <w:rtl/>
        </w:rPr>
        <w:t xml:space="preserve">, לצד עונשים נלווים (תוך מתן משקל לעברו הפלילי של הנאשם). </w:t>
      </w:r>
    </w:p>
    <w:p w14:paraId="31651964" w14:textId="77777777" w:rsidR="00912DF6" w:rsidRDefault="008314CF" w:rsidP="00912DF6">
      <w:pPr>
        <w:pStyle w:val="a9"/>
        <w:numPr>
          <w:ilvl w:val="0"/>
          <w:numId w:val="1"/>
        </w:numPr>
        <w:spacing w:before="240" w:after="240" w:line="360" w:lineRule="auto"/>
        <w:jc w:val="both"/>
      </w:pPr>
      <w:hyperlink r:id="rId34" w:history="1">
        <w:r w:rsidRPr="008314CF">
          <w:rPr>
            <w:color w:val="0000FF"/>
            <w:u w:val="single"/>
            <w:rtl/>
          </w:rPr>
          <w:t>ת"פ (מרכז) 52416-06-20</w:t>
        </w:r>
      </w:hyperlink>
      <w:r w:rsidR="00912DF6">
        <w:rPr>
          <w:rFonts w:hint="cs"/>
          <w:rtl/>
        </w:rPr>
        <w:t xml:space="preserve"> </w:t>
      </w:r>
      <w:r w:rsidR="00912DF6">
        <w:rPr>
          <w:rFonts w:hint="cs"/>
          <w:b/>
          <w:bCs/>
          <w:rtl/>
        </w:rPr>
        <w:t>מדינת ישראל נ' מתאני</w:t>
      </w:r>
      <w:r w:rsidR="00912DF6">
        <w:rPr>
          <w:rFonts w:hint="cs"/>
          <w:rtl/>
        </w:rPr>
        <w:t xml:space="preserve"> (12.1.2021) -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912DF6">
        <w:rPr>
          <w:rFonts w:hint="cs"/>
          <w:b/>
          <w:bCs/>
          <w:rtl/>
        </w:rPr>
        <w:t>מתחם ענישה שנע בין 15 ל- 40 חודשי מאסר בפועל</w:t>
      </w:r>
      <w:r w:rsidR="00912DF6">
        <w:rPr>
          <w:rFonts w:hint="cs"/>
          <w:rtl/>
        </w:rPr>
        <w:t xml:space="preserve">, והשית על הנאשם </w:t>
      </w:r>
      <w:r w:rsidR="00912DF6">
        <w:rPr>
          <w:rFonts w:hint="cs"/>
          <w:b/>
          <w:bCs/>
          <w:rtl/>
        </w:rPr>
        <w:t>23 חודשי מאסר בפועל,</w:t>
      </w:r>
      <w:r w:rsidR="00912DF6">
        <w:rPr>
          <w:rFonts w:hint="cs"/>
          <w:rtl/>
        </w:rPr>
        <w:t xml:space="preserve"> לצד עונשים נלווים. </w:t>
      </w:r>
    </w:p>
    <w:p w14:paraId="0E8BD451" w14:textId="77777777" w:rsidR="00912DF6" w:rsidRDefault="00912DF6" w:rsidP="00912DF6">
      <w:pPr>
        <w:pStyle w:val="a9"/>
        <w:spacing w:before="240" w:after="240" w:line="360" w:lineRule="auto"/>
        <w:jc w:val="both"/>
      </w:pPr>
      <w:r>
        <w:rPr>
          <w:rFonts w:hint="cs"/>
          <w:rtl/>
        </w:rPr>
        <w:t xml:space="preserve"> </w:t>
      </w:r>
    </w:p>
    <w:p w14:paraId="255CE9BD" w14:textId="77777777" w:rsidR="00912DF6" w:rsidRDefault="008314CF" w:rsidP="00912DF6">
      <w:pPr>
        <w:pStyle w:val="a9"/>
        <w:numPr>
          <w:ilvl w:val="0"/>
          <w:numId w:val="1"/>
        </w:numPr>
        <w:spacing w:before="240" w:after="240" w:line="360" w:lineRule="auto"/>
        <w:jc w:val="both"/>
      </w:pPr>
      <w:hyperlink r:id="rId35" w:history="1">
        <w:r w:rsidRPr="008314CF">
          <w:rPr>
            <w:color w:val="0000FF"/>
            <w:u w:val="single"/>
            <w:rtl/>
          </w:rPr>
          <w:t>ת"פ (מרכז) 41522-05-18</w:t>
        </w:r>
      </w:hyperlink>
      <w:r w:rsidR="00912DF6">
        <w:rPr>
          <w:rFonts w:hint="cs"/>
          <w:rtl/>
        </w:rPr>
        <w:t xml:space="preserve"> </w:t>
      </w:r>
      <w:r w:rsidR="00912DF6">
        <w:rPr>
          <w:rFonts w:hint="cs"/>
          <w:b/>
          <w:bCs/>
          <w:rtl/>
        </w:rPr>
        <w:t>מדינת ישראל נ' אמיר אזברגה</w:t>
      </w:r>
      <w:r w:rsidR="00912DF6">
        <w:rPr>
          <w:rFonts w:hint="cs"/>
          <w:rtl/>
        </w:rPr>
        <w:t xml:space="preserve"> (10.8.2020) -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912DF6">
        <w:rPr>
          <w:rFonts w:hint="cs"/>
          <w:b/>
          <w:bCs/>
          <w:rtl/>
        </w:rPr>
        <w:t>מתחם ענישה שנע בין 16 ל- 40 חודשי מאסר בפועל</w:t>
      </w:r>
      <w:r w:rsidR="00912DF6">
        <w:rPr>
          <w:rFonts w:hint="cs"/>
          <w:rtl/>
        </w:rPr>
        <w:t xml:space="preserve">, והשית על הנאשם </w:t>
      </w:r>
      <w:r w:rsidR="00912DF6">
        <w:rPr>
          <w:rFonts w:hint="cs"/>
          <w:b/>
          <w:bCs/>
          <w:rtl/>
        </w:rPr>
        <w:t>21 חודשי מאסר בפועל</w:t>
      </w:r>
      <w:r w:rsidR="00912DF6">
        <w:rPr>
          <w:rFonts w:hint="cs"/>
          <w:rtl/>
        </w:rPr>
        <w:t xml:space="preserve">, לצד עונשים נלווים (ובסך הכל 26 חודשים כולל הפעלת מאסר על תנאי).  </w:t>
      </w:r>
    </w:p>
    <w:p w14:paraId="787FC7FB" w14:textId="77777777" w:rsidR="00912DF6" w:rsidRDefault="00912DF6" w:rsidP="00912DF6">
      <w:pPr>
        <w:pStyle w:val="a9"/>
        <w:spacing w:before="240" w:after="240" w:line="360" w:lineRule="auto"/>
        <w:jc w:val="both"/>
      </w:pPr>
    </w:p>
    <w:p w14:paraId="5927DD98" w14:textId="77777777" w:rsidR="00912DF6" w:rsidRDefault="008314CF" w:rsidP="00912DF6">
      <w:pPr>
        <w:pStyle w:val="a9"/>
        <w:numPr>
          <w:ilvl w:val="0"/>
          <w:numId w:val="1"/>
        </w:numPr>
        <w:spacing w:before="240" w:after="240" w:line="360" w:lineRule="auto"/>
        <w:jc w:val="both"/>
      </w:pPr>
      <w:hyperlink r:id="rId36" w:history="1">
        <w:r w:rsidRPr="008314CF">
          <w:rPr>
            <w:color w:val="0000FF"/>
            <w:u w:val="single"/>
            <w:rtl/>
          </w:rPr>
          <w:t>ת"פ (חי') 14115-07-19</w:t>
        </w:r>
      </w:hyperlink>
      <w:r w:rsidR="00912DF6">
        <w:rPr>
          <w:rFonts w:hint="cs"/>
          <w:rtl/>
        </w:rPr>
        <w:t xml:space="preserve"> </w:t>
      </w:r>
      <w:r w:rsidR="00912DF6">
        <w:rPr>
          <w:rFonts w:hint="cs"/>
          <w:b/>
          <w:bCs/>
          <w:rtl/>
        </w:rPr>
        <w:t>מדינת ישראל נ' מורשד ג'בארין</w:t>
      </w:r>
      <w:r w:rsidR="00912DF6">
        <w:rPr>
          <w:rFonts w:hint="cs"/>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912DF6">
        <w:rPr>
          <w:rFonts w:hint="cs"/>
          <w:b/>
          <w:bCs/>
          <w:rtl/>
        </w:rPr>
        <w:t>מתחם ענישה שנע בין 18 ל- 36 חודשי מאסר בפועל</w:t>
      </w:r>
      <w:r w:rsidR="00912DF6">
        <w:rPr>
          <w:rFonts w:hint="cs"/>
          <w:rtl/>
        </w:rPr>
        <w:t xml:space="preserve">, והשית עליו </w:t>
      </w:r>
      <w:r w:rsidR="00912DF6">
        <w:rPr>
          <w:rFonts w:hint="cs"/>
          <w:b/>
          <w:bCs/>
          <w:rtl/>
        </w:rPr>
        <w:t>20 חודשי מאסר בפועל</w:t>
      </w:r>
      <w:r w:rsidR="00912DF6">
        <w:rPr>
          <w:rFonts w:hint="cs"/>
          <w:rtl/>
        </w:rPr>
        <w:t xml:space="preserve">, לצד עונשים נלווים.  </w:t>
      </w:r>
    </w:p>
    <w:p w14:paraId="696D0255" w14:textId="77777777" w:rsidR="00912DF6" w:rsidRDefault="00912DF6" w:rsidP="00912DF6">
      <w:pPr>
        <w:spacing w:before="240" w:after="240" w:line="360" w:lineRule="auto"/>
        <w:ind w:left="720" w:hanging="720"/>
        <w:jc w:val="both"/>
        <w:rPr>
          <w:rtl/>
        </w:rPr>
      </w:pPr>
      <w:r>
        <w:rPr>
          <w:rFonts w:hint="cs"/>
          <w:rtl/>
        </w:rPr>
        <w:t>11.</w:t>
      </w:r>
      <w:r>
        <w:rPr>
          <w:rFonts w:hint="cs"/>
          <w:rtl/>
        </w:rPr>
        <w:tab/>
        <w:t xml:space="preserve">לאור האמור לעיל, ראיתי לקבוע מתחם ענישה בגין התיק העיקרי </w:t>
      </w:r>
      <w:r w:rsidRPr="00577FA9">
        <w:rPr>
          <w:rFonts w:hint="cs"/>
          <w:b/>
          <w:bCs/>
          <w:rtl/>
        </w:rPr>
        <w:t xml:space="preserve">הנע בין 16 </w:t>
      </w:r>
      <w:r>
        <w:rPr>
          <w:rFonts w:hint="cs"/>
          <w:b/>
          <w:bCs/>
          <w:rtl/>
        </w:rPr>
        <w:t xml:space="preserve">חודשי מאסר </w:t>
      </w:r>
      <w:r w:rsidRPr="00577FA9">
        <w:rPr>
          <w:rFonts w:hint="cs"/>
          <w:b/>
          <w:bCs/>
          <w:rtl/>
        </w:rPr>
        <w:t>ל- 40 חודשי מאסר</w:t>
      </w:r>
      <w:r>
        <w:rPr>
          <w:rFonts w:hint="cs"/>
          <w:rtl/>
        </w:rPr>
        <w:t xml:space="preserve">.  </w:t>
      </w:r>
    </w:p>
    <w:p w14:paraId="15FF6939" w14:textId="77777777" w:rsidR="00912DF6" w:rsidRDefault="00912DF6" w:rsidP="00912DF6">
      <w:pPr>
        <w:spacing w:before="240" w:after="240" w:line="360" w:lineRule="auto"/>
        <w:ind w:left="720" w:hanging="720"/>
        <w:jc w:val="both"/>
        <w:rPr>
          <w:rFonts w:ascii="David" w:hAnsi="David"/>
          <w:rtl/>
        </w:rPr>
      </w:pPr>
      <w:r>
        <w:rPr>
          <w:rFonts w:hint="cs"/>
          <w:rtl/>
        </w:rPr>
        <w:t>12.</w:t>
      </w:r>
      <w:r>
        <w:rPr>
          <w:rFonts w:hint="cs"/>
          <w:rtl/>
        </w:rPr>
        <w:tab/>
      </w:r>
      <w:r>
        <w:rPr>
          <w:rFonts w:hint="cs"/>
          <w:u w:val="single"/>
          <w:rtl/>
        </w:rPr>
        <w:t>בהתייחס לתיקי הצירוף</w:t>
      </w:r>
      <w:r>
        <w:rPr>
          <w:rFonts w:hint="cs"/>
          <w:rtl/>
        </w:rPr>
        <w:t xml:space="preserve"> - </w:t>
      </w:r>
      <w:r>
        <w:rPr>
          <w:rFonts w:ascii="David" w:hAnsi="David" w:hint="cs"/>
          <w:rtl/>
        </w:rPr>
        <w:t xml:space="preserve">עבירות הסמים בתיקים אלה </w:t>
      </w:r>
      <w:r>
        <w:rPr>
          <w:rFonts w:ascii="David" w:hAnsi="David"/>
          <w:rtl/>
        </w:rPr>
        <w:t>פוגע</w:t>
      </w:r>
      <w:r>
        <w:rPr>
          <w:rFonts w:ascii="David" w:hAnsi="David" w:hint="cs"/>
          <w:rtl/>
        </w:rPr>
        <w:t>ות</w:t>
      </w:r>
      <w:r>
        <w:rPr>
          <w:rFonts w:ascii="David" w:hAnsi="David"/>
          <w:rtl/>
        </w:rPr>
        <w:t xml:space="preserve"> במגוון </w:t>
      </w:r>
      <w:r w:rsidRPr="00EB5279">
        <w:rPr>
          <w:rFonts w:ascii="David" w:hAnsi="David"/>
          <w:rtl/>
        </w:rPr>
        <w:t>ערכים חברתיים,</w:t>
      </w:r>
      <w:r>
        <w:rPr>
          <w:rFonts w:ascii="David" w:hAnsi="David"/>
          <w:rtl/>
        </w:rPr>
        <w:t xml:space="preserve"> </w:t>
      </w:r>
      <w:r>
        <w:rPr>
          <w:rFonts w:ascii="David" w:hAnsi="David" w:hint="cs"/>
          <w:rtl/>
        </w:rPr>
        <w:t xml:space="preserve">שעיקרם </w:t>
      </w:r>
      <w:r>
        <w:rPr>
          <w:rFonts w:ascii="David" w:hAnsi="David"/>
          <w:rtl/>
        </w:rPr>
        <w:t xml:space="preserve">הגנה על הציבור מפני הנזקים הישירים </w:t>
      </w:r>
      <w:r>
        <w:rPr>
          <w:rFonts w:ascii="David" w:hAnsi="David" w:hint="cs"/>
          <w:rtl/>
        </w:rPr>
        <w:t xml:space="preserve">שנגרמים </w:t>
      </w:r>
      <w:r>
        <w:rPr>
          <w:rFonts w:ascii="David" w:hAnsi="David"/>
          <w:rtl/>
        </w:rPr>
        <w:t>לגופם של ה</w:t>
      </w:r>
      <w:r>
        <w:rPr>
          <w:rFonts w:ascii="David" w:hAnsi="David" w:hint="cs"/>
          <w:rtl/>
        </w:rPr>
        <w:t>משתמשים וה</w:t>
      </w:r>
      <w:r>
        <w:rPr>
          <w:rFonts w:ascii="David" w:hAnsi="David"/>
          <w:rtl/>
        </w:rPr>
        <w:t>צרכנים הפוטנציאליים, והנזקים העקיפים שנגרמים כתוצאה מביצוע עבירות רכוש ואלימות, הנלוות לצריכת הסם</w:t>
      </w:r>
      <w:r>
        <w:rPr>
          <w:rFonts w:ascii="David" w:hAnsi="David" w:hint="cs"/>
          <w:rtl/>
        </w:rPr>
        <w:t xml:space="preserve">. </w:t>
      </w:r>
    </w:p>
    <w:p w14:paraId="02746A3B" w14:textId="77777777" w:rsidR="00912DF6" w:rsidRDefault="00912DF6" w:rsidP="00912DF6">
      <w:pPr>
        <w:spacing w:before="240" w:after="240" w:line="360" w:lineRule="auto"/>
        <w:ind w:left="720"/>
        <w:jc w:val="both"/>
        <w:rPr>
          <w:rFonts w:ascii="David" w:hAnsi="David"/>
          <w:rtl/>
        </w:rPr>
      </w:pPr>
      <w:r>
        <w:rPr>
          <w:rFonts w:ascii="David" w:hAnsi="David" w:hint="cs"/>
          <w:rtl/>
        </w:rPr>
        <w:t xml:space="preserve">לצד הפגיעה בערכים אלו, יש ליתן את הדעת גם לסוג הסם - קוקאין, הידוע כסם מסוכן, הרסני וממכר; לכמות הסם בתיק הצירוף הראשון - החזקת 1.1789 גרם נטו לצריכה עצמית, ולכמות בתיק הצירוף השני - החזקת 2.08 גרם נטו וקנבוס במשקל 0.67 גרם שלא לצריכה עצמית; ולעובדה כי בתיק הצירוף השני נתפס גם כסף מזומן בסך 6,570 ₪. בהקשר זה, יש טעם מסוים בטענת התביעה, לפיה הנסיבות בתיק הצירוף השני </w:t>
      </w:r>
      <w:r>
        <w:rPr>
          <w:rFonts w:hint="cs"/>
          <w:rtl/>
        </w:rPr>
        <w:t xml:space="preserve">דומות לסחר. </w:t>
      </w:r>
      <w:r>
        <w:rPr>
          <w:rFonts w:ascii="David" w:hAnsi="David" w:hint="cs"/>
          <w:rtl/>
        </w:rPr>
        <w:t xml:space="preserve">גם העובדה כי מדובר בשתי הרשעות בעבירות סמים משוקללת במסגרת המתחם. </w:t>
      </w:r>
    </w:p>
    <w:p w14:paraId="471C0797" w14:textId="77777777" w:rsidR="00912DF6" w:rsidRDefault="00912DF6" w:rsidP="00912DF6">
      <w:pPr>
        <w:spacing w:before="240" w:after="240" w:line="360" w:lineRule="auto"/>
        <w:ind w:left="720"/>
        <w:jc w:val="both"/>
        <w:rPr>
          <w:rFonts w:ascii="David" w:hAnsi="David"/>
          <w:rtl/>
        </w:rPr>
      </w:pPr>
      <w:r>
        <w:rPr>
          <w:rFonts w:ascii="David" w:hAnsi="David" w:hint="cs"/>
          <w:rtl/>
        </w:rPr>
        <w:t>בהתייחס לפסיקה, מצאתי להפנות לפסקי הדין הבאים:</w:t>
      </w:r>
    </w:p>
    <w:p w14:paraId="195C0181" w14:textId="77777777" w:rsidR="00912DF6" w:rsidRDefault="008314CF" w:rsidP="00912DF6">
      <w:pPr>
        <w:pStyle w:val="a9"/>
        <w:numPr>
          <w:ilvl w:val="0"/>
          <w:numId w:val="2"/>
        </w:numPr>
        <w:spacing w:before="240" w:after="240" w:line="360" w:lineRule="auto"/>
        <w:ind w:left="714" w:hanging="357"/>
        <w:jc w:val="both"/>
      </w:pPr>
      <w:hyperlink r:id="rId37" w:history="1">
        <w:r w:rsidRPr="008314CF">
          <w:rPr>
            <w:color w:val="0000FF"/>
            <w:u w:val="single"/>
            <w:rtl/>
          </w:rPr>
          <w:t>רע"פ 1473/18</w:t>
        </w:r>
      </w:hyperlink>
      <w:r w:rsidR="00912DF6">
        <w:rPr>
          <w:rFonts w:hint="cs"/>
          <w:rtl/>
        </w:rPr>
        <w:t xml:space="preserve"> </w:t>
      </w:r>
      <w:r w:rsidR="00912DF6">
        <w:rPr>
          <w:rFonts w:hint="cs"/>
          <w:b/>
          <w:bCs/>
          <w:rtl/>
        </w:rPr>
        <w:t xml:space="preserve">אוחיון נ' מדינת ישראל </w:t>
      </w:r>
      <w:r w:rsidR="00912DF6">
        <w:rPr>
          <w:rFonts w:hint="cs"/>
          <w:rtl/>
        </w:rPr>
        <w:t xml:space="preserve">(22.4.2018) - המערער הורשע על יסוד הודאתו בעבירה של החזקת סם מסוכן שלא לצריכה עצמית בכך שנתפס כשהוא מחזיק 4 יחידות סם מסוכן מסוג קוקאין במשקל נטו של 1.6888 גרם וכן יחידת סם מסוכן מסוג קוקאין במשקל נטו של 0.4185. בית משפט השלום קבע מתחם ענישה הנע בין עונש מאסר על תנאי לבין 12 חודשי מאסר. ערעור שהוגש לבית המשפט המחוזי התקבל, ונקבע </w:t>
      </w:r>
      <w:r w:rsidR="00912DF6" w:rsidRPr="00ED78DA">
        <w:rPr>
          <w:rFonts w:hint="cs"/>
          <w:b/>
          <w:bCs/>
          <w:rtl/>
        </w:rPr>
        <w:t>מתחם ענישה שנע בין 6 ל- 12 חודשי מאסר</w:t>
      </w:r>
      <w:r w:rsidR="00912DF6" w:rsidRPr="00ED78DA">
        <w:rPr>
          <w:rFonts w:hint="cs"/>
          <w:rtl/>
        </w:rPr>
        <w:t>.</w:t>
      </w:r>
      <w:r w:rsidR="00912DF6">
        <w:rPr>
          <w:rFonts w:hint="cs"/>
          <w:rtl/>
        </w:rPr>
        <w:t xml:space="preserve"> בית המשפט העליון אישר את המתחם שנקבע על ידי ערכאת הערעור.   </w:t>
      </w:r>
    </w:p>
    <w:p w14:paraId="79B26D94" w14:textId="77777777" w:rsidR="00912DF6" w:rsidRDefault="00912DF6" w:rsidP="00912DF6">
      <w:pPr>
        <w:pStyle w:val="a9"/>
        <w:spacing w:before="240" w:after="240" w:line="360" w:lineRule="auto"/>
        <w:ind w:left="714"/>
        <w:jc w:val="both"/>
      </w:pPr>
    </w:p>
    <w:p w14:paraId="4D22BE0D" w14:textId="77777777" w:rsidR="00912DF6" w:rsidRDefault="008314CF" w:rsidP="00912DF6">
      <w:pPr>
        <w:pStyle w:val="a9"/>
        <w:numPr>
          <w:ilvl w:val="0"/>
          <w:numId w:val="2"/>
        </w:numPr>
        <w:spacing w:before="240" w:after="240" w:line="360" w:lineRule="auto"/>
        <w:ind w:left="714" w:hanging="357"/>
        <w:jc w:val="both"/>
      </w:pPr>
      <w:hyperlink r:id="rId38" w:history="1">
        <w:r w:rsidRPr="008314CF">
          <w:rPr>
            <w:color w:val="0000FF"/>
            <w:u w:val="single"/>
            <w:rtl/>
          </w:rPr>
          <w:t>ת"פ 58843-10-10</w:t>
        </w:r>
      </w:hyperlink>
      <w:r w:rsidR="00912DF6">
        <w:rPr>
          <w:rFonts w:hint="cs"/>
          <w:rtl/>
        </w:rPr>
        <w:t xml:space="preserve"> </w:t>
      </w:r>
      <w:r w:rsidR="00912DF6">
        <w:rPr>
          <w:rFonts w:hint="cs"/>
          <w:b/>
          <w:bCs/>
          <w:rtl/>
        </w:rPr>
        <w:t xml:space="preserve">מדינת ישראל נ' יאיר </w:t>
      </w:r>
      <w:r w:rsidR="00912DF6">
        <w:rPr>
          <w:rFonts w:hint="cs"/>
          <w:rtl/>
        </w:rPr>
        <w:t xml:space="preserve">(12.7.2011) - הנאשם הורשע על יסוד הודאתו בהחזקת 4 מנות סם מסוג הרואין במשקל של 3 גרם לצריכה עצמית. בית משפט השלום אימץ הסדר טיעון והשית עליו </w:t>
      </w:r>
      <w:r w:rsidR="00912DF6" w:rsidRPr="00812816">
        <w:rPr>
          <w:rFonts w:hint="cs"/>
          <w:b/>
          <w:bCs/>
          <w:rtl/>
        </w:rPr>
        <w:t>4 חודשי מאסר,</w:t>
      </w:r>
      <w:r w:rsidR="00912DF6">
        <w:rPr>
          <w:rFonts w:hint="cs"/>
          <w:rtl/>
        </w:rPr>
        <w:t xml:space="preserve"> בין היתר בעקבות הליך שיקום משמעותי שעבר. </w:t>
      </w:r>
    </w:p>
    <w:p w14:paraId="48E1D928" w14:textId="77777777" w:rsidR="00912DF6" w:rsidRDefault="00912DF6" w:rsidP="00912DF6">
      <w:pPr>
        <w:pStyle w:val="a9"/>
        <w:spacing w:before="240" w:after="240" w:line="360" w:lineRule="auto"/>
        <w:rPr>
          <w:rtl/>
        </w:rPr>
      </w:pPr>
    </w:p>
    <w:p w14:paraId="1B54A49B" w14:textId="77777777" w:rsidR="00912DF6" w:rsidRDefault="008314CF" w:rsidP="00912DF6">
      <w:pPr>
        <w:pStyle w:val="a9"/>
        <w:numPr>
          <w:ilvl w:val="0"/>
          <w:numId w:val="2"/>
        </w:numPr>
        <w:spacing w:before="240" w:after="240" w:line="360" w:lineRule="auto"/>
        <w:ind w:left="714" w:hanging="357"/>
        <w:jc w:val="both"/>
      </w:pPr>
      <w:hyperlink r:id="rId39" w:history="1">
        <w:r w:rsidRPr="008314CF">
          <w:rPr>
            <w:color w:val="0000FF"/>
            <w:u w:val="single"/>
            <w:rtl/>
          </w:rPr>
          <w:t>רע"פ 747/14</w:t>
        </w:r>
      </w:hyperlink>
      <w:r w:rsidR="00912DF6">
        <w:rPr>
          <w:rFonts w:hint="cs"/>
          <w:rtl/>
        </w:rPr>
        <w:t xml:space="preserve"> </w:t>
      </w:r>
      <w:r w:rsidR="00912DF6" w:rsidRPr="006241EF">
        <w:rPr>
          <w:rFonts w:hint="cs"/>
          <w:b/>
          <w:bCs/>
          <w:rtl/>
        </w:rPr>
        <w:t xml:space="preserve">לוי נ' מדינת ישראל </w:t>
      </w:r>
      <w:r w:rsidR="00912DF6">
        <w:rPr>
          <w:rFonts w:hint="cs"/>
          <w:rtl/>
        </w:rPr>
        <w:t xml:space="preserve">(11.2.2014) - המערער הורשע לאחר ניהול הוכחות </w:t>
      </w:r>
      <w:r w:rsidR="00912DF6" w:rsidRPr="006241EF">
        <w:rPr>
          <w:rFonts w:hint="cs"/>
          <w:color w:val="000000"/>
          <w:rtl/>
        </w:rPr>
        <w:t xml:space="preserve">בעבירה של החזקת סם שלא לצריכה עצמית בכך שנתפס מחזיק סם מסוכן מסוג הירואין בכמות של כ- 5 גרם נטו, מחולק ל- 6 מנות וקוקאין במשקל של 0.095 גרם. לאחר שהורשע, צירף תיק נוסף בגין החזקת סם מסוג הירואין לצריכה עצמית במשקל של 0.5815 גרם. בית משפט השלום קבע </w:t>
      </w:r>
      <w:r w:rsidR="00912DF6" w:rsidRPr="006241EF">
        <w:rPr>
          <w:rFonts w:hint="cs"/>
          <w:b/>
          <w:bCs/>
          <w:color w:val="000000"/>
          <w:rtl/>
        </w:rPr>
        <w:t>מתחם ענישה הנע בין 8 ל- 18 חודשי מאסר</w:t>
      </w:r>
      <w:r w:rsidR="00912DF6" w:rsidRPr="006241EF">
        <w:rPr>
          <w:rFonts w:hint="cs"/>
          <w:color w:val="000000"/>
          <w:rtl/>
        </w:rPr>
        <w:t xml:space="preserve">, והשית על המערער </w:t>
      </w:r>
      <w:r w:rsidR="00912DF6" w:rsidRPr="006241EF">
        <w:rPr>
          <w:rFonts w:hint="cs"/>
          <w:b/>
          <w:bCs/>
          <w:color w:val="000000"/>
          <w:rtl/>
        </w:rPr>
        <w:t>8 חודשי מאסר</w:t>
      </w:r>
      <w:r w:rsidR="00912DF6" w:rsidRPr="006241EF">
        <w:rPr>
          <w:rFonts w:hint="cs"/>
          <w:color w:val="000000"/>
          <w:rtl/>
        </w:rPr>
        <w:t xml:space="preserve">. ערעור שהוגש על חומרת העונש נדחה הן על ידי בית המשפט המחוזי והן על ידי בית המשפט העליון. </w:t>
      </w:r>
    </w:p>
    <w:p w14:paraId="193B9651" w14:textId="77777777" w:rsidR="00912DF6" w:rsidRDefault="00912DF6" w:rsidP="00912DF6">
      <w:pPr>
        <w:pStyle w:val="a9"/>
        <w:spacing w:before="240" w:after="240" w:line="360" w:lineRule="auto"/>
        <w:ind w:left="714"/>
        <w:jc w:val="both"/>
      </w:pPr>
    </w:p>
    <w:p w14:paraId="1E026A42" w14:textId="77777777" w:rsidR="00912DF6" w:rsidRDefault="008314CF" w:rsidP="00912DF6">
      <w:pPr>
        <w:pStyle w:val="a9"/>
        <w:numPr>
          <w:ilvl w:val="0"/>
          <w:numId w:val="2"/>
        </w:numPr>
        <w:spacing w:before="240" w:after="240" w:line="360" w:lineRule="auto"/>
        <w:jc w:val="both"/>
      </w:pPr>
      <w:hyperlink r:id="rId40" w:history="1">
        <w:r w:rsidRPr="008314CF">
          <w:rPr>
            <w:rFonts w:ascii="David" w:hAnsi="David"/>
            <w:color w:val="0000FF"/>
            <w:u w:val="single"/>
            <w:rtl/>
          </w:rPr>
          <w:t>ת"פ (רמ') 22160-02-14</w:t>
        </w:r>
      </w:hyperlink>
      <w:r w:rsidR="00912DF6" w:rsidRPr="00483AB8">
        <w:rPr>
          <w:rFonts w:ascii="David" w:hAnsi="David"/>
          <w:rtl/>
        </w:rPr>
        <w:t xml:space="preserve"> </w:t>
      </w:r>
      <w:r w:rsidR="00912DF6" w:rsidRPr="00483AB8">
        <w:rPr>
          <w:rFonts w:ascii="David" w:hAnsi="David"/>
          <w:b/>
          <w:bCs/>
          <w:rtl/>
        </w:rPr>
        <w:t xml:space="preserve">משטרת </w:t>
      </w:r>
      <w:r w:rsidR="00912DF6">
        <w:rPr>
          <w:rFonts w:ascii="David" w:hAnsi="David"/>
          <w:b/>
          <w:bCs/>
          <w:rtl/>
        </w:rPr>
        <w:t>ישראל נ' אביקסיס</w:t>
      </w:r>
      <w:r w:rsidR="00912DF6">
        <w:rPr>
          <w:rFonts w:ascii="David" w:hAnsi="David"/>
          <w:rtl/>
        </w:rPr>
        <w:t xml:space="preserve"> (11.11.2014)</w:t>
      </w:r>
      <w:r w:rsidR="00912DF6">
        <w:rPr>
          <w:rFonts w:ascii="David" w:hAnsi="David" w:hint="cs"/>
          <w:rtl/>
        </w:rPr>
        <w:t xml:space="preserve"> </w:t>
      </w:r>
      <w:r w:rsidR="00912DF6">
        <w:rPr>
          <w:rFonts w:ascii="David" w:hAnsi="David"/>
          <w:rtl/>
        </w:rPr>
        <w:t>–</w:t>
      </w:r>
      <w:r w:rsidR="00912DF6">
        <w:rPr>
          <w:rFonts w:ascii="David" w:hAnsi="David" w:hint="cs"/>
          <w:rtl/>
        </w:rPr>
        <w:t xml:space="preserve"> הנאשם הורשע על יסוד הודאתו בעבירה של החזקת סם שלא לצריכה עצמית בכך שנתפס כשהוא מחזיק סם מסוכן מסוג קוקאין במשקל של 4 גרם וכן 2,700 ₪ במזומן. בית משפט השלום קבע </w:t>
      </w:r>
      <w:r w:rsidR="00912DF6" w:rsidRPr="00483AB8">
        <w:rPr>
          <w:rFonts w:ascii="David" w:hAnsi="David" w:hint="cs"/>
          <w:b/>
          <w:bCs/>
          <w:rtl/>
        </w:rPr>
        <w:t>מתחם ענישה הנע בין 6 ל- 18 חודשי מאסר</w:t>
      </w:r>
      <w:r w:rsidR="00912DF6">
        <w:rPr>
          <w:rFonts w:ascii="David" w:hAnsi="David" w:hint="cs"/>
          <w:rtl/>
        </w:rPr>
        <w:t xml:space="preserve"> והשית על הנאשם </w:t>
      </w:r>
      <w:r w:rsidR="00912DF6" w:rsidRPr="00483AB8">
        <w:rPr>
          <w:rFonts w:ascii="David" w:hAnsi="David" w:hint="cs"/>
          <w:b/>
          <w:bCs/>
          <w:rtl/>
        </w:rPr>
        <w:t>6 חודשי מאסר לריצוי בדרך של עבודות שירות</w:t>
      </w:r>
      <w:r w:rsidR="00912DF6">
        <w:rPr>
          <w:rFonts w:ascii="David" w:hAnsi="David" w:hint="cs"/>
          <w:rtl/>
        </w:rPr>
        <w:t xml:space="preserve">. </w:t>
      </w:r>
    </w:p>
    <w:p w14:paraId="5DB32EBB" w14:textId="77777777" w:rsidR="00912DF6" w:rsidRDefault="00912DF6" w:rsidP="00912DF6">
      <w:pPr>
        <w:pStyle w:val="a9"/>
        <w:rPr>
          <w:rtl/>
        </w:rPr>
      </w:pPr>
    </w:p>
    <w:p w14:paraId="3E14A416" w14:textId="77777777" w:rsidR="00912DF6" w:rsidRPr="008D47CE" w:rsidRDefault="00912DF6" w:rsidP="00912DF6">
      <w:pPr>
        <w:spacing w:before="240" w:after="240" w:line="360" w:lineRule="auto"/>
        <w:ind w:left="720" w:hanging="720"/>
        <w:jc w:val="both"/>
        <w:rPr>
          <w:rFonts w:ascii="David" w:hAnsi="David"/>
          <w:rtl/>
        </w:rPr>
      </w:pPr>
      <w:r>
        <w:rPr>
          <w:rFonts w:hint="cs"/>
          <w:rtl/>
        </w:rPr>
        <w:t xml:space="preserve">13. </w:t>
      </w:r>
      <w:r>
        <w:rPr>
          <w:rFonts w:hint="cs"/>
          <w:rtl/>
        </w:rPr>
        <w:tab/>
      </w:r>
      <w:r>
        <w:rPr>
          <w:rFonts w:ascii="David" w:hAnsi="David" w:hint="cs"/>
          <w:rtl/>
        </w:rPr>
        <w:t xml:space="preserve">על יסוד האמור לעיל, סבורני כי יש מקום לאמץ את עמדת התביעה, ולקבוע </w:t>
      </w:r>
      <w:r w:rsidRPr="00EB7CAC">
        <w:rPr>
          <w:rFonts w:ascii="David" w:hAnsi="David" w:hint="cs"/>
          <w:b/>
          <w:bCs/>
          <w:rtl/>
        </w:rPr>
        <w:t>מתחם ענישה הנע בין 4 ל- 8 חודשי מאסר</w:t>
      </w:r>
      <w:r>
        <w:rPr>
          <w:rFonts w:ascii="David" w:hAnsi="David" w:hint="cs"/>
          <w:rtl/>
        </w:rPr>
        <w:t xml:space="preserve">. לטעמי, מדובר במתחם ענישה מתון וראוי אשר עולה בקנה אחד עם מדיניות הענישה הנוהגת.   </w:t>
      </w:r>
    </w:p>
    <w:p w14:paraId="38E7A5E7" w14:textId="77777777" w:rsidR="00912DF6" w:rsidRDefault="00912DF6" w:rsidP="00912DF6">
      <w:pPr>
        <w:spacing w:before="240" w:after="240" w:line="360" w:lineRule="auto"/>
        <w:jc w:val="both"/>
        <w:rPr>
          <w:u w:val="single"/>
          <w:rtl/>
        </w:rPr>
      </w:pPr>
      <w:r>
        <w:rPr>
          <w:rtl/>
        </w:rPr>
        <w:tab/>
      </w:r>
      <w:r>
        <w:rPr>
          <w:rFonts w:hint="cs"/>
          <w:u w:val="single"/>
          <w:rtl/>
        </w:rPr>
        <w:t>קביעת העונש המתאים</w:t>
      </w:r>
    </w:p>
    <w:p w14:paraId="29D45474" w14:textId="77777777" w:rsidR="00912DF6" w:rsidRDefault="00912DF6" w:rsidP="00912DF6">
      <w:pPr>
        <w:spacing w:before="240" w:after="240" w:line="360" w:lineRule="auto"/>
        <w:ind w:left="720" w:hanging="720"/>
        <w:jc w:val="both"/>
        <w:rPr>
          <w:rtl/>
        </w:rPr>
      </w:pPr>
      <w:r>
        <w:rPr>
          <w:rFonts w:hint="cs"/>
          <w:rtl/>
        </w:rPr>
        <w:t>14.</w:t>
      </w:r>
      <w:r>
        <w:rPr>
          <w:rFonts w:hint="cs"/>
          <w:rtl/>
        </w:rPr>
        <w:tab/>
        <w:t xml:space="preserve">במסגרת בחינת הנסיבות שאינן קשורות בביצוע העבירה, נתתי דעתי לשתי קבוצות שיקולים המשפיעים על קביעת העונש המתאים - </w:t>
      </w:r>
    </w:p>
    <w:p w14:paraId="51B8AF32" w14:textId="77777777" w:rsidR="00912DF6" w:rsidRDefault="00912DF6" w:rsidP="00912DF6">
      <w:pPr>
        <w:spacing w:before="240" w:after="240" w:line="360" w:lineRule="auto"/>
        <w:ind w:left="720" w:hanging="720"/>
        <w:jc w:val="both"/>
        <w:rPr>
          <w:rFonts w:ascii="David" w:hAnsi="David"/>
          <w:rtl/>
        </w:rPr>
      </w:pPr>
      <w:r>
        <w:rPr>
          <w:rtl/>
        </w:rPr>
        <w:tab/>
      </w:r>
      <w:r>
        <w:rPr>
          <w:rFonts w:hint="cs"/>
          <w:b/>
          <w:bCs/>
          <w:rtl/>
        </w:rPr>
        <w:t>במסגרת הנתונים הפועלים לזכות הנאשם</w:t>
      </w:r>
      <w:r>
        <w:rPr>
          <w:rFonts w:hint="cs"/>
          <w:rtl/>
        </w:rPr>
        <w:t>,</w:t>
      </w:r>
      <w:r>
        <w:rPr>
          <w:rFonts w:ascii="David" w:hAnsi="David"/>
          <w:rtl/>
        </w:rPr>
        <w:t xml:space="preserve"> ניתן למנות את </w:t>
      </w:r>
      <w:r>
        <w:rPr>
          <w:rFonts w:ascii="David" w:hAnsi="David" w:hint="cs"/>
          <w:rtl/>
        </w:rPr>
        <w:t xml:space="preserve">הודאתו, נטילת האחריות לביצוע העבירות, הבעת החרטה והחיסכון בזמן הציבורי, בפרט כשבחר לצרף יחדיו שלושה תיקים מתוך רצון "לנקות את השולחן" ולפתוח דף חדש בחייו. </w:t>
      </w:r>
    </w:p>
    <w:p w14:paraId="3525EED3" w14:textId="77777777" w:rsidR="00912DF6" w:rsidRDefault="00912DF6" w:rsidP="00912DF6">
      <w:pPr>
        <w:spacing w:before="240" w:after="240" w:line="360" w:lineRule="auto"/>
        <w:ind w:left="720"/>
        <w:jc w:val="both"/>
        <w:rPr>
          <w:rFonts w:ascii="David" w:hAnsi="David"/>
          <w:rtl/>
        </w:rPr>
      </w:pPr>
      <w:r>
        <w:rPr>
          <w:rFonts w:ascii="David" w:hAnsi="David" w:hint="cs"/>
          <w:rtl/>
        </w:rPr>
        <w:t>התחשבתי גם בנסיבות חייו המורכבות ובנתוניו האישיים של הנאשם, לרבות גילו הצעיר והטרגדיה שפקדה את משפחתו בנסיבות מותו של אחיו, כפי שאלו פורטו בהרחבה על ידי בא-כוחו.</w:t>
      </w:r>
    </w:p>
    <w:p w14:paraId="0B47F071" w14:textId="77777777" w:rsidR="00912DF6" w:rsidRDefault="00912DF6" w:rsidP="00912DF6">
      <w:pPr>
        <w:spacing w:before="240" w:after="240" w:line="360" w:lineRule="auto"/>
        <w:ind w:left="720" w:hanging="720"/>
        <w:jc w:val="both"/>
        <w:rPr>
          <w:rFonts w:ascii="David" w:hAnsi="David"/>
          <w:rtl/>
        </w:rPr>
      </w:pPr>
      <w:r>
        <w:rPr>
          <w:rtl/>
        </w:rPr>
        <w:tab/>
      </w:r>
      <w:r>
        <w:rPr>
          <w:rFonts w:ascii="David" w:hAnsi="David" w:hint="cs"/>
          <w:b/>
          <w:bCs/>
          <w:rtl/>
        </w:rPr>
        <w:t>במסגרת הנתונים הפועלים</w:t>
      </w:r>
      <w:r>
        <w:rPr>
          <w:rFonts w:ascii="David" w:hAnsi="David"/>
          <w:b/>
          <w:bCs/>
          <w:rtl/>
        </w:rPr>
        <w:t xml:space="preserve"> לחובת הנאשם</w:t>
      </w:r>
      <w:r>
        <w:rPr>
          <w:rFonts w:ascii="David" w:hAnsi="David"/>
          <w:rtl/>
        </w:rPr>
        <w:t xml:space="preserve"> </w:t>
      </w:r>
      <w:r>
        <w:rPr>
          <w:rFonts w:ascii="David" w:hAnsi="David" w:hint="cs"/>
          <w:rtl/>
        </w:rPr>
        <w:t xml:space="preserve">נתתי דעתי לעברו הפלילי, הכולל שתי הרשעות קודמות: האחת - ניתנה על ידי בית המשפט לנוער בשנת 2016, בגין עבירות של תקיפה, גניבה מרכב, החזקת נכס חשוד כגנוב, היזק לרכוש במזיד ואיומים, אשר בוצעו בין השנים 2015-2013 בגינן נדון לעונש מאסר על תנאי, קנס, פיצוי כספי והתחייבות להימנע מעבירה; והשניה - ניתנה אף היא על ידי בית המשפט לנוער בשנת 2019, שעניינה החזקת סם לצריכה עצמית בגינה נדון הנאשם לקנס כספי, התחייבות להימנע מעבירה ופסילת רישיון נהיגה על תנאי. </w:t>
      </w:r>
    </w:p>
    <w:p w14:paraId="61DFE615" w14:textId="77777777" w:rsidR="00912DF6" w:rsidRPr="00531802" w:rsidRDefault="00912DF6" w:rsidP="00912DF6">
      <w:pPr>
        <w:spacing w:before="240" w:after="240" w:line="360" w:lineRule="auto"/>
        <w:ind w:left="720"/>
        <w:jc w:val="both"/>
        <w:rPr>
          <w:rFonts w:ascii="David" w:hAnsi="David"/>
          <w:rtl/>
        </w:rPr>
      </w:pPr>
      <w:r>
        <w:rPr>
          <w:rFonts w:ascii="David" w:hAnsi="David" w:hint="cs"/>
          <w:rtl/>
        </w:rPr>
        <w:t xml:space="preserve">מקובלת עליי בהקשר זה טענת הסנגור, כי אין המדובר בעבר פלילי מכביד, לבטח לא כזה המצדיק החמרה בענישה. יחד עם זאת, מדובר בעבר פלילי שחלקו רלוונטי לאישומים בתיקי הצירוף, ומכל מקום ברור כי קיומו אינו מאפשר את גזירת דינו של הנאשם בתחתית המתחמים שנקבעו, אלא אך בחלקם התחתון. </w:t>
      </w:r>
    </w:p>
    <w:p w14:paraId="658A94F5" w14:textId="77777777" w:rsidR="00912DF6" w:rsidRDefault="00912DF6" w:rsidP="00912DF6">
      <w:pPr>
        <w:spacing w:before="240" w:after="240" w:line="360" w:lineRule="auto"/>
        <w:jc w:val="both"/>
        <w:rPr>
          <w:rFonts w:ascii="David" w:hAnsi="David"/>
          <w:rtl/>
        </w:rPr>
      </w:pPr>
      <w:r>
        <w:rPr>
          <w:rFonts w:ascii="David" w:hAnsi="David" w:hint="cs"/>
          <w:rtl/>
        </w:rPr>
        <w:t xml:space="preserve">15. </w:t>
      </w:r>
      <w:r>
        <w:rPr>
          <w:rFonts w:ascii="David" w:hAnsi="David" w:hint="cs"/>
          <w:rtl/>
        </w:rPr>
        <w:tab/>
        <w:t>על בסיס האמור לעיל ראיתי להטיל על הנאשם עונש כולל בגין שלושת התיקים, ולזאת כמפורט להלן:</w:t>
      </w:r>
    </w:p>
    <w:p w14:paraId="10817956" w14:textId="77777777" w:rsidR="00912DF6" w:rsidRDefault="00912DF6" w:rsidP="00912DF6">
      <w:pPr>
        <w:pStyle w:val="a9"/>
        <w:numPr>
          <w:ilvl w:val="0"/>
          <w:numId w:val="3"/>
        </w:numPr>
        <w:spacing w:before="240" w:after="240" w:line="360" w:lineRule="auto"/>
        <w:ind w:hanging="720"/>
        <w:jc w:val="both"/>
        <w:rPr>
          <w:rFonts w:ascii="David" w:hAnsi="David"/>
        </w:rPr>
      </w:pPr>
      <w:r>
        <w:rPr>
          <w:rFonts w:ascii="David" w:hAnsi="David" w:hint="cs"/>
          <w:rtl/>
        </w:rPr>
        <w:t xml:space="preserve">22 </w:t>
      </w:r>
      <w:r w:rsidRPr="00EC35F5">
        <w:rPr>
          <w:rFonts w:ascii="David" w:hAnsi="David" w:hint="cs"/>
          <w:rtl/>
        </w:rPr>
        <w:t>חודשי מאסר לריצוי ב</w:t>
      </w:r>
      <w:r>
        <w:rPr>
          <w:rFonts w:ascii="David" w:hAnsi="David" w:hint="cs"/>
          <w:rtl/>
        </w:rPr>
        <w:t>פועל בניכוי ימי מעצרו (מיום 22.11.2019 עד יום 1.12.2019; ומיום 11.12.2019 עד יום 15.12.2019)</w:t>
      </w:r>
      <w:r w:rsidRPr="00EC35F5">
        <w:rPr>
          <w:rFonts w:ascii="David" w:hAnsi="David" w:hint="cs"/>
          <w:rtl/>
        </w:rPr>
        <w:t>.</w:t>
      </w:r>
      <w:r>
        <w:rPr>
          <w:rFonts w:ascii="David" w:hAnsi="David" w:hint="cs"/>
          <w:rtl/>
        </w:rPr>
        <w:t xml:space="preserve"> הנאשם יתייצב ביום 30.3.2021 בשעה 09:00 במתקן ניצן לצורך ריצוי עונשו. </w:t>
      </w:r>
    </w:p>
    <w:p w14:paraId="52189528" w14:textId="77777777" w:rsidR="00912DF6" w:rsidRDefault="00912DF6" w:rsidP="00912DF6">
      <w:pPr>
        <w:pStyle w:val="a9"/>
        <w:spacing w:before="240" w:after="240" w:line="360" w:lineRule="auto"/>
        <w:jc w:val="both"/>
        <w:rPr>
          <w:rFonts w:ascii="David" w:hAnsi="David"/>
        </w:rPr>
      </w:pPr>
    </w:p>
    <w:p w14:paraId="141F1339"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 xml:space="preserve">6 חודשי מאסר, אולם הנאשם לא יישא עונש זה אלא אם יעבור תוך שלוש שנים מיום שחרורו כל עבירת נשק מסוג פשע, או עבירת אלימות נגד הגוף מסוג פשע.   </w:t>
      </w:r>
    </w:p>
    <w:p w14:paraId="07313692" w14:textId="77777777" w:rsidR="00912DF6" w:rsidRDefault="00912DF6" w:rsidP="00912DF6">
      <w:pPr>
        <w:pStyle w:val="a9"/>
        <w:spacing w:before="240" w:after="240" w:line="360" w:lineRule="auto"/>
        <w:jc w:val="both"/>
        <w:rPr>
          <w:rFonts w:ascii="David" w:hAnsi="David"/>
        </w:rPr>
      </w:pPr>
    </w:p>
    <w:p w14:paraId="06072FBF"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3 חודשי מאסר אולם הנאשם לא יישא עונש זה אלא אם יעבור תוך 3 שנים מיום שחרורו כל עבירת אלימות נגד הגוף מסוג עוון.</w:t>
      </w:r>
    </w:p>
    <w:p w14:paraId="5CBF6869" w14:textId="77777777" w:rsidR="00912DF6" w:rsidRDefault="00912DF6" w:rsidP="00912DF6">
      <w:pPr>
        <w:pStyle w:val="a9"/>
        <w:spacing w:before="240" w:after="240" w:line="360" w:lineRule="auto"/>
        <w:jc w:val="both"/>
        <w:rPr>
          <w:rFonts w:ascii="David" w:hAnsi="David"/>
        </w:rPr>
      </w:pPr>
    </w:p>
    <w:p w14:paraId="36155C90"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3 חודשי מאסר אולם הנאשם לא יישא עונש זה אלא אם יעבור תוך שנתיים מי</w:t>
      </w:r>
      <w:r>
        <w:rPr>
          <w:rFonts w:ascii="David" w:hAnsi="David" w:hint="cs"/>
          <w:rtl/>
        </w:rPr>
        <w:t>ום שחרורו עבירה על פקודת הסמים.</w:t>
      </w:r>
    </w:p>
    <w:p w14:paraId="6C8CC0AC" w14:textId="77777777" w:rsidR="00912DF6" w:rsidRPr="00ED4243" w:rsidRDefault="00912DF6" w:rsidP="00912DF6">
      <w:pPr>
        <w:pStyle w:val="a9"/>
        <w:spacing w:before="240" w:after="240" w:line="360" w:lineRule="auto"/>
        <w:jc w:val="both"/>
        <w:rPr>
          <w:rFonts w:ascii="David" w:hAnsi="David"/>
        </w:rPr>
      </w:pPr>
    </w:p>
    <w:p w14:paraId="6EC887CF" w14:textId="77777777" w:rsidR="00912DF6" w:rsidRPr="00EC35F5" w:rsidRDefault="00912DF6" w:rsidP="00912DF6">
      <w:pPr>
        <w:pStyle w:val="a9"/>
        <w:numPr>
          <w:ilvl w:val="0"/>
          <w:numId w:val="3"/>
        </w:numPr>
        <w:spacing w:before="240" w:after="240" w:line="360" w:lineRule="auto"/>
        <w:ind w:hanging="720"/>
        <w:jc w:val="both"/>
        <w:rPr>
          <w:rFonts w:ascii="David" w:hAnsi="David"/>
          <w:rtl/>
        </w:rPr>
      </w:pPr>
      <w:r w:rsidRPr="00EC35F5">
        <w:rPr>
          <w:rFonts w:ascii="David" w:hAnsi="David" w:hint="cs"/>
          <w:rtl/>
        </w:rPr>
        <w:t>קנס כספי בסך 5,000 ₪ או 40 ימי מאסר תמורתו</w:t>
      </w:r>
      <w:r>
        <w:rPr>
          <w:rFonts w:ascii="David" w:hAnsi="David" w:hint="cs"/>
          <w:rtl/>
        </w:rPr>
        <w:t>.</w:t>
      </w:r>
      <w:r w:rsidRPr="00EC35F5">
        <w:rPr>
          <w:rFonts w:ascii="David" w:hAnsi="David" w:hint="cs"/>
          <w:rtl/>
        </w:rPr>
        <w:t xml:space="preserve"> </w:t>
      </w:r>
      <w:r>
        <w:rPr>
          <w:rFonts w:ascii="David" w:hAnsi="David" w:hint="cs"/>
          <w:rtl/>
        </w:rPr>
        <w:t xml:space="preserve">הקנס יקוזז מההפקדה הקיימת בתיק המ"ת, והיתרה תושב לנאשם או למי מטעמו לאחר התייצבותו לריצוי המאסר. </w:t>
      </w:r>
    </w:p>
    <w:p w14:paraId="1E0EFDD2" w14:textId="77777777" w:rsidR="00912DF6" w:rsidRDefault="00912DF6" w:rsidP="00912DF6">
      <w:pPr>
        <w:spacing w:before="240" w:after="240" w:line="360" w:lineRule="auto"/>
        <w:ind w:left="720"/>
        <w:contextualSpacing/>
        <w:jc w:val="both"/>
        <w:rPr>
          <w:rFonts w:ascii="David" w:hAnsi="David"/>
          <w:rtl/>
        </w:rPr>
      </w:pPr>
      <w:r>
        <w:rPr>
          <w:rFonts w:ascii="David" w:hAnsi="David" w:hint="cs"/>
          <w:rtl/>
        </w:rPr>
        <w:t xml:space="preserve">ניתן צו כללי למוצגים לשיקול קצין משטרה ו/או התביעה. </w:t>
      </w:r>
    </w:p>
    <w:p w14:paraId="402C313D" w14:textId="77777777" w:rsidR="00912DF6" w:rsidRDefault="00912DF6" w:rsidP="00912DF6">
      <w:pPr>
        <w:spacing w:before="240" w:after="240" w:line="360" w:lineRule="auto"/>
        <w:ind w:left="720"/>
        <w:contextualSpacing/>
        <w:jc w:val="both"/>
        <w:rPr>
          <w:rFonts w:ascii="David" w:hAnsi="David"/>
          <w:rtl/>
        </w:rPr>
      </w:pPr>
      <w:r>
        <w:rPr>
          <w:rFonts w:ascii="David" w:hAnsi="David" w:hint="cs"/>
          <w:rtl/>
        </w:rPr>
        <w:t xml:space="preserve">זכות ערעור כחוק. </w:t>
      </w:r>
    </w:p>
    <w:p w14:paraId="7A69C3BA" w14:textId="77777777" w:rsidR="00912DF6" w:rsidRPr="005413D2" w:rsidRDefault="008314CF" w:rsidP="00912DF6">
      <w:pPr>
        <w:rPr>
          <w:rtl/>
        </w:rPr>
      </w:pPr>
      <w:bookmarkStart w:id="8" w:name="Nitan"/>
      <w:r>
        <w:rPr>
          <w:rFonts w:ascii="David" w:hAnsi="David"/>
          <w:b/>
          <w:bCs/>
          <w:rtl/>
        </w:rPr>
        <w:t xml:space="preserve">ניתן והודע היום י"ב אדר תשפ"א, 24/02/2021. </w:t>
      </w:r>
      <w:bookmarkEnd w:id="8"/>
    </w:p>
    <w:p w14:paraId="4686BD37" w14:textId="77777777" w:rsidR="00912DF6" w:rsidRPr="008314CF" w:rsidRDefault="008314CF" w:rsidP="00912DF6">
      <w:pPr>
        <w:rPr>
          <w:rFonts w:ascii="David" w:hAnsi="David"/>
          <w:color w:val="FFFFFF"/>
          <w:sz w:val="2"/>
          <w:szCs w:val="2"/>
          <w:rtl/>
        </w:rPr>
      </w:pPr>
      <w:r w:rsidRPr="008314CF">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12DF6" w14:paraId="71EEAECD" w14:textId="77777777" w:rsidTr="00912DF6">
        <w:trPr>
          <w:trHeight w:val="316"/>
          <w:jc w:val="right"/>
        </w:trPr>
        <w:tc>
          <w:tcPr>
            <w:tcW w:w="3936" w:type="dxa"/>
            <w:tcBorders>
              <w:top w:val="nil"/>
              <w:left w:val="nil"/>
              <w:bottom w:val="single" w:sz="4" w:space="0" w:color="auto"/>
              <w:right w:val="nil"/>
            </w:tcBorders>
            <w:shd w:val="clear" w:color="auto" w:fill="auto"/>
            <w:vAlign w:val="bottom"/>
          </w:tcPr>
          <w:p w14:paraId="3A15D08E" w14:textId="77777777" w:rsidR="00912DF6" w:rsidRPr="008314CF" w:rsidRDefault="008314CF" w:rsidP="00912DF6">
            <w:pPr>
              <w:jc w:val="center"/>
              <w:rPr>
                <w:color w:val="FFFFFF"/>
                <w:sz w:val="2"/>
                <w:szCs w:val="2"/>
                <w:rtl/>
              </w:rPr>
            </w:pPr>
            <w:r w:rsidRPr="008314CF">
              <w:rPr>
                <w:color w:val="FFFFFF"/>
                <w:sz w:val="2"/>
                <w:szCs w:val="2"/>
                <w:rtl/>
              </w:rPr>
              <w:t>54678313</w:t>
            </w:r>
          </w:p>
        </w:tc>
      </w:tr>
      <w:tr w:rsidR="00912DF6" w14:paraId="6FDEC393" w14:textId="77777777" w:rsidTr="00912DF6">
        <w:trPr>
          <w:trHeight w:val="361"/>
          <w:jc w:val="right"/>
        </w:trPr>
        <w:tc>
          <w:tcPr>
            <w:tcW w:w="3936" w:type="dxa"/>
            <w:tcBorders>
              <w:top w:val="single" w:sz="4" w:space="0" w:color="auto"/>
              <w:left w:val="nil"/>
              <w:bottom w:val="nil"/>
              <w:right w:val="nil"/>
            </w:tcBorders>
            <w:shd w:val="clear" w:color="auto" w:fill="auto"/>
          </w:tcPr>
          <w:p w14:paraId="6CB4D8CB" w14:textId="77777777" w:rsidR="00912DF6" w:rsidRPr="00912DF6" w:rsidRDefault="00912DF6" w:rsidP="00912DF6">
            <w:pPr>
              <w:jc w:val="center"/>
              <w:rPr>
                <w:b/>
                <w:bCs/>
                <w:rtl/>
              </w:rPr>
            </w:pPr>
            <w:r w:rsidRPr="00912DF6">
              <w:rPr>
                <w:rFonts w:hint="cs"/>
                <w:b/>
                <w:bCs/>
                <w:rtl/>
              </w:rPr>
              <w:t>בני שגיא, שופט</w:t>
            </w:r>
          </w:p>
          <w:p w14:paraId="70EDDA5B" w14:textId="77777777" w:rsidR="00912DF6" w:rsidRPr="00912DF6" w:rsidRDefault="00912DF6" w:rsidP="00912DF6">
            <w:pPr>
              <w:jc w:val="center"/>
              <w:rPr>
                <w:b/>
                <w:bCs/>
                <w:rtl/>
              </w:rPr>
            </w:pPr>
            <w:r w:rsidRPr="00912DF6">
              <w:rPr>
                <w:rFonts w:hint="cs"/>
                <w:b/>
                <w:bCs/>
                <w:rtl/>
              </w:rPr>
              <w:t>סגן נשיא</w:t>
            </w:r>
          </w:p>
        </w:tc>
      </w:tr>
    </w:tbl>
    <w:p w14:paraId="5001DB9B" w14:textId="77777777" w:rsidR="00912DF6" w:rsidRPr="00CB28E4" w:rsidRDefault="00CB28E4" w:rsidP="00912DF6">
      <w:pPr>
        <w:rPr>
          <w:rFonts w:ascii="David" w:hAnsi="David"/>
          <w:color w:val="FFFFFF"/>
          <w:sz w:val="2"/>
          <w:szCs w:val="2"/>
          <w:rtl/>
        </w:rPr>
      </w:pPr>
      <w:r w:rsidRPr="00CB28E4">
        <w:rPr>
          <w:rFonts w:ascii="David" w:hAnsi="David"/>
          <w:color w:val="FFFFFF"/>
          <w:sz w:val="2"/>
          <w:szCs w:val="2"/>
          <w:rtl/>
        </w:rPr>
        <w:t>5129371</w:t>
      </w:r>
    </w:p>
    <w:p w14:paraId="7252B73A" w14:textId="77777777" w:rsidR="00230679" w:rsidRPr="00CB28E4" w:rsidRDefault="00CB28E4" w:rsidP="008314CF">
      <w:pPr>
        <w:keepNext/>
        <w:rPr>
          <w:rFonts w:ascii="David" w:hAnsi="David"/>
          <w:color w:val="FFFFFF"/>
          <w:sz w:val="2"/>
          <w:szCs w:val="2"/>
          <w:rtl/>
        </w:rPr>
      </w:pPr>
      <w:r w:rsidRPr="00CB28E4">
        <w:rPr>
          <w:rFonts w:ascii="David" w:hAnsi="David"/>
          <w:color w:val="FFFFFF"/>
          <w:sz w:val="2"/>
          <w:szCs w:val="2"/>
          <w:rtl/>
        </w:rPr>
        <w:t>54678313</w:t>
      </w:r>
    </w:p>
    <w:p w14:paraId="6A4C17D1" w14:textId="77777777" w:rsidR="008314CF" w:rsidRDefault="008314CF" w:rsidP="008314CF">
      <w:pPr>
        <w:rPr>
          <w:rtl/>
        </w:rPr>
      </w:pPr>
    </w:p>
    <w:p w14:paraId="043A8E90" w14:textId="77777777" w:rsidR="008314CF" w:rsidRDefault="008314CF" w:rsidP="008314CF">
      <w:pPr>
        <w:jc w:val="center"/>
        <w:rPr>
          <w:rFonts w:hint="cs"/>
          <w:color w:val="0000FF"/>
          <w:u w:val="single"/>
        </w:rPr>
      </w:pPr>
      <w:hyperlink r:id="rId41" w:history="1">
        <w:r>
          <w:rPr>
            <w:color w:val="0000FF"/>
            <w:u w:val="single"/>
            <w:rtl/>
          </w:rPr>
          <w:t>בעניין עריכה ושינויים במסמכי פסיקה, חקיקה ועוד באתר נבו – הקש כאן</w:t>
        </w:r>
      </w:hyperlink>
      <w:r w:rsidR="007D6D33">
        <w:rPr>
          <w:rFonts w:hint="cs"/>
          <w:color w:val="0000FF"/>
          <w:u w:val="single"/>
          <w:rtl/>
        </w:rPr>
        <w:t xml:space="preserve"> </w:t>
      </w:r>
    </w:p>
    <w:p w14:paraId="557BD16D" w14:textId="77777777" w:rsidR="00CB28E4" w:rsidRPr="00CB28E4" w:rsidRDefault="00CB28E4" w:rsidP="00CB28E4">
      <w:pPr>
        <w:keepNext/>
        <w:rPr>
          <w:rFonts w:ascii="David" w:hAnsi="David"/>
          <w:color w:val="000000"/>
          <w:sz w:val="22"/>
          <w:szCs w:val="22"/>
          <w:rtl/>
        </w:rPr>
      </w:pPr>
    </w:p>
    <w:p w14:paraId="0A1E1566" w14:textId="77777777" w:rsidR="00CB28E4" w:rsidRPr="00CB28E4" w:rsidRDefault="00CB28E4" w:rsidP="00CB28E4">
      <w:pPr>
        <w:keepNext/>
        <w:rPr>
          <w:rFonts w:ascii="David" w:hAnsi="David"/>
          <w:color w:val="000000"/>
          <w:sz w:val="22"/>
          <w:szCs w:val="22"/>
          <w:rtl/>
        </w:rPr>
      </w:pPr>
      <w:r w:rsidRPr="00CB28E4">
        <w:rPr>
          <w:rFonts w:ascii="David" w:hAnsi="David"/>
          <w:color w:val="000000"/>
          <w:sz w:val="22"/>
          <w:szCs w:val="22"/>
          <w:rtl/>
        </w:rPr>
        <w:t>בני שגיא 54678313-/</w:t>
      </w:r>
    </w:p>
    <w:p w14:paraId="3F279284" w14:textId="77777777" w:rsidR="008314CF" w:rsidRPr="008314CF" w:rsidRDefault="00CB28E4" w:rsidP="00CB28E4">
      <w:pPr>
        <w:rPr>
          <w:color w:val="0000FF"/>
          <w:u w:val="single"/>
        </w:rPr>
      </w:pPr>
      <w:r w:rsidRPr="00CB28E4">
        <w:rPr>
          <w:color w:val="000000"/>
          <w:u w:val="single"/>
          <w:rtl/>
        </w:rPr>
        <w:t>נוסח מסמך זה כפוף לשינויי ניסוח ועריכה</w:t>
      </w:r>
    </w:p>
    <w:sectPr w:rsidR="008314CF" w:rsidRPr="008314CF" w:rsidSect="00CB28E4">
      <w:headerReference w:type="even" r:id="rId42"/>
      <w:headerReference w:type="default" r:id="rId43"/>
      <w:footerReference w:type="even" r:id="rId44"/>
      <w:footerReference w:type="default" r:id="rId4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6343B" w14:textId="77777777" w:rsidR="003838C2" w:rsidRDefault="003838C2" w:rsidP="005A5092">
      <w:r>
        <w:separator/>
      </w:r>
    </w:p>
  </w:endnote>
  <w:endnote w:type="continuationSeparator" w:id="0">
    <w:p w14:paraId="629C287C" w14:textId="77777777" w:rsidR="003838C2" w:rsidRDefault="003838C2" w:rsidP="005A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083AD" w14:textId="77777777" w:rsidR="00CB28E4" w:rsidRDefault="00CB28E4" w:rsidP="00CB28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485599" w14:textId="77777777" w:rsidR="00B71B01" w:rsidRPr="00CB28E4" w:rsidRDefault="00CB28E4" w:rsidP="00CB28E4">
    <w:pPr>
      <w:pStyle w:val="a5"/>
      <w:pBdr>
        <w:top w:val="single" w:sz="4" w:space="1" w:color="auto"/>
        <w:between w:val="single" w:sz="4" w:space="0" w:color="auto"/>
      </w:pBdr>
      <w:spacing w:after="60"/>
      <w:jc w:val="center"/>
      <w:rPr>
        <w:rFonts w:ascii="FrankRuehl" w:hAnsi="FrankRuehl" w:cs="FrankRuehl"/>
        <w:color w:val="000000"/>
      </w:rPr>
    </w:pPr>
    <w:r w:rsidRPr="00CB28E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5FDF" w14:textId="77777777" w:rsidR="00CB28E4" w:rsidRDefault="00CB28E4" w:rsidP="00CB28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1D15">
      <w:rPr>
        <w:rFonts w:ascii="FrankRuehl" w:hAnsi="FrankRuehl" w:cs="FrankRuehl"/>
        <w:noProof/>
        <w:rtl/>
      </w:rPr>
      <w:t>1</w:t>
    </w:r>
    <w:r>
      <w:rPr>
        <w:rFonts w:ascii="FrankRuehl" w:hAnsi="FrankRuehl" w:cs="FrankRuehl"/>
        <w:rtl/>
      </w:rPr>
      <w:fldChar w:fldCharType="end"/>
    </w:r>
  </w:p>
  <w:p w14:paraId="17A6BA37" w14:textId="77777777" w:rsidR="00B71B01" w:rsidRPr="00CB28E4" w:rsidRDefault="00CB28E4" w:rsidP="00CB28E4">
    <w:pPr>
      <w:pStyle w:val="a5"/>
      <w:pBdr>
        <w:top w:val="single" w:sz="4" w:space="1" w:color="auto"/>
        <w:between w:val="single" w:sz="4" w:space="0" w:color="auto"/>
      </w:pBdr>
      <w:spacing w:after="60"/>
      <w:jc w:val="center"/>
      <w:rPr>
        <w:rFonts w:ascii="FrankRuehl" w:hAnsi="FrankRuehl" w:cs="FrankRuehl"/>
        <w:color w:val="000000"/>
      </w:rPr>
    </w:pPr>
    <w:r w:rsidRPr="00CB28E4">
      <w:rPr>
        <w:rFonts w:ascii="FrankRuehl" w:hAnsi="FrankRuehl" w:cs="FrankRuehl"/>
        <w:color w:val="000000"/>
      </w:rPr>
      <w:pict w14:anchorId="30FE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5D6BB" w14:textId="77777777" w:rsidR="003838C2" w:rsidRDefault="003838C2" w:rsidP="005A5092">
      <w:r>
        <w:separator/>
      </w:r>
    </w:p>
  </w:footnote>
  <w:footnote w:type="continuationSeparator" w:id="0">
    <w:p w14:paraId="06B7B73B" w14:textId="77777777" w:rsidR="003838C2" w:rsidRDefault="003838C2" w:rsidP="005A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E3D90" w14:textId="77777777" w:rsidR="008314CF" w:rsidRPr="00CB28E4" w:rsidRDefault="00CB28E4" w:rsidP="00CB28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61158-05-20</w:t>
    </w:r>
    <w:r>
      <w:rPr>
        <w:rFonts w:ascii="David" w:hAnsi="David"/>
        <w:color w:val="000000"/>
        <w:sz w:val="22"/>
        <w:szCs w:val="22"/>
        <w:rtl/>
      </w:rPr>
      <w:tab/>
      <w:t xml:space="preserve"> מדינת ישראל נ' רמאדאן סקא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59B9A" w14:textId="77777777" w:rsidR="008314CF" w:rsidRPr="00CB28E4" w:rsidRDefault="00CB28E4" w:rsidP="00CB28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61158-05-20</w:t>
    </w:r>
    <w:r>
      <w:rPr>
        <w:rFonts w:ascii="David" w:hAnsi="David"/>
        <w:color w:val="000000"/>
        <w:sz w:val="22"/>
        <w:szCs w:val="22"/>
        <w:rtl/>
      </w:rPr>
      <w:tab/>
      <w:t xml:space="preserve"> מדינת ישראל נ' רמאדאן סקא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217B"/>
    <w:multiLevelType w:val="hybridMultilevel"/>
    <w:tmpl w:val="DE7AAAF4"/>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C65038A"/>
    <w:multiLevelType w:val="hybridMultilevel"/>
    <w:tmpl w:val="9D985BC8"/>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2D7604"/>
    <w:multiLevelType w:val="hybridMultilevel"/>
    <w:tmpl w:val="9D985BC8"/>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9622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7777207">
    <w:abstractNumId w:val="2"/>
  </w:num>
  <w:num w:numId="3" w16cid:durableId="914894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2DF6"/>
    <w:rsid w:val="001B5A3B"/>
    <w:rsid w:val="00230679"/>
    <w:rsid w:val="0025698A"/>
    <w:rsid w:val="003838C2"/>
    <w:rsid w:val="003E6254"/>
    <w:rsid w:val="0040760F"/>
    <w:rsid w:val="005A5092"/>
    <w:rsid w:val="007D6D33"/>
    <w:rsid w:val="008143C1"/>
    <w:rsid w:val="008314CF"/>
    <w:rsid w:val="00912DF6"/>
    <w:rsid w:val="00A37FD3"/>
    <w:rsid w:val="00B11D15"/>
    <w:rsid w:val="00B71B01"/>
    <w:rsid w:val="00BF6B9B"/>
    <w:rsid w:val="00CB28E4"/>
    <w:rsid w:val="00ED50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45F63E"/>
  <w15:chartTrackingRefBased/>
  <w15:docId w15:val="{AFC58D85-6906-4D00-993A-73FEED09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D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2DF6"/>
    <w:pPr>
      <w:tabs>
        <w:tab w:val="center" w:pos="4153"/>
        <w:tab w:val="right" w:pos="8306"/>
      </w:tabs>
    </w:pPr>
  </w:style>
  <w:style w:type="character" w:customStyle="1" w:styleId="a4">
    <w:name w:val="כותרת עליונה תו"/>
    <w:link w:val="a3"/>
    <w:rsid w:val="00912DF6"/>
    <w:rPr>
      <w:rFonts w:ascii="Times New Roman" w:eastAsia="Times New Roman" w:hAnsi="Times New Roman" w:cs="David"/>
      <w:sz w:val="24"/>
      <w:szCs w:val="24"/>
    </w:rPr>
  </w:style>
  <w:style w:type="paragraph" w:styleId="a5">
    <w:name w:val="footer"/>
    <w:basedOn w:val="a"/>
    <w:link w:val="a6"/>
    <w:rsid w:val="00912DF6"/>
    <w:pPr>
      <w:tabs>
        <w:tab w:val="center" w:pos="4153"/>
        <w:tab w:val="right" w:pos="8306"/>
      </w:tabs>
    </w:pPr>
  </w:style>
  <w:style w:type="character" w:customStyle="1" w:styleId="a6">
    <w:name w:val="כותרת תחתונה תו"/>
    <w:link w:val="a5"/>
    <w:rsid w:val="00912DF6"/>
    <w:rPr>
      <w:rFonts w:ascii="Times New Roman" w:eastAsia="Times New Roman" w:hAnsi="Times New Roman" w:cs="David"/>
      <w:sz w:val="24"/>
      <w:szCs w:val="24"/>
    </w:rPr>
  </w:style>
  <w:style w:type="table" w:styleId="a7">
    <w:name w:val="Table Grid"/>
    <w:basedOn w:val="a1"/>
    <w:rsid w:val="00912D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2DF6"/>
  </w:style>
  <w:style w:type="character" w:customStyle="1" w:styleId="TimesNewRomanTimesNewRoman">
    <w:name w:val="סגנון (לטיני) Times New Roman (עברית ושפות אחרות) Times New Roman..."/>
    <w:rsid w:val="00912DF6"/>
    <w:rPr>
      <w:rFonts w:ascii="Times New Roman" w:hAnsi="Times New Roman" w:cs="David" w:hint="default"/>
      <w:b/>
      <w:bCs/>
      <w:sz w:val="26"/>
      <w:szCs w:val="26"/>
    </w:rPr>
  </w:style>
  <w:style w:type="paragraph" w:styleId="a9">
    <w:name w:val="List Paragraph"/>
    <w:basedOn w:val="a"/>
    <w:qFormat/>
    <w:rsid w:val="00912DF6"/>
    <w:pPr>
      <w:ind w:left="720"/>
      <w:contextualSpacing/>
    </w:pPr>
  </w:style>
  <w:style w:type="character" w:styleId="Hyperlink">
    <w:name w:val="Hyperlink"/>
    <w:rsid w:val="00831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6934681" TargetMode="External"/><Relationship Id="rId39" Type="http://schemas.openxmlformats.org/officeDocument/2006/relationships/hyperlink" Target="http://www.nevo.co.il/case/11279208"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677931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4745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3750625" TargetMode="External"/><Relationship Id="rId32" Type="http://schemas.openxmlformats.org/officeDocument/2006/relationships/hyperlink" Target="http://www.nevo.co.il/case/26853526" TargetMode="External"/><Relationship Id="rId37" Type="http://schemas.openxmlformats.org/officeDocument/2006/relationships/hyperlink" Target="http://www.nevo.co.il/case/23750765" TargetMode="External"/><Relationship Id="rId40" Type="http://schemas.openxmlformats.org/officeDocument/2006/relationships/hyperlink" Target="http://www.nevo.co.il/case/1131117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7087184" TargetMode="External"/><Relationship Id="rId36" Type="http://schemas.openxmlformats.org/officeDocument/2006/relationships/hyperlink" Target="http://www.nevo.co.il/case/25842649"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694929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20446658" TargetMode="External"/><Relationship Id="rId35" Type="http://schemas.openxmlformats.org/officeDocument/2006/relationships/hyperlink" Target="http://www.nevo.co.il/case/24194196" TargetMode="External"/><Relationship Id="rId43"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5750733" TargetMode="External"/><Relationship Id="rId25" Type="http://schemas.openxmlformats.org/officeDocument/2006/relationships/hyperlink" Target="http://www.nevo.co.il/case/27087184" TargetMode="External"/><Relationship Id="rId33" Type="http://schemas.openxmlformats.org/officeDocument/2006/relationships/hyperlink" Target="http://www.nevo.co.il/case/26631078" TargetMode="External"/><Relationship Id="rId38" Type="http://schemas.openxmlformats.org/officeDocument/2006/relationships/hyperlink" Target="http://www.nevo.co.il/case/4467687" TargetMode="External"/><Relationship Id="rId46" Type="http://schemas.openxmlformats.org/officeDocument/2006/relationships/fontTable" Target="fontTable.xml"/><Relationship Id="rId20" Type="http://schemas.openxmlformats.org/officeDocument/2006/relationships/hyperlink" Target="http://www.nevo.co.il/case/587868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3131</Words>
  <Characters>15657</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18751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3407989</vt:i4>
      </vt:variant>
      <vt:variant>
        <vt:i4>99</vt:i4>
      </vt:variant>
      <vt:variant>
        <vt:i4>0</vt:i4>
      </vt:variant>
      <vt:variant>
        <vt:i4>5</vt:i4>
      </vt:variant>
      <vt:variant>
        <vt:lpwstr>http://www.nevo.co.il/case/11311174</vt:lpwstr>
      </vt:variant>
      <vt:variant>
        <vt:lpwstr/>
      </vt:variant>
      <vt:variant>
        <vt:i4>3801200</vt:i4>
      </vt:variant>
      <vt:variant>
        <vt:i4>96</vt:i4>
      </vt:variant>
      <vt:variant>
        <vt:i4>0</vt:i4>
      </vt:variant>
      <vt:variant>
        <vt:i4>5</vt:i4>
      </vt:variant>
      <vt:variant>
        <vt:lpwstr>http://www.nevo.co.il/case/11279208</vt:lpwstr>
      </vt:variant>
      <vt:variant>
        <vt:lpwstr/>
      </vt:variant>
      <vt:variant>
        <vt:i4>3342463</vt:i4>
      </vt:variant>
      <vt:variant>
        <vt:i4>93</vt:i4>
      </vt:variant>
      <vt:variant>
        <vt:i4>0</vt:i4>
      </vt:variant>
      <vt:variant>
        <vt:i4>5</vt:i4>
      </vt:variant>
      <vt:variant>
        <vt:lpwstr>http://www.nevo.co.il/case/4467687</vt:lpwstr>
      </vt:variant>
      <vt:variant>
        <vt:lpwstr/>
      </vt:variant>
      <vt:variant>
        <vt:i4>3342453</vt:i4>
      </vt:variant>
      <vt:variant>
        <vt:i4>90</vt:i4>
      </vt:variant>
      <vt:variant>
        <vt:i4>0</vt:i4>
      </vt:variant>
      <vt:variant>
        <vt:i4>5</vt:i4>
      </vt:variant>
      <vt:variant>
        <vt:lpwstr>http://www.nevo.co.il/case/23750765</vt:lpwstr>
      </vt:variant>
      <vt:variant>
        <vt:lpwstr/>
      </vt:variant>
      <vt:variant>
        <vt:i4>3932275</vt:i4>
      </vt:variant>
      <vt:variant>
        <vt:i4>87</vt:i4>
      </vt:variant>
      <vt:variant>
        <vt:i4>0</vt:i4>
      </vt:variant>
      <vt:variant>
        <vt:i4>5</vt:i4>
      </vt:variant>
      <vt:variant>
        <vt:lpwstr>http://www.nevo.co.il/case/25842649</vt:lpwstr>
      </vt:variant>
      <vt:variant>
        <vt:lpwstr/>
      </vt:variant>
      <vt:variant>
        <vt:i4>4063352</vt:i4>
      </vt:variant>
      <vt:variant>
        <vt:i4>84</vt:i4>
      </vt:variant>
      <vt:variant>
        <vt:i4>0</vt:i4>
      </vt:variant>
      <vt:variant>
        <vt:i4>5</vt:i4>
      </vt:variant>
      <vt:variant>
        <vt:lpwstr>http://www.nevo.co.il/case/24194196</vt:lpwstr>
      </vt:variant>
      <vt:variant>
        <vt:lpwstr/>
      </vt:variant>
      <vt:variant>
        <vt:i4>3997814</vt:i4>
      </vt:variant>
      <vt:variant>
        <vt:i4>81</vt:i4>
      </vt:variant>
      <vt:variant>
        <vt:i4>0</vt:i4>
      </vt:variant>
      <vt:variant>
        <vt:i4>5</vt:i4>
      </vt:variant>
      <vt:variant>
        <vt:lpwstr>http://www.nevo.co.il/case/26779313</vt:lpwstr>
      </vt:variant>
      <vt:variant>
        <vt:lpwstr/>
      </vt:variant>
      <vt:variant>
        <vt:i4>3276913</vt:i4>
      </vt:variant>
      <vt:variant>
        <vt:i4>78</vt:i4>
      </vt:variant>
      <vt:variant>
        <vt:i4>0</vt:i4>
      </vt:variant>
      <vt:variant>
        <vt:i4>5</vt:i4>
      </vt:variant>
      <vt:variant>
        <vt:lpwstr>http://www.nevo.co.il/case/26631078</vt:lpwstr>
      </vt:variant>
      <vt:variant>
        <vt:lpwstr/>
      </vt:variant>
      <vt:variant>
        <vt:i4>3866738</vt:i4>
      </vt:variant>
      <vt:variant>
        <vt:i4>75</vt:i4>
      </vt:variant>
      <vt:variant>
        <vt:i4>0</vt:i4>
      </vt:variant>
      <vt:variant>
        <vt:i4>5</vt:i4>
      </vt:variant>
      <vt:variant>
        <vt:lpwstr>http://www.nevo.co.il/case/26853526</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3473526</vt:i4>
      </vt:variant>
      <vt:variant>
        <vt:i4>69</vt:i4>
      </vt:variant>
      <vt:variant>
        <vt:i4>0</vt:i4>
      </vt:variant>
      <vt:variant>
        <vt:i4>5</vt:i4>
      </vt:variant>
      <vt:variant>
        <vt:lpwstr>http://www.nevo.co.il/case/20446658</vt:lpwstr>
      </vt:variant>
      <vt:variant>
        <vt:lpwstr/>
      </vt:variant>
      <vt:variant>
        <vt:i4>3342455</vt:i4>
      </vt:variant>
      <vt:variant>
        <vt:i4>66</vt:i4>
      </vt:variant>
      <vt:variant>
        <vt:i4>0</vt:i4>
      </vt:variant>
      <vt:variant>
        <vt:i4>5</vt:i4>
      </vt:variant>
      <vt:variant>
        <vt:lpwstr>http://www.nevo.co.il/case/21474514</vt:lpwstr>
      </vt:variant>
      <vt:variant>
        <vt:lpwstr/>
      </vt:variant>
      <vt:variant>
        <vt:i4>3997818</vt:i4>
      </vt:variant>
      <vt:variant>
        <vt:i4>63</vt:i4>
      </vt:variant>
      <vt:variant>
        <vt:i4>0</vt:i4>
      </vt:variant>
      <vt:variant>
        <vt:i4>5</vt:i4>
      </vt:variant>
      <vt:variant>
        <vt:lpwstr>http://www.nevo.co.il/case/27087184</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3604599</vt:i4>
      </vt:variant>
      <vt:variant>
        <vt:i4>57</vt:i4>
      </vt:variant>
      <vt:variant>
        <vt:i4>0</vt:i4>
      </vt:variant>
      <vt:variant>
        <vt:i4>5</vt:i4>
      </vt:variant>
      <vt:variant>
        <vt:lpwstr>http://www.nevo.co.il/case/26934681</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3604596</vt:i4>
      </vt:variant>
      <vt:variant>
        <vt:i4>51</vt:i4>
      </vt:variant>
      <vt:variant>
        <vt:i4>0</vt:i4>
      </vt:variant>
      <vt:variant>
        <vt:i4>5</vt:i4>
      </vt:variant>
      <vt:variant>
        <vt:lpwstr>http://www.nevo.co.il/case/23750625</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3539059</vt:i4>
      </vt:variant>
      <vt:variant>
        <vt:i4>30</vt:i4>
      </vt:variant>
      <vt:variant>
        <vt:i4>0</vt:i4>
      </vt:variant>
      <vt:variant>
        <vt:i4>5</vt:i4>
      </vt:variant>
      <vt:variant>
        <vt:lpwstr>http://www.nevo.co.il/case/25750733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61158</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רמאדאן סקא</vt:lpwstr>
  </property>
  <property fmtid="{D5CDD505-2E9C-101B-9397-08002B2CF9AE}" pid="10" name="LAWYER">
    <vt:lpwstr>ענת בן זאב; שלי קוטין;שאדי כבהא</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20210224</vt:lpwstr>
  </property>
  <property fmtid="{D5CDD505-2E9C-101B-9397-08002B2CF9AE}" pid="14" name="TYPE_N_DATE">
    <vt:lpwstr>39020210224</vt:lpwstr>
  </property>
  <property fmtid="{D5CDD505-2E9C-101B-9397-08002B2CF9AE}" pid="15" name="WORDNUMPAGES">
    <vt:lpwstr>9</vt:lpwstr>
  </property>
  <property fmtid="{D5CDD505-2E9C-101B-9397-08002B2CF9AE}" pid="16" name="TYPE_ABS_DATE">
    <vt:lpwstr>390020210224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25750733;5878682;25824863;7791493;6473037;23750625;27087184:2;26934681;25612982;21474514;20446658;6949290;26853526;26631078;26779313;24194196;25842649;23750765;4467687;11279208;11311174</vt:lpwstr>
  </property>
  <property fmtid="{D5CDD505-2E9C-101B-9397-08002B2CF9AE}" pid="36" name="LAWLISTTMP1">
    <vt:lpwstr>70301/144.b</vt:lpwstr>
  </property>
  <property fmtid="{D5CDD505-2E9C-101B-9397-08002B2CF9AE}" pid="37" name="LAWLISTTMP2">
    <vt:lpwstr>4216/007.a:2;007.c:2</vt:lpwstr>
  </property>
</Properties>
</file>