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3790A" w:rsidRPr="002648D0" w14:paraId="17436D36" w14:textId="77777777" w:rsidTr="008B6AA2">
        <w:trPr>
          <w:trHeight w:hRule="exact" w:val="418"/>
          <w:jc w:val="center"/>
        </w:trPr>
        <w:tc>
          <w:tcPr>
            <w:tcW w:w="8721" w:type="dxa"/>
            <w:gridSpan w:val="2"/>
          </w:tcPr>
          <w:p w14:paraId="637B9657" w14:textId="77777777" w:rsidR="00E3790A" w:rsidRPr="002648D0" w:rsidRDefault="00E3790A" w:rsidP="002916E3">
            <w:pPr>
              <w:pStyle w:val="a3"/>
              <w:jc w:val="center"/>
              <w:rPr>
                <w:rFonts w:ascii="Tahoma" w:hAnsi="Tahoma" w:cs="Tahoma"/>
                <w:color w:val="000080"/>
                <w:rtl/>
              </w:rPr>
            </w:pPr>
            <w:bookmarkStart w:id="0" w:name="FirstLawyer"/>
            <w:bookmarkStart w:id="1" w:name="LastJudge"/>
            <w:r w:rsidRPr="002648D0">
              <w:rPr>
                <w:rFonts w:ascii="Tahoma" w:hAnsi="Tahoma" w:cs="Tahoma"/>
                <w:b/>
                <w:bCs/>
                <w:color w:val="000080"/>
                <w:rtl/>
              </w:rPr>
              <w:t>בית המשפט המחוזי בירושלים</w:t>
            </w:r>
          </w:p>
        </w:tc>
      </w:tr>
      <w:tr w:rsidR="00E3790A" w:rsidRPr="002648D0" w14:paraId="626FCFB3" w14:textId="77777777" w:rsidTr="008B6AA2">
        <w:trPr>
          <w:trHeight w:val="337"/>
          <w:jc w:val="center"/>
        </w:trPr>
        <w:tc>
          <w:tcPr>
            <w:tcW w:w="5054" w:type="dxa"/>
          </w:tcPr>
          <w:p w14:paraId="10C16FC9" w14:textId="77777777" w:rsidR="00E3790A" w:rsidRPr="002648D0" w:rsidRDefault="00E3790A" w:rsidP="002916E3">
            <w:pPr>
              <w:rPr>
                <w:rFonts w:cs="FrankRuehl"/>
                <w:sz w:val="28"/>
                <w:szCs w:val="28"/>
                <w:rtl/>
              </w:rPr>
            </w:pPr>
            <w:r w:rsidRPr="002648D0">
              <w:rPr>
                <w:rFonts w:cs="FrankRuehl"/>
                <w:sz w:val="28"/>
                <w:szCs w:val="28"/>
                <w:rtl/>
              </w:rPr>
              <w:t>ת"פ</w:t>
            </w:r>
            <w:r w:rsidRPr="002648D0">
              <w:rPr>
                <w:rFonts w:cs="FrankRuehl" w:hint="cs"/>
                <w:sz w:val="28"/>
                <w:szCs w:val="28"/>
                <w:rtl/>
              </w:rPr>
              <w:t xml:space="preserve"> </w:t>
            </w:r>
            <w:r w:rsidRPr="002648D0">
              <w:rPr>
                <w:rFonts w:cs="FrankRuehl"/>
                <w:sz w:val="28"/>
                <w:szCs w:val="28"/>
                <w:rtl/>
              </w:rPr>
              <w:t>66430-05-20</w:t>
            </w:r>
            <w:r w:rsidRPr="002648D0">
              <w:rPr>
                <w:rFonts w:cs="FrankRuehl" w:hint="cs"/>
                <w:sz w:val="28"/>
                <w:szCs w:val="28"/>
                <w:rtl/>
              </w:rPr>
              <w:t xml:space="preserve"> </w:t>
            </w:r>
            <w:r w:rsidRPr="002648D0">
              <w:rPr>
                <w:rFonts w:cs="FrankRuehl"/>
                <w:sz w:val="28"/>
                <w:szCs w:val="28"/>
                <w:rtl/>
              </w:rPr>
              <w:t>מדינת ישראל נ' נסאר</w:t>
            </w:r>
            <w:r w:rsidRPr="002648D0">
              <w:rPr>
                <w:rFonts w:cs="FrankRuehl" w:hint="cs"/>
                <w:sz w:val="28"/>
                <w:szCs w:val="28"/>
                <w:rtl/>
              </w:rPr>
              <w:t xml:space="preserve"> </w:t>
            </w:r>
            <w:r w:rsidRPr="002648D0">
              <w:rPr>
                <w:rFonts w:cs="FrankRuehl"/>
                <w:sz w:val="28"/>
                <w:szCs w:val="28"/>
                <w:rtl/>
              </w:rPr>
              <w:t>(עציר)</w:t>
            </w:r>
          </w:p>
          <w:p w14:paraId="67EA2A37" w14:textId="77777777" w:rsidR="00E3790A" w:rsidRPr="002648D0" w:rsidRDefault="00E3790A" w:rsidP="002916E3">
            <w:pPr>
              <w:pStyle w:val="a3"/>
              <w:rPr>
                <w:rFonts w:cs="FrankRuehl"/>
                <w:sz w:val="28"/>
                <w:szCs w:val="28"/>
                <w:rtl/>
              </w:rPr>
            </w:pPr>
          </w:p>
        </w:tc>
        <w:tc>
          <w:tcPr>
            <w:tcW w:w="3667" w:type="dxa"/>
          </w:tcPr>
          <w:p w14:paraId="1D6262AA" w14:textId="77777777" w:rsidR="00E3790A" w:rsidRPr="002648D0" w:rsidRDefault="00E3790A" w:rsidP="002916E3">
            <w:pPr>
              <w:pStyle w:val="a3"/>
              <w:jc w:val="right"/>
              <w:rPr>
                <w:rFonts w:cs="FrankRuehl"/>
                <w:sz w:val="28"/>
                <w:szCs w:val="28"/>
                <w:rtl/>
              </w:rPr>
            </w:pPr>
          </w:p>
        </w:tc>
      </w:tr>
    </w:tbl>
    <w:p w14:paraId="767FEBDA" w14:textId="77777777" w:rsidR="00E3790A" w:rsidRPr="002648D0" w:rsidRDefault="00E3790A" w:rsidP="00E3790A">
      <w:pPr>
        <w:pStyle w:val="a3"/>
        <w:tabs>
          <w:tab w:val="clear" w:pos="4153"/>
          <w:tab w:val="clear" w:pos="8306"/>
          <w:tab w:val="left" w:pos="1090"/>
        </w:tabs>
        <w:rPr>
          <w:sz w:val="2"/>
          <w:szCs w:val="2"/>
          <w:rtl/>
        </w:rPr>
      </w:pPr>
    </w:p>
    <w:p w14:paraId="248804A1" w14:textId="77777777" w:rsidR="00E3790A" w:rsidRPr="002648D0" w:rsidRDefault="00E3790A" w:rsidP="00E3790A">
      <w:pPr>
        <w:rPr>
          <w:rtl/>
        </w:rPr>
      </w:pPr>
    </w:p>
    <w:p w14:paraId="112666D6" w14:textId="77777777" w:rsidR="00E3790A" w:rsidRPr="002648D0" w:rsidRDefault="00E3790A" w:rsidP="00E3790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062"/>
        <w:gridCol w:w="2835"/>
      </w:tblGrid>
      <w:tr w:rsidR="00E3790A" w:rsidRPr="002648D0" w14:paraId="001BA621" w14:textId="77777777" w:rsidTr="00E3790A">
        <w:trPr>
          <w:trHeight w:val="295"/>
          <w:jc w:val="center"/>
        </w:trPr>
        <w:tc>
          <w:tcPr>
            <w:tcW w:w="923" w:type="dxa"/>
            <w:tcBorders>
              <w:top w:val="nil"/>
              <w:left w:val="nil"/>
              <w:bottom w:val="nil"/>
              <w:right w:val="nil"/>
            </w:tcBorders>
            <w:shd w:val="clear" w:color="auto" w:fill="auto"/>
          </w:tcPr>
          <w:p w14:paraId="0943EB20" w14:textId="77777777" w:rsidR="00E3790A" w:rsidRPr="002648D0" w:rsidRDefault="00E3790A" w:rsidP="00E3790A">
            <w:pPr>
              <w:jc w:val="both"/>
              <w:rPr>
                <w:rFonts w:ascii="Arial" w:hAnsi="Arial" w:cs="FrankRuehl"/>
                <w:sz w:val="28"/>
                <w:szCs w:val="28"/>
              </w:rPr>
            </w:pPr>
            <w:r w:rsidRPr="002648D0">
              <w:rPr>
                <w:rFonts w:ascii="Arial" w:hAnsi="Arial" w:cs="FrankRuehl" w:hint="cs"/>
                <w:sz w:val="28"/>
                <w:szCs w:val="28"/>
                <w:rtl/>
              </w:rPr>
              <w:t>ב</w:t>
            </w:r>
            <w:r w:rsidRPr="002648D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D9FD3C4" w14:textId="77777777" w:rsidR="00E3790A" w:rsidRPr="002648D0" w:rsidRDefault="00E3790A" w:rsidP="002916E3">
            <w:pPr>
              <w:rPr>
                <w:rFonts w:ascii="Arial" w:hAnsi="Arial"/>
                <w:b/>
                <w:bCs/>
                <w:rtl/>
              </w:rPr>
            </w:pPr>
            <w:r w:rsidRPr="002648D0">
              <w:rPr>
                <w:rFonts w:ascii="Arial" w:hAnsi="Arial" w:hint="cs"/>
                <w:b/>
                <w:bCs/>
                <w:rtl/>
              </w:rPr>
              <w:t>כבוד ה</w:t>
            </w:r>
            <w:r w:rsidRPr="002648D0">
              <w:rPr>
                <w:rFonts w:ascii="Arial" w:hAnsi="Arial"/>
                <w:b/>
                <w:bCs/>
                <w:rtl/>
              </w:rPr>
              <w:t>שופטת</w:t>
            </w:r>
            <w:r w:rsidRPr="002648D0">
              <w:rPr>
                <w:rFonts w:ascii="Arial" w:hAnsi="Arial" w:hint="cs"/>
                <w:b/>
                <w:bCs/>
                <w:rtl/>
              </w:rPr>
              <w:t xml:space="preserve">  </w:t>
            </w:r>
            <w:r w:rsidRPr="002648D0">
              <w:rPr>
                <w:rFonts w:ascii="Arial" w:hAnsi="Arial"/>
                <w:b/>
                <w:bCs/>
                <w:rtl/>
              </w:rPr>
              <w:t>חנה מרים לומפ</w:t>
            </w:r>
          </w:p>
          <w:p w14:paraId="478BAEF7" w14:textId="77777777" w:rsidR="00E3790A" w:rsidRPr="002648D0" w:rsidRDefault="00E3790A" w:rsidP="002916E3">
            <w:pPr>
              <w:rPr>
                <w:rtl/>
              </w:rPr>
            </w:pPr>
          </w:p>
          <w:p w14:paraId="54C40C60" w14:textId="77777777" w:rsidR="00E3790A" w:rsidRPr="002648D0" w:rsidRDefault="00E3790A" w:rsidP="00E3790A">
            <w:pPr>
              <w:jc w:val="both"/>
              <w:rPr>
                <w:rFonts w:ascii="Arial" w:hAnsi="Arial" w:cs="FrankRuehl"/>
                <w:sz w:val="28"/>
                <w:szCs w:val="28"/>
              </w:rPr>
            </w:pPr>
          </w:p>
        </w:tc>
      </w:tr>
      <w:tr w:rsidR="00E3790A" w:rsidRPr="002648D0" w14:paraId="104C1B53" w14:textId="77777777" w:rsidTr="00E3790A">
        <w:trPr>
          <w:trHeight w:val="355"/>
          <w:jc w:val="center"/>
        </w:trPr>
        <w:tc>
          <w:tcPr>
            <w:tcW w:w="923" w:type="dxa"/>
            <w:tcBorders>
              <w:top w:val="nil"/>
              <w:left w:val="nil"/>
              <w:bottom w:val="nil"/>
              <w:right w:val="nil"/>
            </w:tcBorders>
            <w:shd w:val="clear" w:color="auto" w:fill="auto"/>
          </w:tcPr>
          <w:p w14:paraId="3FC0FF01" w14:textId="77777777" w:rsidR="00E3790A" w:rsidRPr="002648D0" w:rsidRDefault="00E3790A" w:rsidP="00E3790A">
            <w:pPr>
              <w:jc w:val="both"/>
              <w:rPr>
                <w:rFonts w:ascii="Arial" w:hAnsi="Arial" w:cs="FrankRuehl"/>
                <w:sz w:val="28"/>
                <w:szCs w:val="28"/>
              </w:rPr>
            </w:pPr>
            <w:bookmarkStart w:id="2" w:name="FirstAppellant"/>
            <w:r w:rsidRPr="002648D0">
              <w:rPr>
                <w:rFonts w:ascii="Arial" w:hAnsi="Arial" w:cs="FrankRuehl" w:hint="cs"/>
                <w:sz w:val="28"/>
                <w:szCs w:val="28"/>
                <w:rtl/>
              </w:rPr>
              <w:t>בעניין:</w:t>
            </w:r>
          </w:p>
        </w:tc>
        <w:tc>
          <w:tcPr>
            <w:tcW w:w="5062" w:type="dxa"/>
            <w:tcBorders>
              <w:top w:val="nil"/>
              <w:left w:val="nil"/>
              <w:bottom w:val="nil"/>
              <w:right w:val="nil"/>
            </w:tcBorders>
            <w:shd w:val="clear" w:color="auto" w:fill="auto"/>
          </w:tcPr>
          <w:p w14:paraId="6A0399FC" w14:textId="77777777" w:rsidR="00E3790A" w:rsidRPr="002648D0" w:rsidRDefault="00E3790A" w:rsidP="002916E3">
            <w:pPr>
              <w:rPr>
                <w:rFonts w:ascii="David" w:hAnsi="David"/>
                <w:sz w:val="26"/>
                <w:szCs w:val="26"/>
              </w:rPr>
            </w:pPr>
            <w:r w:rsidRPr="002648D0">
              <w:rPr>
                <w:rFonts w:ascii="David" w:hAnsi="David"/>
                <w:b/>
                <w:bCs/>
                <w:sz w:val="26"/>
                <w:szCs w:val="26"/>
                <w:rtl/>
              </w:rPr>
              <w:t>מדינת ישראל</w:t>
            </w:r>
            <w:r w:rsidRPr="002648D0">
              <w:rPr>
                <w:rFonts w:ascii="David" w:hAnsi="David"/>
                <w:b/>
                <w:bCs/>
                <w:sz w:val="26"/>
                <w:szCs w:val="26"/>
                <w:rtl/>
              </w:rPr>
              <w:br/>
            </w:r>
            <w:r w:rsidRPr="002648D0">
              <w:rPr>
                <w:rFonts w:ascii="David" w:hAnsi="David"/>
                <w:sz w:val="26"/>
                <w:szCs w:val="26"/>
                <w:rtl/>
              </w:rPr>
              <w:t>באמצעות פרקליטות מחוז ירושלים (פלילי)</w:t>
            </w:r>
            <w:r w:rsidRPr="002648D0">
              <w:rPr>
                <w:rFonts w:ascii="David" w:hAnsi="David"/>
                <w:sz w:val="26"/>
                <w:szCs w:val="26"/>
                <w:rtl/>
              </w:rPr>
              <w:br/>
              <w:t>על ידי ב"כ עו"ד ספיר מרדכי</w:t>
            </w:r>
          </w:p>
        </w:tc>
        <w:tc>
          <w:tcPr>
            <w:tcW w:w="2835" w:type="dxa"/>
            <w:tcBorders>
              <w:top w:val="nil"/>
              <w:left w:val="nil"/>
              <w:bottom w:val="nil"/>
              <w:right w:val="nil"/>
            </w:tcBorders>
            <w:shd w:val="clear" w:color="auto" w:fill="auto"/>
          </w:tcPr>
          <w:p w14:paraId="273751DC" w14:textId="77777777" w:rsidR="00E3790A" w:rsidRPr="002648D0" w:rsidRDefault="00E3790A" w:rsidP="00E3790A">
            <w:pPr>
              <w:jc w:val="both"/>
              <w:rPr>
                <w:rFonts w:ascii="Arial" w:hAnsi="Arial" w:cs="FrankRuehl"/>
                <w:sz w:val="28"/>
                <w:szCs w:val="28"/>
              </w:rPr>
            </w:pPr>
          </w:p>
        </w:tc>
      </w:tr>
      <w:bookmarkEnd w:id="2"/>
      <w:tr w:rsidR="00E3790A" w:rsidRPr="002648D0" w14:paraId="5E86135C" w14:textId="77777777" w:rsidTr="00E3790A">
        <w:trPr>
          <w:trHeight w:val="355"/>
          <w:jc w:val="center"/>
        </w:trPr>
        <w:tc>
          <w:tcPr>
            <w:tcW w:w="923" w:type="dxa"/>
            <w:tcBorders>
              <w:top w:val="nil"/>
              <w:left w:val="nil"/>
              <w:bottom w:val="nil"/>
              <w:right w:val="nil"/>
            </w:tcBorders>
            <w:shd w:val="clear" w:color="auto" w:fill="auto"/>
          </w:tcPr>
          <w:p w14:paraId="52C0EDAF" w14:textId="77777777" w:rsidR="00E3790A" w:rsidRPr="002648D0" w:rsidRDefault="00E3790A" w:rsidP="00E3790A">
            <w:pPr>
              <w:jc w:val="both"/>
              <w:rPr>
                <w:rFonts w:ascii="Arial" w:hAnsi="Arial" w:cs="FrankRuehl"/>
                <w:sz w:val="28"/>
                <w:szCs w:val="28"/>
                <w:rtl/>
              </w:rPr>
            </w:pPr>
          </w:p>
        </w:tc>
        <w:tc>
          <w:tcPr>
            <w:tcW w:w="5062" w:type="dxa"/>
            <w:tcBorders>
              <w:top w:val="nil"/>
              <w:left w:val="nil"/>
              <w:bottom w:val="nil"/>
              <w:right w:val="nil"/>
            </w:tcBorders>
            <w:shd w:val="clear" w:color="auto" w:fill="auto"/>
          </w:tcPr>
          <w:p w14:paraId="4E6B24B2" w14:textId="77777777" w:rsidR="00E3790A" w:rsidRPr="002648D0" w:rsidRDefault="00E3790A" w:rsidP="00E3790A">
            <w:pPr>
              <w:jc w:val="both"/>
              <w:rPr>
                <w:rFonts w:ascii="David" w:hAnsi="David"/>
                <w:sz w:val="26"/>
                <w:szCs w:val="26"/>
                <w:rtl/>
              </w:rPr>
            </w:pPr>
          </w:p>
        </w:tc>
        <w:tc>
          <w:tcPr>
            <w:tcW w:w="2835" w:type="dxa"/>
            <w:tcBorders>
              <w:top w:val="nil"/>
              <w:left w:val="nil"/>
              <w:bottom w:val="nil"/>
              <w:right w:val="nil"/>
            </w:tcBorders>
            <w:shd w:val="clear" w:color="auto" w:fill="auto"/>
          </w:tcPr>
          <w:p w14:paraId="7F6B9D7F" w14:textId="77777777" w:rsidR="00E3790A" w:rsidRPr="002648D0" w:rsidRDefault="00E3790A" w:rsidP="00E3790A">
            <w:pPr>
              <w:jc w:val="right"/>
              <w:rPr>
                <w:rFonts w:ascii="Arial" w:hAnsi="Arial" w:cs="FrankRuehl"/>
                <w:sz w:val="28"/>
                <w:szCs w:val="28"/>
                <w:rtl/>
              </w:rPr>
            </w:pPr>
            <w:r w:rsidRPr="002648D0">
              <w:rPr>
                <w:rFonts w:ascii="Arial" w:hAnsi="Arial" w:cs="FrankRuehl" w:hint="cs"/>
                <w:sz w:val="28"/>
                <w:szCs w:val="28"/>
                <w:rtl/>
              </w:rPr>
              <w:t>ה</w:t>
            </w:r>
            <w:r w:rsidRPr="002648D0">
              <w:rPr>
                <w:rFonts w:ascii="Arial" w:hAnsi="Arial" w:cs="FrankRuehl"/>
                <w:sz w:val="28"/>
                <w:szCs w:val="28"/>
                <w:rtl/>
              </w:rPr>
              <w:t>מאשימה</w:t>
            </w:r>
          </w:p>
        </w:tc>
      </w:tr>
      <w:tr w:rsidR="00E3790A" w:rsidRPr="002648D0" w14:paraId="6462A3C2" w14:textId="77777777" w:rsidTr="00E3790A">
        <w:trPr>
          <w:trHeight w:val="355"/>
          <w:jc w:val="center"/>
        </w:trPr>
        <w:tc>
          <w:tcPr>
            <w:tcW w:w="923" w:type="dxa"/>
            <w:tcBorders>
              <w:top w:val="nil"/>
              <w:left w:val="nil"/>
              <w:bottom w:val="nil"/>
              <w:right w:val="nil"/>
            </w:tcBorders>
            <w:shd w:val="clear" w:color="auto" w:fill="auto"/>
          </w:tcPr>
          <w:p w14:paraId="58A1A4EF" w14:textId="77777777" w:rsidR="00E3790A" w:rsidRPr="002648D0" w:rsidRDefault="00E3790A" w:rsidP="00E3790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C414FF9" w14:textId="77777777" w:rsidR="00E3790A" w:rsidRPr="002648D0" w:rsidRDefault="00E3790A" w:rsidP="00E3790A">
            <w:pPr>
              <w:jc w:val="center"/>
              <w:rPr>
                <w:rFonts w:ascii="David" w:hAnsi="David"/>
                <w:b/>
                <w:bCs/>
                <w:sz w:val="26"/>
                <w:szCs w:val="26"/>
                <w:rtl/>
              </w:rPr>
            </w:pPr>
          </w:p>
          <w:p w14:paraId="00A5D38F" w14:textId="77777777" w:rsidR="00E3790A" w:rsidRPr="002648D0" w:rsidRDefault="00E3790A" w:rsidP="00E3790A">
            <w:pPr>
              <w:jc w:val="center"/>
              <w:rPr>
                <w:rFonts w:ascii="David" w:hAnsi="David"/>
                <w:b/>
                <w:bCs/>
                <w:sz w:val="26"/>
                <w:szCs w:val="26"/>
                <w:rtl/>
              </w:rPr>
            </w:pPr>
            <w:r w:rsidRPr="002648D0">
              <w:rPr>
                <w:rFonts w:ascii="David" w:hAnsi="David"/>
                <w:b/>
                <w:bCs/>
                <w:sz w:val="26"/>
                <w:szCs w:val="26"/>
                <w:rtl/>
              </w:rPr>
              <w:t>נגד</w:t>
            </w:r>
          </w:p>
          <w:p w14:paraId="74B1CF17" w14:textId="77777777" w:rsidR="00E3790A" w:rsidRPr="002648D0" w:rsidRDefault="00E3790A" w:rsidP="00E3790A">
            <w:pPr>
              <w:jc w:val="both"/>
              <w:rPr>
                <w:rFonts w:ascii="David" w:hAnsi="David"/>
                <w:sz w:val="26"/>
                <w:szCs w:val="26"/>
              </w:rPr>
            </w:pPr>
          </w:p>
        </w:tc>
      </w:tr>
      <w:tr w:rsidR="00E3790A" w:rsidRPr="002648D0" w14:paraId="06FA6018" w14:textId="77777777" w:rsidTr="00E3790A">
        <w:trPr>
          <w:trHeight w:val="355"/>
          <w:jc w:val="center"/>
        </w:trPr>
        <w:tc>
          <w:tcPr>
            <w:tcW w:w="923" w:type="dxa"/>
            <w:tcBorders>
              <w:top w:val="nil"/>
              <w:left w:val="nil"/>
              <w:bottom w:val="nil"/>
              <w:right w:val="nil"/>
            </w:tcBorders>
            <w:shd w:val="clear" w:color="auto" w:fill="auto"/>
          </w:tcPr>
          <w:p w14:paraId="37313F57" w14:textId="77777777" w:rsidR="00E3790A" w:rsidRPr="002648D0" w:rsidRDefault="00E3790A" w:rsidP="002916E3">
            <w:pPr>
              <w:rPr>
                <w:rFonts w:ascii="Arial" w:hAnsi="Arial" w:cs="FrankRuehl"/>
                <w:sz w:val="28"/>
                <w:szCs w:val="28"/>
                <w:rtl/>
              </w:rPr>
            </w:pPr>
          </w:p>
        </w:tc>
        <w:tc>
          <w:tcPr>
            <w:tcW w:w="5062" w:type="dxa"/>
            <w:tcBorders>
              <w:top w:val="nil"/>
              <w:left w:val="nil"/>
              <w:bottom w:val="nil"/>
              <w:right w:val="nil"/>
            </w:tcBorders>
            <w:shd w:val="clear" w:color="auto" w:fill="auto"/>
          </w:tcPr>
          <w:p w14:paraId="7757BBBA" w14:textId="77777777" w:rsidR="00E3790A" w:rsidRPr="002648D0" w:rsidRDefault="00E3790A" w:rsidP="002916E3">
            <w:pPr>
              <w:rPr>
                <w:rFonts w:ascii="David" w:hAnsi="David"/>
                <w:sz w:val="26"/>
                <w:szCs w:val="26"/>
                <w:rtl/>
              </w:rPr>
            </w:pPr>
            <w:r w:rsidRPr="002648D0">
              <w:rPr>
                <w:rFonts w:ascii="David" w:hAnsi="David"/>
                <w:b/>
                <w:bCs/>
                <w:sz w:val="26"/>
                <w:szCs w:val="26"/>
                <w:rtl/>
              </w:rPr>
              <w:t>רמאדן נסאר (עציר)</w:t>
            </w:r>
            <w:r w:rsidRPr="002648D0">
              <w:rPr>
                <w:rFonts w:ascii="David" w:hAnsi="David"/>
                <w:b/>
                <w:bCs/>
                <w:sz w:val="26"/>
                <w:szCs w:val="26"/>
                <w:rtl/>
              </w:rPr>
              <w:br/>
            </w:r>
            <w:r w:rsidRPr="002648D0">
              <w:rPr>
                <w:rFonts w:ascii="David" w:hAnsi="David"/>
                <w:sz w:val="26"/>
                <w:szCs w:val="26"/>
                <w:rtl/>
              </w:rPr>
              <w:t>באמצעות ב"כ עו"ד אנדרה רוזנטל</w:t>
            </w:r>
          </w:p>
        </w:tc>
        <w:tc>
          <w:tcPr>
            <w:tcW w:w="2835" w:type="dxa"/>
            <w:tcBorders>
              <w:top w:val="nil"/>
              <w:left w:val="nil"/>
              <w:bottom w:val="nil"/>
              <w:right w:val="nil"/>
            </w:tcBorders>
            <w:shd w:val="clear" w:color="auto" w:fill="auto"/>
          </w:tcPr>
          <w:p w14:paraId="7BC9C794" w14:textId="77777777" w:rsidR="00E3790A" w:rsidRPr="002648D0" w:rsidRDefault="00E3790A" w:rsidP="00E3790A">
            <w:pPr>
              <w:jc w:val="right"/>
              <w:rPr>
                <w:rFonts w:ascii="Arial" w:hAnsi="Arial" w:cs="FrankRuehl"/>
                <w:sz w:val="28"/>
                <w:szCs w:val="28"/>
              </w:rPr>
            </w:pPr>
          </w:p>
        </w:tc>
      </w:tr>
      <w:tr w:rsidR="00E3790A" w:rsidRPr="002648D0" w14:paraId="5F31DADC" w14:textId="77777777" w:rsidTr="00E3790A">
        <w:trPr>
          <w:trHeight w:val="355"/>
          <w:jc w:val="center"/>
        </w:trPr>
        <w:tc>
          <w:tcPr>
            <w:tcW w:w="923" w:type="dxa"/>
            <w:tcBorders>
              <w:top w:val="nil"/>
              <w:left w:val="nil"/>
              <w:bottom w:val="nil"/>
              <w:right w:val="nil"/>
            </w:tcBorders>
            <w:shd w:val="clear" w:color="auto" w:fill="auto"/>
          </w:tcPr>
          <w:p w14:paraId="4E453EC7" w14:textId="77777777" w:rsidR="00E3790A" w:rsidRPr="002648D0" w:rsidRDefault="00E3790A" w:rsidP="00E3790A">
            <w:pPr>
              <w:jc w:val="both"/>
              <w:rPr>
                <w:rFonts w:ascii="Arial" w:hAnsi="Arial" w:cs="FrankRuehl"/>
                <w:sz w:val="28"/>
                <w:szCs w:val="28"/>
                <w:rtl/>
              </w:rPr>
            </w:pPr>
          </w:p>
        </w:tc>
        <w:tc>
          <w:tcPr>
            <w:tcW w:w="5062" w:type="dxa"/>
            <w:tcBorders>
              <w:top w:val="nil"/>
              <w:left w:val="nil"/>
              <w:bottom w:val="nil"/>
              <w:right w:val="nil"/>
            </w:tcBorders>
            <w:shd w:val="clear" w:color="auto" w:fill="auto"/>
          </w:tcPr>
          <w:p w14:paraId="51862BC3" w14:textId="77777777" w:rsidR="00E3790A" w:rsidRPr="002648D0" w:rsidRDefault="00E3790A" w:rsidP="00E3790A">
            <w:pPr>
              <w:jc w:val="both"/>
              <w:rPr>
                <w:rFonts w:ascii="David" w:hAnsi="David"/>
                <w:sz w:val="26"/>
                <w:szCs w:val="26"/>
                <w:rtl/>
              </w:rPr>
            </w:pPr>
          </w:p>
        </w:tc>
        <w:tc>
          <w:tcPr>
            <w:tcW w:w="2835" w:type="dxa"/>
            <w:tcBorders>
              <w:top w:val="nil"/>
              <w:left w:val="nil"/>
              <w:bottom w:val="nil"/>
              <w:right w:val="nil"/>
            </w:tcBorders>
            <w:shd w:val="clear" w:color="auto" w:fill="auto"/>
          </w:tcPr>
          <w:p w14:paraId="2349BF05" w14:textId="77777777" w:rsidR="00E3790A" w:rsidRPr="002648D0" w:rsidRDefault="00E3790A" w:rsidP="00E3790A">
            <w:pPr>
              <w:jc w:val="right"/>
              <w:rPr>
                <w:rFonts w:ascii="Arial" w:hAnsi="Arial" w:cs="FrankRuehl"/>
                <w:sz w:val="28"/>
                <w:szCs w:val="28"/>
              </w:rPr>
            </w:pPr>
            <w:r w:rsidRPr="002648D0">
              <w:rPr>
                <w:rFonts w:ascii="Arial" w:hAnsi="Arial" w:cs="FrankRuehl" w:hint="cs"/>
                <w:sz w:val="28"/>
                <w:szCs w:val="28"/>
                <w:rtl/>
              </w:rPr>
              <w:t>הנאשם</w:t>
            </w:r>
          </w:p>
        </w:tc>
      </w:tr>
    </w:tbl>
    <w:p w14:paraId="16A62508" w14:textId="77777777" w:rsidR="008B6AA2" w:rsidRDefault="008B6AA2" w:rsidP="002648D0">
      <w:pPr>
        <w:rPr>
          <w:rtl/>
        </w:rPr>
      </w:pPr>
    </w:p>
    <w:p w14:paraId="7EE76816" w14:textId="77777777" w:rsidR="008B6AA2" w:rsidRPr="008B6AA2" w:rsidRDefault="008B6AA2" w:rsidP="008B6AA2">
      <w:pPr>
        <w:spacing w:after="120" w:line="240" w:lineRule="exact"/>
        <w:ind w:left="283" w:hanging="283"/>
        <w:jc w:val="both"/>
        <w:rPr>
          <w:rFonts w:ascii="FrankRuehl" w:hAnsi="FrankRuehl" w:cs="FrankRuehl"/>
          <w:rtl/>
        </w:rPr>
      </w:pPr>
    </w:p>
    <w:p w14:paraId="0E911F70" w14:textId="77777777" w:rsidR="008321D6" w:rsidRDefault="008321D6" w:rsidP="008321D6">
      <w:pPr>
        <w:rPr>
          <w:rtl/>
        </w:rPr>
      </w:pPr>
      <w:bookmarkStart w:id="3" w:name="LawTable"/>
      <w:bookmarkEnd w:id="3"/>
    </w:p>
    <w:p w14:paraId="706FC082" w14:textId="77777777" w:rsidR="008321D6" w:rsidRPr="008321D6" w:rsidRDefault="008321D6" w:rsidP="008321D6">
      <w:pPr>
        <w:spacing w:before="120" w:after="120" w:line="240" w:lineRule="exact"/>
        <w:ind w:left="283" w:hanging="283"/>
        <w:jc w:val="both"/>
        <w:rPr>
          <w:rFonts w:ascii="FrankRuehl" w:hAnsi="FrankRuehl" w:cs="FrankRuehl"/>
          <w:rtl/>
        </w:rPr>
      </w:pPr>
    </w:p>
    <w:p w14:paraId="0A393D9B" w14:textId="77777777" w:rsidR="008321D6" w:rsidRPr="008321D6" w:rsidRDefault="008321D6" w:rsidP="008321D6">
      <w:pPr>
        <w:spacing w:before="120" w:after="120" w:line="240" w:lineRule="exact"/>
        <w:ind w:left="283" w:hanging="283"/>
        <w:jc w:val="both"/>
        <w:rPr>
          <w:rFonts w:ascii="FrankRuehl" w:hAnsi="FrankRuehl" w:cs="FrankRuehl"/>
          <w:rtl/>
        </w:rPr>
      </w:pPr>
    </w:p>
    <w:p w14:paraId="50FD18E2" w14:textId="77777777" w:rsidR="008321D6" w:rsidRPr="008321D6" w:rsidRDefault="008321D6" w:rsidP="008321D6">
      <w:pPr>
        <w:spacing w:before="120" w:after="120" w:line="240" w:lineRule="exact"/>
        <w:ind w:left="283" w:hanging="283"/>
        <w:jc w:val="both"/>
        <w:rPr>
          <w:rFonts w:ascii="FrankRuehl" w:hAnsi="FrankRuehl" w:cs="FrankRuehl"/>
          <w:rtl/>
        </w:rPr>
      </w:pPr>
      <w:r w:rsidRPr="008321D6">
        <w:rPr>
          <w:rFonts w:ascii="FrankRuehl" w:hAnsi="FrankRuehl" w:cs="FrankRuehl"/>
          <w:rtl/>
        </w:rPr>
        <w:t xml:space="preserve">חקיקה שאוזכרה: </w:t>
      </w:r>
    </w:p>
    <w:p w14:paraId="18B06B13" w14:textId="77777777" w:rsidR="008321D6" w:rsidRPr="008321D6" w:rsidRDefault="008321D6" w:rsidP="008321D6">
      <w:pPr>
        <w:spacing w:before="120" w:after="120" w:line="240" w:lineRule="exact"/>
        <w:ind w:left="283" w:hanging="283"/>
        <w:jc w:val="both"/>
        <w:rPr>
          <w:rFonts w:ascii="FrankRuehl" w:hAnsi="FrankRuehl" w:cs="FrankRuehl"/>
          <w:rtl/>
        </w:rPr>
      </w:pPr>
      <w:hyperlink r:id="rId7" w:history="1">
        <w:r w:rsidRPr="008321D6">
          <w:rPr>
            <w:rFonts w:ascii="FrankRuehl" w:hAnsi="FrankRuehl" w:cs="FrankRuehl"/>
            <w:color w:val="0000FF"/>
            <w:rtl/>
          </w:rPr>
          <w:t>חוק העונשין, תשל"ז-1977</w:t>
        </w:r>
      </w:hyperlink>
      <w:r w:rsidRPr="008321D6">
        <w:rPr>
          <w:rFonts w:ascii="FrankRuehl" w:hAnsi="FrankRuehl" w:cs="FrankRuehl"/>
          <w:rtl/>
        </w:rPr>
        <w:t xml:space="preserve">: סע'  </w:t>
      </w:r>
      <w:hyperlink r:id="rId8" w:history="1">
        <w:r w:rsidRPr="008321D6">
          <w:rPr>
            <w:rFonts w:ascii="FrankRuehl" w:hAnsi="FrankRuehl" w:cs="FrankRuehl"/>
            <w:color w:val="0000FF"/>
            <w:rtl/>
          </w:rPr>
          <w:t>40ב'</w:t>
        </w:r>
      </w:hyperlink>
      <w:r w:rsidRPr="008321D6">
        <w:rPr>
          <w:rFonts w:ascii="FrankRuehl" w:hAnsi="FrankRuehl" w:cs="FrankRuehl"/>
          <w:rtl/>
        </w:rPr>
        <w:t xml:space="preserve">, </w:t>
      </w:r>
      <w:hyperlink r:id="rId9" w:history="1">
        <w:r w:rsidRPr="008321D6">
          <w:rPr>
            <w:rFonts w:ascii="FrankRuehl" w:hAnsi="FrankRuehl" w:cs="FrankRuehl"/>
            <w:color w:val="0000FF"/>
            <w:rtl/>
          </w:rPr>
          <w:t>40 ט'</w:t>
        </w:r>
      </w:hyperlink>
      <w:r w:rsidRPr="008321D6">
        <w:rPr>
          <w:rFonts w:ascii="FrankRuehl" w:hAnsi="FrankRuehl" w:cs="FrankRuehl"/>
          <w:rtl/>
        </w:rPr>
        <w:t xml:space="preserve">, </w:t>
      </w:r>
      <w:hyperlink r:id="rId10" w:history="1">
        <w:r w:rsidRPr="008321D6">
          <w:rPr>
            <w:rFonts w:ascii="FrankRuehl" w:hAnsi="FrankRuehl" w:cs="FrankRuehl"/>
            <w:color w:val="0000FF"/>
            <w:rtl/>
          </w:rPr>
          <w:t>144(א)</w:t>
        </w:r>
      </w:hyperlink>
      <w:r w:rsidRPr="008321D6">
        <w:rPr>
          <w:rFonts w:ascii="FrankRuehl" w:hAnsi="FrankRuehl" w:cs="FrankRuehl"/>
          <w:rtl/>
        </w:rPr>
        <w:t xml:space="preserve">, </w:t>
      </w:r>
      <w:hyperlink r:id="rId11" w:history="1">
        <w:r w:rsidRPr="008321D6">
          <w:rPr>
            <w:rFonts w:ascii="FrankRuehl" w:hAnsi="FrankRuehl" w:cs="FrankRuehl"/>
            <w:color w:val="0000FF"/>
            <w:rtl/>
          </w:rPr>
          <w:t>144(ב)</w:t>
        </w:r>
      </w:hyperlink>
      <w:r w:rsidRPr="008321D6">
        <w:rPr>
          <w:rFonts w:ascii="FrankRuehl" w:hAnsi="FrankRuehl" w:cs="FrankRuehl"/>
          <w:rtl/>
        </w:rPr>
        <w:t xml:space="preserve">, </w:t>
      </w:r>
      <w:hyperlink r:id="rId12" w:history="1">
        <w:r w:rsidRPr="008321D6">
          <w:rPr>
            <w:rFonts w:ascii="FrankRuehl" w:hAnsi="FrankRuehl" w:cs="FrankRuehl"/>
            <w:color w:val="0000FF"/>
            <w:rtl/>
          </w:rPr>
          <w:t>144(ב2)</w:t>
        </w:r>
      </w:hyperlink>
      <w:r w:rsidRPr="008321D6">
        <w:rPr>
          <w:rFonts w:ascii="FrankRuehl" w:hAnsi="FrankRuehl" w:cs="FrankRuehl"/>
          <w:rtl/>
        </w:rPr>
        <w:t xml:space="preserve">, </w:t>
      </w:r>
      <w:hyperlink r:id="rId13" w:history="1">
        <w:r w:rsidRPr="008321D6">
          <w:rPr>
            <w:rFonts w:ascii="FrankRuehl" w:hAnsi="FrankRuehl" w:cs="FrankRuehl"/>
            <w:color w:val="0000FF"/>
            <w:rtl/>
          </w:rPr>
          <w:t>40 יא'</w:t>
        </w:r>
      </w:hyperlink>
    </w:p>
    <w:p w14:paraId="43086AA1" w14:textId="77777777" w:rsidR="008321D6" w:rsidRPr="008321D6" w:rsidRDefault="008321D6" w:rsidP="008321D6">
      <w:pPr>
        <w:rPr>
          <w:rtl/>
        </w:rPr>
      </w:pPr>
      <w:bookmarkStart w:id="4" w:name="LawTable_End"/>
      <w:bookmarkEnd w:id="4"/>
    </w:p>
    <w:p w14:paraId="34EF7B34" w14:textId="77777777" w:rsidR="00E3790A" w:rsidRPr="002648D0" w:rsidRDefault="00E3790A" w:rsidP="00E3790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790A" w14:paraId="2FBF9633" w14:textId="77777777" w:rsidTr="00E3790A">
        <w:trPr>
          <w:trHeight w:val="355"/>
          <w:jc w:val="center"/>
        </w:trPr>
        <w:tc>
          <w:tcPr>
            <w:tcW w:w="8820" w:type="dxa"/>
            <w:tcBorders>
              <w:top w:val="nil"/>
              <w:left w:val="nil"/>
              <w:bottom w:val="nil"/>
              <w:right w:val="nil"/>
            </w:tcBorders>
            <w:shd w:val="clear" w:color="auto" w:fill="auto"/>
          </w:tcPr>
          <w:p w14:paraId="62565620" w14:textId="77777777" w:rsidR="002648D0" w:rsidRPr="002648D0" w:rsidRDefault="002648D0" w:rsidP="002648D0">
            <w:pPr>
              <w:jc w:val="center"/>
              <w:rPr>
                <w:rFonts w:ascii="David" w:hAnsi="David"/>
                <w:b/>
                <w:bCs/>
                <w:sz w:val="28"/>
                <w:szCs w:val="28"/>
                <w:u w:val="single"/>
                <w:rtl/>
              </w:rPr>
            </w:pPr>
            <w:bookmarkStart w:id="5" w:name="PsakDin" w:colFirst="0" w:colLast="0"/>
            <w:bookmarkEnd w:id="0"/>
            <w:bookmarkEnd w:id="1"/>
            <w:r w:rsidRPr="002648D0">
              <w:rPr>
                <w:rFonts w:ascii="David" w:hAnsi="David"/>
                <w:b/>
                <w:bCs/>
                <w:sz w:val="28"/>
                <w:szCs w:val="28"/>
                <w:u w:val="single"/>
                <w:rtl/>
              </w:rPr>
              <w:t>גזר-דין</w:t>
            </w:r>
          </w:p>
          <w:p w14:paraId="2532FA78" w14:textId="77777777" w:rsidR="00E3790A" w:rsidRPr="002648D0" w:rsidRDefault="00E3790A" w:rsidP="002648D0">
            <w:pPr>
              <w:jc w:val="center"/>
              <w:rPr>
                <w:rFonts w:ascii="David" w:hAnsi="David"/>
                <w:bCs/>
                <w:sz w:val="28"/>
                <w:szCs w:val="28"/>
                <w:u w:val="single"/>
                <w:rtl/>
              </w:rPr>
            </w:pPr>
          </w:p>
        </w:tc>
      </w:tr>
      <w:bookmarkEnd w:id="5"/>
    </w:tbl>
    <w:p w14:paraId="63F1FCBD" w14:textId="77777777" w:rsidR="00E3790A" w:rsidRPr="00B05847" w:rsidRDefault="00E3790A" w:rsidP="00E3790A">
      <w:pPr>
        <w:rPr>
          <w:rFonts w:ascii="Arial" w:hAnsi="Arial"/>
          <w:rtl/>
        </w:rPr>
      </w:pPr>
    </w:p>
    <w:p w14:paraId="5579D32C" w14:textId="77777777" w:rsidR="00E3790A" w:rsidRPr="00E3790A" w:rsidRDefault="00E3790A" w:rsidP="00E3790A">
      <w:pPr>
        <w:spacing w:after="160" w:line="254" w:lineRule="auto"/>
        <w:ind w:firstLine="422"/>
        <w:rPr>
          <w:rFonts w:ascii="Calibri" w:hAnsi="Calibri"/>
          <w:b/>
          <w:bCs/>
          <w:u w:val="single"/>
          <w:rtl/>
        </w:rPr>
      </w:pPr>
      <w:bookmarkStart w:id="6" w:name="NGCSBookmark"/>
      <w:bookmarkEnd w:id="6"/>
      <w:r w:rsidRPr="00E3790A">
        <w:rPr>
          <w:rFonts w:ascii="Calibri" w:hAnsi="Calibri"/>
          <w:b/>
          <w:bCs/>
          <w:u w:val="single"/>
          <w:rtl/>
        </w:rPr>
        <w:t>רקע</w:t>
      </w:r>
    </w:p>
    <w:p w14:paraId="3DA72A22" w14:textId="77777777" w:rsidR="00E3790A" w:rsidRPr="00E3790A" w:rsidRDefault="00E3790A" w:rsidP="00E3790A">
      <w:pPr>
        <w:numPr>
          <w:ilvl w:val="0"/>
          <w:numId w:val="1"/>
        </w:numPr>
        <w:spacing w:before="120" w:after="120" w:line="360" w:lineRule="auto"/>
        <w:ind w:left="782"/>
        <w:contextualSpacing/>
        <w:jc w:val="both"/>
        <w:rPr>
          <w:rFonts w:ascii="Calibri" w:hAnsi="Calibri"/>
          <w:noProof/>
        </w:rPr>
      </w:pPr>
      <w:bookmarkStart w:id="7" w:name="ABSTRACT_START"/>
      <w:bookmarkEnd w:id="7"/>
      <w:r w:rsidRPr="00E3790A">
        <w:rPr>
          <w:rFonts w:ascii="Calibri" w:hAnsi="Calibri"/>
          <w:rtl/>
        </w:rPr>
        <w:t xml:space="preserve">הנאשם הורשע על פי הודאתו, במסגרת הסדר טיעון בכתב אישום מתוקן, לאחר שחזר בו מכפירתו, בעבירת סחר בנשק לפי </w:t>
      </w:r>
      <w:hyperlink r:id="rId14" w:history="1">
        <w:r w:rsidR="008B6AA2" w:rsidRPr="008B6AA2">
          <w:rPr>
            <w:rStyle w:val="Hyperlink"/>
            <w:rFonts w:ascii="Calibri" w:hAnsi="Calibri" w:hint="eastAsia"/>
            <w:rtl/>
          </w:rPr>
          <w:t>סעיף</w:t>
        </w:r>
        <w:r w:rsidR="008B6AA2" w:rsidRPr="008B6AA2">
          <w:rPr>
            <w:rStyle w:val="Hyperlink"/>
            <w:rFonts w:ascii="Calibri" w:hAnsi="Calibri"/>
            <w:rtl/>
          </w:rPr>
          <w:t xml:space="preserve"> 144(</w:t>
        </w:r>
        <w:r w:rsidR="008B6AA2" w:rsidRPr="008B6AA2">
          <w:rPr>
            <w:rStyle w:val="Hyperlink"/>
            <w:rFonts w:ascii="Calibri" w:hAnsi="Calibri" w:hint="eastAsia"/>
            <w:rtl/>
          </w:rPr>
          <w:t>ב</w:t>
        </w:r>
        <w:r w:rsidR="008B6AA2" w:rsidRPr="008B6AA2">
          <w:rPr>
            <w:rStyle w:val="Hyperlink"/>
            <w:rFonts w:ascii="Calibri" w:hAnsi="Calibri"/>
            <w:rtl/>
          </w:rPr>
          <w:t>2)</w:t>
        </w:r>
      </w:hyperlink>
      <w:r w:rsidRPr="00E3790A">
        <w:rPr>
          <w:rFonts w:ascii="Calibri" w:hAnsi="Calibri"/>
          <w:rtl/>
        </w:rPr>
        <w:t xml:space="preserve"> ל</w:t>
      </w:r>
      <w:hyperlink r:id="rId15" w:history="1">
        <w:r w:rsidR="002648D0" w:rsidRPr="002648D0">
          <w:rPr>
            <w:rFonts w:ascii="Calibri" w:hAnsi="Calibri" w:hint="eastAsia"/>
            <w:color w:val="0000FF"/>
            <w:u w:val="single"/>
            <w:rtl/>
          </w:rPr>
          <w:t>חוק</w:t>
        </w:r>
        <w:r w:rsidR="002648D0" w:rsidRPr="002648D0">
          <w:rPr>
            <w:rFonts w:ascii="Calibri" w:hAnsi="Calibri"/>
            <w:color w:val="0000FF"/>
            <w:u w:val="single"/>
            <w:rtl/>
          </w:rPr>
          <w:t xml:space="preserve"> </w:t>
        </w:r>
        <w:r w:rsidR="002648D0" w:rsidRPr="002648D0">
          <w:rPr>
            <w:rFonts w:ascii="Calibri" w:hAnsi="Calibri" w:hint="eastAsia"/>
            <w:color w:val="0000FF"/>
            <w:u w:val="single"/>
            <w:rtl/>
          </w:rPr>
          <w:t>העונשין</w:t>
        </w:r>
      </w:hyperlink>
      <w:r w:rsidRPr="00E3790A">
        <w:rPr>
          <w:rFonts w:ascii="Calibri" w:hAnsi="Calibri"/>
          <w:rtl/>
        </w:rPr>
        <w:t xml:space="preserve"> התשל"ז-1977 (להלן </w:t>
      </w:r>
      <w:r w:rsidRPr="00E3790A">
        <w:rPr>
          <w:rFonts w:ascii="Calibri" w:hAnsi="Calibri"/>
          <w:b/>
          <w:bCs/>
          <w:rtl/>
        </w:rPr>
        <w:t>חוק העונשין</w:t>
      </w:r>
      <w:r w:rsidRPr="00E3790A">
        <w:rPr>
          <w:rFonts w:ascii="Calibri" w:hAnsi="Calibri"/>
          <w:rtl/>
        </w:rPr>
        <w:t>).</w:t>
      </w:r>
    </w:p>
    <w:p w14:paraId="51082A73" w14:textId="77777777" w:rsidR="00E3790A" w:rsidRPr="00E3790A" w:rsidRDefault="00E3790A" w:rsidP="00E3790A">
      <w:pPr>
        <w:spacing w:before="120" w:after="120" w:line="360" w:lineRule="auto"/>
        <w:ind w:left="782"/>
        <w:contextualSpacing/>
        <w:jc w:val="both"/>
        <w:rPr>
          <w:rFonts w:ascii="Calibri" w:hAnsi="Calibri"/>
          <w:sz w:val="12"/>
          <w:szCs w:val="12"/>
          <w:rtl/>
        </w:rPr>
      </w:pPr>
      <w:bookmarkStart w:id="8" w:name="ABSTRACT_END"/>
      <w:bookmarkEnd w:id="8"/>
    </w:p>
    <w:p w14:paraId="41515E49" w14:textId="77777777" w:rsidR="00E3790A" w:rsidRDefault="00E3790A" w:rsidP="00E3790A">
      <w:pPr>
        <w:numPr>
          <w:ilvl w:val="0"/>
          <w:numId w:val="1"/>
        </w:numPr>
        <w:spacing w:before="120" w:after="120" w:line="360" w:lineRule="auto"/>
        <w:ind w:left="782"/>
        <w:contextualSpacing/>
        <w:jc w:val="both"/>
        <w:rPr>
          <w:rFonts w:ascii="Arial" w:hAnsi="Arial"/>
        </w:rPr>
      </w:pPr>
      <w:r w:rsidRPr="00E3790A">
        <w:rPr>
          <w:rFonts w:ascii="Calibri" w:hAnsi="Calibri"/>
          <w:rtl/>
        </w:rPr>
        <w:t>על פי עובדות כתב האישום המתוקן,</w:t>
      </w:r>
      <w:r>
        <w:rPr>
          <w:rFonts w:ascii="Arial" w:hAnsi="Arial" w:hint="cs"/>
          <w:rtl/>
        </w:rPr>
        <w:t xml:space="preserve"> </w:t>
      </w:r>
      <w:r>
        <w:rPr>
          <w:rFonts w:ascii="Arial" w:hAnsi="Arial"/>
          <w:rtl/>
        </w:rPr>
        <w:t>בחודש פברואר 2020, סמוך לתאריך 26.2.20, במועד שאינו ידוע למאשימה במדויק, פנה פחרי אבו נאב (להלן: "</w:t>
      </w:r>
      <w:r>
        <w:rPr>
          <w:rFonts w:ascii="Arial" w:hAnsi="Arial"/>
          <w:b/>
          <w:bCs/>
          <w:rtl/>
        </w:rPr>
        <w:t>פחרי</w:t>
      </w:r>
      <w:r>
        <w:rPr>
          <w:rFonts w:ascii="Arial" w:hAnsi="Arial"/>
          <w:rtl/>
        </w:rPr>
        <w:t>") לאדם רמדאן (להלן: "</w:t>
      </w:r>
      <w:r>
        <w:rPr>
          <w:rFonts w:ascii="Arial" w:hAnsi="Arial"/>
          <w:b/>
          <w:bCs/>
          <w:rtl/>
        </w:rPr>
        <w:t>אדם</w:t>
      </w:r>
      <w:r>
        <w:rPr>
          <w:rFonts w:ascii="Arial" w:hAnsi="Arial"/>
          <w:rtl/>
        </w:rPr>
        <w:t xml:space="preserve">"), אחיו של הנאשם וביקש לרכוש ממנו אקדח. </w:t>
      </w:r>
    </w:p>
    <w:p w14:paraId="699AEE8F" w14:textId="77777777" w:rsidR="00E3790A" w:rsidRPr="00526601" w:rsidRDefault="00E3790A" w:rsidP="00E3790A">
      <w:pPr>
        <w:spacing w:before="120" w:after="120" w:line="360" w:lineRule="auto"/>
        <w:ind w:left="782"/>
        <w:contextualSpacing/>
        <w:jc w:val="both"/>
        <w:rPr>
          <w:rFonts w:ascii="Arial" w:hAnsi="Arial"/>
          <w:sz w:val="12"/>
          <w:szCs w:val="12"/>
        </w:rPr>
      </w:pPr>
    </w:p>
    <w:p w14:paraId="77BECE32" w14:textId="77777777" w:rsidR="00E3790A" w:rsidRDefault="00E3790A" w:rsidP="00E3790A">
      <w:pPr>
        <w:numPr>
          <w:ilvl w:val="0"/>
          <w:numId w:val="1"/>
        </w:numPr>
        <w:spacing w:before="120" w:after="120" w:line="360" w:lineRule="auto"/>
        <w:ind w:left="782"/>
        <w:contextualSpacing/>
        <w:jc w:val="both"/>
        <w:rPr>
          <w:rFonts w:ascii="Arial" w:hAnsi="Arial"/>
        </w:rPr>
      </w:pPr>
      <w:r>
        <w:rPr>
          <w:rFonts w:ascii="Arial" w:hAnsi="Arial"/>
          <w:rtl/>
        </w:rPr>
        <w:t>אדם השיב לפחרי</w:t>
      </w:r>
      <w:r>
        <w:rPr>
          <w:rFonts w:ascii="Arial" w:hAnsi="Arial" w:hint="cs"/>
          <w:rtl/>
        </w:rPr>
        <w:t>,</w:t>
      </w:r>
      <w:r>
        <w:rPr>
          <w:rFonts w:ascii="Arial" w:hAnsi="Arial"/>
          <w:rtl/>
        </w:rPr>
        <w:t xml:space="preserve"> כי יש ברשותו אקדח ובסמוך לכך אף שלח לפחרי תמונה של האקדח לואטסאפ. במועד סמוך, שאינו ידוע במדויק למאשימה, הגיע פחרי לביתו של אדם במטרה </w:t>
      </w:r>
      <w:r>
        <w:rPr>
          <w:rFonts w:ascii="Arial" w:hAnsi="Arial"/>
          <w:rtl/>
        </w:rPr>
        <w:lastRenderedPageBreak/>
        <w:t>לרכוש את האקדח</w:t>
      </w:r>
      <w:r>
        <w:rPr>
          <w:rFonts w:ascii="Arial" w:hAnsi="Arial" w:hint="cs"/>
          <w:rtl/>
        </w:rPr>
        <w:t>,</w:t>
      </w:r>
      <w:r>
        <w:rPr>
          <w:rFonts w:ascii="Arial" w:hAnsi="Arial"/>
          <w:rtl/>
        </w:rPr>
        <w:t xml:space="preserve"> אך אדם מסר לו באותו המעמד כי כבר מכר את האקדח ששלח לו בתמונה אבל יש ברשותו אקדח אחר שיוכל למ</w:t>
      </w:r>
      <w:r>
        <w:rPr>
          <w:rFonts w:ascii="Arial" w:hAnsi="Arial" w:hint="cs"/>
          <w:rtl/>
        </w:rPr>
        <w:t>כ</w:t>
      </w:r>
      <w:r>
        <w:rPr>
          <w:rFonts w:ascii="Arial" w:hAnsi="Arial"/>
          <w:rtl/>
        </w:rPr>
        <w:t xml:space="preserve">רו בתמורה ל-9,000 ₪. </w:t>
      </w:r>
    </w:p>
    <w:p w14:paraId="6DF943BB" w14:textId="77777777" w:rsidR="00E3790A" w:rsidRPr="00526601" w:rsidRDefault="00E3790A" w:rsidP="00E3790A">
      <w:pPr>
        <w:spacing w:before="120" w:after="120" w:line="360" w:lineRule="auto"/>
        <w:ind w:left="782"/>
        <w:contextualSpacing/>
        <w:jc w:val="both"/>
        <w:rPr>
          <w:rFonts w:ascii="Arial" w:hAnsi="Arial"/>
          <w:sz w:val="12"/>
          <w:szCs w:val="12"/>
        </w:rPr>
      </w:pPr>
    </w:p>
    <w:p w14:paraId="0EA8489C" w14:textId="77777777" w:rsidR="00E3790A" w:rsidRDefault="00E3790A" w:rsidP="00E3790A">
      <w:pPr>
        <w:numPr>
          <w:ilvl w:val="0"/>
          <w:numId w:val="1"/>
        </w:numPr>
        <w:spacing w:before="120" w:after="120" w:line="360" w:lineRule="auto"/>
        <w:ind w:left="782"/>
        <w:contextualSpacing/>
        <w:jc w:val="both"/>
        <w:rPr>
          <w:rFonts w:ascii="Arial" w:hAnsi="Arial"/>
        </w:rPr>
      </w:pPr>
      <w:r>
        <w:rPr>
          <w:rFonts w:ascii="Arial" w:hAnsi="Arial"/>
          <w:rtl/>
        </w:rPr>
        <w:t>נוכח העובדה שהאקדח המוצע למכירה היה מאופסן בביתו של הנאשם, שהוא שותפו של אחיו אדם לעסקי מכירת כלי נשק, נסע אדם יחד עם פחרי, ברכבו של פחרי, לביתו של הנאשם במחנה הפליטים שועפאט, בירושלים (להלן: "</w:t>
      </w:r>
      <w:r>
        <w:rPr>
          <w:rFonts w:ascii="Arial" w:hAnsi="Arial"/>
          <w:b/>
          <w:bCs/>
          <w:rtl/>
        </w:rPr>
        <w:t>המפגש").</w:t>
      </w:r>
    </w:p>
    <w:p w14:paraId="68F63CE5" w14:textId="77777777" w:rsidR="00E3790A" w:rsidRPr="00526601" w:rsidRDefault="00E3790A" w:rsidP="00E3790A">
      <w:pPr>
        <w:spacing w:before="120" w:after="120" w:line="360" w:lineRule="auto"/>
        <w:ind w:left="782"/>
        <w:contextualSpacing/>
        <w:jc w:val="both"/>
        <w:rPr>
          <w:rFonts w:ascii="Arial" w:hAnsi="Arial"/>
          <w:sz w:val="12"/>
          <w:szCs w:val="12"/>
        </w:rPr>
      </w:pPr>
    </w:p>
    <w:p w14:paraId="498B0E2F" w14:textId="77777777" w:rsidR="00E3790A" w:rsidRDefault="00E3790A" w:rsidP="00E3790A">
      <w:pPr>
        <w:numPr>
          <w:ilvl w:val="0"/>
          <w:numId w:val="1"/>
        </w:numPr>
        <w:spacing w:before="120" w:after="120" w:line="360" w:lineRule="auto"/>
        <w:ind w:left="782"/>
        <w:contextualSpacing/>
        <w:jc w:val="both"/>
        <w:rPr>
          <w:rFonts w:ascii="Arial" w:hAnsi="Arial"/>
        </w:rPr>
      </w:pPr>
      <w:r>
        <w:rPr>
          <w:rFonts w:ascii="Arial" w:hAnsi="Arial"/>
          <w:rtl/>
        </w:rPr>
        <w:t>במהלך המפגש בו נכחו</w:t>
      </w:r>
      <w:r>
        <w:rPr>
          <w:rFonts w:ascii="Arial" w:hAnsi="Arial" w:hint="cs"/>
          <w:rtl/>
        </w:rPr>
        <w:t>,</w:t>
      </w:r>
      <w:r>
        <w:rPr>
          <w:rFonts w:ascii="Arial" w:hAnsi="Arial"/>
          <w:rtl/>
        </w:rPr>
        <w:t xml:space="preserve"> כאמור</w:t>
      </w:r>
      <w:r>
        <w:rPr>
          <w:rFonts w:ascii="Arial" w:hAnsi="Arial" w:hint="cs"/>
          <w:rtl/>
        </w:rPr>
        <w:t>,</w:t>
      </w:r>
      <w:r>
        <w:rPr>
          <w:rFonts w:ascii="Arial" w:hAnsi="Arial"/>
          <w:rtl/>
        </w:rPr>
        <w:t xml:space="preserve"> הנאשם אדם </w:t>
      </w:r>
      <w:r>
        <w:rPr>
          <w:rFonts w:ascii="Arial" w:hAnsi="Arial" w:hint="cs"/>
          <w:rtl/>
        </w:rPr>
        <w:t>ו</w:t>
      </w:r>
      <w:r>
        <w:rPr>
          <w:rFonts w:ascii="Arial" w:hAnsi="Arial"/>
          <w:rtl/>
        </w:rPr>
        <w:t xml:space="preserve">פחרי, הביא הנאשם אקדח מסוג </w:t>
      </w:r>
      <w:r>
        <w:rPr>
          <w:rFonts w:ascii="Arial" w:hAnsi="Arial"/>
        </w:rPr>
        <w:t>BLOW</w:t>
      </w:r>
      <w:r>
        <w:rPr>
          <w:rFonts w:ascii="Arial" w:hAnsi="Arial"/>
          <w:rtl/>
        </w:rPr>
        <w:t>, 9 מ"מ, שעבר הסבה ובכוחו להמית אדם, והנאשם ואדם אמרו לפחרי</w:t>
      </w:r>
      <w:r>
        <w:rPr>
          <w:rFonts w:ascii="Arial" w:hAnsi="Arial" w:hint="cs"/>
          <w:rtl/>
        </w:rPr>
        <w:t>,</w:t>
      </w:r>
      <w:r>
        <w:rPr>
          <w:rFonts w:ascii="Arial" w:hAnsi="Arial"/>
          <w:rtl/>
        </w:rPr>
        <w:t xml:space="preserve"> כי יוכל לנסות את האקדח ולירות בו בטרם ירכוש את האקדח. הנאשם ואדם אף סייעו לפחרי וטענו את האקדח בכדורים. </w:t>
      </w:r>
      <w:r w:rsidRPr="00526601">
        <w:rPr>
          <w:rFonts w:ascii="Arial" w:hAnsi="Arial"/>
          <w:rtl/>
        </w:rPr>
        <w:t xml:space="preserve">או אז, יצא פחרי למרפסת ביתו של הנאשם וירה מהמרפסת כדור אחד באוויר. </w:t>
      </w:r>
    </w:p>
    <w:p w14:paraId="76ABF79D" w14:textId="77777777" w:rsidR="00E3790A" w:rsidRPr="00526601" w:rsidRDefault="00E3790A" w:rsidP="00E3790A">
      <w:pPr>
        <w:spacing w:before="120" w:after="120" w:line="360" w:lineRule="auto"/>
        <w:ind w:left="782"/>
        <w:contextualSpacing/>
        <w:jc w:val="both"/>
        <w:rPr>
          <w:rFonts w:ascii="Arial" w:hAnsi="Arial"/>
          <w:sz w:val="12"/>
          <w:szCs w:val="12"/>
        </w:rPr>
      </w:pPr>
    </w:p>
    <w:p w14:paraId="3E473A5F" w14:textId="77777777" w:rsidR="00E3790A" w:rsidRDefault="00E3790A" w:rsidP="00E3790A">
      <w:pPr>
        <w:numPr>
          <w:ilvl w:val="0"/>
          <w:numId w:val="1"/>
        </w:numPr>
        <w:spacing w:before="120" w:after="120" w:line="360" w:lineRule="auto"/>
        <w:ind w:left="782"/>
        <w:contextualSpacing/>
        <w:jc w:val="both"/>
        <w:rPr>
          <w:rFonts w:ascii="Arial" w:hAnsi="Arial"/>
        </w:rPr>
      </w:pPr>
      <w:r>
        <w:rPr>
          <w:rFonts w:ascii="Arial" w:hAnsi="Arial"/>
          <w:rtl/>
        </w:rPr>
        <w:t>פחרי שילם לנאשם ולאדם 9,000 ₪ במזומן בתמורה לאקדח ובתמורה לחמישה כדורים לאקדח.</w:t>
      </w:r>
    </w:p>
    <w:p w14:paraId="4D971D90" w14:textId="77777777" w:rsidR="00E3790A" w:rsidRPr="00072282" w:rsidRDefault="00E3790A" w:rsidP="00E3790A">
      <w:pPr>
        <w:spacing w:before="120" w:after="120" w:line="360" w:lineRule="auto"/>
        <w:ind w:left="782"/>
        <w:contextualSpacing/>
        <w:jc w:val="both"/>
        <w:rPr>
          <w:rFonts w:ascii="Arial" w:hAnsi="Arial"/>
          <w:sz w:val="12"/>
          <w:szCs w:val="12"/>
        </w:rPr>
      </w:pPr>
    </w:p>
    <w:p w14:paraId="3955E8FE" w14:textId="77777777" w:rsidR="00E3790A" w:rsidRDefault="00E3790A" w:rsidP="00E3790A">
      <w:pPr>
        <w:numPr>
          <w:ilvl w:val="0"/>
          <w:numId w:val="1"/>
        </w:numPr>
        <w:spacing w:before="120" w:after="120" w:line="360" w:lineRule="auto"/>
        <w:ind w:left="782"/>
        <w:contextualSpacing/>
        <w:jc w:val="both"/>
        <w:rPr>
          <w:rFonts w:ascii="Arial" w:hAnsi="Arial"/>
        </w:rPr>
      </w:pPr>
      <w:r>
        <w:rPr>
          <w:rFonts w:ascii="Arial" w:hAnsi="Arial"/>
          <w:rtl/>
        </w:rPr>
        <w:t>פחרי לקח את האקדח והכדורים, חזר עמם לביתו במחנה הפליטים שועפאט (להלן: "הבית"), ברכבו, והחביא את האקדח בארון הבגדים בביתו. מספר ימים לאחר מכן, במועד שאינו ידוע למאשימה במדויק, רכש פחרי מהנאשם ומאדם 50 כדורי 9 מ"מ בתמורה ל-1,200 ₪.</w:t>
      </w:r>
    </w:p>
    <w:p w14:paraId="2FD81D49" w14:textId="77777777" w:rsidR="00E3790A" w:rsidRPr="00D32DF7" w:rsidRDefault="00E3790A" w:rsidP="00E3790A">
      <w:pPr>
        <w:spacing w:before="120" w:after="120" w:line="360" w:lineRule="auto"/>
        <w:ind w:left="782"/>
        <w:contextualSpacing/>
        <w:jc w:val="both"/>
        <w:rPr>
          <w:rFonts w:ascii="Arial" w:hAnsi="Arial"/>
          <w:sz w:val="12"/>
          <w:szCs w:val="12"/>
        </w:rPr>
      </w:pPr>
    </w:p>
    <w:p w14:paraId="10E8382A" w14:textId="77777777" w:rsidR="00E3790A" w:rsidRDefault="00E3790A" w:rsidP="00E3790A">
      <w:pPr>
        <w:numPr>
          <w:ilvl w:val="0"/>
          <w:numId w:val="1"/>
        </w:numPr>
        <w:spacing w:before="120" w:after="120" w:line="360" w:lineRule="auto"/>
        <w:ind w:left="782"/>
        <w:contextualSpacing/>
        <w:jc w:val="both"/>
        <w:rPr>
          <w:rFonts w:ascii="Arial" w:hAnsi="Arial"/>
        </w:rPr>
      </w:pPr>
      <w:r>
        <w:rPr>
          <w:rFonts w:ascii="Arial" w:hAnsi="Arial"/>
          <w:rtl/>
        </w:rPr>
        <w:t xml:space="preserve">במעשיו המתוארים לעיל החזיק הנאשם נשק ותחמושת בלא רשות על פי דין וסחר בנשק ותחמושת בצוותא עם אחיו אדם והכל בלא רשות על פי דין. </w:t>
      </w:r>
    </w:p>
    <w:p w14:paraId="37BF510A" w14:textId="77777777" w:rsidR="00E3790A" w:rsidRDefault="00E3790A" w:rsidP="00E3790A">
      <w:pPr>
        <w:spacing w:line="360" w:lineRule="auto"/>
        <w:ind w:left="720" w:hanging="720"/>
        <w:jc w:val="both"/>
        <w:rPr>
          <w:rFonts w:ascii="Arial" w:hAnsi="Arial"/>
          <w:rtl/>
        </w:rPr>
      </w:pPr>
    </w:p>
    <w:p w14:paraId="4194C5CC" w14:textId="77777777" w:rsidR="00E3790A" w:rsidRDefault="00E3790A" w:rsidP="00E3790A">
      <w:pPr>
        <w:spacing w:line="360" w:lineRule="auto"/>
        <w:ind w:left="720" w:hanging="720"/>
        <w:jc w:val="both"/>
        <w:rPr>
          <w:rFonts w:ascii="Arial" w:hAnsi="Arial"/>
          <w:rtl/>
        </w:rPr>
      </w:pPr>
    </w:p>
    <w:p w14:paraId="037502CC" w14:textId="77777777" w:rsidR="00E3790A" w:rsidRPr="00E3790A" w:rsidRDefault="00E3790A" w:rsidP="00E3790A">
      <w:pPr>
        <w:spacing w:after="160" w:line="254" w:lineRule="auto"/>
        <w:ind w:firstLine="425"/>
        <w:rPr>
          <w:rFonts w:ascii="Calibri" w:hAnsi="Calibri"/>
          <w:b/>
          <w:bCs/>
          <w:u w:val="single"/>
          <w:rtl/>
        </w:rPr>
      </w:pPr>
      <w:r w:rsidRPr="00E3790A">
        <w:rPr>
          <w:rFonts w:ascii="Calibri" w:hAnsi="Calibri"/>
          <w:b/>
          <w:bCs/>
          <w:u w:val="single"/>
          <w:rtl/>
        </w:rPr>
        <w:t>טענות הצדדים</w:t>
      </w:r>
    </w:p>
    <w:p w14:paraId="3AF8FDDD" w14:textId="77777777" w:rsidR="00E3790A" w:rsidRPr="00E3790A" w:rsidRDefault="00E3790A" w:rsidP="00E3790A">
      <w:pPr>
        <w:numPr>
          <w:ilvl w:val="0"/>
          <w:numId w:val="1"/>
        </w:numPr>
        <w:spacing w:before="120" w:after="120" w:line="360" w:lineRule="auto"/>
        <w:contextualSpacing/>
        <w:jc w:val="both"/>
        <w:rPr>
          <w:rFonts w:ascii="Calibri" w:hAnsi="Calibri"/>
          <w:noProof/>
        </w:rPr>
      </w:pPr>
      <w:r w:rsidRPr="00E3790A">
        <w:rPr>
          <w:rFonts w:ascii="Calibri" w:hAnsi="Calibri"/>
          <w:rtl/>
        </w:rPr>
        <w:t>בא</w:t>
      </w:r>
      <w:r w:rsidRPr="00E3790A">
        <w:rPr>
          <w:rFonts w:ascii="Calibri" w:hAnsi="Calibri" w:hint="cs"/>
          <w:rtl/>
        </w:rPr>
        <w:t>ת-</w:t>
      </w:r>
      <w:r w:rsidRPr="00E3790A">
        <w:rPr>
          <w:rFonts w:ascii="Calibri" w:hAnsi="Calibri"/>
          <w:rtl/>
        </w:rPr>
        <w:t>כוח המאשימה עתר</w:t>
      </w:r>
      <w:r w:rsidRPr="00E3790A">
        <w:rPr>
          <w:rFonts w:ascii="Calibri" w:hAnsi="Calibri" w:hint="cs"/>
          <w:rtl/>
        </w:rPr>
        <w:t>ה</w:t>
      </w:r>
      <w:r w:rsidRPr="00E3790A">
        <w:rPr>
          <w:rFonts w:ascii="Calibri" w:hAnsi="Calibri"/>
          <w:rtl/>
        </w:rPr>
        <w:t xml:space="preserve"> ל</w:t>
      </w:r>
      <w:r w:rsidRPr="00E3790A">
        <w:rPr>
          <w:rFonts w:ascii="Calibri" w:hAnsi="Calibri" w:hint="cs"/>
          <w:rtl/>
        </w:rPr>
        <w:t xml:space="preserve">שני </w:t>
      </w:r>
      <w:r w:rsidRPr="00E3790A">
        <w:rPr>
          <w:rFonts w:ascii="Calibri" w:hAnsi="Calibri"/>
          <w:rtl/>
        </w:rPr>
        <w:t>מתח</w:t>
      </w:r>
      <w:r w:rsidRPr="00E3790A">
        <w:rPr>
          <w:rFonts w:ascii="Calibri" w:hAnsi="Calibri" w:hint="cs"/>
          <w:rtl/>
        </w:rPr>
        <w:t>מי</w:t>
      </w:r>
      <w:r w:rsidRPr="00E3790A">
        <w:rPr>
          <w:rFonts w:ascii="Calibri" w:hAnsi="Calibri"/>
          <w:rtl/>
        </w:rPr>
        <w:t xml:space="preserve"> עונש הולם </w:t>
      </w:r>
      <w:r w:rsidRPr="00E3790A">
        <w:rPr>
          <w:rFonts w:ascii="Calibri" w:hAnsi="Calibri" w:hint="cs"/>
          <w:rtl/>
        </w:rPr>
        <w:t>נפרדים. האחד, לעבירת החזקת הנשק הנע בין 15 ועד 36 חודשי מאסר. השני, לעבירת סחר בנשק, הנע בין 30 חודשי מאסר ועד לשש שנות מאסר. המאשימה הדגישה כי מדובר במי ששותף לעסקי מכירת נשק, ומכר ביחד עם אחיו אקדח, סייע לו לירות בו וכן כעבור מספר ימים מכר לו 50 כדורים נוספים. המניע לביצוע העבירה הוא בצע כסף. אשר לנזק, לא נגרם נזק שכן הנשק נתפס על-ידי המשטרה, אולם הנזק הפוטנציאלי בעבירות נשק הוא עצום ועלול להביא בסופו של יום לקיפוח חיי אדם.  ב"כ  המאשימה הגישה פסיקה המדגישה את ה</w:t>
      </w:r>
      <w:r w:rsidRPr="00E3790A">
        <w:rPr>
          <w:rFonts w:ascii="Calibri" w:hAnsi="Calibri"/>
          <w:rtl/>
        </w:rPr>
        <w:t xml:space="preserve">צורך להחמיר בעבירות נשק ככלל, וסחר בנשק בפרט, על שום קיומה של סכנה לשלום הציבור ולביטחונו, נוכח פוטנציאל הנזק העצום העלול להיגרם כתוצאה משימוש בנשק. </w:t>
      </w:r>
    </w:p>
    <w:p w14:paraId="7D2FD223" w14:textId="77777777" w:rsidR="00E3790A" w:rsidRPr="00E3790A" w:rsidRDefault="00E3790A" w:rsidP="00E3790A">
      <w:pPr>
        <w:spacing w:before="120" w:after="120" w:line="360" w:lineRule="auto"/>
        <w:ind w:left="785"/>
        <w:contextualSpacing/>
        <w:jc w:val="both"/>
        <w:rPr>
          <w:rFonts w:ascii="Calibri" w:hAnsi="Calibri"/>
          <w:sz w:val="12"/>
          <w:szCs w:val="12"/>
          <w:rtl/>
        </w:rPr>
      </w:pPr>
    </w:p>
    <w:p w14:paraId="2E9D742A" w14:textId="77777777" w:rsidR="00E3790A" w:rsidRPr="00E3790A" w:rsidRDefault="00E3790A" w:rsidP="00E3790A">
      <w:pPr>
        <w:numPr>
          <w:ilvl w:val="0"/>
          <w:numId w:val="1"/>
        </w:numPr>
        <w:spacing w:before="120" w:after="120" w:line="360" w:lineRule="auto"/>
        <w:contextualSpacing/>
        <w:jc w:val="both"/>
        <w:rPr>
          <w:rFonts w:ascii="Calibri" w:hAnsi="Calibri"/>
        </w:rPr>
      </w:pPr>
      <w:r w:rsidRPr="00E3790A">
        <w:rPr>
          <w:rFonts w:ascii="Calibri" w:hAnsi="Calibri"/>
          <w:rtl/>
        </w:rPr>
        <w:lastRenderedPageBreak/>
        <w:t>בא</w:t>
      </w:r>
      <w:r w:rsidRPr="00E3790A">
        <w:rPr>
          <w:rFonts w:ascii="Calibri" w:hAnsi="Calibri" w:hint="cs"/>
          <w:rtl/>
        </w:rPr>
        <w:t>ת-</w:t>
      </w:r>
      <w:r w:rsidRPr="00E3790A">
        <w:rPr>
          <w:rFonts w:ascii="Calibri" w:hAnsi="Calibri"/>
          <w:rtl/>
        </w:rPr>
        <w:t>כוח המאשימה עתר</w:t>
      </w:r>
      <w:r w:rsidRPr="00E3790A">
        <w:rPr>
          <w:rFonts w:ascii="Calibri" w:hAnsi="Calibri" w:hint="cs"/>
          <w:rtl/>
        </w:rPr>
        <w:t>ה</w:t>
      </w:r>
      <w:r w:rsidRPr="00E3790A">
        <w:rPr>
          <w:rFonts w:ascii="Calibri" w:hAnsi="Calibri"/>
          <w:rtl/>
        </w:rPr>
        <w:t xml:space="preserve"> להט</w:t>
      </w:r>
      <w:r w:rsidRPr="00E3790A">
        <w:rPr>
          <w:rFonts w:ascii="Calibri" w:hAnsi="Calibri" w:hint="cs"/>
          <w:rtl/>
        </w:rPr>
        <w:t>י</w:t>
      </w:r>
      <w:r w:rsidRPr="00E3790A">
        <w:rPr>
          <w:rFonts w:ascii="Calibri" w:hAnsi="Calibri"/>
          <w:rtl/>
        </w:rPr>
        <w:t>ל עונש ב</w:t>
      </w:r>
      <w:r w:rsidRPr="00E3790A">
        <w:rPr>
          <w:rFonts w:ascii="Calibri" w:hAnsi="Calibri" w:hint="cs"/>
          <w:rtl/>
        </w:rPr>
        <w:t xml:space="preserve">חלק העליון של השליש התחתון </w:t>
      </w:r>
      <w:r w:rsidRPr="00E3790A">
        <w:rPr>
          <w:rFonts w:ascii="Calibri" w:hAnsi="Calibri"/>
          <w:rtl/>
        </w:rPr>
        <w:t xml:space="preserve">של מתחם </w:t>
      </w:r>
      <w:r w:rsidRPr="00E3790A">
        <w:rPr>
          <w:rFonts w:ascii="Calibri" w:hAnsi="Calibri" w:hint="cs"/>
          <w:rtl/>
        </w:rPr>
        <w:t xml:space="preserve">העונש ההולם, שלצדו קנס ומאסר מותנה, </w:t>
      </w:r>
      <w:r w:rsidRPr="00E3790A">
        <w:rPr>
          <w:rFonts w:ascii="Calibri" w:hAnsi="Calibri"/>
          <w:rtl/>
        </w:rPr>
        <w:t xml:space="preserve">וזאת </w:t>
      </w:r>
      <w:r w:rsidRPr="00E3790A">
        <w:rPr>
          <w:rFonts w:ascii="Calibri" w:hAnsi="Calibri" w:hint="cs"/>
          <w:rtl/>
        </w:rPr>
        <w:t xml:space="preserve">בהתחשב ברווח הכלכלי הטמון בביצוע העבירה. </w:t>
      </w:r>
      <w:r w:rsidRPr="00E3790A">
        <w:rPr>
          <w:rFonts w:ascii="Calibri" w:hAnsi="Calibri"/>
          <w:rtl/>
        </w:rPr>
        <w:t>עוד ביקש</w:t>
      </w:r>
      <w:r w:rsidRPr="00E3790A">
        <w:rPr>
          <w:rFonts w:ascii="Calibri" w:hAnsi="Calibri" w:hint="cs"/>
          <w:rtl/>
        </w:rPr>
        <w:t>ה</w:t>
      </w:r>
      <w:r w:rsidRPr="00E3790A">
        <w:rPr>
          <w:rFonts w:ascii="Calibri" w:hAnsi="Calibri"/>
          <w:rtl/>
        </w:rPr>
        <w:t xml:space="preserve"> בא</w:t>
      </w:r>
      <w:r w:rsidRPr="00E3790A">
        <w:rPr>
          <w:rFonts w:ascii="Calibri" w:hAnsi="Calibri" w:hint="cs"/>
          <w:rtl/>
        </w:rPr>
        <w:t>ת</w:t>
      </w:r>
      <w:r w:rsidRPr="00E3790A">
        <w:rPr>
          <w:rFonts w:ascii="Calibri" w:hAnsi="Calibri"/>
          <w:rtl/>
        </w:rPr>
        <w:t xml:space="preserve"> כוח המאשימה ליתן משקל לכך ש</w:t>
      </w:r>
      <w:r w:rsidRPr="00E3790A">
        <w:rPr>
          <w:rFonts w:ascii="Calibri" w:hAnsi="Calibri" w:hint="cs"/>
          <w:rtl/>
        </w:rPr>
        <w:t xml:space="preserve">אין </w:t>
      </w:r>
      <w:r w:rsidRPr="00E3790A">
        <w:rPr>
          <w:rFonts w:ascii="Calibri" w:hAnsi="Calibri"/>
          <w:rtl/>
        </w:rPr>
        <w:t>מדובר במעידתו ה</w:t>
      </w:r>
      <w:r w:rsidRPr="00E3790A">
        <w:rPr>
          <w:rFonts w:ascii="Calibri" w:hAnsi="Calibri" w:hint="cs"/>
          <w:rtl/>
        </w:rPr>
        <w:t xml:space="preserve">ראשונה של הנאשם בפלילים. </w:t>
      </w:r>
    </w:p>
    <w:p w14:paraId="697E3504" w14:textId="77777777" w:rsidR="00E3790A" w:rsidRPr="00E3790A" w:rsidRDefault="00E3790A" w:rsidP="00E3790A">
      <w:pPr>
        <w:spacing w:before="120" w:after="120" w:line="360" w:lineRule="auto"/>
        <w:ind w:left="785"/>
        <w:contextualSpacing/>
        <w:jc w:val="both"/>
        <w:rPr>
          <w:rFonts w:ascii="Calibri" w:hAnsi="Calibri"/>
          <w:sz w:val="12"/>
          <w:szCs w:val="12"/>
        </w:rPr>
      </w:pPr>
    </w:p>
    <w:p w14:paraId="29C4B86A" w14:textId="77777777" w:rsidR="00E3790A" w:rsidRPr="00E3790A" w:rsidRDefault="00E3790A" w:rsidP="00E3790A">
      <w:pPr>
        <w:numPr>
          <w:ilvl w:val="0"/>
          <w:numId w:val="1"/>
        </w:numPr>
        <w:spacing w:before="120" w:after="120" w:line="360" w:lineRule="auto"/>
        <w:contextualSpacing/>
        <w:jc w:val="both"/>
        <w:rPr>
          <w:rFonts w:ascii="Calibri" w:hAnsi="Calibri"/>
        </w:rPr>
      </w:pPr>
      <w:r w:rsidRPr="00E3790A">
        <w:rPr>
          <w:rFonts w:ascii="Calibri" w:hAnsi="Calibri"/>
          <w:rtl/>
        </w:rPr>
        <w:t>בא</w:t>
      </w:r>
      <w:r w:rsidRPr="00E3790A">
        <w:rPr>
          <w:rFonts w:ascii="Calibri" w:hAnsi="Calibri" w:hint="cs"/>
          <w:rtl/>
        </w:rPr>
        <w:t>-</w:t>
      </w:r>
      <w:r w:rsidRPr="00E3790A">
        <w:rPr>
          <w:rFonts w:ascii="Calibri" w:hAnsi="Calibri"/>
          <w:rtl/>
        </w:rPr>
        <w:t>כוח הנאשם הדגיש</w:t>
      </w:r>
      <w:r w:rsidRPr="00E3790A">
        <w:rPr>
          <w:rFonts w:ascii="Calibri" w:hAnsi="Calibri" w:hint="cs"/>
          <w:rtl/>
        </w:rPr>
        <w:t>,</w:t>
      </w:r>
      <w:r w:rsidRPr="00E3790A">
        <w:rPr>
          <w:rFonts w:ascii="Calibri" w:hAnsi="Calibri"/>
          <w:rtl/>
        </w:rPr>
        <w:t xml:space="preserve"> כי נסיבות מקרה </w:t>
      </w:r>
      <w:r w:rsidRPr="00E3790A">
        <w:rPr>
          <w:rFonts w:ascii="Calibri" w:hAnsi="Calibri" w:hint="cs"/>
          <w:rtl/>
        </w:rPr>
        <w:t>אינן במדרג חומרה גבוה של עבירות הסחר בנשק, מדובר במכירה חד פעמית של אקדח ותחמושת מתאימה,</w:t>
      </w:r>
      <w:r w:rsidRPr="00E3790A">
        <w:rPr>
          <w:rFonts w:ascii="Calibri" w:hAnsi="Calibri"/>
          <w:rtl/>
        </w:rPr>
        <w:t xml:space="preserve"> ועל כן מתחם העונש ההולם צריך להיות נמוך בהרבה מזה שעתרה לו המאשימה, ו</w:t>
      </w:r>
      <w:r w:rsidRPr="00E3790A">
        <w:rPr>
          <w:rFonts w:ascii="Calibri" w:hAnsi="Calibri" w:hint="cs"/>
          <w:rtl/>
        </w:rPr>
        <w:t>פ</w:t>
      </w:r>
      <w:r w:rsidRPr="00E3790A">
        <w:rPr>
          <w:rFonts w:ascii="Calibri" w:hAnsi="Calibri"/>
          <w:rtl/>
        </w:rPr>
        <w:t>וטנציאל הנזק במקרה זה</w:t>
      </w:r>
      <w:r w:rsidRPr="00E3790A">
        <w:rPr>
          <w:rFonts w:ascii="Calibri" w:hAnsi="Calibri" w:hint="cs"/>
          <w:rtl/>
        </w:rPr>
        <w:t xml:space="preserve">, לא מומש. </w:t>
      </w:r>
      <w:r w:rsidRPr="00E3790A">
        <w:rPr>
          <w:rFonts w:ascii="Calibri" w:hAnsi="Calibri"/>
          <w:rtl/>
        </w:rPr>
        <w:t xml:space="preserve">כמו כן, מדובר </w:t>
      </w:r>
      <w:r w:rsidRPr="00E3790A">
        <w:rPr>
          <w:rFonts w:ascii="Calibri" w:hAnsi="Calibri" w:hint="cs"/>
          <w:rtl/>
        </w:rPr>
        <w:t>באירוע</w:t>
      </w:r>
      <w:r w:rsidRPr="00E3790A">
        <w:rPr>
          <w:rFonts w:ascii="Calibri" w:hAnsi="Calibri"/>
          <w:rtl/>
        </w:rPr>
        <w:t xml:space="preserve"> אח</w:t>
      </w:r>
      <w:r w:rsidRPr="00E3790A">
        <w:rPr>
          <w:rFonts w:ascii="Calibri" w:hAnsi="Calibri" w:hint="cs"/>
          <w:rtl/>
        </w:rPr>
        <w:t>ד</w:t>
      </w:r>
      <w:r w:rsidRPr="00E3790A">
        <w:rPr>
          <w:rFonts w:ascii="Calibri" w:hAnsi="Calibri"/>
          <w:rtl/>
        </w:rPr>
        <w:t xml:space="preserve"> של</w:t>
      </w:r>
      <w:r w:rsidRPr="00E3790A">
        <w:rPr>
          <w:rFonts w:ascii="Calibri" w:hAnsi="Calibri" w:hint="cs"/>
          <w:rtl/>
        </w:rPr>
        <w:t xml:space="preserve"> החזקת נשק ותחמושת ו</w:t>
      </w:r>
      <w:r w:rsidRPr="00E3790A">
        <w:rPr>
          <w:rFonts w:ascii="Calibri" w:hAnsi="Calibri"/>
          <w:rtl/>
        </w:rPr>
        <w:t xml:space="preserve">סחר </w:t>
      </w:r>
      <w:r w:rsidRPr="00E3790A">
        <w:rPr>
          <w:rFonts w:ascii="Calibri" w:hAnsi="Calibri" w:hint="cs"/>
          <w:rtl/>
        </w:rPr>
        <w:t xml:space="preserve">בו, </w:t>
      </w:r>
      <w:r w:rsidRPr="00E3790A">
        <w:rPr>
          <w:rFonts w:ascii="Calibri" w:hAnsi="Calibri"/>
          <w:rtl/>
        </w:rPr>
        <w:t>ו</w:t>
      </w:r>
      <w:r w:rsidRPr="00E3790A">
        <w:rPr>
          <w:rFonts w:ascii="Calibri" w:hAnsi="Calibri" w:hint="cs"/>
          <w:rtl/>
        </w:rPr>
        <w:t xml:space="preserve">אין לקבוע שני מתחמים שונים כפי שעתרה המאשימה, שכן מדובר באירוע אחד מתמשך. </w:t>
      </w:r>
      <w:r w:rsidRPr="00E3790A">
        <w:rPr>
          <w:rFonts w:ascii="Calibri" w:hAnsi="Calibri"/>
          <w:rtl/>
        </w:rPr>
        <w:t>על כן סבר בא</w:t>
      </w:r>
      <w:r w:rsidRPr="00E3790A">
        <w:rPr>
          <w:rFonts w:ascii="Calibri" w:hAnsi="Calibri" w:hint="cs"/>
          <w:rtl/>
        </w:rPr>
        <w:t>-</w:t>
      </w:r>
      <w:r w:rsidRPr="00E3790A">
        <w:rPr>
          <w:rFonts w:ascii="Calibri" w:hAnsi="Calibri"/>
          <w:rtl/>
        </w:rPr>
        <w:t>כוח הנאשם</w:t>
      </w:r>
      <w:r w:rsidRPr="00E3790A">
        <w:rPr>
          <w:rFonts w:ascii="Calibri" w:hAnsi="Calibri" w:hint="cs"/>
          <w:rtl/>
        </w:rPr>
        <w:t>,</w:t>
      </w:r>
      <w:r w:rsidRPr="00E3790A">
        <w:rPr>
          <w:rFonts w:ascii="Calibri" w:hAnsi="Calibri"/>
          <w:rtl/>
        </w:rPr>
        <w:t xml:space="preserve"> כי מתחם העונש ההולם צריך לנוע </w:t>
      </w:r>
      <w:r w:rsidRPr="00E3790A">
        <w:rPr>
          <w:rFonts w:ascii="Calibri" w:hAnsi="Calibri" w:hint="cs"/>
          <w:rtl/>
        </w:rPr>
        <w:t xml:space="preserve">ממאסר קצר שיחפוף את ימי מעצרו והגיש </w:t>
      </w:r>
      <w:r w:rsidRPr="00E3790A">
        <w:rPr>
          <w:rFonts w:ascii="Calibri" w:hAnsi="Calibri"/>
          <w:rtl/>
        </w:rPr>
        <w:t>פסיקה לתמיכה בטענותיו.</w:t>
      </w:r>
    </w:p>
    <w:p w14:paraId="7AE38BCD" w14:textId="77777777" w:rsidR="00E3790A" w:rsidRPr="00E3790A" w:rsidRDefault="00E3790A" w:rsidP="00E3790A">
      <w:pPr>
        <w:spacing w:before="120" w:after="120" w:line="360" w:lineRule="auto"/>
        <w:ind w:left="785"/>
        <w:contextualSpacing/>
        <w:jc w:val="both"/>
        <w:rPr>
          <w:rFonts w:ascii="Calibri" w:hAnsi="Calibri"/>
          <w:sz w:val="12"/>
          <w:szCs w:val="12"/>
        </w:rPr>
      </w:pPr>
    </w:p>
    <w:p w14:paraId="06773AC0" w14:textId="77777777" w:rsidR="00E3790A" w:rsidRPr="00E3790A" w:rsidRDefault="00E3790A" w:rsidP="00E3790A">
      <w:pPr>
        <w:numPr>
          <w:ilvl w:val="0"/>
          <w:numId w:val="1"/>
        </w:numPr>
        <w:spacing w:before="120" w:after="120" w:line="360" w:lineRule="auto"/>
        <w:contextualSpacing/>
        <w:jc w:val="both"/>
        <w:rPr>
          <w:rFonts w:ascii="Calibri" w:hAnsi="Calibri"/>
          <w:sz w:val="14"/>
          <w:szCs w:val="14"/>
        </w:rPr>
      </w:pPr>
      <w:r w:rsidRPr="00E3790A">
        <w:rPr>
          <w:rFonts w:ascii="Calibri" w:hAnsi="Calibri"/>
          <w:rtl/>
        </w:rPr>
        <w:t>אשר לעונש המתאים, ציין בא</w:t>
      </w:r>
      <w:r w:rsidRPr="00E3790A">
        <w:rPr>
          <w:rFonts w:ascii="Calibri" w:hAnsi="Calibri" w:hint="cs"/>
          <w:rtl/>
        </w:rPr>
        <w:t>-</w:t>
      </w:r>
      <w:r w:rsidRPr="00E3790A">
        <w:rPr>
          <w:rFonts w:ascii="Calibri" w:hAnsi="Calibri"/>
          <w:rtl/>
        </w:rPr>
        <w:t xml:space="preserve">כוח הנאשם כי מדובר בנאשם </w:t>
      </w:r>
      <w:r w:rsidRPr="00E3790A">
        <w:rPr>
          <w:rFonts w:ascii="Calibri" w:hAnsi="Calibri" w:hint="cs"/>
          <w:rtl/>
        </w:rPr>
        <w:t>נשוי ואב לשלושה  ילדים, אשר לקח אחריות למעשיו בשלב הראשון של ניהול ההוכחות, חסך זמן שיפוטי משמעותי לאחר שכתב האישום תוקן באופן משמעותי</w:t>
      </w:r>
      <w:r w:rsidRPr="00E3790A">
        <w:rPr>
          <w:rFonts w:ascii="Calibri" w:hAnsi="Calibri"/>
          <w:rtl/>
        </w:rPr>
        <w:t>,</w:t>
      </w:r>
      <w:r w:rsidRPr="00E3790A">
        <w:rPr>
          <w:rFonts w:ascii="Calibri" w:hAnsi="Calibri" w:hint="cs"/>
          <w:rtl/>
        </w:rPr>
        <w:t xml:space="preserve"> אמנם יש לו עבר פלילי, אך מדובר בהרשעות ישנות שבגינן לא נדון לעונשי מאסר. עוד ביקש להתחשב בכך שמגפת הקורונה אף היא משפיעה על העונש. בא-כוח הנאשם ביקש להתחשב במצבו הכלכלי של הנאשם ובכך שהוא מפרנס יחיד של משפחתו, ככל שיסבור שיש להטיל עליו קנס. אשר על כן, ביקש להסתפק בימי מעצרו ובקנס מינימלי. </w:t>
      </w:r>
    </w:p>
    <w:p w14:paraId="27159438" w14:textId="77777777" w:rsidR="00E3790A" w:rsidRPr="00E3790A" w:rsidRDefault="00E3790A" w:rsidP="00E3790A">
      <w:pPr>
        <w:spacing w:before="120" w:after="120" w:line="360" w:lineRule="auto"/>
        <w:ind w:left="785"/>
        <w:contextualSpacing/>
        <w:jc w:val="both"/>
        <w:rPr>
          <w:rFonts w:ascii="Calibri" w:hAnsi="Calibri"/>
          <w:sz w:val="14"/>
          <w:szCs w:val="14"/>
        </w:rPr>
      </w:pPr>
    </w:p>
    <w:p w14:paraId="01E3F23A" w14:textId="77777777" w:rsidR="00E3790A" w:rsidRPr="00E3790A" w:rsidRDefault="00E3790A" w:rsidP="00E3790A">
      <w:pPr>
        <w:numPr>
          <w:ilvl w:val="0"/>
          <w:numId w:val="1"/>
        </w:numPr>
        <w:spacing w:before="120" w:after="120" w:line="360" w:lineRule="auto"/>
        <w:contextualSpacing/>
        <w:jc w:val="both"/>
        <w:rPr>
          <w:rFonts w:ascii="Calibri" w:hAnsi="Calibri"/>
        </w:rPr>
      </w:pPr>
      <w:r w:rsidRPr="00E3790A">
        <w:rPr>
          <w:rFonts w:ascii="Calibri" w:hAnsi="Calibri"/>
          <w:rtl/>
        </w:rPr>
        <w:t>הנאשם בדברו האחרון מסר</w:t>
      </w:r>
      <w:r w:rsidRPr="00E3790A">
        <w:rPr>
          <w:rFonts w:ascii="Calibri" w:hAnsi="Calibri" w:hint="cs"/>
          <w:rtl/>
        </w:rPr>
        <w:t>,</w:t>
      </w:r>
      <w:r w:rsidRPr="00E3790A">
        <w:rPr>
          <w:rFonts w:ascii="Calibri" w:hAnsi="Calibri"/>
          <w:rtl/>
        </w:rPr>
        <w:t xml:space="preserve"> כי מדובר בטעות</w:t>
      </w:r>
      <w:r w:rsidRPr="00E3790A">
        <w:rPr>
          <w:rFonts w:ascii="Calibri" w:hAnsi="Calibri" w:hint="cs"/>
          <w:rtl/>
        </w:rPr>
        <w:t xml:space="preserve"> עליה הוא מצטער והדבר לא יקרה שוב</w:t>
      </w:r>
      <w:r w:rsidRPr="00E3790A">
        <w:rPr>
          <w:rFonts w:ascii="Calibri" w:hAnsi="Calibri"/>
          <w:rtl/>
        </w:rPr>
        <w:t>. עוד מסר</w:t>
      </w:r>
      <w:r w:rsidRPr="00E3790A">
        <w:rPr>
          <w:rFonts w:ascii="Calibri" w:hAnsi="Calibri" w:hint="cs"/>
          <w:rtl/>
        </w:rPr>
        <w:t xml:space="preserve">, </w:t>
      </w:r>
      <w:r w:rsidRPr="00E3790A">
        <w:rPr>
          <w:rFonts w:ascii="Calibri" w:hAnsi="Calibri"/>
          <w:rtl/>
        </w:rPr>
        <w:t>כי הוא אדם עובד ולאחר שחרורו מהמאסר הוא רוצה לבנות את עתידו.</w:t>
      </w:r>
      <w:r w:rsidRPr="00E3790A">
        <w:rPr>
          <w:rFonts w:ascii="Calibri" w:hAnsi="Calibri" w:hint="cs"/>
          <w:rtl/>
        </w:rPr>
        <w:t xml:space="preserve"> מצבו הכלכלי אינו פשוט, שכן יש לו עיקולים והוא מצוי בחובות וביקש להשתחרר כמה שיותר מהר על מנת לשוב לחיק משפחתו ולעבוד לפרנסתם. </w:t>
      </w:r>
    </w:p>
    <w:p w14:paraId="20D0524B" w14:textId="77777777" w:rsidR="00E3790A" w:rsidRPr="00E3790A" w:rsidRDefault="00E3790A" w:rsidP="00E3790A">
      <w:pPr>
        <w:spacing w:line="360" w:lineRule="auto"/>
        <w:ind w:left="425"/>
        <w:jc w:val="both"/>
        <w:rPr>
          <w:rFonts w:ascii="Calibri" w:hAnsi="Calibri"/>
          <w:b/>
          <w:bCs/>
          <w:u w:val="single"/>
        </w:rPr>
      </w:pPr>
    </w:p>
    <w:p w14:paraId="72F1DC11" w14:textId="77777777" w:rsidR="00E3790A" w:rsidRPr="00E3790A" w:rsidRDefault="00E3790A" w:rsidP="00E3790A">
      <w:pPr>
        <w:spacing w:after="160" w:line="254" w:lineRule="auto"/>
        <w:ind w:firstLine="425"/>
        <w:rPr>
          <w:rFonts w:ascii="Calibri" w:hAnsi="Calibri"/>
          <w:b/>
          <w:bCs/>
          <w:u w:val="single"/>
          <w:rtl/>
        </w:rPr>
      </w:pPr>
      <w:r w:rsidRPr="00E3790A">
        <w:rPr>
          <w:rFonts w:ascii="Calibri" w:hAnsi="Calibri"/>
          <w:b/>
          <w:bCs/>
          <w:u w:val="single"/>
          <w:rtl/>
        </w:rPr>
        <w:t>מתחם העונש ההולם</w:t>
      </w:r>
    </w:p>
    <w:p w14:paraId="43945A55" w14:textId="77777777" w:rsidR="00E3790A" w:rsidRDefault="00E3790A" w:rsidP="00E3790A">
      <w:pPr>
        <w:numPr>
          <w:ilvl w:val="0"/>
          <w:numId w:val="1"/>
        </w:numPr>
        <w:spacing w:before="120" w:after="120" w:line="360" w:lineRule="auto"/>
        <w:ind w:left="782" w:hanging="357"/>
        <w:contextualSpacing/>
        <w:jc w:val="both"/>
      </w:pPr>
      <w:r>
        <w:rPr>
          <w:rFonts w:hint="cs"/>
          <w:rtl/>
        </w:rPr>
        <w:t>במקרה דנן, החלטתי לקבוע מתחם עונש הולם אחד, בהתחשב בכך שהוגש כתב אישום אחד בשל האירוע, מדובר באותם ערכים מוגנים, וכל העבירות בוצעו בתוך מספר ימים.</w:t>
      </w:r>
    </w:p>
    <w:p w14:paraId="2D5A46EC" w14:textId="77777777" w:rsidR="00E3790A" w:rsidRPr="00793150" w:rsidRDefault="00E3790A" w:rsidP="00E3790A">
      <w:pPr>
        <w:spacing w:before="120" w:after="120" w:line="360" w:lineRule="auto"/>
        <w:ind w:left="782"/>
        <w:contextualSpacing/>
        <w:jc w:val="both"/>
        <w:rPr>
          <w:sz w:val="12"/>
          <w:szCs w:val="12"/>
        </w:rPr>
      </w:pPr>
    </w:p>
    <w:p w14:paraId="7B5F8F9E" w14:textId="77777777" w:rsidR="00E3790A" w:rsidRDefault="00E3790A" w:rsidP="00E3790A">
      <w:pPr>
        <w:numPr>
          <w:ilvl w:val="0"/>
          <w:numId w:val="1"/>
        </w:numPr>
        <w:spacing w:before="120" w:after="120" w:line="360" w:lineRule="auto"/>
        <w:ind w:left="782" w:hanging="357"/>
        <w:contextualSpacing/>
        <w:jc w:val="both"/>
        <w:rPr>
          <w:rtl/>
        </w:rPr>
      </w:pPr>
      <w:r>
        <w:rPr>
          <w:rFonts w:ascii="Arial" w:hAnsi="Arial"/>
          <w:rtl/>
        </w:rPr>
        <w:t xml:space="preserve">בהתאם </w:t>
      </w:r>
      <w:hyperlink r:id="rId16" w:history="1">
        <w:r w:rsidR="008B6AA2" w:rsidRPr="008B6AA2">
          <w:rPr>
            <w:rStyle w:val="Hyperlink"/>
            <w:rFonts w:ascii="Arial" w:hAnsi="Arial"/>
            <w:rtl/>
          </w:rPr>
          <w:t>לסעיף 40ב'</w:t>
        </w:r>
      </w:hyperlink>
      <w:r>
        <w:rPr>
          <w:rFonts w:ascii="Calibri" w:hAnsi="Calibri"/>
          <w:rtl/>
        </w:rPr>
        <w:t xml:space="preserve"> ל</w:t>
      </w:r>
      <w:hyperlink r:id="rId17" w:history="1">
        <w:r w:rsidR="002648D0" w:rsidRPr="002648D0">
          <w:rPr>
            <w:rFonts w:ascii="Calibri" w:hAnsi="Calibri" w:hint="eastAsia"/>
            <w:color w:val="0000FF"/>
            <w:u w:val="single"/>
            <w:rtl/>
          </w:rPr>
          <w:t>חוק</w:t>
        </w:r>
        <w:r w:rsidR="002648D0" w:rsidRPr="002648D0">
          <w:rPr>
            <w:rFonts w:ascii="Calibri" w:hAnsi="Calibri"/>
            <w:color w:val="0000FF"/>
            <w:u w:val="single"/>
            <w:rtl/>
          </w:rPr>
          <w:t xml:space="preserve"> </w:t>
        </w:r>
        <w:r w:rsidR="002648D0" w:rsidRPr="002648D0">
          <w:rPr>
            <w:rFonts w:ascii="Calibri" w:hAnsi="Calibri" w:hint="eastAsia"/>
            <w:color w:val="0000FF"/>
            <w:u w:val="single"/>
            <w:rtl/>
          </w:rPr>
          <w:t>העונשין</w:t>
        </w:r>
      </w:hyperlink>
      <w:r>
        <w:rPr>
          <w:rFonts w:ascii="Calibri" w:hAnsi="Calibri"/>
          <w:rtl/>
        </w:rPr>
        <w:t xml:space="preserve">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1C158FF8" w14:textId="77777777" w:rsidR="00E3790A" w:rsidRDefault="00E3790A" w:rsidP="00E3790A">
      <w:pPr>
        <w:spacing w:before="120" w:after="120" w:line="360" w:lineRule="auto"/>
        <w:ind w:left="782"/>
        <w:contextualSpacing/>
        <w:jc w:val="both"/>
        <w:rPr>
          <w:sz w:val="12"/>
          <w:szCs w:val="12"/>
          <w:rtl/>
        </w:rPr>
      </w:pPr>
    </w:p>
    <w:p w14:paraId="0240E268" w14:textId="77777777" w:rsidR="00E3790A" w:rsidRPr="00B63BB7" w:rsidRDefault="00E3790A" w:rsidP="00E3790A">
      <w:pPr>
        <w:numPr>
          <w:ilvl w:val="0"/>
          <w:numId w:val="1"/>
        </w:numPr>
        <w:spacing w:before="120" w:after="120" w:line="360" w:lineRule="auto"/>
        <w:ind w:hanging="357"/>
        <w:contextualSpacing/>
        <w:jc w:val="both"/>
        <w:rPr>
          <w:rFonts w:ascii="Arial" w:hAnsi="Arial"/>
        </w:rPr>
      </w:pPr>
      <w:r w:rsidRPr="00B63BB7">
        <w:rPr>
          <w:rFonts w:ascii="David" w:hAnsi="David"/>
          <w:b/>
          <w:bCs/>
          <w:rtl/>
        </w:rPr>
        <w:t>הערכים החברתיים</w:t>
      </w:r>
      <w:r w:rsidRPr="00B63BB7">
        <w:rPr>
          <w:rFonts w:ascii="David" w:hAnsi="David"/>
          <w:rtl/>
        </w:rPr>
        <w:t xml:space="preserve"> עליהם יש להגן מפני אלה המבצעים עבירות בנשק, </w:t>
      </w:r>
      <w:r w:rsidRPr="00B63BB7">
        <w:rPr>
          <w:rFonts w:ascii="David" w:hAnsi="David"/>
          <w:rtl/>
          <w:lang w:eastAsia="he-IL"/>
        </w:rPr>
        <w:t xml:space="preserve">הם </w:t>
      </w:r>
      <w:r w:rsidRPr="00B63BB7">
        <w:rPr>
          <w:rFonts w:ascii="Franklin Gothic Medium" w:hAnsi="Franklin Gothic Medium"/>
          <w:rtl/>
        </w:rPr>
        <w:t>ההגנה על שלום הציבור וביטחונו</w:t>
      </w:r>
      <w:r w:rsidRPr="00B63BB7">
        <w:rPr>
          <w:rFonts w:ascii="David" w:hAnsi="David"/>
          <w:rtl/>
          <w:lang w:eastAsia="he-IL"/>
        </w:rPr>
        <w:t xml:space="preserve">,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אשר לסוחרים בנשק הדגיש בית המשפט העליון כי יש לראות במשנה חומרה את מעשיהם, </w:t>
      </w:r>
      <w:r w:rsidRPr="00B63BB7">
        <w:rPr>
          <w:rFonts w:ascii="Arial" w:hAnsi="Arial"/>
          <w:rtl/>
        </w:rPr>
        <w:t xml:space="preserve">ועל כן יש </w:t>
      </w:r>
      <w:r w:rsidRPr="00B63BB7">
        <w:rPr>
          <w:rFonts w:ascii="Calibri" w:hAnsi="Calibri"/>
          <w:rtl/>
        </w:rPr>
        <w:t>להחמיר, ככלל, בענישתם של נאשמים שהורשעו בעבירות נשק בכלל ובעבירות סחר בנשק בפרט</w:t>
      </w:r>
      <w:r w:rsidRPr="00B63BB7">
        <w:rPr>
          <w:rFonts w:ascii="Arial" w:hAnsi="Arial"/>
          <w:rtl/>
        </w:rPr>
        <w:t xml:space="preserve"> (</w:t>
      </w:r>
      <w:hyperlink r:id="rId18" w:history="1">
        <w:r w:rsidR="002648D0" w:rsidRPr="002648D0">
          <w:rPr>
            <w:rFonts w:ascii="Arial" w:hAnsi="Arial"/>
            <w:color w:val="0000FF"/>
            <w:u w:val="single"/>
            <w:rtl/>
          </w:rPr>
          <w:t>ע"פ 319/11</w:t>
        </w:r>
      </w:hyperlink>
      <w:r w:rsidRPr="00B63BB7">
        <w:rPr>
          <w:rFonts w:ascii="Arial" w:hAnsi="Arial"/>
          <w:rtl/>
        </w:rPr>
        <w:t xml:space="preserve"> </w:t>
      </w:r>
      <w:r w:rsidRPr="00B63BB7">
        <w:rPr>
          <w:rFonts w:ascii="Arial" w:hAnsi="Arial"/>
          <w:b/>
          <w:bCs/>
          <w:rtl/>
        </w:rPr>
        <w:t>מדינת ישראל נ' יאסין</w:t>
      </w:r>
      <w:r w:rsidRPr="00B63BB7">
        <w:rPr>
          <w:rFonts w:ascii="Arial" w:hAnsi="Arial"/>
          <w:rtl/>
        </w:rPr>
        <w:t xml:space="preserve"> (ניתן ביום 5.12.11), </w:t>
      </w:r>
      <w:hyperlink r:id="rId19" w:history="1">
        <w:r w:rsidR="002648D0" w:rsidRPr="002648D0">
          <w:rPr>
            <w:rFonts w:ascii="Arial" w:hAnsi="Arial"/>
            <w:color w:val="0000FF"/>
            <w:u w:val="single"/>
            <w:rtl/>
          </w:rPr>
          <w:t>ע"פ 1768/14</w:t>
        </w:r>
      </w:hyperlink>
      <w:r w:rsidRPr="00B63BB7">
        <w:rPr>
          <w:rFonts w:ascii="Arial" w:hAnsi="Arial"/>
          <w:rtl/>
        </w:rPr>
        <w:t xml:space="preserve"> </w:t>
      </w:r>
      <w:r w:rsidRPr="00B63BB7">
        <w:rPr>
          <w:rFonts w:ascii="Arial" w:hAnsi="Arial"/>
          <w:b/>
          <w:bCs/>
          <w:rtl/>
        </w:rPr>
        <w:t>גנאיים נ' מדינת ישראל</w:t>
      </w:r>
      <w:r w:rsidRPr="00B63BB7">
        <w:rPr>
          <w:rFonts w:ascii="Arial" w:hAnsi="Arial"/>
          <w:rtl/>
        </w:rPr>
        <w:t xml:space="preserve"> (ניתן ביום 22.7.14), </w:t>
      </w:r>
      <w:hyperlink r:id="rId20" w:history="1">
        <w:r w:rsidR="002648D0" w:rsidRPr="002648D0">
          <w:rPr>
            <w:rFonts w:ascii="Arial" w:hAnsi="Arial"/>
            <w:color w:val="0000FF"/>
            <w:u w:val="single"/>
            <w:rtl/>
          </w:rPr>
          <w:t>ע"פ 7317/13</w:t>
        </w:r>
      </w:hyperlink>
      <w:r w:rsidRPr="00B63BB7">
        <w:rPr>
          <w:rFonts w:ascii="Arial" w:hAnsi="Arial"/>
          <w:rtl/>
        </w:rPr>
        <w:t xml:space="preserve"> </w:t>
      </w:r>
      <w:r w:rsidRPr="00B63BB7">
        <w:rPr>
          <w:rFonts w:ascii="Arial" w:hAnsi="Arial"/>
          <w:b/>
          <w:bCs/>
          <w:rtl/>
        </w:rPr>
        <w:t>חג'אב נ' מדינת ישראל</w:t>
      </w:r>
      <w:r w:rsidRPr="00B63BB7">
        <w:rPr>
          <w:rFonts w:ascii="Arial" w:hAnsi="Arial"/>
          <w:rtl/>
        </w:rPr>
        <w:t xml:space="preserve"> (ניתן ביום 19.5.14), </w:t>
      </w:r>
      <w:hyperlink r:id="rId21" w:history="1">
        <w:r w:rsidR="002648D0" w:rsidRPr="002648D0">
          <w:rPr>
            <w:rFonts w:ascii="Calibri" w:hAnsi="Calibri" w:hint="eastAsia"/>
            <w:color w:val="0000FF"/>
            <w:u w:val="single"/>
            <w:rtl/>
          </w:rPr>
          <w:t>ע</w:t>
        </w:r>
        <w:r w:rsidR="002648D0" w:rsidRPr="002648D0">
          <w:rPr>
            <w:rFonts w:ascii="Calibri" w:hAnsi="Calibri"/>
            <w:color w:val="0000FF"/>
            <w:u w:val="single"/>
            <w:rtl/>
          </w:rPr>
          <w:t>"</w:t>
        </w:r>
        <w:r w:rsidR="002648D0" w:rsidRPr="002648D0">
          <w:rPr>
            <w:rFonts w:ascii="Calibri" w:hAnsi="Calibri" w:hint="eastAsia"/>
            <w:color w:val="0000FF"/>
            <w:u w:val="single"/>
            <w:rtl/>
          </w:rPr>
          <w:t>פ</w:t>
        </w:r>
        <w:r w:rsidR="002648D0" w:rsidRPr="002648D0">
          <w:rPr>
            <w:rFonts w:ascii="Calibri" w:hAnsi="Calibri"/>
            <w:color w:val="0000FF"/>
            <w:u w:val="single"/>
            <w:rtl/>
          </w:rPr>
          <w:t xml:space="preserve"> 8280/15</w:t>
        </w:r>
      </w:hyperlink>
      <w:r w:rsidRPr="00B63BB7">
        <w:rPr>
          <w:rFonts w:ascii="Calibri" w:hAnsi="Calibri"/>
          <w:rtl/>
        </w:rPr>
        <w:t xml:space="preserve"> </w:t>
      </w:r>
      <w:r w:rsidRPr="00B63BB7">
        <w:rPr>
          <w:rFonts w:ascii="Calibri" w:hAnsi="Calibri"/>
          <w:b/>
          <w:bCs/>
          <w:rtl/>
        </w:rPr>
        <w:t xml:space="preserve">מוחמד גולאני נ' מ"י, </w:t>
      </w:r>
      <w:r w:rsidRPr="00B63BB7">
        <w:rPr>
          <w:rFonts w:ascii="Calibri" w:hAnsi="Calibri"/>
          <w:rtl/>
        </w:rPr>
        <w:t>(ניתן ביום 28.3.16)</w:t>
      </w:r>
      <w:r w:rsidRPr="00B63BB7">
        <w:rPr>
          <w:rFonts w:ascii="Arial" w:hAnsi="Arial"/>
          <w:rtl/>
        </w:rPr>
        <w:t>.</w:t>
      </w:r>
    </w:p>
    <w:p w14:paraId="0E3A63EF" w14:textId="77777777" w:rsidR="00E3790A" w:rsidRDefault="00E3790A" w:rsidP="00E3790A">
      <w:pPr>
        <w:spacing w:before="120" w:after="120" w:line="360" w:lineRule="auto"/>
        <w:ind w:left="785"/>
        <w:contextualSpacing/>
        <w:jc w:val="both"/>
        <w:rPr>
          <w:rFonts w:ascii="Arial" w:hAnsi="Arial"/>
          <w:sz w:val="12"/>
          <w:szCs w:val="12"/>
        </w:rPr>
      </w:pPr>
    </w:p>
    <w:p w14:paraId="71188B7C" w14:textId="77777777" w:rsidR="00E3790A" w:rsidRDefault="00E3790A" w:rsidP="00E3790A">
      <w:pPr>
        <w:numPr>
          <w:ilvl w:val="0"/>
          <w:numId w:val="1"/>
        </w:numPr>
        <w:spacing w:before="120" w:after="120" w:line="360" w:lineRule="auto"/>
        <w:ind w:hanging="357"/>
        <w:contextualSpacing/>
        <w:jc w:val="both"/>
        <w:rPr>
          <w:rFonts w:ascii="David" w:hAnsi="David"/>
        </w:rPr>
      </w:pPr>
      <w:r>
        <w:rPr>
          <w:rFonts w:ascii="Franklin Gothic Medium" w:hAnsi="Franklin Gothic Medium"/>
          <w:rtl/>
        </w:rPr>
        <w:t xml:space="preserve">נשק, שהוא מטבעו כלי קטלני, עלול לעבור מיד ליד ולהגיע לידי גורמים שיבצעו באמצעותו עבירות פליליות חמורות, ואף לידי ארגוני טרור שיעשו בו שימוש באירועי טרור. על-כן, פוטנציאל הסיכון הנשקף מהסחר בו מחייב הטלת ענישה מחמירה ומרתיעה, אף אם מבצעי העבירות – בחוליות השונות בשרשרת העברת הנשק – אינם מודעים לתכלית השימוש בו. </w:t>
      </w:r>
      <w:r w:rsidRPr="00E3790A">
        <w:rPr>
          <w:rFonts w:ascii="Calibri" w:hAnsi="Calibri"/>
          <w:rtl/>
        </w:rPr>
        <w:t xml:space="preserve">עוד נפסק כי בשל הסכנה הרבה הטמונה בעבירות הנשק, מוצדק להטיל עונשי מאסר בפועל גם על מי שזוהי עבורו הרשעתו הראשונה בפלילים. על בית המשפט לתת משקל משמעותי יותר לאינטרס הציבורי ולצורך להרתיע עבריינים מלבצע עבירות דומות, על-פני הנסיבות האישיות של העבריין. </w:t>
      </w:r>
      <w:r>
        <w:rPr>
          <w:rFonts w:ascii="David" w:hAnsi="David"/>
          <w:rtl/>
          <w:lang w:eastAsia="he-IL"/>
        </w:rPr>
        <w:t>כב' השופט</w:t>
      </w:r>
      <w:r>
        <w:rPr>
          <w:rFonts w:ascii="David" w:hAnsi="David" w:hint="cs"/>
          <w:rtl/>
          <w:lang w:eastAsia="he-IL"/>
        </w:rPr>
        <w:t xml:space="preserve"> צ'</w:t>
      </w:r>
      <w:r>
        <w:rPr>
          <w:rFonts w:ascii="David" w:hAnsi="David"/>
          <w:rtl/>
          <w:lang w:eastAsia="he-IL"/>
        </w:rPr>
        <w:t xml:space="preserve"> זילברטל  חזר על כך </w:t>
      </w:r>
      <w:r w:rsidRPr="00B65C95">
        <w:rPr>
          <w:rFonts w:ascii="David" w:hAnsi="David"/>
          <w:rtl/>
          <w:lang w:eastAsia="he-IL"/>
        </w:rPr>
        <w:t>ב</w:t>
      </w:r>
      <w:hyperlink r:id="rId22" w:history="1">
        <w:r w:rsidR="002648D0" w:rsidRPr="002648D0">
          <w:rPr>
            <w:rFonts w:ascii="David" w:hAnsi="David"/>
            <w:color w:val="0000FF"/>
            <w:u w:val="single"/>
            <w:rtl/>
            <w:lang w:eastAsia="he-IL"/>
          </w:rPr>
          <w:t>ע"פ 6989/13</w:t>
        </w:r>
      </w:hyperlink>
      <w:r w:rsidRPr="00B65C95">
        <w:rPr>
          <w:rFonts w:ascii="David" w:hAnsi="David"/>
          <w:rtl/>
          <w:lang w:eastAsia="he-IL"/>
        </w:rPr>
        <w:t xml:space="preserve"> </w:t>
      </w:r>
      <w:r w:rsidRPr="00B65C95">
        <w:rPr>
          <w:rFonts w:ascii="David" w:hAnsi="David"/>
          <w:b/>
          <w:bCs/>
          <w:rtl/>
          <w:lang w:eastAsia="he-IL"/>
        </w:rPr>
        <w:t xml:space="preserve">פרח </w:t>
      </w:r>
      <w:r>
        <w:rPr>
          <w:rFonts w:ascii="David" w:hAnsi="David"/>
          <w:b/>
          <w:bCs/>
          <w:rtl/>
          <w:lang w:eastAsia="he-IL"/>
        </w:rPr>
        <w:t xml:space="preserve">נ' מדינת ישראל </w:t>
      </w:r>
      <w:r>
        <w:rPr>
          <w:rFonts w:ascii="David" w:hAnsi="David"/>
          <w:rtl/>
          <w:lang w:eastAsia="he-IL"/>
        </w:rPr>
        <w:t xml:space="preserve">(מיום 25.2.14): </w:t>
      </w:r>
    </w:p>
    <w:p w14:paraId="55AC05B6" w14:textId="77777777" w:rsidR="00E3790A" w:rsidRDefault="00E3790A" w:rsidP="00E3790A">
      <w:pPr>
        <w:spacing w:before="120" w:after="120" w:line="360" w:lineRule="auto"/>
        <w:ind w:left="720"/>
        <w:contextualSpacing/>
        <w:jc w:val="both"/>
        <w:rPr>
          <w:rFonts w:ascii="David" w:hAnsi="David"/>
          <w:b/>
          <w:bCs/>
          <w:sz w:val="12"/>
          <w:szCs w:val="12"/>
        </w:rPr>
      </w:pPr>
    </w:p>
    <w:p w14:paraId="43640616" w14:textId="77777777" w:rsidR="00E3790A" w:rsidRPr="00B65C95" w:rsidRDefault="00E3790A" w:rsidP="00E3790A">
      <w:pPr>
        <w:spacing w:before="120" w:after="120" w:line="360" w:lineRule="auto"/>
        <w:ind w:left="1650" w:right="709"/>
        <w:contextualSpacing/>
        <w:jc w:val="both"/>
        <w:rPr>
          <w:rFonts w:ascii="David" w:hAnsi="David"/>
        </w:rPr>
      </w:pPr>
      <w:r w:rsidRPr="00B65C95">
        <w:rPr>
          <w:rFonts w:ascii="David" w:hAnsi="David"/>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23" w:history="1">
        <w:r w:rsidR="002648D0" w:rsidRPr="002648D0">
          <w:rPr>
            <w:rFonts w:ascii="David" w:hAnsi="David"/>
            <w:b/>
            <w:bCs/>
            <w:color w:val="0000FF"/>
            <w:u w:val="single"/>
            <w:rtl/>
          </w:rPr>
          <w:t>ע"פ 3156/11</w:t>
        </w:r>
      </w:hyperlink>
      <w:r w:rsidRPr="00B65C95">
        <w:rPr>
          <w:rFonts w:ascii="David" w:hAnsi="David"/>
          <w:b/>
          <w:bCs/>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24" w:history="1">
        <w:r w:rsidR="002648D0" w:rsidRPr="002648D0">
          <w:rPr>
            <w:rFonts w:ascii="David" w:hAnsi="David"/>
            <w:b/>
            <w:bCs/>
            <w:color w:val="0000FF"/>
            <w:u w:val="single"/>
            <w:rtl/>
          </w:rPr>
          <w:t>ע"פ 2006/12</w:t>
        </w:r>
      </w:hyperlink>
      <w:r w:rsidRPr="00B65C95">
        <w:rPr>
          <w:rFonts w:ascii="David" w:hAnsi="David"/>
          <w:b/>
          <w:bCs/>
          <w:rtl/>
        </w:rPr>
        <w:t xml:space="preserve"> מדינת ישראל נ' אסדי (28.3.2012), (להלן: עניין אסדי); </w:t>
      </w:r>
      <w:hyperlink r:id="rId25" w:history="1">
        <w:r w:rsidR="002648D0" w:rsidRPr="002648D0">
          <w:rPr>
            <w:rFonts w:ascii="David" w:hAnsi="David"/>
            <w:b/>
            <w:bCs/>
            <w:color w:val="0000FF"/>
            <w:u w:val="single"/>
            <w:rtl/>
          </w:rPr>
          <w:t>ע"פ 7502/12</w:t>
        </w:r>
      </w:hyperlink>
      <w:r w:rsidRPr="00B65C95">
        <w:rPr>
          <w:rFonts w:ascii="David" w:hAnsi="David"/>
          <w:b/>
          <w:bCs/>
          <w:rtl/>
        </w:rPr>
        <w:t xml:space="preserve"> כוויס נ' מדינת ישראל, פסקה 6 (25.6.2013))... </w:t>
      </w:r>
      <w:r w:rsidRPr="00B65C95">
        <w:rPr>
          <w:rFonts w:ascii="David" w:hAnsi="David"/>
          <w:rtl/>
        </w:rPr>
        <w:t>"</w:t>
      </w:r>
    </w:p>
    <w:p w14:paraId="6F4A5434" w14:textId="77777777" w:rsidR="00E3790A" w:rsidRPr="00E3790A" w:rsidRDefault="00E3790A" w:rsidP="00E3790A">
      <w:pPr>
        <w:spacing w:after="160" w:line="360" w:lineRule="auto"/>
        <w:ind w:left="720" w:hanging="720"/>
        <w:jc w:val="both"/>
        <w:rPr>
          <w:rFonts w:ascii="Calibri" w:hAnsi="Calibri" w:cs="Arial"/>
          <w:sz w:val="12"/>
          <w:szCs w:val="12"/>
          <w:rtl/>
        </w:rPr>
      </w:pPr>
    </w:p>
    <w:p w14:paraId="118D4368" w14:textId="77777777" w:rsidR="00E3790A" w:rsidRPr="00E3790A" w:rsidRDefault="00E3790A" w:rsidP="00E3790A">
      <w:pPr>
        <w:numPr>
          <w:ilvl w:val="0"/>
          <w:numId w:val="1"/>
        </w:numPr>
        <w:spacing w:before="120" w:after="120" w:line="360" w:lineRule="auto"/>
        <w:ind w:left="782" w:hanging="357"/>
        <w:contextualSpacing/>
        <w:jc w:val="both"/>
        <w:rPr>
          <w:rFonts w:ascii="Calibri" w:hAnsi="Calibri"/>
          <w:rtl/>
        </w:rPr>
      </w:pPr>
      <w:r w:rsidRPr="00E3790A">
        <w:rPr>
          <w:rFonts w:ascii="Calibri" w:hAnsi="Calibri"/>
          <w:rtl/>
        </w:rPr>
        <w:t>המגמה להחמיר בענישה בעבירות נשק באה לידי ביטוי בשורה ארוכה של פסק דין שניתנו על ידי בית משפט העליון, בין היתר, ב</w:t>
      </w:r>
      <w:hyperlink r:id="rId26" w:history="1">
        <w:r w:rsidR="002648D0" w:rsidRPr="002648D0">
          <w:rPr>
            <w:rFonts w:ascii="Calibri" w:hAnsi="Calibri" w:hint="eastAsia"/>
            <w:color w:val="0000FF"/>
            <w:u w:val="single"/>
            <w:rtl/>
          </w:rPr>
          <w:t>ע</w:t>
        </w:r>
        <w:r w:rsidR="002648D0" w:rsidRPr="002648D0">
          <w:rPr>
            <w:rFonts w:ascii="Calibri" w:hAnsi="Calibri"/>
            <w:color w:val="0000FF"/>
            <w:u w:val="single"/>
            <w:rtl/>
          </w:rPr>
          <w:t>"</w:t>
        </w:r>
        <w:r w:rsidR="002648D0" w:rsidRPr="002648D0">
          <w:rPr>
            <w:rFonts w:ascii="Calibri" w:hAnsi="Calibri" w:hint="eastAsia"/>
            <w:color w:val="0000FF"/>
            <w:u w:val="single"/>
            <w:rtl/>
          </w:rPr>
          <w:t>פ</w:t>
        </w:r>
        <w:r w:rsidR="002648D0" w:rsidRPr="002648D0">
          <w:rPr>
            <w:rFonts w:ascii="Calibri" w:hAnsi="Calibri"/>
            <w:color w:val="0000FF"/>
            <w:u w:val="single"/>
            <w:rtl/>
          </w:rPr>
          <w:t xml:space="preserve"> 1323/13</w:t>
        </w:r>
      </w:hyperlink>
      <w:r w:rsidRPr="00E3790A">
        <w:rPr>
          <w:rFonts w:ascii="Calibri" w:hAnsi="Calibri"/>
          <w:rtl/>
        </w:rPr>
        <w:t xml:space="preserve"> </w:t>
      </w:r>
      <w:r w:rsidRPr="00E3790A">
        <w:rPr>
          <w:rFonts w:ascii="Calibri" w:hAnsi="Calibri"/>
          <w:b/>
          <w:bCs/>
          <w:rtl/>
        </w:rPr>
        <w:t>רך חסן  נגד מדינת ישראל</w:t>
      </w:r>
      <w:r w:rsidRPr="00E3790A">
        <w:rPr>
          <w:rFonts w:ascii="Calibri" w:hAnsi="Calibri"/>
          <w:rtl/>
        </w:rPr>
        <w:t xml:space="preserve">  (ניתן ביום 5.6.13), שם קבעה כבוד השופטת </w:t>
      </w:r>
      <w:r w:rsidRPr="00E3790A">
        <w:rPr>
          <w:rFonts w:ascii="Calibri" w:hAnsi="Calibri" w:hint="cs"/>
          <w:rtl/>
        </w:rPr>
        <w:t xml:space="preserve">ע' </w:t>
      </w:r>
      <w:r w:rsidRPr="00E3790A">
        <w:rPr>
          <w:rFonts w:ascii="Calibri" w:hAnsi="Calibri"/>
          <w:rtl/>
        </w:rPr>
        <w:t>ארבל:</w:t>
      </w:r>
    </w:p>
    <w:p w14:paraId="735FB1A3" w14:textId="77777777" w:rsidR="00E3790A" w:rsidRPr="00E3790A" w:rsidRDefault="00E3790A" w:rsidP="00E3790A">
      <w:pPr>
        <w:spacing w:before="120" w:after="120" w:line="360" w:lineRule="auto"/>
        <w:ind w:left="782"/>
        <w:contextualSpacing/>
        <w:jc w:val="both"/>
        <w:rPr>
          <w:rFonts w:ascii="Calibri" w:hAnsi="Calibri"/>
          <w:sz w:val="12"/>
          <w:szCs w:val="12"/>
          <w:rtl/>
        </w:rPr>
      </w:pPr>
    </w:p>
    <w:p w14:paraId="392EB7A5" w14:textId="77777777" w:rsidR="00E3790A" w:rsidRDefault="00E3790A" w:rsidP="00E3790A">
      <w:pPr>
        <w:spacing w:before="120" w:after="120" w:line="360" w:lineRule="auto"/>
        <w:ind w:left="1650" w:right="709"/>
        <w:contextualSpacing/>
        <w:jc w:val="both"/>
        <w:rPr>
          <w:rFonts w:ascii="David" w:hAnsi="David"/>
        </w:rPr>
      </w:pPr>
      <w:r w:rsidRPr="00E3790A">
        <w:rPr>
          <w:rFonts w:ascii="Calibri" w:hAnsi="Calibri"/>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5048117A" w14:textId="77777777" w:rsidR="00E3790A" w:rsidRDefault="00E3790A" w:rsidP="00E3790A">
      <w:pPr>
        <w:spacing w:before="120" w:after="120" w:line="360" w:lineRule="auto"/>
        <w:ind w:left="1650" w:right="709"/>
        <w:contextualSpacing/>
        <w:jc w:val="both"/>
        <w:rPr>
          <w:rFonts w:ascii="David" w:hAnsi="David"/>
          <w:sz w:val="12"/>
          <w:szCs w:val="12"/>
          <w:rtl/>
        </w:rPr>
      </w:pPr>
    </w:p>
    <w:p w14:paraId="77D35BAB" w14:textId="77777777" w:rsidR="00E3790A" w:rsidRDefault="00E3790A" w:rsidP="00E3790A">
      <w:pPr>
        <w:numPr>
          <w:ilvl w:val="0"/>
          <w:numId w:val="1"/>
        </w:numPr>
        <w:spacing w:before="120" w:after="120" w:line="360" w:lineRule="auto"/>
        <w:ind w:left="782" w:hanging="357"/>
        <w:contextualSpacing/>
        <w:jc w:val="both"/>
        <w:rPr>
          <w:rFonts w:ascii="Arial" w:hAnsi="Arial"/>
          <w:rtl/>
        </w:rPr>
      </w:pPr>
      <w:r w:rsidRPr="00813737">
        <w:rPr>
          <w:rFonts w:ascii="Arial" w:hAnsi="Arial"/>
          <w:rtl/>
        </w:rPr>
        <w:t>ב</w:t>
      </w:r>
      <w:hyperlink r:id="rId27" w:history="1">
        <w:r w:rsidR="002648D0" w:rsidRPr="002648D0">
          <w:rPr>
            <w:rFonts w:ascii="Arial" w:hAnsi="Arial"/>
            <w:color w:val="0000FF"/>
            <w:u w:val="single"/>
            <w:rtl/>
          </w:rPr>
          <w:t>ע"פ 4945/13</w:t>
        </w:r>
      </w:hyperlink>
      <w:r w:rsidRPr="00813737">
        <w:rPr>
          <w:rFonts w:ascii="Arial" w:hAnsi="Arial"/>
          <w:rtl/>
        </w:rPr>
        <w:t xml:space="preserve"> </w:t>
      </w:r>
      <w:r w:rsidRPr="00813737">
        <w:rPr>
          <w:rFonts w:ascii="Arial" w:hAnsi="Arial"/>
          <w:b/>
          <w:bCs/>
          <w:rtl/>
        </w:rPr>
        <w:t xml:space="preserve">מדינת </w:t>
      </w:r>
      <w:r>
        <w:rPr>
          <w:rFonts w:ascii="Arial" w:hAnsi="Arial"/>
          <w:b/>
          <w:bCs/>
          <w:rtl/>
        </w:rPr>
        <w:t>ישראל נ' סלימאן</w:t>
      </w:r>
      <w:r>
        <w:rPr>
          <w:rFonts w:ascii="Arial" w:hAnsi="Arial"/>
          <w:rtl/>
        </w:rPr>
        <w:t xml:space="preserve"> (ניתן ביום 19.1.14, כב' השופטת </w:t>
      </w:r>
      <w:r>
        <w:rPr>
          <w:rFonts w:ascii="Arial" w:hAnsi="Arial" w:hint="cs"/>
          <w:rtl/>
        </w:rPr>
        <w:t xml:space="preserve">ע' </w:t>
      </w:r>
      <w:r>
        <w:rPr>
          <w:rFonts w:ascii="Arial" w:hAnsi="Arial"/>
          <w:rtl/>
        </w:rPr>
        <w:t>ארבל) נקבע מדרג חומרה לעבירות הנשק השונות, כאשר עבירת הסחר מצויה ברף העליון. מידת החומרה משתקפת, מטבע הדברים, גם בעונש המאסר הקבוע לצד עבירה זו עד 15 שנות מאסר.</w:t>
      </w:r>
    </w:p>
    <w:p w14:paraId="0270B3F9" w14:textId="77777777" w:rsidR="00E3790A" w:rsidRDefault="00E3790A" w:rsidP="00E3790A">
      <w:pPr>
        <w:spacing w:before="120" w:after="120" w:line="360" w:lineRule="auto"/>
        <w:ind w:left="782"/>
        <w:contextualSpacing/>
        <w:jc w:val="both"/>
        <w:rPr>
          <w:rFonts w:ascii="Arial" w:hAnsi="Arial"/>
          <w:sz w:val="12"/>
          <w:szCs w:val="12"/>
          <w:rtl/>
        </w:rPr>
      </w:pPr>
      <w:r>
        <w:rPr>
          <w:rFonts w:ascii="Arial" w:hAnsi="Arial"/>
          <w:rtl/>
        </w:rPr>
        <w:t xml:space="preserve"> </w:t>
      </w:r>
    </w:p>
    <w:p w14:paraId="38B50CE2" w14:textId="77777777" w:rsidR="00E3790A" w:rsidRPr="00793150" w:rsidRDefault="00E3790A" w:rsidP="00E3790A">
      <w:pPr>
        <w:numPr>
          <w:ilvl w:val="0"/>
          <w:numId w:val="1"/>
        </w:numPr>
        <w:spacing w:before="120" w:after="120" w:line="360" w:lineRule="auto"/>
        <w:ind w:left="782" w:hanging="357"/>
        <w:contextualSpacing/>
        <w:jc w:val="both"/>
        <w:rPr>
          <w:rFonts w:ascii="Arial" w:hAnsi="Arial"/>
          <w:rtl/>
        </w:rPr>
      </w:pPr>
      <w:r w:rsidRPr="00813737">
        <w:rPr>
          <w:rFonts w:ascii="Arial" w:hAnsi="Arial"/>
          <w:rtl/>
        </w:rPr>
        <w:t>ב</w:t>
      </w:r>
      <w:hyperlink r:id="rId28" w:history="1">
        <w:r w:rsidR="002648D0" w:rsidRPr="002648D0">
          <w:rPr>
            <w:rFonts w:ascii="Arial" w:hAnsi="Arial"/>
            <w:color w:val="0000FF"/>
            <w:u w:val="single"/>
            <w:rtl/>
          </w:rPr>
          <w:t>ע"פ 2251/11</w:t>
        </w:r>
      </w:hyperlink>
      <w:r w:rsidRPr="00813737">
        <w:rPr>
          <w:rFonts w:ascii="Arial" w:hAnsi="Arial"/>
          <w:rtl/>
        </w:rPr>
        <w:t xml:space="preserve"> </w:t>
      </w:r>
      <w:r w:rsidRPr="00813737">
        <w:rPr>
          <w:rFonts w:ascii="Arial" w:hAnsi="Arial"/>
          <w:b/>
          <w:bCs/>
          <w:rtl/>
        </w:rPr>
        <w:t xml:space="preserve">נפאע </w:t>
      </w:r>
      <w:r>
        <w:rPr>
          <w:rFonts w:ascii="Arial" w:hAnsi="Arial"/>
          <w:b/>
          <w:bCs/>
          <w:rtl/>
        </w:rPr>
        <w:t>נ' מדינת ישראל</w:t>
      </w:r>
      <w:r>
        <w:rPr>
          <w:rFonts w:ascii="Arial" w:hAnsi="Arial"/>
          <w:rtl/>
        </w:rPr>
        <w:t xml:space="preserve"> (ניתן ביום 4.12.11) קבעה כבוד השופטת </w:t>
      </w:r>
      <w:r>
        <w:rPr>
          <w:rFonts w:ascii="Arial" w:hAnsi="Arial" w:hint="cs"/>
          <w:rtl/>
        </w:rPr>
        <w:t xml:space="preserve">א' </w:t>
      </w:r>
      <w:r>
        <w:rPr>
          <w:rFonts w:ascii="Arial" w:hAnsi="Arial"/>
          <w:rtl/>
        </w:rPr>
        <w:t>חיות כך: "</w:t>
      </w:r>
      <w:r>
        <w:rPr>
          <w:rFonts w:ascii="Arial" w:hAnsi="Arial"/>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Pr>
          <w:rFonts w:ascii="Arial" w:hAnsi="Arial"/>
          <w:rtl/>
        </w:rPr>
        <w:t xml:space="preserve">". </w:t>
      </w:r>
    </w:p>
    <w:p w14:paraId="14BC0124" w14:textId="77777777" w:rsidR="00E3790A" w:rsidRDefault="00E3790A" w:rsidP="00E3790A">
      <w:pPr>
        <w:spacing w:before="120" w:after="120" w:line="360" w:lineRule="auto"/>
        <w:ind w:right="709"/>
        <w:contextualSpacing/>
        <w:jc w:val="both"/>
        <w:rPr>
          <w:rFonts w:ascii="Calibri" w:hAnsi="Calibri"/>
          <w:b/>
          <w:bCs/>
          <w:sz w:val="12"/>
          <w:szCs w:val="12"/>
          <w:rtl/>
        </w:rPr>
      </w:pPr>
    </w:p>
    <w:p w14:paraId="0B846DB1" w14:textId="77777777" w:rsidR="00E3790A" w:rsidRDefault="00E3790A" w:rsidP="00E3790A">
      <w:pPr>
        <w:numPr>
          <w:ilvl w:val="0"/>
          <w:numId w:val="1"/>
        </w:numPr>
        <w:spacing w:before="120" w:after="120" w:line="360" w:lineRule="auto"/>
        <w:ind w:left="782" w:hanging="357"/>
        <w:contextualSpacing/>
        <w:jc w:val="both"/>
        <w:rPr>
          <w:rFonts w:ascii="David" w:hAnsi="David"/>
          <w:rtl/>
        </w:rPr>
      </w:pPr>
      <w:r>
        <w:rPr>
          <w:rFonts w:ascii="David" w:hAnsi="David"/>
          <w:rtl/>
        </w:rPr>
        <w:t xml:space="preserve">מדיניות הענישה הנהוגה בעבירות בנשק הינה מגוונת, והיא תלויה </w:t>
      </w:r>
      <w:r>
        <w:rPr>
          <w:rFonts w:ascii="David" w:hAnsi="David"/>
          <w:b/>
          <w:bCs/>
          <w:rtl/>
        </w:rPr>
        <w:t xml:space="preserve">בנסיבותיו </w:t>
      </w:r>
      <w:r>
        <w:rPr>
          <w:rFonts w:ascii="David" w:hAnsi="David"/>
          <w:rtl/>
        </w:rPr>
        <w:t>של כל מקרה ומקרה. כך למשל –</w:t>
      </w:r>
    </w:p>
    <w:p w14:paraId="7270C7D6" w14:textId="77777777" w:rsidR="00E3790A" w:rsidRDefault="00E3790A" w:rsidP="00E3790A">
      <w:pPr>
        <w:spacing w:before="120" w:after="120" w:line="360" w:lineRule="auto"/>
        <w:ind w:left="782"/>
        <w:contextualSpacing/>
        <w:jc w:val="both"/>
        <w:rPr>
          <w:rFonts w:ascii="David" w:hAnsi="David"/>
          <w:sz w:val="12"/>
          <w:szCs w:val="12"/>
          <w:rtl/>
        </w:rPr>
      </w:pPr>
    </w:p>
    <w:p w14:paraId="6BAF40D8" w14:textId="77777777" w:rsidR="00E3790A" w:rsidRPr="00813737" w:rsidRDefault="00E3790A" w:rsidP="00E3790A">
      <w:pPr>
        <w:spacing w:before="120" w:after="120" w:line="360" w:lineRule="auto"/>
        <w:ind w:left="782"/>
        <w:contextualSpacing/>
        <w:jc w:val="both"/>
        <w:rPr>
          <w:rFonts w:ascii="David" w:hAnsi="David"/>
        </w:rPr>
      </w:pPr>
      <w:r w:rsidRPr="00813737">
        <w:rPr>
          <w:rFonts w:ascii="David" w:hAnsi="David"/>
          <w:rtl/>
          <w:lang w:eastAsia="he-IL"/>
        </w:rPr>
        <w:t>ב</w:t>
      </w:r>
      <w:hyperlink r:id="rId29" w:history="1">
        <w:r w:rsidR="002648D0" w:rsidRPr="002648D0">
          <w:rPr>
            <w:rFonts w:ascii="David" w:hAnsi="David"/>
            <w:color w:val="0000FF"/>
            <w:u w:val="single"/>
            <w:rtl/>
          </w:rPr>
          <w:t>ע"פ 135/17</w:t>
        </w:r>
      </w:hyperlink>
      <w:r w:rsidRPr="00813737">
        <w:rPr>
          <w:rFonts w:ascii="David" w:hAnsi="David"/>
          <w:rtl/>
        </w:rPr>
        <w:t xml:space="preserve"> </w:t>
      </w:r>
      <w:r w:rsidRPr="00813737">
        <w:rPr>
          <w:rFonts w:ascii="David" w:hAnsi="David"/>
          <w:b/>
          <w:bCs/>
          <w:rtl/>
        </w:rPr>
        <w:t>מדינת ישראל נ' סמי בסל</w:t>
      </w:r>
      <w:r w:rsidRPr="00813737">
        <w:rPr>
          <w:rFonts w:ascii="David" w:hAnsi="David"/>
          <w:rtl/>
        </w:rPr>
        <w:t xml:space="preserve"> (ניתן ביום 8.3.17) </w:t>
      </w:r>
      <w:r w:rsidRPr="00813737">
        <w:rPr>
          <w:rFonts w:ascii="David" w:hAnsi="David"/>
          <w:rtl/>
          <w:lang w:eastAsia="he-IL"/>
        </w:rPr>
        <w:t xml:space="preserve">קיבל בית המשפט העליון את ערעורה של המדינה  על גזר דינו של בית המשפט המחוזי בחיפה, במסגרתו הושת על הנאשם 12 חודשי מאסר לריצוי בפועל, בגין ביצוע עבירות של החזקה ונשיאת נשק לפי </w:t>
      </w:r>
      <w:hyperlink r:id="rId30" w:history="1">
        <w:r w:rsidR="008B6AA2" w:rsidRPr="008B6AA2">
          <w:rPr>
            <w:rStyle w:val="Hyperlink"/>
            <w:rFonts w:ascii="David" w:hAnsi="David"/>
            <w:rtl/>
            <w:lang w:eastAsia="he-IL"/>
          </w:rPr>
          <w:t>סעיף 144(א)</w:t>
        </w:r>
      </w:hyperlink>
      <w:r w:rsidRPr="002648D0">
        <w:rPr>
          <w:rFonts w:ascii="David" w:hAnsi="David"/>
          <w:color w:val="000000"/>
          <w:rtl/>
          <w:lang w:eastAsia="he-IL"/>
        </w:rPr>
        <w:t xml:space="preserve"> ו-</w:t>
      </w:r>
      <w:hyperlink r:id="rId31" w:history="1">
        <w:r w:rsidR="008B6AA2" w:rsidRPr="008B6AA2">
          <w:rPr>
            <w:rStyle w:val="Hyperlink"/>
            <w:rFonts w:ascii="David" w:hAnsi="David"/>
            <w:rtl/>
            <w:lang w:eastAsia="he-IL"/>
          </w:rPr>
          <w:t>144(ב)</w:t>
        </w:r>
      </w:hyperlink>
      <w:r w:rsidRPr="00813737">
        <w:rPr>
          <w:rFonts w:ascii="David" w:hAnsi="David"/>
          <w:rtl/>
          <w:lang w:eastAsia="he-IL"/>
        </w:rPr>
        <w:t xml:space="preserve"> ל</w:t>
      </w:r>
      <w:hyperlink r:id="rId32" w:history="1">
        <w:r w:rsidR="002648D0" w:rsidRPr="002648D0">
          <w:rPr>
            <w:rFonts w:ascii="David" w:hAnsi="David"/>
            <w:color w:val="0000FF"/>
            <w:u w:val="single"/>
            <w:rtl/>
            <w:lang w:eastAsia="he-IL"/>
          </w:rPr>
          <w:t>חוק העונשין</w:t>
        </w:r>
      </w:hyperlink>
      <w:r w:rsidRPr="00813737">
        <w:rPr>
          <w:rFonts w:ascii="David" w:hAnsi="David"/>
          <w:rtl/>
          <w:lang w:eastAsia="he-IL"/>
        </w:rPr>
        <w:t xml:space="preserve"> וגזר עליו 18 חודשי מאסר. הנאשם, בן 20, צבר לחובתו הרשעה אחת בעבירת איומים ושבל"ר, החזיק בתת מקלע ומחסנית והסתירם בשביל קרוב משפחתו, למשך שבוע ימים, שבסופם העבירם לאחר, אשר קנה את הנשק והמחסנית מקרוב משפחתו של הנאשם.</w:t>
      </w:r>
    </w:p>
    <w:p w14:paraId="3D579215" w14:textId="77777777" w:rsidR="00E3790A" w:rsidRPr="00813737" w:rsidRDefault="00E3790A" w:rsidP="00E3790A">
      <w:pPr>
        <w:spacing w:before="120" w:after="120" w:line="360" w:lineRule="auto"/>
        <w:ind w:left="782"/>
        <w:contextualSpacing/>
        <w:jc w:val="both"/>
        <w:rPr>
          <w:rFonts w:ascii="David" w:hAnsi="David"/>
          <w:sz w:val="12"/>
          <w:szCs w:val="12"/>
        </w:rPr>
      </w:pPr>
    </w:p>
    <w:p w14:paraId="638C13F5" w14:textId="77777777" w:rsidR="00E3790A" w:rsidRPr="00813737" w:rsidRDefault="00E3790A" w:rsidP="00E3790A">
      <w:pPr>
        <w:spacing w:before="120" w:after="120" w:line="360" w:lineRule="auto"/>
        <w:ind w:left="782"/>
        <w:contextualSpacing/>
        <w:jc w:val="both"/>
        <w:rPr>
          <w:rFonts w:ascii="David" w:hAnsi="David"/>
          <w:lang w:eastAsia="he-IL"/>
        </w:rPr>
      </w:pPr>
      <w:r w:rsidRPr="00813737">
        <w:rPr>
          <w:rFonts w:ascii="David" w:hAnsi="David"/>
          <w:rtl/>
          <w:lang w:eastAsia="he-IL"/>
        </w:rPr>
        <w:t>ב</w:t>
      </w:r>
      <w:hyperlink r:id="rId33" w:history="1">
        <w:r w:rsidR="002648D0" w:rsidRPr="002648D0">
          <w:rPr>
            <w:rFonts w:ascii="David" w:hAnsi="David"/>
            <w:color w:val="0000FF"/>
            <w:u w:val="single"/>
            <w:rtl/>
          </w:rPr>
          <w:t>ע"פ 1397/16</w:t>
        </w:r>
      </w:hyperlink>
      <w:r w:rsidRPr="00813737">
        <w:rPr>
          <w:rFonts w:ascii="David" w:hAnsi="David"/>
          <w:rtl/>
        </w:rPr>
        <w:t xml:space="preserve"> </w:t>
      </w:r>
      <w:r w:rsidRPr="00813737">
        <w:rPr>
          <w:rFonts w:ascii="David" w:hAnsi="David"/>
          <w:b/>
          <w:bCs/>
          <w:rtl/>
        </w:rPr>
        <w:t>מדינת ישראל נ' אחמד חמיאל</w:t>
      </w:r>
      <w:r w:rsidRPr="00813737">
        <w:rPr>
          <w:rFonts w:ascii="David" w:hAnsi="David"/>
          <w:rtl/>
        </w:rPr>
        <w:t xml:space="preserve"> (ניתן ביום 6.9.16) </w:t>
      </w:r>
      <w:r w:rsidRPr="00813737">
        <w:rPr>
          <w:rFonts w:ascii="David" w:hAnsi="David"/>
          <w:rtl/>
          <w:lang w:eastAsia="he-IL"/>
        </w:rPr>
        <w:t xml:space="preserve">דחה בית המשפט העליון את ערעורה של המדינה  על גזר דינו של בית המשפט המחוזי בירושלים, במסגרתו הושת על הנאשם 48 חודשי מאסר לריצוי בפועל, בגין ביצוע שלוש עבירות שעניינן  סחר בנשק לפי </w:t>
      </w:r>
      <w:hyperlink r:id="rId34" w:history="1">
        <w:r w:rsidR="008B6AA2" w:rsidRPr="008B6AA2">
          <w:rPr>
            <w:rStyle w:val="Hyperlink"/>
            <w:rFonts w:ascii="David" w:hAnsi="David"/>
            <w:rtl/>
            <w:lang w:eastAsia="he-IL"/>
          </w:rPr>
          <w:t>סעיף 144(ב2)</w:t>
        </w:r>
      </w:hyperlink>
      <w:r w:rsidRPr="00813737">
        <w:rPr>
          <w:rFonts w:ascii="David" w:hAnsi="David"/>
          <w:rtl/>
          <w:lang w:eastAsia="he-IL"/>
        </w:rPr>
        <w:t xml:space="preserve"> ל</w:t>
      </w:r>
      <w:hyperlink r:id="rId35" w:history="1">
        <w:r w:rsidR="002648D0" w:rsidRPr="002648D0">
          <w:rPr>
            <w:rFonts w:ascii="David" w:hAnsi="David"/>
            <w:color w:val="0000FF"/>
            <w:u w:val="single"/>
            <w:rtl/>
            <w:lang w:eastAsia="he-IL"/>
          </w:rPr>
          <w:t>חוק העונשין</w:t>
        </w:r>
      </w:hyperlink>
      <w:r w:rsidRPr="00813737">
        <w:rPr>
          <w:rFonts w:ascii="David" w:hAnsi="David"/>
          <w:rtl/>
          <w:lang w:eastAsia="he-IL"/>
        </w:rPr>
        <w:t xml:space="preserve">. הנאשם, בן 21, ללא עבר פלילי, מכר, </w:t>
      </w:r>
      <w:r w:rsidRPr="00813737">
        <w:rPr>
          <w:rFonts w:ascii="David" w:hAnsi="David"/>
          <w:rtl/>
        </w:rPr>
        <w:t xml:space="preserve">בשלוש הזדמנויות שונות, </w:t>
      </w:r>
      <w:r w:rsidRPr="00813737">
        <w:rPr>
          <w:rFonts w:ascii="David" w:hAnsi="David"/>
          <w:rtl/>
          <w:lang w:eastAsia="he-IL"/>
        </w:rPr>
        <w:t xml:space="preserve">לסוכן משטרתי, </w:t>
      </w:r>
      <w:r w:rsidRPr="00813737">
        <w:rPr>
          <w:rFonts w:ascii="David" w:hAnsi="David"/>
          <w:rtl/>
        </w:rPr>
        <w:t xml:space="preserve">רובה מסוג "קרל גוסטב" (תמורת 15,000 ₪), רובה מסוג </w:t>
      </w:r>
      <w:r w:rsidRPr="00813737">
        <w:rPr>
          <w:rFonts w:ascii="David" w:hAnsi="David"/>
        </w:rPr>
        <w:t>M-16</w:t>
      </w:r>
      <w:r w:rsidRPr="00813737">
        <w:rPr>
          <w:rFonts w:ascii="David" w:hAnsi="David"/>
          <w:rtl/>
          <w:lang w:eastAsia="he-IL"/>
        </w:rPr>
        <w:t xml:space="preserve"> (תמורת 49,000 ₪) ובפעם השלישית -</w:t>
      </w:r>
      <w:r w:rsidRPr="00813737">
        <w:rPr>
          <w:rFonts w:ascii="David" w:hAnsi="David"/>
          <w:rtl/>
        </w:rPr>
        <w:t xml:space="preserve"> שני רובים מסוג </w:t>
      </w:r>
      <w:r w:rsidRPr="00813737">
        <w:rPr>
          <w:rFonts w:ascii="David" w:hAnsi="David"/>
        </w:rPr>
        <w:t>M-16</w:t>
      </w:r>
      <w:r w:rsidRPr="00813737">
        <w:rPr>
          <w:rFonts w:ascii="David" w:hAnsi="David"/>
          <w:rtl/>
          <w:lang w:eastAsia="he-IL"/>
        </w:rPr>
        <w:t xml:space="preserve"> </w:t>
      </w:r>
      <w:r w:rsidRPr="00813737">
        <w:rPr>
          <w:rFonts w:ascii="David" w:hAnsi="David"/>
          <w:rtl/>
        </w:rPr>
        <w:t>ואקדח מסוג</w:t>
      </w:r>
      <w:r w:rsidRPr="00813737">
        <w:rPr>
          <w:rFonts w:ascii="David" w:hAnsi="David"/>
        </w:rPr>
        <w:t xml:space="preserve">FN </w:t>
      </w:r>
      <w:r w:rsidRPr="00813737">
        <w:rPr>
          <w:rFonts w:ascii="David" w:hAnsi="David"/>
          <w:rtl/>
        </w:rPr>
        <w:t xml:space="preserve"> </w:t>
      </w:r>
      <w:r w:rsidRPr="00813737">
        <w:rPr>
          <w:rFonts w:ascii="David" w:hAnsi="David"/>
          <w:rtl/>
          <w:lang w:eastAsia="he-IL"/>
        </w:rPr>
        <w:t xml:space="preserve">(תמורתם סוכם על תשלום בסך 121,000 ₪). בית המשפט העליון התייחס לעונשו של הנאשם, וציין כי העונש שנגזר על הנאשם הוא עונש מאסר מקל, אך יחד עם זאת הוא לא מהווה חריג המצדיק את התערבותה של ערכאת הערעור. </w:t>
      </w:r>
    </w:p>
    <w:p w14:paraId="0FE6802A" w14:textId="77777777" w:rsidR="00E3790A" w:rsidRPr="00813737" w:rsidRDefault="00E3790A" w:rsidP="00E3790A">
      <w:pPr>
        <w:spacing w:before="120" w:after="120" w:line="360" w:lineRule="auto"/>
        <w:contextualSpacing/>
        <w:jc w:val="both"/>
        <w:rPr>
          <w:rFonts w:ascii="David" w:hAnsi="David"/>
          <w:sz w:val="12"/>
          <w:szCs w:val="12"/>
          <w:lang w:eastAsia="he-IL"/>
        </w:rPr>
      </w:pPr>
    </w:p>
    <w:p w14:paraId="18CF7CCA" w14:textId="77777777" w:rsidR="00E3790A" w:rsidRPr="00813737" w:rsidRDefault="00E3790A" w:rsidP="00E3790A">
      <w:pPr>
        <w:spacing w:before="120" w:after="120" w:line="360" w:lineRule="auto"/>
        <w:ind w:left="785"/>
        <w:contextualSpacing/>
        <w:jc w:val="both"/>
        <w:rPr>
          <w:rFonts w:ascii="David" w:hAnsi="David"/>
          <w:rtl/>
        </w:rPr>
      </w:pPr>
      <w:r w:rsidRPr="00813737">
        <w:rPr>
          <w:rFonts w:ascii="David" w:hAnsi="David"/>
          <w:rtl/>
          <w:lang w:eastAsia="he-IL"/>
        </w:rPr>
        <w:t>ב</w:t>
      </w:r>
      <w:hyperlink r:id="rId36" w:history="1">
        <w:r w:rsidR="002648D0" w:rsidRPr="002648D0">
          <w:rPr>
            <w:rFonts w:ascii="David" w:hAnsi="David"/>
            <w:color w:val="0000FF"/>
            <w:u w:val="single"/>
            <w:rtl/>
            <w:lang w:eastAsia="he-IL"/>
          </w:rPr>
          <w:t>ע"פ 7552/14</w:t>
        </w:r>
      </w:hyperlink>
      <w:r w:rsidRPr="00813737">
        <w:rPr>
          <w:rFonts w:ascii="David" w:hAnsi="David"/>
          <w:rtl/>
          <w:lang w:eastAsia="he-IL"/>
        </w:rPr>
        <w:t xml:space="preserve"> </w:t>
      </w:r>
      <w:r w:rsidRPr="00813737">
        <w:rPr>
          <w:rFonts w:ascii="David" w:hAnsi="David"/>
          <w:b/>
          <w:bCs/>
          <w:rtl/>
          <w:lang w:eastAsia="he-IL"/>
        </w:rPr>
        <w:t>יוסף אגבאריה נ' מדינת ישראל</w:t>
      </w:r>
      <w:r w:rsidRPr="00813737">
        <w:rPr>
          <w:rFonts w:ascii="David" w:hAnsi="David"/>
          <w:rtl/>
          <w:lang w:eastAsia="he-IL"/>
        </w:rPr>
        <w:t xml:space="preserve"> (ניתן ביום 23.6.15) דחה בית המשפט העליון ערעור על גזר דינו של בית המשפט המחוזי בתל אביב, במסגרתו הושת על המערער עונש מאסר בן 32 חודשי מאסר בפועל, בגין </w:t>
      </w:r>
      <w:r w:rsidRPr="00813737">
        <w:rPr>
          <w:rFonts w:ascii="David" w:hAnsi="David"/>
          <w:rtl/>
        </w:rPr>
        <w:t>עבירה של סחר בנשק (אקדח) שבוצע בצוותא, עבירה של הפרעה לשוטר בעת מילוי תפקידו ועבירת איומים.</w:t>
      </w:r>
    </w:p>
    <w:p w14:paraId="6AF30754" w14:textId="77777777" w:rsidR="00E3790A" w:rsidRPr="00813737" w:rsidRDefault="00E3790A" w:rsidP="00E3790A">
      <w:pPr>
        <w:spacing w:before="120" w:after="120" w:line="360" w:lineRule="auto"/>
        <w:contextualSpacing/>
        <w:jc w:val="both"/>
        <w:rPr>
          <w:rFonts w:ascii="David" w:hAnsi="David"/>
          <w:sz w:val="12"/>
          <w:szCs w:val="12"/>
          <w:lang w:eastAsia="he-IL"/>
        </w:rPr>
      </w:pPr>
    </w:p>
    <w:p w14:paraId="086D1954" w14:textId="77777777" w:rsidR="00E3790A" w:rsidRPr="00813737" w:rsidRDefault="00E3790A" w:rsidP="00E3790A">
      <w:pPr>
        <w:spacing w:before="120" w:after="120" w:line="360" w:lineRule="auto"/>
        <w:ind w:left="782"/>
        <w:contextualSpacing/>
        <w:jc w:val="both"/>
        <w:rPr>
          <w:rFonts w:ascii="Calibri" w:hAnsi="Calibri"/>
          <w:rtl/>
          <w:lang w:eastAsia="he-IL"/>
        </w:rPr>
      </w:pPr>
      <w:r w:rsidRPr="00813737">
        <w:rPr>
          <w:rFonts w:ascii="Calibri" w:hAnsi="Calibri"/>
          <w:rtl/>
          <w:lang w:eastAsia="he-IL"/>
        </w:rPr>
        <w:t>ב</w:t>
      </w:r>
      <w:hyperlink r:id="rId37" w:history="1">
        <w:r w:rsidR="002648D0" w:rsidRPr="002648D0">
          <w:rPr>
            <w:rFonts w:ascii="Calibri" w:hAnsi="Calibri" w:hint="eastAsia"/>
            <w:color w:val="0000FF"/>
            <w:u w:val="single"/>
            <w:rtl/>
            <w:lang w:eastAsia="he-IL"/>
          </w:rPr>
          <w:t>ע</w:t>
        </w:r>
        <w:r w:rsidR="002648D0" w:rsidRPr="002648D0">
          <w:rPr>
            <w:rFonts w:ascii="Calibri" w:hAnsi="Calibri"/>
            <w:color w:val="0000FF"/>
            <w:u w:val="single"/>
            <w:rtl/>
            <w:lang w:eastAsia="he-IL"/>
          </w:rPr>
          <w:t>"</w:t>
        </w:r>
        <w:r w:rsidR="002648D0" w:rsidRPr="002648D0">
          <w:rPr>
            <w:rFonts w:ascii="Calibri" w:hAnsi="Calibri" w:hint="eastAsia"/>
            <w:color w:val="0000FF"/>
            <w:u w:val="single"/>
            <w:rtl/>
            <w:lang w:eastAsia="he-IL"/>
          </w:rPr>
          <w:t>פ</w:t>
        </w:r>
        <w:r w:rsidR="002648D0" w:rsidRPr="002648D0">
          <w:rPr>
            <w:rFonts w:ascii="Calibri" w:hAnsi="Calibri"/>
            <w:color w:val="0000FF"/>
            <w:u w:val="single"/>
            <w:rtl/>
            <w:lang w:eastAsia="he-IL"/>
          </w:rPr>
          <w:t xml:space="preserve"> 2422/14</w:t>
        </w:r>
      </w:hyperlink>
      <w:r w:rsidRPr="00813737">
        <w:rPr>
          <w:rFonts w:ascii="Calibri" w:hAnsi="Calibri"/>
          <w:rtl/>
          <w:lang w:eastAsia="he-IL"/>
        </w:rPr>
        <w:t xml:space="preserve"> </w:t>
      </w:r>
      <w:r w:rsidRPr="00813737">
        <w:rPr>
          <w:rFonts w:ascii="Calibri" w:hAnsi="Calibri"/>
          <w:b/>
          <w:bCs/>
          <w:rtl/>
          <w:lang w:eastAsia="he-IL"/>
        </w:rPr>
        <w:t>עלי חד'ר נ' מדינת ישראל</w:t>
      </w:r>
      <w:r w:rsidRPr="00813737">
        <w:rPr>
          <w:rFonts w:ascii="Calibri" w:hAnsi="Calibri"/>
          <w:rtl/>
          <w:lang w:eastAsia="he-IL"/>
        </w:rPr>
        <w:t xml:space="preserve"> (ניתן ביום 21.12.14) דחה בית המשפט העליון ערעור על גזר דינו של בית המשפט המחוזי בירושלים, במסגרתו הושת על המערער </w:t>
      </w:r>
      <w:r w:rsidRPr="00813737">
        <w:rPr>
          <w:rFonts w:ascii="Calibri" w:hAnsi="Calibri"/>
          <w:b/>
          <w:bCs/>
          <w:rtl/>
          <w:lang w:eastAsia="he-IL"/>
        </w:rPr>
        <w:t xml:space="preserve">36 חודשי מאסר בפועל, </w:t>
      </w:r>
      <w:r w:rsidRPr="00813737">
        <w:rPr>
          <w:rFonts w:ascii="Calibri" w:hAnsi="Calibri"/>
          <w:rtl/>
          <w:lang w:eastAsia="he-IL"/>
        </w:rPr>
        <w:t xml:space="preserve">בגין ביצועה של עבירת סחר בנשק לפי </w:t>
      </w:r>
      <w:hyperlink r:id="rId38" w:history="1">
        <w:r w:rsidR="008B6AA2" w:rsidRPr="008B6AA2">
          <w:rPr>
            <w:rStyle w:val="Hyperlink"/>
            <w:rFonts w:ascii="Calibri" w:hAnsi="Calibri" w:hint="eastAsia"/>
            <w:rtl/>
            <w:lang w:eastAsia="he-IL"/>
          </w:rPr>
          <w:t>סעיף</w:t>
        </w:r>
        <w:r w:rsidR="008B6AA2" w:rsidRPr="008B6AA2">
          <w:rPr>
            <w:rStyle w:val="Hyperlink"/>
            <w:rFonts w:ascii="Calibri" w:hAnsi="Calibri"/>
            <w:rtl/>
            <w:lang w:eastAsia="he-IL"/>
          </w:rPr>
          <w:t xml:space="preserve"> 144(</w:t>
        </w:r>
        <w:r w:rsidR="008B6AA2" w:rsidRPr="008B6AA2">
          <w:rPr>
            <w:rStyle w:val="Hyperlink"/>
            <w:rFonts w:ascii="Calibri" w:hAnsi="Calibri" w:hint="eastAsia"/>
            <w:rtl/>
            <w:lang w:eastAsia="he-IL"/>
          </w:rPr>
          <w:t>ב</w:t>
        </w:r>
        <w:r w:rsidR="008B6AA2" w:rsidRPr="008B6AA2">
          <w:rPr>
            <w:rStyle w:val="Hyperlink"/>
            <w:rFonts w:ascii="Calibri" w:hAnsi="Calibri"/>
            <w:rtl/>
            <w:lang w:eastAsia="he-IL"/>
          </w:rPr>
          <w:t>2)</w:t>
        </w:r>
      </w:hyperlink>
      <w:r w:rsidRPr="00813737">
        <w:rPr>
          <w:rFonts w:ascii="Calibri" w:hAnsi="Calibri"/>
          <w:rtl/>
          <w:lang w:eastAsia="he-IL"/>
        </w:rPr>
        <w:t xml:space="preserve"> ל</w:t>
      </w:r>
      <w:hyperlink r:id="rId39" w:history="1">
        <w:r w:rsidR="002648D0" w:rsidRPr="002648D0">
          <w:rPr>
            <w:rFonts w:ascii="Calibri" w:hAnsi="Calibri" w:hint="eastAsia"/>
            <w:color w:val="0000FF"/>
            <w:u w:val="single"/>
            <w:rtl/>
            <w:lang w:eastAsia="he-IL"/>
          </w:rPr>
          <w:t>חוק</w:t>
        </w:r>
        <w:r w:rsidR="002648D0" w:rsidRPr="002648D0">
          <w:rPr>
            <w:rFonts w:ascii="Calibri" w:hAnsi="Calibri"/>
            <w:color w:val="0000FF"/>
            <w:u w:val="single"/>
            <w:rtl/>
            <w:lang w:eastAsia="he-IL"/>
          </w:rPr>
          <w:t xml:space="preserve"> </w:t>
        </w:r>
        <w:r w:rsidR="002648D0" w:rsidRPr="002648D0">
          <w:rPr>
            <w:rFonts w:ascii="Calibri" w:hAnsi="Calibri" w:hint="eastAsia"/>
            <w:color w:val="0000FF"/>
            <w:u w:val="single"/>
            <w:rtl/>
            <w:lang w:eastAsia="he-IL"/>
          </w:rPr>
          <w:t>העונשין</w:t>
        </w:r>
      </w:hyperlink>
      <w:r w:rsidRPr="00813737">
        <w:rPr>
          <w:rFonts w:ascii="Calibri" w:hAnsi="Calibri"/>
          <w:rtl/>
          <w:lang w:eastAsia="he-IL"/>
        </w:rPr>
        <w:t xml:space="preserve">. המערער מכר, </w:t>
      </w:r>
      <w:r w:rsidRPr="00813737">
        <w:rPr>
          <w:rFonts w:ascii="Calibri" w:hAnsi="Calibri"/>
          <w:rtl/>
        </w:rPr>
        <w:t xml:space="preserve">תמורת 9,000 ₪, </w:t>
      </w:r>
      <w:r w:rsidRPr="00813737">
        <w:rPr>
          <w:rFonts w:ascii="Calibri" w:hAnsi="Calibri"/>
          <w:rtl/>
          <w:lang w:eastAsia="he-IL"/>
        </w:rPr>
        <w:t xml:space="preserve">לסוכן משטרתי, </w:t>
      </w:r>
      <w:r w:rsidRPr="00813737">
        <w:rPr>
          <w:rFonts w:ascii="Calibri" w:hAnsi="Calibri"/>
          <w:b/>
          <w:bCs/>
          <w:rtl/>
        </w:rPr>
        <w:t xml:space="preserve">רובה מסוג "קרל  גוסטב". </w:t>
      </w:r>
      <w:r w:rsidRPr="00813737">
        <w:rPr>
          <w:rFonts w:ascii="Calibri" w:hAnsi="Calibri"/>
          <w:rtl/>
        </w:rPr>
        <w:t xml:space="preserve"> </w:t>
      </w:r>
      <w:r w:rsidRPr="00813737">
        <w:rPr>
          <w:rFonts w:ascii="Calibri" w:hAnsi="Calibri"/>
          <w:rtl/>
          <w:lang w:eastAsia="he-IL"/>
        </w:rPr>
        <w:t xml:space="preserve">נאשם נוסף בפרשה, הורשע אף הוא בעבירת סחר בנשק לפי </w:t>
      </w:r>
      <w:hyperlink r:id="rId40" w:history="1">
        <w:r w:rsidR="008B6AA2" w:rsidRPr="008B6AA2">
          <w:rPr>
            <w:rStyle w:val="Hyperlink"/>
            <w:rFonts w:ascii="Calibri" w:hAnsi="Calibri" w:hint="eastAsia"/>
            <w:rtl/>
            <w:lang w:eastAsia="he-IL"/>
          </w:rPr>
          <w:t>סעיף</w:t>
        </w:r>
        <w:r w:rsidR="008B6AA2" w:rsidRPr="008B6AA2">
          <w:rPr>
            <w:rStyle w:val="Hyperlink"/>
            <w:rFonts w:ascii="Calibri" w:hAnsi="Calibri"/>
            <w:rtl/>
            <w:lang w:eastAsia="he-IL"/>
          </w:rPr>
          <w:t xml:space="preserve"> 144(</w:t>
        </w:r>
        <w:r w:rsidR="008B6AA2" w:rsidRPr="008B6AA2">
          <w:rPr>
            <w:rStyle w:val="Hyperlink"/>
            <w:rFonts w:ascii="Calibri" w:hAnsi="Calibri" w:hint="eastAsia"/>
            <w:rtl/>
            <w:lang w:eastAsia="he-IL"/>
          </w:rPr>
          <w:t>ב</w:t>
        </w:r>
        <w:r w:rsidR="008B6AA2" w:rsidRPr="008B6AA2">
          <w:rPr>
            <w:rStyle w:val="Hyperlink"/>
            <w:rFonts w:ascii="Calibri" w:hAnsi="Calibri"/>
            <w:rtl/>
            <w:lang w:eastAsia="he-IL"/>
          </w:rPr>
          <w:t>2)</w:t>
        </w:r>
      </w:hyperlink>
      <w:r w:rsidRPr="00813737">
        <w:rPr>
          <w:rFonts w:ascii="Calibri" w:hAnsi="Calibri"/>
          <w:rtl/>
          <w:lang w:eastAsia="he-IL"/>
        </w:rPr>
        <w:t xml:space="preserve"> ל</w:t>
      </w:r>
      <w:hyperlink r:id="rId41" w:history="1">
        <w:r w:rsidR="002648D0" w:rsidRPr="002648D0">
          <w:rPr>
            <w:rFonts w:ascii="Calibri" w:hAnsi="Calibri" w:hint="eastAsia"/>
            <w:color w:val="0000FF"/>
            <w:u w:val="single"/>
            <w:rtl/>
            <w:lang w:eastAsia="he-IL"/>
          </w:rPr>
          <w:t>חוק</w:t>
        </w:r>
        <w:r w:rsidR="002648D0" w:rsidRPr="002648D0">
          <w:rPr>
            <w:rFonts w:ascii="Calibri" w:hAnsi="Calibri"/>
            <w:color w:val="0000FF"/>
            <w:u w:val="single"/>
            <w:rtl/>
            <w:lang w:eastAsia="he-IL"/>
          </w:rPr>
          <w:t xml:space="preserve"> </w:t>
        </w:r>
        <w:r w:rsidR="002648D0" w:rsidRPr="002648D0">
          <w:rPr>
            <w:rFonts w:ascii="Calibri" w:hAnsi="Calibri" w:hint="eastAsia"/>
            <w:color w:val="0000FF"/>
            <w:u w:val="single"/>
            <w:rtl/>
            <w:lang w:eastAsia="he-IL"/>
          </w:rPr>
          <w:t>העונשין</w:t>
        </w:r>
      </w:hyperlink>
      <w:r w:rsidRPr="00813737">
        <w:rPr>
          <w:rFonts w:ascii="Calibri" w:hAnsi="Calibri"/>
          <w:rtl/>
          <w:lang w:eastAsia="he-IL"/>
        </w:rPr>
        <w:t xml:space="preserve"> בגינה הושת עליו </w:t>
      </w:r>
      <w:r w:rsidRPr="00813737">
        <w:rPr>
          <w:rFonts w:ascii="Calibri" w:hAnsi="Calibri"/>
          <w:b/>
          <w:bCs/>
          <w:rtl/>
          <w:lang w:eastAsia="he-IL"/>
        </w:rPr>
        <w:t>20 חודשי מאסר לריצוי בפועל</w:t>
      </w:r>
      <w:r w:rsidRPr="00813737">
        <w:rPr>
          <w:rFonts w:ascii="Calibri" w:hAnsi="Calibri"/>
          <w:rtl/>
          <w:lang w:eastAsia="he-IL"/>
        </w:rPr>
        <w:t xml:space="preserve"> והוא </w:t>
      </w:r>
      <w:r w:rsidRPr="00813737">
        <w:rPr>
          <w:rFonts w:ascii="Franklin Gothic Medium" w:hAnsi="Franklin Gothic Medium"/>
          <w:rtl/>
        </w:rPr>
        <w:t>שימש למעשה כמתווך בה.</w:t>
      </w:r>
    </w:p>
    <w:p w14:paraId="5C717013" w14:textId="77777777" w:rsidR="00E3790A" w:rsidRPr="00813737" w:rsidRDefault="00E3790A" w:rsidP="00E3790A">
      <w:pPr>
        <w:spacing w:before="120" w:after="120" w:line="360" w:lineRule="auto"/>
        <w:ind w:left="782"/>
        <w:contextualSpacing/>
        <w:jc w:val="both"/>
        <w:rPr>
          <w:rFonts w:ascii="Calibri" w:hAnsi="Calibri"/>
          <w:sz w:val="12"/>
          <w:szCs w:val="12"/>
          <w:rtl/>
          <w:lang w:eastAsia="he-IL"/>
        </w:rPr>
      </w:pPr>
    </w:p>
    <w:p w14:paraId="06E56A76" w14:textId="77777777" w:rsidR="00E3790A" w:rsidRPr="00813737" w:rsidRDefault="00E3790A" w:rsidP="00E3790A">
      <w:pPr>
        <w:spacing w:after="160" w:line="360" w:lineRule="auto"/>
        <w:ind w:left="785"/>
        <w:contextualSpacing/>
        <w:jc w:val="both"/>
        <w:rPr>
          <w:rFonts w:ascii="Arial" w:hAnsi="Arial"/>
        </w:rPr>
      </w:pPr>
      <w:r w:rsidRPr="00E3790A">
        <w:rPr>
          <w:rFonts w:ascii="Calibri" w:hAnsi="Calibri"/>
          <w:rtl/>
        </w:rPr>
        <w:t>ב</w:t>
      </w:r>
      <w:hyperlink r:id="rId42" w:history="1">
        <w:r w:rsidR="002648D0" w:rsidRPr="002648D0">
          <w:rPr>
            <w:rFonts w:ascii="Arial" w:hAnsi="Arial"/>
            <w:color w:val="0000FF"/>
            <w:u w:val="single"/>
            <w:rtl/>
          </w:rPr>
          <w:t>ע"פ 2186/13</w:t>
        </w:r>
      </w:hyperlink>
      <w:r w:rsidRPr="00813737">
        <w:rPr>
          <w:rFonts w:ascii="Arial" w:hAnsi="Arial"/>
          <w:rtl/>
        </w:rPr>
        <w:t xml:space="preserve"> </w:t>
      </w:r>
      <w:r w:rsidRPr="00813737">
        <w:rPr>
          <w:rFonts w:ascii="Arial" w:hAnsi="Arial"/>
          <w:b/>
          <w:bCs/>
          <w:rtl/>
        </w:rPr>
        <w:t>עקול נגד מ"י</w:t>
      </w:r>
      <w:r w:rsidRPr="00813737">
        <w:rPr>
          <w:rFonts w:ascii="Arial" w:hAnsi="Arial"/>
          <w:rtl/>
        </w:rPr>
        <w:t xml:space="preserve"> (ניתן ביום 18.2.14), בית המשפט העליון לא התערב במתחם ענישה של 24 עד 48 חודשי מאסר שנקבעו בבית המשפט המחוזי בחיפה, בגין עבירות של נשיאת נשק וסחר בנשק (אקדח, מחסנית וכדורים) לסוכן משטרתי.</w:t>
      </w:r>
    </w:p>
    <w:p w14:paraId="2A31F760" w14:textId="77777777" w:rsidR="00E3790A" w:rsidRPr="00813737" w:rsidRDefault="00E3790A" w:rsidP="00E3790A">
      <w:pPr>
        <w:spacing w:after="160" w:line="360" w:lineRule="auto"/>
        <w:ind w:left="785"/>
        <w:contextualSpacing/>
        <w:jc w:val="both"/>
        <w:rPr>
          <w:rFonts w:ascii="Arial" w:hAnsi="Arial"/>
          <w:sz w:val="12"/>
          <w:szCs w:val="12"/>
        </w:rPr>
      </w:pPr>
    </w:p>
    <w:p w14:paraId="59EBF4CA" w14:textId="77777777" w:rsidR="00E3790A" w:rsidRPr="00E3790A" w:rsidRDefault="00E3790A" w:rsidP="00E3790A">
      <w:pPr>
        <w:snapToGrid w:val="0"/>
        <w:spacing w:before="120" w:after="120" w:line="360" w:lineRule="auto"/>
        <w:ind w:left="782"/>
        <w:jc w:val="both"/>
        <w:rPr>
          <w:rFonts w:ascii="Calibri" w:hAnsi="Calibri"/>
        </w:rPr>
      </w:pPr>
      <w:r w:rsidRPr="00E3790A">
        <w:rPr>
          <w:rFonts w:ascii="Calibri" w:hAnsi="Calibri"/>
          <w:rtl/>
        </w:rPr>
        <w:t>ב</w:t>
      </w:r>
      <w:hyperlink r:id="rId43" w:history="1">
        <w:r w:rsidR="002648D0" w:rsidRPr="002648D0">
          <w:rPr>
            <w:rFonts w:ascii="Calibri" w:hAnsi="Calibri" w:hint="eastAsia"/>
            <w:color w:val="0000FF"/>
            <w:u w:val="single"/>
            <w:rtl/>
          </w:rPr>
          <w:t>ע</w:t>
        </w:r>
        <w:r w:rsidR="002648D0" w:rsidRPr="002648D0">
          <w:rPr>
            <w:rFonts w:ascii="Calibri" w:hAnsi="Calibri"/>
            <w:color w:val="0000FF"/>
            <w:u w:val="single"/>
            <w:rtl/>
          </w:rPr>
          <w:t>"</w:t>
        </w:r>
        <w:r w:rsidR="002648D0" w:rsidRPr="002648D0">
          <w:rPr>
            <w:rFonts w:ascii="Calibri" w:hAnsi="Calibri" w:hint="eastAsia"/>
            <w:color w:val="0000FF"/>
            <w:u w:val="single"/>
            <w:rtl/>
          </w:rPr>
          <w:t>פ</w:t>
        </w:r>
        <w:r w:rsidR="002648D0" w:rsidRPr="002648D0">
          <w:rPr>
            <w:rFonts w:ascii="Calibri" w:hAnsi="Calibri"/>
            <w:color w:val="0000FF"/>
            <w:u w:val="single"/>
            <w:rtl/>
          </w:rPr>
          <w:t xml:space="preserve"> 2606/13</w:t>
        </w:r>
      </w:hyperlink>
      <w:r w:rsidRPr="00E3790A">
        <w:rPr>
          <w:rFonts w:ascii="Calibri" w:hAnsi="Calibri"/>
          <w:rtl/>
        </w:rPr>
        <w:t xml:space="preserve"> </w:t>
      </w:r>
      <w:r w:rsidRPr="00E3790A">
        <w:rPr>
          <w:rFonts w:ascii="Calibri" w:hAnsi="Calibri"/>
          <w:b/>
          <w:bCs/>
          <w:rtl/>
        </w:rPr>
        <w:t>מוחמד חוסני נ' מדינת ישראל</w:t>
      </w:r>
      <w:r w:rsidRPr="00E3790A">
        <w:rPr>
          <w:rFonts w:ascii="Calibri" w:hAnsi="Calibri"/>
          <w:rtl/>
        </w:rPr>
        <w:t xml:space="preserve"> (ניתן ביום 2.2.14) הנאשם הורשע בשלושה אישומים שונים בביצוע עבירת של החזקת נשק, שתי עבירות של סחר בנשק ועבירת סיוע לסחר בנשק (שני אקדחים ושתי מחסניות של </w:t>
      </w:r>
      <w:r w:rsidRPr="00E3790A">
        <w:rPr>
          <w:rFonts w:ascii="Calibri" w:hAnsi="Calibri"/>
        </w:rPr>
        <w:t>M</w:t>
      </w:r>
      <w:r w:rsidRPr="00E3790A">
        <w:rPr>
          <w:rFonts w:ascii="Calibri" w:hAnsi="Calibri"/>
          <w:rtl/>
        </w:rPr>
        <w:t xml:space="preserve">-16). על הנאשם הושתו 45 חודשי מאסר לריצוי בפועל, מאסר מותנה וקנס בגובה 30,000 ₪. בית המשפט דחה את ערעור הנאשם וקבע  שהעונש אינו חורג מרף הענישה המצדיק התערבותו. </w:t>
      </w:r>
    </w:p>
    <w:p w14:paraId="4C1ADE32" w14:textId="77777777" w:rsidR="00E3790A" w:rsidRPr="00813737" w:rsidRDefault="00E3790A" w:rsidP="00E3790A">
      <w:pPr>
        <w:spacing w:before="120" w:after="120" w:line="360" w:lineRule="auto"/>
        <w:ind w:left="782"/>
        <w:contextualSpacing/>
        <w:jc w:val="both"/>
        <w:rPr>
          <w:rFonts w:ascii="Arial" w:hAnsi="Arial"/>
          <w:rtl/>
        </w:rPr>
      </w:pPr>
      <w:r w:rsidRPr="00813737">
        <w:rPr>
          <w:rFonts w:ascii="Arial" w:hAnsi="Arial"/>
          <w:rtl/>
        </w:rPr>
        <w:t>ב</w:t>
      </w:r>
      <w:hyperlink r:id="rId44" w:history="1">
        <w:r w:rsidR="002648D0" w:rsidRPr="002648D0">
          <w:rPr>
            <w:rFonts w:ascii="Arial" w:hAnsi="Arial"/>
            <w:color w:val="0000FF"/>
            <w:u w:val="single"/>
            <w:rtl/>
          </w:rPr>
          <w:t>ע"פ 4956/13</w:t>
        </w:r>
      </w:hyperlink>
      <w:r w:rsidRPr="00813737">
        <w:rPr>
          <w:rFonts w:ascii="Arial" w:hAnsi="Arial"/>
          <w:rtl/>
        </w:rPr>
        <w:t xml:space="preserve"> </w:t>
      </w:r>
      <w:r w:rsidRPr="00813737">
        <w:rPr>
          <w:rFonts w:ascii="Arial" w:hAnsi="Arial"/>
          <w:b/>
          <w:bCs/>
          <w:rtl/>
        </w:rPr>
        <w:t>עיסאוי נ' מדינת ישראל</w:t>
      </w:r>
      <w:r w:rsidRPr="00813737">
        <w:rPr>
          <w:rFonts w:ascii="Arial" w:hAnsi="Arial"/>
          <w:rtl/>
        </w:rPr>
        <w:t xml:space="preserve">  (ניתן ביום 8.6.14) נדחה ערעור על חומרת עונש של 24 חודשי מאסר, שהוטל על ידי בית המשפט המחוזי בנצרת, בגין סחר בנשק, ניסיון לסחר בנשק, רכישה והחזקת נשק, נשיאת נשק וקשירת קשר לביצוע פשע (כדורי אקדח). בית המשפט העליון התייחס למתחם הענישה שנקבע על ידי בית המשפט המחוזי ושנע בין 12 עד 36 וקבע כי "</w:t>
      </w:r>
      <w:r w:rsidRPr="00813737">
        <w:rPr>
          <w:rFonts w:ascii="Arial" w:hAnsi="Arial"/>
          <w:b/>
          <w:bCs/>
          <w:rtl/>
        </w:rPr>
        <w:t>... למצער ניתן לומר שמתחם העונש שקבע בית המשפט המחוזי אינו מחמיר ולא מצאנו לפרט מעבר לכך"</w:t>
      </w:r>
      <w:r w:rsidRPr="00813737">
        <w:rPr>
          <w:rFonts w:ascii="Arial" w:hAnsi="Arial"/>
          <w:rtl/>
        </w:rPr>
        <w:t>.</w:t>
      </w:r>
    </w:p>
    <w:p w14:paraId="3DCB04D2" w14:textId="77777777" w:rsidR="00E3790A" w:rsidRPr="00813737" w:rsidRDefault="00E3790A" w:rsidP="00E3790A">
      <w:pPr>
        <w:spacing w:before="120" w:after="120" w:line="360" w:lineRule="auto"/>
        <w:ind w:left="782"/>
        <w:contextualSpacing/>
        <w:jc w:val="both"/>
        <w:rPr>
          <w:rFonts w:ascii="Arial" w:hAnsi="Arial"/>
          <w:sz w:val="12"/>
          <w:szCs w:val="12"/>
        </w:rPr>
      </w:pPr>
    </w:p>
    <w:p w14:paraId="3084D245" w14:textId="77777777" w:rsidR="00E3790A" w:rsidRPr="00E3790A" w:rsidRDefault="00E3790A" w:rsidP="00E3790A">
      <w:pPr>
        <w:snapToGrid w:val="0"/>
        <w:spacing w:before="120" w:after="120" w:line="360" w:lineRule="auto"/>
        <w:ind w:left="782"/>
        <w:jc w:val="both"/>
        <w:rPr>
          <w:rFonts w:ascii="Calibri" w:hAnsi="Calibri"/>
        </w:rPr>
      </w:pPr>
      <w:r w:rsidRPr="00E3790A">
        <w:rPr>
          <w:rFonts w:ascii="Calibri" w:hAnsi="Calibri"/>
          <w:rtl/>
        </w:rPr>
        <w:t>ב</w:t>
      </w:r>
      <w:hyperlink r:id="rId45" w:history="1">
        <w:r w:rsidR="00371AE9" w:rsidRPr="00371AE9">
          <w:rPr>
            <w:rFonts w:ascii="Calibri" w:hAnsi="Calibri" w:hint="eastAsia"/>
            <w:color w:val="0000FF"/>
            <w:u w:val="single"/>
            <w:rtl/>
          </w:rPr>
          <w:t>ע</w:t>
        </w:r>
        <w:r w:rsidR="00371AE9" w:rsidRPr="00371AE9">
          <w:rPr>
            <w:rFonts w:ascii="Calibri" w:hAnsi="Calibri"/>
            <w:color w:val="0000FF"/>
            <w:u w:val="single"/>
            <w:rtl/>
          </w:rPr>
          <w:t>"</w:t>
        </w:r>
        <w:r w:rsidR="00371AE9" w:rsidRPr="00371AE9">
          <w:rPr>
            <w:rFonts w:ascii="Calibri" w:hAnsi="Calibri" w:hint="eastAsia"/>
            <w:color w:val="0000FF"/>
            <w:u w:val="single"/>
            <w:rtl/>
          </w:rPr>
          <w:t>פ</w:t>
        </w:r>
        <w:r w:rsidR="00371AE9" w:rsidRPr="00371AE9">
          <w:rPr>
            <w:rFonts w:ascii="Calibri" w:hAnsi="Calibri"/>
            <w:color w:val="0000FF"/>
            <w:u w:val="single"/>
            <w:rtl/>
          </w:rPr>
          <w:t xml:space="preserve"> 526/14</w:t>
        </w:r>
      </w:hyperlink>
      <w:r w:rsidRPr="00E3790A">
        <w:rPr>
          <w:rFonts w:ascii="Calibri" w:hAnsi="Calibri"/>
          <w:rtl/>
        </w:rPr>
        <w:t xml:space="preserve"> </w:t>
      </w:r>
      <w:r w:rsidRPr="00E3790A">
        <w:rPr>
          <w:rFonts w:ascii="Calibri" w:hAnsi="Calibri"/>
          <w:b/>
          <w:bCs/>
          <w:rtl/>
        </w:rPr>
        <w:t>פלוני נ' מדינת ישראל</w:t>
      </w:r>
      <w:r w:rsidRPr="00E3790A">
        <w:rPr>
          <w:rFonts w:ascii="Calibri" w:hAnsi="Calibri"/>
          <w:rtl/>
        </w:rPr>
        <w:t xml:space="preserve"> (ניתן ביום 12.03.14) הנאשם הורשע בעבירות החזקת נשק וסחר בנשק, בבית המשפט המחוזי בבאר שבע (אקדח ומחסנית). הושת עליו 22 חודשי מאסר בפועל. בית המשפט העליון קיבל את ערעור הנאשם על חומרת העונש והפחית את עונשו ל- 16 חודשי מאסר בפועל נוכח פוטנציאל שיקומי גבוה במיוחד. </w:t>
      </w:r>
    </w:p>
    <w:p w14:paraId="72835CB5" w14:textId="77777777" w:rsidR="00E3790A" w:rsidRPr="00813737" w:rsidRDefault="00E3790A" w:rsidP="00E3790A">
      <w:pPr>
        <w:spacing w:before="120" w:after="120" w:line="360" w:lineRule="auto"/>
        <w:ind w:left="782"/>
        <w:contextualSpacing/>
        <w:jc w:val="both"/>
        <w:rPr>
          <w:rtl/>
        </w:rPr>
      </w:pPr>
      <w:r w:rsidRPr="00813737">
        <w:rPr>
          <w:rtl/>
        </w:rPr>
        <w:t>ב</w:t>
      </w:r>
      <w:hyperlink r:id="rId46" w:history="1">
        <w:r w:rsidR="002648D0" w:rsidRPr="002648D0">
          <w:rPr>
            <w:color w:val="0000FF"/>
            <w:u w:val="single"/>
            <w:rtl/>
          </w:rPr>
          <w:t>ת"פ (מחוזי ירושלים) 24207-06-13</w:t>
        </w:r>
      </w:hyperlink>
      <w:r w:rsidRPr="00813737">
        <w:rPr>
          <w:rFonts w:hint="cs"/>
          <w:b/>
          <w:bCs/>
        </w:rPr>
        <w:t xml:space="preserve"> </w:t>
      </w:r>
      <w:r w:rsidRPr="00813737">
        <w:rPr>
          <w:b/>
          <w:bCs/>
          <w:rtl/>
        </w:rPr>
        <w:t>מדינת ישראל נ' כרכי</w:t>
      </w:r>
      <w:r w:rsidRPr="00813737">
        <w:rPr>
          <w:rtl/>
        </w:rPr>
        <w:t xml:space="preserve"> (ניתן ביום 6.7.14), נאשם הורשע על פי הודאתו, בין היתר, בשתי עבירות של סחר בנשק (שני נשקים ארוכים) ובעבירה של סיוע לסחר בנשק, באמצעות סוכן משטרתי, ובית המשפט קבע כי מתחם הענישה ההולם בגין כל עבירה של סחר בנשק נע בין מאסר בפועל לתקופה של 24 חודשים לבין מאסר בפועל לתקופה של 48 חודשים.</w:t>
      </w:r>
    </w:p>
    <w:p w14:paraId="34887C13" w14:textId="77777777" w:rsidR="00E3790A" w:rsidRPr="00813737" w:rsidRDefault="00E3790A" w:rsidP="00E3790A">
      <w:pPr>
        <w:spacing w:before="120" w:after="120" w:line="360" w:lineRule="auto"/>
        <w:ind w:left="782"/>
        <w:contextualSpacing/>
        <w:jc w:val="both"/>
        <w:rPr>
          <w:sz w:val="12"/>
          <w:szCs w:val="12"/>
        </w:rPr>
      </w:pPr>
    </w:p>
    <w:p w14:paraId="730CA32A" w14:textId="77777777" w:rsidR="00E3790A" w:rsidRPr="00813737" w:rsidRDefault="00E3790A" w:rsidP="00E3790A">
      <w:pPr>
        <w:spacing w:before="120" w:after="120" w:line="360" w:lineRule="auto"/>
        <w:ind w:left="782"/>
        <w:contextualSpacing/>
        <w:jc w:val="both"/>
      </w:pPr>
      <w:r w:rsidRPr="00813737">
        <w:rPr>
          <w:rtl/>
        </w:rPr>
        <w:t>ב</w:t>
      </w:r>
      <w:hyperlink r:id="rId47" w:history="1">
        <w:r w:rsidR="002648D0" w:rsidRPr="002648D0">
          <w:rPr>
            <w:color w:val="0000FF"/>
            <w:u w:val="single"/>
            <w:rtl/>
          </w:rPr>
          <w:t>ת"פ (מחוזי חיפה) 36381-05-15</w:t>
        </w:r>
      </w:hyperlink>
      <w:r w:rsidRPr="00813737">
        <w:rPr>
          <w:rtl/>
        </w:rPr>
        <w:t xml:space="preserve"> </w:t>
      </w:r>
      <w:r w:rsidRPr="00813737">
        <w:rPr>
          <w:b/>
          <w:bCs/>
          <w:rtl/>
        </w:rPr>
        <w:t>מדינת ישראל נ' אבו שנדי</w:t>
      </w:r>
      <w:r w:rsidRPr="00813737">
        <w:rPr>
          <w:rtl/>
        </w:rPr>
        <w:t xml:space="preserve"> (ניתן ביום 31.12.15), נקבע מתחם עונש הולם שנע בין 24 חודשים לבין 48 חודשים, בגין עבירה של סחר בנשק, שבוצעה באמצעות סוכן משטרתי (מקלע מאולתר), ובסופו של יום, הושת על הנאשם, שעברו הפלילי לא היה מכביד, עונש של 28 חודשי מאסר בפועל לצד רכיבי ענישה נלווים. </w:t>
      </w:r>
    </w:p>
    <w:p w14:paraId="46DC804A" w14:textId="77777777" w:rsidR="00E3790A" w:rsidRDefault="00E3790A" w:rsidP="00E3790A">
      <w:pPr>
        <w:spacing w:before="120" w:after="120" w:line="360" w:lineRule="auto"/>
        <w:ind w:left="782"/>
        <w:contextualSpacing/>
        <w:jc w:val="both"/>
        <w:rPr>
          <w:sz w:val="12"/>
          <w:szCs w:val="12"/>
        </w:rPr>
      </w:pPr>
    </w:p>
    <w:p w14:paraId="14325E71" w14:textId="77777777" w:rsidR="00E3790A" w:rsidRPr="00E3790A" w:rsidRDefault="00E3790A" w:rsidP="00E3790A">
      <w:pPr>
        <w:numPr>
          <w:ilvl w:val="0"/>
          <w:numId w:val="1"/>
        </w:numPr>
        <w:spacing w:before="120" w:after="120" w:line="360" w:lineRule="auto"/>
        <w:ind w:left="782" w:hanging="357"/>
        <w:contextualSpacing/>
        <w:jc w:val="both"/>
        <w:rPr>
          <w:rFonts w:ascii="Calibri" w:hAnsi="Calibri"/>
        </w:rPr>
      </w:pPr>
      <w:r>
        <w:rPr>
          <w:rFonts w:ascii="David" w:hAnsi="David"/>
          <w:rtl/>
        </w:rPr>
        <w:t>אשר ל</w:t>
      </w:r>
      <w:r>
        <w:rPr>
          <w:rFonts w:ascii="David" w:hAnsi="David"/>
          <w:b/>
          <w:bCs/>
          <w:rtl/>
        </w:rPr>
        <w:t xml:space="preserve">נסיבות הקשורות בביצוע העבירה </w:t>
      </w:r>
      <w:r>
        <w:rPr>
          <w:rFonts w:ascii="David" w:hAnsi="David"/>
          <w:rtl/>
        </w:rPr>
        <w:t>(</w:t>
      </w:r>
      <w:r w:rsidRPr="002648D0">
        <w:rPr>
          <w:rFonts w:ascii="David" w:hAnsi="David"/>
          <w:color w:val="000000"/>
          <w:rtl/>
        </w:rPr>
        <w:t xml:space="preserve">סעיף </w:t>
      </w:r>
      <w:hyperlink r:id="rId48" w:history="1">
        <w:r w:rsidR="008B6AA2" w:rsidRPr="008B6AA2">
          <w:rPr>
            <w:rStyle w:val="Hyperlink"/>
            <w:rFonts w:ascii="David" w:hAnsi="David"/>
            <w:rtl/>
          </w:rPr>
          <w:t>40 ט'</w:t>
        </w:r>
      </w:hyperlink>
      <w:r w:rsidRPr="00813737">
        <w:rPr>
          <w:rFonts w:ascii="David" w:hAnsi="David"/>
          <w:rtl/>
        </w:rPr>
        <w:t xml:space="preserve"> </w:t>
      </w:r>
      <w:r>
        <w:rPr>
          <w:rFonts w:ascii="David" w:hAnsi="David"/>
          <w:rtl/>
        </w:rPr>
        <w:t xml:space="preserve">לחוק), יש לתת את הדעת לשיקולים הבאים: </w:t>
      </w:r>
      <w:r>
        <w:rPr>
          <w:rFonts w:ascii="Franklin Gothic Medium" w:hAnsi="Franklin Gothic Medium"/>
          <w:rtl/>
        </w:rPr>
        <w:t>מחד</w:t>
      </w:r>
      <w:r>
        <w:rPr>
          <w:rFonts w:ascii="Franklin Gothic Medium" w:hAnsi="Franklin Gothic Medium" w:hint="cs"/>
          <w:rtl/>
        </w:rPr>
        <w:t xml:space="preserve"> גיסא</w:t>
      </w:r>
      <w:r>
        <w:rPr>
          <w:rFonts w:ascii="Franklin Gothic Medium" w:hAnsi="Franklin Gothic Medium"/>
          <w:rtl/>
        </w:rPr>
        <w:t xml:space="preserve">, העונש המֵרבי שנקצב בצד עבירת הסחר בנשק – העומד על 15 שנים, בנוסף, יש להתחשב בכך שמדובר </w:t>
      </w:r>
      <w:r>
        <w:rPr>
          <w:rFonts w:ascii="Franklin Gothic Medium" w:hAnsi="Franklin Gothic Medium" w:hint="cs"/>
          <w:rtl/>
        </w:rPr>
        <w:t>אקדח 9 מ"מ</w:t>
      </w:r>
      <w:r>
        <w:rPr>
          <w:rFonts w:ascii="Franklin Gothic Medium" w:hAnsi="Franklin Gothic Medium"/>
          <w:rtl/>
        </w:rPr>
        <w:t xml:space="preserve">, </w:t>
      </w:r>
      <w:r>
        <w:rPr>
          <w:rFonts w:ascii="Calibri" w:hAnsi="Calibri"/>
          <w:rtl/>
        </w:rPr>
        <w:t xml:space="preserve">המיועד לפי טיבו ומהותו לפגיעה בנפש </w:t>
      </w:r>
      <w:r>
        <w:rPr>
          <w:rFonts w:ascii="Arial" w:hAnsi="Arial"/>
          <w:rtl/>
        </w:rPr>
        <w:t xml:space="preserve">או לגרימת נזק היקפי גדול בגוף האדם,  והוא בעל פוטנציאל קטילה של ממש. </w:t>
      </w:r>
      <w:r>
        <w:rPr>
          <w:rFonts w:ascii="Arial" w:hAnsi="Arial" w:hint="cs"/>
          <w:rtl/>
        </w:rPr>
        <w:t>הנאשם גם מכר תחמושת מתאימה לנשק והאחר אף ירה בו לבדוק כי הוא תקין.</w:t>
      </w:r>
      <w:r>
        <w:rPr>
          <w:rFonts w:ascii="Arial" w:hAnsi="Arial"/>
          <w:rtl/>
        </w:rPr>
        <w:t xml:space="preserve"> </w:t>
      </w:r>
      <w:r>
        <w:rPr>
          <w:rFonts w:ascii="Arial" w:hAnsi="Arial" w:hint="cs"/>
          <w:rtl/>
        </w:rPr>
        <w:t>מנגד אין מדובר בנשק תיקני והוא נתפס בסופו של דבר על ידי משטרת ישראל, כך שלא נגרם כתוצאה מהעבירה נזק.</w:t>
      </w:r>
      <w:r>
        <w:rPr>
          <w:rFonts w:ascii="Calibri" w:hAnsi="Calibri"/>
          <w:rtl/>
        </w:rPr>
        <w:t xml:space="preserve"> </w:t>
      </w:r>
      <w:r w:rsidRPr="00E3790A">
        <w:rPr>
          <w:rFonts w:ascii="Calibri" w:hAnsi="Calibri"/>
          <w:rtl/>
        </w:rPr>
        <w:t xml:space="preserve">ודוק, עבירות בנשק ובעיקר סחר בלתי חוקי בנשק, עלולות להביא, בסופו של יום, לביצוע עבירות שלצדן אלימות קשה ואף חלילה לקיפוד חיי אדם. </w:t>
      </w:r>
      <w:r>
        <w:rPr>
          <w:rFonts w:ascii="Franklin Gothic Medium" w:hAnsi="Franklin Gothic Medium"/>
          <w:rtl/>
        </w:rPr>
        <w:t>עסקינן בעבירות שקדם להם תכנון המוקדם, שכלל שיחות ומפגש</w:t>
      </w:r>
      <w:r>
        <w:rPr>
          <w:rFonts w:ascii="Franklin Gothic Medium" w:hAnsi="Franklin Gothic Medium" w:hint="cs"/>
          <w:rtl/>
        </w:rPr>
        <w:t xml:space="preserve"> </w:t>
      </w:r>
      <w:r>
        <w:rPr>
          <w:rFonts w:ascii="Franklin Gothic Medium" w:hAnsi="Franklin Gothic Medium"/>
          <w:rtl/>
        </w:rPr>
        <w:t xml:space="preserve">בהם הנאשם מסר </w:t>
      </w:r>
      <w:r>
        <w:rPr>
          <w:rFonts w:ascii="Franklin Gothic Medium" w:hAnsi="Franklin Gothic Medium" w:hint="cs"/>
          <w:rtl/>
        </w:rPr>
        <w:t>את הנשק.</w:t>
      </w:r>
      <w:r>
        <w:rPr>
          <w:rFonts w:ascii="Arial" w:hAnsi="Arial"/>
          <w:rtl/>
        </w:rPr>
        <w:t xml:space="preserve"> </w:t>
      </w:r>
      <w:r w:rsidRPr="00E3790A">
        <w:rPr>
          <w:rFonts w:ascii="Calibri" w:hAnsi="Calibri"/>
          <w:rtl/>
        </w:rPr>
        <w:t>הסיבות שהביאו את הנאשם לבצע את העבירה ה</w:t>
      </w:r>
      <w:r w:rsidRPr="00E3790A">
        <w:rPr>
          <w:rFonts w:ascii="Calibri" w:hAnsi="Calibri" w:hint="cs"/>
          <w:rtl/>
        </w:rPr>
        <w:t>ן</w:t>
      </w:r>
      <w:r w:rsidRPr="00E3790A">
        <w:rPr>
          <w:rFonts w:ascii="Calibri" w:hAnsi="Calibri"/>
          <w:rtl/>
        </w:rPr>
        <w:t xml:space="preserve"> בצע כסף. </w:t>
      </w:r>
      <w:r>
        <w:rPr>
          <w:rFonts w:ascii="Franklin Gothic Medium" w:hAnsi="Franklin Gothic Medium"/>
          <w:rtl/>
        </w:rPr>
        <w:t>מאידך</w:t>
      </w:r>
      <w:r>
        <w:rPr>
          <w:rFonts w:ascii="Franklin Gothic Medium" w:hAnsi="Franklin Gothic Medium" w:hint="cs"/>
          <w:rtl/>
        </w:rPr>
        <w:t xml:space="preserve"> גיסא</w:t>
      </w:r>
      <w:r>
        <w:rPr>
          <w:rFonts w:ascii="Franklin Gothic Medium" w:hAnsi="Franklin Gothic Medium"/>
          <w:rtl/>
        </w:rPr>
        <w:t xml:space="preserve"> שקלתי</w:t>
      </w:r>
      <w:r>
        <w:rPr>
          <w:rFonts w:ascii="Franklin Gothic Medium" w:hAnsi="Franklin Gothic Medium" w:hint="cs"/>
          <w:rtl/>
        </w:rPr>
        <w:t>,</w:t>
      </w:r>
      <w:r>
        <w:rPr>
          <w:rFonts w:ascii="Franklin Gothic Medium" w:hAnsi="Franklin Gothic Medium"/>
          <w:rtl/>
        </w:rPr>
        <w:t xml:space="preserve"> כי מדובר </w:t>
      </w:r>
      <w:r>
        <w:rPr>
          <w:rFonts w:ascii="Franklin Gothic Medium" w:hAnsi="Franklin Gothic Medium" w:hint="cs"/>
          <w:rtl/>
        </w:rPr>
        <w:t>באירוע אחד</w:t>
      </w:r>
      <w:r>
        <w:rPr>
          <w:rFonts w:ascii="Franklin Gothic Medium" w:hAnsi="Franklin Gothic Medium"/>
          <w:rtl/>
        </w:rPr>
        <w:t>, וכן את העובדה ש</w:t>
      </w:r>
      <w:r>
        <w:rPr>
          <w:rFonts w:ascii="Calibri" w:hAnsi="Calibri"/>
          <w:rtl/>
        </w:rPr>
        <w:t>בסופו של יום לא נגרם נזק ממשי בגין העבירה בה הורשע הנאשם</w:t>
      </w:r>
      <w:r>
        <w:rPr>
          <w:rFonts w:ascii="Calibri" w:hAnsi="Calibri" w:hint="cs"/>
          <w:rtl/>
        </w:rPr>
        <w:t>,</w:t>
      </w:r>
      <w:r>
        <w:rPr>
          <w:rFonts w:ascii="Calibri" w:hAnsi="Calibri"/>
          <w:rtl/>
        </w:rPr>
        <w:t xml:space="preserve"> </w:t>
      </w:r>
      <w:r>
        <w:rPr>
          <w:rFonts w:ascii="David" w:hAnsi="David"/>
          <w:rtl/>
        </w:rPr>
        <w:t>כך שמידת הפגיעה בערך המוגן היתה בעוצמה בינונית.</w:t>
      </w:r>
    </w:p>
    <w:p w14:paraId="6B5DDA6F" w14:textId="77777777" w:rsidR="00E3790A" w:rsidRPr="00E3790A" w:rsidRDefault="00E3790A" w:rsidP="00E3790A">
      <w:pPr>
        <w:spacing w:before="120" w:after="120" w:line="360" w:lineRule="auto"/>
        <w:ind w:left="782"/>
        <w:contextualSpacing/>
        <w:jc w:val="both"/>
        <w:rPr>
          <w:rFonts w:ascii="Calibri" w:hAnsi="Calibri"/>
          <w:sz w:val="12"/>
          <w:szCs w:val="12"/>
        </w:rPr>
      </w:pPr>
    </w:p>
    <w:p w14:paraId="0A91B5CF" w14:textId="77777777" w:rsidR="00E3790A" w:rsidRPr="00E3790A" w:rsidRDefault="00E3790A" w:rsidP="00E3790A">
      <w:pPr>
        <w:numPr>
          <w:ilvl w:val="0"/>
          <w:numId w:val="1"/>
        </w:numPr>
        <w:spacing w:before="120" w:after="120" w:line="360" w:lineRule="auto"/>
        <w:ind w:left="782" w:hanging="357"/>
        <w:contextualSpacing/>
        <w:jc w:val="both"/>
        <w:rPr>
          <w:rFonts w:ascii="Calibri" w:hAnsi="Calibri"/>
        </w:rPr>
      </w:pPr>
      <w:r w:rsidRPr="00E3790A">
        <w:rPr>
          <w:rFonts w:ascii="Calibri" w:hAnsi="Calibri"/>
          <w:rtl/>
        </w:rPr>
        <w:t xml:space="preserve">לאחר שבחנתי, את הערך החברתי שנפגע כתוצאה מביצוע העבירה שלפניי, את נסיבות ביצוע העבירה ואת מדיניות הענישה הנהוגה, הגעתי לכלל מסקנה כי מתחם העונש ההולם את העבירה שלפנינו, נע בין עונש של מאסר בפועל לתקופה של 20 חודשי מאסר בפועל לבין עונש של  40  חודשי מאסר בפועל, זאת בצד  רכיבי ענישה נלווים. </w:t>
      </w:r>
    </w:p>
    <w:p w14:paraId="12F885D1" w14:textId="77777777" w:rsidR="00E3790A" w:rsidRPr="00E3790A" w:rsidRDefault="00E3790A" w:rsidP="00E3790A">
      <w:pPr>
        <w:spacing w:before="120" w:after="120" w:line="360" w:lineRule="auto"/>
        <w:ind w:left="782"/>
        <w:contextualSpacing/>
        <w:jc w:val="both"/>
        <w:rPr>
          <w:rFonts w:ascii="Calibri" w:hAnsi="Calibri"/>
          <w:sz w:val="12"/>
          <w:szCs w:val="12"/>
        </w:rPr>
      </w:pPr>
    </w:p>
    <w:p w14:paraId="63325E91" w14:textId="77777777" w:rsidR="00E3790A" w:rsidRDefault="00E3790A" w:rsidP="00E3790A">
      <w:pPr>
        <w:numPr>
          <w:ilvl w:val="0"/>
          <w:numId w:val="1"/>
        </w:numPr>
        <w:spacing w:before="120" w:after="120" w:line="360" w:lineRule="auto"/>
        <w:contextualSpacing/>
        <w:jc w:val="both"/>
        <w:rPr>
          <w:rFonts w:ascii="Franklin Gothic Medium" w:hAnsi="Franklin Gothic Medium"/>
        </w:rPr>
      </w:pPr>
      <w:r>
        <w:rPr>
          <w:rtl/>
          <w:lang w:eastAsia="he-IL"/>
        </w:rPr>
        <w:t>לא מצאתי לחרוג לקול</w:t>
      </w:r>
      <w:r>
        <w:rPr>
          <w:rFonts w:hint="cs"/>
          <w:rtl/>
          <w:lang w:eastAsia="he-IL"/>
        </w:rPr>
        <w:t>ה</w:t>
      </w:r>
      <w:r>
        <w:rPr>
          <w:rtl/>
          <w:lang w:eastAsia="he-IL"/>
        </w:rPr>
        <w:t xml:space="preserve"> ממתחם העונש ההולם למטרת שיקום. כן לא מצאתי הצדקה לחרוג לחומרה מן המתחם ההולם מטעמי הגנה על הציבור.</w:t>
      </w:r>
    </w:p>
    <w:p w14:paraId="1E62D0FF" w14:textId="77777777" w:rsidR="00E3790A" w:rsidRPr="00E3790A" w:rsidRDefault="00E3790A" w:rsidP="00E3790A">
      <w:pPr>
        <w:spacing w:before="120" w:after="120" w:line="360" w:lineRule="auto"/>
        <w:ind w:firstLine="425"/>
        <w:jc w:val="both"/>
        <w:rPr>
          <w:rFonts w:ascii="Calibri" w:hAnsi="Calibri"/>
          <w:bCs/>
          <w:u w:val="single"/>
          <w:rtl/>
          <w:lang w:eastAsia="he-IL"/>
        </w:rPr>
      </w:pPr>
    </w:p>
    <w:p w14:paraId="4FF884D4" w14:textId="77777777" w:rsidR="00E3790A" w:rsidRPr="00E3790A" w:rsidRDefault="00E3790A" w:rsidP="00E3790A">
      <w:pPr>
        <w:spacing w:before="120" w:after="120" w:line="360" w:lineRule="auto"/>
        <w:ind w:firstLine="425"/>
        <w:jc w:val="both"/>
        <w:rPr>
          <w:rFonts w:ascii="Calibri" w:hAnsi="Calibri"/>
          <w:bCs/>
          <w:u w:val="single"/>
          <w:rtl/>
          <w:lang w:eastAsia="he-IL"/>
        </w:rPr>
      </w:pPr>
      <w:r w:rsidRPr="00E3790A">
        <w:rPr>
          <w:rFonts w:ascii="Calibri" w:hAnsi="Calibri"/>
          <w:bCs/>
          <w:u w:val="single"/>
          <w:rtl/>
          <w:lang w:eastAsia="he-IL"/>
        </w:rPr>
        <w:t xml:space="preserve">העונש המתאים </w:t>
      </w:r>
    </w:p>
    <w:p w14:paraId="0C0C89B8" w14:textId="77777777" w:rsidR="00E3790A" w:rsidRPr="00A66B2C" w:rsidRDefault="00E3790A" w:rsidP="00E3790A">
      <w:pPr>
        <w:numPr>
          <w:ilvl w:val="0"/>
          <w:numId w:val="1"/>
        </w:numPr>
        <w:spacing w:before="120" w:after="120" w:line="360" w:lineRule="auto"/>
        <w:ind w:left="782" w:hanging="357"/>
        <w:contextualSpacing/>
        <w:jc w:val="both"/>
        <w:rPr>
          <w:rFonts w:ascii="David" w:hAnsi="David"/>
          <w:rtl/>
        </w:rPr>
      </w:pPr>
      <w:r w:rsidRPr="00A66B2C">
        <w:rPr>
          <w:rFonts w:ascii="David" w:hAnsi="David"/>
          <w:rtl/>
        </w:rPr>
        <w:t>בגזירת העונש המתאים לנאשם, בגדרי מתחם העונש ההולם, יש להתחשב בנסיבות שאינן קשורות בביצוע העבירה (</w:t>
      </w:r>
      <w:r w:rsidRPr="002648D0">
        <w:rPr>
          <w:rFonts w:ascii="David" w:hAnsi="David"/>
          <w:color w:val="000000"/>
          <w:rtl/>
        </w:rPr>
        <w:t xml:space="preserve">סעיף </w:t>
      </w:r>
      <w:hyperlink r:id="rId49" w:history="1">
        <w:r w:rsidR="008B6AA2" w:rsidRPr="008B6AA2">
          <w:rPr>
            <w:rStyle w:val="Hyperlink"/>
            <w:rFonts w:ascii="David" w:hAnsi="David"/>
            <w:rtl/>
          </w:rPr>
          <w:t>40 יא'</w:t>
        </w:r>
      </w:hyperlink>
      <w:r>
        <w:rPr>
          <w:rFonts w:ascii="David" w:hAnsi="David" w:hint="cs"/>
          <w:rtl/>
        </w:rPr>
        <w:t xml:space="preserve"> ל</w:t>
      </w:r>
      <w:hyperlink r:id="rId50" w:history="1">
        <w:r w:rsidR="002648D0" w:rsidRPr="002648D0">
          <w:rPr>
            <w:rFonts w:ascii="David" w:hAnsi="David"/>
            <w:color w:val="0000FF"/>
            <w:u w:val="single"/>
            <w:rtl/>
          </w:rPr>
          <w:t>חוק העונשין</w:t>
        </w:r>
      </w:hyperlink>
      <w:r w:rsidRPr="00A66B2C">
        <w:rPr>
          <w:rFonts w:ascii="David" w:hAnsi="David"/>
          <w:rtl/>
        </w:rPr>
        <w:t xml:space="preserve">). במסגרת זו מן הראוי לתת את הדעת לנסיבות כדלהלן: הנאשם בן 39, ניהל אורח חיים נורמטיבי טרם מעצרו, הוא לקח אחריות למעשיו וחסך זמן שיפוטי יקר וכן שהה במעצר במשך שישה חודשים וידוע כי תנאי מעצר קשים מתנאי מאסר. לנאשם שלוש הרשעות קודמות שהאחרונה שבהן לפני </w:t>
      </w:r>
      <w:r>
        <w:rPr>
          <w:rFonts w:ascii="David" w:hAnsi="David" w:hint="cs"/>
          <w:rtl/>
        </w:rPr>
        <w:t>7</w:t>
      </w:r>
      <w:r w:rsidRPr="00A66B2C">
        <w:rPr>
          <w:rFonts w:ascii="David" w:hAnsi="David"/>
          <w:rtl/>
        </w:rPr>
        <w:t xml:space="preserve"> שנים, בתחום עבירות </w:t>
      </w:r>
      <w:r>
        <w:rPr>
          <w:rFonts w:ascii="David" w:hAnsi="David"/>
          <w:rtl/>
        </w:rPr>
        <w:t>הרכוש והחזק</w:t>
      </w:r>
      <w:r>
        <w:rPr>
          <w:rFonts w:ascii="David" w:hAnsi="David" w:hint="cs"/>
          <w:rtl/>
        </w:rPr>
        <w:t>ת</w:t>
      </w:r>
      <w:r>
        <w:rPr>
          <w:rFonts w:ascii="David" w:hAnsi="David"/>
          <w:rtl/>
        </w:rPr>
        <w:t xml:space="preserve"> סכין, שנדון בגינ</w:t>
      </w:r>
      <w:r>
        <w:rPr>
          <w:rFonts w:ascii="David" w:hAnsi="David" w:hint="cs"/>
          <w:rtl/>
        </w:rPr>
        <w:t>ן</w:t>
      </w:r>
      <w:r w:rsidRPr="00A66B2C">
        <w:rPr>
          <w:rFonts w:ascii="David" w:hAnsi="David"/>
          <w:rtl/>
        </w:rPr>
        <w:t xml:space="preserve"> ל</w:t>
      </w:r>
      <w:r>
        <w:rPr>
          <w:rFonts w:ascii="David" w:hAnsi="David" w:hint="cs"/>
          <w:rtl/>
        </w:rPr>
        <w:t xml:space="preserve">עונשים מגוונים שאינם עונשי מאסר בפועל. </w:t>
      </w:r>
      <w:r w:rsidRPr="00A66B2C">
        <w:rPr>
          <w:rFonts w:ascii="David" w:hAnsi="David"/>
          <w:rtl/>
        </w:rPr>
        <w:t>מאז לא נרשמו לחובתו הרשעות נוספות</w:t>
      </w:r>
      <w:r>
        <w:rPr>
          <w:rFonts w:ascii="David" w:hAnsi="David" w:hint="cs"/>
          <w:rtl/>
        </w:rPr>
        <w:t>, מלבד אירוע זה</w:t>
      </w:r>
      <w:r w:rsidRPr="00A66B2C">
        <w:rPr>
          <w:rFonts w:ascii="David" w:hAnsi="David"/>
          <w:rtl/>
        </w:rPr>
        <w:t>. הנאשם נשוי אב שלושה ילדים שהוא אמון על פרנסתם</w:t>
      </w:r>
      <w:r>
        <w:rPr>
          <w:rFonts w:ascii="David" w:hAnsi="David" w:hint="cs"/>
          <w:rtl/>
        </w:rPr>
        <w:t xml:space="preserve"> והוא מצוי בקשים כלכליים</w:t>
      </w:r>
      <w:r w:rsidRPr="00A66B2C">
        <w:rPr>
          <w:rFonts w:ascii="David" w:hAnsi="David"/>
          <w:rtl/>
        </w:rPr>
        <w:t>.</w:t>
      </w:r>
    </w:p>
    <w:p w14:paraId="580BFD02" w14:textId="77777777" w:rsidR="00E3790A" w:rsidRPr="00A66B2C" w:rsidRDefault="00E3790A" w:rsidP="00E3790A">
      <w:pPr>
        <w:spacing w:before="120" w:after="120" w:line="360" w:lineRule="auto"/>
        <w:ind w:left="782"/>
        <w:contextualSpacing/>
        <w:jc w:val="both"/>
        <w:rPr>
          <w:rFonts w:ascii="David" w:hAnsi="David"/>
          <w:sz w:val="12"/>
          <w:szCs w:val="12"/>
        </w:rPr>
      </w:pPr>
    </w:p>
    <w:p w14:paraId="5EF61329" w14:textId="77777777" w:rsidR="00E3790A" w:rsidRPr="00A66B2C" w:rsidRDefault="00E3790A" w:rsidP="00E3790A">
      <w:pPr>
        <w:numPr>
          <w:ilvl w:val="0"/>
          <w:numId w:val="1"/>
        </w:numPr>
        <w:spacing w:before="120" w:after="120" w:line="360" w:lineRule="auto"/>
        <w:ind w:left="782" w:hanging="357"/>
        <w:contextualSpacing/>
        <w:jc w:val="both"/>
        <w:rPr>
          <w:rFonts w:ascii="David" w:hAnsi="David"/>
          <w:lang w:eastAsia="he-IL"/>
        </w:rPr>
      </w:pPr>
      <w:r w:rsidRPr="00A66B2C">
        <w:rPr>
          <w:rFonts w:ascii="David" w:hAnsi="David"/>
          <w:rtl/>
        </w:rPr>
        <w:t xml:space="preserve">עוד יש לתת דגש לשיקולי הרתעת היחיד והרתעת הרבים, במסגרת מתחם העונש ההולם. </w:t>
      </w:r>
      <w:r w:rsidRPr="00A66B2C">
        <w:rPr>
          <w:rFonts w:ascii="David" w:hAnsi="David"/>
          <w:rtl/>
          <w:lang w:eastAsia="he-IL"/>
        </w:rPr>
        <w:t xml:space="preserve">בית המשפט העליון חזר על גישתו המחמירה בעבירות נשק במסגרת </w:t>
      </w:r>
      <w:hyperlink r:id="rId51" w:history="1">
        <w:r w:rsidR="002648D0" w:rsidRPr="002648D0">
          <w:rPr>
            <w:rFonts w:ascii="David" w:hAnsi="David"/>
            <w:color w:val="0000FF"/>
            <w:u w:val="single"/>
            <w:rtl/>
            <w:lang w:eastAsia="he-IL"/>
          </w:rPr>
          <w:t>ע"פ 5681/14</w:t>
        </w:r>
      </w:hyperlink>
      <w:r w:rsidRPr="00A66B2C">
        <w:rPr>
          <w:rFonts w:ascii="David" w:hAnsi="David"/>
          <w:rtl/>
          <w:lang w:eastAsia="he-IL"/>
        </w:rPr>
        <w:t xml:space="preserve"> </w:t>
      </w:r>
      <w:r w:rsidRPr="00A66B2C">
        <w:rPr>
          <w:rFonts w:ascii="David" w:hAnsi="David"/>
          <w:b/>
          <w:bCs/>
          <w:rtl/>
          <w:lang w:eastAsia="he-IL"/>
        </w:rPr>
        <w:t>מדינת ישראל נ' טאטור</w:t>
      </w:r>
      <w:r w:rsidRPr="00A66B2C">
        <w:rPr>
          <w:rFonts w:ascii="David" w:hAnsi="David"/>
          <w:rtl/>
          <w:lang w:eastAsia="he-IL"/>
        </w:rPr>
        <w:t xml:space="preserve"> (ניתן ביום 1.2.15) בקבעו כי:</w:t>
      </w:r>
    </w:p>
    <w:p w14:paraId="2149F924" w14:textId="77777777" w:rsidR="00E3790A" w:rsidRPr="00A66B2C" w:rsidRDefault="00E3790A" w:rsidP="00E3790A">
      <w:pPr>
        <w:spacing w:before="120" w:after="120" w:line="360" w:lineRule="auto"/>
        <w:ind w:left="782"/>
        <w:contextualSpacing/>
        <w:jc w:val="both"/>
        <w:rPr>
          <w:rFonts w:ascii="David" w:hAnsi="David"/>
          <w:sz w:val="12"/>
          <w:szCs w:val="12"/>
          <w:lang w:eastAsia="he-IL"/>
        </w:rPr>
      </w:pPr>
    </w:p>
    <w:p w14:paraId="2DE7AD7A" w14:textId="77777777" w:rsidR="00E3790A" w:rsidRPr="00A66B2C" w:rsidRDefault="00E3790A" w:rsidP="00E3790A">
      <w:pPr>
        <w:spacing w:before="120" w:after="120" w:line="360" w:lineRule="auto"/>
        <w:ind w:left="1650" w:right="709"/>
        <w:contextualSpacing/>
        <w:jc w:val="both"/>
        <w:rPr>
          <w:rFonts w:ascii="David" w:hAnsi="David"/>
          <w:b/>
          <w:bCs/>
          <w:lang w:eastAsia="he-IL"/>
        </w:rPr>
      </w:pPr>
      <w:r w:rsidRPr="00A66B2C">
        <w:rPr>
          <w:rFonts w:ascii="David" w:hAnsi="David"/>
          <w:b/>
          <w:bCs/>
          <w:rtl/>
          <w:lang w:eastAsia="he-IL"/>
        </w:rPr>
        <w:t xml:space="preserve">"דרך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2BF6DB2B" w14:textId="77777777" w:rsidR="00E3790A" w:rsidRPr="00A66B2C" w:rsidRDefault="00E3790A" w:rsidP="00E3790A">
      <w:pPr>
        <w:spacing w:before="120" w:after="120" w:line="360" w:lineRule="auto"/>
        <w:ind w:left="782"/>
        <w:contextualSpacing/>
        <w:jc w:val="both"/>
        <w:rPr>
          <w:rFonts w:ascii="David" w:hAnsi="David"/>
          <w:sz w:val="12"/>
          <w:szCs w:val="12"/>
          <w:rtl/>
        </w:rPr>
      </w:pPr>
    </w:p>
    <w:p w14:paraId="3842BCCA" w14:textId="77777777" w:rsidR="00E3790A" w:rsidRPr="00E3790A" w:rsidRDefault="00E3790A" w:rsidP="00E3790A">
      <w:pPr>
        <w:numPr>
          <w:ilvl w:val="0"/>
          <w:numId w:val="1"/>
        </w:numPr>
        <w:spacing w:before="120" w:after="120" w:line="360" w:lineRule="auto"/>
        <w:ind w:left="782" w:hanging="357"/>
        <w:contextualSpacing/>
        <w:jc w:val="both"/>
        <w:rPr>
          <w:rFonts w:ascii="Calibri" w:hAnsi="Calibri"/>
          <w:rtl/>
        </w:rPr>
      </w:pPr>
      <w:r w:rsidRPr="00A66B2C">
        <w:rPr>
          <w:rFonts w:ascii="David" w:hAnsi="David"/>
          <w:rtl/>
        </w:rPr>
        <w:t xml:space="preserve">באיזון בין השיקולים השונים, אני סבורה כי יש לגזור על הנאשם עונש מאסר ברף </w:t>
      </w:r>
      <w:r w:rsidRPr="00E3790A">
        <w:rPr>
          <w:rFonts w:ascii="Calibri" w:hAnsi="Calibri"/>
          <w:rtl/>
        </w:rPr>
        <w:t xml:space="preserve">הנמוך של המתחם.  </w:t>
      </w:r>
    </w:p>
    <w:p w14:paraId="735165C0" w14:textId="77777777" w:rsidR="00E3790A" w:rsidRPr="00E3790A" w:rsidRDefault="00E3790A" w:rsidP="00E3790A">
      <w:pPr>
        <w:spacing w:before="120" w:after="120" w:line="360" w:lineRule="auto"/>
        <w:ind w:left="782"/>
        <w:contextualSpacing/>
        <w:jc w:val="both"/>
        <w:rPr>
          <w:rFonts w:ascii="Calibri" w:hAnsi="Calibri"/>
          <w:sz w:val="12"/>
          <w:szCs w:val="12"/>
          <w:rtl/>
        </w:rPr>
      </w:pPr>
    </w:p>
    <w:p w14:paraId="14B964D3" w14:textId="77777777" w:rsidR="00E3790A" w:rsidRPr="00E3790A" w:rsidRDefault="00E3790A" w:rsidP="00E3790A">
      <w:pPr>
        <w:numPr>
          <w:ilvl w:val="0"/>
          <w:numId w:val="1"/>
        </w:numPr>
        <w:spacing w:before="120" w:after="120" w:line="360" w:lineRule="auto"/>
        <w:ind w:left="782" w:hanging="357"/>
        <w:contextualSpacing/>
        <w:jc w:val="both"/>
        <w:rPr>
          <w:rFonts w:ascii="Calibri" w:hAnsi="Calibri"/>
        </w:rPr>
      </w:pPr>
      <w:r>
        <w:rPr>
          <w:rFonts w:ascii="David" w:hAnsi="David"/>
          <w:rtl/>
        </w:rPr>
        <w:t xml:space="preserve">לאור כל האמור לעיל החלטתי להטיל על הנאשם את העונשים כדלהלן: </w:t>
      </w:r>
    </w:p>
    <w:p w14:paraId="275D9FB0" w14:textId="77777777" w:rsidR="00E3790A" w:rsidRPr="00E3790A" w:rsidRDefault="00E3790A" w:rsidP="00E3790A">
      <w:pPr>
        <w:spacing w:before="120" w:after="120" w:line="360" w:lineRule="auto"/>
        <w:ind w:left="782"/>
        <w:contextualSpacing/>
        <w:jc w:val="both"/>
        <w:rPr>
          <w:rFonts w:ascii="Calibri" w:hAnsi="Calibri"/>
          <w:sz w:val="2"/>
          <w:szCs w:val="2"/>
        </w:rPr>
      </w:pPr>
    </w:p>
    <w:p w14:paraId="4DC3DCC8" w14:textId="77777777" w:rsidR="00E3790A" w:rsidRPr="00E3790A" w:rsidRDefault="00E3790A" w:rsidP="00E3790A">
      <w:pPr>
        <w:numPr>
          <w:ilvl w:val="1"/>
          <w:numId w:val="2"/>
        </w:numPr>
        <w:spacing w:before="120" w:after="120" w:line="360" w:lineRule="auto"/>
        <w:contextualSpacing/>
        <w:jc w:val="both"/>
        <w:rPr>
          <w:rFonts w:ascii="Calibri" w:hAnsi="Calibri"/>
        </w:rPr>
      </w:pPr>
      <w:r w:rsidRPr="00E3790A">
        <w:rPr>
          <w:rFonts w:ascii="Calibri" w:hAnsi="Calibri"/>
          <w:rtl/>
        </w:rPr>
        <w:t>24</w:t>
      </w:r>
      <w:r w:rsidRPr="00E3790A">
        <w:rPr>
          <w:rFonts w:ascii="Calibri" w:hAnsi="Calibri"/>
          <w:color w:val="FF0000"/>
          <w:rtl/>
        </w:rPr>
        <w:t xml:space="preserve"> </w:t>
      </w:r>
      <w:r w:rsidRPr="00E3790A">
        <w:rPr>
          <w:rFonts w:ascii="Calibri" w:hAnsi="Calibri"/>
          <w:rtl/>
        </w:rPr>
        <w:t>חודשי מאסר</w:t>
      </w:r>
      <w:r w:rsidRPr="00E3790A">
        <w:rPr>
          <w:rFonts w:ascii="Calibri" w:hAnsi="Calibri" w:hint="cs"/>
          <w:rtl/>
        </w:rPr>
        <w:t xml:space="preserve"> אשר ירוצו מיום מעצרו 13.5.20.</w:t>
      </w:r>
    </w:p>
    <w:p w14:paraId="6DF9C72F" w14:textId="77777777" w:rsidR="00E3790A" w:rsidRPr="00E3790A" w:rsidRDefault="00E3790A" w:rsidP="00E3790A">
      <w:pPr>
        <w:spacing w:before="120" w:after="120" w:line="360" w:lineRule="auto"/>
        <w:ind w:left="1980"/>
        <w:contextualSpacing/>
        <w:jc w:val="both"/>
        <w:rPr>
          <w:rFonts w:ascii="Calibri" w:hAnsi="Calibri"/>
          <w:sz w:val="12"/>
          <w:szCs w:val="12"/>
        </w:rPr>
      </w:pPr>
    </w:p>
    <w:p w14:paraId="225B50CF" w14:textId="77777777" w:rsidR="00E3790A" w:rsidRDefault="00E3790A" w:rsidP="00E3790A">
      <w:pPr>
        <w:numPr>
          <w:ilvl w:val="1"/>
          <w:numId w:val="2"/>
        </w:numPr>
        <w:spacing w:before="120" w:after="120" w:line="360" w:lineRule="auto"/>
        <w:contextualSpacing/>
        <w:jc w:val="both"/>
        <w:rPr>
          <w:rFonts w:ascii="Calibri" w:hAnsi="Calibri"/>
        </w:rPr>
      </w:pPr>
      <w:r>
        <w:rPr>
          <w:rFonts w:ascii="Calibri" w:hAnsi="Calibri"/>
          <w:rtl/>
        </w:rPr>
        <w:t xml:space="preserve">12 חודשי מאסר על תנאי שלא יעבור בתוך שנתיים מיום שחרורו </w:t>
      </w:r>
      <w:r>
        <w:rPr>
          <w:rFonts w:ascii="Calibri" w:hAnsi="Calibri" w:hint="cs"/>
          <w:rtl/>
        </w:rPr>
        <w:t xml:space="preserve">על </w:t>
      </w:r>
      <w:r>
        <w:rPr>
          <w:rFonts w:ascii="Calibri" w:hAnsi="Calibri"/>
          <w:rtl/>
        </w:rPr>
        <w:t>עבירות נשק מסוג פשע.</w:t>
      </w:r>
    </w:p>
    <w:p w14:paraId="2437DD0F" w14:textId="77777777" w:rsidR="00E3790A" w:rsidRPr="00793150" w:rsidRDefault="00E3790A" w:rsidP="00E3790A">
      <w:pPr>
        <w:spacing w:before="120" w:after="120" w:line="360" w:lineRule="auto"/>
        <w:ind w:left="1620"/>
        <w:contextualSpacing/>
        <w:jc w:val="both"/>
        <w:rPr>
          <w:rFonts w:ascii="Calibri" w:hAnsi="Calibri"/>
          <w:sz w:val="12"/>
          <w:szCs w:val="12"/>
        </w:rPr>
      </w:pPr>
    </w:p>
    <w:p w14:paraId="0E284359" w14:textId="77777777" w:rsidR="00E3790A" w:rsidRDefault="00E3790A" w:rsidP="00E3790A">
      <w:pPr>
        <w:numPr>
          <w:ilvl w:val="1"/>
          <w:numId w:val="2"/>
        </w:numPr>
        <w:spacing w:before="120" w:after="120" w:line="360" w:lineRule="auto"/>
        <w:contextualSpacing/>
        <w:jc w:val="both"/>
        <w:rPr>
          <w:rFonts w:ascii="Calibri" w:hAnsi="Calibri"/>
        </w:rPr>
      </w:pPr>
      <w:r>
        <w:rPr>
          <w:rFonts w:ascii="Calibri" w:hAnsi="Calibri"/>
          <w:rtl/>
        </w:rPr>
        <w:t xml:space="preserve">6 חודשי מאסר על תנאי שלא יעבור בתוך שנתיים מיום שחרורו </w:t>
      </w:r>
      <w:r>
        <w:rPr>
          <w:rFonts w:ascii="Calibri" w:hAnsi="Calibri" w:hint="cs"/>
          <w:rtl/>
        </w:rPr>
        <w:t xml:space="preserve">על </w:t>
      </w:r>
      <w:r>
        <w:rPr>
          <w:rFonts w:ascii="Calibri" w:hAnsi="Calibri"/>
          <w:rtl/>
        </w:rPr>
        <w:t>עבירות נשק מסוג עוון.</w:t>
      </w:r>
    </w:p>
    <w:p w14:paraId="39AC57F8" w14:textId="77777777" w:rsidR="00E3790A" w:rsidRDefault="00E3790A" w:rsidP="00E3790A">
      <w:pPr>
        <w:spacing w:before="120" w:after="120" w:line="360" w:lineRule="auto"/>
        <w:ind w:left="1980"/>
        <w:contextualSpacing/>
        <w:jc w:val="both"/>
        <w:rPr>
          <w:rFonts w:ascii="Calibri" w:hAnsi="Calibri"/>
          <w:sz w:val="12"/>
          <w:szCs w:val="12"/>
          <w:rtl/>
        </w:rPr>
      </w:pPr>
    </w:p>
    <w:p w14:paraId="23B78622" w14:textId="77777777" w:rsidR="00E3790A" w:rsidRPr="00E47EDC" w:rsidRDefault="00E3790A" w:rsidP="00E3790A">
      <w:pPr>
        <w:numPr>
          <w:ilvl w:val="1"/>
          <w:numId w:val="2"/>
        </w:numPr>
        <w:spacing w:before="120" w:after="120" w:line="360" w:lineRule="auto"/>
        <w:contextualSpacing/>
        <w:jc w:val="both"/>
        <w:rPr>
          <w:rFonts w:ascii="Calibri" w:hAnsi="Calibri"/>
        </w:rPr>
      </w:pPr>
      <w:r>
        <w:rPr>
          <w:rFonts w:ascii="Calibri" w:hAnsi="Calibri" w:hint="cs"/>
          <w:rtl/>
        </w:rPr>
        <w:t xml:space="preserve">קנס בסך 5,000 </w:t>
      </w:r>
      <w:r>
        <w:rPr>
          <w:rFonts w:ascii="Calibri" w:hAnsi="Calibri" w:hint="eastAsia"/>
          <w:rtl/>
        </w:rPr>
        <w:t>₪</w:t>
      </w:r>
      <w:r>
        <w:rPr>
          <w:rFonts w:ascii="Calibri" w:hAnsi="Calibri" w:hint="cs"/>
          <w:rtl/>
        </w:rPr>
        <w:t xml:space="preserve"> או חודשיים מאסר תחתיו. הקנס ישולם בעשרים תשלומים שווים ורצופים החל מיום 13.5.21.</w:t>
      </w:r>
    </w:p>
    <w:p w14:paraId="52A1934D" w14:textId="77777777" w:rsidR="00E3790A" w:rsidRPr="00793150" w:rsidRDefault="00E3790A" w:rsidP="00E3790A">
      <w:pPr>
        <w:rPr>
          <w:sz w:val="12"/>
          <w:szCs w:val="12"/>
          <w:rtl/>
        </w:rPr>
      </w:pPr>
    </w:p>
    <w:p w14:paraId="1B9CDFB8" w14:textId="77777777" w:rsidR="00E3790A" w:rsidRPr="00B05847" w:rsidRDefault="00E3790A" w:rsidP="00E3790A">
      <w:pPr>
        <w:rPr>
          <w:rtl/>
        </w:rPr>
      </w:pPr>
    </w:p>
    <w:p w14:paraId="6C3F5B26" w14:textId="77777777" w:rsidR="00E3790A" w:rsidRPr="00983B93" w:rsidRDefault="00E3790A" w:rsidP="00E3790A">
      <w:pPr>
        <w:rPr>
          <w:b/>
          <w:bCs/>
          <w:rtl/>
        </w:rPr>
      </w:pPr>
      <w:r w:rsidRPr="00983B93">
        <w:rPr>
          <w:b/>
          <w:bCs/>
          <w:rtl/>
        </w:rPr>
        <w:t>זכות ערעור לבית המשפט העליון תוך 45 יום מהיום</w:t>
      </w:r>
    </w:p>
    <w:p w14:paraId="5598C1AE" w14:textId="77777777" w:rsidR="00E3790A" w:rsidRPr="00983B93" w:rsidRDefault="00E3790A" w:rsidP="00E3790A">
      <w:pPr>
        <w:rPr>
          <w:color w:val="FFFFFF"/>
          <w:sz w:val="2"/>
          <w:szCs w:val="2"/>
          <w:rtl/>
        </w:rPr>
      </w:pPr>
      <w:r w:rsidRPr="00983B93">
        <w:rPr>
          <w:color w:val="FFFFFF"/>
          <w:sz w:val="2"/>
          <w:szCs w:val="2"/>
          <w:rtl/>
        </w:rPr>
        <w:t>5129371</w:t>
      </w:r>
    </w:p>
    <w:p w14:paraId="604B1A3C" w14:textId="77777777" w:rsidR="00E3790A" w:rsidRDefault="00E3790A" w:rsidP="00E3790A">
      <w:pPr>
        <w:rPr>
          <w:rFonts w:ascii="Arial" w:hAnsi="Arial"/>
          <w:rtl/>
        </w:rPr>
      </w:pPr>
    </w:p>
    <w:p w14:paraId="3C3A4A76" w14:textId="77777777" w:rsidR="00E3790A" w:rsidRPr="00983B93" w:rsidRDefault="002648D0" w:rsidP="00E3790A">
      <w:pPr>
        <w:rPr>
          <w:rFonts w:cs="FrankRuehl"/>
          <w:sz w:val="28"/>
          <w:szCs w:val="28"/>
          <w:rtl/>
        </w:rPr>
      </w:pPr>
      <w:bookmarkStart w:id="9" w:name="Nitan"/>
      <w:r w:rsidRPr="002648D0">
        <w:rPr>
          <w:rFonts w:ascii="Arial" w:hAnsi="Arial"/>
          <w:color w:val="FFFFFF"/>
          <w:sz w:val="2"/>
          <w:szCs w:val="2"/>
          <w:rtl/>
        </w:rPr>
        <w:t>5129371</w:t>
      </w:r>
      <w:r>
        <w:rPr>
          <w:rFonts w:ascii="Arial" w:hAnsi="Arial"/>
          <w:rtl/>
        </w:rPr>
        <w:t xml:space="preserve">ניתן היום,  כ"ח חשוון תשפ"א, 15 נובמבר 2020, במעמד ב"כ הצדדים והנאשם באמצעות הוועדות </w:t>
      </w:r>
      <w:bookmarkEnd w:id="9"/>
      <w:r w:rsidR="00E3790A">
        <w:rPr>
          <w:rFonts w:ascii="Arial" w:hAnsi="Arial" w:hint="cs"/>
          <w:rtl/>
        </w:rPr>
        <w:t>חזותית</w:t>
      </w:r>
      <w:r w:rsidR="00E3790A" w:rsidRPr="00983B93">
        <w:rPr>
          <w:rFonts w:ascii="Arial" w:hAnsi="Arial"/>
          <w:rtl/>
        </w:rPr>
        <w:t xml:space="preserve">. </w:t>
      </w:r>
    </w:p>
    <w:p w14:paraId="23476277" w14:textId="77777777" w:rsidR="00E3790A" w:rsidRPr="002648D0" w:rsidRDefault="002648D0" w:rsidP="00E3790A">
      <w:pPr>
        <w:spacing w:line="360" w:lineRule="auto"/>
        <w:jc w:val="both"/>
        <w:rPr>
          <w:rFonts w:cs="FrankRuehl"/>
          <w:color w:val="FFFFFF"/>
          <w:sz w:val="2"/>
          <w:szCs w:val="2"/>
          <w:rtl/>
        </w:rPr>
      </w:pPr>
      <w:r w:rsidRPr="002648D0">
        <w:rPr>
          <w:rFonts w:cs="FrankRuehl"/>
          <w:color w:val="FFFFFF"/>
          <w:sz w:val="2"/>
          <w:szCs w:val="2"/>
          <w:rtl/>
        </w:rPr>
        <w:t>54678313</w:t>
      </w:r>
    </w:p>
    <w:p w14:paraId="049941A8" w14:textId="77777777" w:rsidR="00E3790A" w:rsidRDefault="00E3790A" w:rsidP="002648D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6787605" w14:textId="77777777" w:rsidR="00E3790A" w:rsidRDefault="00E3790A" w:rsidP="00E3790A">
      <w:pPr>
        <w:jc w:val="center"/>
        <w:rPr>
          <w:rFonts w:ascii="Arial" w:hAnsi="Arial" w:cs="FrankRuehl"/>
          <w:sz w:val="28"/>
          <w:szCs w:val="28"/>
          <w:rtl/>
        </w:rPr>
      </w:pPr>
    </w:p>
    <w:p w14:paraId="565442D4" w14:textId="77777777" w:rsidR="00E3790A" w:rsidRDefault="00E3790A" w:rsidP="00E3790A">
      <w:pPr>
        <w:rPr>
          <w:rFonts w:cs="FrankRuehl"/>
          <w:sz w:val="28"/>
          <w:szCs w:val="28"/>
          <w:rtl/>
        </w:rPr>
      </w:pPr>
    </w:p>
    <w:p w14:paraId="7994B4E0" w14:textId="77777777" w:rsidR="00E3790A" w:rsidRPr="008B6AA2" w:rsidRDefault="008B6AA2" w:rsidP="00E3790A">
      <w:pPr>
        <w:pStyle w:val="a3"/>
        <w:jc w:val="center"/>
        <w:rPr>
          <w:color w:val="FFFFFF"/>
          <w:sz w:val="2"/>
          <w:szCs w:val="2"/>
          <w:rtl/>
        </w:rPr>
      </w:pPr>
      <w:r w:rsidRPr="008B6AA2">
        <w:rPr>
          <w:color w:val="FFFFFF"/>
          <w:sz w:val="2"/>
          <w:szCs w:val="2"/>
          <w:rtl/>
        </w:rPr>
        <w:t>5129371</w:t>
      </w:r>
    </w:p>
    <w:p w14:paraId="58EBEADD" w14:textId="77777777" w:rsidR="00045422" w:rsidRPr="008B6AA2" w:rsidRDefault="008B6AA2" w:rsidP="002648D0">
      <w:pPr>
        <w:keepNext/>
        <w:rPr>
          <w:rFonts w:ascii="David" w:hAnsi="David"/>
          <w:color w:val="FFFFFF"/>
          <w:sz w:val="2"/>
          <w:szCs w:val="2"/>
          <w:rtl/>
        </w:rPr>
      </w:pPr>
      <w:r w:rsidRPr="008B6AA2">
        <w:rPr>
          <w:rFonts w:ascii="David" w:hAnsi="David"/>
          <w:color w:val="FFFFFF"/>
          <w:sz w:val="2"/>
          <w:szCs w:val="2"/>
          <w:rtl/>
        </w:rPr>
        <w:t>54678313</w:t>
      </w:r>
    </w:p>
    <w:p w14:paraId="6D9DF2EE" w14:textId="77777777" w:rsidR="002648D0" w:rsidRDefault="002648D0" w:rsidP="002648D0">
      <w:pPr>
        <w:rPr>
          <w:rFonts w:hint="cs"/>
        </w:rPr>
      </w:pPr>
    </w:p>
    <w:p w14:paraId="5F7D7BB6" w14:textId="77777777" w:rsidR="002648D0" w:rsidRDefault="002648D0" w:rsidP="002648D0">
      <w:pPr>
        <w:rPr>
          <w:rtl/>
        </w:rPr>
      </w:pPr>
    </w:p>
    <w:p w14:paraId="6BFFDAA5" w14:textId="77777777" w:rsidR="002648D0" w:rsidRDefault="002648D0" w:rsidP="002648D0">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5173CA80" w14:textId="77777777" w:rsidR="008B6AA2" w:rsidRPr="008B6AA2" w:rsidRDefault="008B6AA2" w:rsidP="008B6AA2">
      <w:pPr>
        <w:keepNext/>
        <w:rPr>
          <w:rFonts w:ascii="David" w:hAnsi="David"/>
          <w:color w:val="000000"/>
          <w:sz w:val="22"/>
          <w:szCs w:val="22"/>
          <w:rtl/>
        </w:rPr>
      </w:pPr>
    </w:p>
    <w:p w14:paraId="622C7354" w14:textId="77777777" w:rsidR="008B6AA2" w:rsidRPr="008B6AA2" w:rsidRDefault="008B6AA2" w:rsidP="008B6AA2">
      <w:pPr>
        <w:keepNext/>
        <w:rPr>
          <w:rFonts w:ascii="David" w:hAnsi="David"/>
          <w:color w:val="000000"/>
          <w:sz w:val="22"/>
          <w:szCs w:val="22"/>
          <w:rtl/>
        </w:rPr>
      </w:pPr>
      <w:r w:rsidRPr="008B6AA2">
        <w:rPr>
          <w:rFonts w:ascii="David" w:hAnsi="David"/>
          <w:color w:val="000000"/>
          <w:sz w:val="22"/>
          <w:szCs w:val="22"/>
          <w:rtl/>
        </w:rPr>
        <w:t>חנה מרים לומפ 54678313-/</w:t>
      </w:r>
    </w:p>
    <w:p w14:paraId="5E514DC2" w14:textId="77777777" w:rsidR="002648D0" w:rsidRPr="002648D0" w:rsidRDefault="008B6AA2" w:rsidP="008B6AA2">
      <w:pPr>
        <w:rPr>
          <w:color w:val="0000FF"/>
          <w:u w:val="single"/>
        </w:rPr>
      </w:pPr>
      <w:r w:rsidRPr="008B6AA2">
        <w:rPr>
          <w:color w:val="000000"/>
          <w:u w:val="single"/>
          <w:rtl/>
        </w:rPr>
        <w:t>נוסח מסמך זה כפוף לשינויי ניסוח ועריכה</w:t>
      </w:r>
    </w:p>
    <w:sectPr w:rsidR="002648D0" w:rsidRPr="002648D0" w:rsidSect="008B6AA2">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ECE50" w14:textId="77777777" w:rsidR="00A26CD2" w:rsidRDefault="00A26CD2" w:rsidP="00342540">
      <w:r>
        <w:separator/>
      </w:r>
    </w:p>
  </w:endnote>
  <w:endnote w:type="continuationSeparator" w:id="0">
    <w:p w14:paraId="7DF6C234" w14:textId="77777777" w:rsidR="00A26CD2" w:rsidRDefault="00A26CD2" w:rsidP="0034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028 Extrabold">
    <w:altName w:val="Times New Roman"/>
    <w:charset w:val="00"/>
    <w:family w:val="auto"/>
    <w:pitch w:val="variable"/>
    <w:sig w:usb0="800001AF" w:usb1="000178E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FF451" w14:textId="77777777" w:rsidR="00A637DE" w:rsidRDefault="00A637DE" w:rsidP="008B6A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6CC348" w14:textId="77777777" w:rsidR="00A637DE" w:rsidRPr="008B6AA2" w:rsidRDefault="00A637DE" w:rsidP="008B6AA2">
    <w:pPr>
      <w:pStyle w:val="a5"/>
      <w:pBdr>
        <w:top w:val="single" w:sz="4" w:space="1" w:color="auto"/>
        <w:between w:val="single" w:sz="4" w:space="0" w:color="auto"/>
      </w:pBdr>
      <w:spacing w:after="60"/>
      <w:jc w:val="center"/>
      <w:rPr>
        <w:rFonts w:ascii="FrankRuehl" w:hAnsi="FrankRuehl" w:cs="FrankRuehl"/>
        <w:color w:val="000000"/>
      </w:rPr>
    </w:pPr>
    <w:r w:rsidRPr="008B6AA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D0992" w14:textId="77777777" w:rsidR="00A637DE" w:rsidRDefault="00A637DE" w:rsidP="008B6A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173B">
      <w:rPr>
        <w:rFonts w:ascii="FrankRuehl" w:hAnsi="FrankRuehl" w:cs="FrankRuehl"/>
        <w:noProof/>
        <w:rtl/>
      </w:rPr>
      <w:t>1</w:t>
    </w:r>
    <w:r>
      <w:rPr>
        <w:rFonts w:ascii="FrankRuehl" w:hAnsi="FrankRuehl" w:cs="FrankRuehl"/>
        <w:rtl/>
      </w:rPr>
      <w:fldChar w:fldCharType="end"/>
    </w:r>
  </w:p>
  <w:p w14:paraId="4DF507D2" w14:textId="77777777" w:rsidR="00A637DE" w:rsidRPr="008B6AA2" w:rsidRDefault="00A637DE" w:rsidP="008B6AA2">
    <w:pPr>
      <w:pStyle w:val="a5"/>
      <w:pBdr>
        <w:top w:val="single" w:sz="4" w:space="1" w:color="auto"/>
        <w:between w:val="single" w:sz="4" w:space="0" w:color="auto"/>
      </w:pBdr>
      <w:spacing w:after="60"/>
      <w:jc w:val="center"/>
      <w:rPr>
        <w:rFonts w:ascii="FrankRuehl" w:hAnsi="FrankRuehl" w:cs="FrankRuehl"/>
        <w:color w:val="000000"/>
      </w:rPr>
    </w:pPr>
    <w:r w:rsidRPr="008B6AA2">
      <w:rPr>
        <w:rFonts w:ascii="FrankRuehl" w:hAnsi="FrankRuehl" w:cs="FrankRuehl"/>
        <w:color w:val="000000"/>
      </w:rPr>
      <w:pict w14:anchorId="13EA3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9DFA2" w14:textId="77777777" w:rsidR="00A26CD2" w:rsidRDefault="00A26CD2" w:rsidP="00342540">
      <w:r>
        <w:separator/>
      </w:r>
    </w:p>
  </w:footnote>
  <w:footnote w:type="continuationSeparator" w:id="0">
    <w:p w14:paraId="2CA3A852" w14:textId="77777777" w:rsidR="00A26CD2" w:rsidRDefault="00A26CD2" w:rsidP="00342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F5512" w14:textId="77777777" w:rsidR="00A637DE" w:rsidRPr="008B6AA2" w:rsidRDefault="00A637DE" w:rsidP="008B6A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66430-05-20</w:t>
    </w:r>
    <w:r>
      <w:rPr>
        <w:rFonts w:ascii="David" w:hAnsi="David"/>
        <w:color w:val="000000"/>
        <w:sz w:val="22"/>
        <w:szCs w:val="22"/>
        <w:rtl/>
      </w:rPr>
      <w:tab/>
      <w:t xml:space="preserve"> מדינת ישראל  נ' רמאדן נסאר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D96AE" w14:textId="77777777" w:rsidR="00A637DE" w:rsidRPr="008B6AA2" w:rsidRDefault="00A637DE" w:rsidP="008B6A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66430-05-20</w:t>
    </w:r>
    <w:r>
      <w:rPr>
        <w:rFonts w:ascii="David" w:hAnsi="David"/>
        <w:color w:val="000000"/>
        <w:sz w:val="22"/>
        <w:szCs w:val="22"/>
        <w:rtl/>
      </w:rPr>
      <w:tab/>
      <w:t xml:space="preserve"> מדינת ישראל  נ' רמאדן נסאר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 w15:restartNumberingAfterBreak="0">
    <w:nsid w:val="63370392"/>
    <w:multiLevelType w:val="hybridMultilevel"/>
    <w:tmpl w:val="DAD001AC"/>
    <w:lvl w:ilvl="0" w:tplc="621E8CDC">
      <w:start w:val="1"/>
      <w:numFmt w:val="decimal"/>
      <w:lvlText w:val="%1."/>
      <w:lvlJc w:val="left"/>
      <w:pPr>
        <w:ind w:left="785" w:hanging="360"/>
      </w:pPr>
      <w:rPr>
        <w:rFonts w:cs="Times New Roman"/>
        <w:b w:val="0"/>
        <w:bCs w:val="0"/>
        <w:sz w:val="24"/>
        <w:szCs w:val="24"/>
        <w:lang w:bidi="he-I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4616497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08372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790A"/>
    <w:rsid w:val="00045422"/>
    <w:rsid w:val="000D745D"/>
    <w:rsid w:val="002648D0"/>
    <w:rsid w:val="002916E3"/>
    <w:rsid w:val="00342540"/>
    <w:rsid w:val="00371AE9"/>
    <w:rsid w:val="003A33AF"/>
    <w:rsid w:val="0043173B"/>
    <w:rsid w:val="008321D6"/>
    <w:rsid w:val="008B6AA2"/>
    <w:rsid w:val="00950D92"/>
    <w:rsid w:val="00A26CD2"/>
    <w:rsid w:val="00A637DE"/>
    <w:rsid w:val="00BA7DEC"/>
    <w:rsid w:val="00BF3875"/>
    <w:rsid w:val="00C36774"/>
    <w:rsid w:val="00E3790A"/>
    <w:rsid w:val="00EF4F00"/>
    <w:rsid w:val="00F758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5BC863"/>
  <w15:chartTrackingRefBased/>
  <w15:docId w15:val="{5F73B02D-5CE4-4F9B-BD5A-92389A74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790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790A"/>
    <w:pPr>
      <w:tabs>
        <w:tab w:val="center" w:pos="4153"/>
        <w:tab w:val="right" w:pos="8306"/>
      </w:tabs>
    </w:pPr>
  </w:style>
  <w:style w:type="character" w:customStyle="1" w:styleId="a4">
    <w:name w:val="כותרת עליונה תו"/>
    <w:link w:val="a3"/>
    <w:rsid w:val="00E3790A"/>
    <w:rPr>
      <w:rFonts w:ascii="Times New Roman" w:eastAsia="Times New Roman" w:hAnsi="Times New Roman" w:cs="David"/>
      <w:sz w:val="24"/>
      <w:szCs w:val="24"/>
    </w:rPr>
  </w:style>
  <w:style w:type="paragraph" w:styleId="a5">
    <w:name w:val="footer"/>
    <w:basedOn w:val="a"/>
    <w:link w:val="a6"/>
    <w:rsid w:val="00E3790A"/>
    <w:pPr>
      <w:tabs>
        <w:tab w:val="center" w:pos="4153"/>
        <w:tab w:val="right" w:pos="8306"/>
      </w:tabs>
    </w:pPr>
  </w:style>
  <w:style w:type="character" w:customStyle="1" w:styleId="a6">
    <w:name w:val="כותרת תחתונה תו"/>
    <w:link w:val="a5"/>
    <w:rsid w:val="00E3790A"/>
    <w:rPr>
      <w:rFonts w:ascii="Times New Roman" w:eastAsia="Times New Roman" w:hAnsi="Times New Roman" w:cs="David"/>
      <w:sz w:val="24"/>
      <w:szCs w:val="24"/>
    </w:rPr>
  </w:style>
  <w:style w:type="table" w:styleId="a7">
    <w:name w:val="Table Grid"/>
    <w:basedOn w:val="a1"/>
    <w:rsid w:val="00E379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790A"/>
  </w:style>
  <w:style w:type="character" w:styleId="Hyperlink">
    <w:name w:val="Hyperlink"/>
    <w:rsid w:val="00E379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5699080" TargetMode="External"/><Relationship Id="rId26" Type="http://schemas.openxmlformats.org/officeDocument/2006/relationships/hyperlink" Target="http://www.nevo.co.il/case/6473037"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0775010" TargetMode="External"/><Relationship Id="rId34" Type="http://schemas.openxmlformats.org/officeDocument/2006/relationships/hyperlink" Target="http://www.nevo.co.il/law/70301/144.b2" TargetMode="External"/><Relationship Id="rId42" Type="http://schemas.openxmlformats.org/officeDocument/2006/relationships/hyperlink" Target="http://www.nevo.co.il/case/11309005" TargetMode="External"/><Relationship Id="rId47" Type="http://schemas.openxmlformats.org/officeDocument/2006/relationships/hyperlink" Target="http://www.nevo.co.il/case/20296345" TargetMode="External"/><Relationship Id="rId50" Type="http://schemas.openxmlformats.org/officeDocument/2006/relationships/hyperlink" Target="http://www.nevo.co.il/law/70301"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b" TargetMode="External"/><Relationship Id="rId29" Type="http://schemas.openxmlformats.org/officeDocument/2006/relationships/hyperlink" Target="http://www.nevo.co.il/case/22006503"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5578534"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3090914" TargetMode="External"/><Relationship Id="rId40" Type="http://schemas.openxmlformats.org/officeDocument/2006/relationships/hyperlink" Target="http://www.nevo.co.il/law/70301/144.b2" TargetMode="External"/><Relationship Id="rId45" Type="http://schemas.openxmlformats.org/officeDocument/2006/relationships/hyperlink" Target="http://www.nevo.co.il/case/11269745"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case/13023134"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8291683" TargetMode="External"/><Relationship Id="rId27" Type="http://schemas.openxmlformats.org/officeDocument/2006/relationships/hyperlink" Target="http://www.nevo.co.il/case/7791493"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6882160" TargetMode="External"/><Relationship Id="rId48" Type="http://schemas.openxmlformats.org/officeDocument/2006/relationships/hyperlink" Target="http://www.nevo.co.il/law/70301/40i" TargetMode="External"/><Relationship Id="rId56" Type="http://schemas.openxmlformats.org/officeDocument/2006/relationships/footer" Target="footer2.xml"/><Relationship Id="rId8" Type="http://schemas.openxmlformats.org/officeDocument/2006/relationships/hyperlink" Target="http://www.nevo.co.il/law/70301/40b" TargetMode="External"/><Relationship Id="rId51" Type="http://schemas.openxmlformats.org/officeDocument/2006/relationships/hyperlink" Target="http://www.nevo.co.il/case/17954222"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601503" TargetMode="External"/><Relationship Id="rId33" Type="http://schemas.openxmlformats.org/officeDocument/2006/relationships/hyperlink" Target="http://www.nevo.co.il/case/21472788" TargetMode="External"/><Relationship Id="rId38" Type="http://schemas.openxmlformats.org/officeDocument/2006/relationships/hyperlink" Target="http://www.nevo.co.il/law/70301/144.b2" TargetMode="External"/><Relationship Id="rId46" Type="http://schemas.openxmlformats.org/officeDocument/2006/relationships/hyperlink" Target="http://www.nevo.co.il/case/7779334" TargetMode="External"/><Relationship Id="rId20" Type="http://schemas.openxmlformats.org/officeDocument/2006/relationships/hyperlink" Target="http://www.nevo.co.il/case/8471804" TargetMode="External"/><Relationship Id="rId41" Type="http://schemas.openxmlformats.org/officeDocument/2006/relationships/hyperlink" Target="http://www.nevo.co.il/law/70301"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878682" TargetMode="External"/><Relationship Id="rId28" Type="http://schemas.openxmlformats.org/officeDocument/2006/relationships/hyperlink" Target="http://www.nevo.co.il/case/5821327" TargetMode="External"/><Relationship Id="rId36" Type="http://schemas.openxmlformats.org/officeDocument/2006/relationships/hyperlink" Target="http://www.nevo.co.il/case/18653720" TargetMode="External"/><Relationship Id="rId49" Type="http://schemas.openxmlformats.org/officeDocument/2006/relationships/hyperlink" Target="http://www.nevo.co.il/law/70301/40ja" TargetMode="External"/><Relationship Id="rId57" Type="http://schemas.openxmlformats.org/officeDocument/2006/relationships/fontTable" Target="fontTable.xml"/><Relationship Id="rId10" Type="http://schemas.openxmlformats.org/officeDocument/2006/relationships/hyperlink" Target="http://www.nevo.co.il/law/70301/144.a"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7791489"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2899</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17363</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4063348</vt:i4>
      </vt:variant>
      <vt:variant>
        <vt:i4>132</vt:i4>
      </vt:variant>
      <vt:variant>
        <vt:i4>0</vt:i4>
      </vt:variant>
      <vt:variant>
        <vt:i4>5</vt:i4>
      </vt:variant>
      <vt:variant>
        <vt:lpwstr>http://www.nevo.co.il/case/17954222</vt:lpwstr>
      </vt:variant>
      <vt:variant>
        <vt:lpwstr/>
      </vt:variant>
      <vt:variant>
        <vt:i4>7995492</vt:i4>
      </vt:variant>
      <vt:variant>
        <vt:i4>129</vt:i4>
      </vt:variant>
      <vt:variant>
        <vt:i4>0</vt:i4>
      </vt:variant>
      <vt:variant>
        <vt:i4>5</vt:i4>
      </vt:variant>
      <vt:variant>
        <vt:lpwstr>http://www.nevo.co.il/law/70301</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6619233</vt:i4>
      </vt:variant>
      <vt:variant>
        <vt:i4>123</vt:i4>
      </vt:variant>
      <vt:variant>
        <vt:i4>0</vt:i4>
      </vt:variant>
      <vt:variant>
        <vt:i4>5</vt:i4>
      </vt:variant>
      <vt:variant>
        <vt:lpwstr>http://www.nevo.co.il/law/70301/40i</vt:lpwstr>
      </vt:variant>
      <vt:variant>
        <vt:lpwstr/>
      </vt:variant>
      <vt:variant>
        <vt:i4>3276926</vt:i4>
      </vt:variant>
      <vt:variant>
        <vt:i4>120</vt:i4>
      </vt:variant>
      <vt:variant>
        <vt:i4>0</vt:i4>
      </vt:variant>
      <vt:variant>
        <vt:i4>5</vt:i4>
      </vt:variant>
      <vt:variant>
        <vt:lpwstr>http://www.nevo.co.il/case/20296345</vt:lpwstr>
      </vt:variant>
      <vt:variant>
        <vt:lpwstr/>
      </vt:variant>
      <vt:variant>
        <vt:i4>3604601</vt:i4>
      </vt:variant>
      <vt:variant>
        <vt:i4>117</vt:i4>
      </vt:variant>
      <vt:variant>
        <vt:i4>0</vt:i4>
      </vt:variant>
      <vt:variant>
        <vt:i4>5</vt:i4>
      </vt:variant>
      <vt:variant>
        <vt:lpwstr>http://www.nevo.co.il/case/7779334</vt:lpwstr>
      </vt:variant>
      <vt:variant>
        <vt:lpwstr/>
      </vt:variant>
      <vt:variant>
        <vt:i4>4063348</vt:i4>
      </vt:variant>
      <vt:variant>
        <vt:i4>114</vt:i4>
      </vt:variant>
      <vt:variant>
        <vt:i4>0</vt:i4>
      </vt:variant>
      <vt:variant>
        <vt:i4>5</vt:i4>
      </vt:variant>
      <vt:variant>
        <vt:lpwstr>http://www.nevo.co.il/case/11269745</vt:lpwstr>
      </vt:variant>
      <vt:variant>
        <vt:lpwstr/>
      </vt:variant>
      <vt:variant>
        <vt:i4>3342458</vt:i4>
      </vt:variant>
      <vt:variant>
        <vt:i4>111</vt:i4>
      </vt:variant>
      <vt:variant>
        <vt:i4>0</vt:i4>
      </vt:variant>
      <vt:variant>
        <vt:i4>5</vt:i4>
      </vt:variant>
      <vt:variant>
        <vt:lpwstr>http://www.nevo.co.il/case/7791489</vt:lpwstr>
      </vt:variant>
      <vt:variant>
        <vt:lpwstr/>
      </vt:variant>
      <vt:variant>
        <vt:i4>4128888</vt:i4>
      </vt:variant>
      <vt:variant>
        <vt:i4>108</vt:i4>
      </vt:variant>
      <vt:variant>
        <vt:i4>0</vt:i4>
      </vt:variant>
      <vt:variant>
        <vt:i4>5</vt:i4>
      </vt:variant>
      <vt:variant>
        <vt:lpwstr>http://www.nevo.co.il/case/6882160</vt:lpwstr>
      </vt:variant>
      <vt:variant>
        <vt:lpwstr/>
      </vt:variant>
      <vt:variant>
        <vt:i4>3866741</vt:i4>
      </vt:variant>
      <vt:variant>
        <vt:i4>105</vt:i4>
      </vt:variant>
      <vt:variant>
        <vt:i4>0</vt:i4>
      </vt:variant>
      <vt:variant>
        <vt:i4>5</vt:i4>
      </vt:variant>
      <vt:variant>
        <vt:lpwstr>http://www.nevo.co.il/case/11309005</vt:lpwstr>
      </vt:variant>
      <vt:variant>
        <vt:lpwstr/>
      </vt:variant>
      <vt:variant>
        <vt:i4>7995492</vt:i4>
      </vt:variant>
      <vt:variant>
        <vt:i4>102</vt:i4>
      </vt:variant>
      <vt:variant>
        <vt:i4>0</vt:i4>
      </vt:variant>
      <vt:variant>
        <vt:i4>5</vt:i4>
      </vt:variant>
      <vt:variant>
        <vt:lpwstr>http://www.nevo.co.il/law/70301</vt:lpwstr>
      </vt:variant>
      <vt:variant>
        <vt:lpwstr/>
      </vt:variant>
      <vt:variant>
        <vt:i4>8192050</vt:i4>
      </vt:variant>
      <vt:variant>
        <vt:i4>99</vt:i4>
      </vt:variant>
      <vt:variant>
        <vt:i4>0</vt:i4>
      </vt:variant>
      <vt:variant>
        <vt:i4>5</vt:i4>
      </vt:variant>
      <vt:variant>
        <vt:lpwstr>http://www.nevo.co.il/law/70301/144.b2</vt:lpwstr>
      </vt:variant>
      <vt:variant>
        <vt:lpwstr/>
      </vt:variant>
      <vt:variant>
        <vt:i4>7995492</vt:i4>
      </vt:variant>
      <vt:variant>
        <vt:i4>96</vt:i4>
      </vt:variant>
      <vt:variant>
        <vt:i4>0</vt:i4>
      </vt:variant>
      <vt:variant>
        <vt:i4>5</vt:i4>
      </vt:variant>
      <vt:variant>
        <vt:lpwstr>http://www.nevo.co.il/law/70301</vt:lpwstr>
      </vt:variant>
      <vt:variant>
        <vt:lpwstr/>
      </vt:variant>
      <vt:variant>
        <vt:i4>8192050</vt:i4>
      </vt:variant>
      <vt:variant>
        <vt:i4>93</vt:i4>
      </vt:variant>
      <vt:variant>
        <vt:i4>0</vt:i4>
      </vt:variant>
      <vt:variant>
        <vt:i4>5</vt:i4>
      </vt:variant>
      <vt:variant>
        <vt:lpwstr>http://www.nevo.co.il/law/70301/144.b2</vt:lpwstr>
      </vt:variant>
      <vt:variant>
        <vt:lpwstr/>
      </vt:variant>
      <vt:variant>
        <vt:i4>3145847</vt:i4>
      </vt:variant>
      <vt:variant>
        <vt:i4>90</vt:i4>
      </vt:variant>
      <vt:variant>
        <vt:i4>0</vt:i4>
      </vt:variant>
      <vt:variant>
        <vt:i4>5</vt:i4>
      </vt:variant>
      <vt:variant>
        <vt:lpwstr>http://www.nevo.co.il/case/13090914</vt:lpwstr>
      </vt:variant>
      <vt:variant>
        <vt:lpwstr/>
      </vt:variant>
      <vt:variant>
        <vt:i4>3539070</vt:i4>
      </vt:variant>
      <vt:variant>
        <vt:i4>87</vt:i4>
      </vt:variant>
      <vt:variant>
        <vt:i4>0</vt:i4>
      </vt:variant>
      <vt:variant>
        <vt:i4>5</vt:i4>
      </vt:variant>
      <vt:variant>
        <vt:lpwstr>http://www.nevo.co.il/case/18653720</vt:lpwstr>
      </vt:variant>
      <vt:variant>
        <vt:lpwstr/>
      </vt:variant>
      <vt:variant>
        <vt:i4>7995492</vt:i4>
      </vt:variant>
      <vt:variant>
        <vt:i4>84</vt:i4>
      </vt:variant>
      <vt:variant>
        <vt:i4>0</vt:i4>
      </vt:variant>
      <vt:variant>
        <vt:i4>5</vt:i4>
      </vt:variant>
      <vt:variant>
        <vt:lpwstr>http://www.nevo.co.il/law/70301</vt:lpwstr>
      </vt:variant>
      <vt:variant>
        <vt:lpwstr/>
      </vt:variant>
      <vt:variant>
        <vt:i4>8192050</vt:i4>
      </vt:variant>
      <vt:variant>
        <vt:i4>81</vt:i4>
      </vt:variant>
      <vt:variant>
        <vt:i4>0</vt:i4>
      </vt:variant>
      <vt:variant>
        <vt:i4>5</vt:i4>
      </vt:variant>
      <vt:variant>
        <vt:lpwstr>http://www.nevo.co.il/law/70301/144.b2</vt:lpwstr>
      </vt:variant>
      <vt:variant>
        <vt:lpwstr/>
      </vt:variant>
      <vt:variant>
        <vt:i4>3932277</vt:i4>
      </vt:variant>
      <vt:variant>
        <vt:i4>78</vt:i4>
      </vt:variant>
      <vt:variant>
        <vt:i4>0</vt:i4>
      </vt:variant>
      <vt:variant>
        <vt:i4>5</vt:i4>
      </vt:variant>
      <vt:variant>
        <vt:lpwstr>http://www.nevo.co.il/case/21472788</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3407987</vt:i4>
      </vt:variant>
      <vt:variant>
        <vt:i4>66</vt:i4>
      </vt:variant>
      <vt:variant>
        <vt:i4>0</vt:i4>
      </vt:variant>
      <vt:variant>
        <vt:i4>5</vt:i4>
      </vt:variant>
      <vt:variant>
        <vt:lpwstr>http://www.nevo.co.il/case/22006503</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3539056</vt:i4>
      </vt:variant>
      <vt:variant>
        <vt:i4>57</vt:i4>
      </vt:variant>
      <vt:variant>
        <vt:i4>0</vt:i4>
      </vt:variant>
      <vt:variant>
        <vt:i4>5</vt:i4>
      </vt:variant>
      <vt:variant>
        <vt:lpwstr>http://www.nevo.co.il/case/6473037</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3342458</vt:i4>
      </vt:variant>
      <vt:variant>
        <vt:i4>51</vt:i4>
      </vt:variant>
      <vt:variant>
        <vt:i4>0</vt:i4>
      </vt:variant>
      <vt:variant>
        <vt:i4>5</vt:i4>
      </vt:variant>
      <vt:variant>
        <vt:lpwstr>http://www.nevo.co.il/case/5578534</vt:lpwstr>
      </vt:variant>
      <vt:variant>
        <vt:lpwstr/>
      </vt:variant>
      <vt:variant>
        <vt:i4>3539068</vt:i4>
      </vt:variant>
      <vt:variant>
        <vt:i4>48</vt:i4>
      </vt:variant>
      <vt:variant>
        <vt:i4>0</vt:i4>
      </vt:variant>
      <vt:variant>
        <vt:i4>5</vt:i4>
      </vt:variant>
      <vt:variant>
        <vt:lpwstr>http://www.nevo.co.il/case/5878682</vt:lpwstr>
      </vt:variant>
      <vt:variant>
        <vt:lpwstr/>
      </vt:variant>
      <vt:variant>
        <vt:i4>3407999</vt:i4>
      </vt:variant>
      <vt:variant>
        <vt:i4>45</vt:i4>
      </vt:variant>
      <vt:variant>
        <vt:i4>0</vt:i4>
      </vt:variant>
      <vt:variant>
        <vt:i4>5</vt:i4>
      </vt:variant>
      <vt:variant>
        <vt:lpwstr>http://www.nevo.co.il/case/8291683</vt:lpwstr>
      </vt:variant>
      <vt:variant>
        <vt:lpwstr/>
      </vt:variant>
      <vt:variant>
        <vt:i4>3211379</vt:i4>
      </vt:variant>
      <vt:variant>
        <vt:i4>42</vt:i4>
      </vt:variant>
      <vt:variant>
        <vt:i4>0</vt:i4>
      </vt:variant>
      <vt:variant>
        <vt:i4>5</vt:i4>
      </vt:variant>
      <vt:variant>
        <vt:lpwstr>http://www.nevo.co.il/case/20775010</vt:lpwstr>
      </vt:variant>
      <vt:variant>
        <vt:lpwstr/>
      </vt:variant>
      <vt:variant>
        <vt:i4>3342449</vt:i4>
      </vt:variant>
      <vt:variant>
        <vt:i4>39</vt:i4>
      </vt:variant>
      <vt:variant>
        <vt:i4>0</vt:i4>
      </vt:variant>
      <vt:variant>
        <vt:i4>5</vt:i4>
      </vt:variant>
      <vt:variant>
        <vt:lpwstr>http://www.nevo.co.il/case/8471804</vt:lpwstr>
      </vt:variant>
      <vt:variant>
        <vt:lpwstr/>
      </vt:variant>
      <vt:variant>
        <vt:i4>3211380</vt:i4>
      </vt:variant>
      <vt:variant>
        <vt:i4>36</vt:i4>
      </vt:variant>
      <vt:variant>
        <vt:i4>0</vt:i4>
      </vt:variant>
      <vt:variant>
        <vt:i4>5</vt:i4>
      </vt:variant>
      <vt:variant>
        <vt:lpwstr>http://www.nevo.co.il/case/13023134</vt:lpwstr>
      </vt:variant>
      <vt:variant>
        <vt:lpwstr/>
      </vt:variant>
      <vt:variant>
        <vt:i4>3932275</vt:i4>
      </vt:variant>
      <vt:variant>
        <vt:i4>33</vt:i4>
      </vt:variant>
      <vt:variant>
        <vt:i4>0</vt:i4>
      </vt:variant>
      <vt:variant>
        <vt:i4>5</vt:i4>
      </vt:variant>
      <vt:variant>
        <vt:lpwstr>http://www.nevo.co.il/case/5699080</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2025-01-19T16:34:00Z</dcterms:created>
  <dcterms:modified xsi:type="dcterms:W3CDTF">2025-01-19T16:34:00Z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66430</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רמאדן נסאר</vt:lpwstr>
  </property>
  <property fmtid="{D5CDD505-2E9C-101B-9397-08002B2CF9AE}" pid="10" name="LAWYER">
    <vt:lpwstr>ספיר מרדכי;אנדרה רוזנטל</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20201115</vt:lpwstr>
  </property>
  <property fmtid="{D5CDD505-2E9C-101B-9397-08002B2CF9AE}" pid="14" name="TYPE_N_DATE">
    <vt:lpwstr>39020201115</vt:lpwstr>
  </property>
  <property fmtid="{D5CDD505-2E9C-101B-9397-08002B2CF9AE}" pid="15" name="WORDNUMPAGES">
    <vt:lpwstr>9</vt:lpwstr>
  </property>
  <property fmtid="{D5CDD505-2E9C-101B-9397-08002B2CF9AE}" pid="16" name="TYPE_ABS_DATE">
    <vt:lpwstr>390020201115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5699080;13023134;8471804;20775010;8291683;5878682;5578534;5601503;6473037;7791493;5821327;22006503;21472788;18653720;13090914;11309005;6882160;7791489;11269745;7779334;20296345;17954222</vt:lpwstr>
  </property>
  <property fmtid="{D5CDD505-2E9C-101B-9397-08002B2CF9AE}" pid="36" name="LAWLISTTMP1">
    <vt:lpwstr>70301/144.b2:4;040b;144.a;144.b;040i;40ja</vt:lpwstr>
  </property>
</Properties>
</file>