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CD4628" w:rsidRPr="008755AD" w14:paraId="09376DC6" w14:textId="77777777" w:rsidTr="00923973">
        <w:trPr>
          <w:trHeight w:hRule="exact" w:val="418"/>
          <w:jc w:val="center"/>
        </w:trPr>
        <w:tc>
          <w:tcPr>
            <w:tcW w:w="8721" w:type="dxa"/>
            <w:gridSpan w:val="2"/>
          </w:tcPr>
          <w:p w14:paraId="43E026A5" w14:textId="77777777" w:rsidR="00CD4628" w:rsidRPr="008755AD" w:rsidRDefault="00CD4628" w:rsidP="001079AB">
            <w:pPr>
              <w:pStyle w:val="a3"/>
              <w:jc w:val="center"/>
              <w:rPr>
                <w:rFonts w:ascii="Tahoma" w:hAnsi="Tahoma" w:cs="Tahoma"/>
                <w:color w:val="000080"/>
                <w:rtl/>
              </w:rPr>
            </w:pPr>
            <w:bookmarkStart w:id="0" w:name="LastJudge"/>
            <w:r w:rsidRPr="008755AD">
              <w:rPr>
                <w:rFonts w:ascii="Tahoma" w:hAnsi="Tahoma" w:cs="Tahoma"/>
                <w:b/>
                <w:bCs/>
                <w:color w:val="000080"/>
                <w:rtl/>
              </w:rPr>
              <w:t>בית המשפט המחוזי מרכז-לוד</w:t>
            </w:r>
          </w:p>
        </w:tc>
      </w:tr>
      <w:tr w:rsidR="00CD4628" w:rsidRPr="008755AD" w14:paraId="70693604" w14:textId="77777777" w:rsidTr="00923973">
        <w:trPr>
          <w:trHeight w:val="337"/>
          <w:jc w:val="center"/>
        </w:trPr>
        <w:tc>
          <w:tcPr>
            <w:tcW w:w="5056" w:type="dxa"/>
          </w:tcPr>
          <w:p w14:paraId="2E7AF2A3" w14:textId="77777777" w:rsidR="00CD4628" w:rsidRPr="008755AD" w:rsidRDefault="00CD4628" w:rsidP="001079AB">
            <w:pPr>
              <w:rPr>
                <w:rFonts w:cs="FrankRuehl"/>
                <w:sz w:val="28"/>
                <w:szCs w:val="28"/>
                <w:rtl/>
              </w:rPr>
            </w:pPr>
            <w:r w:rsidRPr="008755AD">
              <w:rPr>
                <w:rFonts w:cs="FrankRuehl"/>
                <w:sz w:val="28"/>
                <w:szCs w:val="28"/>
                <w:rtl/>
              </w:rPr>
              <w:t>ת"פ</w:t>
            </w:r>
            <w:r w:rsidRPr="008755AD">
              <w:rPr>
                <w:rFonts w:cs="FrankRuehl" w:hint="cs"/>
                <w:sz w:val="28"/>
                <w:szCs w:val="28"/>
                <w:rtl/>
              </w:rPr>
              <w:t xml:space="preserve"> </w:t>
            </w:r>
            <w:r w:rsidRPr="008755AD">
              <w:rPr>
                <w:rFonts w:cs="FrankRuehl"/>
                <w:sz w:val="28"/>
                <w:szCs w:val="28"/>
                <w:rtl/>
              </w:rPr>
              <w:t>10300-06-20</w:t>
            </w:r>
            <w:r w:rsidRPr="008755AD">
              <w:rPr>
                <w:rFonts w:cs="FrankRuehl" w:hint="cs"/>
                <w:sz w:val="28"/>
                <w:szCs w:val="28"/>
                <w:rtl/>
              </w:rPr>
              <w:t xml:space="preserve"> </w:t>
            </w:r>
            <w:r w:rsidRPr="008755AD">
              <w:rPr>
                <w:rFonts w:cs="FrankRuehl"/>
                <w:sz w:val="28"/>
                <w:szCs w:val="28"/>
                <w:rtl/>
              </w:rPr>
              <w:t>מדינת ישראל נ' כהן(עציר) ואח'</w:t>
            </w:r>
          </w:p>
          <w:p w14:paraId="3DBB2969" w14:textId="77777777" w:rsidR="00CD4628" w:rsidRPr="008755AD" w:rsidRDefault="00CD4628" w:rsidP="001079AB">
            <w:pPr>
              <w:pStyle w:val="a3"/>
              <w:rPr>
                <w:rFonts w:cs="FrankRuehl"/>
                <w:sz w:val="28"/>
                <w:szCs w:val="28"/>
                <w:rtl/>
              </w:rPr>
            </w:pPr>
          </w:p>
        </w:tc>
        <w:tc>
          <w:tcPr>
            <w:tcW w:w="3665" w:type="dxa"/>
          </w:tcPr>
          <w:p w14:paraId="503084F3" w14:textId="77777777" w:rsidR="00CD4628" w:rsidRPr="008755AD" w:rsidRDefault="00CD4628" w:rsidP="001079AB">
            <w:pPr>
              <w:pStyle w:val="a3"/>
              <w:jc w:val="right"/>
              <w:rPr>
                <w:rFonts w:cs="FrankRuehl"/>
                <w:sz w:val="28"/>
                <w:szCs w:val="28"/>
                <w:rtl/>
              </w:rPr>
            </w:pPr>
          </w:p>
        </w:tc>
      </w:tr>
    </w:tbl>
    <w:p w14:paraId="0F4A2C32" w14:textId="77777777" w:rsidR="00CD4628" w:rsidRPr="008755AD" w:rsidRDefault="00CD4628" w:rsidP="00CD4628">
      <w:pPr>
        <w:pStyle w:val="a3"/>
        <w:rPr>
          <w:rtl/>
        </w:rPr>
      </w:pPr>
      <w:r w:rsidRPr="008755AD">
        <w:rPr>
          <w:rFonts w:hint="cs"/>
          <w:rtl/>
        </w:rPr>
        <w:t xml:space="preserve"> </w:t>
      </w:r>
    </w:p>
    <w:p w14:paraId="2B8E2DA4" w14:textId="77777777" w:rsidR="00CD4628" w:rsidRPr="008755AD" w:rsidRDefault="00CD4628" w:rsidP="00CD4628">
      <w:pPr>
        <w:rPr>
          <w:rFonts w:ascii="Arial" w:hAnsi="Arial" w:cs="Arial"/>
          <w:sz w:val="28"/>
          <w:szCs w:val="28"/>
          <w:rtl/>
        </w:rPr>
      </w:pPr>
    </w:p>
    <w:p w14:paraId="0879BE41" w14:textId="77777777" w:rsidR="00CD4628" w:rsidRPr="008755AD" w:rsidRDefault="00CD4628" w:rsidP="00CD4628">
      <w:pPr>
        <w:rPr>
          <w:rFonts w:ascii="Arial" w:hAnsi="Arial" w:cs="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4107"/>
        <w:gridCol w:w="3753"/>
      </w:tblGrid>
      <w:tr w:rsidR="00CD4628" w:rsidRPr="008755AD" w14:paraId="57FEBD43" w14:textId="77777777" w:rsidTr="00CD4628">
        <w:trPr>
          <w:trHeight w:val="295"/>
          <w:jc w:val="center"/>
        </w:trPr>
        <w:tc>
          <w:tcPr>
            <w:tcW w:w="923" w:type="dxa"/>
            <w:tcBorders>
              <w:top w:val="nil"/>
              <w:left w:val="nil"/>
              <w:bottom w:val="nil"/>
              <w:right w:val="nil"/>
            </w:tcBorders>
            <w:shd w:val="clear" w:color="auto" w:fill="auto"/>
          </w:tcPr>
          <w:p w14:paraId="418476A4" w14:textId="77777777" w:rsidR="00CD4628" w:rsidRPr="008755AD" w:rsidRDefault="00CD4628" w:rsidP="00CD4628">
            <w:pPr>
              <w:jc w:val="both"/>
              <w:rPr>
                <w:rFonts w:ascii="Arial" w:hAnsi="Arial" w:cs="Arial"/>
                <w:sz w:val="28"/>
                <w:szCs w:val="28"/>
              </w:rPr>
            </w:pPr>
            <w:r w:rsidRPr="008755AD">
              <w:rPr>
                <w:rFonts w:ascii="Arial" w:hAnsi="Arial" w:cs="Arial"/>
                <w:sz w:val="28"/>
                <w:szCs w:val="28"/>
                <w:rtl/>
              </w:rPr>
              <w:t xml:space="preserve">בפני </w:t>
            </w:r>
          </w:p>
        </w:tc>
        <w:tc>
          <w:tcPr>
            <w:tcW w:w="7897" w:type="dxa"/>
            <w:gridSpan w:val="2"/>
            <w:tcBorders>
              <w:top w:val="nil"/>
              <w:left w:val="nil"/>
              <w:bottom w:val="nil"/>
              <w:right w:val="nil"/>
            </w:tcBorders>
            <w:shd w:val="clear" w:color="auto" w:fill="auto"/>
          </w:tcPr>
          <w:p w14:paraId="11C83FCE"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כבוד השופטת  מיכל ברנט</w:t>
            </w:r>
          </w:p>
          <w:p w14:paraId="4A448D97" w14:textId="77777777" w:rsidR="00CD4628" w:rsidRPr="008755AD" w:rsidRDefault="00CD4628" w:rsidP="001079AB">
            <w:pPr>
              <w:rPr>
                <w:rFonts w:ascii="Arial" w:hAnsi="Arial" w:cs="Arial"/>
                <w:sz w:val="28"/>
                <w:szCs w:val="28"/>
                <w:rtl/>
              </w:rPr>
            </w:pPr>
          </w:p>
          <w:p w14:paraId="42F8A5D5" w14:textId="77777777" w:rsidR="00CD4628" w:rsidRPr="008755AD" w:rsidRDefault="00CD4628" w:rsidP="00CD4628">
            <w:pPr>
              <w:jc w:val="both"/>
              <w:rPr>
                <w:rFonts w:ascii="Arial" w:hAnsi="Arial" w:cs="Arial"/>
                <w:sz w:val="28"/>
                <w:szCs w:val="28"/>
              </w:rPr>
            </w:pPr>
          </w:p>
        </w:tc>
      </w:tr>
      <w:tr w:rsidR="00CD4628" w:rsidRPr="008755AD" w14:paraId="04A6AF1C" w14:textId="77777777" w:rsidTr="00CD4628">
        <w:trPr>
          <w:trHeight w:val="355"/>
          <w:jc w:val="center"/>
        </w:trPr>
        <w:tc>
          <w:tcPr>
            <w:tcW w:w="923" w:type="dxa"/>
            <w:tcBorders>
              <w:top w:val="nil"/>
              <w:left w:val="nil"/>
              <w:bottom w:val="nil"/>
              <w:right w:val="nil"/>
            </w:tcBorders>
            <w:shd w:val="clear" w:color="auto" w:fill="auto"/>
          </w:tcPr>
          <w:p w14:paraId="62AF87DB" w14:textId="77777777" w:rsidR="00CD4628" w:rsidRPr="008755AD" w:rsidRDefault="00CD4628" w:rsidP="00CD4628">
            <w:pPr>
              <w:jc w:val="both"/>
              <w:rPr>
                <w:rFonts w:ascii="Arial" w:hAnsi="Arial" w:cs="Arial"/>
                <w:b/>
                <w:bCs/>
                <w:sz w:val="28"/>
                <w:szCs w:val="28"/>
              </w:rPr>
            </w:pPr>
            <w:bookmarkStart w:id="1" w:name="FirstAppellant"/>
            <w:r w:rsidRPr="008755AD">
              <w:rPr>
                <w:rFonts w:ascii="Arial" w:hAnsi="Arial" w:cs="Arial"/>
                <w:b/>
                <w:bCs/>
                <w:sz w:val="28"/>
                <w:szCs w:val="28"/>
                <w:rtl/>
              </w:rPr>
              <w:t>בעניין:</w:t>
            </w:r>
          </w:p>
        </w:tc>
        <w:tc>
          <w:tcPr>
            <w:tcW w:w="4126" w:type="dxa"/>
            <w:tcBorders>
              <w:top w:val="nil"/>
              <w:left w:val="nil"/>
              <w:bottom w:val="nil"/>
              <w:right w:val="nil"/>
            </w:tcBorders>
            <w:shd w:val="clear" w:color="auto" w:fill="auto"/>
          </w:tcPr>
          <w:p w14:paraId="02FBD892" w14:textId="77777777" w:rsidR="00CD4628" w:rsidRPr="008755AD" w:rsidRDefault="00CD4628" w:rsidP="001079AB">
            <w:pPr>
              <w:rPr>
                <w:rFonts w:ascii="Arial" w:hAnsi="Arial" w:cs="Arial"/>
                <w:b/>
                <w:bCs/>
                <w:sz w:val="28"/>
                <w:szCs w:val="28"/>
              </w:rPr>
            </w:pPr>
            <w:r w:rsidRPr="008755AD">
              <w:rPr>
                <w:rFonts w:ascii="Arial" w:hAnsi="Arial" w:cs="Arial"/>
                <w:b/>
                <w:bCs/>
                <w:sz w:val="28"/>
                <w:szCs w:val="28"/>
                <w:rtl/>
              </w:rPr>
              <w:t>מדינת ישראל</w:t>
            </w:r>
          </w:p>
        </w:tc>
        <w:tc>
          <w:tcPr>
            <w:tcW w:w="3771" w:type="dxa"/>
            <w:tcBorders>
              <w:top w:val="nil"/>
              <w:left w:val="nil"/>
              <w:bottom w:val="nil"/>
              <w:right w:val="nil"/>
            </w:tcBorders>
            <w:shd w:val="clear" w:color="auto" w:fill="auto"/>
          </w:tcPr>
          <w:p w14:paraId="12AFFDC2" w14:textId="77777777" w:rsidR="00CD4628" w:rsidRPr="008755AD" w:rsidRDefault="00CD4628" w:rsidP="00CD4628">
            <w:pPr>
              <w:jc w:val="both"/>
              <w:rPr>
                <w:rFonts w:ascii="Arial" w:hAnsi="Arial" w:cs="Arial"/>
                <w:b/>
                <w:bCs/>
                <w:sz w:val="28"/>
                <w:szCs w:val="28"/>
              </w:rPr>
            </w:pPr>
          </w:p>
        </w:tc>
      </w:tr>
      <w:bookmarkEnd w:id="1"/>
      <w:tr w:rsidR="00CD4628" w:rsidRPr="008755AD" w14:paraId="37132CE4" w14:textId="77777777" w:rsidTr="00CD4628">
        <w:trPr>
          <w:trHeight w:val="355"/>
          <w:jc w:val="center"/>
        </w:trPr>
        <w:tc>
          <w:tcPr>
            <w:tcW w:w="923" w:type="dxa"/>
            <w:tcBorders>
              <w:top w:val="nil"/>
              <w:left w:val="nil"/>
              <w:bottom w:val="nil"/>
              <w:right w:val="nil"/>
            </w:tcBorders>
            <w:shd w:val="clear" w:color="auto" w:fill="auto"/>
          </w:tcPr>
          <w:p w14:paraId="09986F0F" w14:textId="77777777" w:rsidR="00CD4628" w:rsidRPr="008755AD" w:rsidRDefault="00CD4628" w:rsidP="00CD4628">
            <w:pPr>
              <w:jc w:val="both"/>
              <w:rPr>
                <w:rFonts w:ascii="Arial" w:hAnsi="Arial" w:cs="Arial"/>
                <w:b/>
                <w:bCs/>
                <w:sz w:val="28"/>
                <w:szCs w:val="28"/>
                <w:rtl/>
              </w:rPr>
            </w:pPr>
          </w:p>
        </w:tc>
        <w:tc>
          <w:tcPr>
            <w:tcW w:w="4126" w:type="dxa"/>
            <w:tcBorders>
              <w:top w:val="nil"/>
              <w:left w:val="nil"/>
              <w:bottom w:val="nil"/>
              <w:right w:val="nil"/>
            </w:tcBorders>
            <w:shd w:val="clear" w:color="auto" w:fill="auto"/>
          </w:tcPr>
          <w:p w14:paraId="37E95A88" w14:textId="77777777" w:rsidR="00CD4628" w:rsidRPr="008755AD" w:rsidRDefault="00CD4628" w:rsidP="00CD4628">
            <w:pPr>
              <w:jc w:val="both"/>
              <w:rPr>
                <w:rFonts w:ascii="Arial" w:hAnsi="Arial" w:cs="Arial"/>
                <w:b/>
                <w:bCs/>
                <w:sz w:val="28"/>
                <w:szCs w:val="28"/>
                <w:rtl/>
              </w:rPr>
            </w:pPr>
          </w:p>
        </w:tc>
        <w:tc>
          <w:tcPr>
            <w:tcW w:w="3771" w:type="dxa"/>
            <w:tcBorders>
              <w:top w:val="nil"/>
              <w:left w:val="nil"/>
              <w:bottom w:val="nil"/>
              <w:right w:val="nil"/>
            </w:tcBorders>
            <w:shd w:val="clear" w:color="auto" w:fill="auto"/>
          </w:tcPr>
          <w:p w14:paraId="0E42E335" w14:textId="77777777" w:rsidR="00CD4628" w:rsidRPr="008755AD" w:rsidRDefault="00CD4628" w:rsidP="00CD4628">
            <w:pPr>
              <w:jc w:val="right"/>
              <w:rPr>
                <w:rFonts w:ascii="Arial" w:hAnsi="Arial" w:cs="Arial"/>
                <w:b/>
                <w:bCs/>
                <w:sz w:val="28"/>
                <w:szCs w:val="28"/>
                <w:rtl/>
              </w:rPr>
            </w:pPr>
            <w:r w:rsidRPr="008755AD">
              <w:rPr>
                <w:rFonts w:ascii="Arial" w:hAnsi="Arial" w:cs="Arial"/>
                <w:b/>
                <w:bCs/>
                <w:sz w:val="28"/>
                <w:szCs w:val="28"/>
                <w:rtl/>
              </w:rPr>
              <w:t>המאשימה</w:t>
            </w:r>
          </w:p>
        </w:tc>
      </w:tr>
      <w:tr w:rsidR="00CD4628" w:rsidRPr="008755AD" w14:paraId="568AA27B" w14:textId="77777777" w:rsidTr="00CD4628">
        <w:trPr>
          <w:trHeight w:val="355"/>
          <w:jc w:val="center"/>
        </w:trPr>
        <w:tc>
          <w:tcPr>
            <w:tcW w:w="923" w:type="dxa"/>
            <w:tcBorders>
              <w:top w:val="nil"/>
              <w:left w:val="nil"/>
              <w:bottom w:val="nil"/>
              <w:right w:val="nil"/>
            </w:tcBorders>
            <w:shd w:val="clear" w:color="auto" w:fill="auto"/>
          </w:tcPr>
          <w:p w14:paraId="75ADE8FD" w14:textId="77777777" w:rsidR="00CD4628" w:rsidRPr="008755AD" w:rsidRDefault="00CD4628" w:rsidP="00CD4628">
            <w:pPr>
              <w:jc w:val="both"/>
              <w:rPr>
                <w:rFonts w:ascii="Arial" w:hAnsi="Arial" w:cs="Arial"/>
                <w:b/>
                <w:bCs/>
                <w:sz w:val="28"/>
                <w:szCs w:val="28"/>
                <w:rtl/>
              </w:rPr>
            </w:pPr>
          </w:p>
        </w:tc>
        <w:tc>
          <w:tcPr>
            <w:tcW w:w="7897" w:type="dxa"/>
            <w:gridSpan w:val="2"/>
            <w:tcBorders>
              <w:top w:val="nil"/>
              <w:left w:val="nil"/>
              <w:bottom w:val="nil"/>
              <w:right w:val="nil"/>
            </w:tcBorders>
            <w:shd w:val="clear" w:color="auto" w:fill="auto"/>
          </w:tcPr>
          <w:p w14:paraId="2BD01AA9" w14:textId="77777777" w:rsidR="00CD4628" w:rsidRPr="008755AD" w:rsidRDefault="00CD4628" w:rsidP="00CD4628">
            <w:pPr>
              <w:jc w:val="center"/>
              <w:rPr>
                <w:rFonts w:ascii="Arial" w:hAnsi="Arial" w:cs="Arial"/>
                <w:b/>
                <w:bCs/>
                <w:sz w:val="28"/>
                <w:szCs w:val="28"/>
                <w:rtl/>
              </w:rPr>
            </w:pPr>
          </w:p>
          <w:p w14:paraId="699B9CD5" w14:textId="77777777" w:rsidR="00CD4628" w:rsidRPr="008755AD" w:rsidRDefault="00CD4628" w:rsidP="00CD4628">
            <w:pPr>
              <w:jc w:val="center"/>
              <w:rPr>
                <w:rFonts w:ascii="Arial" w:hAnsi="Arial" w:cs="Arial"/>
                <w:b/>
                <w:bCs/>
                <w:sz w:val="28"/>
                <w:szCs w:val="28"/>
                <w:rtl/>
              </w:rPr>
            </w:pPr>
            <w:r w:rsidRPr="008755AD">
              <w:rPr>
                <w:rFonts w:ascii="Arial" w:hAnsi="Arial" w:cs="Arial"/>
                <w:b/>
                <w:bCs/>
                <w:sz w:val="28"/>
                <w:szCs w:val="28"/>
                <w:rtl/>
              </w:rPr>
              <w:t>נגד</w:t>
            </w:r>
          </w:p>
          <w:p w14:paraId="11DC969C" w14:textId="77777777" w:rsidR="00CD4628" w:rsidRPr="008755AD" w:rsidRDefault="00CD4628" w:rsidP="00CD4628">
            <w:pPr>
              <w:jc w:val="both"/>
              <w:rPr>
                <w:rFonts w:ascii="Arial" w:hAnsi="Arial" w:cs="Arial"/>
                <w:b/>
                <w:bCs/>
                <w:sz w:val="28"/>
                <w:szCs w:val="28"/>
              </w:rPr>
            </w:pPr>
          </w:p>
        </w:tc>
      </w:tr>
      <w:tr w:rsidR="00CD4628" w:rsidRPr="008755AD" w14:paraId="5AF8E5EC" w14:textId="77777777" w:rsidTr="00CD4628">
        <w:trPr>
          <w:trHeight w:val="355"/>
          <w:jc w:val="center"/>
        </w:trPr>
        <w:tc>
          <w:tcPr>
            <w:tcW w:w="923" w:type="dxa"/>
            <w:tcBorders>
              <w:top w:val="nil"/>
              <w:left w:val="nil"/>
              <w:bottom w:val="nil"/>
              <w:right w:val="nil"/>
            </w:tcBorders>
            <w:shd w:val="clear" w:color="auto" w:fill="auto"/>
          </w:tcPr>
          <w:p w14:paraId="1F883149" w14:textId="77777777" w:rsidR="00CD4628" w:rsidRPr="008755AD" w:rsidRDefault="00CD4628" w:rsidP="001079AB">
            <w:pPr>
              <w:rPr>
                <w:rFonts w:ascii="Arial" w:hAnsi="Arial" w:cs="Arial"/>
                <w:b/>
                <w:bCs/>
                <w:sz w:val="28"/>
                <w:szCs w:val="28"/>
                <w:rtl/>
              </w:rPr>
            </w:pPr>
          </w:p>
        </w:tc>
        <w:tc>
          <w:tcPr>
            <w:tcW w:w="4126" w:type="dxa"/>
            <w:tcBorders>
              <w:top w:val="nil"/>
              <w:left w:val="nil"/>
              <w:bottom w:val="nil"/>
              <w:right w:val="nil"/>
            </w:tcBorders>
            <w:shd w:val="clear" w:color="auto" w:fill="auto"/>
          </w:tcPr>
          <w:p w14:paraId="46D786E0"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1.אלעד כהן (עציר)</w:t>
            </w:r>
          </w:p>
          <w:p w14:paraId="555E128B"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2.חמזי עראר (עציר)</w:t>
            </w:r>
          </w:p>
          <w:p w14:paraId="14FA502A"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3.עיד אלעמרני (עציר)</w:t>
            </w:r>
          </w:p>
          <w:p w14:paraId="61E223C9"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4.איוב אבו רקייק (עצור/אסיר בפיקוח)</w:t>
            </w:r>
          </w:p>
          <w:p w14:paraId="3B83CFA1"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5.סארי עיסא</w:t>
            </w:r>
          </w:p>
          <w:p w14:paraId="4AC125C2"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6.עבאס טאהה</w:t>
            </w:r>
          </w:p>
          <w:p w14:paraId="6ED26E3F"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7.יעקב יונס (עציר)</w:t>
            </w:r>
          </w:p>
          <w:p w14:paraId="19DC60DF"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8.קאסם אבו רקייק</w:t>
            </w:r>
          </w:p>
          <w:p w14:paraId="367D19C3"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9.יוסף אל פקיר</w:t>
            </w:r>
          </w:p>
          <w:p w14:paraId="78522401" w14:textId="77777777" w:rsidR="00CD4628" w:rsidRPr="008755AD" w:rsidRDefault="00CD4628" w:rsidP="001079AB">
            <w:pPr>
              <w:rPr>
                <w:rFonts w:ascii="Arial" w:hAnsi="Arial" w:cs="Arial"/>
                <w:b/>
                <w:bCs/>
                <w:sz w:val="28"/>
                <w:szCs w:val="28"/>
                <w:rtl/>
              </w:rPr>
            </w:pPr>
            <w:r w:rsidRPr="008755AD">
              <w:rPr>
                <w:rFonts w:ascii="Arial" w:hAnsi="Arial" w:cs="Arial"/>
                <w:b/>
                <w:bCs/>
                <w:sz w:val="28"/>
                <w:szCs w:val="28"/>
                <w:rtl/>
              </w:rPr>
              <w:t>12.יצחק נשיא (עציר)</w:t>
            </w:r>
          </w:p>
        </w:tc>
        <w:tc>
          <w:tcPr>
            <w:tcW w:w="3771" w:type="dxa"/>
            <w:tcBorders>
              <w:top w:val="nil"/>
              <w:left w:val="nil"/>
              <w:bottom w:val="nil"/>
              <w:right w:val="nil"/>
            </w:tcBorders>
            <w:shd w:val="clear" w:color="auto" w:fill="auto"/>
          </w:tcPr>
          <w:p w14:paraId="023C3639" w14:textId="77777777" w:rsidR="00CD4628" w:rsidRPr="008755AD" w:rsidRDefault="00CD4628" w:rsidP="00CD4628">
            <w:pPr>
              <w:jc w:val="right"/>
              <w:rPr>
                <w:rFonts w:ascii="Arial" w:hAnsi="Arial" w:cs="Arial"/>
                <w:b/>
                <w:bCs/>
                <w:sz w:val="28"/>
                <w:szCs w:val="28"/>
              </w:rPr>
            </w:pPr>
          </w:p>
        </w:tc>
      </w:tr>
      <w:tr w:rsidR="00CD4628" w:rsidRPr="008755AD" w14:paraId="27955479" w14:textId="77777777" w:rsidTr="00CD4628">
        <w:trPr>
          <w:trHeight w:val="355"/>
          <w:jc w:val="center"/>
        </w:trPr>
        <w:tc>
          <w:tcPr>
            <w:tcW w:w="923" w:type="dxa"/>
            <w:tcBorders>
              <w:top w:val="nil"/>
              <w:left w:val="nil"/>
              <w:bottom w:val="nil"/>
              <w:right w:val="nil"/>
            </w:tcBorders>
            <w:shd w:val="clear" w:color="auto" w:fill="auto"/>
          </w:tcPr>
          <w:p w14:paraId="199977F0" w14:textId="77777777" w:rsidR="00CD4628" w:rsidRPr="008755AD" w:rsidRDefault="00CD4628" w:rsidP="00CD4628">
            <w:pPr>
              <w:jc w:val="both"/>
              <w:rPr>
                <w:rFonts w:ascii="Arial" w:hAnsi="Arial" w:cs="Arial"/>
                <w:b/>
                <w:bCs/>
                <w:sz w:val="28"/>
                <w:szCs w:val="28"/>
                <w:rtl/>
              </w:rPr>
            </w:pPr>
          </w:p>
        </w:tc>
        <w:tc>
          <w:tcPr>
            <w:tcW w:w="4126" w:type="dxa"/>
            <w:tcBorders>
              <w:top w:val="nil"/>
              <w:left w:val="nil"/>
              <w:bottom w:val="nil"/>
              <w:right w:val="nil"/>
            </w:tcBorders>
            <w:shd w:val="clear" w:color="auto" w:fill="auto"/>
          </w:tcPr>
          <w:p w14:paraId="2F9AFD91" w14:textId="77777777" w:rsidR="00CD4628" w:rsidRPr="008755AD" w:rsidRDefault="00CD4628" w:rsidP="00CD4628">
            <w:pPr>
              <w:jc w:val="both"/>
              <w:rPr>
                <w:rFonts w:ascii="Arial" w:hAnsi="Arial" w:cs="Arial"/>
                <w:b/>
                <w:bCs/>
                <w:sz w:val="28"/>
                <w:szCs w:val="28"/>
                <w:rtl/>
              </w:rPr>
            </w:pPr>
          </w:p>
        </w:tc>
        <w:tc>
          <w:tcPr>
            <w:tcW w:w="3771" w:type="dxa"/>
            <w:tcBorders>
              <w:top w:val="nil"/>
              <w:left w:val="nil"/>
              <w:bottom w:val="nil"/>
              <w:right w:val="nil"/>
            </w:tcBorders>
            <w:shd w:val="clear" w:color="auto" w:fill="auto"/>
          </w:tcPr>
          <w:p w14:paraId="67FE732C" w14:textId="77777777" w:rsidR="00CD4628" w:rsidRPr="008755AD" w:rsidRDefault="00CD4628" w:rsidP="00CD4628">
            <w:pPr>
              <w:jc w:val="right"/>
              <w:rPr>
                <w:rFonts w:ascii="Arial" w:hAnsi="Arial" w:cs="Arial"/>
                <w:b/>
                <w:bCs/>
                <w:sz w:val="28"/>
                <w:szCs w:val="28"/>
              </w:rPr>
            </w:pPr>
            <w:r w:rsidRPr="008755AD">
              <w:rPr>
                <w:rFonts w:ascii="Arial" w:hAnsi="Arial" w:cs="Arial"/>
                <w:b/>
                <w:bCs/>
                <w:sz w:val="28"/>
                <w:szCs w:val="28"/>
                <w:rtl/>
              </w:rPr>
              <w:t>הנאשמים</w:t>
            </w:r>
          </w:p>
        </w:tc>
      </w:tr>
    </w:tbl>
    <w:p w14:paraId="26D6789B" w14:textId="77777777" w:rsidR="00CD4628" w:rsidRPr="008755AD" w:rsidRDefault="00CD4628" w:rsidP="00CD4628">
      <w:pPr>
        <w:rPr>
          <w:rFonts w:ascii="Arial" w:hAnsi="Arial" w:cs="Arial"/>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4628" w:rsidRPr="008755AD" w14:paraId="51132DA5" w14:textId="77777777" w:rsidTr="00CD4628">
        <w:trPr>
          <w:trHeight w:val="355"/>
          <w:jc w:val="center"/>
        </w:trPr>
        <w:tc>
          <w:tcPr>
            <w:tcW w:w="8820" w:type="dxa"/>
            <w:tcBorders>
              <w:top w:val="nil"/>
              <w:left w:val="nil"/>
              <w:bottom w:val="nil"/>
              <w:right w:val="nil"/>
            </w:tcBorders>
            <w:shd w:val="clear" w:color="auto" w:fill="auto"/>
          </w:tcPr>
          <w:p w14:paraId="0CDD9333" w14:textId="77777777" w:rsidR="00B7190D" w:rsidRDefault="00B7190D" w:rsidP="00CD4628">
            <w:pPr>
              <w:jc w:val="center"/>
              <w:rPr>
                <w:rFonts w:ascii="Arial" w:hAnsi="Arial" w:cs="Arial"/>
                <w:b/>
                <w:bCs/>
                <w:sz w:val="28"/>
                <w:szCs w:val="28"/>
                <w:rtl/>
              </w:rPr>
            </w:pPr>
          </w:p>
          <w:p w14:paraId="2B64CA8B" w14:textId="77777777" w:rsidR="00B7190D" w:rsidRDefault="00B7190D" w:rsidP="00B7190D">
            <w:pPr>
              <w:jc w:val="center"/>
              <w:rPr>
                <w:rFonts w:ascii="Arial" w:hAnsi="Arial" w:cs="Arial"/>
                <w:sz w:val="28"/>
                <w:szCs w:val="28"/>
                <w:rtl/>
              </w:rPr>
            </w:pPr>
            <w:bookmarkStart w:id="2" w:name="LawTable"/>
            <w:bookmarkEnd w:id="2"/>
          </w:p>
          <w:p w14:paraId="54BB071E" w14:textId="77777777" w:rsidR="00B7190D" w:rsidRPr="00B7190D" w:rsidRDefault="00B7190D" w:rsidP="00B7190D">
            <w:pPr>
              <w:spacing w:before="120" w:after="120" w:line="240" w:lineRule="exact"/>
              <w:ind w:left="283" w:hanging="283"/>
              <w:jc w:val="both"/>
              <w:rPr>
                <w:rFonts w:ascii="FrankRuehl" w:hAnsi="FrankRuehl" w:cs="FrankRuehl"/>
                <w:rtl/>
              </w:rPr>
            </w:pPr>
          </w:p>
          <w:p w14:paraId="260CF4D3" w14:textId="77777777" w:rsidR="00B7190D" w:rsidRPr="00B7190D" w:rsidRDefault="00B7190D" w:rsidP="00B7190D">
            <w:pPr>
              <w:spacing w:before="120" w:after="120" w:line="240" w:lineRule="exact"/>
              <w:ind w:left="283" w:hanging="283"/>
              <w:jc w:val="both"/>
              <w:rPr>
                <w:rFonts w:ascii="FrankRuehl" w:hAnsi="FrankRuehl" w:cs="FrankRuehl"/>
                <w:rtl/>
              </w:rPr>
            </w:pPr>
          </w:p>
          <w:p w14:paraId="5A18FDD8" w14:textId="77777777" w:rsidR="00B7190D" w:rsidRPr="00B7190D" w:rsidRDefault="00B7190D" w:rsidP="00B7190D">
            <w:pPr>
              <w:spacing w:before="120" w:after="120" w:line="240" w:lineRule="exact"/>
              <w:ind w:left="283" w:hanging="283"/>
              <w:jc w:val="both"/>
              <w:rPr>
                <w:rFonts w:ascii="FrankRuehl" w:hAnsi="FrankRuehl" w:cs="FrankRuehl"/>
                <w:rtl/>
              </w:rPr>
            </w:pPr>
            <w:r w:rsidRPr="00B7190D">
              <w:rPr>
                <w:rFonts w:ascii="FrankRuehl" w:hAnsi="FrankRuehl" w:cs="FrankRuehl"/>
                <w:rtl/>
              </w:rPr>
              <w:t xml:space="preserve">חקיקה שאוזכרה: </w:t>
            </w:r>
          </w:p>
          <w:p w14:paraId="0BCF3458" w14:textId="77777777" w:rsidR="00B7190D" w:rsidRPr="00B7190D" w:rsidRDefault="00B7190D" w:rsidP="00B7190D">
            <w:pPr>
              <w:spacing w:before="120" w:after="120" w:line="240" w:lineRule="exact"/>
              <w:ind w:left="283" w:hanging="283"/>
              <w:jc w:val="both"/>
              <w:rPr>
                <w:rFonts w:ascii="FrankRuehl" w:hAnsi="FrankRuehl" w:cs="FrankRuehl"/>
                <w:color w:val="0000FF"/>
                <w:rtl/>
              </w:rPr>
            </w:pPr>
            <w:hyperlink r:id="rId7" w:history="1">
              <w:r w:rsidRPr="00B7190D">
                <w:rPr>
                  <w:rStyle w:val="Hyperlink"/>
                  <w:rFonts w:ascii="FrankRuehl" w:hAnsi="FrankRuehl" w:cs="FrankRuehl"/>
                  <w:u w:val="none"/>
                  <w:rtl/>
                </w:rPr>
                <w:t>חוק העונשין, תשל"ז-1977</w:t>
              </w:r>
            </w:hyperlink>
            <w:r w:rsidRPr="00B7190D">
              <w:rPr>
                <w:rFonts w:ascii="FrankRuehl" w:hAnsi="FrankRuehl" w:cs="FrankRuehl"/>
                <w:color w:val="0000FF"/>
                <w:rtl/>
              </w:rPr>
              <w:t xml:space="preserve">: סע'  </w:t>
            </w:r>
            <w:hyperlink r:id="rId8" w:history="1">
              <w:r w:rsidRPr="00B7190D">
                <w:rPr>
                  <w:rStyle w:val="Hyperlink"/>
                  <w:rFonts w:ascii="FrankRuehl" w:hAnsi="FrankRuehl" w:cs="FrankRuehl"/>
                  <w:u w:val="none"/>
                </w:rPr>
                <w:t>144</w:t>
              </w:r>
            </w:hyperlink>
            <w:r w:rsidRPr="00B7190D">
              <w:rPr>
                <w:rFonts w:ascii="FrankRuehl" w:hAnsi="FrankRuehl" w:cs="FrankRuehl"/>
                <w:color w:val="0000FF"/>
                <w:rtl/>
              </w:rPr>
              <w:t xml:space="preserve">, </w:t>
            </w:r>
            <w:hyperlink r:id="rId9" w:history="1">
              <w:r w:rsidRPr="00B7190D">
                <w:rPr>
                  <w:rStyle w:val="Hyperlink"/>
                  <w:rFonts w:ascii="FrankRuehl" w:hAnsi="FrankRuehl" w:cs="FrankRuehl"/>
                  <w:u w:val="none"/>
                </w:rPr>
                <w:t>144</w:t>
              </w:r>
            </w:hyperlink>
            <w:r w:rsidRPr="00B7190D">
              <w:rPr>
                <w:rFonts w:ascii="FrankRuehl" w:hAnsi="FrankRuehl" w:cs="FrankRuehl"/>
                <w:color w:val="0000FF"/>
                <w:rtl/>
              </w:rPr>
              <w:t xml:space="preserve">, </w:t>
            </w:r>
            <w:hyperlink r:id="rId10" w:history="1">
              <w:r w:rsidRPr="00B7190D">
                <w:rPr>
                  <w:rStyle w:val="Hyperlink"/>
                  <w:rFonts w:ascii="FrankRuehl" w:hAnsi="FrankRuehl" w:cs="FrankRuehl"/>
                  <w:u w:val="none"/>
                </w:rPr>
                <w:t>144</w:t>
              </w:r>
            </w:hyperlink>
            <w:r w:rsidRPr="00B7190D">
              <w:rPr>
                <w:rFonts w:ascii="FrankRuehl" w:hAnsi="FrankRuehl" w:cs="FrankRuehl"/>
                <w:color w:val="0000FF"/>
                <w:rtl/>
              </w:rPr>
              <w:t xml:space="preserve">, </w:t>
            </w:r>
            <w:hyperlink r:id="rId11" w:history="1">
              <w:r w:rsidRPr="00B7190D">
                <w:rPr>
                  <w:rStyle w:val="Hyperlink"/>
                  <w:rFonts w:ascii="FrankRuehl" w:hAnsi="FrankRuehl" w:cs="FrankRuehl"/>
                  <w:u w:val="none"/>
                </w:rPr>
                <w:t>415</w:t>
              </w:r>
            </w:hyperlink>
            <w:r w:rsidRPr="00B7190D">
              <w:rPr>
                <w:rFonts w:ascii="FrankRuehl" w:hAnsi="FrankRuehl" w:cs="FrankRuehl"/>
                <w:color w:val="0000FF"/>
                <w:rtl/>
              </w:rPr>
              <w:t xml:space="preserve">, </w:t>
            </w:r>
            <w:hyperlink r:id="rId12" w:history="1">
              <w:r w:rsidRPr="00B7190D">
                <w:rPr>
                  <w:rStyle w:val="Hyperlink"/>
                  <w:rFonts w:ascii="FrankRuehl" w:hAnsi="FrankRuehl" w:cs="FrankRuehl"/>
                  <w:u w:val="none"/>
                </w:rPr>
                <w:t>418</w:t>
              </w:r>
            </w:hyperlink>
            <w:r w:rsidRPr="00B7190D">
              <w:rPr>
                <w:rFonts w:ascii="FrankRuehl" w:hAnsi="FrankRuehl" w:cs="FrankRuehl"/>
                <w:color w:val="0000FF"/>
                <w:rtl/>
              </w:rPr>
              <w:t xml:space="preserve">, </w:t>
            </w:r>
            <w:hyperlink r:id="rId13" w:history="1">
              <w:r w:rsidRPr="00B7190D">
                <w:rPr>
                  <w:rStyle w:val="Hyperlink"/>
                  <w:rFonts w:ascii="FrankRuehl" w:hAnsi="FrankRuehl" w:cs="FrankRuehl"/>
                  <w:u w:val="none"/>
                </w:rPr>
                <w:t>420</w:t>
              </w:r>
            </w:hyperlink>
          </w:p>
          <w:p w14:paraId="2717C486" w14:textId="77777777" w:rsidR="00CD4628" w:rsidRPr="00B7190D" w:rsidRDefault="00CD4628" w:rsidP="00B7190D">
            <w:pPr>
              <w:jc w:val="center"/>
              <w:rPr>
                <w:rFonts w:ascii="Arial" w:hAnsi="Arial" w:cs="Arial"/>
                <w:sz w:val="28"/>
                <w:szCs w:val="28"/>
                <w:rtl/>
              </w:rPr>
            </w:pPr>
            <w:bookmarkStart w:id="3" w:name="LawTable_End"/>
            <w:bookmarkEnd w:id="3"/>
          </w:p>
          <w:p w14:paraId="55DB1721" w14:textId="77777777" w:rsidR="00CD4628" w:rsidRPr="008755AD" w:rsidRDefault="00CD4628" w:rsidP="00CD4628">
            <w:pPr>
              <w:jc w:val="center"/>
              <w:rPr>
                <w:rFonts w:ascii="Arial" w:hAnsi="Arial" w:cs="Arial"/>
                <w:sz w:val="28"/>
                <w:szCs w:val="28"/>
                <w:rtl/>
              </w:rPr>
            </w:pPr>
            <w:bookmarkStart w:id="4" w:name="PsakDin"/>
            <w:r w:rsidRPr="008755AD">
              <w:rPr>
                <w:rFonts w:ascii="Arial" w:hAnsi="Arial" w:cs="Arial"/>
                <w:b/>
                <w:bCs/>
                <w:sz w:val="28"/>
                <w:szCs w:val="28"/>
                <w:rtl/>
              </w:rPr>
              <w:t>גזר דין</w:t>
            </w:r>
            <w:r w:rsidRPr="008755AD">
              <w:rPr>
                <w:rFonts w:ascii="Arial" w:hAnsi="Arial" w:cs="Arial" w:hint="cs"/>
                <w:b/>
                <w:bCs/>
                <w:sz w:val="28"/>
                <w:szCs w:val="28"/>
                <w:rtl/>
              </w:rPr>
              <w:t xml:space="preserve"> </w:t>
            </w:r>
            <w:bookmarkEnd w:id="4"/>
            <w:r w:rsidRPr="008755AD">
              <w:rPr>
                <w:rFonts w:ascii="Arial" w:hAnsi="Arial" w:cs="Arial" w:hint="cs"/>
                <w:b/>
                <w:bCs/>
                <w:sz w:val="28"/>
                <w:szCs w:val="28"/>
                <w:rtl/>
              </w:rPr>
              <w:t>בעניינו של נאשם 1</w:t>
            </w:r>
          </w:p>
        </w:tc>
      </w:tr>
    </w:tbl>
    <w:p w14:paraId="67CAF8EB" w14:textId="77777777" w:rsidR="00923973" w:rsidRPr="00923973" w:rsidRDefault="00923973" w:rsidP="00923973">
      <w:pPr>
        <w:spacing w:before="120" w:after="120" w:line="240" w:lineRule="exact"/>
        <w:ind w:left="283" w:hanging="283"/>
        <w:jc w:val="both"/>
        <w:rPr>
          <w:rFonts w:ascii="FrankRuehl" w:hAnsi="FrankRuehl" w:cs="FrankRuehl"/>
          <w:rtl/>
        </w:rPr>
      </w:pPr>
    </w:p>
    <w:p w14:paraId="70BC3160" w14:textId="77777777" w:rsidR="00923973" w:rsidRPr="00923973" w:rsidRDefault="00923973" w:rsidP="00923973">
      <w:pPr>
        <w:spacing w:before="120" w:after="120" w:line="240" w:lineRule="exact"/>
        <w:ind w:left="283" w:hanging="283"/>
        <w:jc w:val="both"/>
        <w:rPr>
          <w:rFonts w:ascii="FrankRuehl" w:hAnsi="FrankRuehl" w:cs="FrankRuehl"/>
          <w:rtl/>
        </w:rPr>
      </w:pPr>
      <w:r w:rsidRPr="00923973">
        <w:rPr>
          <w:rFonts w:ascii="FrankRuehl" w:hAnsi="FrankRuehl" w:cs="FrankRuehl"/>
          <w:rtl/>
        </w:rPr>
        <w:t xml:space="preserve">חקיקה שאוזכרה: </w:t>
      </w:r>
    </w:p>
    <w:p w14:paraId="7EBF2030" w14:textId="77777777" w:rsidR="00923973" w:rsidRPr="00923973" w:rsidRDefault="00923973" w:rsidP="00923973">
      <w:pPr>
        <w:spacing w:before="120" w:after="120" w:line="240" w:lineRule="exact"/>
        <w:ind w:left="283" w:hanging="283"/>
        <w:jc w:val="both"/>
        <w:rPr>
          <w:rFonts w:ascii="FrankRuehl" w:hAnsi="FrankRuehl" w:cs="FrankRuehl"/>
          <w:color w:val="0000FF"/>
          <w:rtl/>
        </w:rPr>
      </w:pPr>
      <w:hyperlink r:id="rId14" w:history="1">
        <w:r w:rsidRPr="00923973">
          <w:rPr>
            <w:rStyle w:val="Hyperlink"/>
            <w:rFonts w:ascii="FrankRuehl" w:hAnsi="FrankRuehl" w:cs="FrankRuehl"/>
            <w:u w:val="none"/>
            <w:rtl/>
          </w:rPr>
          <w:t>חוק העונשין, תשל"ז-1977</w:t>
        </w:r>
      </w:hyperlink>
      <w:r w:rsidRPr="00923973">
        <w:rPr>
          <w:rFonts w:ascii="FrankRuehl" w:hAnsi="FrankRuehl" w:cs="FrankRuehl"/>
          <w:color w:val="0000FF"/>
          <w:rtl/>
        </w:rPr>
        <w:t xml:space="preserve">: סע'  </w:t>
      </w:r>
      <w:hyperlink r:id="rId15" w:history="1">
        <w:r w:rsidRPr="00923973">
          <w:rPr>
            <w:rStyle w:val="Hyperlink"/>
            <w:rFonts w:ascii="FrankRuehl" w:hAnsi="FrankRuehl" w:cs="FrankRuehl"/>
            <w:u w:val="none"/>
          </w:rPr>
          <w:t>144</w:t>
        </w:r>
      </w:hyperlink>
      <w:r w:rsidRPr="00923973">
        <w:rPr>
          <w:rFonts w:ascii="FrankRuehl" w:hAnsi="FrankRuehl" w:cs="FrankRuehl"/>
          <w:color w:val="0000FF"/>
          <w:rtl/>
        </w:rPr>
        <w:t xml:space="preserve">(א), </w:t>
      </w:r>
      <w:hyperlink r:id="rId16" w:history="1">
        <w:r w:rsidRPr="00923973">
          <w:rPr>
            <w:rStyle w:val="Hyperlink"/>
            <w:rFonts w:ascii="FrankRuehl" w:hAnsi="FrankRuehl" w:cs="FrankRuehl"/>
            <w:u w:val="none"/>
          </w:rPr>
          <w:t>144</w:t>
        </w:r>
      </w:hyperlink>
      <w:r w:rsidRPr="00923973">
        <w:rPr>
          <w:rFonts w:ascii="FrankRuehl" w:hAnsi="FrankRuehl" w:cs="FrankRuehl"/>
          <w:color w:val="0000FF"/>
          <w:rtl/>
        </w:rPr>
        <w:t xml:space="preserve">(ב), </w:t>
      </w:r>
      <w:hyperlink r:id="rId17" w:history="1">
        <w:r w:rsidRPr="00923973">
          <w:rPr>
            <w:rStyle w:val="Hyperlink"/>
            <w:rFonts w:ascii="FrankRuehl" w:hAnsi="FrankRuehl" w:cs="FrankRuehl"/>
            <w:u w:val="none"/>
          </w:rPr>
          <w:t>144</w:t>
        </w:r>
      </w:hyperlink>
      <w:r w:rsidRPr="00923973">
        <w:rPr>
          <w:rFonts w:ascii="FrankRuehl" w:hAnsi="FrankRuehl" w:cs="FrankRuehl"/>
          <w:color w:val="0000FF"/>
          <w:rtl/>
        </w:rPr>
        <w:t xml:space="preserve">(ג1)(1), </w:t>
      </w:r>
      <w:hyperlink r:id="rId18" w:history="1">
        <w:r w:rsidRPr="00923973">
          <w:rPr>
            <w:rStyle w:val="Hyperlink"/>
            <w:rFonts w:ascii="FrankRuehl" w:hAnsi="FrankRuehl" w:cs="FrankRuehl"/>
            <w:u w:val="none"/>
          </w:rPr>
          <w:t>415</w:t>
        </w:r>
      </w:hyperlink>
      <w:r w:rsidRPr="00923973">
        <w:rPr>
          <w:rFonts w:ascii="FrankRuehl" w:hAnsi="FrankRuehl" w:cs="FrankRuehl"/>
          <w:color w:val="0000FF"/>
          <w:rtl/>
        </w:rPr>
        <w:t xml:space="preserve">, </w:t>
      </w:r>
      <w:hyperlink r:id="rId19" w:history="1">
        <w:r w:rsidRPr="00923973">
          <w:rPr>
            <w:rStyle w:val="Hyperlink"/>
            <w:rFonts w:ascii="FrankRuehl" w:hAnsi="FrankRuehl" w:cs="FrankRuehl"/>
            <w:u w:val="none"/>
          </w:rPr>
          <w:t>418</w:t>
        </w:r>
      </w:hyperlink>
      <w:r w:rsidRPr="00923973">
        <w:rPr>
          <w:rFonts w:ascii="FrankRuehl" w:hAnsi="FrankRuehl" w:cs="FrankRuehl"/>
          <w:color w:val="0000FF"/>
          <w:rtl/>
        </w:rPr>
        <w:t xml:space="preserve">, </w:t>
      </w:r>
      <w:hyperlink r:id="rId20" w:history="1">
        <w:r w:rsidRPr="00923973">
          <w:rPr>
            <w:rStyle w:val="Hyperlink"/>
            <w:rFonts w:ascii="FrankRuehl" w:hAnsi="FrankRuehl" w:cs="FrankRuehl"/>
            <w:u w:val="none"/>
          </w:rPr>
          <w:t>420</w:t>
        </w:r>
      </w:hyperlink>
    </w:p>
    <w:p w14:paraId="0542DC6F" w14:textId="77777777" w:rsidR="00CD4628" w:rsidRPr="00923973" w:rsidRDefault="00CD4628" w:rsidP="00923973">
      <w:pPr>
        <w:spacing w:line="360" w:lineRule="auto"/>
        <w:jc w:val="both"/>
        <w:rPr>
          <w:rFonts w:ascii="Arial" w:hAnsi="Arial" w:cs="Arial"/>
          <w:sz w:val="28"/>
          <w:szCs w:val="28"/>
          <w:rtl/>
        </w:rPr>
      </w:pPr>
    </w:p>
    <w:p w14:paraId="710F3FB3" w14:textId="77777777" w:rsidR="00CD4628" w:rsidRPr="008755AD" w:rsidRDefault="00CD4628" w:rsidP="00CD4628">
      <w:pPr>
        <w:spacing w:line="360" w:lineRule="auto"/>
        <w:jc w:val="both"/>
        <w:rPr>
          <w:rFonts w:ascii="Arial" w:hAnsi="Arial" w:cs="Arial"/>
          <w:sz w:val="28"/>
          <w:szCs w:val="28"/>
          <w:rtl/>
        </w:rPr>
      </w:pPr>
      <w:bookmarkStart w:id="5" w:name="ABSTRACT_START"/>
      <w:bookmarkEnd w:id="5"/>
      <w:r w:rsidRPr="008755AD">
        <w:rPr>
          <w:rFonts w:ascii="Arial" w:hAnsi="Arial" w:cs="Arial"/>
          <w:sz w:val="28"/>
          <w:szCs w:val="28"/>
          <w:rtl/>
        </w:rPr>
        <w:t xml:space="preserve">הנאשם הודה במסגרת הסדר טיעון בעובדות כתב האישום המתוקן והורשע בעבירה של נשיאת נשק, עבירה לפי </w:t>
      </w:r>
      <w:hyperlink r:id="rId21" w:history="1">
        <w:r w:rsidR="00923973" w:rsidRPr="00923973">
          <w:rPr>
            <w:rStyle w:val="Hyperlink"/>
            <w:rFonts w:ascii="Arial" w:hAnsi="Arial" w:cs="Arial"/>
            <w:sz w:val="28"/>
            <w:szCs w:val="28"/>
            <w:rtl/>
          </w:rPr>
          <w:t>סעיף 144(ב)</w:t>
        </w:r>
      </w:hyperlink>
      <w:r w:rsidRPr="008755AD">
        <w:rPr>
          <w:rFonts w:ascii="Arial" w:hAnsi="Arial" w:cs="Arial"/>
          <w:sz w:val="28"/>
          <w:szCs w:val="28"/>
          <w:rtl/>
        </w:rPr>
        <w:t xml:space="preserve"> רישא ל</w:t>
      </w:r>
      <w:hyperlink r:id="rId22" w:history="1">
        <w:r w:rsidR="008755AD" w:rsidRPr="008755AD">
          <w:rPr>
            <w:rFonts w:ascii="Arial" w:hAnsi="Arial" w:cs="Arial"/>
            <w:color w:val="0000FF"/>
            <w:sz w:val="28"/>
            <w:szCs w:val="28"/>
            <w:u w:val="single"/>
            <w:rtl/>
          </w:rPr>
          <w:t>חוק העונשין</w:t>
        </w:r>
      </w:hyperlink>
      <w:r w:rsidRPr="008755AD">
        <w:rPr>
          <w:rFonts w:ascii="Arial" w:hAnsi="Arial" w:cs="Arial"/>
          <w:sz w:val="28"/>
          <w:szCs w:val="28"/>
          <w:rtl/>
        </w:rPr>
        <w:t>.</w:t>
      </w:r>
    </w:p>
    <w:p w14:paraId="710BAAC3" w14:textId="77777777" w:rsidR="00CD4628" w:rsidRPr="008755AD" w:rsidRDefault="00CD4628" w:rsidP="00CD4628">
      <w:pPr>
        <w:spacing w:line="360" w:lineRule="auto"/>
        <w:jc w:val="both"/>
        <w:rPr>
          <w:rFonts w:ascii="Arial" w:hAnsi="Arial" w:cs="Arial"/>
          <w:sz w:val="28"/>
          <w:szCs w:val="28"/>
          <w:rtl/>
        </w:rPr>
      </w:pPr>
    </w:p>
    <w:p w14:paraId="67A2FB0A" w14:textId="77777777" w:rsidR="00CD4628" w:rsidRPr="008755AD" w:rsidRDefault="00CD4628" w:rsidP="00CD4628">
      <w:pPr>
        <w:spacing w:line="360" w:lineRule="auto"/>
        <w:jc w:val="both"/>
        <w:rPr>
          <w:rFonts w:ascii="Arial" w:hAnsi="Arial" w:cs="Arial"/>
          <w:sz w:val="28"/>
          <w:szCs w:val="28"/>
          <w:rtl/>
        </w:rPr>
      </w:pPr>
      <w:bookmarkStart w:id="6" w:name="ABSTRACT_END"/>
      <w:bookmarkEnd w:id="6"/>
      <w:r w:rsidRPr="008755AD">
        <w:rPr>
          <w:rFonts w:ascii="Arial" w:hAnsi="Arial" w:cs="Arial"/>
          <w:sz w:val="28"/>
          <w:szCs w:val="28"/>
          <w:rtl/>
        </w:rPr>
        <w:t>על פי עובדות כתב האישום המתוקן, במהלך התקופה שבין החודשים מאי 2019 למאי 2020 פעל סוכן סמוי מטעם משטרת ישראל כשמטרת פעילותו היתה לבצע עסקאות מבוקרות של סחר באמצעי לחימה וסמים מסוכנים לצורך מיגור תופעות אסורות ומסוכנות.</w:t>
      </w:r>
    </w:p>
    <w:p w14:paraId="7285A6BD"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בין אחר לבין הסוכן קיימת הכרות מוקדמת רבת שנים.</w:t>
      </w:r>
    </w:p>
    <w:p w14:paraId="0C5AA762" w14:textId="77777777" w:rsidR="00CD4628" w:rsidRPr="008755AD" w:rsidRDefault="00CD4628" w:rsidP="00CD4628">
      <w:pPr>
        <w:spacing w:line="360" w:lineRule="auto"/>
        <w:jc w:val="both"/>
        <w:rPr>
          <w:rFonts w:ascii="Arial" w:hAnsi="Arial" w:cs="Arial"/>
          <w:sz w:val="28"/>
          <w:szCs w:val="28"/>
          <w:rtl/>
        </w:rPr>
      </w:pPr>
    </w:p>
    <w:p w14:paraId="0CD424DC"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ביום 1.5.2019 יצר הסוכן קשר עם האחר וביקש ממנו שימכור לו מטען חבלה.</w:t>
      </w:r>
    </w:p>
    <w:p w14:paraId="4196BF9F"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במהלך השיחה הסביר הסוכן לאחר שהוא מעוניין במטען חבלה מפורק לחלקים אך האחר השיב שהוא יכול למכור לו רק מטען שלם מוכן להפעלה ודרש עבור מטען החבלה 30,000 ₪.</w:t>
      </w:r>
    </w:p>
    <w:p w14:paraId="4F421D57" w14:textId="77777777" w:rsidR="00CD4628" w:rsidRPr="008755AD" w:rsidRDefault="00CD4628" w:rsidP="00CD4628">
      <w:pPr>
        <w:spacing w:line="360" w:lineRule="auto"/>
        <w:jc w:val="both"/>
        <w:rPr>
          <w:rFonts w:ascii="Arial" w:hAnsi="Arial" w:cs="Arial"/>
          <w:sz w:val="28"/>
          <w:szCs w:val="28"/>
          <w:rtl/>
        </w:rPr>
      </w:pPr>
    </w:p>
    <w:p w14:paraId="366C5FA2"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ביום 5.5.2019 בשעה 19:00 לערך, נפגשו האחר והסוכן בבית חולים "אסף הרופא" , האחר הסביר לסוכן שיביא חמישה מטענים לבחירה וכן ציין שמשקל המטען יעלה על קילוגרם ויוצמד לו משדר ושלט הניתן להפעלה מטווח של קילומטר. בהמשך לסיכום מסר הסוכן לאחר 27,500 ₪ עבור המטען.</w:t>
      </w:r>
    </w:p>
    <w:p w14:paraId="769D9933" w14:textId="77777777" w:rsidR="00CD4628" w:rsidRPr="008755AD" w:rsidRDefault="00CD4628" w:rsidP="00CD4628">
      <w:pPr>
        <w:spacing w:line="360" w:lineRule="auto"/>
        <w:jc w:val="both"/>
        <w:rPr>
          <w:rFonts w:ascii="Arial" w:hAnsi="Arial" w:cs="Arial"/>
          <w:sz w:val="28"/>
          <w:szCs w:val="28"/>
          <w:rtl/>
        </w:rPr>
      </w:pPr>
    </w:p>
    <w:p w14:paraId="170B2115"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האחר והסוכן נדברו להיפגש ביום 7.5.2019 בשטח פתוח ליד כפר חב"ד לצורך השלמת העסקה והעברת המטען לידי הסוכן.</w:t>
      </w:r>
    </w:p>
    <w:p w14:paraId="2100D74E" w14:textId="77777777" w:rsidR="00CD4628" w:rsidRPr="008755AD" w:rsidRDefault="00CD4628" w:rsidP="00CD4628">
      <w:pPr>
        <w:spacing w:line="360" w:lineRule="auto"/>
        <w:jc w:val="both"/>
        <w:rPr>
          <w:rFonts w:ascii="Arial" w:hAnsi="Arial" w:cs="Arial"/>
          <w:sz w:val="28"/>
          <w:szCs w:val="28"/>
          <w:rtl/>
        </w:rPr>
      </w:pPr>
    </w:p>
    <w:p w14:paraId="38509969"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 xml:space="preserve">עובר להגעת הסוכן למקום, בשעה 17:22 או בסמוך לכך, הגיע הנאשם למקום המפגש והטמין , בהוראתו של האחר, בין השיחים, מטען חבלה ובו תערובת נפץ </w:t>
      </w:r>
      <w:r w:rsidRPr="008755AD">
        <w:rPr>
          <w:rFonts w:ascii="Arial" w:hAnsi="Arial" w:cs="Arial"/>
          <w:sz w:val="28"/>
          <w:szCs w:val="28"/>
          <w:rtl/>
        </w:rPr>
        <w:lastRenderedPageBreak/>
        <w:t>ומשדר אלחוטי בעל שמונה לחצנים במצב לא מחובר, עטופים בשקית בד (להלן: "מטען החבלה"). לאחר שהטמין את מטען החבלה בשטח הפתוח (להלן: "מקום המסתור"), עזב הנאשם את המקום וחבר לאחר אשר המתין לו בתחנת דלק קרובה.</w:t>
      </w:r>
    </w:p>
    <w:p w14:paraId="071A3554" w14:textId="77777777" w:rsidR="00CD4628" w:rsidRPr="008755AD" w:rsidRDefault="00CD4628" w:rsidP="00CD4628">
      <w:pPr>
        <w:spacing w:line="360" w:lineRule="auto"/>
        <w:jc w:val="both"/>
        <w:rPr>
          <w:rFonts w:ascii="Arial" w:hAnsi="Arial" w:cs="Arial"/>
          <w:sz w:val="28"/>
          <w:szCs w:val="28"/>
          <w:rtl/>
        </w:rPr>
      </w:pPr>
    </w:p>
    <w:p w14:paraId="137C8560"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 xml:space="preserve">בשעה 17:36 או בסמוך לכך, הגיע הסוכן למקום המפגש ופגש שם את הנאשם והאחר שהגיעו מתחנת הדלק. </w:t>
      </w:r>
    </w:p>
    <w:p w14:paraId="2B156DA5"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הנאשם הצביע אל עבר מקום המסתור בין השיחים וסימן לסוכן היכו הוטמן מטען החבלה, האחר הסביר לסוכן לגבי מנגנון ההפעלה של המטען והם עזבו את המקום.</w:t>
      </w:r>
    </w:p>
    <w:p w14:paraId="701C2E80" w14:textId="77777777" w:rsidR="00CD4628" w:rsidRPr="008755AD" w:rsidRDefault="00CD4628" w:rsidP="00CD4628">
      <w:pPr>
        <w:spacing w:line="360" w:lineRule="auto"/>
        <w:jc w:val="both"/>
        <w:rPr>
          <w:rFonts w:ascii="Arial" w:hAnsi="Arial" w:cs="Arial"/>
          <w:sz w:val="28"/>
          <w:szCs w:val="28"/>
          <w:rtl/>
        </w:rPr>
      </w:pPr>
    </w:p>
    <w:p w14:paraId="0430E35C" w14:textId="77777777" w:rsidR="00CD4628" w:rsidRPr="008755AD" w:rsidRDefault="00CD4628" w:rsidP="00CD4628">
      <w:pPr>
        <w:spacing w:line="360" w:lineRule="auto"/>
        <w:jc w:val="both"/>
        <w:rPr>
          <w:rFonts w:ascii="Arial" w:hAnsi="Arial" w:cs="Arial"/>
          <w:b/>
          <w:bCs/>
          <w:sz w:val="28"/>
          <w:szCs w:val="28"/>
          <w:rtl/>
        </w:rPr>
      </w:pPr>
      <w:r w:rsidRPr="008755AD">
        <w:rPr>
          <w:rFonts w:ascii="Arial" w:hAnsi="Arial" w:cs="Arial"/>
          <w:b/>
          <w:bCs/>
          <w:sz w:val="28"/>
          <w:szCs w:val="28"/>
          <w:rtl/>
        </w:rPr>
        <w:t>ראיות לעונש:</w:t>
      </w:r>
    </w:p>
    <w:p w14:paraId="628EE177" w14:textId="77777777" w:rsidR="00CD4628" w:rsidRPr="008755AD" w:rsidRDefault="00CD4628" w:rsidP="00CD4628">
      <w:pPr>
        <w:spacing w:line="360" w:lineRule="auto"/>
        <w:jc w:val="both"/>
        <w:rPr>
          <w:rFonts w:ascii="Arial" w:hAnsi="Arial" w:cs="Arial"/>
          <w:sz w:val="28"/>
          <w:szCs w:val="28"/>
          <w:rtl/>
        </w:rPr>
      </w:pPr>
      <w:bookmarkStart w:id="7" w:name="FirstLawyer"/>
      <w:r w:rsidRPr="008755AD">
        <w:rPr>
          <w:rFonts w:ascii="Arial" w:hAnsi="Arial" w:cs="Arial"/>
          <w:sz w:val="28"/>
          <w:szCs w:val="28"/>
          <w:rtl/>
        </w:rPr>
        <w:t>ב"כ</w:t>
      </w:r>
      <w:bookmarkEnd w:id="7"/>
      <w:r w:rsidRPr="008755AD">
        <w:rPr>
          <w:rFonts w:ascii="Arial" w:hAnsi="Arial" w:cs="Arial"/>
          <w:sz w:val="28"/>
          <w:szCs w:val="28"/>
          <w:rtl/>
        </w:rPr>
        <w:t xml:space="preserve"> המאשימה הגישה את גיליון הרשעותיו הקודמות של הנאשם ממנו עולה שלנאשם שלוש הרשעות קודמות בעבירות נשק, רכוש וסמים בגינן ריצה מאסר אחד בן 4 חודשים ומאסר נוסף בן 36 חודשים.</w:t>
      </w:r>
    </w:p>
    <w:p w14:paraId="1E6C700B" w14:textId="77777777" w:rsidR="00CD4628" w:rsidRPr="008755AD" w:rsidRDefault="00CD4628" w:rsidP="00CD4628">
      <w:pPr>
        <w:spacing w:after="160" w:line="360" w:lineRule="auto"/>
        <w:jc w:val="both"/>
        <w:rPr>
          <w:rFonts w:ascii="Arial" w:hAnsi="Arial" w:cs="Arial"/>
          <w:sz w:val="28"/>
          <w:szCs w:val="28"/>
          <w:rtl/>
        </w:rPr>
      </w:pPr>
    </w:p>
    <w:p w14:paraId="4113195B" w14:textId="77777777" w:rsidR="00CD4628" w:rsidRPr="008755AD" w:rsidRDefault="00CD4628" w:rsidP="00CD4628">
      <w:pPr>
        <w:spacing w:after="160" w:line="360" w:lineRule="auto"/>
        <w:jc w:val="both"/>
        <w:rPr>
          <w:rFonts w:ascii="Arial" w:hAnsi="Arial" w:cs="Arial"/>
          <w:sz w:val="28"/>
          <w:szCs w:val="28"/>
          <w:rtl/>
        </w:rPr>
      </w:pPr>
      <w:r w:rsidRPr="008755AD">
        <w:rPr>
          <w:rFonts w:ascii="Arial" w:hAnsi="Arial" w:cs="Arial"/>
          <w:sz w:val="28"/>
          <w:szCs w:val="28"/>
          <w:rtl/>
        </w:rPr>
        <w:t>כמו כן טענה כי קיימת הרשעה נוספת מ</w:t>
      </w:r>
      <w:hyperlink r:id="rId23" w:history="1">
        <w:r w:rsidR="008755AD" w:rsidRPr="008755AD">
          <w:rPr>
            <w:rFonts w:ascii="Arial" w:hAnsi="Arial" w:cs="Arial"/>
            <w:color w:val="0000FF"/>
            <w:sz w:val="28"/>
            <w:szCs w:val="28"/>
            <w:u w:val="single"/>
            <w:rtl/>
          </w:rPr>
          <w:t>ת.פ. 31895-08-19</w:t>
        </w:r>
      </w:hyperlink>
      <w:r w:rsidRPr="008755AD">
        <w:rPr>
          <w:rFonts w:ascii="Arial" w:hAnsi="Arial" w:cs="Arial"/>
          <w:sz w:val="28"/>
          <w:szCs w:val="28"/>
          <w:rtl/>
        </w:rPr>
        <w:t xml:space="preserve"> שטרם עודכנה במרשם הפלילי בה הורשע בעבירה של זיוף בכוונה לקבל דבר לפי </w:t>
      </w:r>
      <w:hyperlink r:id="rId24" w:history="1">
        <w:r w:rsidR="00923973" w:rsidRPr="00923973">
          <w:rPr>
            <w:rStyle w:val="Hyperlink"/>
            <w:rFonts w:ascii="Arial" w:hAnsi="Arial" w:cs="Arial"/>
            <w:sz w:val="28"/>
            <w:szCs w:val="28"/>
            <w:rtl/>
          </w:rPr>
          <w:t>סעיף 418</w:t>
        </w:r>
      </w:hyperlink>
      <w:r w:rsidRPr="008755AD">
        <w:rPr>
          <w:rFonts w:ascii="Arial" w:hAnsi="Arial" w:cs="Arial"/>
          <w:sz w:val="28"/>
          <w:szCs w:val="28"/>
          <w:rtl/>
        </w:rPr>
        <w:t xml:space="preserve"> ל</w:t>
      </w:r>
      <w:hyperlink r:id="rId25" w:history="1">
        <w:r w:rsidR="008755AD" w:rsidRPr="008755AD">
          <w:rPr>
            <w:rFonts w:ascii="Arial" w:hAnsi="Arial" w:cs="Arial"/>
            <w:color w:val="0000FF"/>
            <w:sz w:val="28"/>
            <w:szCs w:val="28"/>
            <w:u w:val="single"/>
            <w:rtl/>
          </w:rPr>
          <w:t>חוק העונשין</w:t>
        </w:r>
      </w:hyperlink>
      <w:r w:rsidRPr="008755AD">
        <w:rPr>
          <w:rFonts w:ascii="Arial" w:hAnsi="Arial" w:cs="Arial"/>
          <w:sz w:val="28"/>
          <w:szCs w:val="28"/>
          <w:rtl/>
        </w:rPr>
        <w:t xml:space="preserve">, שימוש במסמך מזויף לפי </w:t>
      </w:r>
      <w:hyperlink r:id="rId26" w:history="1">
        <w:r w:rsidR="00923973" w:rsidRPr="00923973">
          <w:rPr>
            <w:rStyle w:val="Hyperlink"/>
            <w:rFonts w:ascii="Arial" w:hAnsi="Arial" w:cs="Arial"/>
            <w:sz w:val="28"/>
            <w:szCs w:val="28"/>
            <w:rtl/>
          </w:rPr>
          <w:t>סעיף 420</w:t>
        </w:r>
      </w:hyperlink>
      <w:r w:rsidRPr="008755AD">
        <w:rPr>
          <w:rFonts w:ascii="Arial" w:hAnsi="Arial" w:cs="Arial"/>
          <w:sz w:val="28"/>
          <w:szCs w:val="28"/>
          <w:rtl/>
        </w:rPr>
        <w:t xml:space="preserve"> לחוק וקבלת דבר במרמה לפי </w:t>
      </w:r>
      <w:hyperlink r:id="rId27" w:history="1">
        <w:r w:rsidR="00923973" w:rsidRPr="00923973">
          <w:rPr>
            <w:rStyle w:val="Hyperlink"/>
            <w:rFonts w:ascii="Arial" w:hAnsi="Arial" w:cs="Arial"/>
            <w:sz w:val="28"/>
            <w:szCs w:val="28"/>
            <w:rtl/>
          </w:rPr>
          <w:t>סעיף 415</w:t>
        </w:r>
      </w:hyperlink>
      <w:r w:rsidRPr="008755AD">
        <w:rPr>
          <w:rFonts w:ascii="Arial" w:hAnsi="Arial" w:cs="Arial"/>
          <w:sz w:val="28"/>
          <w:szCs w:val="28"/>
          <w:rtl/>
        </w:rPr>
        <w:t xml:space="preserve"> רישא לחוק.</w:t>
      </w:r>
    </w:p>
    <w:p w14:paraId="14C09D37" w14:textId="77777777" w:rsidR="00CD4628" w:rsidRPr="008755AD" w:rsidRDefault="00CD4628" w:rsidP="00CD4628">
      <w:pPr>
        <w:spacing w:after="160" w:line="360" w:lineRule="auto"/>
        <w:jc w:val="both"/>
        <w:rPr>
          <w:rFonts w:ascii="Arial" w:hAnsi="Arial" w:cs="Arial"/>
          <w:sz w:val="28"/>
          <w:szCs w:val="28"/>
          <w:rtl/>
        </w:rPr>
      </w:pPr>
      <w:r w:rsidRPr="008755AD">
        <w:rPr>
          <w:rFonts w:ascii="Arial" w:hAnsi="Arial" w:cs="Arial"/>
          <w:sz w:val="28"/>
          <w:szCs w:val="28"/>
          <w:rtl/>
        </w:rPr>
        <w:t xml:space="preserve">במסגרת </w:t>
      </w:r>
      <w:hyperlink r:id="rId28" w:history="1">
        <w:r w:rsidR="008755AD" w:rsidRPr="008755AD">
          <w:rPr>
            <w:rFonts w:ascii="Arial" w:hAnsi="Arial" w:cs="Arial"/>
            <w:color w:val="0000FF"/>
            <w:sz w:val="28"/>
            <w:szCs w:val="28"/>
            <w:u w:val="single"/>
            <w:rtl/>
          </w:rPr>
          <w:t>ת.פ. 59616-01-18</w:t>
        </w:r>
      </w:hyperlink>
      <w:r w:rsidRPr="008755AD">
        <w:rPr>
          <w:rFonts w:ascii="Arial" w:hAnsi="Arial" w:cs="Arial"/>
          <w:sz w:val="28"/>
          <w:szCs w:val="28"/>
          <w:rtl/>
        </w:rPr>
        <w:t xml:space="preserve"> הוגשו תסקירים שהתקבלו במקביל לביצוע עסקת הנשק בתיק שלפני.</w:t>
      </w:r>
    </w:p>
    <w:p w14:paraId="3C5C02B3" w14:textId="77777777" w:rsidR="00CD4628" w:rsidRPr="008755AD" w:rsidRDefault="00CD4628" w:rsidP="00CD4628">
      <w:pPr>
        <w:spacing w:after="160" w:line="360" w:lineRule="auto"/>
        <w:jc w:val="both"/>
        <w:rPr>
          <w:rFonts w:ascii="Arial" w:hAnsi="Arial" w:cs="Arial"/>
          <w:sz w:val="28"/>
          <w:szCs w:val="28"/>
          <w:rtl/>
        </w:rPr>
      </w:pPr>
      <w:r w:rsidRPr="008755AD">
        <w:rPr>
          <w:rFonts w:ascii="Arial" w:hAnsi="Arial" w:cs="Arial"/>
          <w:sz w:val="28"/>
          <w:szCs w:val="28"/>
          <w:rtl/>
        </w:rPr>
        <w:t>מטעם הסנגור הוגשו המסמכים הבאים:</w:t>
      </w:r>
    </w:p>
    <w:p w14:paraId="30E05DF3" w14:textId="77777777" w:rsidR="00CD4628" w:rsidRPr="008755AD" w:rsidRDefault="00CD4628" w:rsidP="00CD4628">
      <w:pPr>
        <w:spacing w:after="160" w:line="360" w:lineRule="auto"/>
        <w:jc w:val="both"/>
        <w:rPr>
          <w:rFonts w:ascii="Arial" w:hAnsi="Arial" w:cs="Arial"/>
          <w:sz w:val="28"/>
          <w:szCs w:val="28"/>
          <w:rtl/>
        </w:rPr>
      </w:pPr>
      <w:r w:rsidRPr="008755AD">
        <w:rPr>
          <w:rFonts w:ascii="Arial" w:hAnsi="Arial" w:cs="Arial"/>
          <w:sz w:val="28"/>
          <w:szCs w:val="28"/>
          <w:rtl/>
        </w:rPr>
        <w:t>תלושי משכורת של הנאשם לחודשים ינואר 2020 – אפריל 2020.</w:t>
      </w:r>
    </w:p>
    <w:p w14:paraId="2A8113B6" w14:textId="77777777" w:rsidR="00CD4628" w:rsidRPr="008755AD" w:rsidRDefault="00CD4628" w:rsidP="00CD4628">
      <w:pPr>
        <w:spacing w:after="160" w:line="360" w:lineRule="auto"/>
        <w:jc w:val="both"/>
        <w:rPr>
          <w:rFonts w:ascii="Arial" w:hAnsi="Arial" w:cs="Arial"/>
          <w:sz w:val="28"/>
          <w:szCs w:val="28"/>
          <w:rtl/>
        </w:rPr>
      </w:pPr>
      <w:r w:rsidRPr="008755AD">
        <w:rPr>
          <w:rFonts w:ascii="Arial" w:hAnsi="Arial" w:cs="Arial"/>
          <w:sz w:val="28"/>
          <w:szCs w:val="28"/>
          <w:rtl/>
        </w:rPr>
        <w:t>תביעה לפינוי מושכר – הדירה בה מתגוררת אשת הנאשם וילדיו בשל אי עמידה בתשלום שכר הדירה והוצאות אחזקת הדירה.</w:t>
      </w:r>
    </w:p>
    <w:p w14:paraId="34DDFE31"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סיכום אשפוזים של סבתו של הנאשם אשר הלכה לעולמה בעת מעצרו.</w:t>
      </w:r>
    </w:p>
    <w:p w14:paraId="436D65CF" w14:textId="77777777" w:rsidR="00CD4628" w:rsidRPr="008755AD" w:rsidRDefault="00CD4628" w:rsidP="00CD4628">
      <w:pPr>
        <w:spacing w:line="360" w:lineRule="auto"/>
        <w:jc w:val="both"/>
        <w:rPr>
          <w:rFonts w:ascii="Arial" w:hAnsi="Arial" w:cs="Arial"/>
          <w:sz w:val="28"/>
          <w:szCs w:val="28"/>
          <w:rtl/>
        </w:rPr>
      </w:pPr>
    </w:p>
    <w:p w14:paraId="56E77F07"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מסמכים רפואיים הנוגעים לאשת הנאשם אש לא יפורטו בשל צנעת הפרט.</w:t>
      </w:r>
    </w:p>
    <w:p w14:paraId="0A011EAA" w14:textId="77777777" w:rsidR="00CD4628" w:rsidRPr="008755AD" w:rsidRDefault="00CD4628" w:rsidP="00CD4628">
      <w:pPr>
        <w:spacing w:line="360" w:lineRule="auto"/>
        <w:jc w:val="both"/>
        <w:rPr>
          <w:rFonts w:ascii="Arial" w:hAnsi="Arial" w:cs="Arial"/>
          <w:sz w:val="28"/>
          <w:szCs w:val="28"/>
          <w:rtl/>
        </w:rPr>
      </w:pPr>
      <w:r w:rsidRPr="008755AD">
        <w:rPr>
          <w:rFonts w:ascii="Arial" w:hAnsi="Arial" w:cs="Arial"/>
          <w:sz w:val="28"/>
          <w:szCs w:val="28"/>
          <w:rtl/>
        </w:rPr>
        <w:t>מס</w:t>
      </w:r>
      <w:r w:rsidRPr="008755AD">
        <w:rPr>
          <w:rFonts w:ascii="Arial" w:hAnsi="Arial" w:cs="Arial" w:hint="cs"/>
          <w:sz w:val="28"/>
          <w:szCs w:val="28"/>
          <w:rtl/>
        </w:rPr>
        <w:t>מ</w:t>
      </w:r>
      <w:r w:rsidRPr="008755AD">
        <w:rPr>
          <w:rFonts w:ascii="Arial" w:hAnsi="Arial" w:cs="Arial"/>
          <w:sz w:val="28"/>
          <w:szCs w:val="28"/>
          <w:rtl/>
        </w:rPr>
        <w:t>ך הנוגע לתביעה שהוגשה בעקבות מות אם הנאשם בתאונת דרכים והוצאות גידולו על ידי סבתו כמו גם השפעת מותה של האם על הנאשם.</w:t>
      </w:r>
    </w:p>
    <w:p w14:paraId="6802218B" w14:textId="77777777" w:rsidR="00CD4628" w:rsidRPr="008755AD" w:rsidRDefault="00CD4628" w:rsidP="00CD4628">
      <w:pPr>
        <w:spacing w:line="360" w:lineRule="auto"/>
        <w:jc w:val="both"/>
        <w:rPr>
          <w:rFonts w:ascii="Arial" w:hAnsi="Arial" w:cs="Arial"/>
          <w:sz w:val="28"/>
          <w:szCs w:val="28"/>
          <w:rtl/>
        </w:rPr>
      </w:pPr>
    </w:p>
    <w:p w14:paraId="34CDBDC5" w14:textId="77777777" w:rsidR="008755AD" w:rsidRDefault="008755AD" w:rsidP="008755AD">
      <w:pPr>
        <w:spacing w:line="360" w:lineRule="auto"/>
        <w:jc w:val="both"/>
        <w:rPr>
          <w:rFonts w:ascii="Arial" w:hAnsi="Arial" w:cs="Arial"/>
          <w:sz w:val="28"/>
          <w:szCs w:val="28"/>
          <w:rtl/>
        </w:rPr>
      </w:pPr>
    </w:p>
    <w:p w14:paraId="53F5F419" w14:textId="77777777" w:rsidR="008755AD" w:rsidRPr="008755AD" w:rsidRDefault="008755AD" w:rsidP="008755AD">
      <w:pPr>
        <w:spacing w:before="120" w:after="120" w:line="240" w:lineRule="exact"/>
        <w:ind w:left="283" w:hanging="283"/>
        <w:jc w:val="both"/>
        <w:rPr>
          <w:rFonts w:ascii="FrankRuehl" w:hAnsi="FrankRuehl" w:cs="FrankRuehl"/>
          <w:rtl/>
        </w:rPr>
      </w:pPr>
    </w:p>
    <w:p w14:paraId="1DA25281" w14:textId="77777777" w:rsidR="008755AD" w:rsidRPr="008755AD" w:rsidRDefault="008755AD" w:rsidP="008755AD">
      <w:pPr>
        <w:spacing w:before="120" w:after="120" w:line="240" w:lineRule="exact"/>
        <w:ind w:left="283" w:hanging="283"/>
        <w:jc w:val="both"/>
        <w:rPr>
          <w:rFonts w:ascii="FrankRuehl" w:hAnsi="FrankRuehl" w:cs="FrankRuehl"/>
          <w:rtl/>
        </w:rPr>
      </w:pPr>
    </w:p>
    <w:p w14:paraId="7743D628" w14:textId="77777777" w:rsidR="008755AD" w:rsidRPr="008755AD" w:rsidRDefault="008755AD" w:rsidP="008755AD">
      <w:pPr>
        <w:spacing w:before="120" w:after="120" w:line="240" w:lineRule="exact"/>
        <w:ind w:left="283" w:hanging="283"/>
        <w:jc w:val="both"/>
        <w:rPr>
          <w:rFonts w:ascii="FrankRuehl" w:hAnsi="FrankRuehl" w:cs="FrankRuehl"/>
          <w:rtl/>
        </w:rPr>
      </w:pPr>
      <w:r w:rsidRPr="008755AD">
        <w:rPr>
          <w:rFonts w:ascii="FrankRuehl" w:hAnsi="FrankRuehl" w:cs="FrankRuehl"/>
          <w:rtl/>
        </w:rPr>
        <w:t xml:space="preserve">חקיקה שאוזכרה: </w:t>
      </w:r>
    </w:p>
    <w:p w14:paraId="007BBEB0" w14:textId="77777777" w:rsidR="008755AD" w:rsidRPr="008755AD" w:rsidRDefault="008755AD" w:rsidP="008755AD">
      <w:pPr>
        <w:spacing w:before="120" w:after="120" w:line="240" w:lineRule="exact"/>
        <w:ind w:left="283" w:hanging="283"/>
        <w:jc w:val="both"/>
        <w:rPr>
          <w:rFonts w:ascii="FrankRuehl" w:hAnsi="FrankRuehl" w:cs="FrankRuehl"/>
          <w:rtl/>
        </w:rPr>
      </w:pPr>
      <w:hyperlink r:id="rId29" w:history="1">
        <w:r w:rsidRPr="008755AD">
          <w:rPr>
            <w:rFonts w:ascii="FrankRuehl" w:hAnsi="FrankRuehl" w:cs="FrankRuehl"/>
            <w:color w:val="0000FF"/>
            <w:rtl/>
          </w:rPr>
          <w:t>חוק העונשין, תשל"ז-1977</w:t>
        </w:r>
      </w:hyperlink>
    </w:p>
    <w:p w14:paraId="264F06AF" w14:textId="77777777" w:rsidR="008755AD" w:rsidRPr="008755AD" w:rsidRDefault="008755AD" w:rsidP="008755AD">
      <w:pPr>
        <w:spacing w:line="360" w:lineRule="auto"/>
        <w:jc w:val="both"/>
        <w:rPr>
          <w:rFonts w:ascii="Arial" w:hAnsi="Arial" w:cs="Arial"/>
          <w:sz w:val="28"/>
          <w:szCs w:val="28"/>
          <w:rtl/>
        </w:rPr>
      </w:pPr>
    </w:p>
    <w:p w14:paraId="40C02983" w14:textId="77777777" w:rsidR="008755AD" w:rsidRPr="008755AD" w:rsidRDefault="008755AD" w:rsidP="00CD4628">
      <w:pPr>
        <w:spacing w:line="360" w:lineRule="auto"/>
        <w:jc w:val="both"/>
        <w:rPr>
          <w:rFonts w:ascii="Arial" w:hAnsi="Arial" w:cs="Arial"/>
          <w:sz w:val="28"/>
          <w:szCs w:val="28"/>
          <w:rtl/>
        </w:rPr>
      </w:pPr>
    </w:p>
    <w:bookmarkEnd w:id="0"/>
    <w:p w14:paraId="270565F0" w14:textId="77777777" w:rsidR="008755AD" w:rsidRPr="008755AD" w:rsidRDefault="008755AD" w:rsidP="008755AD">
      <w:pPr>
        <w:spacing w:line="360" w:lineRule="auto"/>
        <w:jc w:val="center"/>
        <w:rPr>
          <w:rFonts w:ascii="Arial" w:hAnsi="Arial" w:cs="Arial"/>
          <w:bCs/>
          <w:sz w:val="28"/>
          <w:szCs w:val="28"/>
          <w:rtl/>
        </w:rPr>
      </w:pPr>
      <w:r w:rsidRPr="008755AD">
        <w:rPr>
          <w:rFonts w:ascii="Arial" w:hAnsi="Arial" w:cs="Arial"/>
          <w:bCs/>
          <w:sz w:val="28"/>
          <w:szCs w:val="28"/>
          <w:rtl/>
        </w:rPr>
        <w:t>כתבה עיתונאית הנוגעת לצורך לקבור את אם הנאשם פעמיים לאחר שחלקי</w:t>
      </w:r>
    </w:p>
    <w:p w14:paraId="1524742B"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אברים מגופתה הוצאו במהלך נתיחת הגופה ללא ידיעת המשפחה והושארו במכון לרפואה משפטית.</w:t>
      </w:r>
    </w:p>
    <w:p w14:paraId="32895024"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 </w:t>
      </w:r>
    </w:p>
    <w:p w14:paraId="58D44999" w14:textId="77777777" w:rsidR="00CD4628" w:rsidRPr="00CD4628" w:rsidRDefault="00CD4628" w:rsidP="00CD4628">
      <w:pPr>
        <w:spacing w:line="360" w:lineRule="auto"/>
        <w:jc w:val="both"/>
        <w:rPr>
          <w:rFonts w:ascii="Arial" w:hAnsi="Arial" w:cs="Arial"/>
          <w:b/>
          <w:bCs/>
          <w:sz w:val="28"/>
          <w:szCs w:val="28"/>
          <w:u w:val="single"/>
          <w:rtl/>
        </w:rPr>
      </w:pPr>
      <w:r w:rsidRPr="00CD4628">
        <w:rPr>
          <w:rFonts w:ascii="Arial" w:hAnsi="Arial" w:cs="Arial"/>
          <w:b/>
          <w:bCs/>
          <w:sz w:val="28"/>
          <w:szCs w:val="28"/>
          <w:u w:val="single"/>
          <w:rtl/>
        </w:rPr>
        <w:t>טיעוני ב"כ המאשימה לעונש:</w:t>
      </w:r>
    </w:p>
    <w:p w14:paraId="63184839"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לטענת ב"כ המאשימה, מדובר בנשיאת נשק ברף הגבוה ביותר, ממספר  טעמים. ראשית, היות הנשק מטען חבלה שהוא סוג הנשק המסוכן ביותר, שהשימוש בו הוא שימוש עברייני וקטלני. ניסיון החיים מלמד על מספר רב של מקרים מצערים בהם נקטלו חיי חפים מפשע בעת הפעלת מטעני חבלה בידיים עברייניות ובמסגרת סכסוך עברייני. חומרה נוספת מצויה בהותרת המטען בשטח פתוח באופן שיכול היה להימצא ולהיות מופעל על ידי כל אדם וילד. מעשי הנאשם משתלבים בפאזל של עסקת סחר, הוא נכח במקום ולוקח חלק פעיל בהעברת המטען לידי הסוכן. </w:t>
      </w:r>
    </w:p>
    <w:p w14:paraId="3597A426"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לטענת ב"כ המאשימה, על פי הנחיית פרקליט מדינה, המתחם לעבירה של  נשיאת מטען חבלה נע בין 3.5 שנות מאסר ל-8 שנות מאסר, מתחם שאינו מצוי בפסיקה, ויש לקבעו באופן שישקף את פסיקת בית המשפט העליון וההד הציבורי בדבר ההכרח בהעלאת רף הענישה לגבי מטעני חבלה.</w:t>
      </w:r>
    </w:p>
    <w:p w14:paraId="15811FCC" w14:textId="77777777" w:rsidR="00CD4628" w:rsidRPr="00CD4628" w:rsidRDefault="00CD4628" w:rsidP="00CD4628">
      <w:pPr>
        <w:spacing w:line="360" w:lineRule="auto"/>
        <w:jc w:val="both"/>
        <w:rPr>
          <w:rFonts w:ascii="Arial" w:hAnsi="Arial" w:cs="Arial"/>
          <w:sz w:val="28"/>
          <w:szCs w:val="28"/>
          <w:rtl/>
        </w:rPr>
      </w:pPr>
    </w:p>
    <w:p w14:paraId="15AD8E5C"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בכל הנוגע לאחדות הענישה בפרשיה זו, הוגש גזר הדין בעניינו של חנן ידגרוב, אשר נדון במסגרת גישור ל-7 שנות מאסר בגין עבירת סחר במטען חבלה, כאשר העונש כולל הפעלה של 12 חודשי מאסר מותנים. </w:t>
      </w:r>
    </w:p>
    <w:p w14:paraId="3E3B0A35" w14:textId="77777777" w:rsidR="00CD4628" w:rsidRPr="00CD4628" w:rsidRDefault="00CD4628" w:rsidP="00CD4628">
      <w:pPr>
        <w:spacing w:line="360" w:lineRule="auto"/>
        <w:jc w:val="both"/>
        <w:rPr>
          <w:rFonts w:ascii="Arial" w:hAnsi="Arial" w:cs="Arial"/>
          <w:sz w:val="28"/>
          <w:szCs w:val="28"/>
          <w:rtl/>
        </w:rPr>
      </w:pPr>
    </w:p>
    <w:p w14:paraId="7A03623A"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אמנם יש אבחנה בין סחר בנשק לנשיאת נשק, אך ההבחנה אין גדולה ומשמעותית בנסיבות אלו. </w:t>
      </w:r>
    </w:p>
    <w:p w14:paraId="6EDC3624" w14:textId="77777777" w:rsidR="00CD4628" w:rsidRPr="00CD4628" w:rsidRDefault="00CD4628" w:rsidP="00CD4628">
      <w:pPr>
        <w:spacing w:line="360" w:lineRule="auto"/>
        <w:jc w:val="both"/>
        <w:rPr>
          <w:rFonts w:ascii="Arial" w:hAnsi="Arial" w:cs="Arial"/>
          <w:sz w:val="28"/>
          <w:szCs w:val="28"/>
          <w:rtl/>
        </w:rPr>
      </w:pPr>
    </w:p>
    <w:p w14:paraId="1115F2A6"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הערכים המוגנים- סיכון לביטחון הציבור.</w:t>
      </w:r>
    </w:p>
    <w:p w14:paraId="120A8F9E" w14:textId="77777777" w:rsidR="00CD4628" w:rsidRPr="00CD4628" w:rsidRDefault="00CD4628" w:rsidP="00CD4628">
      <w:pPr>
        <w:spacing w:line="360" w:lineRule="auto"/>
        <w:jc w:val="both"/>
        <w:rPr>
          <w:rFonts w:ascii="Arial" w:hAnsi="Arial" w:cs="Arial"/>
          <w:sz w:val="28"/>
          <w:szCs w:val="28"/>
          <w:rtl/>
        </w:rPr>
      </w:pPr>
    </w:p>
    <w:p w14:paraId="3A34548D"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מיקומו של הנאשם בתוך המתחם צריך להיות בשליש העליון. אמנם הרשעת הנאשם מבוססת על הודאתו, הוא חסך שמיעת עדים רבים,  אך עם זאת, עיתויה של ההודאה תוך כדי חקירה נגדית של העד המרכזי שמעיד נגדו, עד מוגן על כל המשמעויות שמשתמעות מכך, הוא עיתוי שונה מבחינת לקיחת האחריות והחיסכון. מבחינה כמותית נחסכה שמיעתם של עדים רבים אך החיסכון לא מלא, שכן המאשימה נדרשה להביא עד מוגן על כל המשמעויות הנלוות. </w:t>
      </w:r>
    </w:p>
    <w:p w14:paraId="049C68E3" w14:textId="77777777" w:rsidR="00CD4628" w:rsidRPr="00CD4628" w:rsidRDefault="00CD4628" w:rsidP="00CD4628">
      <w:pPr>
        <w:spacing w:line="360" w:lineRule="auto"/>
        <w:jc w:val="both"/>
        <w:rPr>
          <w:rFonts w:ascii="Arial" w:hAnsi="Arial" w:cs="Arial"/>
          <w:sz w:val="28"/>
          <w:szCs w:val="28"/>
          <w:rtl/>
        </w:rPr>
      </w:pPr>
    </w:p>
    <w:p w14:paraId="7F7080C3"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עיון בגיליון ההרשעות שלנאשם הרשעה קודמת בעבירות נשק, בגינן נדון ל-36 חודשי מאסר, צבר תיקים שהיה תלוי ועומד בבתי המשפט בשעה שביצע את העבירה הזו, כשבתיק הפלילי שהתנהל בבית משפט השלום בפתח תקווה היה הנאשם בהליך טיפולי שיקומי בשירות המבחן.</w:t>
      </w:r>
    </w:p>
    <w:p w14:paraId="1A08B0CD"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 </w:t>
      </w:r>
    </w:p>
    <w:p w14:paraId="5A737AF8"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לטענת ב"כ המאשימה, בהתנהלות מתוחכמת מצד ההגנה, ביום 16.12.20 ניתנו שני גזרי דין בעניינו של הנאשם בשני הליכים שונים, הוא נדון באותו יום ל-3 חודשי מאסר ויום בגין תיק המרמה, ול-4 חודשים בגין תיק הסמים, כאשר אף אחד מבתי המשפט לא היה מודע לתיק השני שבאותה שעה ניתן בו גזה"ד, ולכן אף בית משפט לא נתן דעתו לסוגיית צבירת העונשים, וצבירת העונש לא התבקשה באף אחת מהערכאות. כך, ללא הנמקה, ומבלי שתהיה החלטה שיפוטית מושכלת, ניתנו שני גזרי הדין באותו יום והעונשים רוצו באופן חופף. </w:t>
      </w:r>
    </w:p>
    <w:p w14:paraId="1B415569"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לפיכך עתרה שככל שמעונש המאסר ינוכו ימי מעצרו של הנאשם, העונש יהיה במצטבר לכל עונש אחר, ולא יקוזזו ימי המעצר בתקופה בה היה הנאשם אסיר (מיום 16.12.20 ולמשך 4 חודשים). לעתירה זו אענה.</w:t>
      </w:r>
    </w:p>
    <w:p w14:paraId="34766467" w14:textId="77777777" w:rsidR="00CD4628" w:rsidRPr="00CD4628" w:rsidRDefault="00CD4628" w:rsidP="00CD4628">
      <w:pPr>
        <w:spacing w:line="360" w:lineRule="auto"/>
        <w:jc w:val="both"/>
        <w:rPr>
          <w:rFonts w:ascii="Arial" w:hAnsi="Arial" w:cs="Arial"/>
          <w:sz w:val="28"/>
          <w:szCs w:val="28"/>
          <w:rtl/>
        </w:rPr>
      </w:pPr>
    </w:p>
    <w:p w14:paraId="3CF6934B" w14:textId="77777777" w:rsidR="00CD4628" w:rsidRPr="00CD4628" w:rsidRDefault="00CD4628" w:rsidP="00CD4628">
      <w:pPr>
        <w:spacing w:line="360" w:lineRule="auto"/>
        <w:jc w:val="both"/>
        <w:rPr>
          <w:rFonts w:ascii="Arial" w:hAnsi="Arial" w:cs="Arial"/>
          <w:b/>
          <w:bCs/>
          <w:sz w:val="28"/>
          <w:szCs w:val="28"/>
          <w:u w:val="single"/>
          <w:rtl/>
        </w:rPr>
      </w:pPr>
      <w:r w:rsidRPr="00CD4628">
        <w:rPr>
          <w:rFonts w:ascii="Arial" w:hAnsi="Arial" w:cs="Arial"/>
          <w:b/>
          <w:bCs/>
          <w:sz w:val="28"/>
          <w:szCs w:val="28"/>
          <w:u w:val="single"/>
          <w:rtl/>
        </w:rPr>
        <w:t>טיעוני ב"כ הנאשם לעונש:</w:t>
      </w:r>
    </w:p>
    <w:p w14:paraId="5A7D6FD9"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ב"כ הנאשם טען תחילה כי מדובר בנאשם שילדותו הייתה קשה ומורכבת. הוא נולד להורים נרקומנים, בקריז, אביו ריצה מאסרים ולא היה בקשר עמו והוא גדל אצל סבתו שהלכה לבית עולמה עת שהה במעצר בתיק זה. </w:t>
      </w:r>
    </w:p>
    <w:p w14:paraId="1938BC3D" w14:textId="77777777" w:rsidR="00CD4628" w:rsidRPr="00CD4628" w:rsidRDefault="00CD4628" w:rsidP="00CD4628">
      <w:pPr>
        <w:spacing w:line="360" w:lineRule="auto"/>
        <w:jc w:val="both"/>
        <w:rPr>
          <w:rFonts w:ascii="Arial" w:hAnsi="Arial" w:cs="Arial"/>
          <w:sz w:val="28"/>
          <w:szCs w:val="28"/>
          <w:rtl/>
        </w:rPr>
      </w:pPr>
    </w:p>
    <w:p w14:paraId="309A32EC"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אמו נהרגה בהיותו בן 9 שנים ונקברה פעמיים, פעם אחת במותה ופעם שנייה בשל  הצורך לקבור חלקים מהגופה שהיו במכון לרפואה משפטית. </w:t>
      </w:r>
    </w:p>
    <w:p w14:paraId="26A05B82" w14:textId="77777777" w:rsidR="00CD4628" w:rsidRPr="00CD4628" w:rsidRDefault="00CD4628" w:rsidP="00CD4628">
      <w:pPr>
        <w:spacing w:line="360" w:lineRule="auto"/>
        <w:jc w:val="both"/>
        <w:rPr>
          <w:rFonts w:ascii="Arial" w:hAnsi="Arial" w:cs="Arial"/>
          <w:sz w:val="28"/>
          <w:szCs w:val="28"/>
          <w:rtl/>
        </w:rPr>
      </w:pPr>
    </w:p>
    <w:p w14:paraId="70E3408C"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הנאשם הגיע למקום העבירה בהוראתו של אחר, האחר הוא גיסו, אבי המשפחה. </w:t>
      </w:r>
    </w:p>
    <w:p w14:paraId="59302F26" w14:textId="77777777" w:rsidR="00CD4628" w:rsidRPr="00CD4628" w:rsidRDefault="00CD4628" w:rsidP="00CD4628">
      <w:pPr>
        <w:spacing w:line="360" w:lineRule="auto"/>
        <w:jc w:val="both"/>
        <w:rPr>
          <w:rFonts w:ascii="Arial" w:hAnsi="Arial" w:cs="Arial"/>
          <w:sz w:val="28"/>
          <w:szCs w:val="28"/>
        </w:rPr>
      </w:pPr>
      <w:r w:rsidRPr="00CD4628">
        <w:rPr>
          <w:rFonts w:ascii="Arial" w:hAnsi="Arial" w:cs="Arial"/>
          <w:sz w:val="28"/>
          <w:szCs w:val="28"/>
          <w:rtl/>
        </w:rPr>
        <w:t>הנאשם לקח אחריות על העבירה אותה ביצע, הגיע לשטח הפתוח, ראה את התיק והטמין אותו מעט יותר.</w:t>
      </w:r>
    </w:p>
    <w:p w14:paraId="288D9B0D" w14:textId="77777777" w:rsidR="00CD4628" w:rsidRPr="00CD4628" w:rsidRDefault="00CD4628" w:rsidP="00CD4628">
      <w:pPr>
        <w:spacing w:line="360" w:lineRule="auto"/>
        <w:jc w:val="both"/>
        <w:rPr>
          <w:rFonts w:ascii="Arial" w:hAnsi="Arial" w:cs="Arial"/>
          <w:sz w:val="28"/>
          <w:szCs w:val="28"/>
          <w:rtl/>
        </w:rPr>
      </w:pPr>
    </w:p>
    <w:p w14:paraId="5B81F7D2"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אין בכתב האישום כל עובדה לפיה הנאשם הוביל את המטען, הוא רק נשא אותו וכך עולה אף מחומר הראיות. </w:t>
      </w:r>
    </w:p>
    <w:p w14:paraId="240D12AD" w14:textId="77777777" w:rsidR="00CD4628" w:rsidRPr="00CD4628" w:rsidRDefault="00CD4628" w:rsidP="00CD4628">
      <w:pPr>
        <w:spacing w:line="360" w:lineRule="auto"/>
        <w:jc w:val="both"/>
        <w:rPr>
          <w:rFonts w:ascii="Arial" w:hAnsi="Arial" w:cs="Arial"/>
          <w:sz w:val="28"/>
          <w:szCs w:val="28"/>
          <w:rtl/>
        </w:rPr>
      </w:pPr>
    </w:p>
    <w:p w14:paraId="24923318"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קיימת שיחה בחומר הראיות המלמדת שהייתה שיחה בין הנאשם לבין האחר, ממנה עולה כי הנאשם מחפש את המטען ולא מוצא אותו, האחר אומר לו אני אבוא ואראה לך שזה שם. הוא אכן נוסע מהמקום, הולך לתחנת הדלק שם פוגש באחר, חוזרים למקום, הנאשם מצביע וכפי שאמר הסוכן 'הנה מצאתי את זה כאן'. </w:t>
      </w:r>
    </w:p>
    <w:p w14:paraId="17BED4B2" w14:textId="77777777" w:rsidR="00CD4628" w:rsidRPr="00CD4628" w:rsidRDefault="00CD4628" w:rsidP="00CD4628">
      <w:pPr>
        <w:spacing w:line="360" w:lineRule="auto"/>
        <w:jc w:val="both"/>
        <w:rPr>
          <w:rFonts w:ascii="Arial" w:hAnsi="Arial" w:cs="Arial"/>
          <w:sz w:val="28"/>
          <w:szCs w:val="28"/>
          <w:rtl/>
        </w:rPr>
      </w:pPr>
    </w:p>
    <w:p w14:paraId="0EF27441"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אין מחלוקת שהנאשם היה צריך לקבל עזרה הרבה קודם לביצוע העבירה. </w:t>
      </w:r>
    </w:p>
    <w:p w14:paraId="06628EF3"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על פי תסקירי שירות המבחן מהתיק הפלילי בפתח תקווה, הטיפול אותו עבר הנאשם החל לאחר ביצוע העבירה כאן, ובמהלך תקופת הטיפול,  הנאשם לא ביצע עבירות. תחילה הוא לא שיתף פעולה עם שירות המבחן, בהמשך שיתף פעולה ולמעשה, הדרך בה החל נגדעה בעקבות המעצר בתיק זה. </w:t>
      </w:r>
    </w:p>
    <w:p w14:paraId="0E12AFA3" w14:textId="77777777" w:rsidR="00CD4628" w:rsidRPr="00CD4628" w:rsidRDefault="00CD4628" w:rsidP="00CD4628">
      <w:pPr>
        <w:spacing w:line="360" w:lineRule="auto"/>
        <w:jc w:val="both"/>
        <w:rPr>
          <w:rFonts w:ascii="Arial" w:hAnsi="Arial" w:cs="Arial"/>
          <w:sz w:val="28"/>
          <w:szCs w:val="28"/>
          <w:rtl/>
        </w:rPr>
      </w:pPr>
    </w:p>
    <w:p w14:paraId="7DE8ABE5"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עוד טען שיש להתייחס לאיכות המטען באשר ראש הגפרור לא היה תקין והחלקים לא מחוברים, משמע, אין המדובר בנשק שיכול להמית.</w:t>
      </w:r>
    </w:p>
    <w:p w14:paraId="62176C6C" w14:textId="77777777" w:rsidR="00CD4628" w:rsidRPr="00CD4628" w:rsidRDefault="00CD4628" w:rsidP="00CD4628">
      <w:pPr>
        <w:spacing w:line="360" w:lineRule="auto"/>
        <w:jc w:val="both"/>
        <w:rPr>
          <w:rFonts w:ascii="Arial" w:hAnsi="Arial" w:cs="Arial"/>
          <w:sz w:val="28"/>
          <w:szCs w:val="28"/>
          <w:rtl/>
        </w:rPr>
      </w:pPr>
    </w:p>
    <w:p w14:paraId="37A74B5E"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סבורני כי טעות בידי הסנגור. בהתאם </w:t>
      </w:r>
      <w:hyperlink r:id="rId30" w:history="1">
        <w:r w:rsidR="00923973" w:rsidRPr="00923973">
          <w:rPr>
            <w:rStyle w:val="Hyperlink"/>
            <w:rFonts w:ascii="Arial" w:hAnsi="Arial" w:cs="Arial"/>
            <w:sz w:val="28"/>
            <w:szCs w:val="28"/>
            <w:rtl/>
          </w:rPr>
          <w:t>לסעיף 144(ג1)(1)</w:t>
        </w:r>
      </w:hyperlink>
      <w:r w:rsidRPr="00CD4628">
        <w:rPr>
          <w:rFonts w:ascii="Arial" w:hAnsi="Arial" w:cs="Arial"/>
          <w:sz w:val="28"/>
          <w:szCs w:val="28"/>
          <w:rtl/>
        </w:rPr>
        <w:t xml:space="preserve"> המגדיר מהו נשק נקבע כי "אחת היא אם בעת שנעברה העבירה היה הנשק תקין לשימוש או לא;".</w:t>
      </w:r>
    </w:p>
    <w:p w14:paraId="280330B6" w14:textId="77777777" w:rsidR="00CD4628" w:rsidRPr="00CD4628" w:rsidRDefault="00CD4628" w:rsidP="00CD4628">
      <w:pPr>
        <w:spacing w:line="360" w:lineRule="auto"/>
        <w:jc w:val="both"/>
        <w:rPr>
          <w:rFonts w:ascii="Arial" w:hAnsi="Arial" w:cs="Arial"/>
          <w:sz w:val="28"/>
          <w:szCs w:val="28"/>
          <w:rtl/>
        </w:rPr>
      </w:pPr>
    </w:p>
    <w:p w14:paraId="1D708E9C"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זאת ועוד. על פי חוות הדעת שהוגשה, "בכוחו של מטען החבלה להמית אדם ... בכפוף לתקינות וחיבור תקין של כל מרכיביו".</w:t>
      </w:r>
    </w:p>
    <w:p w14:paraId="021BBE02" w14:textId="77777777" w:rsidR="00CD4628" w:rsidRPr="00CD4628" w:rsidRDefault="00CD4628" w:rsidP="00CD4628">
      <w:pPr>
        <w:spacing w:line="360" w:lineRule="auto"/>
        <w:jc w:val="both"/>
        <w:rPr>
          <w:rFonts w:ascii="Arial" w:hAnsi="Arial" w:cs="Arial"/>
          <w:sz w:val="28"/>
          <w:szCs w:val="28"/>
          <w:rtl/>
        </w:rPr>
      </w:pPr>
    </w:p>
    <w:p w14:paraId="7D550334"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הסנגור הוסיף וטען שנאשמים אחרים בפרשייה שהורשעו בעבירה של סיוע לסחר בנשק, קיבלו לידם 16</w:t>
      </w:r>
      <w:r w:rsidRPr="00CD4628">
        <w:rPr>
          <w:rFonts w:ascii="Arial" w:hAnsi="Arial" w:cs="Arial"/>
          <w:sz w:val="28"/>
          <w:szCs w:val="28"/>
        </w:rPr>
        <w:t>M</w:t>
      </w:r>
      <w:r w:rsidRPr="00CD4628">
        <w:rPr>
          <w:rFonts w:ascii="Arial" w:hAnsi="Arial" w:cs="Arial"/>
          <w:sz w:val="28"/>
          <w:szCs w:val="28"/>
          <w:rtl/>
        </w:rPr>
        <w:t xml:space="preserve">, נסעו איתו, הוראת החיקוק שונתה לסיוע והענישה בהתאם – בין  12 חודשי מאסר ל - 24 חודשים. </w:t>
      </w:r>
    </w:p>
    <w:p w14:paraId="4168CFBD" w14:textId="77777777" w:rsidR="00CD4628" w:rsidRPr="00CD4628" w:rsidRDefault="00CD4628" w:rsidP="00CD4628">
      <w:pPr>
        <w:spacing w:line="360" w:lineRule="auto"/>
        <w:jc w:val="both"/>
        <w:rPr>
          <w:rFonts w:ascii="Arial" w:hAnsi="Arial" w:cs="Arial"/>
          <w:sz w:val="28"/>
          <w:szCs w:val="28"/>
          <w:rtl/>
        </w:rPr>
      </w:pPr>
    </w:p>
    <w:p w14:paraId="6CF65B27"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חלקו של הנאשם מתמצה בהטמנת המטען, הא ותו לא.</w:t>
      </w:r>
    </w:p>
    <w:p w14:paraId="4213CAAC"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 </w:t>
      </w:r>
    </w:p>
    <w:p w14:paraId="0C530AB8"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הנחיית פרקליט המדינה אינה מחייבת את בית המשפט. </w:t>
      </w:r>
    </w:p>
    <w:p w14:paraId="68CEED56" w14:textId="77777777" w:rsidR="00CD4628" w:rsidRPr="00CD4628" w:rsidRDefault="00CD4628" w:rsidP="00CD4628">
      <w:pPr>
        <w:spacing w:line="360" w:lineRule="auto"/>
        <w:jc w:val="both"/>
        <w:rPr>
          <w:rFonts w:ascii="Arial" w:hAnsi="Arial" w:cs="Arial"/>
          <w:sz w:val="28"/>
          <w:szCs w:val="28"/>
          <w:rtl/>
        </w:rPr>
      </w:pPr>
    </w:p>
    <w:p w14:paraId="6573FACB"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בנסיבות תיק זה, ולאור העונשים שהושתו על אחרים, כמו גם לאור נסיבותיו הקשות של הנאשם, יש לקבוע מתחם כפי שנקבע על ידי כב' השופט משניות, ולהשית על הנאשם עונש מקסימלי של  15 חודשי מאסר. </w:t>
      </w:r>
    </w:p>
    <w:p w14:paraId="2D6935EF" w14:textId="77777777" w:rsidR="00CD4628" w:rsidRPr="00CD4628" w:rsidRDefault="00CD4628" w:rsidP="00CD4628">
      <w:pPr>
        <w:spacing w:line="360" w:lineRule="auto"/>
        <w:jc w:val="both"/>
        <w:rPr>
          <w:rFonts w:ascii="Arial" w:hAnsi="Arial" w:cs="Arial"/>
          <w:sz w:val="28"/>
          <w:szCs w:val="28"/>
          <w:rtl/>
        </w:rPr>
      </w:pPr>
    </w:p>
    <w:p w14:paraId="3846D2CA" w14:textId="77777777" w:rsidR="00CD4628" w:rsidRPr="00CD4628" w:rsidRDefault="00CD4628" w:rsidP="00CD4628">
      <w:pPr>
        <w:spacing w:line="360" w:lineRule="auto"/>
        <w:jc w:val="both"/>
        <w:rPr>
          <w:rFonts w:ascii="Arial" w:hAnsi="Arial" w:cs="Arial"/>
          <w:sz w:val="28"/>
          <w:szCs w:val="28"/>
          <w:rtl/>
        </w:rPr>
      </w:pPr>
    </w:p>
    <w:p w14:paraId="1011555E"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b/>
          <w:bCs/>
          <w:sz w:val="28"/>
          <w:szCs w:val="28"/>
          <w:u w:val="single"/>
          <w:rtl/>
        </w:rPr>
        <w:t>בתשובה טענה ב"כ המאשימה</w:t>
      </w:r>
      <w:r w:rsidRPr="00CD4628">
        <w:rPr>
          <w:rFonts w:ascii="Arial" w:hAnsi="Arial" w:cs="Arial"/>
          <w:sz w:val="28"/>
          <w:szCs w:val="28"/>
          <w:rtl/>
        </w:rPr>
        <w:t xml:space="preserve"> שעל פי עובדות כתב האישום המתוקן ובעיקר את עובדות סעיף 7 לכתב האישום, הנאשם הוא זה שהביא את המטען לאותו מקום בשטח הפתוח ומשמעות המילה הטמין לא יכולה להיות אחרת. קרי: הנאשם הגיע עם המטען והוא זה שהטמין אותו בחול. </w:t>
      </w:r>
    </w:p>
    <w:p w14:paraId="0404C3A7" w14:textId="77777777" w:rsidR="00CD4628" w:rsidRPr="00CD4628" w:rsidRDefault="00CD4628" w:rsidP="00CD4628">
      <w:pPr>
        <w:spacing w:line="360" w:lineRule="auto"/>
        <w:jc w:val="both"/>
        <w:rPr>
          <w:rFonts w:ascii="Arial" w:hAnsi="Arial" w:cs="Arial"/>
          <w:sz w:val="28"/>
          <w:szCs w:val="28"/>
          <w:rtl/>
        </w:rPr>
      </w:pPr>
    </w:p>
    <w:p w14:paraId="45D2A29A"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הוצג תמליל שיחה על ידי הסנגור, שיחה שהתנהלה בין הנאשם לבין האחר בו האחר מדריך אותו במציאת מיקומו של המטען (שיחה 2712 מיום 7.5.19).</w:t>
      </w:r>
    </w:p>
    <w:p w14:paraId="3CB4CBFB" w14:textId="77777777" w:rsidR="00CD4628" w:rsidRPr="00CD4628" w:rsidRDefault="00CD4628" w:rsidP="00CD4628">
      <w:pPr>
        <w:spacing w:line="360" w:lineRule="auto"/>
        <w:jc w:val="both"/>
        <w:rPr>
          <w:rFonts w:ascii="Arial" w:hAnsi="Arial" w:cs="Arial"/>
          <w:sz w:val="28"/>
          <w:szCs w:val="28"/>
          <w:rtl/>
        </w:rPr>
      </w:pPr>
    </w:p>
    <w:p w14:paraId="7F023472"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יחד עם זאת, עצם העובדה שהאחר לא היה במקום והדריך את הנאשם, סותר את עובדות כתב האישום בהן הודה הנאשם ולפיהן "עובר להגעת הסוכן למקום, בשעה 17:22 או בסמוך לכך, הגיע הנאשם למקום המפגש והטמין , בהוראתו של האחר, בין השיחים, מטען חבלה ובו תערובת נפץ ומשדר אלחוטי בעל שמונה לחצנים במצב לא מחובר, עטופים בשקית בד (להלן: "מטען החבלה"). לאחר שהטמין את מטען החבלה בשטח הפתוח (להלן: "מקום המסתור"), עזב הנאשם את המקום וחבר לאחר אשר המתין לו בתחנת דלק קרובה".</w:t>
      </w:r>
    </w:p>
    <w:p w14:paraId="12A2F892" w14:textId="77777777" w:rsidR="00CD4628" w:rsidRPr="00CD4628" w:rsidRDefault="00CD4628" w:rsidP="00CD4628">
      <w:pPr>
        <w:spacing w:line="360" w:lineRule="auto"/>
        <w:jc w:val="both"/>
        <w:rPr>
          <w:rFonts w:ascii="Arial" w:hAnsi="Arial" w:cs="Arial"/>
          <w:sz w:val="28"/>
          <w:szCs w:val="28"/>
          <w:rtl/>
        </w:rPr>
      </w:pPr>
    </w:p>
    <w:p w14:paraId="1126B5F5" w14:textId="77777777" w:rsidR="00CD4628" w:rsidRPr="00CD4628" w:rsidRDefault="00CD4628" w:rsidP="00CD4628">
      <w:pPr>
        <w:spacing w:line="360" w:lineRule="auto"/>
        <w:jc w:val="both"/>
        <w:rPr>
          <w:rFonts w:ascii="Arial" w:hAnsi="Arial" w:cs="Arial"/>
          <w:b/>
          <w:bCs/>
          <w:sz w:val="28"/>
          <w:szCs w:val="28"/>
          <w:u w:val="single"/>
          <w:rtl/>
        </w:rPr>
      </w:pPr>
      <w:r w:rsidRPr="00CD4628">
        <w:rPr>
          <w:rFonts w:ascii="Arial" w:hAnsi="Arial" w:cs="Arial"/>
          <w:b/>
          <w:bCs/>
          <w:sz w:val="28"/>
          <w:szCs w:val="28"/>
          <w:u w:val="single"/>
          <w:rtl/>
        </w:rPr>
        <w:t xml:space="preserve">הנאשם בדברו האחרון: </w:t>
      </w:r>
    </w:p>
    <w:p w14:paraId="151F4555"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הנאשם סיפר שהוא בן יחיד להורים שסבלו מבעיות התמכרות קשות, נולד בקריז, בחודש שביעי, וקיבל אדולן כפג באמצעות טפטוף לראשו. ילדותו הייתה מורכבת, אמו לא יכלה לגדל אותו,  אביו היה במעגל הפשע ונרקומן וסבתו פרשה חסותה עליו ושימשה לו כאפוטרופוס. הוא גדל במצב כלכלי עגום והיו מקרים בהם גנב אוכל מהמכולת כדי שיוכל לישון שבע. </w:t>
      </w:r>
    </w:p>
    <w:p w14:paraId="6BB392BC"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 xml:space="preserve">לטענתו הוא נעדר גבולות , החל בשימוש  בסמים בגיל 13, בגיל 15 התחיל להשתמש בסמים קשים ובגיל 16-17 הרגיש מה זה קריז. אמו נהרגה כשהיה בן תשע שנים, ואביו לא טרח להגיע להלוויה. בתור ילד הרגיש שיש לו זכות לכעוס ולבעוט בכל דבר ועם השנים חבר לעולם הפשע. המאסרים הפכו להיות של דפוס התנהלות, רצון להיות חלק ממשהו. </w:t>
      </w:r>
    </w:p>
    <w:p w14:paraId="631133BA" w14:textId="77777777" w:rsidR="00CD4628" w:rsidRPr="00CD4628" w:rsidRDefault="00CD4628" w:rsidP="00CD4628">
      <w:pPr>
        <w:spacing w:line="360" w:lineRule="auto"/>
        <w:jc w:val="both"/>
        <w:rPr>
          <w:rFonts w:ascii="Arial" w:hAnsi="Arial" w:cs="Arial"/>
          <w:sz w:val="28"/>
          <w:szCs w:val="28"/>
          <w:rtl/>
        </w:rPr>
      </w:pPr>
    </w:p>
    <w:p w14:paraId="25FA431C"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לטענת הנאשם, היכרותו את אשתו הי</w:t>
      </w:r>
      <w:r w:rsidRPr="00CD4628">
        <w:rPr>
          <w:rFonts w:ascii="Arial" w:hAnsi="Arial" w:cs="Arial" w:hint="cs"/>
          <w:sz w:val="28"/>
          <w:szCs w:val="28"/>
          <w:rtl/>
        </w:rPr>
        <w:t>י</w:t>
      </w:r>
      <w:r w:rsidRPr="00CD4628">
        <w:rPr>
          <w:rFonts w:ascii="Arial" w:hAnsi="Arial" w:cs="Arial"/>
          <w:sz w:val="28"/>
          <w:szCs w:val="28"/>
          <w:rtl/>
        </w:rPr>
        <w:t>תה בבחינת נס עבורו. אשתו הי</w:t>
      </w:r>
      <w:r w:rsidRPr="00CD4628">
        <w:rPr>
          <w:rFonts w:ascii="Arial" w:hAnsi="Arial" w:cs="Arial" w:hint="cs"/>
          <w:sz w:val="28"/>
          <w:szCs w:val="28"/>
          <w:rtl/>
        </w:rPr>
        <w:t>י</w:t>
      </w:r>
      <w:r w:rsidRPr="00CD4628">
        <w:rPr>
          <w:rFonts w:ascii="Arial" w:hAnsi="Arial" w:cs="Arial"/>
          <w:sz w:val="28"/>
          <w:szCs w:val="28"/>
          <w:rtl/>
        </w:rPr>
        <w:t xml:space="preserve">תה אם לתינוק ונולדו להם שלושה ילדים משותפים. הבן הבכור סובל מאפילפסיה ובעיות נפשיות ואשתו סובלת ממספר מחלות, הם פונו מהדירה בה התגוררו בשל מצבם הכלכלי, ואשתו מתגוררת אצל אמה בדירת שני חדרים. במהלך המעצר נפטרה סבתו ששימשה לו כאם. עת יצא לשבעה של סבתו, הבין שהוא אינו רוצה שמשפחתו תעבור את שעבר, ומעוניין לגדוע את זה. הוא התחיל טיפול בשירות המבחן , היה בטיפול זוגי עם אשתו, עבד בחודשים אלה לראשונה בחייו, שיתף פעולה עם שירות המבחן באופן מלא, מסר בדיקות שתן נקיות ונלחם עבור עצמו ועבור משפחתו לחזור לדרך הישר. את העבירה ביצע במאי 2019, בשירות המבחן היה מחודש יוני 2019 ונעצר כששירות המבחן המליץ על ענישה שיקומית. </w:t>
      </w:r>
    </w:p>
    <w:p w14:paraId="0CED492A" w14:textId="77777777" w:rsidR="00CD4628" w:rsidRPr="00CD4628" w:rsidRDefault="00CD4628" w:rsidP="00CD4628">
      <w:pPr>
        <w:spacing w:line="360" w:lineRule="auto"/>
        <w:jc w:val="both"/>
        <w:rPr>
          <w:rFonts w:ascii="Arial" w:hAnsi="Arial" w:cs="Arial"/>
          <w:sz w:val="28"/>
          <w:szCs w:val="28"/>
          <w:rtl/>
        </w:rPr>
      </w:pPr>
    </w:p>
    <w:p w14:paraId="061C8862" w14:textId="77777777" w:rsidR="00CD4628" w:rsidRPr="00CD4628" w:rsidRDefault="00CD4628" w:rsidP="00CD4628">
      <w:pPr>
        <w:spacing w:line="360" w:lineRule="auto"/>
        <w:jc w:val="both"/>
        <w:rPr>
          <w:rFonts w:ascii="Arial" w:hAnsi="Arial" w:cs="Arial"/>
          <w:sz w:val="28"/>
          <w:szCs w:val="28"/>
          <w:rtl/>
        </w:rPr>
      </w:pPr>
      <w:r w:rsidRPr="00CD4628">
        <w:rPr>
          <w:rFonts w:ascii="Arial" w:hAnsi="Arial" w:cs="Arial"/>
          <w:sz w:val="28"/>
          <w:szCs w:val="28"/>
          <w:rtl/>
        </w:rPr>
        <w:t>את העבירה לטענתו לא עשה בשל בצע כסף.</w:t>
      </w:r>
    </w:p>
    <w:p w14:paraId="0FA8CCF4" w14:textId="77777777" w:rsidR="00CD4628" w:rsidRPr="00CD4628" w:rsidRDefault="00CD4628" w:rsidP="00CD4628">
      <w:pPr>
        <w:spacing w:after="160" w:line="259" w:lineRule="auto"/>
        <w:jc w:val="both"/>
        <w:rPr>
          <w:rFonts w:ascii="Arial" w:hAnsi="Arial" w:cs="Arial"/>
          <w:b/>
          <w:bCs/>
          <w:sz w:val="28"/>
          <w:szCs w:val="28"/>
          <w:u w:val="single"/>
          <w:rtl/>
        </w:rPr>
      </w:pPr>
    </w:p>
    <w:p w14:paraId="59CB6CB4" w14:textId="77777777" w:rsidR="00CD4628" w:rsidRPr="00CD4628" w:rsidRDefault="00CD4628" w:rsidP="00CD4628">
      <w:pPr>
        <w:spacing w:after="160" w:line="259" w:lineRule="auto"/>
        <w:jc w:val="both"/>
        <w:rPr>
          <w:rFonts w:ascii="Arial" w:hAnsi="Arial" w:cs="Arial"/>
          <w:sz w:val="28"/>
          <w:szCs w:val="28"/>
          <w:u w:val="double"/>
          <w:rtl/>
        </w:rPr>
      </w:pPr>
      <w:r w:rsidRPr="00CD4628">
        <w:rPr>
          <w:rFonts w:ascii="Arial" w:hAnsi="Arial" w:cs="Arial"/>
          <w:sz w:val="28"/>
          <w:szCs w:val="28"/>
          <w:u w:val="double"/>
          <w:rtl/>
        </w:rPr>
        <w:t>פסיקה שהוגשה על ידי ב"כ הצדדים:</w:t>
      </w:r>
    </w:p>
    <w:p w14:paraId="6C161AD7" w14:textId="77777777" w:rsidR="00CD4628" w:rsidRPr="00CD4628" w:rsidRDefault="008755AD" w:rsidP="00CD4628">
      <w:pPr>
        <w:spacing w:after="160" w:line="360" w:lineRule="auto"/>
        <w:jc w:val="both"/>
        <w:rPr>
          <w:rFonts w:ascii="Arial" w:hAnsi="Arial" w:cs="Arial"/>
          <w:sz w:val="28"/>
          <w:szCs w:val="28"/>
          <w:rtl/>
        </w:rPr>
      </w:pPr>
      <w:hyperlink r:id="rId31" w:history="1">
        <w:r w:rsidRPr="008755AD">
          <w:rPr>
            <w:rFonts w:ascii="Arial" w:hAnsi="Arial" w:cs="Arial"/>
            <w:color w:val="0000FF"/>
            <w:sz w:val="28"/>
            <w:szCs w:val="28"/>
            <w:u w:val="single"/>
            <w:rtl/>
          </w:rPr>
          <w:t>ע"פ 147/21</w:t>
        </w:r>
      </w:hyperlink>
      <w:r w:rsidR="00CD4628" w:rsidRPr="00CD4628">
        <w:rPr>
          <w:rFonts w:ascii="Arial" w:hAnsi="Arial" w:cs="Arial"/>
          <w:sz w:val="28"/>
          <w:szCs w:val="28"/>
          <w:rtl/>
        </w:rPr>
        <w:t xml:space="preserve"> </w:t>
      </w:r>
      <w:r w:rsidR="00CD4628" w:rsidRPr="00CD4628">
        <w:rPr>
          <w:rFonts w:ascii="Arial" w:hAnsi="Arial" w:cs="Arial"/>
          <w:b/>
          <w:bCs/>
          <w:sz w:val="28"/>
          <w:szCs w:val="28"/>
          <w:rtl/>
        </w:rPr>
        <w:t>מדינת ישראל נ' ירין ביטון</w:t>
      </w:r>
      <w:r w:rsidR="00CD4628" w:rsidRPr="00CD4628">
        <w:rPr>
          <w:rFonts w:ascii="Arial" w:hAnsi="Arial" w:cs="Arial"/>
          <w:sz w:val="28"/>
          <w:szCs w:val="28"/>
          <w:rtl/>
        </w:rPr>
        <w:t xml:space="preserve"> נגזרו על המשיב שהורשע בעבירות של רכישת והחזקת נשק 18 חודשי מאסר. בית המשפט העליון העמיד עונשו של המשיב על 36 חודשי מאסר וקבע כי יש להחמיר בענישה בעבירות נשק.</w:t>
      </w:r>
    </w:p>
    <w:p w14:paraId="2710A810" w14:textId="77777777" w:rsidR="00CD4628" w:rsidRPr="00CD4628" w:rsidRDefault="008755AD" w:rsidP="00CD4628">
      <w:pPr>
        <w:spacing w:after="160" w:line="360" w:lineRule="auto"/>
        <w:jc w:val="both"/>
        <w:rPr>
          <w:rFonts w:ascii="Arial" w:hAnsi="Arial" w:cs="Arial"/>
          <w:sz w:val="28"/>
          <w:szCs w:val="28"/>
          <w:rtl/>
        </w:rPr>
      </w:pPr>
      <w:hyperlink r:id="rId32" w:history="1">
        <w:r w:rsidRPr="008755AD">
          <w:rPr>
            <w:rFonts w:ascii="Arial" w:hAnsi="Arial" w:cs="Arial"/>
            <w:color w:val="0000FF"/>
            <w:sz w:val="28"/>
            <w:szCs w:val="28"/>
            <w:u w:val="single"/>
            <w:rtl/>
          </w:rPr>
          <w:t>ע"פ 113/19</w:t>
        </w:r>
      </w:hyperlink>
      <w:r w:rsidR="00CD4628" w:rsidRPr="00CD4628">
        <w:rPr>
          <w:rFonts w:ascii="Arial" w:hAnsi="Arial" w:cs="Arial"/>
          <w:sz w:val="28"/>
          <w:szCs w:val="28"/>
          <w:rtl/>
        </w:rPr>
        <w:t xml:space="preserve"> </w:t>
      </w:r>
      <w:r w:rsidR="00CD4628" w:rsidRPr="00CD4628">
        <w:rPr>
          <w:rFonts w:ascii="Arial" w:hAnsi="Arial" w:cs="Arial"/>
          <w:b/>
          <w:bCs/>
          <w:sz w:val="28"/>
          <w:szCs w:val="28"/>
          <w:rtl/>
        </w:rPr>
        <w:t>שמואל יעקב נ' מדינת ישראל</w:t>
      </w:r>
      <w:r w:rsidR="00CD4628" w:rsidRPr="00CD4628">
        <w:rPr>
          <w:rFonts w:ascii="Arial" w:hAnsi="Arial" w:cs="Arial"/>
          <w:sz w:val="28"/>
          <w:szCs w:val="28"/>
          <w:rtl/>
        </w:rPr>
        <w:t xml:space="preserve"> בו הורשע המערער בעבירה של החזקת נשק, ארבע עבירות איומים והפרעה לשוטר במילוי תפקידו ונגזרו עליו 32 חודשי מאסר בפועל.</w:t>
      </w:r>
    </w:p>
    <w:p w14:paraId="450C2E53" w14:textId="77777777" w:rsidR="00CD4628" w:rsidRPr="00CD4628" w:rsidRDefault="008755AD" w:rsidP="00CD4628">
      <w:pPr>
        <w:spacing w:after="160" w:line="360" w:lineRule="auto"/>
        <w:jc w:val="both"/>
        <w:rPr>
          <w:rFonts w:ascii="Arial" w:hAnsi="Arial" w:cs="Arial"/>
          <w:sz w:val="28"/>
          <w:szCs w:val="28"/>
          <w:rtl/>
        </w:rPr>
      </w:pPr>
      <w:hyperlink r:id="rId33" w:history="1">
        <w:r w:rsidRPr="008755AD">
          <w:rPr>
            <w:rFonts w:ascii="Arial" w:hAnsi="Arial" w:cs="Arial"/>
            <w:color w:val="0000FF"/>
            <w:sz w:val="28"/>
            <w:szCs w:val="28"/>
            <w:u w:val="single"/>
            <w:rtl/>
          </w:rPr>
          <w:t>ע"פ 315/20</w:t>
        </w:r>
      </w:hyperlink>
      <w:r w:rsidR="00CD4628" w:rsidRPr="00CD4628">
        <w:rPr>
          <w:rFonts w:ascii="Arial" w:hAnsi="Arial" w:cs="Arial"/>
          <w:sz w:val="28"/>
          <w:szCs w:val="28"/>
          <w:rtl/>
        </w:rPr>
        <w:t xml:space="preserve"> </w:t>
      </w:r>
      <w:r w:rsidR="00CD4628" w:rsidRPr="00CD4628">
        <w:rPr>
          <w:rFonts w:ascii="Arial" w:hAnsi="Arial" w:cs="Arial"/>
          <w:b/>
          <w:bCs/>
          <w:sz w:val="28"/>
          <w:szCs w:val="28"/>
          <w:rtl/>
        </w:rPr>
        <w:t xml:space="preserve">אבו טאה ואח' נ' מדינת ישראל </w:t>
      </w:r>
      <w:r w:rsidR="00CD4628" w:rsidRPr="00CD4628">
        <w:rPr>
          <w:rFonts w:ascii="Arial" w:hAnsi="Arial" w:cs="Arial"/>
          <w:sz w:val="28"/>
          <w:szCs w:val="28"/>
          <w:rtl/>
        </w:rPr>
        <w:t>בו הורשע המערער 1 בעבירה של עסקה אחרת בנשק בצוותא והמערער 2 בסיוע לעסקה אחרת בנשק בצוותא וסחר בנשק בצוותא. על המערער 1 הושתו 36 חודשי מאסר בפועל ועל המערער 2 45 חודשי מאסר בפועל. ערעוריהם נדחו.</w:t>
      </w:r>
    </w:p>
    <w:p w14:paraId="7F5A0F0C" w14:textId="77777777" w:rsidR="00CD4628" w:rsidRPr="00CD4628" w:rsidRDefault="008755AD" w:rsidP="00CD4628">
      <w:pPr>
        <w:spacing w:after="160" w:line="360" w:lineRule="auto"/>
        <w:jc w:val="both"/>
        <w:rPr>
          <w:rFonts w:ascii="Arial" w:hAnsi="Arial" w:cs="Arial"/>
          <w:sz w:val="28"/>
          <w:szCs w:val="28"/>
          <w:rtl/>
        </w:rPr>
      </w:pPr>
      <w:hyperlink r:id="rId34" w:history="1">
        <w:r w:rsidRPr="008755AD">
          <w:rPr>
            <w:rFonts w:ascii="Arial" w:hAnsi="Arial" w:cs="Arial"/>
            <w:color w:val="0000FF"/>
            <w:sz w:val="28"/>
            <w:szCs w:val="28"/>
            <w:u w:val="single"/>
            <w:rtl/>
          </w:rPr>
          <w:t>ע"פ 5522/20</w:t>
        </w:r>
      </w:hyperlink>
      <w:r w:rsidR="00CD4628" w:rsidRPr="00CD4628">
        <w:rPr>
          <w:rFonts w:ascii="Arial" w:hAnsi="Arial" w:cs="Arial"/>
          <w:sz w:val="28"/>
          <w:szCs w:val="28"/>
          <w:rtl/>
        </w:rPr>
        <w:t xml:space="preserve"> </w:t>
      </w:r>
      <w:r w:rsidR="00CD4628" w:rsidRPr="00CD4628">
        <w:rPr>
          <w:rFonts w:ascii="Arial" w:hAnsi="Arial" w:cs="Arial"/>
          <w:b/>
          <w:bCs/>
          <w:sz w:val="28"/>
          <w:szCs w:val="28"/>
          <w:rtl/>
        </w:rPr>
        <w:t xml:space="preserve">חלייחל נ' מדינת ישראל </w:t>
      </w:r>
      <w:r w:rsidR="00CD4628" w:rsidRPr="00CD4628">
        <w:rPr>
          <w:rFonts w:ascii="Arial" w:hAnsi="Arial" w:cs="Arial"/>
          <w:sz w:val="28"/>
          <w:szCs w:val="28"/>
          <w:rtl/>
        </w:rPr>
        <w:t>הורשע המערער בביצוע עבירות בנשק ונגזרו עליו 36 חודשי מאסר.</w:t>
      </w:r>
    </w:p>
    <w:p w14:paraId="3D004AF4"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כן הוגש גזר דין שניתן בפרשה זו  במסגרתו הורשע נאשם 4 חנן ידגרוב בהסדר טיעון בעבירה של סחר בנשק ונגזרו עליו בגין עבירה זו 6 שנות מאסר. לנאשם זה היה עבר פלילי מכביד והוא ריצה תקופות מאסר ממושכות בגין עבירות דומות, ממאסרו האחרון השתחרר שנה קודם לביצוע העבירה ומע"ת היה תלוי ועומד כנגדו.</w:t>
      </w:r>
    </w:p>
    <w:p w14:paraId="4F483567" w14:textId="77777777" w:rsidR="00CD4628" w:rsidRPr="00CD4628" w:rsidRDefault="008755AD" w:rsidP="00CD4628">
      <w:pPr>
        <w:spacing w:after="160" w:line="360" w:lineRule="auto"/>
        <w:jc w:val="both"/>
        <w:rPr>
          <w:rFonts w:ascii="Arial" w:hAnsi="Arial" w:cs="Arial"/>
          <w:sz w:val="28"/>
          <w:szCs w:val="28"/>
          <w:rtl/>
        </w:rPr>
      </w:pPr>
      <w:hyperlink r:id="rId35" w:history="1">
        <w:r w:rsidRPr="008755AD">
          <w:rPr>
            <w:rFonts w:ascii="Arial" w:hAnsi="Arial" w:cs="Arial"/>
            <w:color w:val="0000FF"/>
            <w:sz w:val="28"/>
            <w:szCs w:val="28"/>
            <w:u w:val="single"/>
            <w:rtl/>
          </w:rPr>
          <w:t>ת.פ. 52416-06-20</w:t>
        </w:r>
      </w:hyperlink>
      <w:r w:rsidR="00CD4628" w:rsidRPr="00CD4628">
        <w:rPr>
          <w:rFonts w:ascii="Arial" w:hAnsi="Arial" w:cs="Arial"/>
          <w:sz w:val="28"/>
          <w:szCs w:val="28"/>
          <w:rtl/>
        </w:rPr>
        <w:t xml:space="preserve"> (מחוזי מרכז) </w:t>
      </w:r>
      <w:r w:rsidR="00CD4628" w:rsidRPr="00CD4628">
        <w:rPr>
          <w:rFonts w:ascii="Arial" w:hAnsi="Arial" w:cs="Arial"/>
          <w:b/>
          <w:bCs/>
          <w:sz w:val="28"/>
          <w:szCs w:val="28"/>
          <w:rtl/>
        </w:rPr>
        <w:t xml:space="preserve">מדינת ישראל נ' מתאני </w:t>
      </w:r>
      <w:r w:rsidR="00CD4628" w:rsidRPr="00CD4628">
        <w:rPr>
          <w:rFonts w:ascii="Arial" w:hAnsi="Arial" w:cs="Arial"/>
          <w:sz w:val="28"/>
          <w:szCs w:val="28"/>
          <w:rtl/>
        </w:rPr>
        <w:t>בו הורשע הנאשם בעבירה של נשיאת נשק (אקדח) ותחמושת ונדון ל- 23 חודשי מאסר בפועל. בתיק זה עתרה ב"כ המאשימה לקביעת מתחם הנע בין 18 ל – 40 חודשי מאסר בשל העובדה שמדובר באקדח תוך ציון שמדובר בעבירה חמורה פחות מעבירה של נשיאת נשק שהוא תת מקלע.</w:t>
      </w:r>
    </w:p>
    <w:p w14:paraId="20358431" w14:textId="77777777" w:rsidR="00CD4628" w:rsidRPr="00CD4628" w:rsidRDefault="008755AD" w:rsidP="00CD4628">
      <w:pPr>
        <w:spacing w:after="160" w:line="360" w:lineRule="auto"/>
        <w:jc w:val="both"/>
        <w:rPr>
          <w:rFonts w:ascii="Arial" w:hAnsi="Arial" w:cs="Arial"/>
          <w:sz w:val="28"/>
          <w:szCs w:val="28"/>
          <w:rtl/>
        </w:rPr>
      </w:pPr>
      <w:hyperlink r:id="rId36" w:history="1">
        <w:r w:rsidRPr="008755AD">
          <w:rPr>
            <w:rFonts w:ascii="Arial" w:hAnsi="Arial" w:cs="Arial"/>
            <w:color w:val="0000FF"/>
            <w:sz w:val="28"/>
            <w:szCs w:val="28"/>
            <w:u w:val="single"/>
            <w:rtl/>
          </w:rPr>
          <w:t>ע"פ 6210/13</w:t>
        </w:r>
      </w:hyperlink>
      <w:r w:rsidR="00CD4628" w:rsidRPr="00CD4628">
        <w:rPr>
          <w:rFonts w:ascii="Arial" w:hAnsi="Arial" w:cs="Arial"/>
          <w:sz w:val="28"/>
          <w:szCs w:val="28"/>
          <w:rtl/>
        </w:rPr>
        <w:t xml:space="preserve"> </w:t>
      </w:r>
      <w:r w:rsidR="00CD4628" w:rsidRPr="00CD4628">
        <w:rPr>
          <w:rFonts w:ascii="Arial" w:hAnsi="Arial" w:cs="Arial"/>
          <w:b/>
          <w:bCs/>
          <w:sz w:val="28"/>
          <w:szCs w:val="28"/>
          <w:rtl/>
        </w:rPr>
        <w:t>אסף גונן נ' מדינת ישראל</w:t>
      </w:r>
      <w:r w:rsidR="00CD4628" w:rsidRPr="00CD4628">
        <w:rPr>
          <w:rFonts w:ascii="Arial" w:hAnsi="Arial" w:cs="Arial"/>
          <w:sz w:val="28"/>
          <w:szCs w:val="28"/>
          <w:rtl/>
        </w:rPr>
        <w:t xml:space="preserve"> בו הורשע המערער בשתי עבירות של נשיאה והובלה של נשק ונדון ל – 30 חודשי מאסר. יש להדגיש שבתיק זה נערך הסדר טיעון במסגרתו הגבילה עצמה המאשימה באופן שתעתור לענישה מקסימלית של 36 חודשי מאסר.</w:t>
      </w:r>
    </w:p>
    <w:p w14:paraId="401D0220" w14:textId="77777777" w:rsidR="00CD4628" w:rsidRPr="00CD4628" w:rsidRDefault="008755AD" w:rsidP="00CD4628">
      <w:pPr>
        <w:spacing w:after="160" w:line="360" w:lineRule="auto"/>
        <w:jc w:val="both"/>
        <w:rPr>
          <w:rFonts w:ascii="Arial" w:hAnsi="Arial" w:cs="Arial"/>
          <w:sz w:val="28"/>
          <w:szCs w:val="28"/>
          <w:rtl/>
        </w:rPr>
      </w:pPr>
      <w:hyperlink r:id="rId37" w:history="1">
        <w:r w:rsidRPr="008755AD">
          <w:rPr>
            <w:rFonts w:ascii="Arial" w:hAnsi="Arial" w:cs="Arial"/>
            <w:color w:val="0000FF"/>
            <w:sz w:val="28"/>
            <w:szCs w:val="28"/>
            <w:u w:val="single"/>
            <w:rtl/>
          </w:rPr>
          <w:t>ע"פ 5336/13</w:t>
        </w:r>
      </w:hyperlink>
      <w:r w:rsidR="00CD4628" w:rsidRPr="00CD4628">
        <w:rPr>
          <w:rFonts w:ascii="Arial" w:hAnsi="Arial" w:cs="Arial"/>
          <w:sz w:val="28"/>
          <w:szCs w:val="28"/>
          <w:rtl/>
        </w:rPr>
        <w:t xml:space="preserve"> </w:t>
      </w:r>
      <w:r w:rsidR="00CD4628" w:rsidRPr="00CD4628">
        <w:rPr>
          <w:rFonts w:ascii="Arial" w:hAnsi="Arial" w:cs="Arial"/>
          <w:b/>
          <w:bCs/>
          <w:sz w:val="28"/>
          <w:szCs w:val="28"/>
          <w:rtl/>
        </w:rPr>
        <w:t xml:space="preserve">אברהם צדוק נ' מדינת ישראל </w:t>
      </w:r>
      <w:r w:rsidR="00CD4628" w:rsidRPr="00CD4628">
        <w:rPr>
          <w:rFonts w:ascii="Arial" w:hAnsi="Arial" w:cs="Arial"/>
          <w:sz w:val="28"/>
          <w:szCs w:val="28"/>
          <w:rtl/>
        </w:rPr>
        <w:t>המערער הורשע בעבירה של נשיאת והובלת נשק (מטעני חבלה) ונדון ל – 20 חודשי מאסר. גם במקרה זה הגבילה עצמה המאשימה לעתירה של 30 חודשי מאסר כגבול עליון וניתן משקל ממשי לנסיבותיו האישיות של המערער , לתהליך השיקום אותו עבר ולהמלצת שירות המבחן בעניינו. הערעור נדחה.</w:t>
      </w:r>
    </w:p>
    <w:p w14:paraId="33E7538D" w14:textId="77777777" w:rsidR="00CD4628" w:rsidRPr="00CD4628" w:rsidRDefault="008755AD" w:rsidP="00CD4628">
      <w:pPr>
        <w:spacing w:after="160" w:line="360" w:lineRule="auto"/>
        <w:jc w:val="both"/>
        <w:rPr>
          <w:rFonts w:ascii="Arial" w:hAnsi="Arial" w:cs="Arial"/>
          <w:sz w:val="28"/>
          <w:szCs w:val="28"/>
          <w:rtl/>
        </w:rPr>
      </w:pPr>
      <w:hyperlink r:id="rId38" w:history="1">
        <w:r w:rsidRPr="008755AD">
          <w:rPr>
            <w:rFonts w:ascii="Arial" w:hAnsi="Arial" w:cs="Arial"/>
            <w:color w:val="0000FF"/>
            <w:sz w:val="28"/>
            <w:szCs w:val="28"/>
            <w:u w:val="single"/>
            <w:rtl/>
          </w:rPr>
          <w:t>ע"פ 8017/20</w:t>
        </w:r>
      </w:hyperlink>
      <w:r w:rsidR="00CD4628" w:rsidRPr="00CD4628">
        <w:rPr>
          <w:rFonts w:ascii="Arial" w:hAnsi="Arial" w:cs="Arial"/>
          <w:sz w:val="28"/>
          <w:szCs w:val="28"/>
          <w:rtl/>
        </w:rPr>
        <w:t xml:space="preserve"> </w:t>
      </w:r>
      <w:r w:rsidR="00CD4628" w:rsidRPr="00CD4628">
        <w:rPr>
          <w:rFonts w:ascii="Arial" w:hAnsi="Arial" w:cs="Arial"/>
          <w:b/>
          <w:bCs/>
          <w:sz w:val="28"/>
          <w:szCs w:val="28"/>
          <w:rtl/>
        </w:rPr>
        <w:t xml:space="preserve">מדינת ישראל נ' פאדי גריפאת </w:t>
      </w:r>
      <w:r w:rsidR="00CD4628" w:rsidRPr="00CD4628">
        <w:rPr>
          <w:rFonts w:ascii="Arial" w:hAnsi="Arial" w:cs="Arial"/>
          <w:sz w:val="28"/>
          <w:szCs w:val="28"/>
          <w:rtl/>
        </w:rPr>
        <w:t>המשיב הורשע בהחזקה, הובלה ונשיאה של נשק ונדון ל – 7 חודשי מאסר בפועל. אך בשל ההלכה ולפיה ערכאת הערעור אינה ממצה את הדין, הועמד עונשו של המשיב על 14 חודשי מאסר בפועל.</w:t>
      </w:r>
    </w:p>
    <w:p w14:paraId="4C7D1E77" w14:textId="77777777" w:rsidR="00CD4628" w:rsidRPr="00CD4628" w:rsidRDefault="008755AD" w:rsidP="00CD4628">
      <w:pPr>
        <w:spacing w:after="160" w:line="360" w:lineRule="auto"/>
        <w:jc w:val="both"/>
        <w:rPr>
          <w:rFonts w:ascii="Arial" w:hAnsi="Arial" w:cs="Arial"/>
          <w:sz w:val="28"/>
          <w:szCs w:val="28"/>
          <w:rtl/>
        </w:rPr>
      </w:pPr>
      <w:hyperlink r:id="rId39" w:history="1">
        <w:r w:rsidRPr="008755AD">
          <w:rPr>
            <w:rFonts w:ascii="Arial" w:hAnsi="Arial" w:cs="Arial"/>
            <w:color w:val="0000FF"/>
            <w:sz w:val="28"/>
            <w:szCs w:val="28"/>
            <w:u w:val="single"/>
            <w:rtl/>
          </w:rPr>
          <w:t>ת.פ. 3510-06-15</w:t>
        </w:r>
      </w:hyperlink>
      <w:r w:rsidR="00CD4628" w:rsidRPr="00CD4628">
        <w:rPr>
          <w:rFonts w:ascii="Arial" w:hAnsi="Arial" w:cs="Arial"/>
          <w:sz w:val="28"/>
          <w:szCs w:val="28"/>
          <w:rtl/>
        </w:rPr>
        <w:t xml:space="preserve"> (מחוזי ירושלים)</w:t>
      </w:r>
      <w:r w:rsidR="00CD4628" w:rsidRPr="00CD4628">
        <w:rPr>
          <w:rFonts w:ascii="Arial" w:hAnsi="Arial" w:cs="Arial"/>
          <w:b/>
          <w:bCs/>
          <w:sz w:val="28"/>
          <w:szCs w:val="28"/>
          <w:rtl/>
        </w:rPr>
        <w:t xml:space="preserve"> מדינת ישראל נ' מיכאל אטדגי </w:t>
      </w:r>
      <w:r w:rsidR="00CD4628" w:rsidRPr="00CD4628">
        <w:rPr>
          <w:rFonts w:ascii="Arial" w:hAnsi="Arial" w:cs="Arial"/>
          <w:sz w:val="28"/>
          <w:szCs w:val="28"/>
          <w:rtl/>
        </w:rPr>
        <w:t>הורשע הנאשם בעבירה של נשיאה או הובלה של נשק ונדון ל – 16 חודשי מאסר.</w:t>
      </w:r>
    </w:p>
    <w:p w14:paraId="770697B0" w14:textId="77777777" w:rsidR="00CD4628" w:rsidRPr="00CD4628" w:rsidRDefault="00CD4628" w:rsidP="00CD4628">
      <w:pPr>
        <w:spacing w:after="160" w:line="360" w:lineRule="auto"/>
        <w:jc w:val="both"/>
        <w:rPr>
          <w:rFonts w:ascii="Arial" w:hAnsi="Arial" w:cs="Arial"/>
          <w:sz w:val="28"/>
          <w:szCs w:val="28"/>
          <w:rtl/>
        </w:rPr>
      </w:pPr>
    </w:p>
    <w:p w14:paraId="52F640AF"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כן הוגשו גזרי הדין של נאשמים נוספים בפרשה זו, שהושגו במסגרת הסדרי טיעון, כמפורט להלן:</w:t>
      </w:r>
    </w:p>
    <w:p w14:paraId="4C1C5C41"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נאשם 7 – יעקב יונס – הורשע בעבירה של סיוע לנשיאת נשק ואביזר ונגזרו עליו 12 חודשי מאסר.</w:t>
      </w:r>
    </w:p>
    <w:p w14:paraId="770C0BEB"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נאשם 5 – נביל אגבריה – הורשע בסיוע לסחר בסם מסוכן וסיוע לסחר בנשק ונדון ל – 24 חודשי מאסר בפועל. הודגש כי מדובר באדם מבוגר, נעדר עבר פלילי ובעל מצב רפואי מורכב.</w:t>
      </w:r>
    </w:p>
    <w:p w14:paraId="24321C33"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הנאשם צחי נשיא – הורשע בסיוע לנשיאת נשק- המאשימה הגבילה עצמה בטיעון לענישה של 15 חודשי מאסר בפועל. על הנאשם הושתו 7.5 חודשי מאסר בפועל בגין עבירה זו.</w:t>
      </w:r>
    </w:p>
    <w:p w14:paraId="3170A4AC" w14:textId="77777777" w:rsidR="00CD4628" w:rsidRPr="00CD4628" w:rsidRDefault="00CD4628" w:rsidP="00CD4628">
      <w:pPr>
        <w:spacing w:after="160" w:line="360" w:lineRule="auto"/>
        <w:jc w:val="both"/>
        <w:rPr>
          <w:rFonts w:ascii="Arial" w:hAnsi="Arial" w:cs="Arial"/>
          <w:sz w:val="28"/>
          <w:szCs w:val="28"/>
          <w:rtl/>
        </w:rPr>
      </w:pPr>
    </w:p>
    <w:p w14:paraId="496A33A6" w14:textId="77777777" w:rsidR="00CD4628" w:rsidRPr="00CD4628" w:rsidRDefault="00CD4628" w:rsidP="00CD4628">
      <w:pPr>
        <w:spacing w:after="160" w:line="360" w:lineRule="auto"/>
        <w:jc w:val="both"/>
        <w:rPr>
          <w:rFonts w:ascii="Arial" w:hAnsi="Arial" w:cs="Arial"/>
          <w:b/>
          <w:bCs/>
          <w:sz w:val="28"/>
          <w:szCs w:val="28"/>
          <w:u w:val="single"/>
        </w:rPr>
      </w:pPr>
      <w:r w:rsidRPr="00CD4628">
        <w:rPr>
          <w:rFonts w:ascii="Arial" w:hAnsi="Arial" w:cs="Arial"/>
          <w:b/>
          <w:bCs/>
          <w:sz w:val="28"/>
          <w:szCs w:val="28"/>
          <w:u w:val="single"/>
          <w:rtl/>
        </w:rPr>
        <w:t>דיון והכרעה</w:t>
      </w:r>
      <w:r w:rsidRPr="00CD4628">
        <w:rPr>
          <w:rFonts w:ascii="Arial" w:hAnsi="Arial" w:cs="Arial"/>
          <w:b/>
          <w:bCs/>
          <w:sz w:val="28"/>
          <w:szCs w:val="28"/>
          <w:u w:val="single"/>
        </w:rPr>
        <w:t>:</w:t>
      </w:r>
    </w:p>
    <w:p w14:paraId="0A4C46FE"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ב</w:t>
      </w:r>
      <w:hyperlink r:id="rId40" w:history="1">
        <w:r w:rsidR="008755AD" w:rsidRPr="008755AD">
          <w:rPr>
            <w:rFonts w:ascii="Arial" w:hAnsi="Arial" w:cs="Arial"/>
            <w:color w:val="0000FF"/>
            <w:sz w:val="28"/>
            <w:szCs w:val="28"/>
            <w:u w:val="single"/>
            <w:rtl/>
          </w:rPr>
          <w:t>ע"פ 147/21</w:t>
        </w:r>
      </w:hyperlink>
      <w:r w:rsidRPr="00CD4628">
        <w:rPr>
          <w:rFonts w:ascii="Arial" w:hAnsi="Arial" w:cs="Arial"/>
          <w:sz w:val="28"/>
          <w:szCs w:val="28"/>
          <w:rtl/>
        </w:rPr>
        <w:t xml:space="preserve"> </w:t>
      </w:r>
      <w:r w:rsidRPr="00CD4628">
        <w:rPr>
          <w:rFonts w:ascii="Arial" w:hAnsi="Arial" w:cs="Arial"/>
          <w:b/>
          <w:bCs/>
          <w:sz w:val="28"/>
          <w:szCs w:val="28"/>
          <w:rtl/>
        </w:rPr>
        <w:t xml:space="preserve">מדינת ישראל נ' ירין ביטון </w:t>
      </w:r>
      <w:r w:rsidRPr="00CD4628">
        <w:rPr>
          <w:rFonts w:ascii="Arial" w:hAnsi="Arial" w:cs="Arial"/>
          <w:sz w:val="28"/>
          <w:szCs w:val="28"/>
          <w:rtl/>
        </w:rPr>
        <w:t>נפסק על ידי כבוד השופט שטיין בהאי לישנא:</w:t>
      </w:r>
    </w:p>
    <w:p w14:paraId="2B4C3007"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r w:rsidRPr="00CD4628">
        <w:rPr>
          <w:rFonts w:ascii="Arial" w:hAnsi="Arial" w:cs="Arial"/>
          <w:spacing w:val="10"/>
          <w:sz w:val="28"/>
          <w:szCs w:val="28"/>
          <w:rtl/>
        </w:rPr>
        <w:tab/>
        <w:t xml:space="preserve">" 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...על מעשי הכנה כאלה נענשים בחומרה, ואין זה מקרי שעצם הרכישה או ההחזקה של כלי נשק בלא רשות על פי דין להחזקתו גוררת אחריה עונש מרבי של שבע שנות מאסר, כאמור </w:t>
      </w:r>
      <w:hyperlink r:id="rId41" w:history="1">
        <w:r w:rsidR="00923973" w:rsidRPr="00923973">
          <w:rPr>
            <w:rStyle w:val="Hyperlink"/>
            <w:rFonts w:ascii="Arial" w:hAnsi="Arial" w:cs="Arial"/>
            <w:spacing w:val="10"/>
            <w:sz w:val="28"/>
            <w:szCs w:val="28"/>
            <w:rtl/>
          </w:rPr>
          <w:t>בסעיף 144(א)</w:t>
        </w:r>
      </w:hyperlink>
      <w:r w:rsidRPr="00CD4628">
        <w:rPr>
          <w:rFonts w:ascii="Arial" w:hAnsi="Arial" w:cs="Arial"/>
          <w:spacing w:val="10"/>
          <w:sz w:val="28"/>
          <w:szCs w:val="28"/>
          <w:rtl/>
        </w:rPr>
        <w:t xml:space="preserve"> ל</w:t>
      </w:r>
      <w:hyperlink r:id="rId42" w:history="1">
        <w:r w:rsidR="008755AD" w:rsidRPr="008755AD">
          <w:rPr>
            <w:rFonts w:ascii="Arial" w:hAnsi="Arial" w:cs="Arial"/>
            <w:color w:val="0000FF"/>
            <w:spacing w:val="10"/>
            <w:sz w:val="28"/>
            <w:szCs w:val="28"/>
            <w:u w:val="single"/>
            <w:rtl/>
          </w:rPr>
          <w:t>חוק העונשין</w:t>
        </w:r>
      </w:hyperlink>
      <w:r w:rsidRPr="00CD4628">
        <w:rPr>
          <w:rFonts w:ascii="Arial" w:hAnsi="Arial" w:cs="Arial"/>
          <w:spacing w:val="10"/>
          <w:sz w:val="28"/>
          <w:szCs w:val="28"/>
          <w:rtl/>
        </w:rPr>
        <w:t xml:space="preserve">.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w:t>
      </w:r>
      <w:r w:rsidRPr="00CD4628">
        <w:rPr>
          <w:rFonts w:ascii="Arial" w:hAnsi="Arial" w:cs="Arial"/>
          <w:b/>
          <w:sz w:val="28"/>
          <w:szCs w:val="28"/>
          <w:rtl/>
        </w:rPr>
        <w:t>י' אלרון</w:t>
      </w:r>
      <w:r w:rsidRPr="00CD4628">
        <w:rPr>
          <w:rFonts w:ascii="Arial" w:hAnsi="Arial" w:cs="Arial"/>
          <w:spacing w:val="10"/>
          <w:sz w:val="28"/>
          <w:szCs w:val="28"/>
          <w:rtl/>
        </w:rPr>
        <w:t xml:space="preserve"> ב</w:t>
      </w:r>
      <w:hyperlink r:id="rId43" w:history="1">
        <w:r w:rsidR="008755AD" w:rsidRPr="008755AD">
          <w:rPr>
            <w:rFonts w:ascii="Arial" w:hAnsi="Arial" w:cs="Arial"/>
            <w:color w:val="0000FF"/>
            <w:spacing w:val="10"/>
            <w:sz w:val="28"/>
            <w:szCs w:val="28"/>
            <w:u w:val="single"/>
            <w:rtl/>
          </w:rPr>
          <w:t>ע"פ 4406/19</w:t>
        </w:r>
      </w:hyperlink>
      <w:r w:rsidRPr="00CD4628">
        <w:rPr>
          <w:rFonts w:ascii="Arial" w:hAnsi="Arial" w:cs="Arial"/>
          <w:spacing w:val="10"/>
          <w:sz w:val="28"/>
          <w:szCs w:val="28"/>
          <w:rtl/>
        </w:rPr>
        <w:t xml:space="preserve"> </w:t>
      </w:r>
      <w:r w:rsidRPr="00CD4628">
        <w:rPr>
          <w:rFonts w:ascii="Arial" w:hAnsi="Arial" w:cs="Arial"/>
          <w:b/>
          <w:sz w:val="28"/>
          <w:szCs w:val="28"/>
          <w:rtl/>
        </w:rPr>
        <w:t xml:space="preserve">מדינת ישראל נ' סובח </w:t>
      </w:r>
      <w:r w:rsidRPr="00CD4628">
        <w:rPr>
          <w:rFonts w:ascii="Arial" w:hAnsi="Arial" w:cs="Arial"/>
          <w:sz w:val="28"/>
          <w:szCs w:val="28"/>
          <w:rtl/>
        </w:rPr>
        <w:t xml:space="preserve">[פורסם בנבו] </w:t>
      </w:r>
      <w:r w:rsidRPr="00CD4628">
        <w:rPr>
          <w:rFonts w:ascii="Arial" w:hAnsi="Arial" w:cs="Arial"/>
          <w:spacing w:val="10"/>
          <w:sz w:val="28"/>
          <w:szCs w:val="28"/>
          <w:rtl/>
        </w:rPr>
        <w:t xml:space="preserve">(5.11.2019) (להלן: עניין </w:t>
      </w:r>
      <w:r w:rsidRPr="00CD4628">
        <w:rPr>
          <w:rFonts w:ascii="Arial" w:hAnsi="Arial" w:cs="Arial"/>
          <w:b/>
          <w:sz w:val="28"/>
          <w:szCs w:val="28"/>
          <w:rtl/>
        </w:rPr>
        <w:t>סובח</w:t>
      </w:r>
      <w:r w:rsidRPr="00CD4628">
        <w:rPr>
          <w:rFonts w:ascii="Arial" w:hAnsi="Arial" w:cs="Arial"/>
          <w:spacing w:val="10"/>
          <w:sz w:val="28"/>
          <w:szCs w:val="28"/>
          <w:rtl/>
        </w:rPr>
        <w:t xml:space="preserve">)). </w:t>
      </w:r>
    </w:p>
    <w:p w14:paraId="24DB4766"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r w:rsidRPr="00CD4628">
        <w:rPr>
          <w:rFonts w:ascii="Arial" w:hAnsi="Arial" w:cs="Arial"/>
          <w:spacing w:val="10"/>
          <w:sz w:val="28"/>
          <w:szCs w:val="28"/>
          <w:rtl/>
        </w:rPr>
        <w:tab/>
        <w:t xml:space="preserve">גזר הדין קמא אף עומד בסתירה למדיניות ההחמרה עם עברייני נשק לסוגיהם, אשר נקוטה בידינו. הטלת עונשים חמורים ומרתיעים על עברייני נשק היא עיקר תרומתם של בתי המשפט למיגור התופעה ולהרחקת העבריין עם האקדח משגרת חייהם של אזרחי מדינה שומרי חוק. מדיניות זו באה לידי ביטוי בשורה ארוכה של פסקי דין. השופט </w:t>
      </w:r>
      <w:r w:rsidRPr="00CD4628">
        <w:rPr>
          <w:rFonts w:ascii="Arial" w:hAnsi="Arial" w:cs="Arial"/>
          <w:b/>
          <w:sz w:val="28"/>
          <w:szCs w:val="28"/>
          <w:rtl/>
        </w:rPr>
        <w:t>מ' מזוז</w:t>
      </w:r>
      <w:r w:rsidRPr="00CD4628">
        <w:rPr>
          <w:rFonts w:ascii="Arial" w:hAnsi="Arial" w:cs="Arial"/>
          <w:spacing w:val="10"/>
          <w:sz w:val="28"/>
          <w:szCs w:val="28"/>
          <w:rtl/>
        </w:rPr>
        <w:t xml:space="preserve"> הטיב לתארה בעניין </w:t>
      </w:r>
      <w:r w:rsidRPr="00CD4628">
        <w:rPr>
          <w:rFonts w:ascii="Arial" w:hAnsi="Arial" w:cs="Arial"/>
          <w:b/>
          <w:sz w:val="28"/>
          <w:szCs w:val="28"/>
          <w:rtl/>
        </w:rPr>
        <w:t>סובח</w:t>
      </w:r>
      <w:r w:rsidRPr="00CD4628">
        <w:rPr>
          <w:rFonts w:ascii="Arial" w:hAnsi="Arial" w:cs="Arial"/>
          <w:spacing w:val="10"/>
          <w:sz w:val="28"/>
          <w:szCs w:val="28"/>
          <w:rtl/>
        </w:rPr>
        <w:t>, במילים אלו:</w:t>
      </w:r>
    </w:p>
    <w:p w14:paraId="0B4ED924"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p>
    <w:p w14:paraId="6AECFFAF" w14:textId="77777777" w:rsidR="00CD4628" w:rsidRPr="00CD4628" w:rsidRDefault="00CD4628" w:rsidP="00CD4628">
      <w:pPr>
        <w:overflowPunct w:val="0"/>
        <w:autoSpaceDE w:val="0"/>
        <w:autoSpaceDN w:val="0"/>
        <w:adjustRightInd w:val="0"/>
        <w:ind w:left="1642" w:right="1282"/>
        <w:jc w:val="both"/>
        <w:textAlignment w:val="baseline"/>
        <w:rPr>
          <w:rFonts w:ascii="Arial" w:hAnsi="Arial" w:cs="Arial"/>
          <w:spacing w:val="10"/>
          <w:sz w:val="28"/>
          <w:szCs w:val="28"/>
          <w:rtl/>
        </w:rPr>
      </w:pPr>
      <w:r w:rsidRPr="00CD4628">
        <w:rPr>
          <w:rFonts w:ascii="Arial" w:hAnsi="Arial" w:cs="Arial"/>
          <w:spacing w:val="10"/>
          <w:sz w:val="28"/>
          <w:szCs w:val="28"/>
          <w:rtl/>
        </w:rPr>
        <w:t xml:space="preserve">"המאבק בתופעות האלימות החמורות בחברה הישראלית בהן נעשה שימוש בנשק מחייב, מעבר למאמץ "לשים יד" על כלי הנשק הבלתי חוקיים הרבים שבידי הציבור, גם </w:t>
      </w:r>
      <w:r w:rsidRPr="00CD4628">
        <w:rPr>
          <w:rFonts w:ascii="Arial" w:hAnsi="Arial" w:cs="Arial"/>
          <w:b/>
          <w:sz w:val="28"/>
          <w:szCs w:val="28"/>
          <w:rtl/>
        </w:rPr>
        <w:t>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w:t>
      </w:r>
      <w:r w:rsidRPr="00CD4628">
        <w:rPr>
          <w:rFonts w:ascii="Arial" w:hAnsi="Arial" w:cs="Arial"/>
          <w:spacing w:val="10"/>
          <w:sz w:val="28"/>
          <w:szCs w:val="28"/>
          <w:rtl/>
        </w:rPr>
        <w:t>". (ההדגשה הוספה – א.ש.)</w:t>
      </w:r>
    </w:p>
    <w:p w14:paraId="2119D2F7"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p>
    <w:p w14:paraId="76BF00E7"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וב</w:t>
      </w:r>
      <w:hyperlink r:id="rId44" w:history="1">
        <w:r w:rsidR="008755AD" w:rsidRPr="008755AD">
          <w:rPr>
            <w:rFonts w:ascii="Arial" w:hAnsi="Arial" w:cs="Arial"/>
            <w:color w:val="0000FF"/>
            <w:sz w:val="28"/>
            <w:szCs w:val="28"/>
            <w:u w:val="single"/>
            <w:rtl/>
          </w:rPr>
          <w:t>ע"פ 5336/13</w:t>
        </w:r>
      </w:hyperlink>
      <w:r w:rsidRPr="00CD4628">
        <w:rPr>
          <w:rFonts w:ascii="Arial" w:hAnsi="Arial" w:cs="Arial"/>
          <w:sz w:val="28"/>
          <w:szCs w:val="28"/>
          <w:rtl/>
        </w:rPr>
        <w:t xml:space="preserve"> </w:t>
      </w:r>
      <w:r w:rsidRPr="00CD4628">
        <w:rPr>
          <w:rFonts w:ascii="Arial" w:hAnsi="Arial" w:cs="Arial"/>
          <w:b/>
          <w:bCs/>
          <w:sz w:val="28"/>
          <w:szCs w:val="28"/>
          <w:rtl/>
        </w:rPr>
        <w:t xml:space="preserve">אברם צדוק נ' מדינת ישראל </w:t>
      </w:r>
      <w:r w:rsidRPr="00CD4628">
        <w:rPr>
          <w:rFonts w:ascii="Arial" w:hAnsi="Arial" w:cs="Arial"/>
          <w:sz w:val="28"/>
          <w:szCs w:val="28"/>
          <w:rtl/>
        </w:rPr>
        <w:t>נפסק על ידי כבוד השופט סולברג כי:</w:t>
      </w:r>
    </w:p>
    <w:p w14:paraId="1892A072"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ab/>
        <w:t>" מסוכנותם הרבה של חומרי נפץ ומטעני חבלה, ידועה לכל בר-דעת. סכנת נפשות, פשוטו כמשמעו. שומה להרתם על מנת למגר תופעה של נשיאה והובלה של נשק. בחיי אדם עסקינן, ואין מקום לפשרות."</w:t>
      </w:r>
    </w:p>
    <w:p w14:paraId="4C21F913" w14:textId="77777777" w:rsidR="00CD4628" w:rsidRPr="00CD4628" w:rsidRDefault="00CD4628" w:rsidP="00CD4628">
      <w:pPr>
        <w:spacing w:after="160" w:line="360" w:lineRule="auto"/>
        <w:jc w:val="both"/>
        <w:rPr>
          <w:rFonts w:ascii="Arial" w:hAnsi="Arial" w:cs="Arial"/>
          <w:sz w:val="28"/>
          <w:szCs w:val="28"/>
          <w:rtl/>
        </w:rPr>
      </w:pPr>
    </w:p>
    <w:p w14:paraId="4E5D2891"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ב</w:t>
      </w:r>
      <w:hyperlink r:id="rId45" w:history="1">
        <w:r w:rsidR="008755AD" w:rsidRPr="008755AD">
          <w:rPr>
            <w:rFonts w:ascii="Arial" w:hAnsi="Arial" w:cs="Arial"/>
            <w:color w:val="0000FF"/>
            <w:sz w:val="28"/>
            <w:szCs w:val="28"/>
            <w:u w:val="single"/>
            <w:rtl/>
          </w:rPr>
          <w:t>ע"פ 6210/13</w:t>
        </w:r>
      </w:hyperlink>
      <w:r w:rsidRPr="00CD4628">
        <w:rPr>
          <w:rFonts w:ascii="Arial" w:hAnsi="Arial" w:cs="Arial"/>
          <w:sz w:val="28"/>
          <w:szCs w:val="28"/>
          <w:rtl/>
        </w:rPr>
        <w:t xml:space="preserve"> </w:t>
      </w:r>
      <w:r w:rsidRPr="00CD4628">
        <w:rPr>
          <w:rFonts w:ascii="Arial" w:hAnsi="Arial" w:cs="Arial"/>
          <w:b/>
          <w:bCs/>
          <w:sz w:val="28"/>
          <w:szCs w:val="28"/>
          <w:rtl/>
        </w:rPr>
        <w:t xml:space="preserve">אסף גונן נ' מדינת ישראל </w:t>
      </w:r>
      <w:r w:rsidRPr="00CD4628">
        <w:rPr>
          <w:rFonts w:ascii="Arial" w:hAnsi="Arial" w:cs="Arial"/>
          <w:sz w:val="28"/>
          <w:szCs w:val="28"/>
          <w:rtl/>
        </w:rPr>
        <w:t>נפסק על ידי כבוד השופט סולברג:</w:t>
      </w:r>
    </w:p>
    <w:p w14:paraId="66EA1445"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ab/>
        <w:t>"אין צורך להכביר מילים על מסוכנותם הרבה של חומרי נפץ ומטעני חבלה. מדובר בסכנת נפשות, פשוטו כמשמעו. יש למגר תופעה של סחר, נשיאה והובלה של נשק. אין ניתן להתפשר. מידת הרחמים צריכה להיות מופנית יותר אל הציבור הרחב, מאשר כלפי המערער ואחרים שכמותו, שמסכנים חיי אדם בצורה שכזו".</w:t>
      </w:r>
    </w:p>
    <w:p w14:paraId="3D1893DA" w14:textId="77777777" w:rsidR="00CD4628" w:rsidRPr="00CD4628" w:rsidRDefault="00CD4628" w:rsidP="00CD4628">
      <w:pPr>
        <w:spacing w:after="160" w:line="360" w:lineRule="auto"/>
        <w:jc w:val="both"/>
        <w:rPr>
          <w:rFonts w:ascii="Arial" w:hAnsi="Arial" w:cs="Arial"/>
          <w:sz w:val="28"/>
          <w:szCs w:val="28"/>
          <w:rtl/>
        </w:rPr>
      </w:pPr>
    </w:p>
    <w:p w14:paraId="72ECE48A"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הערך החברתי העיקרי שנפגע הוא הגנה על בטחון הציבור באשר נשיאת נשק מסוג זה עלול להגיע לידי גורמים, בין פליליים בין בטחונים, אשר יעשו בו שימוש למטרות פסולות ויביאו לפגיעות בגוף ובנפש.</w:t>
      </w:r>
    </w:p>
    <w:p w14:paraId="050873E1"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מידת הפגיעה בערך המוגן גבוהה שכן מדובר בעבירה של נשיאת נשק אשר העונש בצידה הוא עשר שנות מאסר ומדובר במטען חבלה אשר הנזק הפוטנציאלי אשר עלול להיות מהפעלתו רב.</w:t>
      </w:r>
    </w:p>
    <w:p w14:paraId="30522806"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b/>
          <w:bCs/>
          <w:spacing w:val="10"/>
          <w:sz w:val="28"/>
          <w:szCs w:val="28"/>
          <w:rtl/>
        </w:rPr>
      </w:pPr>
      <w:r w:rsidRPr="00CD4628">
        <w:rPr>
          <w:rFonts w:ascii="Arial" w:hAnsi="Arial" w:cs="Arial"/>
          <w:spacing w:val="10"/>
          <w:sz w:val="28"/>
          <w:szCs w:val="28"/>
          <w:rtl/>
        </w:rPr>
        <w:t>לעניין זה יש ליתן את הדעת לסוג הנשק כפי שנפסק ב</w:t>
      </w:r>
      <w:hyperlink r:id="rId46" w:history="1">
        <w:r w:rsidR="008755AD" w:rsidRPr="008755AD">
          <w:rPr>
            <w:rFonts w:ascii="Arial" w:hAnsi="Arial" w:cs="Arial"/>
            <w:color w:val="0000FF"/>
            <w:spacing w:val="10"/>
            <w:sz w:val="28"/>
            <w:szCs w:val="28"/>
            <w:u w:val="single"/>
            <w:rtl/>
          </w:rPr>
          <w:t>ע"פ 1323/13</w:t>
        </w:r>
      </w:hyperlink>
      <w:r w:rsidRPr="00CD4628">
        <w:rPr>
          <w:rFonts w:ascii="Arial" w:hAnsi="Arial" w:cs="Arial"/>
          <w:spacing w:val="10"/>
          <w:sz w:val="28"/>
          <w:szCs w:val="28"/>
          <w:rtl/>
        </w:rPr>
        <w:t xml:space="preserve"> </w:t>
      </w:r>
      <w:r w:rsidRPr="00CD4628">
        <w:rPr>
          <w:rFonts w:ascii="Arial" w:hAnsi="Arial" w:cs="Arial"/>
          <w:b/>
          <w:bCs/>
          <w:spacing w:val="10"/>
          <w:sz w:val="28"/>
          <w:szCs w:val="28"/>
          <w:rtl/>
        </w:rPr>
        <w:t>חסן נ' מדינת ישראל:</w:t>
      </w:r>
    </w:p>
    <w:p w14:paraId="5AD64B3D"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r w:rsidRPr="00CD4628">
        <w:rPr>
          <w:rFonts w:ascii="Arial" w:hAnsi="Arial" w:cs="Arial"/>
          <w:b/>
          <w:bCs/>
          <w:spacing w:val="10"/>
          <w:sz w:val="28"/>
          <w:szCs w:val="28"/>
          <w:rtl/>
        </w:rPr>
        <w:tab/>
        <w:t>"</w:t>
      </w:r>
      <w:r w:rsidRPr="00CD4628">
        <w:rPr>
          <w:rFonts w:ascii="Arial" w:hAnsi="Arial" w:cs="Arial"/>
          <w:spacing w:val="10"/>
          <w:sz w:val="28"/>
          <w:szCs w:val="28"/>
          <w:rtl/>
        </w:rPr>
        <w:t>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למעשה, אין כל חידוש בקביעה כי קיים מדרג ענישה בעבירות המבוצעות בנשק, הנקבע, בין השאר, על-פי סוג, איכות וכמות הנשק שנעשה בו שימוש:</w:t>
      </w:r>
    </w:p>
    <w:p w14:paraId="6A1153ED" w14:textId="77777777" w:rsidR="00CD4628" w:rsidRPr="00CD4628" w:rsidRDefault="00CD4628" w:rsidP="00CD4628">
      <w:pPr>
        <w:overflowPunct w:val="0"/>
        <w:autoSpaceDE w:val="0"/>
        <w:autoSpaceDN w:val="0"/>
        <w:adjustRightInd w:val="0"/>
        <w:ind w:left="1642" w:right="1282"/>
        <w:jc w:val="both"/>
        <w:textAlignment w:val="baseline"/>
        <w:rPr>
          <w:rFonts w:ascii="Arial" w:hAnsi="Arial" w:cs="Arial"/>
          <w:spacing w:val="10"/>
          <w:sz w:val="28"/>
          <w:szCs w:val="28"/>
          <w:rtl/>
        </w:rPr>
      </w:pPr>
      <w:r w:rsidRPr="00CD4628">
        <w:rPr>
          <w:rFonts w:ascii="Arial" w:hAnsi="Arial" w:cs="Arial"/>
          <w:spacing w:val="10"/>
          <w:sz w:val="28"/>
          <w:szCs w:val="28"/>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(השוו </w:t>
      </w:r>
      <w:hyperlink r:id="rId47" w:history="1">
        <w:r w:rsidR="008755AD" w:rsidRPr="008755AD">
          <w:rPr>
            <w:rFonts w:ascii="Arial" w:hAnsi="Arial" w:cs="Arial"/>
            <w:color w:val="0000FF"/>
            <w:spacing w:val="10"/>
            <w:sz w:val="28"/>
            <w:szCs w:val="28"/>
            <w:u w:val="single"/>
            <w:rtl/>
          </w:rPr>
          <w:t>ב"ש 625/82</w:t>
        </w:r>
      </w:hyperlink>
      <w:r w:rsidRPr="00CD4628">
        <w:rPr>
          <w:rFonts w:ascii="Arial" w:hAnsi="Arial" w:cs="Arial"/>
          <w:spacing w:val="10"/>
          <w:sz w:val="28"/>
          <w:szCs w:val="28"/>
          <w:rtl/>
        </w:rPr>
        <w:t xml:space="preserve"> מחמוד נ' מדינת ישראל [1]).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 (</w:t>
      </w:r>
      <w:r w:rsidRPr="008755AD">
        <w:rPr>
          <w:rFonts w:ascii="Arial" w:hAnsi="Arial" w:cs="Arial"/>
          <w:color w:val="000000"/>
          <w:spacing w:val="10"/>
          <w:sz w:val="28"/>
          <w:szCs w:val="28"/>
          <w:rtl/>
        </w:rPr>
        <w:t>ע"פ 1332/04 פס נ' מדינת ישראל, פ"ד נח</w:t>
      </w:r>
      <w:r w:rsidRPr="00CD4628">
        <w:rPr>
          <w:rFonts w:ascii="Arial" w:hAnsi="Arial" w:cs="Arial"/>
          <w:spacing w:val="10"/>
          <w:sz w:val="28"/>
          <w:szCs w:val="28"/>
          <w:rtl/>
        </w:rPr>
        <w:t xml:space="preserve">(5) 541, 544 (2004); ראו גם: </w:t>
      </w:r>
      <w:hyperlink r:id="rId48" w:history="1">
        <w:r w:rsidR="008755AD" w:rsidRPr="008755AD">
          <w:rPr>
            <w:rFonts w:ascii="Arial" w:hAnsi="Arial" w:cs="Arial"/>
            <w:color w:val="0000FF"/>
            <w:spacing w:val="10"/>
            <w:sz w:val="28"/>
            <w:szCs w:val="28"/>
            <w:u w:val="single"/>
            <w:rtl/>
          </w:rPr>
          <w:t>ע"פ 7384/07</w:t>
        </w:r>
      </w:hyperlink>
      <w:r w:rsidRPr="00CD4628">
        <w:rPr>
          <w:rFonts w:ascii="Arial" w:hAnsi="Arial" w:cs="Arial"/>
          <w:spacing w:val="10"/>
          <w:sz w:val="28"/>
          <w:szCs w:val="28"/>
          <w:rtl/>
        </w:rPr>
        <w:t xml:space="preserve"> ליזמי נ' מדינת ישראל </w:t>
      </w:r>
      <w:r w:rsidRPr="00CD4628">
        <w:rPr>
          <w:rFonts w:ascii="Arial" w:hAnsi="Arial" w:cs="Arial"/>
          <w:sz w:val="28"/>
          <w:szCs w:val="28"/>
          <w:rtl/>
        </w:rPr>
        <w:t xml:space="preserve">[פורסם בנבו] </w:t>
      </w:r>
      <w:r w:rsidRPr="00CD4628">
        <w:rPr>
          <w:rFonts w:ascii="Arial" w:hAnsi="Arial" w:cs="Arial"/>
          <w:spacing w:val="10"/>
          <w:sz w:val="28"/>
          <w:szCs w:val="28"/>
          <w:rtl/>
        </w:rPr>
        <w:t>(6.3.08))".</w:t>
      </w:r>
    </w:p>
    <w:p w14:paraId="35CD9319"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p>
    <w:p w14:paraId="2A91046B" w14:textId="77777777" w:rsidR="00CD4628" w:rsidRPr="00CD4628" w:rsidRDefault="00CD4628" w:rsidP="00CD4628">
      <w:pPr>
        <w:spacing w:after="160" w:line="360" w:lineRule="auto"/>
        <w:ind w:left="720" w:hanging="720"/>
        <w:jc w:val="both"/>
        <w:rPr>
          <w:rFonts w:ascii="Arial" w:hAnsi="Arial" w:cs="Arial"/>
          <w:sz w:val="28"/>
          <w:szCs w:val="28"/>
          <w:rtl/>
        </w:rPr>
      </w:pPr>
      <w:r w:rsidRPr="00CD4628">
        <w:rPr>
          <w:rFonts w:ascii="Arial" w:hAnsi="Arial" w:cs="Arial"/>
          <w:sz w:val="28"/>
          <w:szCs w:val="28"/>
          <w:rtl/>
        </w:rPr>
        <w:tab/>
        <w:t xml:space="preserve">כפי שנפסק על ידי כבוד השופט ביתן ב </w:t>
      </w:r>
      <w:hyperlink r:id="rId49" w:history="1">
        <w:r w:rsidR="008755AD" w:rsidRPr="008755AD">
          <w:rPr>
            <w:rFonts w:ascii="Arial" w:hAnsi="Arial" w:cs="Arial"/>
            <w:b/>
            <w:bCs/>
            <w:color w:val="0000FF"/>
            <w:sz w:val="28"/>
            <w:szCs w:val="28"/>
            <w:u w:val="single"/>
            <w:rtl/>
          </w:rPr>
          <w:t>ת.פ.(ב"ש) 15423-12-19</w:t>
        </w:r>
      </w:hyperlink>
      <w:r w:rsidRPr="00CD4628">
        <w:rPr>
          <w:rFonts w:ascii="Arial" w:hAnsi="Arial" w:cs="Arial"/>
          <w:b/>
          <w:bCs/>
          <w:color w:val="000000"/>
          <w:sz w:val="28"/>
          <w:szCs w:val="28"/>
          <w:rtl/>
        </w:rPr>
        <w:t>‏</w:t>
      </w:r>
      <w:r w:rsidR="008755AD">
        <w:rPr>
          <w:rFonts w:ascii="Arial" w:hAnsi="Arial" w:cs="Arial"/>
          <w:b/>
          <w:bCs/>
          <w:color w:val="000000"/>
          <w:sz w:val="28"/>
          <w:szCs w:val="28"/>
          <w:rtl/>
        </w:rPr>
        <w:t xml:space="preserve"> </w:t>
      </w:r>
      <w:r w:rsidRPr="00CD4628">
        <w:rPr>
          <w:rFonts w:ascii="Arial" w:hAnsi="Arial" w:cs="Arial"/>
          <w:b/>
          <w:bCs/>
          <w:color w:val="000000"/>
          <w:sz w:val="28"/>
          <w:szCs w:val="28"/>
          <w:rtl/>
        </w:rPr>
        <w:t>מדינת ישראל נ' איתמר רוש</w:t>
      </w:r>
      <w:r w:rsidRPr="00CD4628">
        <w:rPr>
          <w:rFonts w:ascii="Arial" w:hAnsi="Arial" w:cs="Arial"/>
          <w:sz w:val="28"/>
          <w:szCs w:val="28"/>
          <w:rtl/>
        </w:rPr>
        <w:t xml:space="preserve"> יש להדגיש כי בשנים האחרונות, על רקע היקף תופעת החזקת הנשק הבלתי חוקי ומשמעויותיה הקשות לציבור כפי שעדים לה אנו כמעט מידי יום, עמד בית המשפט העליון על הצורך בהחמרת הענישה מעבר לרמת הענישה שהייתה נהוגה</w:t>
      </w:r>
      <w:r w:rsidRPr="00CD4628">
        <w:rPr>
          <w:rFonts w:ascii="Arial" w:hAnsi="Arial" w:cs="Arial"/>
          <w:sz w:val="28"/>
          <w:szCs w:val="28"/>
          <w:rtl/>
          <w:lang w:eastAsia="he-IL"/>
        </w:rPr>
        <w:t xml:space="preserve"> בעבר. (</w:t>
      </w:r>
      <w:hyperlink r:id="rId50" w:history="1">
        <w:r w:rsidR="008755AD" w:rsidRPr="008755AD">
          <w:rPr>
            <w:rFonts w:ascii="Arial" w:hAnsi="Arial" w:cs="Arial"/>
            <w:color w:val="0000FF"/>
            <w:sz w:val="28"/>
            <w:szCs w:val="28"/>
            <w:u w:val="single"/>
            <w:rtl/>
          </w:rPr>
          <w:t>ע"פ 3336/18</w:t>
        </w:r>
      </w:hyperlink>
      <w:r w:rsidRPr="00CD4628">
        <w:rPr>
          <w:rFonts w:ascii="Arial" w:hAnsi="Arial" w:cs="Arial"/>
          <w:sz w:val="28"/>
          <w:szCs w:val="28"/>
          <w:rtl/>
        </w:rPr>
        <w:t xml:space="preserve"> </w:t>
      </w:r>
      <w:r w:rsidRPr="00CD4628">
        <w:rPr>
          <w:rFonts w:ascii="Arial" w:hAnsi="Arial" w:cs="Arial"/>
          <w:b/>
          <w:bCs/>
          <w:sz w:val="28"/>
          <w:szCs w:val="28"/>
          <w:rtl/>
        </w:rPr>
        <w:t>מדינת ישראל נגד</w:t>
      </w:r>
      <w:r w:rsidRPr="00CD4628">
        <w:rPr>
          <w:rFonts w:ascii="Arial" w:hAnsi="Arial" w:cs="Arial"/>
          <w:sz w:val="28"/>
          <w:szCs w:val="28"/>
          <w:rtl/>
        </w:rPr>
        <w:t xml:space="preserve"> </w:t>
      </w:r>
      <w:r w:rsidRPr="00CD4628">
        <w:rPr>
          <w:rFonts w:ascii="Arial" w:hAnsi="Arial" w:cs="Arial"/>
          <w:b/>
          <w:bCs/>
          <w:sz w:val="28"/>
          <w:szCs w:val="28"/>
          <w:rtl/>
        </w:rPr>
        <w:t>השאם סמארה</w:t>
      </w:r>
      <w:r w:rsidRPr="00CD4628">
        <w:rPr>
          <w:rFonts w:ascii="Arial" w:hAnsi="Arial" w:cs="Arial"/>
          <w:sz w:val="28"/>
          <w:szCs w:val="28"/>
          <w:rtl/>
        </w:rPr>
        <w:t xml:space="preserve">; </w:t>
      </w:r>
      <w:hyperlink r:id="rId51" w:history="1">
        <w:r w:rsidR="008755AD" w:rsidRPr="008755AD">
          <w:rPr>
            <w:rFonts w:ascii="Arial" w:hAnsi="Arial" w:cs="Arial"/>
            <w:color w:val="0000FF"/>
            <w:sz w:val="28"/>
            <w:szCs w:val="28"/>
            <w:u w:val="single"/>
            <w:rtl/>
          </w:rPr>
          <w:t>ע"פ 4406/19</w:t>
        </w:r>
      </w:hyperlink>
      <w:r w:rsidRPr="00CD4628">
        <w:rPr>
          <w:rFonts w:ascii="Arial" w:hAnsi="Arial" w:cs="Arial"/>
          <w:sz w:val="28"/>
          <w:szCs w:val="28"/>
          <w:rtl/>
        </w:rPr>
        <w:t xml:space="preserve"> </w:t>
      </w:r>
      <w:r w:rsidRPr="00CD4628">
        <w:rPr>
          <w:rFonts w:ascii="Arial" w:hAnsi="Arial" w:cs="Arial"/>
          <w:b/>
          <w:bCs/>
          <w:sz w:val="28"/>
          <w:szCs w:val="28"/>
          <w:rtl/>
        </w:rPr>
        <w:t>מדינת ישראל נ' יונס סובח</w:t>
      </w:r>
      <w:r w:rsidRPr="00CD4628">
        <w:rPr>
          <w:rFonts w:ascii="Arial" w:hAnsi="Arial" w:cs="Arial"/>
          <w:sz w:val="28"/>
          <w:szCs w:val="28"/>
          <w:rtl/>
        </w:rPr>
        <w:t xml:space="preserve"> (פורסם בנבו, 05.11.19); </w:t>
      </w:r>
      <w:hyperlink r:id="rId52" w:history="1">
        <w:r w:rsidR="008755AD" w:rsidRPr="008755AD">
          <w:rPr>
            <w:rFonts w:ascii="Arial" w:hAnsi="Arial" w:cs="Arial"/>
            <w:color w:val="0000FF"/>
            <w:sz w:val="28"/>
            <w:szCs w:val="28"/>
            <w:u w:val="single"/>
            <w:rtl/>
          </w:rPr>
          <w:t>ע"פ 4530/19</w:t>
        </w:r>
      </w:hyperlink>
      <w:r w:rsidRPr="00CD4628">
        <w:rPr>
          <w:rFonts w:ascii="Arial" w:hAnsi="Arial" w:cs="Arial"/>
          <w:sz w:val="28"/>
          <w:szCs w:val="28"/>
          <w:rtl/>
        </w:rPr>
        <w:t xml:space="preserve"> </w:t>
      </w:r>
      <w:r w:rsidRPr="00CD4628">
        <w:rPr>
          <w:rFonts w:ascii="Arial" w:hAnsi="Arial" w:cs="Arial"/>
          <w:b/>
          <w:bCs/>
          <w:sz w:val="28"/>
          <w:szCs w:val="28"/>
          <w:rtl/>
        </w:rPr>
        <w:t>נור אלדין ג'זאווי נ' מדינת ישראל</w:t>
      </w:r>
      <w:r w:rsidRPr="00CD4628">
        <w:rPr>
          <w:rFonts w:ascii="Arial" w:hAnsi="Arial" w:cs="Arial"/>
          <w:sz w:val="28"/>
          <w:szCs w:val="28"/>
          <w:rtl/>
        </w:rPr>
        <w:t xml:space="preserve">; </w:t>
      </w:r>
      <w:hyperlink r:id="rId53" w:history="1">
        <w:r w:rsidR="008755AD" w:rsidRPr="008755AD">
          <w:rPr>
            <w:rFonts w:ascii="Arial" w:hAnsi="Arial" w:cs="Arial"/>
            <w:color w:val="0000FF"/>
            <w:sz w:val="28"/>
            <w:szCs w:val="28"/>
            <w:u w:val="single"/>
            <w:rtl/>
          </w:rPr>
          <w:t>ע"פ 2564/19</w:t>
        </w:r>
      </w:hyperlink>
      <w:r w:rsidRPr="00CD4628">
        <w:rPr>
          <w:rFonts w:ascii="Arial" w:hAnsi="Arial" w:cs="Arial"/>
          <w:sz w:val="28"/>
          <w:szCs w:val="28"/>
          <w:rtl/>
        </w:rPr>
        <w:t xml:space="preserve"> </w:t>
      </w:r>
      <w:r w:rsidRPr="00CD4628">
        <w:rPr>
          <w:rFonts w:ascii="Arial" w:hAnsi="Arial" w:cs="Arial"/>
          <w:b/>
          <w:bCs/>
          <w:sz w:val="28"/>
          <w:szCs w:val="28"/>
          <w:rtl/>
        </w:rPr>
        <w:t>איברהים אזברגה נ' מדינת ישראל</w:t>
      </w:r>
      <w:r w:rsidRPr="00CD4628">
        <w:rPr>
          <w:rFonts w:ascii="Arial" w:hAnsi="Arial" w:cs="Arial"/>
          <w:sz w:val="28"/>
          <w:szCs w:val="28"/>
          <w:rtl/>
        </w:rPr>
        <w:t xml:space="preserve">; </w:t>
      </w:r>
      <w:hyperlink r:id="rId54" w:history="1">
        <w:r w:rsidR="008755AD" w:rsidRPr="008755AD">
          <w:rPr>
            <w:rFonts w:ascii="Arial" w:hAnsi="Arial" w:cs="Arial"/>
            <w:color w:val="0000FF"/>
            <w:sz w:val="28"/>
            <w:szCs w:val="28"/>
            <w:u w:val="single"/>
            <w:rtl/>
          </w:rPr>
          <w:t>ע"פ 2802/18</w:t>
        </w:r>
      </w:hyperlink>
      <w:r w:rsidRPr="00CD4628">
        <w:rPr>
          <w:rFonts w:ascii="Arial" w:hAnsi="Arial" w:cs="Arial"/>
          <w:sz w:val="28"/>
          <w:szCs w:val="28"/>
          <w:rtl/>
        </w:rPr>
        <w:t xml:space="preserve"> </w:t>
      </w:r>
      <w:r w:rsidRPr="00CD4628">
        <w:rPr>
          <w:rFonts w:ascii="Arial" w:hAnsi="Arial" w:cs="Arial"/>
          <w:b/>
          <w:bCs/>
          <w:sz w:val="28"/>
          <w:szCs w:val="28"/>
          <w:rtl/>
        </w:rPr>
        <w:t xml:space="preserve">איוב ג'ואמיס </w:t>
      </w:r>
      <w:r w:rsidRPr="00CD4628">
        <w:rPr>
          <w:rFonts w:ascii="Arial" w:hAnsi="Arial" w:cs="Arial"/>
          <w:sz w:val="28"/>
          <w:szCs w:val="28"/>
          <w:rtl/>
        </w:rPr>
        <w:t>נ'</w:t>
      </w:r>
      <w:r w:rsidRPr="00CD4628">
        <w:rPr>
          <w:rFonts w:ascii="Arial" w:hAnsi="Arial" w:cs="Arial"/>
          <w:b/>
          <w:bCs/>
          <w:sz w:val="28"/>
          <w:szCs w:val="28"/>
          <w:rtl/>
        </w:rPr>
        <w:t xml:space="preserve"> מדינת ישראל</w:t>
      </w:r>
      <w:r w:rsidRPr="00CD4628">
        <w:rPr>
          <w:rFonts w:ascii="Arial" w:hAnsi="Arial" w:cs="Arial"/>
          <w:sz w:val="28"/>
          <w:szCs w:val="28"/>
          <w:rtl/>
        </w:rPr>
        <w:t>).</w:t>
      </w:r>
    </w:p>
    <w:p w14:paraId="18634AA6"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לאחר שסקרתי את הפסיקה, סבורני כי מתחם הענישה ההולם עבירה זו נע בין שנתיים מאסר לחמש שנות מאסר, וזאת לנוכח העובדה שמדובר במטען חבלה שפגיעתו עלולה להיות קשה ביותר ולאור הצורך בהחמרה בענישה.</w:t>
      </w:r>
    </w:p>
    <w:p w14:paraId="34338A9D" w14:textId="77777777" w:rsidR="00CD4628" w:rsidRPr="00CD4628" w:rsidRDefault="00CD4628" w:rsidP="00CD4628">
      <w:pPr>
        <w:spacing w:after="160" w:line="360" w:lineRule="auto"/>
        <w:jc w:val="both"/>
        <w:rPr>
          <w:rFonts w:ascii="Arial" w:hAnsi="Arial" w:cs="Arial"/>
          <w:sz w:val="28"/>
          <w:szCs w:val="28"/>
          <w:rtl/>
        </w:rPr>
      </w:pPr>
      <w:r w:rsidRPr="00CD4628">
        <w:rPr>
          <w:rFonts w:ascii="Arial" w:hAnsi="Arial" w:cs="Arial"/>
          <w:sz w:val="28"/>
          <w:szCs w:val="28"/>
          <w:rtl/>
        </w:rPr>
        <w:t>יודגש כי עתירת המאשימה לקביעת מתחם ענישה הנע בין 3.5 ל – 8 שנות מאסר נוגדת את עתירות המדינה לקביעת מתחמים בתיקים דומים, אף לאחרונה.</w:t>
      </w:r>
    </w:p>
    <w:p w14:paraId="38596760" w14:textId="77777777" w:rsidR="00CD4628" w:rsidRPr="00CD4628" w:rsidRDefault="00CD4628" w:rsidP="00CD4628">
      <w:pPr>
        <w:spacing w:after="160" w:line="360" w:lineRule="auto"/>
        <w:ind w:left="720" w:hanging="720"/>
        <w:jc w:val="both"/>
        <w:rPr>
          <w:rFonts w:ascii="Arial" w:hAnsi="Arial" w:cs="Arial"/>
          <w:sz w:val="28"/>
          <w:szCs w:val="28"/>
          <w:rtl/>
        </w:rPr>
      </w:pPr>
      <w:r w:rsidRPr="00CD4628">
        <w:rPr>
          <w:rFonts w:ascii="Arial" w:hAnsi="Arial" w:cs="Arial"/>
          <w:sz w:val="28"/>
          <w:szCs w:val="28"/>
          <w:rtl/>
        </w:rPr>
        <w:t xml:space="preserve">מיקומו של הנאשם במתחם הענישה – </w:t>
      </w:r>
    </w:p>
    <w:p w14:paraId="58DFAC82" w14:textId="77777777" w:rsidR="00CD4628" w:rsidRPr="00CD4628" w:rsidRDefault="00CD4628" w:rsidP="00CD4628">
      <w:pPr>
        <w:spacing w:after="160" w:line="360" w:lineRule="auto"/>
        <w:ind w:left="-1"/>
        <w:jc w:val="both"/>
        <w:rPr>
          <w:rFonts w:ascii="Arial" w:hAnsi="Arial" w:cs="Arial"/>
          <w:sz w:val="28"/>
          <w:szCs w:val="28"/>
          <w:rtl/>
        </w:rPr>
      </w:pPr>
      <w:r w:rsidRPr="00CD4628">
        <w:rPr>
          <w:rFonts w:ascii="Arial" w:hAnsi="Arial" w:cs="Arial"/>
          <w:sz w:val="28"/>
          <w:szCs w:val="28"/>
          <w:rtl/>
        </w:rPr>
        <w:t>לנאשם עבר פלילי רלבנטי , בשנת 2013 נגזרו על הנאשם 36 חודשי מאסר בפועל בעיקר בגין עבירות נשק ובגין עבירת סמים (החזקה לשימוש עצמי).</w:t>
      </w:r>
    </w:p>
    <w:p w14:paraId="17E9E0E1" w14:textId="77777777" w:rsidR="00CD4628" w:rsidRPr="00CD4628" w:rsidRDefault="00CD4628" w:rsidP="00CD4628">
      <w:pPr>
        <w:spacing w:after="160" w:line="360" w:lineRule="auto"/>
        <w:ind w:left="-1"/>
        <w:jc w:val="both"/>
        <w:rPr>
          <w:rFonts w:ascii="Arial" w:hAnsi="Arial" w:cs="Arial"/>
          <w:sz w:val="28"/>
          <w:szCs w:val="28"/>
          <w:rtl/>
        </w:rPr>
      </w:pPr>
      <w:r w:rsidRPr="00CD4628">
        <w:rPr>
          <w:rFonts w:ascii="Arial" w:hAnsi="Arial" w:cs="Arial"/>
          <w:sz w:val="28"/>
          <w:szCs w:val="28"/>
          <w:rtl/>
        </w:rPr>
        <w:t>כן תיזקף לחובתו של הנאשם ביצוע העבירה עת נוהל כנגדו הליך פלילי במסגרתו היה בטיפולו של שירות המבחן.</w:t>
      </w:r>
    </w:p>
    <w:p w14:paraId="0264CF90"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r w:rsidRPr="00CD4628">
        <w:rPr>
          <w:rFonts w:ascii="Arial" w:hAnsi="Arial" w:cs="Arial"/>
          <w:spacing w:val="10"/>
          <w:sz w:val="28"/>
          <w:szCs w:val="28"/>
          <w:rtl/>
        </w:rPr>
        <w:t>לזכותו של הנאשם תיזקף הודאתו בשלב מוקדם של ניהול ההוכחות, במהלך שמיעת עדותו של הסוכן ומבלי שמוצתה חקירתו.</w:t>
      </w:r>
    </w:p>
    <w:p w14:paraId="707B8726"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r w:rsidRPr="00CD4628">
        <w:rPr>
          <w:rFonts w:ascii="Arial" w:hAnsi="Arial" w:cs="Arial"/>
          <w:spacing w:val="10"/>
          <w:sz w:val="28"/>
          <w:szCs w:val="28"/>
          <w:rtl/>
        </w:rPr>
        <w:t>כן תילקחנה בחשבון נסיבות חייו הקשות של הנאשם כמפורט מעלה והשפעת המאסר על בני משפחתו – אשתו וארבעת הילדים.</w:t>
      </w:r>
    </w:p>
    <w:p w14:paraId="4DFCB3B8"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r w:rsidRPr="00CD4628">
        <w:rPr>
          <w:rFonts w:ascii="Arial" w:hAnsi="Arial" w:cs="Arial"/>
          <w:spacing w:val="10"/>
          <w:sz w:val="28"/>
          <w:szCs w:val="28"/>
          <w:rtl/>
        </w:rPr>
        <w:t xml:space="preserve"> </w:t>
      </w:r>
    </w:p>
    <w:p w14:paraId="72876E6F"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r w:rsidRPr="00CD4628">
        <w:rPr>
          <w:rFonts w:ascii="Arial" w:hAnsi="Arial" w:cs="Arial"/>
          <w:spacing w:val="10"/>
          <w:sz w:val="28"/>
          <w:szCs w:val="28"/>
          <w:rtl/>
        </w:rPr>
        <w:t>הנאשם ימוקם בחלקו האמצעי של מתחם הענישה.</w:t>
      </w:r>
    </w:p>
    <w:p w14:paraId="50A49B4C"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p>
    <w:p w14:paraId="55E69FEE"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r w:rsidRPr="00CD4628">
        <w:rPr>
          <w:rFonts w:ascii="Arial" w:hAnsi="Arial" w:cs="Arial"/>
          <w:spacing w:val="10"/>
          <w:sz w:val="28"/>
          <w:szCs w:val="28"/>
          <w:rtl/>
        </w:rPr>
        <w:t>לאור האמור הנני גוזרת על הנאשם את העונשים הבאים:</w:t>
      </w:r>
    </w:p>
    <w:p w14:paraId="0B9247D4"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spacing w:val="10"/>
          <w:sz w:val="28"/>
          <w:szCs w:val="28"/>
          <w:rtl/>
        </w:rPr>
      </w:pPr>
    </w:p>
    <w:p w14:paraId="05DA45BE" w14:textId="77777777" w:rsidR="00CD4628" w:rsidRPr="00CD4628" w:rsidRDefault="00CD4628" w:rsidP="00CD4628">
      <w:pPr>
        <w:numPr>
          <w:ilvl w:val="0"/>
          <w:numId w:val="1"/>
        </w:numPr>
        <w:tabs>
          <w:tab w:val="left" w:pos="800"/>
        </w:tabs>
        <w:overflowPunct w:val="0"/>
        <w:autoSpaceDE w:val="0"/>
        <w:autoSpaceDN w:val="0"/>
        <w:adjustRightInd w:val="0"/>
        <w:spacing w:line="360" w:lineRule="auto"/>
        <w:jc w:val="both"/>
        <w:textAlignment w:val="baseline"/>
        <w:rPr>
          <w:rFonts w:ascii="Arial" w:hAnsi="Arial" w:cs="Arial"/>
          <w:spacing w:val="10"/>
          <w:sz w:val="28"/>
          <w:szCs w:val="28"/>
        </w:rPr>
      </w:pPr>
      <w:r w:rsidRPr="00CD4628">
        <w:rPr>
          <w:rFonts w:ascii="Arial" w:hAnsi="Arial" w:cs="Arial"/>
          <w:spacing w:val="10"/>
          <w:sz w:val="28"/>
          <w:szCs w:val="28"/>
          <w:rtl/>
        </w:rPr>
        <w:t>3 שנות מאסר בפועל שמניינן מיום מעצרו של הנאשם – 25.5.20.</w:t>
      </w:r>
    </w:p>
    <w:p w14:paraId="21B24691" w14:textId="77777777" w:rsidR="00CD4628" w:rsidRPr="00CD4628" w:rsidRDefault="00CD4628" w:rsidP="00CD4628">
      <w:pPr>
        <w:tabs>
          <w:tab w:val="left" w:pos="800"/>
        </w:tabs>
        <w:overflowPunct w:val="0"/>
        <w:autoSpaceDE w:val="0"/>
        <w:autoSpaceDN w:val="0"/>
        <w:adjustRightInd w:val="0"/>
        <w:spacing w:line="360" w:lineRule="auto"/>
        <w:ind w:left="720"/>
        <w:jc w:val="both"/>
        <w:textAlignment w:val="baseline"/>
        <w:rPr>
          <w:rFonts w:ascii="Arial" w:hAnsi="Arial" w:cs="Arial"/>
          <w:spacing w:val="10"/>
          <w:sz w:val="16"/>
          <w:szCs w:val="16"/>
        </w:rPr>
      </w:pPr>
    </w:p>
    <w:p w14:paraId="4F49F986" w14:textId="77777777" w:rsidR="00CD4628" w:rsidRPr="00CD4628" w:rsidRDefault="00CD4628" w:rsidP="00CD4628">
      <w:pPr>
        <w:numPr>
          <w:ilvl w:val="0"/>
          <w:numId w:val="1"/>
        </w:numPr>
        <w:tabs>
          <w:tab w:val="left" w:pos="800"/>
        </w:tabs>
        <w:overflowPunct w:val="0"/>
        <w:autoSpaceDE w:val="0"/>
        <w:autoSpaceDN w:val="0"/>
        <w:adjustRightInd w:val="0"/>
        <w:spacing w:line="360" w:lineRule="auto"/>
        <w:jc w:val="both"/>
        <w:textAlignment w:val="baseline"/>
        <w:rPr>
          <w:rFonts w:ascii="Arial" w:hAnsi="Arial" w:cs="Arial"/>
          <w:spacing w:val="10"/>
          <w:sz w:val="28"/>
          <w:szCs w:val="28"/>
        </w:rPr>
      </w:pPr>
      <w:r w:rsidRPr="00CD4628">
        <w:rPr>
          <w:rFonts w:ascii="Arial" w:hAnsi="Arial" w:cs="Arial"/>
          <w:spacing w:val="10"/>
          <w:sz w:val="28"/>
          <w:szCs w:val="28"/>
          <w:rtl/>
        </w:rPr>
        <w:t>10 חודשי מאסר על תנאי והתנאי הוא שתוך 3 שנים משחרורו ממאסר לא יעבור הנאשם עבירת נשק.</w:t>
      </w:r>
    </w:p>
    <w:p w14:paraId="63F66324" w14:textId="77777777" w:rsidR="00CD4628" w:rsidRPr="00CD4628" w:rsidRDefault="00CD4628" w:rsidP="00CD4628">
      <w:pPr>
        <w:tabs>
          <w:tab w:val="left" w:pos="800"/>
        </w:tabs>
        <w:overflowPunct w:val="0"/>
        <w:autoSpaceDE w:val="0"/>
        <w:autoSpaceDN w:val="0"/>
        <w:adjustRightInd w:val="0"/>
        <w:spacing w:line="360" w:lineRule="auto"/>
        <w:ind w:left="720"/>
        <w:jc w:val="both"/>
        <w:textAlignment w:val="baseline"/>
        <w:rPr>
          <w:rFonts w:ascii="Arial" w:hAnsi="Arial" w:cs="Arial"/>
          <w:spacing w:val="10"/>
          <w:sz w:val="16"/>
          <w:szCs w:val="16"/>
        </w:rPr>
      </w:pPr>
    </w:p>
    <w:p w14:paraId="7E4657A2" w14:textId="77777777" w:rsidR="00CD4628" w:rsidRPr="00CD4628" w:rsidRDefault="00CD4628" w:rsidP="00CD4628">
      <w:pPr>
        <w:numPr>
          <w:ilvl w:val="0"/>
          <w:numId w:val="1"/>
        </w:numPr>
        <w:tabs>
          <w:tab w:val="left" w:pos="800"/>
        </w:tabs>
        <w:overflowPunct w:val="0"/>
        <w:autoSpaceDE w:val="0"/>
        <w:autoSpaceDN w:val="0"/>
        <w:adjustRightInd w:val="0"/>
        <w:spacing w:line="360" w:lineRule="auto"/>
        <w:jc w:val="both"/>
        <w:textAlignment w:val="baseline"/>
        <w:rPr>
          <w:rFonts w:ascii="Arial" w:hAnsi="Arial" w:cs="Arial"/>
          <w:spacing w:val="10"/>
          <w:sz w:val="28"/>
          <w:szCs w:val="28"/>
        </w:rPr>
      </w:pPr>
      <w:r w:rsidRPr="00CD4628">
        <w:rPr>
          <w:rFonts w:ascii="Arial" w:hAnsi="Arial" w:cs="Arial"/>
          <w:spacing w:val="10"/>
          <w:sz w:val="28"/>
          <w:szCs w:val="28"/>
          <w:rtl/>
        </w:rPr>
        <w:t>התקופה בה ריצה הנאשם מאסר ב</w:t>
      </w:r>
      <w:hyperlink r:id="rId55" w:history="1">
        <w:r w:rsidR="008755AD" w:rsidRPr="008755AD">
          <w:rPr>
            <w:rFonts w:ascii="Arial" w:hAnsi="Arial" w:cs="Arial"/>
            <w:color w:val="0000FF"/>
            <w:spacing w:val="10"/>
            <w:sz w:val="28"/>
            <w:szCs w:val="28"/>
            <w:u w:val="single"/>
            <w:rtl/>
          </w:rPr>
          <w:t>תיק פלילי 59616-01-18</w:t>
        </w:r>
      </w:hyperlink>
      <w:r w:rsidRPr="00CD4628">
        <w:rPr>
          <w:rFonts w:ascii="Arial" w:hAnsi="Arial" w:cs="Arial"/>
          <w:spacing w:val="10"/>
          <w:sz w:val="28"/>
          <w:szCs w:val="28"/>
          <w:rtl/>
        </w:rPr>
        <w:t xml:space="preserve"> ו</w:t>
      </w:r>
      <w:hyperlink r:id="rId56" w:history="1">
        <w:r w:rsidR="008755AD" w:rsidRPr="008755AD">
          <w:rPr>
            <w:rFonts w:ascii="Arial" w:hAnsi="Arial" w:cs="Arial"/>
            <w:color w:val="0000FF"/>
            <w:spacing w:val="10"/>
            <w:sz w:val="28"/>
            <w:szCs w:val="28"/>
            <w:u w:val="single"/>
            <w:rtl/>
          </w:rPr>
          <w:t>ת.פ. 31895-08-19</w:t>
        </w:r>
      </w:hyperlink>
      <w:r w:rsidRPr="00CD4628">
        <w:rPr>
          <w:rFonts w:ascii="Arial" w:hAnsi="Arial" w:cs="Arial"/>
          <w:spacing w:val="10"/>
          <w:sz w:val="28"/>
          <w:szCs w:val="28"/>
          <w:rtl/>
        </w:rPr>
        <w:t xml:space="preserve"> במהלך מעצרו בתיק זה לא תנוכה מימי המאסר.</w:t>
      </w:r>
    </w:p>
    <w:p w14:paraId="6B9CCFD8" w14:textId="77777777" w:rsidR="00CD4628" w:rsidRPr="00CD4628" w:rsidRDefault="00CD4628" w:rsidP="00CD4628">
      <w:pPr>
        <w:tabs>
          <w:tab w:val="left" w:pos="800"/>
        </w:tabs>
        <w:overflowPunct w:val="0"/>
        <w:autoSpaceDE w:val="0"/>
        <w:autoSpaceDN w:val="0"/>
        <w:adjustRightInd w:val="0"/>
        <w:spacing w:line="360" w:lineRule="auto"/>
        <w:ind w:left="720"/>
        <w:jc w:val="both"/>
        <w:textAlignment w:val="baseline"/>
        <w:rPr>
          <w:rFonts w:ascii="Arial" w:hAnsi="Arial" w:cs="Arial"/>
          <w:spacing w:val="10"/>
          <w:sz w:val="16"/>
          <w:szCs w:val="16"/>
        </w:rPr>
      </w:pPr>
    </w:p>
    <w:p w14:paraId="79DE842E" w14:textId="77777777" w:rsidR="00CD4628" w:rsidRPr="00CD4628" w:rsidRDefault="00CD4628" w:rsidP="00CD4628">
      <w:pPr>
        <w:numPr>
          <w:ilvl w:val="0"/>
          <w:numId w:val="1"/>
        </w:numPr>
        <w:tabs>
          <w:tab w:val="left" w:pos="800"/>
        </w:tabs>
        <w:overflowPunct w:val="0"/>
        <w:autoSpaceDE w:val="0"/>
        <w:autoSpaceDN w:val="0"/>
        <w:adjustRightInd w:val="0"/>
        <w:spacing w:line="360" w:lineRule="auto"/>
        <w:jc w:val="both"/>
        <w:textAlignment w:val="baseline"/>
        <w:rPr>
          <w:rFonts w:ascii="Arial" w:hAnsi="Arial" w:cs="Arial"/>
          <w:spacing w:val="10"/>
          <w:sz w:val="28"/>
          <w:szCs w:val="28"/>
        </w:rPr>
      </w:pPr>
      <w:r w:rsidRPr="00CD4628">
        <w:rPr>
          <w:rFonts w:ascii="Arial" w:hAnsi="Arial" w:cs="Arial"/>
          <w:spacing w:val="10"/>
          <w:sz w:val="28"/>
          <w:szCs w:val="28"/>
          <w:rtl/>
        </w:rPr>
        <w:t>5,000 ₪ קנס או 30 ימי מאסר תמורתו.</w:t>
      </w:r>
    </w:p>
    <w:p w14:paraId="6881DC82" w14:textId="77777777" w:rsidR="00CD4628" w:rsidRPr="00CD4628" w:rsidRDefault="00CD4628" w:rsidP="00CD4628">
      <w:pPr>
        <w:tabs>
          <w:tab w:val="left" w:pos="800"/>
        </w:tabs>
        <w:overflowPunct w:val="0"/>
        <w:autoSpaceDE w:val="0"/>
        <w:autoSpaceDN w:val="0"/>
        <w:adjustRightInd w:val="0"/>
        <w:spacing w:line="360" w:lineRule="auto"/>
        <w:ind w:left="360"/>
        <w:jc w:val="both"/>
        <w:textAlignment w:val="baseline"/>
        <w:rPr>
          <w:rFonts w:ascii="Arial" w:hAnsi="Arial" w:cs="Arial"/>
          <w:spacing w:val="10"/>
          <w:sz w:val="28"/>
          <w:szCs w:val="28"/>
          <w:rtl/>
        </w:rPr>
      </w:pPr>
    </w:p>
    <w:p w14:paraId="58F5548C" w14:textId="77777777" w:rsidR="00CD4628" w:rsidRPr="00CD4628" w:rsidRDefault="00CD4628" w:rsidP="00CD4628">
      <w:pPr>
        <w:tabs>
          <w:tab w:val="left" w:pos="800"/>
        </w:tabs>
        <w:overflowPunct w:val="0"/>
        <w:autoSpaceDE w:val="0"/>
        <w:autoSpaceDN w:val="0"/>
        <w:adjustRightInd w:val="0"/>
        <w:spacing w:line="360" w:lineRule="auto"/>
        <w:jc w:val="both"/>
        <w:textAlignment w:val="baseline"/>
        <w:rPr>
          <w:rFonts w:ascii="Arial" w:hAnsi="Arial" w:cs="Arial"/>
          <w:b/>
          <w:bCs/>
          <w:spacing w:val="10"/>
          <w:sz w:val="28"/>
          <w:szCs w:val="28"/>
          <w:rtl/>
        </w:rPr>
      </w:pPr>
      <w:r w:rsidRPr="00CD4628">
        <w:rPr>
          <w:rFonts w:ascii="Arial" w:hAnsi="Arial" w:cs="Arial"/>
          <w:b/>
          <w:bCs/>
          <w:spacing w:val="10"/>
          <w:sz w:val="28"/>
          <w:szCs w:val="28"/>
          <w:rtl/>
        </w:rPr>
        <w:t>זכות ערעור לבית המשפט העליון תוך 45 יום</w:t>
      </w:r>
      <w:r w:rsidRPr="00CD4628">
        <w:rPr>
          <w:rFonts w:ascii="Arial" w:hAnsi="Arial" w:cs="Arial" w:hint="cs"/>
          <w:b/>
          <w:bCs/>
          <w:spacing w:val="10"/>
          <w:sz w:val="28"/>
          <w:szCs w:val="28"/>
          <w:rtl/>
        </w:rPr>
        <w:t xml:space="preserve"> מהיום</w:t>
      </w:r>
      <w:r w:rsidRPr="00CD4628">
        <w:rPr>
          <w:rFonts w:ascii="Arial" w:hAnsi="Arial" w:cs="Arial"/>
          <w:b/>
          <w:bCs/>
          <w:spacing w:val="10"/>
          <w:sz w:val="28"/>
          <w:szCs w:val="28"/>
          <w:rtl/>
        </w:rPr>
        <w:t>.</w:t>
      </w:r>
    </w:p>
    <w:p w14:paraId="56B95939" w14:textId="77777777" w:rsidR="00CD4628" w:rsidRPr="00CD4628" w:rsidRDefault="00CD4628" w:rsidP="00CD4628">
      <w:pPr>
        <w:tabs>
          <w:tab w:val="left" w:pos="800"/>
        </w:tabs>
        <w:overflowPunct w:val="0"/>
        <w:autoSpaceDE w:val="0"/>
        <w:autoSpaceDN w:val="0"/>
        <w:adjustRightInd w:val="0"/>
        <w:spacing w:line="360" w:lineRule="auto"/>
        <w:ind w:left="360"/>
        <w:jc w:val="both"/>
        <w:textAlignment w:val="baseline"/>
        <w:rPr>
          <w:rFonts w:ascii="Arial" w:hAnsi="Arial" w:cs="Arial"/>
          <w:spacing w:val="10"/>
          <w:sz w:val="28"/>
          <w:szCs w:val="28"/>
          <w:rtl/>
        </w:rPr>
      </w:pPr>
    </w:p>
    <w:p w14:paraId="1FA0BBCC" w14:textId="77777777" w:rsidR="00CD4628" w:rsidRPr="00CD4628" w:rsidRDefault="008755AD" w:rsidP="00CD4628">
      <w:pPr>
        <w:spacing w:line="360" w:lineRule="auto"/>
        <w:jc w:val="both"/>
        <w:rPr>
          <w:rFonts w:ascii="Arial" w:hAnsi="Arial" w:cs="Arial"/>
          <w:sz w:val="28"/>
          <w:szCs w:val="28"/>
        </w:rPr>
      </w:pPr>
      <w:bookmarkStart w:id="8" w:name="Nitan"/>
      <w:r w:rsidRPr="008755AD">
        <w:rPr>
          <w:rFonts w:ascii="Arial" w:hAnsi="Arial" w:cs="Arial"/>
          <w:color w:val="FFFFFF"/>
          <w:sz w:val="2"/>
          <w:szCs w:val="2"/>
          <w:rtl/>
        </w:rPr>
        <w:t>5129371</w:t>
      </w:r>
      <w:r>
        <w:rPr>
          <w:rFonts w:ascii="Arial" w:hAnsi="Arial" w:cs="Arial"/>
          <w:sz w:val="28"/>
          <w:szCs w:val="28"/>
          <w:rtl/>
        </w:rPr>
        <w:t xml:space="preserve">ניתן היום,  ח' אייר תשפ"א, 20 אפריל 2021, במעמד ב"כ המאשימה עו"ד       </w:t>
      </w:r>
      <w:bookmarkEnd w:id="8"/>
      <w:r w:rsidR="00CD4628" w:rsidRPr="00CD4628">
        <w:rPr>
          <w:rFonts w:ascii="Arial" w:hAnsi="Arial" w:cs="Arial" w:hint="cs"/>
          <w:sz w:val="28"/>
          <w:szCs w:val="28"/>
          <w:rtl/>
        </w:rPr>
        <w:t>תומר שטיינברג , הנאשם וב"כ עו"ד קריטי</w:t>
      </w:r>
      <w:r w:rsidR="00CD4628" w:rsidRPr="00CD4628">
        <w:rPr>
          <w:rFonts w:ascii="Arial" w:hAnsi="Arial" w:cs="Arial"/>
          <w:sz w:val="28"/>
          <w:szCs w:val="28"/>
          <w:rtl/>
        </w:rPr>
        <w:t>.</w:t>
      </w:r>
    </w:p>
    <w:p w14:paraId="74513DA6" w14:textId="77777777" w:rsidR="00CD4628" w:rsidRPr="008755AD" w:rsidRDefault="008755AD" w:rsidP="00CD4628">
      <w:pPr>
        <w:rPr>
          <w:rFonts w:ascii="Arial" w:hAnsi="Arial" w:cs="Arial"/>
          <w:color w:val="FFFFFF"/>
          <w:sz w:val="2"/>
          <w:szCs w:val="2"/>
          <w:rtl/>
        </w:rPr>
      </w:pPr>
      <w:r w:rsidRPr="008755AD">
        <w:rPr>
          <w:rFonts w:ascii="Arial" w:hAnsi="Arial" w:cs="Arial"/>
          <w:color w:val="FFFFFF"/>
          <w:sz w:val="2"/>
          <w:szCs w:val="2"/>
          <w:rtl/>
        </w:rPr>
        <w:t>54678313</w:t>
      </w:r>
    </w:p>
    <w:p w14:paraId="6BB70083" w14:textId="77777777" w:rsidR="00CD4628" w:rsidRPr="00C71D55" w:rsidRDefault="00CD4628" w:rsidP="008755AD">
      <w:pPr>
        <w:jc w:val="center"/>
      </w:pPr>
      <w:r w:rsidRPr="00CD4628">
        <w:rPr>
          <w:rFonts w:ascii="Arial" w:hAnsi="Arial" w:cs="Arial"/>
          <w:sz w:val="28"/>
          <w:szCs w:val="28"/>
          <w:rtl/>
        </w:rPr>
        <w:t xml:space="preserve">   </w:t>
      </w:r>
      <w:r w:rsidRPr="00CD4628">
        <w:rPr>
          <w:rFonts w:ascii="Arial" w:hAnsi="Arial" w:cs="Arial"/>
          <w:sz w:val="28"/>
          <w:szCs w:val="28"/>
          <w:rtl/>
        </w:rPr>
        <w:tab/>
      </w:r>
      <w:r w:rsidRPr="00CD4628">
        <w:rPr>
          <w:rFonts w:ascii="Arial" w:hAnsi="Arial" w:cs="Arial"/>
          <w:sz w:val="28"/>
          <w:szCs w:val="28"/>
          <w:rtl/>
        </w:rPr>
        <w:tab/>
      </w:r>
      <w:r w:rsidRPr="00CD4628">
        <w:rPr>
          <w:rFonts w:ascii="Arial" w:hAnsi="Arial" w:cs="Arial"/>
          <w:sz w:val="28"/>
          <w:szCs w:val="28"/>
          <w:rtl/>
        </w:rPr>
        <w:tab/>
      </w:r>
      <w:r w:rsidRPr="00CD4628">
        <w:rPr>
          <w:rFonts w:ascii="Arial" w:hAnsi="Arial" w:cs="Arial"/>
          <w:sz w:val="28"/>
          <w:szCs w:val="28"/>
          <w:rtl/>
        </w:rPr>
        <w:tab/>
      </w:r>
      <w:r w:rsidRPr="00CD4628">
        <w:rPr>
          <w:rFonts w:ascii="Arial" w:hAnsi="Arial" w:cs="Arial"/>
          <w:sz w:val="28"/>
          <w:szCs w:val="28"/>
          <w:rtl/>
        </w:rPr>
        <w:tab/>
      </w:r>
    </w:p>
    <w:p w14:paraId="669BA17E" w14:textId="77777777" w:rsidR="00CD4628" w:rsidRPr="00CD4628" w:rsidRDefault="00CD4628" w:rsidP="00CD4628">
      <w:pPr>
        <w:jc w:val="center"/>
        <w:rPr>
          <w:rFonts w:ascii="Arial" w:hAnsi="Arial" w:cs="Arial"/>
          <w:sz w:val="28"/>
          <w:szCs w:val="28"/>
          <w:rtl/>
        </w:rPr>
      </w:pPr>
    </w:p>
    <w:p w14:paraId="7B8F3B02" w14:textId="77777777" w:rsidR="00CD4628" w:rsidRPr="00CD4628" w:rsidRDefault="00CD4628" w:rsidP="00CD4628">
      <w:pPr>
        <w:rPr>
          <w:rFonts w:ascii="Arial" w:hAnsi="Arial" w:cs="Arial"/>
          <w:sz w:val="28"/>
          <w:szCs w:val="28"/>
          <w:rtl/>
        </w:rPr>
      </w:pPr>
    </w:p>
    <w:p w14:paraId="40D7AC92" w14:textId="77777777" w:rsidR="00CD4628" w:rsidRPr="00CD4628" w:rsidRDefault="00CD4628" w:rsidP="00CD4628">
      <w:pPr>
        <w:pStyle w:val="a3"/>
        <w:jc w:val="center"/>
        <w:rPr>
          <w:rFonts w:ascii="Arial" w:hAnsi="Arial" w:cs="Arial"/>
          <w:sz w:val="28"/>
          <w:szCs w:val="28"/>
          <w:rtl/>
        </w:rPr>
      </w:pPr>
    </w:p>
    <w:p w14:paraId="2D0425CC" w14:textId="77777777" w:rsidR="00323BA8" w:rsidRPr="008755AD" w:rsidRDefault="00323BA8" w:rsidP="008755AD">
      <w:pPr>
        <w:keepNext/>
        <w:rPr>
          <w:rFonts w:ascii="David" w:hAnsi="David"/>
          <w:color w:val="000000"/>
          <w:sz w:val="22"/>
          <w:szCs w:val="22"/>
          <w:rtl/>
        </w:rPr>
      </w:pPr>
    </w:p>
    <w:p w14:paraId="132AC4E6" w14:textId="77777777" w:rsidR="008755AD" w:rsidRPr="008755AD" w:rsidRDefault="008755AD" w:rsidP="008755AD">
      <w:pPr>
        <w:keepNext/>
        <w:rPr>
          <w:rFonts w:ascii="David" w:hAnsi="David"/>
          <w:color w:val="000000"/>
          <w:sz w:val="22"/>
          <w:szCs w:val="22"/>
          <w:rtl/>
        </w:rPr>
      </w:pPr>
      <w:r w:rsidRPr="008755AD">
        <w:rPr>
          <w:rFonts w:ascii="David" w:hAnsi="David"/>
          <w:color w:val="000000"/>
          <w:sz w:val="22"/>
          <w:szCs w:val="22"/>
          <w:rtl/>
        </w:rPr>
        <w:t>מיכל ברנט 54678313</w:t>
      </w:r>
    </w:p>
    <w:p w14:paraId="6AD07176" w14:textId="77777777" w:rsidR="008755AD" w:rsidRDefault="008755AD" w:rsidP="008755AD">
      <w:pPr>
        <w:rPr>
          <w:rFonts w:hint="cs"/>
        </w:rPr>
      </w:pPr>
      <w:r w:rsidRPr="008755AD">
        <w:rPr>
          <w:color w:val="000000"/>
          <w:rtl/>
        </w:rPr>
        <w:t>נוסח מסמך זה כפוף לשינויי ניסוח ועריכה</w:t>
      </w:r>
      <w:r w:rsidR="00593F8B">
        <w:rPr>
          <w:rFonts w:hint="cs"/>
          <w:rtl/>
        </w:rPr>
        <w:t xml:space="preserve"> </w:t>
      </w:r>
    </w:p>
    <w:p w14:paraId="599DA7C3" w14:textId="77777777" w:rsidR="008755AD" w:rsidRDefault="008755AD" w:rsidP="008755AD">
      <w:pPr>
        <w:rPr>
          <w:rtl/>
        </w:rPr>
      </w:pPr>
    </w:p>
    <w:p w14:paraId="1039D343" w14:textId="77777777" w:rsidR="008755AD" w:rsidRDefault="008755AD" w:rsidP="008755AD">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156A68A4" w14:textId="77777777" w:rsidR="008755AD" w:rsidRPr="008755AD" w:rsidRDefault="008755AD" w:rsidP="008755AD">
      <w:pPr>
        <w:jc w:val="center"/>
        <w:rPr>
          <w:color w:val="0000FF"/>
          <w:u w:val="single"/>
        </w:rPr>
      </w:pPr>
    </w:p>
    <w:sectPr w:rsidR="008755AD" w:rsidRPr="008755AD" w:rsidSect="008755A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1424C" w14:textId="77777777" w:rsidR="00D10CF0" w:rsidRDefault="00D10CF0" w:rsidP="00AF6AC1">
      <w:r>
        <w:separator/>
      </w:r>
    </w:p>
  </w:endnote>
  <w:endnote w:type="continuationSeparator" w:id="0">
    <w:p w14:paraId="6B1C7320" w14:textId="77777777" w:rsidR="00D10CF0" w:rsidRDefault="00D10CF0" w:rsidP="00AF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9D93D" w14:textId="77777777" w:rsidR="008755AD" w:rsidRDefault="008755AD" w:rsidP="008755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20FBFD1" w14:textId="77777777" w:rsidR="001079AB" w:rsidRPr="008755AD" w:rsidRDefault="008755AD" w:rsidP="008755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E5404" w14:textId="77777777" w:rsidR="008755AD" w:rsidRDefault="008755AD" w:rsidP="008755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5104">
      <w:rPr>
        <w:rFonts w:ascii="FrankRuehl" w:hAnsi="FrankRuehl" w:cs="FrankRuehl"/>
        <w:noProof/>
        <w:rtl/>
      </w:rPr>
      <w:t>1</w:t>
    </w:r>
    <w:r>
      <w:rPr>
        <w:rFonts w:ascii="FrankRuehl" w:hAnsi="FrankRuehl" w:cs="FrankRuehl"/>
        <w:rtl/>
      </w:rPr>
      <w:fldChar w:fldCharType="end"/>
    </w:r>
  </w:p>
  <w:p w14:paraId="0A09E670" w14:textId="77777777" w:rsidR="001079AB" w:rsidRPr="008755AD" w:rsidRDefault="008755AD" w:rsidP="008755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2502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21A64" w14:textId="77777777" w:rsidR="00D10CF0" w:rsidRDefault="00D10CF0" w:rsidP="00AF6AC1">
      <w:r>
        <w:separator/>
      </w:r>
    </w:p>
  </w:footnote>
  <w:footnote w:type="continuationSeparator" w:id="0">
    <w:p w14:paraId="576B9C38" w14:textId="77777777" w:rsidR="00D10CF0" w:rsidRDefault="00D10CF0" w:rsidP="00AF6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6C601" w14:textId="77777777" w:rsidR="008755AD" w:rsidRPr="008755AD" w:rsidRDefault="008755AD" w:rsidP="008755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10300-06-20</w:t>
    </w:r>
    <w:r>
      <w:rPr>
        <w:rFonts w:ascii="David" w:hAnsi="David"/>
        <w:color w:val="000000"/>
        <w:sz w:val="22"/>
        <w:szCs w:val="22"/>
        <w:rtl/>
      </w:rPr>
      <w:tab/>
      <w:t xml:space="preserve"> מדינת ישראל נ' אלעד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AE963" w14:textId="77777777" w:rsidR="008755AD" w:rsidRPr="008755AD" w:rsidRDefault="008755AD" w:rsidP="008755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10300-06-20</w:t>
    </w:r>
    <w:r>
      <w:rPr>
        <w:rFonts w:ascii="David" w:hAnsi="David"/>
        <w:color w:val="000000"/>
        <w:sz w:val="22"/>
        <w:szCs w:val="22"/>
        <w:rtl/>
      </w:rPr>
      <w:tab/>
      <w:t xml:space="preserve"> מדינת ישראל נ' אלעד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4141B"/>
    <w:multiLevelType w:val="hybridMultilevel"/>
    <w:tmpl w:val="4E50C4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7451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4628"/>
    <w:rsid w:val="001079AB"/>
    <w:rsid w:val="00183A32"/>
    <w:rsid w:val="00323BA8"/>
    <w:rsid w:val="00593F8B"/>
    <w:rsid w:val="005A76E6"/>
    <w:rsid w:val="008755AD"/>
    <w:rsid w:val="00923973"/>
    <w:rsid w:val="009A4E4C"/>
    <w:rsid w:val="00AF6AC1"/>
    <w:rsid w:val="00B51703"/>
    <w:rsid w:val="00B62FBC"/>
    <w:rsid w:val="00B7190D"/>
    <w:rsid w:val="00C169C7"/>
    <w:rsid w:val="00CD4628"/>
    <w:rsid w:val="00CF5104"/>
    <w:rsid w:val="00D10CF0"/>
    <w:rsid w:val="00DD4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4A2B7C"/>
  <w15:chartTrackingRefBased/>
  <w15:docId w15:val="{DA250A67-ACAF-435E-9FF5-DB1A9823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46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4628"/>
    <w:pPr>
      <w:tabs>
        <w:tab w:val="center" w:pos="4153"/>
        <w:tab w:val="right" w:pos="8306"/>
      </w:tabs>
    </w:pPr>
  </w:style>
  <w:style w:type="character" w:customStyle="1" w:styleId="a4">
    <w:name w:val="כותרת עליונה תו"/>
    <w:link w:val="a3"/>
    <w:rsid w:val="00CD4628"/>
    <w:rPr>
      <w:rFonts w:ascii="Times New Roman" w:eastAsia="Times New Roman" w:hAnsi="Times New Roman" w:cs="David"/>
      <w:sz w:val="24"/>
      <w:szCs w:val="24"/>
    </w:rPr>
  </w:style>
  <w:style w:type="paragraph" w:styleId="a5">
    <w:name w:val="footer"/>
    <w:basedOn w:val="a"/>
    <w:link w:val="a6"/>
    <w:rsid w:val="00CD4628"/>
    <w:pPr>
      <w:tabs>
        <w:tab w:val="center" w:pos="4153"/>
        <w:tab w:val="right" w:pos="8306"/>
      </w:tabs>
    </w:pPr>
  </w:style>
  <w:style w:type="character" w:customStyle="1" w:styleId="a6">
    <w:name w:val="כותרת תחתונה תו"/>
    <w:link w:val="a5"/>
    <w:rsid w:val="00CD4628"/>
    <w:rPr>
      <w:rFonts w:ascii="Times New Roman" w:eastAsia="Times New Roman" w:hAnsi="Times New Roman" w:cs="David"/>
      <w:sz w:val="24"/>
      <w:szCs w:val="24"/>
    </w:rPr>
  </w:style>
  <w:style w:type="table" w:styleId="a7">
    <w:name w:val="Table Grid"/>
    <w:basedOn w:val="a1"/>
    <w:rsid w:val="00CD46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4628"/>
  </w:style>
  <w:style w:type="character" w:styleId="Hyperlink">
    <w:name w:val="Hyperlink"/>
    <w:rsid w:val="00875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20" TargetMode="External"/><Relationship Id="rId18" Type="http://schemas.openxmlformats.org/officeDocument/2006/relationships/hyperlink" Target="http://www.nevo.co.il/law/70301/415" TargetMode="External"/><Relationship Id="rId26" Type="http://schemas.openxmlformats.org/officeDocument/2006/relationships/hyperlink" Target="http://www.nevo.co.il/law/70301/420" TargetMode="External"/><Relationship Id="rId39" Type="http://schemas.openxmlformats.org/officeDocument/2006/relationships/hyperlink" Target="http://www.nevo.co.il/case/20329180"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26905927"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7929065" TargetMode="External"/><Relationship Id="rId50" Type="http://schemas.openxmlformats.org/officeDocument/2006/relationships/hyperlink" Target="http://www.nevo.co.il/case/24140726" TargetMode="External"/><Relationship Id="rId55" Type="http://schemas.openxmlformats.org/officeDocument/2006/relationships/hyperlink" Target="http://www.nevo.co.il/case/23580738"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15" TargetMode="External"/><Relationship Id="rId24" Type="http://schemas.openxmlformats.org/officeDocument/2006/relationships/hyperlink" Target="http://www.nevo.co.il/law/70301/418" TargetMode="External"/><Relationship Id="rId32" Type="http://schemas.openxmlformats.org/officeDocument/2006/relationships/hyperlink" Target="http://www.nevo.co.il/case/25294543" TargetMode="External"/><Relationship Id="rId37" Type="http://schemas.openxmlformats.org/officeDocument/2006/relationships/hyperlink" Target="http://www.nevo.co.il/case/7821883" TargetMode="External"/><Relationship Id="rId40" Type="http://schemas.openxmlformats.org/officeDocument/2006/relationships/hyperlink" Target="http://www.nevo.co.il/case/27309272" TargetMode="External"/><Relationship Id="rId45" Type="http://schemas.openxmlformats.org/officeDocument/2006/relationships/hyperlink" Target="http://www.nevo.co.il/case/10485614" TargetMode="External"/><Relationship Id="rId53" Type="http://schemas.openxmlformats.org/officeDocument/2006/relationships/hyperlink" Target="http://www.nevo.co.il/case/25612982"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418"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15" TargetMode="External"/><Relationship Id="rId30" Type="http://schemas.openxmlformats.org/officeDocument/2006/relationships/hyperlink" Target="http://www.nevo.co.il/law/70301/144.c1.1" TargetMode="External"/><Relationship Id="rId35" Type="http://schemas.openxmlformats.org/officeDocument/2006/relationships/hyperlink" Target="http://www.nevo.co.il/case/26779313" TargetMode="External"/><Relationship Id="rId43" Type="http://schemas.openxmlformats.org/officeDocument/2006/relationships/hyperlink" Target="http://www.nevo.co.il/case/25824863" TargetMode="External"/><Relationship Id="rId48" Type="http://schemas.openxmlformats.org/officeDocument/2006/relationships/hyperlink" Target="http://www.nevo.co.il/case/6102612" TargetMode="External"/><Relationship Id="rId56" Type="http://schemas.openxmlformats.org/officeDocument/2006/relationships/hyperlink" Target="http://www.nevo.co.il/case/25951355" TargetMode="External"/><Relationship Id="rId8" Type="http://schemas.openxmlformats.org/officeDocument/2006/relationships/hyperlink" Target="http://www.nevo.co.il/law/70301/144.a" TargetMode="External"/><Relationship Id="rId51" Type="http://schemas.openxmlformats.org/officeDocument/2006/relationships/hyperlink" Target="http://www.nevo.co.il/case/25824863" TargetMode="External"/><Relationship Id="rId3" Type="http://schemas.openxmlformats.org/officeDocument/2006/relationships/settings" Target="settings.xml"/><Relationship Id="rId12" Type="http://schemas.openxmlformats.org/officeDocument/2006/relationships/hyperlink" Target="http://www.nevo.co.il/law/70301/418" TargetMode="External"/><Relationship Id="rId17" Type="http://schemas.openxmlformats.org/officeDocument/2006/relationships/hyperlink" Target="http://www.nevo.co.il/law/70301/144.c1.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6358476" TargetMode="External"/><Relationship Id="rId38" Type="http://schemas.openxmlformats.org/officeDocument/2006/relationships/hyperlink" Target="http://www.nevo.co.il/case/27171364" TargetMode="External"/><Relationship Id="rId46" Type="http://schemas.openxmlformats.org/officeDocument/2006/relationships/hyperlink" Target="http://www.nevo.co.il/case/6473037" TargetMode="External"/><Relationship Id="rId59" Type="http://schemas.openxmlformats.org/officeDocument/2006/relationships/header" Target="header2.xml"/><Relationship Id="rId20" Type="http://schemas.openxmlformats.org/officeDocument/2006/relationships/hyperlink" Target="http://www.nevo.co.il/law/70301/420"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case/2385096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5951355" TargetMode="External"/><Relationship Id="rId28" Type="http://schemas.openxmlformats.org/officeDocument/2006/relationships/hyperlink" Target="http://www.nevo.co.il/case/23580738" TargetMode="External"/><Relationship Id="rId36" Type="http://schemas.openxmlformats.org/officeDocument/2006/relationships/hyperlink" Target="http://www.nevo.co.il/case/10485614" TargetMode="External"/><Relationship Id="rId49" Type="http://schemas.openxmlformats.org/officeDocument/2006/relationships/hyperlink" Target="http://www.nevo.co.il/case/26248279"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c1.1" TargetMode="External"/><Relationship Id="rId31" Type="http://schemas.openxmlformats.org/officeDocument/2006/relationships/hyperlink" Target="http://www.nevo.co.il/case/27309272" TargetMode="External"/><Relationship Id="rId44" Type="http://schemas.openxmlformats.org/officeDocument/2006/relationships/hyperlink" Target="http://www.nevo.co.il/case/7821883" TargetMode="External"/><Relationship Id="rId52" Type="http://schemas.openxmlformats.org/officeDocument/2006/relationships/hyperlink" Target="http://www.nevo.co.il/case/25836997"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20936</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4128887</vt:i4>
      </vt:variant>
      <vt:variant>
        <vt:i4>147</vt:i4>
      </vt:variant>
      <vt:variant>
        <vt:i4>0</vt:i4>
      </vt:variant>
      <vt:variant>
        <vt:i4>5</vt:i4>
      </vt:variant>
      <vt:variant>
        <vt:lpwstr>http://www.nevo.co.il/case/25951355</vt:lpwstr>
      </vt:variant>
      <vt:variant>
        <vt:lpwstr/>
      </vt:variant>
      <vt:variant>
        <vt:i4>3407992</vt:i4>
      </vt:variant>
      <vt:variant>
        <vt:i4>144</vt:i4>
      </vt:variant>
      <vt:variant>
        <vt:i4>0</vt:i4>
      </vt:variant>
      <vt:variant>
        <vt:i4>5</vt:i4>
      </vt:variant>
      <vt:variant>
        <vt:lpwstr>http://www.nevo.co.il/case/23580738</vt:lpwstr>
      </vt:variant>
      <vt:variant>
        <vt:lpwstr/>
      </vt:variant>
      <vt:variant>
        <vt:i4>3932283</vt:i4>
      </vt:variant>
      <vt:variant>
        <vt:i4>141</vt:i4>
      </vt:variant>
      <vt:variant>
        <vt:i4>0</vt:i4>
      </vt:variant>
      <vt:variant>
        <vt:i4>5</vt:i4>
      </vt:variant>
      <vt:variant>
        <vt:lpwstr>http://www.nevo.co.il/case/23850962</vt:lpwstr>
      </vt:variant>
      <vt:variant>
        <vt:lpwstr/>
      </vt:variant>
      <vt:variant>
        <vt:i4>4063353</vt:i4>
      </vt:variant>
      <vt:variant>
        <vt:i4>138</vt:i4>
      </vt:variant>
      <vt:variant>
        <vt:i4>0</vt:i4>
      </vt:variant>
      <vt:variant>
        <vt:i4>5</vt:i4>
      </vt:variant>
      <vt:variant>
        <vt:lpwstr>http://www.nevo.co.il/case/25612982</vt:lpwstr>
      </vt:variant>
      <vt:variant>
        <vt:lpwstr/>
      </vt:variant>
      <vt:variant>
        <vt:i4>3473531</vt:i4>
      </vt:variant>
      <vt:variant>
        <vt:i4>135</vt:i4>
      </vt:variant>
      <vt:variant>
        <vt:i4>0</vt:i4>
      </vt:variant>
      <vt:variant>
        <vt:i4>5</vt:i4>
      </vt:variant>
      <vt:variant>
        <vt:lpwstr>http://www.nevo.co.il/case/25836997</vt:lpwstr>
      </vt:variant>
      <vt:variant>
        <vt:lpwstr/>
      </vt:variant>
      <vt:variant>
        <vt:i4>3670139</vt:i4>
      </vt:variant>
      <vt:variant>
        <vt:i4>132</vt:i4>
      </vt:variant>
      <vt:variant>
        <vt:i4>0</vt:i4>
      </vt:variant>
      <vt:variant>
        <vt:i4>5</vt:i4>
      </vt:variant>
      <vt:variant>
        <vt:lpwstr>http://www.nevo.co.il/case/25824863</vt:lpwstr>
      </vt:variant>
      <vt:variant>
        <vt:lpwstr/>
      </vt:variant>
      <vt:variant>
        <vt:i4>3211379</vt:i4>
      </vt:variant>
      <vt:variant>
        <vt:i4>129</vt:i4>
      </vt:variant>
      <vt:variant>
        <vt:i4>0</vt:i4>
      </vt:variant>
      <vt:variant>
        <vt:i4>5</vt:i4>
      </vt:variant>
      <vt:variant>
        <vt:lpwstr>http://www.nevo.co.il/case/24140726</vt:lpwstr>
      </vt:variant>
      <vt:variant>
        <vt:lpwstr/>
      </vt:variant>
      <vt:variant>
        <vt:i4>4128884</vt:i4>
      </vt:variant>
      <vt:variant>
        <vt:i4>126</vt:i4>
      </vt:variant>
      <vt:variant>
        <vt:i4>0</vt:i4>
      </vt:variant>
      <vt:variant>
        <vt:i4>5</vt:i4>
      </vt:variant>
      <vt:variant>
        <vt:lpwstr>http://www.nevo.co.il/case/26248279</vt:lpwstr>
      </vt:variant>
      <vt:variant>
        <vt:lpwstr/>
      </vt:variant>
      <vt:variant>
        <vt:i4>3276918</vt:i4>
      </vt:variant>
      <vt:variant>
        <vt:i4>123</vt:i4>
      </vt:variant>
      <vt:variant>
        <vt:i4>0</vt:i4>
      </vt:variant>
      <vt:variant>
        <vt:i4>5</vt:i4>
      </vt:variant>
      <vt:variant>
        <vt:lpwstr>http://www.nevo.co.il/case/6102612</vt:lpwstr>
      </vt:variant>
      <vt:variant>
        <vt:lpwstr/>
      </vt:variant>
      <vt:variant>
        <vt:i4>3604593</vt:i4>
      </vt:variant>
      <vt:variant>
        <vt:i4>120</vt:i4>
      </vt:variant>
      <vt:variant>
        <vt:i4>0</vt:i4>
      </vt:variant>
      <vt:variant>
        <vt:i4>5</vt:i4>
      </vt:variant>
      <vt:variant>
        <vt:lpwstr>http://www.nevo.co.il/case/17929065</vt:lpwstr>
      </vt:variant>
      <vt:variant>
        <vt:lpwstr/>
      </vt:variant>
      <vt:variant>
        <vt:i4>3539056</vt:i4>
      </vt:variant>
      <vt:variant>
        <vt:i4>117</vt:i4>
      </vt:variant>
      <vt:variant>
        <vt:i4>0</vt:i4>
      </vt:variant>
      <vt:variant>
        <vt:i4>5</vt:i4>
      </vt:variant>
      <vt:variant>
        <vt:lpwstr>http://www.nevo.co.il/case/6473037</vt:lpwstr>
      </vt:variant>
      <vt:variant>
        <vt:lpwstr/>
      </vt:variant>
      <vt:variant>
        <vt:i4>3211386</vt:i4>
      </vt:variant>
      <vt:variant>
        <vt:i4>114</vt:i4>
      </vt:variant>
      <vt:variant>
        <vt:i4>0</vt:i4>
      </vt:variant>
      <vt:variant>
        <vt:i4>5</vt:i4>
      </vt:variant>
      <vt:variant>
        <vt:lpwstr>http://www.nevo.co.il/case/10485614</vt:lpwstr>
      </vt:variant>
      <vt:variant>
        <vt:lpwstr/>
      </vt:variant>
      <vt:variant>
        <vt:i4>4063349</vt:i4>
      </vt:variant>
      <vt:variant>
        <vt:i4>111</vt:i4>
      </vt:variant>
      <vt:variant>
        <vt:i4>0</vt:i4>
      </vt:variant>
      <vt:variant>
        <vt:i4>5</vt:i4>
      </vt:variant>
      <vt:variant>
        <vt:lpwstr>http://www.nevo.co.il/case/7821883</vt:lpwstr>
      </vt:variant>
      <vt:variant>
        <vt:lpwstr/>
      </vt:variant>
      <vt:variant>
        <vt:i4>3670139</vt:i4>
      </vt:variant>
      <vt:variant>
        <vt:i4>108</vt:i4>
      </vt:variant>
      <vt:variant>
        <vt:i4>0</vt:i4>
      </vt:variant>
      <vt:variant>
        <vt:i4>5</vt:i4>
      </vt:variant>
      <vt:variant>
        <vt:lpwstr>http://www.nevo.co.il/case/25824863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4128881</vt:i4>
      </vt:variant>
      <vt:variant>
        <vt:i4>99</vt:i4>
      </vt:variant>
      <vt:variant>
        <vt:i4>0</vt:i4>
      </vt:variant>
      <vt:variant>
        <vt:i4>5</vt:i4>
      </vt:variant>
      <vt:variant>
        <vt:lpwstr>http://www.nevo.co.il/case/27309272</vt:lpwstr>
      </vt:variant>
      <vt:variant>
        <vt:lpwstr/>
      </vt:variant>
      <vt:variant>
        <vt:i4>3145847</vt:i4>
      </vt:variant>
      <vt:variant>
        <vt:i4>96</vt:i4>
      </vt:variant>
      <vt:variant>
        <vt:i4>0</vt:i4>
      </vt:variant>
      <vt:variant>
        <vt:i4>5</vt:i4>
      </vt:variant>
      <vt:variant>
        <vt:lpwstr>http://www.nevo.co.il/case/20329180</vt:lpwstr>
      </vt:variant>
      <vt:variant>
        <vt:lpwstr/>
      </vt:variant>
      <vt:variant>
        <vt:i4>3407991</vt:i4>
      </vt:variant>
      <vt:variant>
        <vt:i4>93</vt:i4>
      </vt:variant>
      <vt:variant>
        <vt:i4>0</vt:i4>
      </vt:variant>
      <vt:variant>
        <vt:i4>5</vt:i4>
      </vt:variant>
      <vt:variant>
        <vt:lpwstr>http://www.nevo.co.il/case/27171364</vt:lpwstr>
      </vt:variant>
      <vt:variant>
        <vt:lpwstr/>
      </vt:variant>
      <vt:variant>
        <vt:i4>4063349</vt:i4>
      </vt:variant>
      <vt:variant>
        <vt:i4>90</vt:i4>
      </vt:variant>
      <vt:variant>
        <vt:i4>0</vt:i4>
      </vt:variant>
      <vt:variant>
        <vt:i4>5</vt:i4>
      </vt:variant>
      <vt:variant>
        <vt:lpwstr>http://www.nevo.co.il/case/7821883</vt:lpwstr>
      </vt:variant>
      <vt:variant>
        <vt:lpwstr/>
      </vt:variant>
      <vt:variant>
        <vt:i4>3211386</vt:i4>
      </vt:variant>
      <vt:variant>
        <vt:i4>87</vt:i4>
      </vt:variant>
      <vt:variant>
        <vt:i4>0</vt:i4>
      </vt:variant>
      <vt:variant>
        <vt:i4>5</vt:i4>
      </vt:variant>
      <vt:variant>
        <vt:lpwstr>http://www.nevo.co.il/case/10485614</vt:lpwstr>
      </vt:variant>
      <vt:variant>
        <vt:lpwstr/>
      </vt:variant>
      <vt:variant>
        <vt:i4>3997814</vt:i4>
      </vt:variant>
      <vt:variant>
        <vt:i4>84</vt:i4>
      </vt:variant>
      <vt:variant>
        <vt:i4>0</vt:i4>
      </vt:variant>
      <vt:variant>
        <vt:i4>5</vt:i4>
      </vt:variant>
      <vt:variant>
        <vt:lpwstr>http://www.nevo.co.il/case/26779313</vt:lpwstr>
      </vt:variant>
      <vt:variant>
        <vt:lpwstr/>
      </vt:variant>
      <vt:variant>
        <vt:i4>3932283</vt:i4>
      </vt:variant>
      <vt:variant>
        <vt:i4>81</vt:i4>
      </vt:variant>
      <vt:variant>
        <vt:i4>0</vt:i4>
      </vt:variant>
      <vt:variant>
        <vt:i4>5</vt:i4>
      </vt:variant>
      <vt:variant>
        <vt:lpwstr>http://www.nevo.co.il/case/26905927</vt:lpwstr>
      </vt:variant>
      <vt:variant>
        <vt:lpwstr/>
      </vt:variant>
      <vt:variant>
        <vt:i4>4063347</vt:i4>
      </vt:variant>
      <vt:variant>
        <vt:i4>78</vt:i4>
      </vt:variant>
      <vt:variant>
        <vt:i4>0</vt:i4>
      </vt:variant>
      <vt:variant>
        <vt:i4>5</vt:i4>
      </vt:variant>
      <vt:variant>
        <vt:lpwstr>http://www.nevo.co.il/case/26358476</vt:lpwstr>
      </vt:variant>
      <vt:variant>
        <vt:lpwstr/>
      </vt:variant>
      <vt:variant>
        <vt:i4>3145853</vt:i4>
      </vt:variant>
      <vt:variant>
        <vt:i4>75</vt:i4>
      </vt:variant>
      <vt:variant>
        <vt:i4>0</vt:i4>
      </vt:variant>
      <vt:variant>
        <vt:i4>5</vt:i4>
      </vt:variant>
      <vt:variant>
        <vt:lpwstr>http://www.nevo.co.il/case/25294543</vt:lpwstr>
      </vt:variant>
      <vt:variant>
        <vt:lpwstr/>
      </vt:variant>
      <vt:variant>
        <vt:i4>4128881</vt:i4>
      </vt:variant>
      <vt:variant>
        <vt:i4>72</vt:i4>
      </vt:variant>
      <vt:variant>
        <vt:i4>0</vt:i4>
      </vt:variant>
      <vt:variant>
        <vt:i4>5</vt:i4>
      </vt:variant>
      <vt:variant>
        <vt:lpwstr>http://www.nevo.co.il/case/27309272</vt:lpwstr>
      </vt:variant>
      <vt:variant>
        <vt:lpwstr/>
      </vt:variant>
      <vt:variant>
        <vt:i4>5177373</vt:i4>
      </vt:variant>
      <vt:variant>
        <vt:i4>69</vt:i4>
      </vt:variant>
      <vt:variant>
        <vt:i4>0</vt:i4>
      </vt:variant>
      <vt:variant>
        <vt:i4>5</vt:i4>
      </vt:variant>
      <vt:variant>
        <vt:lpwstr>http://www.nevo.co.il/law/70301/144.c1.1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3407992</vt:i4>
      </vt:variant>
      <vt:variant>
        <vt:i4>63</vt:i4>
      </vt:variant>
      <vt:variant>
        <vt:i4>0</vt:i4>
      </vt:variant>
      <vt:variant>
        <vt:i4>5</vt:i4>
      </vt:variant>
      <vt:variant>
        <vt:lpwstr>http://www.nevo.co.il/case/23580738</vt:lpwstr>
      </vt:variant>
      <vt:variant>
        <vt:lpwstr/>
      </vt:variant>
      <vt:variant>
        <vt:i4>6553697</vt:i4>
      </vt:variant>
      <vt:variant>
        <vt:i4>60</vt:i4>
      </vt:variant>
      <vt:variant>
        <vt:i4>0</vt:i4>
      </vt:variant>
      <vt:variant>
        <vt:i4>5</vt:i4>
      </vt:variant>
      <vt:variant>
        <vt:lpwstr>http://www.nevo.co.il/law/70301/415</vt:lpwstr>
      </vt:variant>
      <vt:variant>
        <vt:lpwstr/>
      </vt:variant>
      <vt:variant>
        <vt:i4>6750305</vt:i4>
      </vt:variant>
      <vt:variant>
        <vt:i4>57</vt:i4>
      </vt:variant>
      <vt:variant>
        <vt:i4>0</vt:i4>
      </vt:variant>
      <vt:variant>
        <vt:i4>5</vt:i4>
      </vt:variant>
      <vt:variant>
        <vt:lpwstr>http://www.nevo.co.il/law/70301/420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6553697</vt:i4>
      </vt:variant>
      <vt:variant>
        <vt:i4>51</vt:i4>
      </vt:variant>
      <vt:variant>
        <vt:i4>0</vt:i4>
      </vt:variant>
      <vt:variant>
        <vt:i4>5</vt:i4>
      </vt:variant>
      <vt:variant>
        <vt:lpwstr>http://www.nevo.co.il/law/70301/418</vt:lpwstr>
      </vt:variant>
      <vt:variant>
        <vt:lpwstr/>
      </vt:variant>
      <vt:variant>
        <vt:i4>4128887</vt:i4>
      </vt:variant>
      <vt:variant>
        <vt:i4>48</vt:i4>
      </vt:variant>
      <vt:variant>
        <vt:i4>0</vt:i4>
      </vt:variant>
      <vt:variant>
        <vt:i4>5</vt:i4>
      </vt:variant>
      <vt:variant>
        <vt:lpwstr>http://www.nevo.co.il/case/25951355</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6750305</vt:i4>
      </vt:variant>
      <vt:variant>
        <vt:i4>39</vt:i4>
      </vt:variant>
      <vt:variant>
        <vt:i4>0</vt:i4>
      </vt:variant>
      <vt:variant>
        <vt:i4>5</vt:i4>
      </vt:variant>
      <vt:variant>
        <vt:lpwstr>http://www.nevo.co.il/law/70301/420</vt:lpwstr>
      </vt:variant>
      <vt:variant>
        <vt:lpwstr/>
      </vt:variant>
      <vt:variant>
        <vt:i4>6553697</vt:i4>
      </vt:variant>
      <vt:variant>
        <vt:i4>36</vt:i4>
      </vt:variant>
      <vt:variant>
        <vt:i4>0</vt:i4>
      </vt:variant>
      <vt:variant>
        <vt:i4>5</vt:i4>
      </vt:variant>
      <vt:variant>
        <vt:lpwstr>http://www.nevo.co.il/law/70301/418</vt:lpwstr>
      </vt:variant>
      <vt:variant>
        <vt:lpwstr/>
      </vt:variant>
      <vt:variant>
        <vt:i4>6553697</vt:i4>
      </vt:variant>
      <vt:variant>
        <vt:i4>33</vt:i4>
      </vt:variant>
      <vt:variant>
        <vt:i4>0</vt:i4>
      </vt:variant>
      <vt:variant>
        <vt:i4>5</vt:i4>
      </vt:variant>
      <vt:variant>
        <vt:lpwstr>http://www.nevo.co.il/law/70301/415</vt:lpwstr>
      </vt:variant>
      <vt:variant>
        <vt:lpwstr/>
      </vt:variant>
      <vt:variant>
        <vt:i4>5177373</vt:i4>
      </vt:variant>
      <vt:variant>
        <vt:i4>30</vt:i4>
      </vt:variant>
      <vt:variant>
        <vt:i4>0</vt:i4>
      </vt:variant>
      <vt:variant>
        <vt:i4>5</vt:i4>
      </vt:variant>
      <vt:variant>
        <vt:lpwstr>http://www.nevo.co.il/law/70301/144.c1.1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6750305</vt:i4>
      </vt:variant>
      <vt:variant>
        <vt:i4>18</vt:i4>
      </vt:variant>
      <vt:variant>
        <vt:i4>0</vt:i4>
      </vt:variant>
      <vt:variant>
        <vt:i4>5</vt:i4>
      </vt:variant>
      <vt:variant>
        <vt:lpwstr>http://www.nevo.co.il/law/70301/420</vt:lpwstr>
      </vt:variant>
      <vt:variant>
        <vt:lpwstr/>
      </vt:variant>
      <vt:variant>
        <vt:i4>6553697</vt:i4>
      </vt:variant>
      <vt:variant>
        <vt:i4>15</vt:i4>
      </vt:variant>
      <vt:variant>
        <vt:i4>0</vt:i4>
      </vt:variant>
      <vt:variant>
        <vt:i4>5</vt:i4>
      </vt:variant>
      <vt:variant>
        <vt:lpwstr>http://www.nevo.co.il/law/70301/418</vt:lpwstr>
      </vt:variant>
      <vt:variant>
        <vt:lpwstr/>
      </vt:variant>
      <vt:variant>
        <vt:i4>6553697</vt:i4>
      </vt:variant>
      <vt:variant>
        <vt:i4>12</vt:i4>
      </vt:variant>
      <vt:variant>
        <vt:i4>0</vt:i4>
      </vt:variant>
      <vt:variant>
        <vt:i4>5</vt:i4>
      </vt:variant>
      <vt:variant>
        <vt:lpwstr>http://www.nevo.co.il/law/70301/415</vt:lpwstr>
      </vt:variant>
      <vt:variant>
        <vt:lpwstr/>
      </vt:variant>
      <vt:variant>
        <vt:i4>5177373</vt:i4>
      </vt:variant>
      <vt:variant>
        <vt:i4>9</vt:i4>
      </vt:variant>
      <vt:variant>
        <vt:i4>0</vt:i4>
      </vt:variant>
      <vt:variant>
        <vt:i4>5</vt:i4>
      </vt:variant>
      <vt:variant>
        <vt:lpwstr>http://www.nevo.co.il/law/70301/144.c1.1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10300</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אלעד כהן;חמזי עראר;עיד אלעמרני;איוב אבו רקייק (עצור/אסיר בפיקוח);סארי עיסא;עבאס טאהה;יעקב יונס;קאסם אבו רקייק;יוסף אל פקיר;יצחק</vt:lpwstr>
  </property>
  <property fmtid="{D5CDD505-2E9C-101B-9397-08002B2CF9AE}" pid="10" name="LAWYER">
    <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20210420</vt:lpwstr>
  </property>
  <property fmtid="{D5CDD505-2E9C-101B-9397-08002B2CF9AE}" pid="14" name="TYPE_N_DATE">
    <vt:lpwstr>39020210420</vt:lpwstr>
  </property>
  <property fmtid="{D5CDD505-2E9C-101B-9397-08002B2CF9AE}" pid="15" name="WORDNUMPAGES">
    <vt:lpwstr>16</vt:lpwstr>
  </property>
  <property fmtid="{D5CDD505-2E9C-101B-9397-08002B2CF9AE}" pid="16" name="TYPE_ABS_DATE">
    <vt:lpwstr>390020210420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25951355:2;23580738:2;27309272:2;25294543;26358476;26905927;26779313;10485614:2;7821883:2;27171364;20329180;25824863:2;6473037;17929065;6102612;26248279;24140726;25836997;25612982;23850962</vt:lpwstr>
  </property>
  <property fmtid="{D5CDD505-2E9C-101B-9397-08002B2CF9AE}" pid="36" name="LAWLISTTMP1">
    <vt:lpwstr>70301/144.a:2;144.b:2;144.c1.1:2;415:2;418:2;420:2</vt:lpwstr>
  </property>
</Properties>
</file>