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650D9C" w:rsidRPr="00481360" w14:paraId="65012C10" w14:textId="77777777" w:rsidTr="007006B5">
        <w:trPr>
          <w:trHeight w:hRule="exact" w:val="418"/>
          <w:jc w:val="center"/>
        </w:trPr>
        <w:tc>
          <w:tcPr>
            <w:tcW w:w="8721" w:type="dxa"/>
            <w:gridSpan w:val="2"/>
          </w:tcPr>
          <w:p w14:paraId="439C7A00" w14:textId="77777777" w:rsidR="00650D9C" w:rsidRPr="00481360" w:rsidRDefault="00650D9C" w:rsidP="00573FD3">
            <w:pPr>
              <w:pStyle w:val="a3"/>
              <w:jc w:val="center"/>
              <w:rPr>
                <w:rFonts w:ascii="Tahoma" w:hAnsi="Tahoma" w:cs="Tahoma"/>
                <w:color w:val="000080"/>
                <w:rtl/>
              </w:rPr>
            </w:pPr>
            <w:r w:rsidRPr="00481360">
              <w:rPr>
                <w:rFonts w:ascii="Tahoma" w:hAnsi="Tahoma" w:cs="Tahoma"/>
                <w:b/>
                <w:bCs/>
                <w:color w:val="000080"/>
                <w:rtl/>
              </w:rPr>
              <w:t>בית המשפט המחוזי בחיפה</w:t>
            </w:r>
          </w:p>
        </w:tc>
      </w:tr>
      <w:tr w:rsidR="00650D9C" w:rsidRPr="00481360" w14:paraId="312F2055" w14:textId="77777777" w:rsidTr="007006B5">
        <w:trPr>
          <w:trHeight w:val="337"/>
          <w:jc w:val="center"/>
        </w:trPr>
        <w:tc>
          <w:tcPr>
            <w:tcW w:w="5055" w:type="dxa"/>
          </w:tcPr>
          <w:p w14:paraId="79044863" w14:textId="77777777" w:rsidR="00650D9C" w:rsidRPr="00481360" w:rsidRDefault="00650D9C" w:rsidP="00573FD3">
            <w:pPr>
              <w:rPr>
                <w:rFonts w:ascii="David" w:hAnsi="David"/>
                <w:rtl/>
              </w:rPr>
            </w:pPr>
            <w:r w:rsidRPr="00481360">
              <w:rPr>
                <w:rFonts w:ascii="David" w:hAnsi="David"/>
                <w:b/>
                <w:bCs/>
                <w:rtl/>
              </w:rPr>
              <w:t>ת"פ 12035-06-20 מדינת ישראל נ' אגבאריה</w:t>
            </w:r>
          </w:p>
          <w:p w14:paraId="3459F15B" w14:textId="77777777" w:rsidR="00650D9C" w:rsidRPr="00481360" w:rsidRDefault="00650D9C" w:rsidP="00573FD3">
            <w:pPr>
              <w:pStyle w:val="a3"/>
              <w:rPr>
                <w:rFonts w:cs="FrankRuehl"/>
                <w:sz w:val="28"/>
                <w:szCs w:val="28"/>
                <w:rtl/>
              </w:rPr>
            </w:pPr>
          </w:p>
        </w:tc>
        <w:tc>
          <w:tcPr>
            <w:tcW w:w="3666" w:type="dxa"/>
          </w:tcPr>
          <w:p w14:paraId="798CFF68" w14:textId="77777777" w:rsidR="00650D9C" w:rsidRPr="00481360" w:rsidRDefault="00650D9C" w:rsidP="00573FD3">
            <w:pPr>
              <w:pStyle w:val="a3"/>
              <w:jc w:val="right"/>
              <w:rPr>
                <w:rFonts w:cs="FrankRuehl"/>
                <w:sz w:val="28"/>
                <w:szCs w:val="28"/>
                <w:rtl/>
              </w:rPr>
            </w:pPr>
          </w:p>
        </w:tc>
      </w:tr>
    </w:tbl>
    <w:p w14:paraId="77F837EA" w14:textId="77777777" w:rsidR="00650D9C" w:rsidRPr="00481360" w:rsidRDefault="00650D9C" w:rsidP="00650D9C">
      <w:pPr>
        <w:pStyle w:val="a3"/>
        <w:rPr>
          <w:rtl/>
        </w:rPr>
      </w:pPr>
      <w:r w:rsidRPr="00481360">
        <w:rPr>
          <w:rFonts w:hint="cs"/>
          <w:rtl/>
        </w:rPr>
        <w:t xml:space="preserve"> </w:t>
      </w:r>
    </w:p>
    <w:p w14:paraId="08860073" w14:textId="77777777" w:rsidR="00650D9C" w:rsidRPr="00481360" w:rsidRDefault="00650D9C" w:rsidP="00650D9C">
      <w:pPr>
        <w:rPr>
          <w:sz w:val="26"/>
          <w:szCs w:val="26"/>
          <w:rtl/>
        </w:rPr>
      </w:pPr>
    </w:p>
    <w:p w14:paraId="17CBF9BF" w14:textId="77777777" w:rsidR="00650D9C" w:rsidRPr="00481360" w:rsidRDefault="00650D9C" w:rsidP="00650D9C">
      <w:pPr>
        <w:rPr>
          <w:sz w:val="26"/>
          <w:szCs w:val="26"/>
          <w:rtl/>
        </w:rPr>
      </w:pPr>
    </w:p>
    <w:tbl>
      <w:tblPr>
        <w:bidiVisual/>
        <w:tblW w:w="9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
        <w:gridCol w:w="4676"/>
        <w:gridCol w:w="4349"/>
      </w:tblGrid>
      <w:tr w:rsidR="00650D9C" w:rsidRPr="00481360" w14:paraId="255B0C04" w14:textId="77777777" w:rsidTr="00650D9C">
        <w:trPr>
          <w:trHeight w:val="286"/>
          <w:jc w:val="center"/>
        </w:trPr>
        <w:tc>
          <w:tcPr>
            <w:tcW w:w="888" w:type="dxa"/>
            <w:tcBorders>
              <w:top w:val="nil"/>
              <w:left w:val="nil"/>
              <w:bottom w:val="nil"/>
              <w:right w:val="nil"/>
            </w:tcBorders>
            <w:shd w:val="clear" w:color="auto" w:fill="auto"/>
          </w:tcPr>
          <w:p w14:paraId="0738D02F" w14:textId="77777777" w:rsidR="00650D9C" w:rsidRPr="00481360" w:rsidRDefault="00650D9C" w:rsidP="00650D9C">
            <w:pPr>
              <w:ind w:right="-143"/>
              <w:jc w:val="both"/>
              <w:rPr>
                <w:rFonts w:ascii="David" w:hAnsi="David"/>
                <w:b/>
                <w:bCs/>
                <w:sz w:val="26"/>
                <w:szCs w:val="26"/>
              </w:rPr>
            </w:pPr>
            <w:bookmarkStart w:id="0" w:name="FirstAppellant" w:colFirst="0" w:colLast="1"/>
            <w:bookmarkStart w:id="1" w:name="FirstLawyer"/>
            <w:r w:rsidRPr="00481360">
              <w:rPr>
                <w:rFonts w:ascii="David" w:hAnsi="David" w:hint="cs"/>
                <w:b/>
                <w:bCs/>
                <w:sz w:val="26"/>
                <w:szCs w:val="26"/>
                <w:rtl/>
              </w:rPr>
              <w:t xml:space="preserve">       </w:t>
            </w:r>
            <w:r w:rsidRPr="00481360">
              <w:rPr>
                <w:rFonts w:ascii="David" w:hAnsi="David"/>
                <w:b/>
                <w:bCs/>
                <w:sz w:val="26"/>
                <w:szCs w:val="26"/>
                <w:rtl/>
              </w:rPr>
              <w:t xml:space="preserve"> </w:t>
            </w:r>
          </w:p>
        </w:tc>
        <w:tc>
          <w:tcPr>
            <w:tcW w:w="9025" w:type="dxa"/>
            <w:gridSpan w:val="2"/>
            <w:tcBorders>
              <w:top w:val="nil"/>
              <w:left w:val="nil"/>
              <w:bottom w:val="nil"/>
              <w:right w:val="nil"/>
            </w:tcBorders>
            <w:shd w:val="clear" w:color="auto" w:fill="auto"/>
          </w:tcPr>
          <w:p w14:paraId="29974C9B" w14:textId="77777777" w:rsidR="00650D9C" w:rsidRPr="00481360" w:rsidRDefault="00650D9C" w:rsidP="00650D9C">
            <w:pPr>
              <w:tabs>
                <w:tab w:val="left" w:pos="270"/>
              </w:tabs>
              <w:rPr>
                <w:rFonts w:ascii="David" w:hAnsi="David"/>
                <w:b/>
                <w:bCs/>
                <w:sz w:val="26"/>
                <w:szCs w:val="26"/>
                <w:rtl/>
              </w:rPr>
            </w:pPr>
            <w:r w:rsidRPr="00481360">
              <w:rPr>
                <w:rFonts w:ascii="David" w:hAnsi="David" w:hint="cs"/>
                <w:b/>
                <w:bCs/>
                <w:sz w:val="26"/>
                <w:szCs w:val="26"/>
                <w:rtl/>
              </w:rPr>
              <w:t xml:space="preserve">   בפני </w:t>
            </w:r>
            <w:r w:rsidRPr="00481360">
              <w:rPr>
                <w:rFonts w:ascii="David" w:hAnsi="David"/>
                <w:b/>
                <w:bCs/>
                <w:sz w:val="26"/>
                <w:szCs w:val="26"/>
                <w:rtl/>
              </w:rPr>
              <w:t>כבוד השופטת  תמר נאות פרי</w:t>
            </w:r>
          </w:p>
          <w:p w14:paraId="2C628C42" w14:textId="77777777" w:rsidR="00650D9C" w:rsidRPr="00481360" w:rsidRDefault="00650D9C" w:rsidP="00650D9C">
            <w:pPr>
              <w:jc w:val="both"/>
              <w:rPr>
                <w:rFonts w:ascii="David" w:hAnsi="David"/>
                <w:b/>
                <w:bCs/>
                <w:sz w:val="26"/>
                <w:szCs w:val="26"/>
                <w:rtl/>
              </w:rPr>
            </w:pPr>
          </w:p>
          <w:p w14:paraId="5BAB916C" w14:textId="77777777" w:rsidR="00650D9C" w:rsidRPr="00481360" w:rsidRDefault="00650D9C" w:rsidP="00650D9C">
            <w:pPr>
              <w:jc w:val="both"/>
              <w:rPr>
                <w:rFonts w:ascii="David" w:hAnsi="David"/>
                <w:b/>
                <w:bCs/>
                <w:sz w:val="26"/>
                <w:szCs w:val="26"/>
                <w:rtl/>
              </w:rPr>
            </w:pPr>
          </w:p>
          <w:p w14:paraId="5FF6C715" w14:textId="77777777" w:rsidR="00650D9C" w:rsidRPr="00481360" w:rsidRDefault="00650D9C" w:rsidP="00650D9C">
            <w:pPr>
              <w:ind w:left="26"/>
              <w:rPr>
                <w:b/>
                <w:bCs/>
              </w:rPr>
            </w:pPr>
          </w:p>
          <w:p w14:paraId="19404B38" w14:textId="77777777" w:rsidR="00650D9C" w:rsidRPr="00481360" w:rsidRDefault="00650D9C" w:rsidP="00573FD3">
            <w:pPr>
              <w:rPr>
                <w:rFonts w:cs="Times New Roman"/>
                <w:rtl/>
              </w:rPr>
            </w:pPr>
            <w:r w:rsidRPr="00481360">
              <w:rPr>
                <w:b/>
                <w:bCs/>
                <w:rtl/>
              </w:rPr>
              <w:t>המאשימה</w:t>
            </w:r>
            <w:r w:rsidRPr="00481360">
              <w:rPr>
                <w:rFonts w:ascii="Arial (W1)" w:hAnsi="Arial (W1)"/>
                <w:b/>
                <w:bCs/>
                <w:rtl/>
              </w:rPr>
              <w:t>-</w:t>
            </w:r>
          </w:p>
          <w:p w14:paraId="52926DF9" w14:textId="77777777" w:rsidR="00650D9C" w:rsidRPr="00481360" w:rsidRDefault="00650D9C" w:rsidP="00573FD3">
            <w:pPr>
              <w:rPr>
                <w:rtl/>
              </w:rPr>
            </w:pPr>
            <w:r w:rsidRPr="00481360">
              <w:rPr>
                <w:rtl/>
              </w:rPr>
              <w:t xml:space="preserve"> </w:t>
            </w:r>
            <w:r w:rsidRPr="00481360">
              <w:rPr>
                <w:b/>
                <w:bCs/>
                <w:rtl/>
              </w:rPr>
              <w:t>מדינת ישראל</w:t>
            </w:r>
          </w:p>
          <w:p w14:paraId="5691C000" w14:textId="77777777" w:rsidR="00650D9C" w:rsidRPr="00481360" w:rsidRDefault="00650D9C" w:rsidP="00573FD3">
            <w:pPr>
              <w:rPr>
                <w:rtl/>
              </w:rPr>
            </w:pPr>
            <w:r w:rsidRPr="00481360">
              <w:rPr>
                <w:rtl/>
              </w:rPr>
              <w:t>ע"י פרקליטות מחוז חיפה – פלילי – עוה"ד אפרים גולדשטיין</w:t>
            </w:r>
          </w:p>
          <w:p w14:paraId="307F91F9" w14:textId="77777777" w:rsidR="00650D9C" w:rsidRPr="00481360" w:rsidRDefault="00650D9C" w:rsidP="00573FD3">
            <w:pPr>
              <w:rPr>
                <w:b/>
                <w:bCs/>
                <w:rtl/>
              </w:rPr>
            </w:pPr>
          </w:p>
          <w:p w14:paraId="290FCC5C" w14:textId="77777777" w:rsidR="00650D9C" w:rsidRPr="00481360" w:rsidRDefault="00650D9C" w:rsidP="00650D9C">
            <w:pPr>
              <w:jc w:val="center"/>
              <w:rPr>
                <w:rFonts w:ascii="Arial" w:hAnsi="Arial"/>
                <w:b/>
                <w:bCs/>
                <w:rtl/>
              </w:rPr>
            </w:pPr>
            <w:r w:rsidRPr="00481360">
              <w:rPr>
                <w:rFonts w:ascii="Arial" w:hAnsi="Arial"/>
                <w:b/>
                <w:bCs/>
                <w:rtl/>
              </w:rPr>
              <w:t>נגד</w:t>
            </w:r>
          </w:p>
          <w:p w14:paraId="5E1FA329" w14:textId="77777777" w:rsidR="00650D9C" w:rsidRPr="00481360" w:rsidRDefault="00650D9C" w:rsidP="00573FD3">
            <w:pPr>
              <w:rPr>
                <w:rFonts w:ascii="Arial" w:hAnsi="Arial"/>
                <w:b/>
                <w:bCs/>
                <w:rtl/>
              </w:rPr>
            </w:pPr>
          </w:p>
          <w:p w14:paraId="7EC34F81" w14:textId="77777777" w:rsidR="00650D9C" w:rsidRPr="00481360" w:rsidRDefault="00650D9C" w:rsidP="00573FD3">
            <w:pPr>
              <w:rPr>
                <w:rFonts w:ascii="Arial (W1)" w:hAnsi="Arial (W1)"/>
                <w:b/>
                <w:bCs/>
              </w:rPr>
            </w:pPr>
            <w:r w:rsidRPr="00481360">
              <w:rPr>
                <w:b/>
                <w:bCs/>
                <w:rtl/>
              </w:rPr>
              <w:t>הנאשם</w:t>
            </w:r>
            <w:r w:rsidRPr="00481360">
              <w:rPr>
                <w:b/>
                <w:bCs/>
              </w:rPr>
              <w:t>-</w:t>
            </w:r>
            <w:r w:rsidRPr="00481360">
              <w:rPr>
                <w:rtl/>
              </w:rPr>
              <w:t xml:space="preserve"> </w:t>
            </w:r>
            <w:r w:rsidRPr="00481360">
              <w:rPr>
                <w:rFonts w:hint="cs"/>
                <w:b/>
                <w:bCs/>
                <w:rtl/>
              </w:rPr>
              <w:t>מוחמד אגבאריה</w:t>
            </w:r>
            <w:r w:rsidRPr="00481360">
              <w:rPr>
                <w:rFonts w:cs="Times New Roman"/>
                <w:rtl/>
              </w:rPr>
              <w:t xml:space="preserve"> </w:t>
            </w:r>
            <w:r w:rsidRPr="00481360">
              <w:rPr>
                <w:b/>
                <w:bCs/>
                <w:rtl/>
              </w:rPr>
              <w:t xml:space="preserve">ת"ז  </w:t>
            </w:r>
            <w:r w:rsidR="00481360">
              <w:rPr>
                <w:b/>
                <w:bCs/>
              </w:rPr>
              <w:t>xxxxxxxxxx</w:t>
            </w:r>
          </w:p>
          <w:p w14:paraId="25CE127C" w14:textId="77777777" w:rsidR="00650D9C" w:rsidRPr="00481360" w:rsidRDefault="00650D9C" w:rsidP="00573FD3">
            <w:pPr>
              <w:rPr>
                <w:rtl/>
              </w:rPr>
            </w:pPr>
            <w:r w:rsidRPr="00481360">
              <w:rPr>
                <w:rtl/>
              </w:rPr>
              <w:t>ע"י ב"כ עוה"ד עומר מסארוה</w:t>
            </w:r>
          </w:p>
          <w:p w14:paraId="6DA7D405" w14:textId="77777777" w:rsidR="00650D9C" w:rsidRPr="00481360" w:rsidRDefault="00650D9C" w:rsidP="00650D9C">
            <w:pPr>
              <w:jc w:val="both"/>
              <w:rPr>
                <w:rFonts w:ascii="David" w:hAnsi="David"/>
                <w:b/>
                <w:bCs/>
                <w:sz w:val="26"/>
                <w:szCs w:val="26"/>
                <w:rtl/>
              </w:rPr>
            </w:pPr>
          </w:p>
          <w:p w14:paraId="5A7DADC4" w14:textId="77777777" w:rsidR="00650D9C" w:rsidRPr="00481360" w:rsidRDefault="00650D9C" w:rsidP="00650D9C">
            <w:pPr>
              <w:jc w:val="both"/>
              <w:rPr>
                <w:rFonts w:ascii="David" w:hAnsi="David"/>
                <w:b/>
                <w:bCs/>
                <w:sz w:val="26"/>
                <w:szCs w:val="26"/>
                <w:rtl/>
              </w:rPr>
            </w:pPr>
          </w:p>
          <w:p w14:paraId="22800C0D" w14:textId="77777777" w:rsidR="00650D9C" w:rsidRPr="00481360" w:rsidRDefault="00650D9C" w:rsidP="00650D9C">
            <w:pPr>
              <w:jc w:val="both"/>
              <w:rPr>
                <w:rFonts w:ascii="David" w:hAnsi="David"/>
                <w:b/>
                <w:bCs/>
                <w:sz w:val="26"/>
                <w:szCs w:val="26"/>
                <w:rtl/>
              </w:rPr>
            </w:pPr>
          </w:p>
        </w:tc>
      </w:tr>
      <w:tr w:rsidR="00650D9C" w:rsidRPr="00481360" w14:paraId="49B1D4BF" w14:textId="77777777" w:rsidTr="00650D9C">
        <w:trPr>
          <w:trHeight w:val="346"/>
          <w:jc w:val="center"/>
        </w:trPr>
        <w:tc>
          <w:tcPr>
            <w:tcW w:w="888" w:type="dxa"/>
            <w:tcBorders>
              <w:top w:val="nil"/>
              <w:left w:val="nil"/>
              <w:bottom w:val="nil"/>
              <w:right w:val="nil"/>
            </w:tcBorders>
            <w:shd w:val="clear" w:color="auto" w:fill="auto"/>
          </w:tcPr>
          <w:p w14:paraId="30E8BF42" w14:textId="77777777" w:rsidR="00650D9C" w:rsidRPr="00481360" w:rsidRDefault="00650D9C" w:rsidP="00650D9C">
            <w:pPr>
              <w:jc w:val="both"/>
              <w:rPr>
                <w:rFonts w:ascii="David" w:hAnsi="David"/>
                <w:b/>
                <w:bCs/>
                <w:sz w:val="26"/>
                <w:szCs w:val="26"/>
                <w:rtl/>
              </w:rPr>
            </w:pPr>
            <w:bookmarkStart w:id="2" w:name="LastJudge"/>
            <w:bookmarkEnd w:id="0"/>
            <w:bookmarkEnd w:id="1"/>
            <w:bookmarkEnd w:id="2"/>
          </w:p>
        </w:tc>
        <w:tc>
          <w:tcPr>
            <w:tcW w:w="4676" w:type="dxa"/>
            <w:tcBorders>
              <w:top w:val="nil"/>
              <w:left w:val="nil"/>
              <w:bottom w:val="nil"/>
              <w:right w:val="nil"/>
            </w:tcBorders>
            <w:shd w:val="clear" w:color="auto" w:fill="auto"/>
          </w:tcPr>
          <w:p w14:paraId="6BFE1D97" w14:textId="77777777" w:rsidR="00650D9C" w:rsidRPr="00481360" w:rsidRDefault="00650D9C" w:rsidP="00650D9C">
            <w:pPr>
              <w:jc w:val="both"/>
              <w:rPr>
                <w:rFonts w:ascii="David" w:hAnsi="David"/>
                <w:b/>
                <w:bCs/>
                <w:sz w:val="26"/>
                <w:szCs w:val="26"/>
              </w:rPr>
            </w:pPr>
          </w:p>
        </w:tc>
        <w:tc>
          <w:tcPr>
            <w:tcW w:w="4349" w:type="dxa"/>
            <w:tcBorders>
              <w:top w:val="nil"/>
              <w:left w:val="nil"/>
              <w:bottom w:val="nil"/>
              <w:right w:val="nil"/>
            </w:tcBorders>
            <w:shd w:val="clear" w:color="auto" w:fill="auto"/>
          </w:tcPr>
          <w:p w14:paraId="0EC22929" w14:textId="77777777" w:rsidR="00650D9C" w:rsidRPr="00481360" w:rsidRDefault="00650D9C" w:rsidP="00650D9C">
            <w:pPr>
              <w:jc w:val="right"/>
              <w:rPr>
                <w:rFonts w:ascii="David" w:hAnsi="David"/>
                <w:b/>
                <w:bCs/>
                <w:sz w:val="26"/>
                <w:szCs w:val="26"/>
                <w:rtl/>
              </w:rPr>
            </w:pPr>
          </w:p>
        </w:tc>
      </w:tr>
    </w:tbl>
    <w:p w14:paraId="463B8ED5" w14:textId="77777777" w:rsidR="00FC62EF" w:rsidRDefault="00FC62EF" w:rsidP="00FC62EF">
      <w:pPr>
        <w:rPr>
          <w:rFonts w:ascii="Arial" w:hAnsi="Arial"/>
          <w:sz w:val="26"/>
          <w:szCs w:val="26"/>
          <w:rtl/>
        </w:rPr>
      </w:pPr>
      <w:bookmarkStart w:id="3" w:name="LawTable"/>
      <w:bookmarkEnd w:id="3"/>
    </w:p>
    <w:p w14:paraId="75E36D59" w14:textId="77777777" w:rsidR="00FC62EF" w:rsidRPr="00FC62EF" w:rsidRDefault="00FC62EF" w:rsidP="00FC62EF">
      <w:pPr>
        <w:spacing w:before="120" w:after="120" w:line="240" w:lineRule="exact"/>
        <w:ind w:left="283" w:hanging="283"/>
        <w:jc w:val="both"/>
        <w:rPr>
          <w:rFonts w:ascii="FrankRuehl" w:hAnsi="FrankRuehl" w:cs="FrankRuehl"/>
          <w:rtl/>
        </w:rPr>
      </w:pPr>
    </w:p>
    <w:p w14:paraId="30E6E5B8" w14:textId="77777777" w:rsidR="00FC62EF" w:rsidRPr="00FC62EF" w:rsidRDefault="00FC62EF" w:rsidP="00FC62EF">
      <w:pPr>
        <w:spacing w:before="120" w:after="120" w:line="240" w:lineRule="exact"/>
        <w:ind w:left="283" w:hanging="283"/>
        <w:jc w:val="both"/>
        <w:rPr>
          <w:rFonts w:ascii="FrankRuehl" w:hAnsi="FrankRuehl" w:cs="FrankRuehl"/>
          <w:rtl/>
        </w:rPr>
      </w:pPr>
    </w:p>
    <w:p w14:paraId="25079D63" w14:textId="77777777" w:rsidR="00FC62EF" w:rsidRPr="00FC62EF" w:rsidRDefault="00FC62EF" w:rsidP="00FC62EF">
      <w:pPr>
        <w:spacing w:before="120" w:after="120" w:line="240" w:lineRule="exact"/>
        <w:ind w:left="283" w:hanging="283"/>
        <w:jc w:val="both"/>
        <w:rPr>
          <w:rFonts w:ascii="FrankRuehl" w:hAnsi="FrankRuehl" w:cs="FrankRuehl"/>
          <w:rtl/>
        </w:rPr>
      </w:pPr>
      <w:r w:rsidRPr="00FC62EF">
        <w:rPr>
          <w:rFonts w:ascii="FrankRuehl" w:hAnsi="FrankRuehl" w:cs="FrankRuehl"/>
          <w:rtl/>
        </w:rPr>
        <w:t xml:space="preserve">חקיקה שאוזכרה: </w:t>
      </w:r>
    </w:p>
    <w:p w14:paraId="302D94C4" w14:textId="77777777" w:rsidR="00FC62EF" w:rsidRPr="00FC62EF" w:rsidRDefault="00FC62EF" w:rsidP="00FC62EF">
      <w:pPr>
        <w:spacing w:before="120" w:after="120" w:line="240" w:lineRule="exact"/>
        <w:ind w:left="283" w:hanging="283"/>
        <w:jc w:val="both"/>
        <w:rPr>
          <w:rFonts w:ascii="FrankRuehl" w:hAnsi="FrankRuehl" w:cs="FrankRuehl"/>
          <w:rtl/>
        </w:rPr>
      </w:pPr>
      <w:hyperlink r:id="rId7" w:history="1">
        <w:r w:rsidRPr="00FC62EF">
          <w:rPr>
            <w:rFonts w:ascii="FrankRuehl" w:hAnsi="FrankRuehl" w:cs="FrankRuehl"/>
            <w:color w:val="0000FF"/>
            <w:rtl/>
          </w:rPr>
          <w:t>חוק העונשין, תשל"ז-1977</w:t>
        </w:r>
      </w:hyperlink>
      <w:r w:rsidRPr="00FC62EF">
        <w:rPr>
          <w:rFonts w:ascii="FrankRuehl" w:hAnsi="FrankRuehl" w:cs="FrankRuehl"/>
          <w:rtl/>
        </w:rPr>
        <w:t xml:space="preserve">: סע'  </w:t>
      </w:r>
      <w:hyperlink r:id="rId8" w:history="1">
        <w:r w:rsidRPr="00FC62EF">
          <w:rPr>
            <w:rFonts w:ascii="FrankRuehl" w:hAnsi="FrankRuehl" w:cs="FrankRuehl"/>
            <w:color w:val="0000FF"/>
            <w:rtl/>
          </w:rPr>
          <w:t>40ב'</w:t>
        </w:r>
      </w:hyperlink>
      <w:r w:rsidRPr="00FC62EF">
        <w:rPr>
          <w:rFonts w:ascii="FrankRuehl" w:hAnsi="FrankRuehl" w:cs="FrankRuehl"/>
          <w:rtl/>
        </w:rPr>
        <w:t xml:space="preserve">, </w:t>
      </w:r>
      <w:hyperlink r:id="rId9" w:history="1">
        <w:r w:rsidRPr="00FC62EF">
          <w:rPr>
            <w:rFonts w:ascii="FrankRuehl" w:hAnsi="FrankRuehl" w:cs="FrankRuehl"/>
            <w:color w:val="0000FF"/>
            <w:rtl/>
          </w:rPr>
          <w:t>144(א)</w:t>
        </w:r>
      </w:hyperlink>
      <w:r w:rsidRPr="00FC62EF">
        <w:rPr>
          <w:rFonts w:ascii="FrankRuehl" w:hAnsi="FrankRuehl" w:cs="FrankRuehl"/>
          <w:rtl/>
        </w:rPr>
        <w:t xml:space="preserve">, </w:t>
      </w:r>
      <w:hyperlink r:id="rId10" w:history="1">
        <w:r w:rsidRPr="00FC62EF">
          <w:rPr>
            <w:rFonts w:ascii="FrankRuehl" w:hAnsi="FrankRuehl" w:cs="FrankRuehl"/>
            <w:color w:val="0000FF"/>
            <w:rtl/>
          </w:rPr>
          <w:t>144(ב)</w:t>
        </w:r>
      </w:hyperlink>
      <w:r w:rsidRPr="00FC62EF">
        <w:rPr>
          <w:rFonts w:ascii="FrankRuehl" w:hAnsi="FrankRuehl" w:cs="FrankRuehl"/>
          <w:rtl/>
        </w:rPr>
        <w:t xml:space="preserve">, </w:t>
      </w:r>
      <w:hyperlink r:id="rId11" w:history="1">
        <w:r w:rsidRPr="00FC62EF">
          <w:rPr>
            <w:rFonts w:ascii="FrankRuehl" w:hAnsi="FrankRuehl" w:cs="FrankRuehl"/>
            <w:color w:val="0000FF"/>
            <w:rtl/>
          </w:rPr>
          <w:t>340א(ב)(1)</w:t>
        </w:r>
      </w:hyperlink>
    </w:p>
    <w:p w14:paraId="5FB0E6B6" w14:textId="77777777" w:rsidR="00FC62EF" w:rsidRPr="00FC62EF" w:rsidRDefault="00FC62EF" w:rsidP="00FC62EF">
      <w:pPr>
        <w:rPr>
          <w:rFonts w:ascii="Arial" w:hAnsi="Arial"/>
          <w:sz w:val="26"/>
          <w:szCs w:val="26"/>
          <w:rtl/>
        </w:rPr>
      </w:pPr>
      <w:bookmarkStart w:id="4" w:name="LawTable_End"/>
      <w:bookmarkEnd w:id="4"/>
    </w:p>
    <w:p w14:paraId="208FC736" w14:textId="77777777" w:rsidR="00650D9C" w:rsidRPr="007006B5" w:rsidRDefault="00650D9C" w:rsidP="007006B5">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50D9C" w14:paraId="6D479DB7" w14:textId="77777777" w:rsidTr="00650D9C">
        <w:trPr>
          <w:trHeight w:val="355"/>
          <w:jc w:val="center"/>
        </w:trPr>
        <w:tc>
          <w:tcPr>
            <w:tcW w:w="8820" w:type="dxa"/>
            <w:tcBorders>
              <w:top w:val="nil"/>
              <w:left w:val="nil"/>
              <w:bottom w:val="nil"/>
              <w:right w:val="nil"/>
            </w:tcBorders>
            <w:shd w:val="clear" w:color="auto" w:fill="auto"/>
          </w:tcPr>
          <w:p w14:paraId="46DA1618" w14:textId="77777777" w:rsidR="00481360" w:rsidRPr="00481360" w:rsidRDefault="00481360" w:rsidP="00481360">
            <w:pPr>
              <w:jc w:val="center"/>
              <w:rPr>
                <w:rFonts w:ascii="David" w:hAnsi="David"/>
                <w:b/>
                <w:bCs/>
                <w:sz w:val="32"/>
                <w:szCs w:val="32"/>
                <w:u w:val="single"/>
                <w:rtl/>
              </w:rPr>
            </w:pPr>
            <w:bookmarkStart w:id="5" w:name="PsakDin" w:colFirst="0" w:colLast="0"/>
            <w:r w:rsidRPr="00481360">
              <w:rPr>
                <w:rFonts w:ascii="David" w:hAnsi="David"/>
                <w:b/>
                <w:bCs/>
                <w:sz w:val="32"/>
                <w:szCs w:val="32"/>
                <w:u w:val="single"/>
                <w:rtl/>
              </w:rPr>
              <w:t>גזר דין</w:t>
            </w:r>
          </w:p>
          <w:p w14:paraId="378E6864" w14:textId="77777777" w:rsidR="00650D9C" w:rsidRPr="00481360" w:rsidRDefault="00650D9C" w:rsidP="00481360">
            <w:pPr>
              <w:jc w:val="center"/>
              <w:rPr>
                <w:rFonts w:ascii="David" w:hAnsi="David"/>
                <w:bCs/>
                <w:sz w:val="32"/>
                <w:szCs w:val="32"/>
                <w:u w:val="single"/>
                <w:rtl/>
              </w:rPr>
            </w:pPr>
          </w:p>
        </w:tc>
      </w:tr>
      <w:bookmarkEnd w:id="5"/>
    </w:tbl>
    <w:p w14:paraId="6F7A6A11" w14:textId="77777777" w:rsidR="00650D9C" w:rsidRPr="000454A8" w:rsidRDefault="00650D9C" w:rsidP="00650D9C">
      <w:pPr>
        <w:rPr>
          <w:rFonts w:ascii="Arial" w:hAnsi="Arial"/>
          <w:sz w:val="26"/>
          <w:szCs w:val="26"/>
          <w:rtl/>
        </w:rPr>
      </w:pPr>
    </w:p>
    <w:p w14:paraId="4644004B" w14:textId="77777777" w:rsidR="00650D9C" w:rsidRDefault="00650D9C" w:rsidP="00650D9C">
      <w:pPr>
        <w:pStyle w:val="aa"/>
        <w:spacing w:after="120" w:line="360" w:lineRule="auto"/>
        <w:ind w:left="84"/>
        <w:contextualSpacing w:val="0"/>
        <w:jc w:val="both"/>
        <w:rPr>
          <w:rFonts w:ascii="David" w:hAnsi="David" w:cs="David"/>
          <w:b/>
          <w:bCs/>
          <w:sz w:val="24"/>
          <w:szCs w:val="24"/>
          <w:u w:val="single"/>
          <w:rtl/>
        </w:rPr>
      </w:pPr>
      <w:r>
        <w:rPr>
          <w:rFonts w:ascii="David" w:hAnsi="David" w:cs="David"/>
          <w:b/>
          <w:bCs/>
          <w:sz w:val="24"/>
          <w:szCs w:val="24"/>
          <w:u w:val="single"/>
          <w:rtl/>
        </w:rPr>
        <w:t xml:space="preserve">כתב האישום - </w:t>
      </w:r>
    </w:p>
    <w:p w14:paraId="39CC094D"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bookmarkStart w:id="6" w:name="ABSTRACT_START"/>
      <w:bookmarkEnd w:id="6"/>
      <w:r>
        <w:rPr>
          <w:rFonts w:ascii="David" w:hAnsi="David" w:cs="David"/>
          <w:sz w:val="24"/>
          <w:szCs w:val="24"/>
          <w:rtl/>
        </w:rPr>
        <w:t>נגד הנאשם הוגש כתב אישום כדלקמן:</w:t>
      </w:r>
    </w:p>
    <w:p w14:paraId="638D9075" w14:textId="77777777" w:rsidR="00650D9C" w:rsidRDefault="00650D9C" w:rsidP="00650D9C">
      <w:pPr>
        <w:pStyle w:val="aa"/>
        <w:spacing w:after="120" w:line="360" w:lineRule="auto"/>
        <w:ind w:left="84" w:firstLine="636"/>
        <w:contextualSpacing w:val="0"/>
        <w:jc w:val="both"/>
        <w:rPr>
          <w:rFonts w:ascii="David" w:hAnsi="David" w:cs="David"/>
          <w:sz w:val="24"/>
          <w:szCs w:val="24"/>
        </w:rPr>
      </w:pPr>
      <w:r>
        <w:rPr>
          <w:rFonts w:ascii="David" w:hAnsi="David" w:cs="David"/>
          <w:sz w:val="24"/>
          <w:szCs w:val="24"/>
          <w:rtl/>
        </w:rPr>
        <w:t>הנאשם מתגורר בבית ביישוב אום אל פחם, באזור המיושב בצפיפות (להלן: "</w:t>
      </w:r>
      <w:r>
        <w:rPr>
          <w:rFonts w:ascii="David" w:hAnsi="David" w:cs="David"/>
          <w:b/>
          <w:bCs/>
          <w:sz w:val="24"/>
          <w:szCs w:val="24"/>
          <w:rtl/>
        </w:rPr>
        <w:t>הבניין</w:t>
      </w:r>
      <w:r>
        <w:rPr>
          <w:rFonts w:ascii="David" w:hAnsi="David" w:cs="David"/>
          <w:sz w:val="24"/>
          <w:szCs w:val="24"/>
          <w:rtl/>
        </w:rPr>
        <w:t>"). בתאריך 23.5.2020 בסמוך לשעה 20:00, החזיק ונשא הנאשם רובה סער מסוג 16-</w:t>
      </w:r>
      <w:r>
        <w:rPr>
          <w:rFonts w:ascii="David" w:hAnsi="David" w:cs="David"/>
        </w:rPr>
        <w:t>M</w:t>
      </w:r>
      <w:r>
        <w:rPr>
          <w:rFonts w:ascii="David" w:hAnsi="David" w:cs="David"/>
          <w:sz w:val="24"/>
          <w:szCs w:val="24"/>
          <w:rtl/>
        </w:rPr>
        <w:t>, שסוגל לירות כדור שבכוחו להמית אדם, שתי מחסניות מתאימות, המהוות אביזר לנשק, וכן עשרות כדורי תחמושת מתאימה מסוג 5.56 מ"מ (להלן: "</w:t>
      </w:r>
      <w:r>
        <w:rPr>
          <w:rFonts w:ascii="David" w:hAnsi="David" w:cs="David"/>
          <w:b/>
          <w:bCs/>
          <w:sz w:val="24"/>
          <w:szCs w:val="24"/>
          <w:rtl/>
        </w:rPr>
        <w:t>הנשק</w:t>
      </w:r>
      <w:r>
        <w:rPr>
          <w:rFonts w:ascii="David" w:hAnsi="David" w:cs="David"/>
          <w:sz w:val="24"/>
          <w:szCs w:val="24"/>
          <w:rtl/>
        </w:rPr>
        <w:t>", "</w:t>
      </w:r>
      <w:r>
        <w:rPr>
          <w:rFonts w:ascii="David" w:hAnsi="David" w:cs="David"/>
          <w:b/>
          <w:bCs/>
          <w:sz w:val="24"/>
          <w:szCs w:val="24"/>
          <w:rtl/>
        </w:rPr>
        <w:t>המחסניות</w:t>
      </w:r>
      <w:r>
        <w:rPr>
          <w:rFonts w:ascii="David" w:hAnsi="David" w:cs="David"/>
          <w:sz w:val="24"/>
          <w:szCs w:val="24"/>
          <w:rtl/>
        </w:rPr>
        <w:t>" ו-"</w:t>
      </w:r>
      <w:r>
        <w:rPr>
          <w:rFonts w:ascii="David" w:hAnsi="David" w:cs="David"/>
          <w:b/>
          <w:bCs/>
          <w:sz w:val="24"/>
          <w:szCs w:val="24"/>
          <w:rtl/>
        </w:rPr>
        <w:t>התחמושת</w:t>
      </w:r>
      <w:r>
        <w:rPr>
          <w:rFonts w:ascii="David" w:hAnsi="David" w:cs="David"/>
          <w:sz w:val="24"/>
          <w:szCs w:val="24"/>
          <w:rtl/>
        </w:rPr>
        <w:t>" - בהתאמה), וזאת בלא רשות על פי דין להחזקתם ולנשיאתם. במועד האמור, בהיותו על גג הבניין (להלן: "</w:t>
      </w:r>
      <w:r>
        <w:rPr>
          <w:rFonts w:ascii="David" w:hAnsi="David" w:cs="David"/>
          <w:b/>
          <w:bCs/>
          <w:sz w:val="24"/>
          <w:szCs w:val="24"/>
          <w:rtl/>
        </w:rPr>
        <w:t>הגג</w:t>
      </w:r>
      <w:r>
        <w:rPr>
          <w:rFonts w:ascii="David" w:hAnsi="David" w:cs="David"/>
          <w:sz w:val="24"/>
          <w:szCs w:val="24"/>
          <w:rtl/>
        </w:rPr>
        <w:t xml:space="preserve">"), ירה הנאשם מהנשק עשרות כדורים מהתחמושת שהייתה ברשותו, שלא כדין ובמקום שיש בירי כדי לסכן חיי אדם.  </w:t>
      </w:r>
    </w:p>
    <w:p w14:paraId="48EBCF44"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Pr>
      </w:pPr>
      <w:bookmarkStart w:id="7" w:name="ABSTRACT_END"/>
      <w:bookmarkEnd w:id="7"/>
      <w:r>
        <w:rPr>
          <w:rFonts w:ascii="David" w:hAnsi="David" w:cs="David"/>
          <w:sz w:val="24"/>
          <w:szCs w:val="24"/>
          <w:rtl/>
        </w:rPr>
        <w:lastRenderedPageBreak/>
        <w:t xml:space="preserve">בהתאם, יוחסו לנאשם עבירת </w:t>
      </w:r>
      <w:r>
        <w:rPr>
          <w:rFonts w:ascii="David" w:hAnsi="David" w:cs="David"/>
          <w:b/>
          <w:bCs/>
          <w:sz w:val="24"/>
          <w:szCs w:val="24"/>
          <w:rtl/>
        </w:rPr>
        <w:t>החזקת ונשיאת נשק</w:t>
      </w:r>
      <w:r>
        <w:rPr>
          <w:rFonts w:ascii="David" w:hAnsi="David" w:cs="David"/>
          <w:sz w:val="24"/>
          <w:szCs w:val="24"/>
          <w:rtl/>
        </w:rPr>
        <w:t xml:space="preserve"> – לפי </w:t>
      </w:r>
      <w:hyperlink r:id="rId12" w:history="1">
        <w:r w:rsidR="007006B5" w:rsidRPr="007006B5">
          <w:rPr>
            <w:rStyle w:val="Hyperlink"/>
            <w:rFonts w:ascii="David" w:hAnsi="David" w:cs="David"/>
            <w:sz w:val="24"/>
            <w:szCs w:val="24"/>
            <w:rtl/>
          </w:rPr>
          <w:t>סעיף 144(א)</w:t>
        </w:r>
      </w:hyperlink>
      <w:r>
        <w:rPr>
          <w:rFonts w:ascii="David" w:hAnsi="David" w:cs="David"/>
          <w:sz w:val="24"/>
          <w:szCs w:val="24"/>
          <w:rtl/>
        </w:rPr>
        <w:t xml:space="preserve"> רישא + סיפא + </w:t>
      </w:r>
      <w:hyperlink r:id="rId13" w:history="1">
        <w:r w:rsidR="007006B5" w:rsidRPr="007006B5">
          <w:rPr>
            <w:rStyle w:val="Hyperlink"/>
            <w:rFonts w:ascii="David" w:hAnsi="David" w:cs="David"/>
            <w:sz w:val="24"/>
            <w:szCs w:val="24"/>
            <w:rtl/>
          </w:rPr>
          <w:t>144(ב)</w:t>
        </w:r>
      </w:hyperlink>
      <w:r>
        <w:rPr>
          <w:rFonts w:ascii="David" w:hAnsi="David" w:cs="David"/>
          <w:sz w:val="24"/>
          <w:szCs w:val="24"/>
          <w:rtl/>
        </w:rPr>
        <w:t xml:space="preserve"> רישא + סיפא ל</w:t>
      </w:r>
      <w:hyperlink r:id="rId14" w:history="1">
        <w:r w:rsidR="00481360" w:rsidRPr="00481360">
          <w:rPr>
            <w:rFonts w:ascii="David" w:hAnsi="David" w:cs="David"/>
            <w:color w:val="0000FF"/>
            <w:sz w:val="24"/>
            <w:szCs w:val="24"/>
            <w:u w:val="single"/>
            <w:rtl/>
          </w:rPr>
          <w:t>חוק העונשין</w:t>
        </w:r>
      </w:hyperlink>
      <w:r>
        <w:rPr>
          <w:rFonts w:ascii="David" w:hAnsi="David" w:cs="David"/>
          <w:sz w:val="24"/>
          <w:szCs w:val="24"/>
          <w:rtl/>
        </w:rPr>
        <w:t>, התשל"ז-1977 (להלן: "</w:t>
      </w:r>
      <w:r>
        <w:rPr>
          <w:rFonts w:ascii="David" w:hAnsi="David" w:cs="David"/>
          <w:b/>
          <w:bCs/>
          <w:sz w:val="24"/>
          <w:szCs w:val="24"/>
          <w:rtl/>
        </w:rPr>
        <w:t>חוק העונשין</w:t>
      </w:r>
      <w:r>
        <w:rPr>
          <w:rFonts w:ascii="David" w:hAnsi="David" w:cs="David"/>
          <w:sz w:val="24"/>
          <w:szCs w:val="24"/>
          <w:rtl/>
        </w:rPr>
        <w:t>"); ו-</w:t>
      </w:r>
      <w:r>
        <w:rPr>
          <w:rFonts w:ascii="David" w:hAnsi="David" w:cs="David"/>
          <w:b/>
          <w:bCs/>
          <w:sz w:val="24"/>
          <w:szCs w:val="24"/>
          <w:rtl/>
        </w:rPr>
        <w:t>ירי מנשק חם</w:t>
      </w:r>
      <w:r>
        <w:rPr>
          <w:rFonts w:ascii="David" w:hAnsi="David" w:cs="David"/>
          <w:sz w:val="24"/>
          <w:szCs w:val="24"/>
          <w:rtl/>
        </w:rPr>
        <w:t xml:space="preserve"> – לפי </w:t>
      </w:r>
      <w:hyperlink r:id="rId15" w:history="1">
        <w:r w:rsidR="007006B5" w:rsidRPr="007006B5">
          <w:rPr>
            <w:rStyle w:val="Hyperlink"/>
            <w:rFonts w:ascii="David" w:hAnsi="David" w:cs="David"/>
            <w:sz w:val="24"/>
            <w:szCs w:val="24"/>
            <w:rtl/>
          </w:rPr>
          <w:t>סעיף 340א(ב)(1)</w:t>
        </w:r>
      </w:hyperlink>
      <w:r>
        <w:rPr>
          <w:rFonts w:ascii="David" w:hAnsi="David" w:cs="David"/>
          <w:sz w:val="24"/>
          <w:szCs w:val="24"/>
          <w:rtl/>
        </w:rPr>
        <w:t xml:space="preserve"> לחוק העונשין.</w:t>
      </w:r>
    </w:p>
    <w:p w14:paraId="197B39B9"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הנאשם כפר בעבירות שיוחסו לו.</w:t>
      </w:r>
    </w:p>
    <w:p w14:paraId="276235C4" w14:textId="77777777" w:rsidR="00650D9C" w:rsidRDefault="00650D9C" w:rsidP="00650D9C">
      <w:pPr>
        <w:pStyle w:val="aa"/>
        <w:spacing w:after="120" w:line="360" w:lineRule="auto"/>
        <w:ind w:left="84"/>
        <w:contextualSpacing w:val="0"/>
        <w:jc w:val="both"/>
        <w:rPr>
          <w:rFonts w:ascii="David" w:hAnsi="David" w:cs="David"/>
          <w:b/>
          <w:bCs/>
          <w:sz w:val="24"/>
          <w:szCs w:val="24"/>
          <w:u w:val="single"/>
        </w:rPr>
      </w:pPr>
      <w:r>
        <w:rPr>
          <w:rFonts w:ascii="David" w:hAnsi="David" w:cs="David"/>
          <w:b/>
          <w:bCs/>
          <w:sz w:val="24"/>
          <w:szCs w:val="24"/>
          <w:u w:val="single"/>
          <w:rtl/>
        </w:rPr>
        <w:t xml:space="preserve">הכרעת הדין - </w:t>
      </w:r>
    </w:p>
    <w:p w14:paraId="7DB56595"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Pr>
      </w:pPr>
      <w:r>
        <w:rPr>
          <w:rFonts w:ascii="David" w:hAnsi="David" w:cs="David"/>
          <w:sz w:val="24"/>
          <w:szCs w:val="24"/>
          <w:rtl/>
        </w:rPr>
        <w:t xml:space="preserve">בהכרעת הדין מיום 20.12.2020, זוכה הנאשם מעבירת נשיאת והחזקת נשק לגבי </w:t>
      </w:r>
      <w:r>
        <w:rPr>
          <w:rFonts w:ascii="David" w:hAnsi="David" w:cs="David"/>
          <w:sz w:val="24"/>
          <w:szCs w:val="24"/>
          <w:u w:val="single"/>
          <w:rtl/>
        </w:rPr>
        <w:t>חלק</w:t>
      </w:r>
      <w:r>
        <w:rPr>
          <w:rFonts w:ascii="David" w:hAnsi="David" w:cs="David"/>
          <w:sz w:val="24"/>
          <w:szCs w:val="24"/>
          <w:rtl/>
        </w:rPr>
        <w:t xml:space="preserve"> מאביזרי הנשק המוזכרים בכתב האישום (וליתר דיוק – מחסנית אחת שנמצאה על הגג, התחמושת שנמצאה בחדרון שעל הגג ושקית ובה תחמושת נוספת שנמצאה בסמוך), אך הורשע בהחזקה ונשיאה של הנשק ושל אחת מהמחסניות, כמו גם בעבירה של ירי מנשק חם. </w:t>
      </w:r>
    </w:p>
    <w:p w14:paraId="33070CFA" w14:textId="77777777" w:rsidR="00650D9C" w:rsidRDefault="00650D9C" w:rsidP="00650D9C">
      <w:pPr>
        <w:pStyle w:val="aa"/>
        <w:spacing w:after="120" w:line="360" w:lineRule="auto"/>
        <w:ind w:left="84"/>
        <w:contextualSpacing w:val="0"/>
        <w:jc w:val="both"/>
        <w:rPr>
          <w:rFonts w:ascii="David" w:hAnsi="David" w:cs="David"/>
          <w:b/>
          <w:bCs/>
          <w:sz w:val="24"/>
          <w:szCs w:val="24"/>
          <w:u w:val="single"/>
        </w:rPr>
      </w:pPr>
      <w:r>
        <w:rPr>
          <w:rFonts w:ascii="David" w:hAnsi="David" w:cs="David"/>
          <w:b/>
          <w:bCs/>
          <w:sz w:val="24"/>
          <w:szCs w:val="24"/>
          <w:u w:val="single"/>
          <w:rtl/>
        </w:rPr>
        <w:t xml:space="preserve">הראיות לעונש - </w:t>
      </w:r>
    </w:p>
    <w:p w14:paraId="30899270"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 xml:space="preserve">שני הצדדים לא הציגו ראיות לעונש ומוסכם כי לנאשם אין עבר פלילי. </w:t>
      </w:r>
    </w:p>
    <w:p w14:paraId="28C38E55" w14:textId="77777777" w:rsidR="00650D9C" w:rsidRDefault="00650D9C" w:rsidP="00650D9C">
      <w:pPr>
        <w:pStyle w:val="aa"/>
        <w:spacing w:after="120" w:line="360" w:lineRule="auto"/>
        <w:ind w:left="84"/>
        <w:contextualSpacing w:val="0"/>
        <w:jc w:val="both"/>
        <w:rPr>
          <w:rFonts w:ascii="David" w:hAnsi="David" w:cs="David"/>
          <w:b/>
          <w:bCs/>
          <w:sz w:val="24"/>
          <w:szCs w:val="24"/>
          <w:u w:val="single"/>
          <w:rtl/>
        </w:rPr>
      </w:pPr>
    </w:p>
    <w:p w14:paraId="71381CD5" w14:textId="77777777" w:rsidR="00650D9C" w:rsidRDefault="00650D9C" w:rsidP="00650D9C">
      <w:pPr>
        <w:pStyle w:val="aa"/>
        <w:spacing w:after="120" w:line="360" w:lineRule="auto"/>
        <w:ind w:left="84"/>
        <w:contextualSpacing w:val="0"/>
        <w:jc w:val="both"/>
        <w:rPr>
          <w:rFonts w:ascii="David" w:hAnsi="David" w:cs="David"/>
          <w:b/>
          <w:bCs/>
          <w:sz w:val="24"/>
          <w:szCs w:val="24"/>
          <w:u w:val="single"/>
        </w:rPr>
      </w:pPr>
      <w:r>
        <w:rPr>
          <w:rFonts w:ascii="David" w:hAnsi="David" w:cs="David"/>
          <w:b/>
          <w:bCs/>
          <w:sz w:val="24"/>
          <w:szCs w:val="24"/>
          <w:u w:val="single"/>
          <w:rtl/>
        </w:rPr>
        <w:t>תסקיר שירות המבחן למבוגרים –</w:t>
      </w:r>
    </w:p>
    <w:p w14:paraId="10B6FBF0"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 xml:space="preserve">מהתסקיר עולה כי הנאשם, בן 21, רווק ומתגורר בבית הוריו. בתסקיר, הנאשם הודה בביצוע העבירות, תיאר כי מצא את הנשק על הגג וטען כי אינו יודע כיצד הנשק הגיע לשם. הוא עוד ציין כי ירה בנשק מתוך תחושת סקרנות. צוין כי הנאשם נוטה להפחית מחומרת מעשיו וכי הוא מוסר מידע חלקי ומתומצת, ללא יכולת להתבוננות ביקורתית ומעמיקה לגבי הבעייתיות שבהתנהגותו, וניכר כי אינו מבין היטב את השלכות מעשיו וחומרתם. שירות המבחן עוד התרשם כי הנאשם נעדר בשלות רגשית ובעל דפוסי חשיבה ילדותיים, וכי ביצוע העבירות משקף התנהגות אימפולסיבית וסקרנית מתוך רצון לאמץ לעצמו דפוסי התנהגות שיתכן ומייחס להם תחושת כוח וגבריות. מצוין כי הנאשם גדל בבית בעל ערכים נורמטיביים, אשר שולל התנהגות בעייתית, אם כי קיים פער בין הצגת תפקודו התקין של הנאשם לבין מעורבותו בביצוע העבירות. </w:t>
      </w:r>
    </w:p>
    <w:p w14:paraId="56EBD0AC"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Pr>
      </w:pPr>
      <w:r>
        <w:rPr>
          <w:rFonts w:ascii="David" w:hAnsi="David" w:cs="David"/>
          <w:sz w:val="24"/>
          <w:szCs w:val="24"/>
          <w:rtl/>
        </w:rPr>
        <w:t xml:space="preserve">לגבי גורמי הסיכון להישנות ביצוע העבירה, הדגש היה על חומרת התנהגותו של הנאשם, המידע המצומצם שמסר, הקושי של הנאשם  להעמיק ולפרט את המניעים שהובילו אותו לכדי ביצוע העבירות, חוסר בשלותו ונטייתו של הנאשם להתנהגות אימפולסיבית וילדותית. בבחינת מרכיבי הסיכוי לשיקום, נלקחה בחשבון העובדה כי הנאשם נעדר עבר פלילי, וכן התרשמות שירות המבחן כי ההליך המשפטי המתנהל כנגד הנאשם מהווה עבורו הרתעה ומציב בפניו גבול ברור. לכן, נקבע כי קיים סיכון נמוך להישנות התנהגות דומה.  </w:t>
      </w:r>
    </w:p>
    <w:p w14:paraId="2FB12FF3"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 xml:space="preserve">בסיכום התסקיר – התרשם שירות המבחן כי הנאשם אינו יכול להסתייע בטיפול במסגרת שירות המבחן בעיתוי זה ולפיכך אין המלצה טיפולית בעניינו. נכתב כי הנאשם זקוק לענישה משמעותית ומרתיעה שתחדד עבורו את חומרת מעשיו, וההמלצה הינה כי במסגרת הענישה יילקח בחשבון גילו הצעיר של הנאשם והעובדה כי הוא נעדר עבר פלילי. </w:t>
      </w:r>
    </w:p>
    <w:p w14:paraId="3B895279" w14:textId="77777777" w:rsidR="00650D9C" w:rsidRDefault="00650D9C" w:rsidP="00650D9C">
      <w:pPr>
        <w:pStyle w:val="aa"/>
        <w:spacing w:after="120" w:line="360" w:lineRule="auto"/>
        <w:ind w:left="84"/>
        <w:contextualSpacing w:val="0"/>
        <w:jc w:val="both"/>
        <w:rPr>
          <w:rFonts w:ascii="David" w:hAnsi="David" w:cs="David"/>
          <w:sz w:val="24"/>
          <w:szCs w:val="24"/>
          <w:u w:val="single"/>
        </w:rPr>
      </w:pPr>
      <w:r>
        <w:rPr>
          <w:rFonts w:ascii="David" w:hAnsi="David" w:cs="David"/>
          <w:b/>
          <w:bCs/>
          <w:sz w:val="24"/>
          <w:szCs w:val="24"/>
          <w:u w:val="single"/>
          <w:rtl/>
        </w:rPr>
        <w:t>טענות המאשימה לעונש</w:t>
      </w:r>
      <w:r>
        <w:rPr>
          <w:rFonts w:ascii="David" w:hAnsi="David" w:cs="David"/>
          <w:sz w:val="24"/>
          <w:szCs w:val="24"/>
          <w:u w:val="single"/>
          <w:rtl/>
        </w:rPr>
        <w:t xml:space="preserve"> -</w:t>
      </w:r>
    </w:p>
    <w:p w14:paraId="1E2DB397"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lastRenderedPageBreak/>
        <w:t xml:space="preserve">ב"כ המאשימה הגיש טיעון לעונש כתוב (סומן מא/1) והשלים טיעוניו בעל פה. במסגרת הטיעון, ביקש ב"כ המאשימה לקבוע מתחם ענישה שנע בין 4 ל-6 שנים ולמקם את עונשו של הנאשם באמצע המתחם, וזאת בשים לב לעוצמתו של הנשק, משך הירי הממושך, כמות התחמושת הרבה שנורתה, הנזק שנגרם לתושבי האזור, המורא שחשו המתלוננים שדיווחו למשטרה אודות הירי, היקף הרדיוס בו נשמעו אותם צרורות ירי ממושכים והקרבה של מקום הירי לבית הספר, המוקם באמצע שכונת המגורים. </w:t>
      </w:r>
    </w:p>
    <w:p w14:paraId="5A4F7435"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 xml:space="preserve">עוד טען ב"כ המאשימה כי יש לקחת בחשבון את העובדה שהנאשם לא לקח אחריות על מעשיו. נטען כי הנאשם אמנם הודה בפני עורכת התסקיר כי הוא זה שביצע את המעשים אולם בהמשך, הפחית מחומרת מעשיו בכך שציין כי מצא את הנשק על הגג וירה בו מתוך סקרנות, כך שהודאת הנאשם בפני שירות המבחן בביצוע המעשים הינה "מס שפתיים" בלבד. ב"כ המאשימה הפנה לתסקיר אשר המליץ על ענישה משמעותית ומרתיעה וכן הפנה לפסיקה אשר פורטה בטיעון לעונש הכתוב. </w:t>
      </w:r>
    </w:p>
    <w:p w14:paraId="3529F29E" w14:textId="77777777" w:rsidR="00650D9C" w:rsidRDefault="00650D9C" w:rsidP="00650D9C">
      <w:pPr>
        <w:pStyle w:val="aa"/>
        <w:spacing w:after="120" w:line="360" w:lineRule="auto"/>
        <w:ind w:left="84"/>
        <w:contextualSpacing w:val="0"/>
        <w:jc w:val="both"/>
        <w:rPr>
          <w:rFonts w:ascii="David" w:hAnsi="David" w:cs="David"/>
          <w:b/>
          <w:bCs/>
          <w:sz w:val="24"/>
          <w:szCs w:val="24"/>
          <w:u w:val="single"/>
          <w:rtl/>
        </w:rPr>
      </w:pPr>
      <w:r>
        <w:rPr>
          <w:rFonts w:ascii="David" w:hAnsi="David" w:cs="David"/>
          <w:b/>
          <w:bCs/>
          <w:sz w:val="24"/>
          <w:szCs w:val="24"/>
          <w:u w:val="single"/>
          <w:rtl/>
        </w:rPr>
        <w:t>טענות ההגנה לעונש -</w:t>
      </w:r>
    </w:p>
    <w:p w14:paraId="254D5750"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 xml:space="preserve">ב"כ הנאשם ביקש להתחשב בעת גזירת דינו של הנאשם בעובדה כי  הנאשם צעיר, יליד 1999, אשר נכנס לקטגוריה של "בגיר צעיר". הוא הפנה לפסק דין </w:t>
      </w:r>
      <w:hyperlink r:id="rId16" w:history="1">
        <w:r w:rsidR="00481360" w:rsidRPr="00481360">
          <w:rPr>
            <w:rFonts w:ascii="David" w:hAnsi="David" w:cs="David"/>
            <w:color w:val="0000FF"/>
            <w:sz w:val="24"/>
            <w:szCs w:val="24"/>
            <w:u w:val="single"/>
            <w:rtl/>
          </w:rPr>
          <w:t>ע"פ 7781/12</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(25.6.2013) בו קיימת סקירה אודות נאשמים המכונים "בגירים צעירים", בסמוך לגיל 18, ובית המשפט התבקש להקל בעונש נוכח האמור באותו פסק דין לגבי שיקול הדעת של "הבגירים הצעירים", שלעיתים מגלים פזיזות וחוסר בשלות. עוד נטען כי הפסיקה שאלי הפנה ב"כ המאשימה בטיעוניו אינה מתאימה לענייננו מאחר ושם דובר על נאשמים בגירים והשיקולים לגבי ענישה של בגירים שונים מהשיקולים לגבי בגירים צעירים. אף נטען כי בחלק מהפסיקה שהציג ב"כ המאשימה, דובר על נאשמים בעלי עבר פלילי מכביד, אשר שהו במעצר בפועל עד תום ההליכים, ואילו כאן מדובר על נאשם נעדר עבר פלילי אשר שהה במעצר בית, ואף לא במעצר באיזוק אלקטרוני. </w:t>
      </w:r>
    </w:p>
    <w:p w14:paraId="231B6F95"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 xml:space="preserve">ב"כ הנאשם ביקש שלא לזקוף לחובת הנאשם את העובדה כי בחר לנהל את ההליך הפלילי וזאת מהסיבה כי הנאשם זוכה מחלק מהעבירות שיוחסו לו לגבי חלק מאביזרי הנשק, מה גם שמדובר בתיק המבוסס על ראיות נסיבתיות והיה מקום לנהל את  ההליך. בנוסף נטען כי בעת גזירת עונשו של הנאשם יש לשקול את העובדה כי הנאשם נשא את הנשק נשיאה קצרה והשתמש בו שימוש רגעי, וכי הנשק נתפס ולא נגרם כל נזק בפועל. </w:t>
      </w:r>
    </w:p>
    <w:p w14:paraId="6E946099"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ב"כ הנאשם אף הדגיש כי מדובר בנאשם המנהל אורח חיים נורמטיבי ועוזר בפרנסת משפחתו ואף הוגשו תלושי שכר של הנאשם וגיליון ציונים שלו (סומנו נא/4). בנוסף, ב"כ הנאשם ביקש להגיש שישה מסמכים הכוללים המלצות שונות שקיבל הנאשם וכן אישורים בדבר התנדבותו במוסדות שונים, אותם אף נדרש להציג בפני שירות המבחן (בהקשר זה יוער כי ב"כ המאשימה התנגד להגשת המסמכים, אך לאחר שקילת טיעוני הצדדים מצאתי לקבלם לתיק).</w:t>
      </w:r>
    </w:p>
    <w:p w14:paraId="4D4AB3A2"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 xml:space="preserve">לעניין מתחם הענישה, ביקש ב"כ הנאשם לקבוע מתחם הנע בין 7 חודשים לבין 20 חודשי מאסר בפועל, ולהשית על הנאשם עונש של תשעה חודשי מאסר אשר ירוצו בעבודות שירות, בניכוי עשרה ימים בהם היה עצור מיום 23.5.2020 עד יום 2.6.2020. ב"כ הנאשם ציין כי מיום 2.6.2020 ועד היום נמצא הנאשם במעצר בית, וכי במהלך תקופה זו לא נרשמו לחובת הנאשם הפרות כלשהן. עוד נטען כי השתת מאסר בפועל על הנאשם לתקופה ממושכת תזיק לנאשם ויש להימנע מכך. </w:t>
      </w:r>
    </w:p>
    <w:p w14:paraId="45DA36FA" w14:textId="77777777" w:rsidR="00650D9C" w:rsidRDefault="00650D9C" w:rsidP="00650D9C">
      <w:pPr>
        <w:pStyle w:val="aa"/>
        <w:spacing w:after="120" w:line="360" w:lineRule="auto"/>
        <w:ind w:left="84"/>
        <w:contextualSpacing w:val="0"/>
        <w:jc w:val="both"/>
        <w:rPr>
          <w:rFonts w:ascii="David" w:hAnsi="David" w:cs="David"/>
          <w:b/>
          <w:bCs/>
          <w:sz w:val="24"/>
          <w:szCs w:val="24"/>
          <w:u w:val="single"/>
        </w:rPr>
      </w:pPr>
      <w:r>
        <w:rPr>
          <w:rFonts w:ascii="David" w:hAnsi="David" w:cs="David"/>
          <w:b/>
          <w:bCs/>
          <w:sz w:val="24"/>
          <w:szCs w:val="24"/>
          <w:u w:val="single"/>
          <w:rtl/>
        </w:rPr>
        <w:t xml:space="preserve">דיון והכרעה - </w:t>
      </w:r>
    </w:p>
    <w:p w14:paraId="5F7BE897" w14:textId="77777777" w:rsidR="00650D9C" w:rsidRDefault="00650D9C" w:rsidP="00650D9C">
      <w:pPr>
        <w:pStyle w:val="aa"/>
        <w:spacing w:after="120" w:line="360" w:lineRule="auto"/>
        <w:ind w:left="84"/>
        <w:contextualSpacing w:val="0"/>
        <w:jc w:val="both"/>
        <w:rPr>
          <w:rFonts w:ascii="David" w:hAnsi="David" w:cs="David"/>
          <w:b/>
          <w:bCs/>
          <w:sz w:val="24"/>
          <w:szCs w:val="24"/>
          <w:u w:val="single"/>
        </w:rPr>
      </w:pPr>
      <w:r>
        <w:rPr>
          <w:rFonts w:ascii="David" w:hAnsi="David" w:cs="David"/>
          <w:b/>
          <w:bCs/>
          <w:sz w:val="24"/>
          <w:szCs w:val="24"/>
          <w:u w:val="single"/>
          <w:rtl/>
        </w:rPr>
        <w:t>אירוע בודד או מספר אירועים –</w:t>
      </w:r>
    </w:p>
    <w:p w14:paraId="2F96C58B"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 xml:space="preserve">עסקינן באירוע אחד, אשר במהלכו ביצע הנאשם את מכלול המעשים נשוא כתב האישום. </w:t>
      </w:r>
    </w:p>
    <w:p w14:paraId="4625336C" w14:textId="77777777" w:rsidR="00650D9C" w:rsidRDefault="00650D9C" w:rsidP="00650D9C">
      <w:pPr>
        <w:pStyle w:val="aa"/>
        <w:spacing w:after="120" w:line="360" w:lineRule="auto"/>
        <w:ind w:left="84"/>
        <w:contextualSpacing w:val="0"/>
        <w:jc w:val="both"/>
        <w:rPr>
          <w:rFonts w:ascii="David" w:hAnsi="David" w:cs="David"/>
          <w:b/>
          <w:bCs/>
          <w:sz w:val="24"/>
          <w:szCs w:val="24"/>
          <w:u w:val="single"/>
          <w:rtl/>
        </w:rPr>
      </w:pPr>
      <w:r>
        <w:rPr>
          <w:rFonts w:ascii="David" w:hAnsi="David" w:cs="David"/>
          <w:b/>
          <w:bCs/>
          <w:sz w:val="24"/>
          <w:szCs w:val="24"/>
          <w:u w:val="single"/>
          <w:rtl/>
        </w:rPr>
        <w:t>מתחם הענישה -</w:t>
      </w:r>
    </w:p>
    <w:p w14:paraId="1C328C7B"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 xml:space="preserve">נזכיר כי הנאשם הורשע בכך שהחזיק ונשא מחסנית ונשק מסוג </w:t>
      </w:r>
      <w:r>
        <w:rPr>
          <w:rFonts w:ascii="David" w:hAnsi="David" w:cs="David"/>
        </w:rPr>
        <w:t>M</w:t>
      </w:r>
      <w:r>
        <w:rPr>
          <w:rFonts w:ascii="David" w:hAnsi="David" w:cs="David"/>
          <w:sz w:val="24"/>
          <w:szCs w:val="24"/>
        </w:rPr>
        <w:t>16</w:t>
      </w:r>
      <w:r>
        <w:rPr>
          <w:rFonts w:ascii="David" w:hAnsi="David" w:cs="David"/>
          <w:sz w:val="24"/>
          <w:szCs w:val="24"/>
          <w:rtl/>
        </w:rPr>
        <w:t xml:space="preserve"> שלא כדין, וירה בנשק בהיותו על גג הבניין בו הוא מתגורר, עשרות כדורים, תוך סיכון חיי אדם.  </w:t>
      </w:r>
    </w:p>
    <w:p w14:paraId="5A4400C8" w14:textId="77777777" w:rsidR="00650D9C" w:rsidRDefault="00650D9C" w:rsidP="00650D9C">
      <w:pPr>
        <w:pStyle w:val="aa"/>
        <w:spacing w:after="120" w:line="360" w:lineRule="auto"/>
        <w:ind w:left="84"/>
        <w:contextualSpacing w:val="0"/>
        <w:jc w:val="both"/>
        <w:rPr>
          <w:rFonts w:ascii="David" w:hAnsi="David" w:cs="David"/>
          <w:sz w:val="24"/>
          <w:szCs w:val="24"/>
          <w:u w:val="single"/>
          <w:rtl/>
        </w:rPr>
      </w:pPr>
    </w:p>
    <w:p w14:paraId="7DDED809" w14:textId="77777777" w:rsidR="00650D9C" w:rsidRDefault="00650D9C" w:rsidP="00650D9C">
      <w:pPr>
        <w:pStyle w:val="aa"/>
        <w:spacing w:after="120" w:line="360" w:lineRule="auto"/>
        <w:ind w:left="84"/>
        <w:contextualSpacing w:val="0"/>
        <w:jc w:val="both"/>
        <w:rPr>
          <w:rFonts w:ascii="David" w:hAnsi="David" w:cs="David"/>
          <w:sz w:val="24"/>
          <w:szCs w:val="24"/>
          <w:u w:val="single"/>
          <w:rtl/>
        </w:rPr>
      </w:pPr>
      <w:r>
        <w:rPr>
          <w:rFonts w:ascii="David" w:hAnsi="David" w:cs="David"/>
          <w:sz w:val="24"/>
          <w:szCs w:val="24"/>
          <w:u w:val="single"/>
          <w:rtl/>
        </w:rPr>
        <w:t>הערכים שנפגעו -</w:t>
      </w:r>
    </w:p>
    <w:p w14:paraId="6912DA3C"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 xml:space="preserve">הערכים החברתיים שנפגעו מביצוע העבירות הינם הפגיעה בשלום הציבור, בביטחונו ובתחושת הביטחון ואף פגיעה בסדר הציבורי – והדברים ברורים. </w:t>
      </w:r>
    </w:p>
    <w:p w14:paraId="134B3180" w14:textId="77777777" w:rsidR="00650D9C" w:rsidRDefault="00650D9C" w:rsidP="00650D9C">
      <w:pPr>
        <w:pStyle w:val="aa"/>
        <w:spacing w:after="120" w:line="360" w:lineRule="auto"/>
        <w:ind w:left="84"/>
        <w:contextualSpacing w:val="0"/>
        <w:jc w:val="both"/>
        <w:rPr>
          <w:rFonts w:ascii="David" w:hAnsi="David" w:cs="David"/>
          <w:sz w:val="24"/>
          <w:szCs w:val="24"/>
          <w:u w:val="single"/>
        </w:rPr>
      </w:pPr>
      <w:r>
        <w:rPr>
          <w:rFonts w:ascii="David" w:hAnsi="David" w:cs="David"/>
          <w:sz w:val="24"/>
          <w:szCs w:val="24"/>
          <w:u w:val="single"/>
          <w:rtl/>
        </w:rPr>
        <w:t>נסיבות הקשורות בביצוע העבירה -</w:t>
      </w:r>
    </w:p>
    <w:p w14:paraId="46B6BF16"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u w:val="single"/>
          <w:rtl/>
        </w:rPr>
      </w:pPr>
      <w:r>
        <w:rPr>
          <w:rFonts w:ascii="David" w:hAnsi="David" w:cs="David"/>
          <w:sz w:val="24"/>
          <w:szCs w:val="24"/>
          <w:rtl/>
        </w:rPr>
        <w:t xml:space="preserve">באשר לסוגיית התכנון המקדים - לא ניתן לקבוע בוודאות אם עסקינן במעשים אשר הינם פרי תכנון מוקדם, או מעשים רגעיים וספונטניים אשר במהלכם החליט הנאשם לירות בנשק, ובכל אופן נתון זה לא היה חלק מכתב האישום - כך שנצא מנקודת ההנחה המקלה עם הנאשם.   </w:t>
      </w:r>
    </w:p>
    <w:p w14:paraId="6BCD82AF"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Pr>
      </w:pPr>
      <w:r>
        <w:rPr>
          <w:rFonts w:ascii="David" w:hAnsi="David" w:cs="David"/>
          <w:sz w:val="24"/>
          <w:szCs w:val="24"/>
          <w:rtl/>
        </w:rPr>
        <w:t xml:space="preserve">באשר לנזק שנגרם מביצוע העבירות – עבירות הנשק, וקל וחומר – עבירת הירי, טומנות בחובן פוטנציאל למסוכנות מוחשית וממשית לשלום הציבור. בענייננו, כפי שהוכח במהלך הצגת הראיות – המדובר היה בערב חג ובמועד הרלבנטי נשמעו יריות רבות מכמה מוקדי ירי ברחבי היישוב, והמתלוננים שהתקשרו למשטרה לדווח על הירי, דיווחו על עוד יריות ממקומות נוספים ומכיוונים שונים. בפועל, למרבה המזל לא נגרמה פגיעה ולא נגרם נזק, מעבר למורא שהטיל הנאשם במעשיו על אותם אנשים אשר התלוננו על הירי שנשמע, אך אין בכך כדי להפחית מפוטנציאל הנזק שקיים מירי מגג של בניין מגורים בסביבת מגורים צפופה. </w:t>
      </w:r>
    </w:p>
    <w:p w14:paraId="461B6FA8" w14:textId="77777777" w:rsidR="00650D9C" w:rsidRDefault="00650D9C" w:rsidP="00650D9C">
      <w:pPr>
        <w:pStyle w:val="aa"/>
        <w:spacing w:after="120" w:line="360" w:lineRule="auto"/>
        <w:ind w:left="84"/>
        <w:contextualSpacing w:val="0"/>
        <w:jc w:val="both"/>
        <w:rPr>
          <w:rFonts w:ascii="David" w:hAnsi="David" w:cs="David"/>
          <w:sz w:val="24"/>
          <w:szCs w:val="24"/>
          <w:u w:val="single"/>
          <w:rtl/>
        </w:rPr>
      </w:pPr>
      <w:r>
        <w:rPr>
          <w:rFonts w:ascii="David" w:hAnsi="David" w:cs="David"/>
          <w:sz w:val="24"/>
          <w:szCs w:val="24"/>
          <w:u w:val="single"/>
          <w:rtl/>
        </w:rPr>
        <w:t>מדיניות הענישה הנוהגת</w:t>
      </w:r>
      <w:r>
        <w:rPr>
          <w:rFonts w:ascii="David" w:hAnsi="David" w:cs="David"/>
          <w:sz w:val="24"/>
          <w:szCs w:val="24"/>
          <w:rtl/>
        </w:rPr>
        <w:t xml:space="preserve"> –</w:t>
      </w:r>
    </w:p>
    <w:p w14:paraId="25975214"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u w:val="single"/>
        </w:rPr>
      </w:pPr>
      <w:r>
        <w:rPr>
          <w:rFonts w:ascii="David" w:hAnsi="David" w:cs="David"/>
          <w:sz w:val="24"/>
          <w:szCs w:val="24"/>
          <w:rtl/>
        </w:rPr>
        <w:t xml:space="preserve">נפסק לא אחת כי חומרתן של עבירות הנשק בכך שהן מקימות סיכון ממשי וחמור לציבור ויוצרות פוטנציאל להסלמה עבריינית, ואף נפסק כי חומרה זו מחייבת ליתן ביטוי עונשי באמצעות הרחקת מבצעי העבירות לתקופת מאסר ממשית לריצוי בפועל. בית המשפט העליון הבהיר עוד בפסיקתו האחרונה, במספר הזדמנויות, כי הגיעה העת להחמיר בעבירות הנשק. </w:t>
      </w:r>
    </w:p>
    <w:p w14:paraId="39349F22" w14:textId="77777777" w:rsidR="00650D9C" w:rsidRDefault="00650D9C" w:rsidP="00650D9C">
      <w:pPr>
        <w:pStyle w:val="aa"/>
        <w:spacing w:after="120" w:line="360" w:lineRule="auto"/>
        <w:ind w:left="84" w:firstLine="636"/>
        <w:contextualSpacing w:val="0"/>
        <w:jc w:val="both"/>
        <w:rPr>
          <w:rFonts w:ascii="David" w:hAnsi="David" w:cs="David"/>
          <w:b/>
          <w:bCs/>
          <w:sz w:val="24"/>
          <w:szCs w:val="24"/>
          <w:u w:val="single"/>
        </w:rPr>
      </w:pPr>
      <w:r>
        <w:rPr>
          <w:rFonts w:ascii="David" w:hAnsi="David" w:cs="David"/>
          <w:sz w:val="24"/>
          <w:szCs w:val="24"/>
          <w:rtl/>
        </w:rPr>
        <w:t xml:space="preserve">לעניין זה ראו את </w:t>
      </w:r>
      <w:hyperlink r:id="rId17" w:history="1">
        <w:r w:rsidR="00481360" w:rsidRPr="00481360">
          <w:rPr>
            <w:rFonts w:ascii="David" w:hAnsi="David" w:cs="David"/>
            <w:color w:val="0000FF"/>
            <w:sz w:val="24"/>
            <w:szCs w:val="24"/>
            <w:u w:val="single"/>
            <w:rtl/>
          </w:rPr>
          <w:t>ע"פ 2564/19</w:t>
        </w:r>
      </w:hyperlink>
      <w:r>
        <w:rPr>
          <w:rFonts w:ascii="David" w:hAnsi="David" w:cs="David"/>
          <w:sz w:val="24"/>
          <w:szCs w:val="24"/>
          <w:rtl/>
        </w:rPr>
        <w:t xml:space="preserve"> </w:t>
      </w:r>
      <w:r>
        <w:rPr>
          <w:rFonts w:ascii="David" w:hAnsi="David" w:cs="David"/>
          <w:b/>
          <w:bCs/>
          <w:sz w:val="24"/>
          <w:szCs w:val="24"/>
          <w:rtl/>
        </w:rPr>
        <w:t>אזברגה נ' מדינת ישראל</w:t>
      </w:r>
      <w:r>
        <w:rPr>
          <w:rFonts w:ascii="David" w:hAnsi="David" w:cs="David"/>
          <w:sz w:val="24"/>
          <w:szCs w:val="24"/>
          <w:rtl/>
        </w:rPr>
        <w:t xml:space="preserve"> (27.6.2019), לאמור:</w:t>
      </w:r>
    </w:p>
    <w:p w14:paraId="32C9BB56" w14:textId="77777777" w:rsidR="00650D9C" w:rsidRDefault="00650D9C" w:rsidP="00650D9C">
      <w:pPr>
        <w:pStyle w:val="ac"/>
        <w:spacing w:after="240"/>
      </w:pPr>
      <w:r>
        <w:rPr>
          <w:rFonts w:hint="cs"/>
          <w:rtl/>
        </w:rPr>
        <w:t>"קיימת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p>
    <w:p w14:paraId="00249FDF" w14:textId="77777777" w:rsidR="00650D9C" w:rsidRDefault="00650D9C" w:rsidP="00650D9C">
      <w:pPr>
        <w:pStyle w:val="aa"/>
        <w:spacing w:after="120" w:line="360" w:lineRule="auto"/>
        <w:ind w:left="84" w:firstLine="636"/>
        <w:contextualSpacing w:val="0"/>
        <w:jc w:val="both"/>
        <w:rPr>
          <w:rFonts w:ascii="David" w:hAnsi="David" w:cs="David"/>
          <w:b/>
          <w:bCs/>
          <w:sz w:val="24"/>
          <w:szCs w:val="24"/>
        </w:rPr>
      </w:pPr>
      <w:r>
        <w:rPr>
          <w:rFonts w:ascii="David" w:hAnsi="David" w:cs="David"/>
          <w:sz w:val="24"/>
          <w:szCs w:val="24"/>
          <w:rtl/>
        </w:rPr>
        <w:t xml:space="preserve">וכן את </w:t>
      </w:r>
      <w:hyperlink r:id="rId18" w:history="1">
        <w:r w:rsidR="00481360" w:rsidRPr="00481360">
          <w:rPr>
            <w:rFonts w:ascii="David" w:hAnsi="David" w:cs="David"/>
            <w:color w:val="0000FF"/>
            <w:sz w:val="24"/>
            <w:szCs w:val="24"/>
            <w:u w:val="single"/>
            <w:rtl/>
          </w:rPr>
          <w:t>ע"פ 5330/20</w:t>
        </w:r>
      </w:hyperlink>
      <w:r>
        <w:rPr>
          <w:rFonts w:ascii="David" w:hAnsi="David" w:cs="David"/>
          <w:sz w:val="24"/>
          <w:szCs w:val="24"/>
          <w:rtl/>
        </w:rPr>
        <w:t xml:space="preserve"> </w:t>
      </w:r>
      <w:r>
        <w:rPr>
          <w:rFonts w:ascii="David" w:hAnsi="David" w:cs="David"/>
          <w:b/>
          <w:bCs/>
          <w:sz w:val="24"/>
          <w:szCs w:val="24"/>
          <w:rtl/>
        </w:rPr>
        <w:t>ענבתאוי נ' מדינת ישראל</w:t>
      </w:r>
      <w:r>
        <w:rPr>
          <w:rFonts w:ascii="David" w:hAnsi="David" w:cs="David"/>
          <w:sz w:val="24"/>
          <w:szCs w:val="24"/>
          <w:rtl/>
        </w:rPr>
        <w:t xml:space="preserve"> (22.11.2020):</w:t>
      </w:r>
    </w:p>
    <w:p w14:paraId="1815E862" w14:textId="77777777" w:rsidR="00650D9C" w:rsidRDefault="00650D9C" w:rsidP="00650D9C">
      <w:pPr>
        <w:pStyle w:val="ac"/>
        <w:rPr>
          <w:rtl/>
        </w:rPr>
      </w:pPr>
      <w:r>
        <w:rPr>
          <w:rFonts w:hint="cs"/>
          <w:rtl/>
        </w:rPr>
        <w:t xml:space="preserve">"בלב הדברים, עומדת החומרה היתרה הנודעת לביצוע עבירות בנשק, לסוגיהן. 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ככלל, עונשם של המעורבים בעבירות בנשק הוא מאסר ממושך לריצוי בפועל, </w:t>
      </w:r>
      <w:r>
        <w:rPr>
          <w:rFonts w:hint="cs"/>
          <w:b/>
          <w:bCs/>
          <w:u w:val="single"/>
          <w:rtl/>
        </w:rPr>
        <w:t>אף אם הם נעדרים עבר פלילי מכל סוג שהוא וזו להם העבירה הראשונה ... וכך גם אם מדובר בבגירים צעירים</w:t>
      </w:r>
      <w:r>
        <w:rPr>
          <w:rFonts w:hint="cs"/>
          <w:rtl/>
        </w:rPr>
        <w:t>, במקרים המתאימים ... יתרה מכך, בשל החומרה היתרה שבעבירות אלו והסיכון הגבוה שיש בהן לשלום הציבור ניתן משקל רב יותר לאינטרס הציבורי ולשיקולי ההרתעה".</w:t>
      </w:r>
    </w:p>
    <w:p w14:paraId="1B80BE30" w14:textId="77777777" w:rsidR="00650D9C" w:rsidRDefault="00650D9C" w:rsidP="00650D9C">
      <w:pPr>
        <w:pStyle w:val="ac"/>
        <w:spacing w:after="240" w:line="360" w:lineRule="auto"/>
        <w:ind w:left="2160" w:firstLine="720"/>
        <w:rPr>
          <w:rFonts w:ascii="David" w:hAnsi="David" w:cs="David"/>
          <w:rtl/>
        </w:rPr>
      </w:pPr>
      <w:r>
        <w:rPr>
          <w:rFonts w:ascii="David" w:hAnsi="David" w:cs="David"/>
          <w:rtl/>
        </w:rPr>
        <w:t>(ההדגשות אינן במקור).</w:t>
      </w:r>
    </w:p>
    <w:p w14:paraId="350CFD54"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מתוך הפסיקה הרבה אליה הפנו הצדדים, ופסיקה נוספת, נזכיר את המקרים הבאים:</w:t>
      </w:r>
    </w:p>
    <w:p w14:paraId="4E5F4CEA" w14:textId="77777777" w:rsidR="00650D9C" w:rsidRDefault="00481360" w:rsidP="00650D9C">
      <w:pPr>
        <w:spacing w:after="120" w:line="360" w:lineRule="auto"/>
        <w:ind w:left="141" w:firstLine="579"/>
        <w:jc w:val="both"/>
        <w:rPr>
          <w:rFonts w:ascii="Narkisim" w:hAnsi="Narkisim" w:cs="Narkisim"/>
          <w:rtl/>
        </w:rPr>
      </w:pPr>
      <w:hyperlink r:id="rId19" w:history="1">
        <w:r w:rsidRPr="00481360">
          <w:rPr>
            <w:rFonts w:ascii="David" w:hAnsi="David"/>
            <w:color w:val="0000FF"/>
            <w:u w:val="single"/>
            <w:rtl/>
          </w:rPr>
          <w:t>ע"פ 9373/10</w:t>
        </w:r>
      </w:hyperlink>
      <w:r w:rsidR="00650D9C">
        <w:rPr>
          <w:rFonts w:ascii="David" w:hAnsi="David"/>
          <w:rtl/>
        </w:rPr>
        <w:t xml:space="preserve"> </w:t>
      </w:r>
      <w:r w:rsidR="00650D9C">
        <w:rPr>
          <w:rFonts w:ascii="David" w:hAnsi="David"/>
          <w:b/>
          <w:bCs/>
          <w:rtl/>
        </w:rPr>
        <w:t xml:space="preserve">ותד נ' מדינת ישראל </w:t>
      </w:r>
      <w:r w:rsidR="00650D9C">
        <w:rPr>
          <w:rFonts w:ascii="David" w:hAnsi="David"/>
          <w:rtl/>
        </w:rPr>
        <w:t xml:space="preserve">(14.9.2011) - המערער הורשע בעבירה של החזקת נשק ונשיאתו, כאשר החזיק בביתו אקדח ומחסנית בה היו תשעה כדורים, וכאשר בנוסף, נמצאו 36 כדורים מוטמנים בחצר. בית המשפט העליון העמיד את עונשו על </w:t>
      </w:r>
      <w:r w:rsidR="00650D9C">
        <w:rPr>
          <w:rFonts w:ascii="David" w:hAnsi="David"/>
          <w:u w:val="double"/>
          <w:rtl/>
        </w:rPr>
        <w:t>30</w:t>
      </w:r>
      <w:r w:rsidR="00650D9C">
        <w:rPr>
          <w:rFonts w:ascii="David" w:hAnsi="David"/>
          <w:rtl/>
        </w:rPr>
        <w:t xml:space="preserve"> חודשי מאסר בפועל</w:t>
      </w:r>
      <w:r w:rsidR="00650D9C">
        <w:rPr>
          <w:rFonts w:ascii="Narkisim" w:hAnsi="Narkisim" w:cs="Narkisim"/>
          <w:rtl/>
        </w:rPr>
        <w:t xml:space="preserve">. </w:t>
      </w:r>
    </w:p>
    <w:p w14:paraId="39169F33" w14:textId="77777777" w:rsidR="00650D9C" w:rsidRDefault="00481360" w:rsidP="00650D9C">
      <w:pPr>
        <w:pStyle w:val="aa"/>
        <w:spacing w:after="120" w:line="360" w:lineRule="auto"/>
        <w:ind w:left="141" w:firstLine="579"/>
        <w:contextualSpacing w:val="0"/>
        <w:jc w:val="both"/>
        <w:rPr>
          <w:rFonts w:ascii="David" w:hAnsi="David" w:cs="David"/>
          <w:b/>
          <w:bCs/>
          <w:sz w:val="24"/>
          <w:szCs w:val="24"/>
          <w:rtl/>
        </w:rPr>
      </w:pPr>
      <w:hyperlink r:id="rId20" w:history="1">
        <w:r w:rsidRPr="00481360">
          <w:rPr>
            <w:rFonts w:ascii="David" w:hAnsi="David" w:cs="David"/>
            <w:color w:val="0000FF"/>
            <w:sz w:val="24"/>
            <w:szCs w:val="24"/>
            <w:u w:val="single"/>
            <w:rtl/>
          </w:rPr>
          <w:t>ע"פ 7177/20</w:t>
        </w:r>
      </w:hyperlink>
      <w:r w:rsidR="00650D9C">
        <w:rPr>
          <w:rFonts w:ascii="David" w:hAnsi="David" w:cs="David"/>
          <w:sz w:val="24"/>
          <w:szCs w:val="24"/>
          <w:rtl/>
        </w:rPr>
        <w:t xml:space="preserve"> </w:t>
      </w:r>
      <w:r w:rsidR="00650D9C">
        <w:rPr>
          <w:rFonts w:ascii="David" w:hAnsi="David" w:cs="David"/>
          <w:b/>
          <w:bCs/>
          <w:sz w:val="24"/>
          <w:szCs w:val="24"/>
          <w:rtl/>
        </w:rPr>
        <w:t xml:space="preserve">כנעאן נ' מדינת ישראל </w:t>
      </w:r>
      <w:r w:rsidR="00650D9C">
        <w:rPr>
          <w:rFonts w:ascii="David" w:hAnsi="David" w:cs="David"/>
          <w:sz w:val="24"/>
          <w:szCs w:val="24"/>
          <w:rtl/>
        </w:rPr>
        <w:t>(27.1.2021)</w:t>
      </w:r>
      <w:r w:rsidR="00650D9C">
        <w:rPr>
          <w:rFonts w:ascii="David" w:hAnsi="David" w:cs="David"/>
          <w:b/>
          <w:bCs/>
          <w:sz w:val="24"/>
          <w:szCs w:val="24"/>
          <w:rtl/>
        </w:rPr>
        <w:t xml:space="preserve"> – </w:t>
      </w:r>
      <w:r w:rsidR="00650D9C">
        <w:rPr>
          <w:rFonts w:ascii="David" w:hAnsi="David" w:cs="David"/>
          <w:sz w:val="24"/>
          <w:szCs w:val="24"/>
          <w:rtl/>
        </w:rPr>
        <w:t xml:space="preserve">נדחה ערעורו של נאשם אשר הורשע על פי הודאתו בעבירה של נשיאת נשק. הנאשם יצא מבית שכנו כשהוא נושא אקדח, הכניס לתוכו מחסנית טעונה, דרך את האקדח וכעבור מספר דקות פרק אותו והעבירו לאחר. בית משפט המחוזי השית על הנאשם עונש של </w:t>
      </w:r>
      <w:r w:rsidR="00650D9C">
        <w:rPr>
          <w:rFonts w:ascii="David" w:hAnsi="David" w:cs="David"/>
          <w:sz w:val="24"/>
          <w:szCs w:val="24"/>
          <w:u w:val="double"/>
          <w:rtl/>
        </w:rPr>
        <w:t>24</w:t>
      </w:r>
      <w:r w:rsidR="00650D9C">
        <w:rPr>
          <w:rFonts w:ascii="David" w:hAnsi="David" w:cs="David"/>
          <w:b/>
          <w:bCs/>
          <w:sz w:val="24"/>
          <w:szCs w:val="24"/>
          <w:rtl/>
        </w:rPr>
        <w:t xml:space="preserve"> </w:t>
      </w:r>
      <w:r w:rsidR="00650D9C">
        <w:rPr>
          <w:rFonts w:ascii="David" w:hAnsi="David" w:cs="David"/>
          <w:sz w:val="24"/>
          <w:szCs w:val="24"/>
          <w:rtl/>
        </w:rPr>
        <w:t>חודשי מאסר בפועל. בית משפט העליון התייחס למגמת החמרה בענישה בעבירות הנשק ולחומרה היתרה בעבירות אלה ודחה את הערעור על חומרת העונש.</w:t>
      </w:r>
      <w:r w:rsidR="00650D9C">
        <w:rPr>
          <w:rFonts w:ascii="David" w:hAnsi="David" w:cs="David"/>
          <w:b/>
          <w:bCs/>
          <w:sz w:val="24"/>
          <w:szCs w:val="24"/>
          <w:rtl/>
        </w:rPr>
        <w:t xml:space="preserve"> </w:t>
      </w:r>
    </w:p>
    <w:p w14:paraId="33E63A79" w14:textId="77777777" w:rsidR="00650D9C" w:rsidRDefault="00481360" w:rsidP="00650D9C">
      <w:pPr>
        <w:pStyle w:val="aa"/>
        <w:spacing w:after="120" w:line="360" w:lineRule="auto"/>
        <w:ind w:left="141" w:firstLine="579"/>
        <w:contextualSpacing w:val="0"/>
        <w:jc w:val="both"/>
        <w:rPr>
          <w:rFonts w:ascii="David" w:hAnsi="David" w:cs="David"/>
          <w:sz w:val="24"/>
          <w:szCs w:val="24"/>
        </w:rPr>
      </w:pPr>
      <w:hyperlink r:id="rId21" w:history="1">
        <w:r w:rsidRPr="00481360">
          <w:rPr>
            <w:rFonts w:ascii="David" w:hAnsi="David" w:cs="David"/>
            <w:color w:val="0000FF"/>
            <w:sz w:val="24"/>
            <w:szCs w:val="24"/>
            <w:u w:val="single"/>
            <w:rtl/>
          </w:rPr>
          <w:t>ת"פ (מחוזי חיפה) 14115-07-19</w:t>
        </w:r>
      </w:hyperlink>
      <w:r w:rsidR="00650D9C">
        <w:rPr>
          <w:rFonts w:ascii="David" w:hAnsi="David" w:cs="David"/>
          <w:sz w:val="24"/>
          <w:szCs w:val="24"/>
          <w:rtl/>
        </w:rPr>
        <w:t xml:space="preserve"> </w:t>
      </w:r>
      <w:r w:rsidR="00650D9C">
        <w:rPr>
          <w:rFonts w:ascii="David" w:hAnsi="David" w:cs="David"/>
          <w:b/>
          <w:bCs/>
          <w:sz w:val="24"/>
          <w:szCs w:val="24"/>
          <w:rtl/>
        </w:rPr>
        <w:t>מדינת ישראל נ' ג'בארין</w:t>
      </w:r>
      <w:r w:rsidR="00650D9C">
        <w:rPr>
          <w:rFonts w:ascii="David" w:hAnsi="David" w:cs="David"/>
          <w:sz w:val="24"/>
          <w:szCs w:val="24"/>
          <w:rtl/>
        </w:rPr>
        <w:t xml:space="preserve"> (28.1.2020) - הנאשם, בן 24,  הורשע בעבירה של נשיאת נשק ובעבירה של הפרעה לשוטר במילוי תפקידו. על פי עובדות כתב האישום, נשא הנאשם על גופו אקדח חצי אוטומטי ובתוכו מחסנית עם שלושה כדורים. משהבחין הנאשם בניידת משטרה, נמלט מהמקום, כשהשוטרים בעקבותיו וקוראים לו לעצור. על הנאשם הוטל עונש של </w:t>
      </w:r>
      <w:r w:rsidR="00650D9C">
        <w:rPr>
          <w:rFonts w:ascii="David" w:hAnsi="David" w:cs="David"/>
          <w:sz w:val="24"/>
          <w:szCs w:val="24"/>
          <w:u w:val="double"/>
          <w:rtl/>
        </w:rPr>
        <w:t>20</w:t>
      </w:r>
      <w:r w:rsidR="00650D9C">
        <w:rPr>
          <w:rFonts w:ascii="David" w:hAnsi="David" w:cs="David"/>
          <w:b/>
          <w:bCs/>
          <w:sz w:val="24"/>
          <w:szCs w:val="24"/>
          <w:rtl/>
        </w:rPr>
        <w:t xml:space="preserve"> </w:t>
      </w:r>
      <w:r w:rsidR="00650D9C">
        <w:rPr>
          <w:rFonts w:ascii="David" w:hAnsi="David" w:cs="David"/>
          <w:sz w:val="24"/>
          <w:szCs w:val="24"/>
          <w:rtl/>
        </w:rPr>
        <w:t xml:space="preserve">חודשי מאסר בפועל, ומאסר על תנאי. </w:t>
      </w:r>
    </w:p>
    <w:p w14:paraId="225E10B8" w14:textId="77777777" w:rsidR="00650D9C" w:rsidRDefault="00481360" w:rsidP="00650D9C">
      <w:pPr>
        <w:pStyle w:val="aa"/>
        <w:spacing w:after="120" w:line="360" w:lineRule="auto"/>
        <w:ind w:left="141" w:firstLine="579"/>
        <w:contextualSpacing w:val="0"/>
        <w:jc w:val="both"/>
        <w:rPr>
          <w:rFonts w:ascii="David" w:hAnsi="David" w:cs="David"/>
          <w:sz w:val="24"/>
          <w:szCs w:val="24"/>
          <w:rtl/>
        </w:rPr>
      </w:pPr>
      <w:hyperlink r:id="rId22" w:history="1">
        <w:r w:rsidRPr="00481360">
          <w:rPr>
            <w:rFonts w:ascii="David" w:hAnsi="David" w:cs="David"/>
            <w:color w:val="0000FF"/>
            <w:sz w:val="24"/>
            <w:szCs w:val="24"/>
            <w:u w:val="single"/>
            <w:rtl/>
          </w:rPr>
          <w:t>ת"פ (מחוזי חיפה) 1641-04-19</w:t>
        </w:r>
      </w:hyperlink>
      <w:r w:rsidR="00650D9C">
        <w:rPr>
          <w:rFonts w:ascii="David" w:hAnsi="David" w:cs="David"/>
          <w:sz w:val="24"/>
          <w:szCs w:val="24"/>
          <w:rtl/>
        </w:rPr>
        <w:t xml:space="preserve"> </w:t>
      </w:r>
      <w:r w:rsidR="00650D9C">
        <w:rPr>
          <w:rFonts w:ascii="David" w:hAnsi="David" w:cs="David"/>
          <w:b/>
          <w:bCs/>
          <w:sz w:val="24"/>
          <w:szCs w:val="24"/>
          <w:rtl/>
        </w:rPr>
        <w:t xml:space="preserve">מדינת ישראל נ' זידאן </w:t>
      </w:r>
      <w:r w:rsidR="00650D9C">
        <w:rPr>
          <w:rFonts w:ascii="David" w:hAnsi="David" w:cs="David"/>
          <w:sz w:val="24"/>
          <w:szCs w:val="24"/>
          <w:rtl/>
        </w:rPr>
        <w:t xml:space="preserve">(6.10.2019) שם דובר על מקרה דומה, של עבירות נשיאת נשק ותחמושת ועבירה של ירי חם באזור מגורים, ובו נקבע מתחם ענישה שנע בין 15 לבין 36 חודשי מאסר בפועל, וגזר על הנאשם </w:t>
      </w:r>
      <w:r w:rsidR="00650D9C">
        <w:rPr>
          <w:rFonts w:ascii="David" w:hAnsi="David" w:cs="David"/>
          <w:sz w:val="24"/>
          <w:szCs w:val="24"/>
          <w:u w:val="double"/>
          <w:rtl/>
        </w:rPr>
        <w:t>18</w:t>
      </w:r>
      <w:r w:rsidR="00650D9C">
        <w:rPr>
          <w:rFonts w:ascii="David" w:hAnsi="David" w:cs="David"/>
          <w:sz w:val="24"/>
          <w:szCs w:val="24"/>
          <w:rtl/>
        </w:rPr>
        <w:t xml:space="preserve"> חודשי מאסר בפועל בניכוי ימי מעצרו. </w:t>
      </w:r>
    </w:p>
    <w:p w14:paraId="0DB437BE" w14:textId="77777777" w:rsidR="00650D9C" w:rsidRDefault="00481360" w:rsidP="00650D9C">
      <w:pPr>
        <w:pStyle w:val="aa"/>
        <w:spacing w:after="120" w:line="360" w:lineRule="auto"/>
        <w:ind w:left="141" w:firstLine="579"/>
        <w:contextualSpacing w:val="0"/>
        <w:jc w:val="both"/>
        <w:rPr>
          <w:rFonts w:ascii="David" w:hAnsi="David" w:cs="David"/>
          <w:sz w:val="24"/>
          <w:szCs w:val="24"/>
          <w:rtl/>
        </w:rPr>
      </w:pPr>
      <w:hyperlink r:id="rId23" w:history="1">
        <w:r w:rsidRPr="00481360">
          <w:rPr>
            <w:rFonts w:ascii="David" w:hAnsi="David" w:cs="David"/>
            <w:color w:val="0000FF"/>
            <w:sz w:val="24"/>
            <w:szCs w:val="24"/>
            <w:u w:val="single"/>
            <w:rtl/>
          </w:rPr>
          <w:t>ת"פ (מחוזי חיפה) 58511-01-20</w:t>
        </w:r>
      </w:hyperlink>
      <w:r w:rsidR="00650D9C">
        <w:rPr>
          <w:rFonts w:ascii="David" w:hAnsi="David" w:cs="David"/>
          <w:b/>
          <w:bCs/>
          <w:sz w:val="24"/>
          <w:szCs w:val="24"/>
          <w:rtl/>
        </w:rPr>
        <w:t xml:space="preserve"> מדינת ישראל נ' בידס</w:t>
      </w:r>
      <w:r w:rsidR="00650D9C">
        <w:rPr>
          <w:rFonts w:ascii="David" w:hAnsi="David" w:cs="David"/>
          <w:sz w:val="24"/>
          <w:szCs w:val="24"/>
          <w:rtl/>
        </w:rPr>
        <w:t xml:space="preserve"> (23.7.2020) - הנאשם הורשע בעבירות של נשיאה והובלת נשק ושיבוש מהלכי משפט. על פי כתב האישום, הנאשם נשא והוביל על גופו תת מקלע מאולתר וכן מחסנית ריקה. כשהבחינו שוטרים בנאשם החל הנאשם לרוץ והשליך את הנשק במטרה להכשיל הליך משפטי ולהפריע לשוטר במילוי תפקידו. על הנאשם הוטלו </w:t>
      </w:r>
      <w:r w:rsidR="00650D9C">
        <w:rPr>
          <w:rFonts w:ascii="David" w:hAnsi="David" w:cs="David"/>
          <w:sz w:val="24"/>
          <w:szCs w:val="24"/>
          <w:u w:val="double"/>
          <w:rtl/>
        </w:rPr>
        <w:t>18</w:t>
      </w:r>
      <w:r w:rsidR="00650D9C">
        <w:rPr>
          <w:rFonts w:ascii="David" w:hAnsi="David" w:cs="David"/>
          <w:sz w:val="24"/>
          <w:szCs w:val="24"/>
          <w:rtl/>
        </w:rPr>
        <w:t xml:space="preserve"> חודשי מאסר.</w:t>
      </w:r>
    </w:p>
    <w:p w14:paraId="55CB1FC8" w14:textId="77777777" w:rsidR="00650D9C" w:rsidRDefault="00481360" w:rsidP="00650D9C">
      <w:pPr>
        <w:pStyle w:val="aa"/>
        <w:spacing w:after="120" w:line="360" w:lineRule="auto"/>
        <w:ind w:left="141" w:firstLine="579"/>
        <w:contextualSpacing w:val="0"/>
        <w:jc w:val="both"/>
        <w:rPr>
          <w:rFonts w:ascii="David" w:hAnsi="David" w:cs="David"/>
          <w:sz w:val="24"/>
          <w:szCs w:val="24"/>
          <w:rtl/>
        </w:rPr>
      </w:pPr>
      <w:hyperlink r:id="rId24" w:history="1">
        <w:r w:rsidRPr="00481360">
          <w:rPr>
            <w:rFonts w:ascii="David" w:hAnsi="David" w:cs="David"/>
            <w:color w:val="0000FF"/>
            <w:sz w:val="24"/>
            <w:szCs w:val="24"/>
            <w:u w:val="single"/>
            <w:rtl/>
          </w:rPr>
          <w:t>ע"פ 2564/19</w:t>
        </w:r>
      </w:hyperlink>
      <w:r w:rsidR="00650D9C">
        <w:rPr>
          <w:rFonts w:ascii="David" w:hAnsi="David" w:cs="David"/>
          <w:sz w:val="24"/>
          <w:szCs w:val="24"/>
          <w:rtl/>
        </w:rPr>
        <w:t xml:space="preserve"> </w:t>
      </w:r>
      <w:r w:rsidR="00650D9C">
        <w:rPr>
          <w:rFonts w:ascii="David" w:hAnsi="David" w:cs="David"/>
          <w:b/>
          <w:bCs/>
          <w:sz w:val="24"/>
          <w:szCs w:val="24"/>
          <w:rtl/>
        </w:rPr>
        <w:t>אזברגה נ' מדינת ישראל</w:t>
      </w:r>
      <w:r w:rsidR="00650D9C">
        <w:rPr>
          <w:rFonts w:ascii="David" w:hAnsi="David" w:cs="David"/>
          <w:sz w:val="24"/>
          <w:szCs w:val="24"/>
          <w:rtl/>
        </w:rPr>
        <w:t xml:space="preserve"> (18.7.2019) – נדחה ערעורו של נאשם שהורשע על פי הודאתו בעבירה של נשיאת נשק. הנאשם רכש אקדח במטרה לסחור בו, וקיבל לרשותו אקדח עם מחסנית תואמת, בתמורה כספית. הנאשם ואחר נכנסו לרכבו, הסתירו את האקדח, ונסעו עד שנעצרו. נקבע מתחם שבין 12 לבין 40 חודשי מאסר, והנאשם נדון ל-</w:t>
      </w:r>
      <w:r w:rsidR="00650D9C">
        <w:rPr>
          <w:rFonts w:ascii="David" w:hAnsi="David" w:cs="David"/>
          <w:sz w:val="24"/>
          <w:szCs w:val="24"/>
          <w:u w:val="double"/>
          <w:rtl/>
        </w:rPr>
        <w:t>16</w:t>
      </w:r>
      <w:r w:rsidR="00650D9C">
        <w:rPr>
          <w:rFonts w:ascii="David" w:hAnsi="David" w:cs="David"/>
          <w:sz w:val="24"/>
          <w:szCs w:val="24"/>
          <w:rtl/>
        </w:rPr>
        <w:t xml:space="preserve"> חודשי מאסר בפועל. </w:t>
      </w:r>
    </w:p>
    <w:p w14:paraId="6C8F187D" w14:textId="77777777" w:rsidR="00650D9C" w:rsidRPr="00C16CE5" w:rsidRDefault="00650D9C" w:rsidP="00650D9C">
      <w:pPr>
        <w:pStyle w:val="aa"/>
        <w:spacing w:after="120" w:line="360" w:lineRule="auto"/>
        <w:ind w:left="141" w:firstLine="579"/>
        <w:contextualSpacing w:val="0"/>
        <w:jc w:val="both"/>
        <w:rPr>
          <w:rFonts w:ascii="David" w:hAnsi="David" w:cs="David"/>
          <w:sz w:val="24"/>
          <w:szCs w:val="24"/>
          <w:rtl/>
        </w:rPr>
      </w:pPr>
      <w:r w:rsidRPr="00C16CE5">
        <w:rPr>
          <w:rFonts w:ascii="David" w:hAnsi="David" w:cs="David" w:hint="cs"/>
          <w:sz w:val="24"/>
          <w:szCs w:val="24"/>
          <w:rtl/>
        </w:rPr>
        <w:t>ב</w:t>
      </w:r>
      <w:hyperlink r:id="rId25" w:history="1">
        <w:r w:rsidR="00481360" w:rsidRPr="00481360">
          <w:rPr>
            <w:rFonts w:ascii="David" w:hAnsi="David" w:cs="David"/>
            <w:color w:val="0000FF"/>
            <w:sz w:val="24"/>
            <w:szCs w:val="24"/>
            <w:u w:val="single"/>
            <w:rtl/>
          </w:rPr>
          <w:t>ע"פ 5330/20</w:t>
        </w:r>
      </w:hyperlink>
      <w:r w:rsidRPr="00C16CE5">
        <w:rPr>
          <w:rFonts w:ascii="David" w:hAnsi="David" w:cs="David"/>
          <w:sz w:val="24"/>
          <w:szCs w:val="24"/>
          <w:rtl/>
        </w:rPr>
        <w:t xml:space="preserve"> </w:t>
      </w:r>
      <w:r w:rsidRPr="00C16CE5">
        <w:rPr>
          <w:rFonts w:ascii="David" w:hAnsi="David" w:cs="David"/>
          <w:b/>
          <w:bCs/>
          <w:sz w:val="24"/>
          <w:szCs w:val="24"/>
          <w:rtl/>
        </w:rPr>
        <w:t>ענבתאוי נ' מדינת ישראל</w:t>
      </w:r>
      <w:r w:rsidRPr="00C16CE5">
        <w:rPr>
          <w:rFonts w:ascii="David" w:hAnsi="David" w:cs="David"/>
          <w:sz w:val="24"/>
          <w:szCs w:val="24"/>
          <w:rtl/>
        </w:rPr>
        <w:t xml:space="preserve"> (22.11.2020)</w:t>
      </w:r>
      <w:r>
        <w:rPr>
          <w:rFonts w:ascii="David" w:hAnsi="David" w:cs="David" w:hint="cs"/>
          <w:sz w:val="24"/>
          <w:szCs w:val="24"/>
          <w:rtl/>
        </w:rPr>
        <w:t xml:space="preserve">, המוזכר מעלה, </w:t>
      </w:r>
      <w:r w:rsidRPr="00C16CE5">
        <w:rPr>
          <w:rFonts w:ascii="David" w:hAnsi="David" w:cs="David" w:hint="cs"/>
          <w:sz w:val="24"/>
          <w:szCs w:val="24"/>
          <w:rtl/>
        </w:rPr>
        <w:t>התברר עניינם של כמה מעורבים בעבירות נשק, כאשר המעורב העיקרי הורשע בעסקה בנשק, והאחרים ב</w:t>
      </w:r>
      <w:r w:rsidRPr="00C16CE5">
        <w:rPr>
          <w:rFonts w:ascii="David" w:hAnsi="David" w:cs="David"/>
          <w:sz w:val="24"/>
          <w:szCs w:val="24"/>
          <w:rtl/>
        </w:rPr>
        <w:t>החזקה, נשיאה והובלה של נשק</w:t>
      </w:r>
      <w:r>
        <w:rPr>
          <w:rFonts w:ascii="David" w:hAnsi="David" w:cs="David" w:hint="cs"/>
          <w:sz w:val="24"/>
          <w:szCs w:val="24"/>
          <w:rtl/>
        </w:rPr>
        <w:t>, או בסיוע לכך. על שנ</w:t>
      </w:r>
      <w:r w:rsidRPr="00C16CE5">
        <w:rPr>
          <w:rFonts w:ascii="David" w:hAnsi="David" w:cs="David" w:hint="cs"/>
          <w:sz w:val="24"/>
          <w:szCs w:val="24"/>
          <w:rtl/>
        </w:rPr>
        <w:t>ים מהנאשמים, אשר הורשעו בנשיאה ובהובלה של הנשק, נגזרו עונשים לריצוי בעבודות שירות. בית המשפט העליון קיבל את ערעור המדינה וקבע כי העונשים כאמור</w:t>
      </w:r>
      <w:r w:rsidRPr="00C16CE5">
        <w:rPr>
          <w:rFonts w:ascii="David" w:hAnsi="David" w:cs="David"/>
          <w:sz w:val="24"/>
          <w:szCs w:val="24"/>
          <w:rtl/>
        </w:rPr>
        <w:t xml:space="preserve"> חורג</w:t>
      </w:r>
      <w:r w:rsidRPr="00C16CE5">
        <w:rPr>
          <w:rFonts w:ascii="David" w:hAnsi="David" w:cs="David" w:hint="cs"/>
          <w:sz w:val="24"/>
          <w:szCs w:val="24"/>
          <w:rtl/>
        </w:rPr>
        <w:t>י</w:t>
      </w:r>
      <w:r w:rsidRPr="00C16CE5">
        <w:rPr>
          <w:rFonts w:ascii="David" w:hAnsi="David" w:cs="David"/>
          <w:sz w:val="24"/>
          <w:szCs w:val="24"/>
          <w:rtl/>
        </w:rPr>
        <w:t>ם במידה ניכרת מן הענישה הראויה ומצדיקים התערבות</w:t>
      </w:r>
      <w:r w:rsidRPr="00C16CE5">
        <w:rPr>
          <w:rFonts w:ascii="David" w:hAnsi="David" w:cs="David" w:hint="cs"/>
          <w:sz w:val="24"/>
          <w:szCs w:val="24"/>
          <w:rtl/>
        </w:rPr>
        <w:t>, ו</w:t>
      </w:r>
      <w:r w:rsidRPr="00C16CE5">
        <w:rPr>
          <w:rFonts w:ascii="David" w:hAnsi="David" w:cs="David"/>
          <w:sz w:val="24"/>
          <w:szCs w:val="24"/>
          <w:rtl/>
        </w:rPr>
        <w:t xml:space="preserve">בהתאם לכלל כי אין ערכאת הערעור ממצה את הדין, </w:t>
      </w:r>
      <w:r w:rsidRPr="00C16CE5">
        <w:rPr>
          <w:rFonts w:ascii="David" w:hAnsi="David" w:cs="David" w:hint="cs"/>
          <w:sz w:val="24"/>
          <w:szCs w:val="24"/>
          <w:rtl/>
        </w:rPr>
        <w:t xml:space="preserve">הועמד עונשם על </w:t>
      </w:r>
      <w:r w:rsidRPr="007110BC">
        <w:rPr>
          <w:rFonts w:ascii="David" w:hAnsi="David" w:cs="David"/>
          <w:sz w:val="24"/>
          <w:szCs w:val="24"/>
          <w:u w:val="double"/>
          <w:rtl/>
        </w:rPr>
        <w:t>10</w:t>
      </w:r>
      <w:r w:rsidRPr="00C16CE5">
        <w:rPr>
          <w:rFonts w:ascii="David" w:hAnsi="David" w:cs="David"/>
          <w:sz w:val="24"/>
          <w:szCs w:val="24"/>
          <w:rtl/>
        </w:rPr>
        <w:t xml:space="preserve"> </w:t>
      </w:r>
      <w:r w:rsidRPr="00C16CE5">
        <w:rPr>
          <w:rFonts w:ascii="David" w:hAnsi="David" w:cs="David" w:hint="cs"/>
          <w:sz w:val="24"/>
          <w:szCs w:val="24"/>
          <w:rtl/>
        </w:rPr>
        <w:t>ו-</w:t>
      </w:r>
      <w:r w:rsidRPr="007110BC">
        <w:rPr>
          <w:rFonts w:ascii="David" w:hAnsi="David" w:cs="David" w:hint="cs"/>
          <w:sz w:val="24"/>
          <w:szCs w:val="24"/>
          <w:u w:val="double"/>
          <w:rtl/>
        </w:rPr>
        <w:t>14</w:t>
      </w:r>
      <w:r w:rsidRPr="00C16CE5">
        <w:rPr>
          <w:rFonts w:ascii="David" w:hAnsi="David" w:cs="David" w:hint="cs"/>
          <w:sz w:val="24"/>
          <w:szCs w:val="24"/>
          <w:rtl/>
        </w:rPr>
        <w:t xml:space="preserve"> </w:t>
      </w:r>
      <w:r w:rsidRPr="00C16CE5">
        <w:rPr>
          <w:rFonts w:ascii="David" w:hAnsi="David" w:cs="David"/>
          <w:sz w:val="24"/>
          <w:szCs w:val="24"/>
          <w:rtl/>
        </w:rPr>
        <w:t>חודשי מאסר</w:t>
      </w:r>
      <w:r w:rsidRPr="00C16CE5">
        <w:rPr>
          <w:rFonts w:ascii="David" w:hAnsi="David" w:cs="David" w:hint="cs"/>
          <w:sz w:val="24"/>
          <w:szCs w:val="24"/>
          <w:rtl/>
        </w:rPr>
        <w:t xml:space="preserve"> בפועל.</w:t>
      </w:r>
    </w:p>
    <w:p w14:paraId="48AB75A3" w14:textId="77777777" w:rsidR="00650D9C" w:rsidRDefault="00481360" w:rsidP="00650D9C">
      <w:pPr>
        <w:pStyle w:val="aa"/>
        <w:spacing w:after="120" w:line="360" w:lineRule="auto"/>
        <w:ind w:left="141" w:firstLine="579"/>
        <w:contextualSpacing w:val="0"/>
        <w:jc w:val="both"/>
        <w:rPr>
          <w:rFonts w:ascii="David" w:hAnsi="David" w:cs="David"/>
          <w:sz w:val="24"/>
          <w:szCs w:val="24"/>
        </w:rPr>
      </w:pPr>
      <w:hyperlink r:id="rId26" w:history="1">
        <w:r w:rsidRPr="00481360">
          <w:rPr>
            <w:rFonts w:ascii="David" w:hAnsi="David" w:cs="David"/>
            <w:color w:val="0000FF"/>
            <w:sz w:val="24"/>
            <w:szCs w:val="24"/>
            <w:u w:val="single"/>
            <w:rtl/>
          </w:rPr>
          <w:t>ת"פ (מחוזי חיפה) 44579-08-15</w:t>
        </w:r>
      </w:hyperlink>
      <w:r w:rsidR="00650D9C">
        <w:rPr>
          <w:rFonts w:ascii="David" w:hAnsi="David" w:cs="David"/>
          <w:sz w:val="24"/>
          <w:szCs w:val="24"/>
          <w:rtl/>
        </w:rPr>
        <w:t xml:space="preserve"> </w:t>
      </w:r>
      <w:r w:rsidR="00650D9C">
        <w:rPr>
          <w:rFonts w:ascii="David" w:hAnsi="David" w:cs="David"/>
          <w:b/>
          <w:bCs/>
          <w:sz w:val="24"/>
          <w:szCs w:val="24"/>
          <w:rtl/>
        </w:rPr>
        <w:t>מדינת ישראל נ' ג'רבאן</w:t>
      </w:r>
      <w:r w:rsidR="00650D9C">
        <w:rPr>
          <w:rFonts w:ascii="David" w:hAnsi="David" w:cs="David"/>
          <w:sz w:val="24"/>
          <w:szCs w:val="24"/>
          <w:rtl/>
        </w:rPr>
        <w:t xml:space="preserve"> (16.3.2016) - הנאשם, בן 21, הורשע בעבירה של נשיאת נשק ואביזר של נשק. על פי עובדות כתב האישום הנאשם נשא אקדח ובתוכו מחסנית מתאימה ללא כדורים, אשר היו עטופים בסמרטוט בתוך שקית אשפה. בית המשפט המחוזי קבע מתחם ענישה הנע בין 7 לבין 30 חודשי מאסר בפועל, והשית על הנאשם </w:t>
      </w:r>
      <w:r w:rsidR="00650D9C">
        <w:rPr>
          <w:rFonts w:ascii="David" w:hAnsi="David" w:cs="David"/>
          <w:sz w:val="24"/>
          <w:szCs w:val="24"/>
          <w:u w:val="double"/>
          <w:rtl/>
        </w:rPr>
        <w:t>12</w:t>
      </w:r>
      <w:r w:rsidR="00650D9C">
        <w:rPr>
          <w:rFonts w:ascii="David" w:hAnsi="David" w:cs="David"/>
          <w:b/>
          <w:bCs/>
          <w:sz w:val="24"/>
          <w:szCs w:val="24"/>
          <w:rtl/>
        </w:rPr>
        <w:t xml:space="preserve"> </w:t>
      </w:r>
      <w:r w:rsidR="00650D9C">
        <w:rPr>
          <w:rFonts w:ascii="David" w:hAnsi="David" w:cs="David"/>
          <w:sz w:val="24"/>
          <w:szCs w:val="24"/>
          <w:rtl/>
        </w:rPr>
        <w:t xml:space="preserve">חודשי מאסר בפועל. </w:t>
      </w:r>
    </w:p>
    <w:p w14:paraId="74CCBC5D" w14:textId="77777777" w:rsidR="00650D9C" w:rsidRDefault="00481360" w:rsidP="00650D9C">
      <w:pPr>
        <w:pStyle w:val="aa"/>
        <w:spacing w:after="120" w:line="360" w:lineRule="auto"/>
        <w:ind w:left="141" w:firstLine="579"/>
        <w:contextualSpacing w:val="0"/>
        <w:jc w:val="both"/>
        <w:rPr>
          <w:rFonts w:ascii="David" w:hAnsi="David" w:cs="David"/>
          <w:sz w:val="24"/>
          <w:szCs w:val="24"/>
        </w:rPr>
      </w:pPr>
      <w:hyperlink r:id="rId27" w:history="1">
        <w:r w:rsidRPr="00481360">
          <w:rPr>
            <w:rFonts w:ascii="David" w:hAnsi="David" w:cs="David"/>
            <w:color w:val="0000FF"/>
            <w:sz w:val="24"/>
            <w:szCs w:val="24"/>
            <w:u w:val="single"/>
            <w:rtl/>
          </w:rPr>
          <w:t>ע"פ 6294/10</w:t>
        </w:r>
      </w:hyperlink>
      <w:r w:rsidR="00650D9C">
        <w:rPr>
          <w:rFonts w:ascii="David" w:hAnsi="David" w:cs="David"/>
          <w:sz w:val="24"/>
          <w:szCs w:val="24"/>
          <w:rtl/>
        </w:rPr>
        <w:t xml:space="preserve"> </w:t>
      </w:r>
      <w:r w:rsidR="00650D9C">
        <w:rPr>
          <w:rFonts w:ascii="David" w:hAnsi="David" w:cs="David"/>
          <w:b/>
          <w:bCs/>
          <w:sz w:val="24"/>
          <w:szCs w:val="24"/>
          <w:rtl/>
        </w:rPr>
        <w:t>אלקיעאן נ' מדינת ישראל</w:t>
      </w:r>
      <w:r w:rsidR="00650D9C">
        <w:rPr>
          <w:rFonts w:ascii="David" w:hAnsi="David" w:cs="David"/>
          <w:sz w:val="24"/>
          <w:szCs w:val="24"/>
          <w:rtl/>
        </w:rPr>
        <w:t xml:space="preserve"> (13.2.2011) - המערערים הורשעו בעבירה של החזקת </w:t>
      </w:r>
      <w:r w:rsidR="00650D9C">
        <w:rPr>
          <w:rFonts w:ascii="David" w:hAnsi="David" w:cs="David" w:hint="cs"/>
          <w:sz w:val="24"/>
          <w:szCs w:val="24"/>
          <w:rtl/>
        </w:rPr>
        <w:t xml:space="preserve">ונשיאת </w:t>
      </w:r>
      <w:r w:rsidR="00650D9C">
        <w:rPr>
          <w:rFonts w:ascii="David" w:hAnsi="David" w:cs="David"/>
          <w:sz w:val="24"/>
          <w:szCs w:val="24"/>
          <w:rtl/>
        </w:rPr>
        <w:t xml:space="preserve">נשק ותחמושת שלא כדין. על פי עובדות כתב האישום, נתפסו המערערים ברכב בו נסעו, כשכל אחד מהם החזיק ברשותו אקדח טעון ומחסנית. המערער 2 החזיק בכיס מעילו מחסנית נוספת. על כל אחד מהמערערים הוטל עונש מאסר בפועל של </w:t>
      </w:r>
      <w:r w:rsidR="00650D9C">
        <w:rPr>
          <w:rFonts w:ascii="David" w:hAnsi="David" w:cs="David"/>
          <w:sz w:val="24"/>
          <w:szCs w:val="24"/>
          <w:u w:val="double"/>
          <w:rtl/>
        </w:rPr>
        <w:t>10</w:t>
      </w:r>
      <w:r w:rsidR="00650D9C">
        <w:rPr>
          <w:rFonts w:ascii="David" w:hAnsi="David" w:cs="David"/>
          <w:sz w:val="24"/>
          <w:szCs w:val="24"/>
          <w:rtl/>
        </w:rPr>
        <w:t xml:space="preserve"> חודשים, וערעורם נדחה. </w:t>
      </w:r>
    </w:p>
    <w:p w14:paraId="6D6326EE" w14:textId="77777777" w:rsidR="00650D9C" w:rsidRDefault="00650D9C" w:rsidP="00650D9C">
      <w:pPr>
        <w:pStyle w:val="aa"/>
        <w:numPr>
          <w:ilvl w:val="0"/>
          <w:numId w:val="1"/>
        </w:numPr>
        <w:tabs>
          <w:tab w:val="left" w:pos="794"/>
        </w:tabs>
        <w:spacing w:after="120" w:line="360" w:lineRule="auto"/>
        <w:ind w:left="84" w:firstLine="0"/>
        <w:contextualSpacing w:val="0"/>
        <w:jc w:val="both"/>
        <w:rPr>
          <w:rFonts w:ascii="David" w:hAnsi="David" w:cs="David"/>
          <w:sz w:val="24"/>
          <w:szCs w:val="24"/>
          <w:rtl/>
        </w:rPr>
      </w:pPr>
      <w:r>
        <w:rPr>
          <w:rFonts w:ascii="David" w:hAnsi="David" w:cs="David"/>
          <w:sz w:val="24"/>
          <w:szCs w:val="24"/>
          <w:rtl/>
        </w:rPr>
        <w:t xml:space="preserve">מכאן, שקיימים מקרים רבים בהם עסקינן בעבירות דומות, וכאשר המדובר במורשעים שהינם בגירים צעירים, ללא עבר פלילי. </w:t>
      </w:r>
    </w:p>
    <w:p w14:paraId="0FD96F13" w14:textId="77777777" w:rsidR="00650D9C" w:rsidRDefault="00650D9C" w:rsidP="00650D9C">
      <w:pPr>
        <w:pStyle w:val="aa"/>
        <w:numPr>
          <w:ilvl w:val="0"/>
          <w:numId w:val="1"/>
        </w:numPr>
        <w:tabs>
          <w:tab w:val="left" w:pos="794"/>
        </w:tabs>
        <w:spacing w:after="120" w:line="360" w:lineRule="auto"/>
        <w:ind w:left="84" w:firstLine="0"/>
        <w:contextualSpacing w:val="0"/>
        <w:jc w:val="both"/>
        <w:rPr>
          <w:rFonts w:ascii="David" w:hAnsi="David" w:cs="David"/>
          <w:sz w:val="24"/>
          <w:szCs w:val="24"/>
          <w:rtl/>
        </w:rPr>
      </w:pPr>
      <w:r>
        <w:rPr>
          <w:rFonts w:ascii="David" w:hAnsi="David" w:cs="David"/>
          <w:sz w:val="24"/>
          <w:szCs w:val="24"/>
          <w:rtl/>
        </w:rPr>
        <w:t>יש לראות כי היו אף מקרים בהם הושתו עונשים חמורים בהרבה על מבצעי עבירות דומות, אשר נעו בין 30 לבין 36 חודשי מאסר, אך היה זה בנסיבות חמורות יותר, כגון:  כאשר לנאשם היה עבר פלילי מכביד (</w:t>
      </w:r>
      <w:hyperlink r:id="rId28" w:history="1">
        <w:r w:rsidR="00481360" w:rsidRPr="00481360">
          <w:rPr>
            <w:rFonts w:ascii="David" w:hAnsi="David" w:cs="David"/>
            <w:color w:val="0000FF"/>
            <w:sz w:val="24"/>
            <w:szCs w:val="24"/>
            <w:u w:val="single"/>
            <w:rtl/>
          </w:rPr>
          <w:t>ע"פ 1509/20</w:t>
        </w:r>
      </w:hyperlink>
      <w:r>
        <w:rPr>
          <w:rFonts w:ascii="David" w:hAnsi="David" w:cs="David"/>
          <w:sz w:val="24"/>
          <w:szCs w:val="24"/>
          <w:rtl/>
        </w:rPr>
        <w:t xml:space="preserve"> </w:t>
      </w:r>
      <w:r>
        <w:rPr>
          <w:rFonts w:ascii="David" w:hAnsi="David" w:cs="David"/>
          <w:b/>
          <w:bCs/>
          <w:sz w:val="24"/>
          <w:szCs w:val="24"/>
          <w:rtl/>
        </w:rPr>
        <w:t>מדינת ישראל נ' נבארי</w:t>
      </w:r>
      <w:r>
        <w:rPr>
          <w:rFonts w:ascii="David" w:hAnsi="David" w:cs="David"/>
          <w:sz w:val="24"/>
          <w:szCs w:val="24"/>
          <w:rtl/>
        </w:rPr>
        <w:t xml:space="preserve"> (2.7.2020)), או כאשר המדובר היה בכמה מעשי ירי בהזדמנויות שונות (</w:t>
      </w:r>
      <w:hyperlink r:id="rId29" w:history="1">
        <w:r w:rsidR="00481360" w:rsidRPr="00481360">
          <w:rPr>
            <w:rFonts w:ascii="David" w:hAnsi="David" w:cs="David"/>
            <w:color w:val="0000FF"/>
            <w:sz w:val="24"/>
            <w:szCs w:val="24"/>
            <w:u w:val="single"/>
            <w:rtl/>
          </w:rPr>
          <w:t>ת"פ (מחוזי ירושלים) 30340-08-20</w:t>
        </w:r>
      </w:hyperlink>
      <w:r>
        <w:rPr>
          <w:rFonts w:ascii="David" w:hAnsi="David" w:cs="David"/>
          <w:sz w:val="24"/>
          <w:szCs w:val="24"/>
          <w:rtl/>
        </w:rPr>
        <w:t xml:space="preserve"> </w:t>
      </w:r>
      <w:r>
        <w:rPr>
          <w:rFonts w:ascii="David" w:hAnsi="David" w:cs="David"/>
          <w:b/>
          <w:bCs/>
          <w:sz w:val="24"/>
          <w:szCs w:val="24"/>
          <w:rtl/>
        </w:rPr>
        <w:t xml:space="preserve">מדינת ישראל נ' אבו סביח ואח' </w:t>
      </w:r>
      <w:r>
        <w:rPr>
          <w:rFonts w:ascii="David" w:hAnsi="David" w:cs="David"/>
          <w:sz w:val="24"/>
          <w:szCs w:val="24"/>
          <w:rtl/>
        </w:rPr>
        <w:t>(31.1.2021), או כאשר הירי בוצע במטרה להפחיד ולאיים במסגרת סכסוך (</w:t>
      </w:r>
      <w:hyperlink r:id="rId30" w:history="1">
        <w:r w:rsidR="00481360" w:rsidRPr="00481360">
          <w:rPr>
            <w:rFonts w:ascii="David" w:hAnsi="David" w:cs="David"/>
            <w:color w:val="0000FF"/>
            <w:sz w:val="24"/>
            <w:szCs w:val="24"/>
            <w:u w:val="single"/>
            <w:rtl/>
          </w:rPr>
          <w:t>ע"פ 9830/17</w:t>
        </w:r>
      </w:hyperlink>
      <w:r>
        <w:rPr>
          <w:rFonts w:ascii="David" w:hAnsi="David" w:cs="David"/>
          <w:sz w:val="24"/>
          <w:szCs w:val="24"/>
          <w:rtl/>
        </w:rPr>
        <w:t xml:space="preserve"> </w:t>
      </w:r>
      <w:r>
        <w:rPr>
          <w:rFonts w:ascii="David" w:hAnsi="David" w:cs="David"/>
          <w:b/>
          <w:bCs/>
          <w:sz w:val="24"/>
          <w:szCs w:val="24"/>
          <w:rtl/>
        </w:rPr>
        <w:t>חמודה נ' מדינת ישראל</w:t>
      </w:r>
      <w:r>
        <w:rPr>
          <w:rFonts w:ascii="David" w:hAnsi="David" w:cs="David"/>
          <w:sz w:val="24"/>
          <w:szCs w:val="24"/>
          <w:rtl/>
        </w:rPr>
        <w:t xml:space="preserve"> (8.3.2018); </w:t>
      </w:r>
      <w:hyperlink r:id="rId31" w:history="1">
        <w:r w:rsidR="00481360" w:rsidRPr="00481360">
          <w:rPr>
            <w:rFonts w:ascii="David" w:hAnsi="David" w:cs="David"/>
            <w:color w:val="0000FF"/>
            <w:sz w:val="24"/>
            <w:szCs w:val="24"/>
            <w:u w:val="single"/>
            <w:rtl/>
          </w:rPr>
          <w:t>ע"פ 3877/16</w:t>
        </w:r>
      </w:hyperlink>
      <w:r>
        <w:rPr>
          <w:rFonts w:ascii="David" w:hAnsi="David" w:cs="David"/>
          <w:sz w:val="24"/>
          <w:szCs w:val="24"/>
          <w:rtl/>
        </w:rPr>
        <w:t xml:space="preserve"> </w:t>
      </w:r>
      <w:r>
        <w:rPr>
          <w:rFonts w:ascii="David" w:hAnsi="David" w:cs="David"/>
          <w:b/>
          <w:bCs/>
          <w:sz w:val="24"/>
          <w:szCs w:val="24"/>
          <w:rtl/>
        </w:rPr>
        <w:t>ג'באלי נ' מדינת ישראל</w:t>
      </w:r>
      <w:r>
        <w:rPr>
          <w:rFonts w:ascii="David" w:hAnsi="David" w:cs="David"/>
          <w:sz w:val="24"/>
          <w:szCs w:val="24"/>
          <w:rtl/>
        </w:rPr>
        <w:t xml:space="preserve"> (17.11.2016)), ובהקשר זה אפנה ל</w:t>
      </w:r>
      <w:hyperlink r:id="rId32" w:history="1">
        <w:r w:rsidR="00481360" w:rsidRPr="00481360">
          <w:rPr>
            <w:rFonts w:ascii="David" w:hAnsi="David" w:cs="David"/>
            <w:color w:val="0000FF"/>
            <w:sz w:val="24"/>
            <w:szCs w:val="24"/>
            <w:u w:val="single"/>
            <w:rtl/>
          </w:rPr>
          <w:t>ע"פ 4595/13</w:t>
        </w:r>
      </w:hyperlink>
      <w:r>
        <w:rPr>
          <w:rFonts w:ascii="David" w:hAnsi="David" w:cs="David"/>
          <w:sz w:val="24"/>
          <w:szCs w:val="24"/>
          <w:rtl/>
        </w:rPr>
        <w:t xml:space="preserve"> </w:t>
      </w:r>
      <w:r>
        <w:rPr>
          <w:rFonts w:ascii="David" w:hAnsi="David" w:cs="David"/>
          <w:b/>
          <w:bCs/>
          <w:sz w:val="24"/>
          <w:szCs w:val="24"/>
          <w:rtl/>
        </w:rPr>
        <w:t>זובידאת נ' מדינת ישראל</w:t>
      </w:r>
      <w:r>
        <w:rPr>
          <w:rFonts w:ascii="David" w:hAnsi="David" w:cs="David"/>
          <w:sz w:val="24"/>
          <w:szCs w:val="24"/>
          <w:rtl/>
        </w:rPr>
        <w:t xml:space="preserve"> (6.7.2014), שם מתייחס בית המשפט העליון לעבירת הירי באזור מגורים, ומציין כי:</w:t>
      </w:r>
    </w:p>
    <w:p w14:paraId="2386F40F" w14:textId="77777777" w:rsidR="00650D9C" w:rsidRDefault="00650D9C" w:rsidP="00650D9C">
      <w:pPr>
        <w:pStyle w:val="ac"/>
        <w:spacing w:after="240"/>
        <w:rPr>
          <w:rtl/>
        </w:rPr>
      </w:pPr>
      <w:r>
        <w:rPr>
          <w:rFonts w:hint="cs"/>
          <w:rtl/>
        </w:rPr>
        <w:t xml:space="preserve">"אף כי בסעיף זה ניתן להרשיע גם בגין ירי במקום מגורים במסגרת חתונות או שמחות, כפי שמקובל במגזרים אחדים בחברה הישראלית, לא בכך עסקינן, אלא בירי שנועד לשמש כלי נוסף להפחדה ואיומים, ירי שמייצר סיכון ממשי לשלום הציבור ובטחונו. גם אם אינו מכוון לפגיעה, אין אנו יודעים מה יכול להיות סופו של ירי זה". </w:t>
      </w:r>
    </w:p>
    <w:p w14:paraId="0B4DBA38" w14:textId="77777777" w:rsidR="00650D9C" w:rsidRDefault="00650D9C" w:rsidP="00650D9C">
      <w:pPr>
        <w:pStyle w:val="aa"/>
        <w:tabs>
          <w:tab w:val="left" w:pos="794"/>
        </w:tabs>
        <w:spacing w:after="120" w:line="360" w:lineRule="auto"/>
        <w:ind w:left="84"/>
        <w:contextualSpacing w:val="0"/>
        <w:jc w:val="both"/>
        <w:rPr>
          <w:rFonts w:ascii="David" w:hAnsi="David" w:cs="David"/>
          <w:sz w:val="24"/>
          <w:szCs w:val="24"/>
        </w:rPr>
      </w:pPr>
      <w:r>
        <w:rPr>
          <w:rFonts w:ascii="David" w:hAnsi="David" w:cs="David"/>
          <w:sz w:val="24"/>
          <w:szCs w:val="24"/>
          <w:rtl/>
        </w:rPr>
        <w:tab/>
        <w:t>משמע, שיש מקום לעשות אבחנה מסוימת בין מקרים בהם הירי מתבצע במסגרת סכסוכים ומטרתו הפחדה ואיום, לבן מקרים בהם לא הוכח מניע שמגלם חומרה (כפי שהיה במקרה הנוכחי).</w:t>
      </w:r>
    </w:p>
    <w:p w14:paraId="3FEDB6DB" w14:textId="77777777" w:rsidR="00650D9C" w:rsidRDefault="00650D9C" w:rsidP="00650D9C">
      <w:pPr>
        <w:pStyle w:val="aa"/>
        <w:numPr>
          <w:ilvl w:val="0"/>
          <w:numId w:val="1"/>
        </w:numPr>
        <w:tabs>
          <w:tab w:val="left" w:pos="794"/>
        </w:tabs>
        <w:spacing w:after="120" w:line="360" w:lineRule="auto"/>
        <w:ind w:left="84" w:firstLine="0"/>
        <w:contextualSpacing w:val="0"/>
        <w:jc w:val="both"/>
        <w:rPr>
          <w:rFonts w:ascii="David" w:hAnsi="David" w:cs="David"/>
          <w:sz w:val="24"/>
          <w:szCs w:val="24"/>
        </w:rPr>
      </w:pPr>
      <w:r>
        <w:rPr>
          <w:rFonts w:ascii="David" w:hAnsi="David" w:cs="David"/>
          <w:sz w:val="24"/>
          <w:szCs w:val="24"/>
          <w:rtl/>
        </w:rPr>
        <w:t xml:space="preserve">עוד יש לומר כי לעומת המקרים בהם הענישה הייתה כמתואר בסעיף הקודם, היו אף מקרים בהם בעבירות דומות נגזרו על נאשמים עונשים בני 6 עד 9 חודשים לריצוי בעבודות שירות, אלא שמקרים הללו היו לנאשמים נסיבות אישיות חריגות, </w:t>
      </w:r>
      <w:r>
        <w:rPr>
          <w:rFonts w:ascii="David" w:hAnsi="David" w:cs="David" w:hint="cs"/>
          <w:sz w:val="24"/>
          <w:szCs w:val="24"/>
          <w:rtl/>
        </w:rPr>
        <w:t xml:space="preserve">לרבות </w:t>
      </w:r>
      <w:r>
        <w:rPr>
          <w:rFonts w:ascii="David" w:hAnsi="David" w:cs="David"/>
          <w:sz w:val="24"/>
          <w:szCs w:val="24"/>
          <w:rtl/>
        </w:rPr>
        <w:t xml:space="preserve">על רקע נפשי (כגון, </w:t>
      </w:r>
      <w:hyperlink r:id="rId33" w:history="1">
        <w:r w:rsidR="00481360" w:rsidRPr="00481360">
          <w:rPr>
            <w:rFonts w:ascii="David" w:hAnsi="David" w:cs="David"/>
            <w:color w:val="0000FF"/>
            <w:sz w:val="24"/>
            <w:szCs w:val="24"/>
            <w:u w:val="single"/>
            <w:rtl/>
          </w:rPr>
          <w:t>ע"פ 4945/13</w:t>
        </w:r>
      </w:hyperlink>
      <w:r>
        <w:rPr>
          <w:rFonts w:ascii="David" w:hAnsi="David" w:cs="David"/>
          <w:sz w:val="24"/>
          <w:szCs w:val="24"/>
          <w:rtl/>
        </w:rPr>
        <w:t xml:space="preserve"> </w:t>
      </w:r>
      <w:r>
        <w:rPr>
          <w:rFonts w:ascii="David" w:hAnsi="David" w:cs="David"/>
          <w:b/>
          <w:bCs/>
          <w:sz w:val="24"/>
          <w:szCs w:val="24"/>
          <w:rtl/>
        </w:rPr>
        <w:t>מדינת ישראל נ' סלימאן</w:t>
      </w:r>
      <w:r>
        <w:rPr>
          <w:rFonts w:ascii="David" w:hAnsi="David" w:cs="David"/>
          <w:sz w:val="24"/>
          <w:szCs w:val="24"/>
          <w:rtl/>
        </w:rPr>
        <w:t xml:space="preserve"> (19.1.2014); </w:t>
      </w:r>
      <w:hyperlink r:id="rId34" w:history="1">
        <w:r w:rsidR="00481360" w:rsidRPr="00481360">
          <w:rPr>
            <w:rFonts w:ascii="David" w:hAnsi="David" w:cs="David"/>
            <w:color w:val="0000FF"/>
            <w:sz w:val="24"/>
            <w:szCs w:val="24"/>
            <w:u w:val="single"/>
            <w:rtl/>
          </w:rPr>
          <w:t>ע"פ 1505/14</w:t>
        </w:r>
      </w:hyperlink>
      <w:r>
        <w:rPr>
          <w:rFonts w:ascii="David" w:hAnsi="David" w:cs="David"/>
          <w:sz w:val="24"/>
          <w:szCs w:val="24"/>
          <w:rtl/>
        </w:rPr>
        <w:t xml:space="preserve"> </w:t>
      </w:r>
      <w:r>
        <w:rPr>
          <w:rFonts w:ascii="David" w:hAnsi="David" w:cs="David"/>
          <w:b/>
          <w:bCs/>
          <w:sz w:val="24"/>
          <w:szCs w:val="24"/>
          <w:rtl/>
        </w:rPr>
        <w:t>לידאוי נ' מדינת ישראל</w:t>
      </w:r>
      <w:r>
        <w:rPr>
          <w:rFonts w:ascii="David" w:hAnsi="David" w:cs="David"/>
          <w:sz w:val="24"/>
          <w:szCs w:val="24"/>
          <w:rtl/>
        </w:rPr>
        <w:t xml:space="preserve"> (4.11.2014).</w:t>
      </w:r>
    </w:p>
    <w:p w14:paraId="1D8CD876" w14:textId="77777777" w:rsidR="00650D9C" w:rsidRDefault="00650D9C" w:rsidP="00650D9C">
      <w:pPr>
        <w:pStyle w:val="aa"/>
        <w:numPr>
          <w:ilvl w:val="0"/>
          <w:numId w:val="1"/>
        </w:numPr>
        <w:tabs>
          <w:tab w:val="left" w:pos="794"/>
        </w:tabs>
        <w:spacing w:after="120" w:line="360" w:lineRule="auto"/>
        <w:ind w:left="84" w:firstLine="0"/>
        <w:contextualSpacing w:val="0"/>
        <w:jc w:val="both"/>
        <w:rPr>
          <w:rFonts w:ascii="David" w:hAnsi="David" w:cs="David"/>
          <w:sz w:val="24"/>
          <w:szCs w:val="24"/>
          <w:rtl/>
        </w:rPr>
      </w:pPr>
      <w:r>
        <w:rPr>
          <w:rFonts w:ascii="David" w:hAnsi="David" w:cs="David"/>
          <w:sz w:val="24"/>
          <w:szCs w:val="24"/>
          <w:rtl/>
        </w:rPr>
        <w:t xml:space="preserve">עוד נזכור כי העונש המרבי הקבוע בחוק לעבירת הנשק לפי </w:t>
      </w:r>
      <w:hyperlink r:id="rId35" w:history="1">
        <w:r w:rsidR="007006B5" w:rsidRPr="007006B5">
          <w:rPr>
            <w:rStyle w:val="Hyperlink"/>
            <w:rFonts w:ascii="David" w:hAnsi="David" w:cs="David"/>
            <w:sz w:val="24"/>
            <w:szCs w:val="24"/>
            <w:rtl/>
          </w:rPr>
          <w:t>סעיף 144(ב)</w:t>
        </w:r>
      </w:hyperlink>
      <w:r>
        <w:rPr>
          <w:rFonts w:ascii="David" w:hAnsi="David" w:cs="David"/>
          <w:sz w:val="24"/>
          <w:szCs w:val="24"/>
          <w:rtl/>
        </w:rPr>
        <w:t xml:space="preserve"> רישא ל</w:t>
      </w:r>
      <w:hyperlink r:id="rId36" w:history="1">
        <w:r w:rsidR="00481360" w:rsidRPr="00481360">
          <w:rPr>
            <w:rFonts w:ascii="David" w:hAnsi="David" w:cs="David"/>
            <w:color w:val="0000FF"/>
            <w:sz w:val="24"/>
            <w:szCs w:val="24"/>
            <w:u w:val="single"/>
            <w:rtl/>
          </w:rPr>
          <w:t>חוק העונשין</w:t>
        </w:r>
      </w:hyperlink>
      <w:r>
        <w:rPr>
          <w:rFonts w:ascii="David" w:hAnsi="David" w:cs="David"/>
          <w:sz w:val="24"/>
          <w:szCs w:val="24"/>
          <w:rtl/>
        </w:rPr>
        <w:t xml:space="preserve">, עומד על 10 שנות מאסר, ולגבי עבירה של ירי באזור מגורים, לפי </w:t>
      </w:r>
      <w:hyperlink r:id="rId37" w:history="1">
        <w:r w:rsidR="007006B5" w:rsidRPr="007006B5">
          <w:rPr>
            <w:rStyle w:val="Hyperlink"/>
            <w:rFonts w:ascii="David" w:hAnsi="David" w:cs="David"/>
            <w:sz w:val="24"/>
            <w:szCs w:val="24"/>
            <w:rtl/>
          </w:rPr>
          <w:t>סעיף 340א(ב)1</w:t>
        </w:r>
      </w:hyperlink>
      <w:r>
        <w:rPr>
          <w:rFonts w:ascii="David" w:hAnsi="David" w:cs="David"/>
          <w:sz w:val="24"/>
          <w:szCs w:val="24"/>
          <w:rtl/>
        </w:rPr>
        <w:t xml:space="preserve"> לחוק העונשין, העונש המרבי הינו 5 שנות מאסר (תיקון 134 משנת 2018).</w:t>
      </w:r>
    </w:p>
    <w:p w14:paraId="3F58E5BB"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 xml:space="preserve">טרם סיום חלק זה של הדיון, באשר למדיניות הענישה הנוהגת, אפנה לשני פסקי דין שניתנו אך לאחרונה בבית המשפט העליון - </w:t>
      </w:r>
      <w:hyperlink r:id="rId38" w:history="1">
        <w:r w:rsidR="00481360" w:rsidRPr="00481360">
          <w:rPr>
            <w:rFonts w:ascii="David" w:hAnsi="David" w:cs="David"/>
            <w:color w:val="0000FF"/>
            <w:sz w:val="24"/>
            <w:szCs w:val="24"/>
            <w:u w:val="single"/>
            <w:rtl/>
          </w:rPr>
          <w:t>ע"פ 6277/20</w:t>
        </w:r>
      </w:hyperlink>
      <w:r>
        <w:rPr>
          <w:rFonts w:ascii="David" w:hAnsi="David" w:cs="David"/>
          <w:sz w:val="24"/>
          <w:szCs w:val="24"/>
          <w:rtl/>
        </w:rPr>
        <w:t xml:space="preserve"> </w:t>
      </w:r>
      <w:r>
        <w:rPr>
          <w:rFonts w:ascii="David" w:hAnsi="David" w:cs="David"/>
          <w:b/>
          <w:bCs/>
          <w:sz w:val="24"/>
          <w:szCs w:val="24"/>
          <w:rtl/>
        </w:rPr>
        <w:t>היילי נ' מדינת ישראל</w:t>
      </w:r>
      <w:r>
        <w:rPr>
          <w:rFonts w:ascii="David" w:hAnsi="David" w:cs="David"/>
          <w:sz w:val="24"/>
          <w:szCs w:val="24"/>
          <w:rtl/>
        </w:rPr>
        <w:t xml:space="preserve"> (24.03.2021), לאמור:</w:t>
      </w:r>
    </w:p>
    <w:p w14:paraId="50721FFB" w14:textId="77777777" w:rsidR="00650D9C" w:rsidRDefault="00650D9C" w:rsidP="00650D9C">
      <w:pPr>
        <w:pStyle w:val="aa"/>
        <w:spacing w:after="240" w:line="240" w:lineRule="auto"/>
        <w:ind w:left="1440" w:right="567"/>
        <w:contextualSpacing w:val="0"/>
        <w:jc w:val="both"/>
        <w:rPr>
          <w:rFonts w:ascii="Narkisim" w:hAnsi="Narkisim" w:cs="Narkisim"/>
          <w:sz w:val="24"/>
          <w:szCs w:val="24"/>
          <w:rtl/>
        </w:rPr>
      </w:pPr>
    </w:p>
    <w:p w14:paraId="4541D359" w14:textId="77777777" w:rsidR="00650D9C" w:rsidRDefault="00650D9C" w:rsidP="00650D9C">
      <w:pPr>
        <w:pStyle w:val="aa"/>
        <w:spacing w:after="240" w:line="240" w:lineRule="auto"/>
        <w:ind w:left="1440" w:right="567"/>
        <w:contextualSpacing w:val="0"/>
        <w:jc w:val="both"/>
        <w:rPr>
          <w:rFonts w:ascii="Narkisim" w:hAnsi="Narkisim" w:cs="Narkisim"/>
          <w:sz w:val="24"/>
          <w:szCs w:val="24"/>
          <w:rtl/>
        </w:rPr>
      </w:pPr>
    </w:p>
    <w:p w14:paraId="0955DE25" w14:textId="77777777" w:rsidR="00650D9C" w:rsidRDefault="00650D9C" w:rsidP="00650D9C">
      <w:pPr>
        <w:pStyle w:val="aa"/>
        <w:spacing w:after="240" w:line="240" w:lineRule="auto"/>
        <w:ind w:left="1440" w:right="567"/>
        <w:contextualSpacing w:val="0"/>
        <w:jc w:val="both"/>
        <w:rPr>
          <w:rFonts w:ascii="Narkisim" w:hAnsi="Narkisim" w:cs="Narkisim"/>
          <w:sz w:val="24"/>
          <w:szCs w:val="24"/>
          <w:rtl/>
        </w:rPr>
      </w:pPr>
      <w:r>
        <w:rPr>
          <w:rFonts w:ascii="Narkisim" w:hAnsi="Narkisim" w:cs="Narkisim"/>
          <w:sz w:val="24"/>
          <w:szCs w:val="24"/>
          <w:rtl/>
        </w:rPr>
        <w:t>"התופעה של החזקת נשק שלא כדין על ידי אזרחים מהווה איום על שלום הציבור ועל הסדר הציבורי. היא התשתית ו'הגורם בלתו איין' (</w:t>
      </w:r>
      <w:r>
        <w:rPr>
          <w:rFonts w:ascii="Narkisim" w:hAnsi="Narkisim" w:cs="Narkisim"/>
          <w:sz w:val="24"/>
          <w:szCs w:val="24"/>
        </w:rPr>
        <w:t>causa sine qua non</w:t>
      </w:r>
      <w:r>
        <w:rPr>
          <w:rFonts w:ascii="Narkisim" w:hAnsi="Narkisim" w:cs="Narkisim"/>
          <w:sz w:val="24"/>
          <w:szCs w:val="24"/>
          <w:rtl/>
        </w:rPr>
        <w:t>) למגוון רחב של עבירות, החל בעבירות איומים ושוד מזוין, המשך בעבירות גרימת חבלה חמורה וכלה בעבירות המתה...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 (</w:t>
      </w:r>
      <w:hyperlink r:id="rId39" w:history="1">
        <w:r w:rsidR="00481360" w:rsidRPr="00481360">
          <w:rPr>
            <w:rFonts w:ascii="Narkisim" w:hAnsi="Narkisim" w:cs="Narkisim"/>
            <w:color w:val="0000FF"/>
            <w:sz w:val="24"/>
            <w:szCs w:val="24"/>
            <w:u w:val="single"/>
            <w:rtl/>
          </w:rPr>
          <w:t>ע"פ 4406/19</w:t>
        </w:r>
      </w:hyperlink>
      <w:r>
        <w:rPr>
          <w:rFonts w:ascii="Narkisim" w:hAnsi="Narkisim" w:cs="Narkisim"/>
          <w:sz w:val="24"/>
          <w:szCs w:val="24"/>
          <w:rtl/>
        </w:rPr>
        <w:t xml:space="preserve"> (5.11.2019)). וראו גם: </w:t>
      </w:r>
      <w:hyperlink r:id="rId40" w:history="1">
        <w:r w:rsidR="00481360" w:rsidRPr="00481360">
          <w:rPr>
            <w:rFonts w:ascii="Narkisim" w:hAnsi="Narkisim" w:cs="Narkisim"/>
            <w:color w:val="0000FF"/>
            <w:sz w:val="24"/>
            <w:szCs w:val="24"/>
            <w:u w:val="single"/>
            <w:rtl/>
          </w:rPr>
          <w:t>ע"פ 1944/20</w:t>
        </w:r>
      </w:hyperlink>
      <w:r>
        <w:rPr>
          <w:rFonts w:ascii="Narkisim" w:hAnsi="Narkisim" w:cs="Narkisim"/>
          <w:sz w:val="24"/>
          <w:szCs w:val="24"/>
          <w:rtl/>
        </w:rPr>
        <w:t xml:space="preserve"> </w:t>
      </w:r>
      <w:r>
        <w:rPr>
          <w:rFonts w:ascii="Narkisim" w:hAnsi="Narkisim" w:cs="Narkisim"/>
          <w:b/>
          <w:bCs/>
          <w:sz w:val="24"/>
          <w:szCs w:val="24"/>
          <w:rtl/>
        </w:rPr>
        <w:t>‏מדינת ישראל נ' אמארה</w:t>
      </w:r>
      <w:r>
        <w:rPr>
          <w:rFonts w:ascii="Narkisim" w:hAnsi="Narkisim" w:cs="Narkisim"/>
          <w:sz w:val="24"/>
          <w:szCs w:val="24"/>
          <w:rtl/>
        </w:rPr>
        <w:t xml:space="preserve"> (2.9.2020); </w:t>
      </w:r>
      <w:hyperlink r:id="rId41" w:history="1">
        <w:r w:rsidR="00481360" w:rsidRPr="00481360">
          <w:rPr>
            <w:rFonts w:ascii="Narkisim" w:hAnsi="Narkisim" w:cs="Narkisim"/>
            <w:color w:val="0000FF"/>
            <w:sz w:val="24"/>
            <w:szCs w:val="24"/>
            <w:u w:val="single"/>
            <w:rtl/>
          </w:rPr>
          <w:t>ע"פ 8017/20</w:t>
        </w:r>
      </w:hyperlink>
      <w:r>
        <w:rPr>
          <w:rFonts w:ascii="Narkisim" w:hAnsi="Narkisim" w:cs="Narkisim"/>
          <w:sz w:val="24"/>
          <w:szCs w:val="24"/>
          <w:rtl/>
        </w:rPr>
        <w:t xml:space="preserve"> </w:t>
      </w:r>
      <w:r>
        <w:rPr>
          <w:rFonts w:ascii="Narkisim" w:hAnsi="Narkisim" w:cs="Narkisim"/>
          <w:b/>
          <w:bCs/>
          <w:sz w:val="24"/>
          <w:szCs w:val="24"/>
          <w:rtl/>
        </w:rPr>
        <w:t xml:space="preserve">מדינת ישראל נ' פאדי גריפאת </w:t>
      </w:r>
      <w:r>
        <w:rPr>
          <w:rFonts w:ascii="Narkisim" w:hAnsi="Narkisim" w:cs="Narkisim"/>
          <w:sz w:val="24"/>
          <w:szCs w:val="24"/>
          <w:rtl/>
        </w:rPr>
        <w:t xml:space="preserve"> (22.12.2020); </w:t>
      </w:r>
      <w:hyperlink r:id="rId42" w:history="1">
        <w:r w:rsidR="00481360" w:rsidRPr="00481360">
          <w:rPr>
            <w:rFonts w:ascii="Narkisim" w:hAnsi="Narkisim" w:cs="Narkisim"/>
            <w:color w:val="0000FF"/>
            <w:sz w:val="24"/>
            <w:szCs w:val="24"/>
            <w:u w:val="single"/>
            <w:rtl/>
          </w:rPr>
          <w:t>ע"פ 6583/06</w:t>
        </w:r>
      </w:hyperlink>
      <w:r>
        <w:rPr>
          <w:rFonts w:ascii="Narkisim" w:hAnsi="Narkisim" w:cs="Narkisim"/>
          <w:sz w:val="24"/>
          <w:szCs w:val="24"/>
          <w:rtl/>
        </w:rPr>
        <w:t xml:space="preserve"> </w:t>
      </w:r>
      <w:r>
        <w:rPr>
          <w:rFonts w:ascii="Narkisim" w:hAnsi="Narkisim" w:cs="Narkisim"/>
          <w:b/>
          <w:bCs/>
          <w:sz w:val="24"/>
          <w:szCs w:val="24"/>
          <w:rtl/>
        </w:rPr>
        <w:t>אדהאם נ' מדינת ישראל</w:t>
      </w:r>
      <w:r>
        <w:rPr>
          <w:rFonts w:ascii="Narkisim" w:hAnsi="Narkisim" w:cs="Narkisim"/>
          <w:sz w:val="24"/>
          <w:szCs w:val="24"/>
          <w:rtl/>
        </w:rPr>
        <w:t xml:space="preserve"> (5.12.2006)."</w:t>
      </w:r>
    </w:p>
    <w:p w14:paraId="3E37D8A1" w14:textId="77777777" w:rsidR="00650D9C" w:rsidRDefault="00650D9C" w:rsidP="00650D9C">
      <w:pPr>
        <w:pStyle w:val="aa"/>
        <w:spacing w:after="120" w:line="360" w:lineRule="auto"/>
        <w:ind w:left="84" w:firstLine="636"/>
        <w:contextualSpacing w:val="0"/>
        <w:jc w:val="both"/>
        <w:rPr>
          <w:rFonts w:ascii="David" w:hAnsi="David" w:cs="David"/>
          <w:sz w:val="24"/>
          <w:szCs w:val="24"/>
        </w:rPr>
      </w:pPr>
      <w:r>
        <w:rPr>
          <w:rFonts w:ascii="David" w:hAnsi="David" w:cs="David"/>
          <w:sz w:val="24"/>
          <w:szCs w:val="24"/>
          <w:rtl/>
        </w:rPr>
        <w:t>ו</w:t>
      </w:r>
      <w:hyperlink r:id="rId43" w:history="1">
        <w:r w:rsidR="00481360" w:rsidRPr="00481360">
          <w:rPr>
            <w:rFonts w:ascii="David" w:hAnsi="David" w:cs="David"/>
            <w:color w:val="0000FF"/>
            <w:sz w:val="24"/>
            <w:szCs w:val="24"/>
            <w:u w:val="single"/>
            <w:rtl/>
          </w:rPr>
          <w:t>ע"פ 5522/20</w:t>
        </w:r>
      </w:hyperlink>
      <w:r>
        <w:rPr>
          <w:rFonts w:ascii="David" w:hAnsi="David" w:cs="David"/>
          <w:sz w:val="24"/>
          <w:szCs w:val="24"/>
          <w:rtl/>
        </w:rPr>
        <w:t xml:space="preserve"> </w:t>
      </w:r>
      <w:r>
        <w:rPr>
          <w:rFonts w:ascii="David" w:hAnsi="David" w:cs="David"/>
          <w:b/>
          <w:bCs/>
          <w:sz w:val="24"/>
          <w:szCs w:val="24"/>
          <w:rtl/>
        </w:rPr>
        <w:t>נזאר חלייחל נ' מדינת ישראל</w:t>
      </w:r>
      <w:r>
        <w:rPr>
          <w:rFonts w:ascii="David" w:hAnsi="David" w:cs="David"/>
          <w:sz w:val="24"/>
          <w:szCs w:val="24"/>
          <w:rtl/>
        </w:rPr>
        <w:t>, פסקה 7 (24.02.2021):</w:t>
      </w:r>
    </w:p>
    <w:p w14:paraId="7F7E7240" w14:textId="77777777" w:rsidR="00650D9C" w:rsidRDefault="00650D9C" w:rsidP="00650D9C">
      <w:pPr>
        <w:pStyle w:val="aa"/>
        <w:spacing w:after="240" w:line="240" w:lineRule="auto"/>
        <w:ind w:left="1440" w:right="567"/>
        <w:contextualSpacing w:val="0"/>
        <w:jc w:val="both"/>
        <w:rPr>
          <w:rFonts w:ascii="Narkisim" w:hAnsi="Narkisim" w:cs="Narkisim"/>
          <w:sz w:val="24"/>
          <w:szCs w:val="24"/>
        </w:rPr>
      </w:pPr>
      <w:r>
        <w:rPr>
          <w:rFonts w:ascii="Narkisim" w:hAnsi="Narkisim" w:cs="Narkisim"/>
          <w:sz w:val="24"/>
          <w:szCs w:val="24"/>
          <w:rtl/>
        </w:rPr>
        <w:t>"סעיף 144(ב) ל</w:t>
      </w:r>
      <w:hyperlink r:id="rId44" w:history="1">
        <w:r w:rsidR="00481360" w:rsidRPr="00481360">
          <w:rPr>
            <w:rFonts w:ascii="Narkisim" w:hAnsi="Narkisim" w:cs="Narkisim"/>
            <w:color w:val="0000FF"/>
            <w:sz w:val="24"/>
            <w:szCs w:val="24"/>
            <w:u w:val="single"/>
            <w:rtl/>
          </w:rPr>
          <w:t>חוק העונשין</w:t>
        </w:r>
      </w:hyperlink>
      <w:r>
        <w:rPr>
          <w:rFonts w:ascii="Narkisim" w:hAnsi="Narkisim" w:cs="Narkisim"/>
          <w:sz w:val="24"/>
          <w:szCs w:val="24"/>
          <w:rtl/>
        </w:rPr>
        <w:t xml:space="preserve"> אוסר על נשיאה או הובלה של כלי-נשק, "בלא רשות על פי דין". האיסור נועד להגן על ערך חיי האדם, שלמות גופו ונפשו, כמו גם לקדם את השמירה על הסדר הציבורי ואורח חיים תקין, שלו ובטוח (</w:t>
      </w:r>
      <w:hyperlink r:id="rId45" w:history="1">
        <w:r w:rsidR="00481360" w:rsidRPr="00481360">
          <w:rPr>
            <w:rFonts w:ascii="Narkisim" w:hAnsi="Narkisim" w:cs="Narkisim"/>
            <w:color w:val="0000FF"/>
            <w:sz w:val="24"/>
            <w:szCs w:val="24"/>
            <w:u w:val="single"/>
            <w:rtl/>
          </w:rPr>
          <w:t>ע"פ 147/21</w:t>
        </w:r>
      </w:hyperlink>
      <w:r>
        <w:rPr>
          <w:rFonts w:ascii="Narkisim" w:hAnsi="Narkisim" w:cs="Narkisim"/>
          <w:sz w:val="24"/>
          <w:szCs w:val="24"/>
          <w:rtl/>
        </w:rPr>
        <w:t xml:space="preserve"> </w:t>
      </w:r>
      <w:r>
        <w:rPr>
          <w:rFonts w:ascii="Narkisim" w:hAnsi="Narkisim" w:cs="Narkisim"/>
          <w:b/>
          <w:bCs/>
          <w:sz w:val="24"/>
          <w:szCs w:val="24"/>
          <w:rtl/>
        </w:rPr>
        <w:t>מדינת ישראל נ' ביטון</w:t>
      </w:r>
      <w:r>
        <w:rPr>
          <w:rFonts w:ascii="Narkisim" w:hAnsi="Narkisim" w:cs="Narkisim"/>
          <w:sz w:val="24"/>
          <w:szCs w:val="24"/>
          <w:rtl/>
        </w:rPr>
        <w:t xml:space="preserve">, פסקה 7 (14.02.2021) ...; </w:t>
      </w:r>
      <w:hyperlink r:id="rId46" w:history="1">
        <w:r w:rsidR="00481360" w:rsidRPr="00481360">
          <w:rPr>
            <w:rFonts w:ascii="Narkisim" w:hAnsi="Narkisim" w:cs="Narkisim"/>
            <w:color w:val="0000FF"/>
            <w:sz w:val="24"/>
            <w:szCs w:val="24"/>
            <w:u w:val="single"/>
            <w:rtl/>
          </w:rPr>
          <w:t>ע"פ 8017/20</w:t>
        </w:r>
      </w:hyperlink>
      <w:r>
        <w:rPr>
          <w:rFonts w:ascii="Narkisim" w:hAnsi="Narkisim" w:cs="Narkisim"/>
          <w:sz w:val="24"/>
          <w:szCs w:val="24"/>
          <w:rtl/>
        </w:rPr>
        <w:t xml:space="preserve"> </w:t>
      </w:r>
      <w:r>
        <w:rPr>
          <w:rFonts w:ascii="Narkisim" w:hAnsi="Narkisim" w:cs="Narkisim"/>
          <w:b/>
          <w:bCs/>
          <w:sz w:val="24"/>
          <w:szCs w:val="24"/>
          <w:rtl/>
        </w:rPr>
        <w:t>מדינת ישראל נ' גריפאת</w:t>
      </w:r>
      <w:r>
        <w:rPr>
          <w:rFonts w:ascii="Narkisim" w:hAnsi="Narkisim" w:cs="Narkisim"/>
          <w:sz w:val="24"/>
          <w:szCs w:val="24"/>
          <w:rtl/>
        </w:rPr>
        <w:t xml:space="preserve">, פסקה 6 (22.12.2020) .... </w:t>
      </w:r>
    </w:p>
    <w:p w14:paraId="30F1F251" w14:textId="77777777" w:rsidR="00650D9C" w:rsidRDefault="00650D9C" w:rsidP="00650D9C">
      <w:pPr>
        <w:pStyle w:val="aa"/>
        <w:spacing w:after="240" w:line="240" w:lineRule="auto"/>
        <w:ind w:left="1440" w:right="567"/>
        <w:contextualSpacing w:val="0"/>
        <w:jc w:val="both"/>
        <w:rPr>
          <w:rFonts w:ascii="Narkisim" w:hAnsi="Narkisim" w:cs="Narkisim"/>
          <w:sz w:val="24"/>
          <w:szCs w:val="24"/>
          <w:rtl/>
        </w:rPr>
      </w:pPr>
      <w:r>
        <w:rPr>
          <w:rFonts w:ascii="Narkisim" w:hAnsi="Narkisim" w:cs="Narkisim"/>
          <w:sz w:val="24"/>
          <w:szCs w:val="24"/>
          <w:rtl/>
        </w:rPr>
        <w:t>עבירה זו, כמו יתר עבירות הנשק, נועדה למנוע התנהגות מסוכנת, ולמזער את הפוטנציאל לגרימת נזקים חמורים. אכן, נשיאה והובלה של כלי-נשק, הריהי לעיתים רק הסנונית הראשונה, בואכה מעשים חמורים יותר – חבלה חמורה, שוד מזוין, רצח, וכיוצא באלה (</w:t>
      </w:r>
      <w:hyperlink r:id="rId47" w:history="1">
        <w:r w:rsidR="00481360" w:rsidRPr="00481360">
          <w:rPr>
            <w:rFonts w:ascii="Narkisim" w:hAnsi="Narkisim" w:cs="Narkisim"/>
            <w:color w:val="0000FF"/>
            <w:sz w:val="24"/>
            <w:szCs w:val="24"/>
            <w:u w:val="single"/>
            <w:rtl/>
          </w:rPr>
          <w:t>ע"פ 4406/19</w:t>
        </w:r>
      </w:hyperlink>
      <w:r>
        <w:rPr>
          <w:rFonts w:ascii="Narkisim" w:hAnsi="Narkisim" w:cs="Narkisim"/>
          <w:sz w:val="24"/>
          <w:szCs w:val="24"/>
          <w:rtl/>
        </w:rPr>
        <w:t xml:space="preserve"> </w:t>
      </w:r>
      <w:r>
        <w:rPr>
          <w:rFonts w:ascii="Narkisim" w:hAnsi="Narkisim" w:cs="Narkisim"/>
          <w:b/>
          <w:bCs/>
          <w:sz w:val="24"/>
          <w:szCs w:val="24"/>
          <w:rtl/>
        </w:rPr>
        <w:t>מדינת ישראל נ' סובח</w:t>
      </w:r>
      <w:r>
        <w:rPr>
          <w:rFonts w:ascii="Narkisim" w:hAnsi="Narkisim" w:cs="Narkisim"/>
          <w:sz w:val="24"/>
          <w:szCs w:val="24"/>
          <w:rtl/>
        </w:rPr>
        <w:t xml:space="preserve">, פסק דינו של השופט מ' מזוז (5.11.2019); </w:t>
      </w:r>
      <w:hyperlink r:id="rId48" w:history="1">
        <w:r w:rsidR="00481360" w:rsidRPr="00481360">
          <w:rPr>
            <w:rFonts w:ascii="Narkisim" w:hAnsi="Narkisim" w:cs="Narkisim"/>
            <w:color w:val="0000FF"/>
            <w:sz w:val="24"/>
            <w:szCs w:val="24"/>
            <w:u w:val="single"/>
            <w:rtl/>
          </w:rPr>
          <w:t>ע"פ 116/13</w:t>
        </w:r>
      </w:hyperlink>
      <w:r>
        <w:rPr>
          <w:rFonts w:ascii="Narkisim" w:hAnsi="Narkisim" w:cs="Narkisim"/>
          <w:sz w:val="24"/>
          <w:szCs w:val="24"/>
          <w:rtl/>
        </w:rPr>
        <w:t xml:space="preserve"> </w:t>
      </w:r>
      <w:r>
        <w:rPr>
          <w:rFonts w:ascii="Narkisim" w:hAnsi="Narkisim" w:cs="Narkisim"/>
          <w:b/>
          <w:bCs/>
          <w:sz w:val="24"/>
          <w:szCs w:val="24"/>
          <w:rtl/>
        </w:rPr>
        <w:t>וקנין נ' מדינת ישראל</w:t>
      </w:r>
      <w:r>
        <w:rPr>
          <w:rFonts w:ascii="Narkisim" w:hAnsi="Narkisim" w:cs="Narkisim"/>
          <w:sz w:val="24"/>
          <w:szCs w:val="24"/>
          <w:rtl/>
        </w:rPr>
        <w:t xml:space="preserve">, פסקה 7 (31.7.2013)). </w:t>
      </w:r>
    </w:p>
    <w:p w14:paraId="4CE9EB03" w14:textId="77777777" w:rsidR="00650D9C" w:rsidRDefault="00650D9C" w:rsidP="00650D9C">
      <w:pPr>
        <w:pStyle w:val="aa"/>
        <w:spacing w:after="240" w:line="240" w:lineRule="auto"/>
        <w:ind w:left="1440" w:right="567"/>
        <w:contextualSpacing w:val="0"/>
        <w:jc w:val="both"/>
        <w:rPr>
          <w:rFonts w:ascii="Narkisim" w:hAnsi="Narkisim" w:cs="Narkisim"/>
          <w:sz w:val="24"/>
          <w:szCs w:val="24"/>
          <w:rtl/>
        </w:rPr>
      </w:pPr>
      <w:r>
        <w:rPr>
          <w:rFonts w:ascii="Narkisim" w:hAnsi="Narkisim" w:cs="Narkisim"/>
          <w:sz w:val="24"/>
          <w:szCs w:val="24"/>
          <w:rtl/>
        </w:rPr>
        <w:t>כמו כן, לא אחת צוין, כי למרבה הצער, חרף האיסור שבדין, הפכה תופעת השימוש בנשק חם למכת מדינה. בעקבות זאת, לשם הרתעה, ניכרת בפסיקה מגמה של החמרה הדרגתית בענישה על עבירות הנשק (</w:t>
      </w:r>
      <w:hyperlink r:id="rId49" w:history="1">
        <w:r w:rsidR="00481360" w:rsidRPr="00481360">
          <w:rPr>
            <w:rFonts w:ascii="Narkisim" w:hAnsi="Narkisim" w:cs="Narkisim"/>
            <w:color w:val="0000FF"/>
            <w:sz w:val="24"/>
            <w:szCs w:val="24"/>
            <w:u w:val="single"/>
            <w:rtl/>
          </w:rPr>
          <w:t>ע"פ 5807/20</w:t>
        </w:r>
      </w:hyperlink>
      <w:r>
        <w:rPr>
          <w:rFonts w:ascii="Narkisim" w:hAnsi="Narkisim" w:cs="Narkisim"/>
          <w:sz w:val="24"/>
          <w:szCs w:val="24"/>
          <w:rtl/>
        </w:rPr>
        <w:t xml:space="preserve"> </w:t>
      </w:r>
      <w:r>
        <w:rPr>
          <w:rFonts w:ascii="Narkisim" w:hAnsi="Narkisim" w:cs="Narkisim"/>
          <w:b/>
          <w:bCs/>
          <w:sz w:val="24"/>
          <w:szCs w:val="24"/>
          <w:rtl/>
        </w:rPr>
        <w:t>שיבלי נ' מדינת ישראל</w:t>
      </w:r>
      <w:r>
        <w:rPr>
          <w:rFonts w:ascii="Narkisim" w:hAnsi="Narkisim" w:cs="Narkisim"/>
          <w:sz w:val="24"/>
          <w:szCs w:val="24"/>
          <w:rtl/>
        </w:rPr>
        <w:t>, פסקה 8 (30.12.2020) ...; לעיתים "השעה צריכה לכך" (בבלי, סנהדרין מו, ע"א)."</w:t>
      </w:r>
    </w:p>
    <w:p w14:paraId="44E9A6E9"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tl/>
        </w:rPr>
      </w:pPr>
      <w:r>
        <w:rPr>
          <w:rFonts w:ascii="David" w:hAnsi="David" w:cs="David"/>
          <w:sz w:val="24"/>
          <w:szCs w:val="24"/>
          <w:rtl/>
        </w:rPr>
        <w:t>הדברים יפים לעת הזו, שכן "השעה אכן צריכה לכך" ואין צורך להוסיף.</w:t>
      </w:r>
    </w:p>
    <w:p w14:paraId="52B503CC" w14:textId="77777777" w:rsidR="00650D9C" w:rsidRDefault="00650D9C" w:rsidP="00650D9C">
      <w:pPr>
        <w:pStyle w:val="aa"/>
        <w:spacing w:after="120" w:line="360" w:lineRule="auto"/>
        <w:ind w:left="84"/>
        <w:contextualSpacing w:val="0"/>
        <w:jc w:val="both"/>
        <w:rPr>
          <w:rFonts w:ascii="David" w:hAnsi="David" w:cs="David"/>
          <w:b/>
          <w:bCs/>
          <w:sz w:val="24"/>
          <w:szCs w:val="24"/>
          <w:u w:val="single"/>
          <w:rtl/>
        </w:rPr>
      </w:pPr>
      <w:r>
        <w:rPr>
          <w:rFonts w:ascii="David" w:hAnsi="David" w:cs="David"/>
          <w:b/>
          <w:bCs/>
          <w:sz w:val="24"/>
          <w:szCs w:val="24"/>
          <w:u w:val="single"/>
          <w:rtl/>
        </w:rPr>
        <w:t>מתחם הענישה ההולם -</w:t>
      </w:r>
    </w:p>
    <w:p w14:paraId="055F8A12"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Pr>
      </w:pPr>
      <w:r>
        <w:rPr>
          <w:rFonts w:ascii="David" w:hAnsi="David" w:cs="David"/>
          <w:sz w:val="24"/>
          <w:szCs w:val="24"/>
          <w:rtl/>
        </w:rPr>
        <w:t>בהתחשב במהות המעשים, בערכים החברתיים שנפגעו מביצוע העבירות, במידת הפגיעה בהם, בהתחשב במדיניות הענישה הנהוגה ובנסיבות הקשורות בביצוע העבירות, סבורני כי מתחם הענישה לגבי האירוע בו עסקינן הינו 12 עד 3</w:t>
      </w:r>
      <w:r>
        <w:rPr>
          <w:rFonts w:ascii="David" w:hAnsi="David" w:cs="David" w:hint="cs"/>
          <w:sz w:val="24"/>
          <w:szCs w:val="24"/>
          <w:rtl/>
        </w:rPr>
        <w:t>6</w:t>
      </w:r>
      <w:r>
        <w:rPr>
          <w:rFonts w:ascii="David" w:hAnsi="David" w:cs="David"/>
          <w:sz w:val="24"/>
          <w:szCs w:val="24"/>
          <w:rtl/>
        </w:rPr>
        <w:t xml:space="preserve"> חודשי מאסר בפועל, וענישה על תנאי.</w:t>
      </w:r>
    </w:p>
    <w:p w14:paraId="3D4089AA" w14:textId="77777777" w:rsidR="00650D9C" w:rsidRDefault="00650D9C" w:rsidP="00650D9C">
      <w:pPr>
        <w:pStyle w:val="aa"/>
        <w:spacing w:after="120" w:line="360" w:lineRule="auto"/>
        <w:ind w:left="84"/>
        <w:contextualSpacing w:val="0"/>
        <w:jc w:val="both"/>
        <w:rPr>
          <w:rFonts w:ascii="David" w:hAnsi="David" w:cs="David"/>
          <w:b/>
          <w:bCs/>
          <w:sz w:val="24"/>
          <w:szCs w:val="24"/>
          <w:u w:val="single"/>
        </w:rPr>
      </w:pPr>
      <w:r>
        <w:rPr>
          <w:rFonts w:ascii="David" w:hAnsi="David" w:cs="David"/>
          <w:b/>
          <w:bCs/>
          <w:sz w:val="24"/>
          <w:szCs w:val="24"/>
          <w:u w:val="single"/>
          <w:rtl/>
        </w:rPr>
        <w:t>העונש המתאים בזיקה למתחמי הענישה –</w:t>
      </w:r>
    </w:p>
    <w:p w14:paraId="6FEE1047"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u w:val="single"/>
          <w:rtl/>
        </w:rPr>
      </w:pPr>
      <w:r>
        <w:rPr>
          <w:rFonts w:ascii="David" w:hAnsi="David" w:cs="David"/>
          <w:sz w:val="24"/>
          <w:szCs w:val="24"/>
          <w:u w:val="single"/>
          <w:rtl/>
        </w:rPr>
        <w:t>שיקולי שיקום</w:t>
      </w:r>
      <w:r>
        <w:rPr>
          <w:rFonts w:ascii="David" w:hAnsi="David" w:cs="David"/>
          <w:sz w:val="24"/>
          <w:szCs w:val="24"/>
          <w:rtl/>
        </w:rPr>
        <w:t xml:space="preserve"> – מקדמית יובהר כי אין לסטות מהמתחם שנקבע מעלה משיקולי שיקום. בהקשר זה אציין כי בתסקיר, מיום 7.3.2021, נמנעה עורכת התסקיר מלבוא בהמלצה טיפולית בעניינו של הנאשם והעריכה כאמור כי הוא זקוק לענישה משמעותית ומרתיעה שתחדד עבורו את החומרה שבמעשיו. שירות המבחן התרשם, כאמור, כי הנאשם נוטה להפחית מחומרת מעשיו, ללא יכולת להתבוננות ביקורתית ומעמיקה על הבעייתיות בהתנהגותו, וניכר כי אינו מבין היטב את השלכות וחומרת המעשים. לפיכך, אין לסטות מהמתחם משיקולי שיקום.</w:t>
      </w:r>
    </w:p>
    <w:p w14:paraId="1AF3659D"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u w:val="single"/>
        </w:rPr>
      </w:pPr>
      <w:r>
        <w:rPr>
          <w:rFonts w:ascii="David" w:hAnsi="David" w:cs="David"/>
          <w:sz w:val="24"/>
          <w:szCs w:val="24"/>
          <w:u w:val="single"/>
          <w:rtl/>
        </w:rPr>
        <w:t>קבלת אחריות</w:t>
      </w:r>
      <w:r>
        <w:rPr>
          <w:rFonts w:ascii="David" w:hAnsi="David" w:cs="David"/>
          <w:sz w:val="24"/>
          <w:szCs w:val="24"/>
          <w:rtl/>
        </w:rPr>
        <w:t xml:space="preserve"> – הגם שהנאשם כפר בעבירות בעת תשובתו לכתב האישום ונשמעו כל הראיות בתיק, מהתסקיר עולה כי הנאשם הודה במעשיו בפגישתו בשירות המבחן ויש לקחת נתון זה בחשבון לקולה. אמנם, הנאשם הפחית מחומרת מעשיו ומסר רק מידע חלקי, אך יפים כאן הדברים שנאמרו ב</w:t>
      </w:r>
      <w:hyperlink r:id="rId50" w:history="1">
        <w:r w:rsidR="00481360" w:rsidRPr="00481360">
          <w:rPr>
            <w:rFonts w:ascii="David" w:hAnsi="David" w:cs="David"/>
            <w:color w:val="0000FF"/>
            <w:sz w:val="24"/>
            <w:szCs w:val="24"/>
            <w:u w:val="single"/>
            <w:rtl/>
          </w:rPr>
          <w:t>ע"פ 4095/18</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(6.1.2021) במקרה אשר אף שם ההודאה של הנאשם במעשים הייתה רק לאחר הכרעת הדין, לאמור:</w:t>
      </w:r>
    </w:p>
    <w:p w14:paraId="068DE838" w14:textId="77777777" w:rsidR="00650D9C" w:rsidRPr="00650D9C" w:rsidRDefault="00650D9C" w:rsidP="00650D9C">
      <w:pPr>
        <w:pStyle w:val="aa"/>
        <w:spacing w:after="240" w:line="240" w:lineRule="auto"/>
        <w:ind w:left="1440" w:right="567"/>
        <w:contextualSpacing w:val="0"/>
        <w:jc w:val="both"/>
        <w:rPr>
          <w:rFonts w:ascii="Narkisim" w:hAnsi="Narkisim" w:cs="Narkisim"/>
          <w:sz w:val="24"/>
          <w:szCs w:val="24"/>
        </w:rPr>
      </w:pPr>
      <w:r>
        <w:rPr>
          <w:rFonts w:ascii="Narkisim" w:hAnsi="Narkisim" w:cs="Narkisim"/>
          <w:sz w:val="24"/>
          <w:szCs w:val="24"/>
          <w:rtl/>
        </w:rPr>
        <w:t>"... אין לבטל לחלוטין את הערך שבלקיחת אחריות מאוחרת על המעשים, מצדו של הפוגע, גם אם זו באה בשלב מאוחר ... ההודאה, גם בדיעבד, גם לאחר הכרעת הדין, כאשר היא נעשית במפורש ובכנות ... הריהי שלב ראשון בתהליך של התשובה; עליה נאמר "שהיא מצד אחד קלה שבקלות [...] ומצד אחר הרי היא קשה שבקשות" (הרב אברהם יצחק הכהן קוק אורות התשובה, פתיחה לספר)."</w:t>
      </w:r>
    </w:p>
    <w:p w14:paraId="0D1257F5"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Pr>
      </w:pPr>
      <w:r>
        <w:rPr>
          <w:rFonts w:ascii="David" w:hAnsi="David" w:cs="David"/>
          <w:sz w:val="24"/>
          <w:szCs w:val="24"/>
          <w:u w:val="single"/>
          <w:rtl/>
        </w:rPr>
        <w:t>עבר פלילי</w:t>
      </w:r>
      <w:r>
        <w:rPr>
          <w:rFonts w:ascii="David" w:hAnsi="David" w:cs="David"/>
          <w:sz w:val="24"/>
          <w:szCs w:val="24"/>
          <w:rtl/>
        </w:rPr>
        <w:t xml:space="preserve"> – הנאשם נעדר עבר פלילי ויש לשקול נתון זה לקולה. </w:t>
      </w:r>
    </w:p>
    <w:p w14:paraId="13C4FA8B"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Pr>
      </w:pPr>
      <w:r>
        <w:rPr>
          <w:rFonts w:ascii="David" w:hAnsi="David" w:cs="David"/>
          <w:sz w:val="24"/>
          <w:szCs w:val="24"/>
          <w:u w:val="single"/>
          <w:rtl/>
        </w:rPr>
        <w:t>גילו של הנאשם</w:t>
      </w:r>
      <w:r>
        <w:rPr>
          <w:rFonts w:ascii="David" w:hAnsi="David" w:cs="David"/>
          <w:sz w:val="24"/>
          <w:szCs w:val="24"/>
          <w:rtl/>
        </w:rPr>
        <w:t xml:space="preserve"> – הנאשם יליד 1999, והוא אכן "בגיר-צעיר", אשר נמצא בתחילת דרכו, וטרם נסללה פרשת חייו המקצועית והמשפחתית. עם זאת, וכפי שמוזכר בפסיקה מעלה, ההלכה היא בדבר החמרת הענישה בעבירות הנשק, גם כשמדובר בבגירים צעירים, כך שלשיקול זה יהא משקל, אך לא מכריע. </w:t>
      </w:r>
    </w:p>
    <w:p w14:paraId="06CC643E"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Pr>
      </w:pPr>
      <w:r>
        <w:rPr>
          <w:rFonts w:ascii="David" w:hAnsi="David" w:cs="David"/>
          <w:sz w:val="24"/>
          <w:szCs w:val="24"/>
          <w:u w:val="single"/>
          <w:rtl/>
        </w:rPr>
        <w:t>שיקולי הרתעה</w:t>
      </w:r>
      <w:r>
        <w:rPr>
          <w:rFonts w:ascii="David" w:hAnsi="David" w:cs="David"/>
          <w:sz w:val="24"/>
          <w:szCs w:val="24"/>
          <w:rtl/>
        </w:rPr>
        <w:t xml:space="preserve"> - בענייננו, יש מקום להרתעה ממשית אישית מבחינת הנאשם, וזאת נוכח התעוזה הגלומה בביצוע העבירה, ובשים לב לכך שהנאשם התקשה להעמיק ולפרט את המניעים שהובילו אותו לבצע את העבירות, וכפי שממליץ שירות המבחן.  בנוסף יש לתת את הדעת לשיקול הרתעת הרבים בכל הקשור בשכיחות תופעת העבירות  בנשק, שכיחות "הירי מהגגות" ופסיקתו של בית משפט העליון לגבי הצורך בהחמרת הענישה, תוך מתן משקל רב יותר לשיקולי ההרתעה במסגרת מכלול שיקולי הענישה בעבירות נשק. </w:t>
      </w:r>
    </w:p>
    <w:p w14:paraId="6A2E4569"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Pr>
      </w:pPr>
      <w:r>
        <w:rPr>
          <w:rFonts w:ascii="David" w:hAnsi="David" w:cs="David"/>
          <w:sz w:val="24"/>
          <w:szCs w:val="24"/>
          <w:u w:val="single"/>
          <w:rtl/>
        </w:rPr>
        <w:t>נסיבות אישיות של הנאשם</w:t>
      </w:r>
      <w:r>
        <w:rPr>
          <w:rFonts w:ascii="David" w:hAnsi="David" w:cs="David"/>
          <w:sz w:val="24"/>
          <w:szCs w:val="24"/>
          <w:rtl/>
        </w:rPr>
        <w:t xml:space="preserve"> – עיינתי במסמכים שהגיש ב"כ הנאשם ובניהם תלושי השכר וגיליון ציונים (נא/4) של הנאשם, כמו גם בהמלצות ובאישורים השונים שהגיש ב"כ הנאשם בדבר התנדבות הנאשם במסגרות שונות (נא/5). מהמסמכים עולה כי מדובר בנאשם נורמטיבי אשר גילה תפקוד תקין וסביר במהלך חייו, מתנדב במספר ארגונים ופעיל במסגרות קהילתיות. </w:t>
      </w:r>
    </w:p>
    <w:p w14:paraId="0C29B167"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Pr>
      </w:pPr>
      <w:r>
        <w:rPr>
          <w:rFonts w:ascii="David" w:hAnsi="David" w:cs="David"/>
          <w:sz w:val="24"/>
          <w:szCs w:val="24"/>
          <w:rtl/>
        </w:rPr>
        <w:t>נוכח האמור, עמדתי היא כי על העונש להיות ממוקם בחצי התחתון של המתחם.</w:t>
      </w:r>
    </w:p>
    <w:p w14:paraId="3687713E" w14:textId="77777777" w:rsidR="00650D9C" w:rsidRDefault="00650D9C" w:rsidP="00650D9C">
      <w:pPr>
        <w:pStyle w:val="aa"/>
        <w:spacing w:after="120" w:line="360" w:lineRule="auto"/>
        <w:ind w:left="84"/>
        <w:contextualSpacing w:val="0"/>
        <w:jc w:val="both"/>
        <w:rPr>
          <w:rFonts w:ascii="David" w:hAnsi="David" w:cs="David"/>
          <w:b/>
          <w:bCs/>
          <w:sz w:val="24"/>
          <w:szCs w:val="24"/>
          <w:u w:val="single"/>
          <w:rtl/>
        </w:rPr>
      </w:pPr>
    </w:p>
    <w:p w14:paraId="0510338A" w14:textId="77777777" w:rsidR="00650D9C" w:rsidRDefault="00650D9C" w:rsidP="00650D9C">
      <w:pPr>
        <w:pStyle w:val="aa"/>
        <w:spacing w:after="120" w:line="360" w:lineRule="auto"/>
        <w:ind w:left="84"/>
        <w:contextualSpacing w:val="0"/>
        <w:jc w:val="both"/>
        <w:rPr>
          <w:rFonts w:ascii="David" w:hAnsi="David" w:cs="David"/>
          <w:b/>
          <w:bCs/>
          <w:sz w:val="24"/>
          <w:szCs w:val="24"/>
          <w:u w:val="single"/>
          <w:rtl/>
        </w:rPr>
      </w:pPr>
    </w:p>
    <w:p w14:paraId="5995EAB5" w14:textId="77777777" w:rsidR="00650D9C" w:rsidRDefault="00650D9C" w:rsidP="00650D9C">
      <w:pPr>
        <w:pStyle w:val="aa"/>
        <w:spacing w:after="120" w:line="360" w:lineRule="auto"/>
        <w:ind w:left="84"/>
        <w:contextualSpacing w:val="0"/>
        <w:jc w:val="both"/>
        <w:rPr>
          <w:rFonts w:ascii="David" w:hAnsi="David" w:cs="David"/>
          <w:b/>
          <w:bCs/>
          <w:sz w:val="24"/>
          <w:szCs w:val="24"/>
          <w:u w:val="single"/>
          <w:rtl/>
        </w:rPr>
      </w:pPr>
    </w:p>
    <w:p w14:paraId="6759F6B8" w14:textId="77777777" w:rsidR="00650D9C" w:rsidRDefault="00650D9C" w:rsidP="00650D9C">
      <w:pPr>
        <w:pStyle w:val="aa"/>
        <w:spacing w:after="120" w:line="360" w:lineRule="auto"/>
        <w:ind w:left="84"/>
        <w:contextualSpacing w:val="0"/>
        <w:jc w:val="both"/>
        <w:rPr>
          <w:rFonts w:ascii="David" w:hAnsi="David" w:cs="David"/>
          <w:b/>
          <w:bCs/>
          <w:sz w:val="24"/>
          <w:szCs w:val="24"/>
          <w:u w:val="single"/>
          <w:rtl/>
        </w:rPr>
      </w:pPr>
    </w:p>
    <w:p w14:paraId="015AF04D" w14:textId="77777777" w:rsidR="00650D9C" w:rsidRDefault="00650D9C" w:rsidP="00650D9C">
      <w:pPr>
        <w:pStyle w:val="aa"/>
        <w:spacing w:after="120" w:line="360" w:lineRule="auto"/>
        <w:ind w:left="84"/>
        <w:contextualSpacing w:val="0"/>
        <w:jc w:val="both"/>
        <w:rPr>
          <w:rFonts w:ascii="David" w:hAnsi="David" w:cs="David"/>
          <w:b/>
          <w:bCs/>
          <w:sz w:val="24"/>
          <w:szCs w:val="24"/>
          <w:u w:val="single"/>
        </w:rPr>
      </w:pPr>
      <w:r>
        <w:rPr>
          <w:rFonts w:ascii="David" w:hAnsi="David" w:cs="David"/>
          <w:b/>
          <w:bCs/>
          <w:sz w:val="24"/>
          <w:szCs w:val="24"/>
          <w:u w:val="single"/>
          <w:rtl/>
        </w:rPr>
        <w:t>סיכום -</w:t>
      </w:r>
    </w:p>
    <w:p w14:paraId="18C16C54" w14:textId="77777777" w:rsidR="00650D9C" w:rsidRDefault="00650D9C" w:rsidP="00650D9C">
      <w:pPr>
        <w:pStyle w:val="aa"/>
        <w:numPr>
          <w:ilvl w:val="0"/>
          <w:numId w:val="1"/>
        </w:numPr>
        <w:spacing w:after="120" w:line="360" w:lineRule="auto"/>
        <w:ind w:left="84" w:firstLine="0"/>
        <w:contextualSpacing w:val="0"/>
        <w:jc w:val="both"/>
        <w:rPr>
          <w:rFonts w:ascii="David" w:hAnsi="David" w:cs="David"/>
          <w:sz w:val="24"/>
          <w:szCs w:val="24"/>
        </w:rPr>
      </w:pPr>
      <w:r>
        <w:rPr>
          <w:rFonts w:ascii="David" w:hAnsi="David" w:cs="David"/>
          <w:sz w:val="24"/>
          <w:szCs w:val="24"/>
          <w:rtl/>
        </w:rPr>
        <w:t xml:space="preserve">במכלול השיקולים, בהתחשב במתחם הענישה ההולם לעיל ולאחר שקילת ההיבטים לחומרה ולקולה, והואיל ו"העיקרון המנחה בענישה הוא קיומו של יחס הולם בין חומרת מעשה העבירה בנסיבותיו ומידת אשמו של הנאשם ובין סוג ומידת העונש המוטל עליו" (כקבוע </w:t>
      </w:r>
      <w:hyperlink r:id="rId51" w:history="1">
        <w:r w:rsidR="007006B5" w:rsidRPr="007006B5">
          <w:rPr>
            <w:rStyle w:val="Hyperlink"/>
            <w:rFonts w:ascii="David" w:hAnsi="David" w:cs="David"/>
            <w:sz w:val="24"/>
            <w:szCs w:val="24"/>
            <w:rtl/>
          </w:rPr>
          <w:t>בסעיף 40ב'</w:t>
        </w:r>
      </w:hyperlink>
      <w:r>
        <w:rPr>
          <w:rFonts w:ascii="David" w:hAnsi="David" w:cs="David"/>
          <w:sz w:val="24"/>
          <w:szCs w:val="24"/>
          <w:rtl/>
        </w:rPr>
        <w:t xml:space="preserve"> ל</w:t>
      </w:r>
      <w:hyperlink r:id="rId52" w:history="1">
        <w:r w:rsidR="00481360" w:rsidRPr="00481360">
          <w:rPr>
            <w:rFonts w:ascii="David" w:hAnsi="David" w:cs="David"/>
            <w:color w:val="0000FF"/>
            <w:sz w:val="24"/>
            <w:szCs w:val="24"/>
            <w:u w:val="single"/>
            <w:rtl/>
          </w:rPr>
          <w:t>חוק העונשין</w:t>
        </w:r>
      </w:hyperlink>
      <w:r>
        <w:rPr>
          <w:rFonts w:ascii="David" w:hAnsi="David" w:cs="David"/>
          <w:sz w:val="24"/>
          <w:szCs w:val="24"/>
          <w:rtl/>
        </w:rPr>
        <w:t>), אני גוזרת על הנאשם את העונשים הבאים:</w:t>
      </w:r>
    </w:p>
    <w:p w14:paraId="4F658864" w14:textId="77777777" w:rsidR="00650D9C" w:rsidRDefault="00650D9C" w:rsidP="00650D9C">
      <w:pPr>
        <w:pStyle w:val="aa"/>
        <w:spacing w:after="120" w:line="360" w:lineRule="auto"/>
        <w:ind w:left="84"/>
        <w:contextualSpacing w:val="0"/>
        <w:jc w:val="both"/>
        <w:rPr>
          <w:rFonts w:ascii="David" w:hAnsi="David" w:cs="David"/>
          <w:sz w:val="24"/>
          <w:szCs w:val="24"/>
        </w:rPr>
      </w:pPr>
    </w:p>
    <w:p w14:paraId="052E3A50" w14:textId="77777777" w:rsidR="00650D9C" w:rsidRDefault="00650D9C" w:rsidP="00650D9C">
      <w:pPr>
        <w:pStyle w:val="aa"/>
        <w:tabs>
          <w:tab w:val="left" w:pos="651"/>
        </w:tabs>
        <w:spacing w:after="120" w:line="360" w:lineRule="auto"/>
        <w:ind w:left="84"/>
        <w:contextualSpacing w:val="0"/>
        <w:jc w:val="both"/>
        <w:rPr>
          <w:rFonts w:ascii="David" w:hAnsi="David" w:cs="David"/>
          <w:sz w:val="24"/>
          <w:szCs w:val="24"/>
        </w:rPr>
      </w:pPr>
      <w:r>
        <w:rPr>
          <w:rFonts w:ascii="David" w:hAnsi="David" w:cs="David" w:hint="cs"/>
          <w:b/>
          <w:bCs/>
          <w:sz w:val="24"/>
          <w:szCs w:val="24"/>
          <w:rtl/>
        </w:rPr>
        <w:t>20</w:t>
      </w:r>
      <w:r>
        <w:rPr>
          <w:rFonts w:ascii="David" w:hAnsi="David" w:cs="David"/>
          <w:b/>
          <w:bCs/>
          <w:sz w:val="24"/>
          <w:szCs w:val="24"/>
          <w:rtl/>
        </w:rPr>
        <w:t xml:space="preserve"> חודשי מאסר בפועל, </w:t>
      </w:r>
      <w:r>
        <w:rPr>
          <w:rFonts w:ascii="David" w:hAnsi="David" w:cs="David"/>
          <w:sz w:val="24"/>
          <w:szCs w:val="24"/>
          <w:rtl/>
        </w:rPr>
        <w:t>בניכוי תקופת מעצרו של הנאשם מיום 23.5.2020 ועד יום 2.6.2020</w:t>
      </w:r>
      <w:r>
        <w:rPr>
          <w:rFonts w:ascii="David" w:hAnsi="David" w:cs="David" w:hint="cs"/>
          <w:sz w:val="24"/>
          <w:szCs w:val="24"/>
          <w:rtl/>
        </w:rPr>
        <w:t xml:space="preserve"> ומיום 6.4.2021 ועד היום;</w:t>
      </w:r>
    </w:p>
    <w:p w14:paraId="597FBFEA" w14:textId="77777777" w:rsidR="00650D9C" w:rsidRDefault="00650D9C" w:rsidP="00650D9C">
      <w:pPr>
        <w:pStyle w:val="aa"/>
        <w:tabs>
          <w:tab w:val="left" w:pos="651"/>
        </w:tabs>
        <w:spacing w:after="120" w:line="360" w:lineRule="auto"/>
        <w:ind w:left="84"/>
        <w:contextualSpacing w:val="0"/>
        <w:jc w:val="both"/>
        <w:rPr>
          <w:rFonts w:ascii="David" w:hAnsi="David" w:cs="David"/>
          <w:sz w:val="24"/>
          <w:szCs w:val="24"/>
        </w:rPr>
      </w:pPr>
      <w:r>
        <w:rPr>
          <w:rFonts w:ascii="David" w:hAnsi="David" w:cs="David"/>
          <w:b/>
          <w:bCs/>
          <w:sz w:val="24"/>
          <w:szCs w:val="24"/>
          <w:rtl/>
        </w:rPr>
        <w:t>6 חודשי מאסר על תנאי</w:t>
      </w:r>
      <w:r>
        <w:rPr>
          <w:rFonts w:ascii="David" w:hAnsi="David" w:cs="David"/>
          <w:sz w:val="24"/>
          <w:szCs w:val="24"/>
          <w:rtl/>
        </w:rPr>
        <w:t>, אותם ירצה הנאשם אם יעבור תוך שלוש שנים אחת העבירות אשר בהן הורשע בתיק זה, ויורשע בגינה.</w:t>
      </w:r>
    </w:p>
    <w:p w14:paraId="14F25E56" w14:textId="77777777" w:rsidR="00650D9C" w:rsidRPr="00F64C36" w:rsidRDefault="00650D9C" w:rsidP="00650D9C">
      <w:pPr>
        <w:spacing w:after="120" w:line="360" w:lineRule="auto"/>
        <w:rPr>
          <w:b/>
          <w:bCs/>
          <w:sz w:val="2"/>
          <w:szCs w:val="2"/>
          <w:rtl/>
        </w:rPr>
      </w:pPr>
    </w:p>
    <w:p w14:paraId="3119B30E" w14:textId="77777777" w:rsidR="00650D9C" w:rsidRPr="00F64C36" w:rsidRDefault="00650D9C" w:rsidP="00650D9C">
      <w:pPr>
        <w:spacing w:after="120" w:line="360" w:lineRule="auto"/>
        <w:rPr>
          <w:b/>
          <w:bCs/>
          <w:rtl/>
        </w:rPr>
      </w:pPr>
      <w:r w:rsidRPr="00F64C36">
        <w:rPr>
          <w:b/>
          <w:bCs/>
          <w:rtl/>
        </w:rPr>
        <w:t>זכות ערעור תוך 45 יום</w:t>
      </w:r>
      <w:r>
        <w:rPr>
          <w:rFonts w:hint="cs"/>
          <w:b/>
          <w:bCs/>
          <w:rtl/>
        </w:rPr>
        <w:t>.</w:t>
      </w:r>
    </w:p>
    <w:p w14:paraId="41F6E133" w14:textId="77777777" w:rsidR="00650D9C" w:rsidRDefault="00650D9C" w:rsidP="00650D9C">
      <w:pPr>
        <w:rPr>
          <w:sz w:val="26"/>
          <w:szCs w:val="26"/>
          <w:rtl/>
        </w:rPr>
      </w:pPr>
    </w:p>
    <w:p w14:paraId="372A3573" w14:textId="77777777" w:rsidR="00650D9C" w:rsidRPr="000454A8" w:rsidRDefault="00650D9C" w:rsidP="00650D9C">
      <w:pPr>
        <w:rPr>
          <w:sz w:val="26"/>
          <w:szCs w:val="26"/>
          <w:rtl/>
        </w:rPr>
      </w:pPr>
    </w:p>
    <w:p w14:paraId="69514109" w14:textId="77777777" w:rsidR="00650D9C" w:rsidRDefault="00481360" w:rsidP="00650D9C">
      <w:pPr>
        <w:spacing w:line="360" w:lineRule="auto"/>
        <w:jc w:val="both"/>
        <w:rPr>
          <w:rFonts w:ascii="Arial" w:hAnsi="Arial"/>
        </w:rPr>
      </w:pPr>
      <w:bookmarkStart w:id="8" w:name="Nitan"/>
      <w:r>
        <w:rPr>
          <w:rFonts w:ascii="Arial" w:hAnsi="Arial"/>
          <w:rtl/>
        </w:rPr>
        <w:t xml:space="preserve">ניתן היום,  ט"ז אייר תשפ"א, 28 אפריל 2021, בנוכחות הנאשם ובאי כוח הצדדים. </w:t>
      </w:r>
      <w:bookmarkEnd w:id="8"/>
    </w:p>
    <w:p w14:paraId="6D38E250" w14:textId="77777777" w:rsidR="00650D9C" w:rsidRPr="00481360" w:rsidRDefault="00481360" w:rsidP="00650D9C">
      <w:pPr>
        <w:ind w:left="5040"/>
        <w:rPr>
          <w:color w:val="FFFFFF"/>
          <w:sz w:val="2"/>
          <w:szCs w:val="2"/>
        </w:rPr>
      </w:pPr>
      <w:r w:rsidRPr="00481360">
        <w:rPr>
          <w:color w:val="FFFFFF"/>
          <w:sz w:val="2"/>
          <w:szCs w:val="2"/>
          <w:rtl/>
        </w:rPr>
        <w:t>5129371</w:t>
      </w: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650D9C" w14:paraId="53662D4A" w14:textId="77777777" w:rsidTr="00650D9C">
        <w:trPr>
          <w:trHeight w:val="316"/>
        </w:trPr>
        <w:tc>
          <w:tcPr>
            <w:tcW w:w="3936" w:type="dxa"/>
            <w:tcBorders>
              <w:top w:val="nil"/>
              <w:left w:val="nil"/>
              <w:bottom w:val="single" w:sz="4" w:space="0" w:color="auto"/>
              <w:right w:val="nil"/>
            </w:tcBorders>
            <w:shd w:val="clear" w:color="auto" w:fill="auto"/>
            <w:vAlign w:val="bottom"/>
          </w:tcPr>
          <w:p w14:paraId="3A4F146B" w14:textId="77777777" w:rsidR="00650D9C" w:rsidRPr="00481360" w:rsidRDefault="00481360" w:rsidP="00650D9C">
            <w:pPr>
              <w:jc w:val="center"/>
              <w:rPr>
                <w:color w:val="FFFFFF"/>
                <w:sz w:val="2"/>
                <w:szCs w:val="2"/>
                <w:rtl/>
              </w:rPr>
            </w:pPr>
            <w:r w:rsidRPr="00481360">
              <w:rPr>
                <w:color w:val="FFFFFF"/>
                <w:sz w:val="2"/>
                <w:szCs w:val="2"/>
                <w:rtl/>
              </w:rPr>
              <w:t>54678313</w:t>
            </w:r>
          </w:p>
          <w:p w14:paraId="06CF225E" w14:textId="77777777" w:rsidR="00650D9C" w:rsidRDefault="00650D9C" w:rsidP="00650D9C">
            <w:pPr>
              <w:jc w:val="center"/>
            </w:pPr>
          </w:p>
        </w:tc>
      </w:tr>
      <w:tr w:rsidR="00650D9C" w14:paraId="7F2F0164" w14:textId="77777777" w:rsidTr="00650D9C">
        <w:trPr>
          <w:trHeight w:val="361"/>
        </w:trPr>
        <w:tc>
          <w:tcPr>
            <w:tcW w:w="3936" w:type="dxa"/>
            <w:tcBorders>
              <w:top w:val="single" w:sz="4" w:space="0" w:color="auto"/>
              <w:left w:val="nil"/>
              <w:bottom w:val="nil"/>
              <w:right w:val="nil"/>
            </w:tcBorders>
            <w:shd w:val="clear" w:color="auto" w:fill="auto"/>
          </w:tcPr>
          <w:p w14:paraId="11E4521E" w14:textId="77777777" w:rsidR="00650D9C" w:rsidRPr="00650D9C" w:rsidRDefault="00650D9C" w:rsidP="00650D9C">
            <w:pPr>
              <w:jc w:val="center"/>
              <w:rPr>
                <w:b/>
                <w:bCs/>
                <w:rtl/>
              </w:rPr>
            </w:pPr>
            <w:r w:rsidRPr="00650D9C">
              <w:rPr>
                <w:b/>
                <w:bCs/>
                <w:rtl/>
              </w:rPr>
              <w:t>תמר</w:t>
            </w:r>
            <w:r w:rsidRPr="00650D9C">
              <w:rPr>
                <w:rFonts w:hint="cs"/>
                <w:b/>
                <w:bCs/>
                <w:rtl/>
              </w:rPr>
              <w:t xml:space="preserve"> </w:t>
            </w:r>
            <w:r w:rsidRPr="00650D9C">
              <w:rPr>
                <w:b/>
                <w:bCs/>
                <w:rtl/>
              </w:rPr>
              <w:t>נאות פרי</w:t>
            </w:r>
            <w:r w:rsidRPr="00650D9C">
              <w:rPr>
                <w:rFonts w:hint="cs"/>
                <w:b/>
                <w:bCs/>
                <w:rtl/>
              </w:rPr>
              <w:t xml:space="preserve">, </w:t>
            </w:r>
            <w:r w:rsidRPr="00650D9C">
              <w:rPr>
                <w:b/>
                <w:bCs/>
                <w:rtl/>
              </w:rPr>
              <w:t>שופטת</w:t>
            </w:r>
          </w:p>
        </w:tc>
      </w:tr>
    </w:tbl>
    <w:p w14:paraId="495557E2" w14:textId="77777777" w:rsidR="00650D9C" w:rsidRDefault="00650D9C" w:rsidP="00650D9C">
      <w:pPr>
        <w:rPr>
          <w:rFonts w:ascii="David" w:hAnsi="David"/>
          <w:rtl/>
        </w:rPr>
      </w:pPr>
    </w:p>
    <w:p w14:paraId="6A194AFF" w14:textId="77777777" w:rsidR="00650D9C" w:rsidRPr="007006B5" w:rsidRDefault="007006B5" w:rsidP="00650D9C">
      <w:pPr>
        <w:pStyle w:val="a3"/>
        <w:jc w:val="center"/>
        <w:rPr>
          <w:color w:val="FFFFFF"/>
          <w:sz w:val="2"/>
          <w:szCs w:val="2"/>
          <w:rtl/>
        </w:rPr>
      </w:pPr>
      <w:r w:rsidRPr="007006B5">
        <w:rPr>
          <w:color w:val="FFFFFF"/>
          <w:sz w:val="2"/>
          <w:szCs w:val="2"/>
          <w:rtl/>
        </w:rPr>
        <w:t>5129371</w:t>
      </w:r>
    </w:p>
    <w:p w14:paraId="675F06EE" w14:textId="77777777" w:rsidR="00C16B18" w:rsidRPr="007006B5" w:rsidRDefault="007006B5" w:rsidP="00481360">
      <w:pPr>
        <w:keepNext/>
        <w:rPr>
          <w:rFonts w:ascii="David" w:hAnsi="David"/>
          <w:color w:val="FFFFFF"/>
          <w:sz w:val="2"/>
          <w:szCs w:val="2"/>
          <w:rtl/>
        </w:rPr>
      </w:pPr>
      <w:r w:rsidRPr="007006B5">
        <w:rPr>
          <w:rFonts w:ascii="David" w:hAnsi="David"/>
          <w:color w:val="FFFFFF"/>
          <w:sz w:val="2"/>
          <w:szCs w:val="2"/>
          <w:rtl/>
        </w:rPr>
        <w:t>54678313</w:t>
      </w:r>
    </w:p>
    <w:p w14:paraId="4399C0B0" w14:textId="77777777" w:rsidR="00481360" w:rsidRDefault="00481360" w:rsidP="00481360">
      <w:pPr>
        <w:rPr>
          <w:rtl/>
        </w:rPr>
      </w:pPr>
    </w:p>
    <w:p w14:paraId="7C81ECD0" w14:textId="77777777" w:rsidR="00481360" w:rsidRDefault="00481360" w:rsidP="00481360">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1F66CF57" w14:textId="77777777" w:rsidR="007006B5" w:rsidRPr="007006B5" w:rsidRDefault="007006B5" w:rsidP="007006B5">
      <w:pPr>
        <w:keepNext/>
        <w:rPr>
          <w:rFonts w:ascii="David" w:hAnsi="David"/>
          <w:color w:val="000000"/>
          <w:sz w:val="22"/>
          <w:szCs w:val="22"/>
          <w:rtl/>
        </w:rPr>
      </w:pPr>
    </w:p>
    <w:p w14:paraId="462D061C" w14:textId="77777777" w:rsidR="007006B5" w:rsidRPr="007006B5" w:rsidRDefault="007006B5" w:rsidP="007006B5">
      <w:pPr>
        <w:keepNext/>
        <w:rPr>
          <w:rFonts w:ascii="David" w:hAnsi="David"/>
          <w:color w:val="000000"/>
          <w:sz w:val="22"/>
          <w:szCs w:val="22"/>
          <w:rtl/>
        </w:rPr>
      </w:pPr>
      <w:r w:rsidRPr="007006B5">
        <w:rPr>
          <w:rFonts w:ascii="David" w:hAnsi="David"/>
          <w:color w:val="000000"/>
          <w:sz w:val="22"/>
          <w:szCs w:val="22"/>
          <w:rtl/>
        </w:rPr>
        <w:t>תמר נאות פרי 54678313-/</w:t>
      </w:r>
    </w:p>
    <w:p w14:paraId="48504147" w14:textId="77777777" w:rsidR="00481360" w:rsidRPr="00481360" w:rsidRDefault="007006B5" w:rsidP="007006B5">
      <w:pPr>
        <w:rPr>
          <w:rFonts w:hint="cs"/>
          <w:color w:val="0000FF"/>
          <w:u w:val="single"/>
        </w:rPr>
      </w:pPr>
      <w:r w:rsidRPr="007006B5">
        <w:rPr>
          <w:color w:val="000000"/>
          <w:u w:val="single"/>
          <w:rtl/>
        </w:rPr>
        <w:t>נוסח מסמך זה כפוף לשינויי ניסוח ועריכה</w:t>
      </w:r>
      <w:r w:rsidR="00B660E5">
        <w:rPr>
          <w:rFonts w:hint="cs"/>
          <w:color w:val="0000FF"/>
          <w:u w:val="single"/>
          <w:rtl/>
        </w:rPr>
        <w:t xml:space="preserve"> </w:t>
      </w:r>
    </w:p>
    <w:sectPr w:rsidR="00481360" w:rsidRPr="00481360" w:rsidSect="007006B5">
      <w:headerReference w:type="even" r:id="rId54"/>
      <w:headerReference w:type="default" r:id="rId55"/>
      <w:footerReference w:type="even" r:id="rId56"/>
      <w:footerReference w:type="default" r:id="rId57"/>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D5B6A" w14:textId="77777777" w:rsidR="00186180" w:rsidRDefault="00186180" w:rsidP="00BA1E79">
      <w:r>
        <w:separator/>
      </w:r>
    </w:p>
  </w:endnote>
  <w:endnote w:type="continuationSeparator" w:id="0">
    <w:p w14:paraId="6350B211" w14:textId="77777777" w:rsidR="00186180" w:rsidRDefault="00186180" w:rsidP="00BA1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BA64C" w14:textId="77777777" w:rsidR="007006B5" w:rsidRDefault="007006B5" w:rsidP="007006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17774C0" w14:textId="77777777" w:rsidR="00573FD3" w:rsidRPr="007006B5" w:rsidRDefault="007006B5" w:rsidP="007006B5">
    <w:pPr>
      <w:pStyle w:val="a5"/>
      <w:pBdr>
        <w:top w:val="single" w:sz="4" w:space="1" w:color="auto"/>
        <w:between w:val="single" w:sz="4" w:space="0" w:color="auto"/>
      </w:pBdr>
      <w:spacing w:after="60"/>
      <w:jc w:val="center"/>
      <w:rPr>
        <w:rFonts w:ascii="FrankRuehl" w:hAnsi="FrankRuehl" w:cs="FrankRuehl"/>
        <w:color w:val="000000"/>
      </w:rPr>
    </w:pPr>
    <w:r w:rsidRPr="007006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A9C4D" w14:textId="77777777" w:rsidR="007006B5" w:rsidRDefault="007006B5" w:rsidP="007006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5DAB">
      <w:rPr>
        <w:rFonts w:ascii="FrankRuehl" w:hAnsi="FrankRuehl" w:cs="FrankRuehl"/>
        <w:noProof/>
        <w:rtl/>
      </w:rPr>
      <w:t>1</w:t>
    </w:r>
    <w:r>
      <w:rPr>
        <w:rFonts w:ascii="FrankRuehl" w:hAnsi="FrankRuehl" w:cs="FrankRuehl"/>
        <w:rtl/>
      </w:rPr>
      <w:fldChar w:fldCharType="end"/>
    </w:r>
  </w:p>
  <w:p w14:paraId="7EEADF68" w14:textId="77777777" w:rsidR="00573FD3" w:rsidRPr="007006B5" w:rsidRDefault="007006B5" w:rsidP="007006B5">
    <w:pPr>
      <w:pStyle w:val="a5"/>
      <w:pBdr>
        <w:top w:val="single" w:sz="4" w:space="1" w:color="auto"/>
        <w:between w:val="single" w:sz="4" w:space="0" w:color="auto"/>
      </w:pBdr>
      <w:spacing w:after="60"/>
      <w:jc w:val="center"/>
      <w:rPr>
        <w:rFonts w:ascii="FrankRuehl" w:hAnsi="FrankRuehl" w:cs="FrankRuehl"/>
        <w:color w:val="000000"/>
      </w:rPr>
    </w:pPr>
    <w:r w:rsidRPr="007006B5">
      <w:rPr>
        <w:rFonts w:ascii="FrankRuehl" w:hAnsi="FrankRuehl" w:cs="FrankRuehl"/>
        <w:color w:val="000000"/>
      </w:rPr>
      <w:pict w14:anchorId="6AFCA7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16F9F" w14:textId="77777777" w:rsidR="00186180" w:rsidRDefault="00186180" w:rsidP="00BA1E79">
      <w:r>
        <w:separator/>
      </w:r>
    </w:p>
  </w:footnote>
  <w:footnote w:type="continuationSeparator" w:id="0">
    <w:p w14:paraId="7DFC7B03" w14:textId="77777777" w:rsidR="00186180" w:rsidRDefault="00186180" w:rsidP="00BA1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048B1" w14:textId="77777777" w:rsidR="00481360" w:rsidRPr="007006B5" w:rsidRDefault="007006B5" w:rsidP="007006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12035-06-20</w:t>
    </w:r>
    <w:r>
      <w:rPr>
        <w:rFonts w:ascii="David" w:hAnsi="David"/>
        <w:color w:val="000000"/>
        <w:sz w:val="22"/>
        <w:szCs w:val="22"/>
        <w:rtl/>
      </w:rPr>
      <w:tab/>
      <w:t xml:space="preserve"> מדינת ישראל נ' מוחמד אגבאריה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ADAC1" w14:textId="77777777" w:rsidR="00481360" w:rsidRPr="007006B5" w:rsidRDefault="007006B5" w:rsidP="007006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12035-06-20</w:t>
    </w:r>
    <w:r>
      <w:rPr>
        <w:rFonts w:ascii="David" w:hAnsi="David"/>
        <w:color w:val="000000"/>
        <w:sz w:val="22"/>
        <w:szCs w:val="22"/>
        <w:rtl/>
      </w:rPr>
      <w:tab/>
      <w:t xml:space="preserve"> מדינת ישראל נ' מוחמד אגבאריה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0B0B5E"/>
    <w:multiLevelType w:val="hybridMultilevel"/>
    <w:tmpl w:val="7134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877874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0D9C"/>
    <w:rsid w:val="0007672E"/>
    <w:rsid w:val="00186180"/>
    <w:rsid w:val="002C0012"/>
    <w:rsid w:val="004744FB"/>
    <w:rsid w:val="00481360"/>
    <w:rsid w:val="00573FD3"/>
    <w:rsid w:val="00650D9C"/>
    <w:rsid w:val="006B34C9"/>
    <w:rsid w:val="007006B5"/>
    <w:rsid w:val="009A4E4C"/>
    <w:rsid w:val="009C53BC"/>
    <w:rsid w:val="00AA5DAB"/>
    <w:rsid w:val="00B660E5"/>
    <w:rsid w:val="00BA1E79"/>
    <w:rsid w:val="00C16B18"/>
    <w:rsid w:val="00F04F9C"/>
    <w:rsid w:val="00FC62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E98315"/>
  <w15:chartTrackingRefBased/>
  <w15:docId w15:val="{C25D6B9E-77B4-45E8-A52D-D1A11B1E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0D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0D9C"/>
    <w:pPr>
      <w:tabs>
        <w:tab w:val="center" w:pos="4153"/>
        <w:tab w:val="right" w:pos="8306"/>
      </w:tabs>
    </w:pPr>
  </w:style>
  <w:style w:type="character" w:customStyle="1" w:styleId="a4">
    <w:name w:val="כותרת עליונה תו"/>
    <w:link w:val="a3"/>
    <w:rsid w:val="00650D9C"/>
    <w:rPr>
      <w:rFonts w:ascii="Times New Roman" w:eastAsia="Times New Roman" w:hAnsi="Times New Roman" w:cs="David"/>
      <w:sz w:val="24"/>
      <w:szCs w:val="24"/>
    </w:rPr>
  </w:style>
  <w:style w:type="paragraph" w:styleId="a5">
    <w:name w:val="footer"/>
    <w:basedOn w:val="a"/>
    <w:link w:val="a6"/>
    <w:rsid w:val="00650D9C"/>
    <w:pPr>
      <w:tabs>
        <w:tab w:val="center" w:pos="4153"/>
        <w:tab w:val="right" w:pos="8306"/>
      </w:tabs>
    </w:pPr>
  </w:style>
  <w:style w:type="character" w:customStyle="1" w:styleId="a6">
    <w:name w:val="כותרת תחתונה תו"/>
    <w:link w:val="a5"/>
    <w:rsid w:val="00650D9C"/>
    <w:rPr>
      <w:rFonts w:ascii="Times New Roman" w:eastAsia="Times New Roman" w:hAnsi="Times New Roman" w:cs="David"/>
      <w:sz w:val="24"/>
      <w:szCs w:val="24"/>
    </w:rPr>
  </w:style>
  <w:style w:type="table" w:styleId="a7">
    <w:name w:val="Table Grid"/>
    <w:basedOn w:val="a1"/>
    <w:rsid w:val="00650D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50D9C"/>
  </w:style>
  <w:style w:type="character" w:customStyle="1" w:styleId="a9">
    <w:name w:val="פיסקת רשימה תו"/>
    <w:link w:val="aa"/>
    <w:locked/>
    <w:rsid w:val="00650D9C"/>
  </w:style>
  <w:style w:type="paragraph" w:styleId="aa">
    <w:name w:val="List Paragraph"/>
    <w:basedOn w:val="a"/>
    <w:link w:val="a9"/>
    <w:qFormat/>
    <w:rsid w:val="00650D9C"/>
    <w:pPr>
      <w:spacing w:after="160" w:line="252" w:lineRule="auto"/>
      <w:ind w:left="720"/>
      <w:contextualSpacing/>
    </w:pPr>
    <w:rPr>
      <w:rFonts w:ascii="Calibri" w:eastAsia="Calibri" w:hAnsi="Calibri" w:cs="Arial"/>
      <w:sz w:val="22"/>
      <w:szCs w:val="22"/>
    </w:rPr>
  </w:style>
  <w:style w:type="character" w:customStyle="1" w:styleId="ab">
    <w:name w:val="תתצצ תו"/>
    <w:link w:val="ac"/>
    <w:locked/>
    <w:rsid w:val="00650D9C"/>
    <w:rPr>
      <w:rFonts w:ascii="Narkisim" w:hAnsi="Narkisim" w:cs="Narkisim"/>
      <w:sz w:val="24"/>
      <w:szCs w:val="24"/>
    </w:rPr>
  </w:style>
  <w:style w:type="paragraph" w:customStyle="1" w:styleId="ac">
    <w:name w:val="תתצצ"/>
    <w:basedOn w:val="a"/>
    <w:link w:val="ab"/>
    <w:rsid w:val="00650D9C"/>
    <w:pPr>
      <w:overflowPunct w:val="0"/>
      <w:autoSpaceDE w:val="0"/>
      <w:autoSpaceDN w:val="0"/>
      <w:adjustRightInd w:val="0"/>
      <w:spacing w:after="120"/>
      <w:ind w:left="1440" w:right="1282"/>
      <w:jc w:val="both"/>
    </w:pPr>
    <w:rPr>
      <w:rFonts w:ascii="Narkisim" w:eastAsia="Calibri" w:hAnsi="Narkisim" w:cs="Narkisim"/>
    </w:rPr>
  </w:style>
  <w:style w:type="character" w:styleId="Hyperlink">
    <w:name w:val="Hyperlink"/>
    <w:rsid w:val="00481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6888657" TargetMode="External"/><Relationship Id="rId26" Type="http://schemas.openxmlformats.org/officeDocument/2006/relationships/hyperlink" Target="http://www.nevo.co.il/case/20529332" TargetMode="External"/><Relationship Id="rId39" Type="http://schemas.openxmlformats.org/officeDocument/2006/relationships/hyperlink" Target="http://www.nevo.co.il/case/25824863" TargetMode="External"/><Relationship Id="rId21" Type="http://schemas.openxmlformats.org/officeDocument/2006/relationships/hyperlink" Target="http://www.nevo.co.il/case/25842649" TargetMode="External"/><Relationship Id="rId34" Type="http://schemas.openxmlformats.org/officeDocument/2006/relationships/hyperlink" Target="http://www.nevo.co.il/case/13015506" TargetMode="External"/><Relationship Id="rId42" Type="http://schemas.openxmlformats.org/officeDocument/2006/relationships/hyperlink" Target="http://www.nevo.co.il/case/6072945" TargetMode="External"/><Relationship Id="rId47" Type="http://schemas.openxmlformats.org/officeDocument/2006/relationships/hyperlink" Target="http://www.nevo.co.il/case/25824863" TargetMode="External"/><Relationship Id="rId50" Type="http://schemas.openxmlformats.org/officeDocument/2006/relationships/hyperlink" Target="http://www.nevo.co.il/case/24263397"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248029" TargetMode="External"/><Relationship Id="rId29" Type="http://schemas.openxmlformats.org/officeDocument/2006/relationships/hyperlink" Target="http://www.nevo.co.il/case/26923758" TargetMode="External"/><Relationship Id="rId11" Type="http://schemas.openxmlformats.org/officeDocument/2006/relationships/hyperlink" Target="http://www.nevo.co.il/law/70301/340a.b.1" TargetMode="External"/><Relationship Id="rId24" Type="http://schemas.openxmlformats.org/officeDocument/2006/relationships/hyperlink" Target="http://www.nevo.co.il/case/25612982" TargetMode="External"/><Relationship Id="rId32" Type="http://schemas.openxmlformats.org/officeDocument/2006/relationships/hyperlink" Target="http://www.nevo.co.il/case/7697292" TargetMode="External"/><Relationship Id="rId37" Type="http://schemas.openxmlformats.org/officeDocument/2006/relationships/hyperlink" Target="http://www.nevo.co.il/law/70301/340a.b.1" TargetMode="External"/><Relationship Id="rId40" Type="http://schemas.openxmlformats.org/officeDocument/2006/relationships/hyperlink" Target="http://www.nevo.co.il/case/26538254" TargetMode="External"/><Relationship Id="rId45" Type="http://schemas.openxmlformats.org/officeDocument/2006/relationships/hyperlink" Target="http://www.nevo.co.il/case/27309272"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case/6151556"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586010" TargetMode="External"/><Relationship Id="rId27" Type="http://schemas.openxmlformats.org/officeDocument/2006/relationships/hyperlink" Target="http://www.nevo.co.il/case/6058757" TargetMode="External"/><Relationship Id="rId30" Type="http://schemas.openxmlformats.org/officeDocument/2006/relationships/hyperlink" Target="http://www.nevo.co.il/case/23509035" TargetMode="External"/><Relationship Id="rId35" Type="http://schemas.openxmlformats.org/officeDocument/2006/relationships/hyperlink" Target="http://www.nevo.co.il/law/70301/144.b" TargetMode="External"/><Relationship Id="rId43" Type="http://schemas.openxmlformats.org/officeDocument/2006/relationships/hyperlink" Target="http://www.nevo.co.il/case/26905927" TargetMode="External"/><Relationship Id="rId48" Type="http://schemas.openxmlformats.org/officeDocument/2006/relationships/hyperlink" Target="http://www.nevo.co.il/case/5568354" TargetMode="External"/><Relationship Id="rId56" Type="http://schemas.openxmlformats.org/officeDocument/2006/relationships/footer" Target="footer1.xml"/><Relationship Id="rId8" Type="http://schemas.openxmlformats.org/officeDocument/2006/relationships/hyperlink" Target="http://www.nevo.co.il/law/70301/40b" TargetMode="External"/><Relationship Id="rId51"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5612982" TargetMode="External"/><Relationship Id="rId25" Type="http://schemas.openxmlformats.org/officeDocument/2006/relationships/hyperlink" Target="http://www.nevo.co.il/case/26888657" TargetMode="External"/><Relationship Id="rId33" Type="http://schemas.openxmlformats.org/officeDocument/2006/relationships/hyperlink" Target="http://www.nevo.co.il/case/7791493" TargetMode="External"/><Relationship Id="rId38" Type="http://schemas.openxmlformats.org/officeDocument/2006/relationships/hyperlink" Target="http://www.nevo.co.il/case/26986954" TargetMode="External"/><Relationship Id="rId46" Type="http://schemas.openxmlformats.org/officeDocument/2006/relationships/hyperlink" Target="http://www.nevo.co.il/case/27171364" TargetMode="External"/><Relationship Id="rId59" Type="http://schemas.openxmlformats.org/officeDocument/2006/relationships/theme" Target="theme/theme1.xml"/><Relationship Id="rId20" Type="http://schemas.openxmlformats.org/officeDocument/2006/relationships/hyperlink" Target="http://www.nevo.co.il/case/27087184" TargetMode="External"/><Relationship Id="rId41" Type="http://schemas.openxmlformats.org/officeDocument/2006/relationships/hyperlink" Target="http://www.nevo.co.il/case/27171364"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b.1" TargetMode="External"/><Relationship Id="rId23" Type="http://schemas.openxmlformats.org/officeDocument/2006/relationships/hyperlink" Target="http://www.nevo.co.il/case/26393738" TargetMode="External"/><Relationship Id="rId28" Type="http://schemas.openxmlformats.org/officeDocument/2006/relationships/hyperlink" Target="http://www.nevo.co.il/case/26492590"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6934681" TargetMode="External"/><Relationship Id="rId57" Type="http://schemas.openxmlformats.org/officeDocument/2006/relationships/footer" Target="footer2.xml"/><Relationship Id="rId10" Type="http://schemas.openxmlformats.org/officeDocument/2006/relationships/hyperlink" Target="http://www.nevo.co.il/law/70301/144.b" TargetMode="External"/><Relationship Id="rId31" Type="http://schemas.openxmlformats.org/officeDocument/2006/relationships/hyperlink" Target="http://www.nevo.co.il/case/21474168"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3562</Words>
  <Characters>17813</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21333</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6619233</vt:i4>
      </vt:variant>
      <vt:variant>
        <vt:i4>132</vt:i4>
      </vt:variant>
      <vt:variant>
        <vt:i4>0</vt:i4>
      </vt:variant>
      <vt:variant>
        <vt:i4>5</vt:i4>
      </vt:variant>
      <vt:variant>
        <vt:lpwstr>http://www.nevo.co.il/law/70301/40b</vt:lpwstr>
      </vt:variant>
      <vt:variant>
        <vt:lpwstr/>
      </vt:variant>
      <vt:variant>
        <vt:i4>3801205</vt:i4>
      </vt:variant>
      <vt:variant>
        <vt:i4>129</vt:i4>
      </vt:variant>
      <vt:variant>
        <vt:i4>0</vt:i4>
      </vt:variant>
      <vt:variant>
        <vt:i4>5</vt:i4>
      </vt:variant>
      <vt:variant>
        <vt:lpwstr>http://www.nevo.co.il/case/24263397</vt:lpwstr>
      </vt:variant>
      <vt:variant>
        <vt:lpwstr/>
      </vt:variant>
      <vt:variant>
        <vt:i4>3604599</vt:i4>
      </vt:variant>
      <vt:variant>
        <vt:i4>126</vt:i4>
      </vt:variant>
      <vt:variant>
        <vt:i4>0</vt:i4>
      </vt:variant>
      <vt:variant>
        <vt:i4>5</vt:i4>
      </vt:variant>
      <vt:variant>
        <vt:lpwstr>http://www.nevo.co.il/case/26934681</vt:lpwstr>
      </vt:variant>
      <vt:variant>
        <vt:lpwstr/>
      </vt:variant>
      <vt:variant>
        <vt:i4>3407996</vt:i4>
      </vt:variant>
      <vt:variant>
        <vt:i4>123</vt:i4>
      </vt:variant>
      <vt:variant>
        <vt:i4>0</vt:i4>
      </vt:variant>
      <vt:variant>
        <vt:i4>5</vt:i4>
      </vt:variant>
      <vt:variant>
        <vt:lpwstr>http://www.nevo.co.il/case/5568354</vt:lpwstr>
      </vt:variant>
      <vt:variant>
        <vt:lpwstr/>
      </vt:variant>
      <vt:variant>
        <vt:i4>3670139</vt:i4>
      </vt:variant>
      <vt:variant>
        <vt:i4>120</vt:i4>
      </vt:variant>
      <vt:variant>
        <vt:i4>0</vt:i4>
      </vt:variant>
      <vt:variant>
        <vt:i4>5</vt:i4>
      </vt:variant>
      <vt:variant>
        <vt:lpwstr>http://www.nevo.co.il/case/25824863</vt:lpwstr>
      </vt:variant>
      <vt:variant>
        <vt:lpwstr/>
      </vt:variant>
      <vt:variant>
        <vt:i4>3407991</vt:i4>
      </vt:variant>
      <vt:variant>
        <vt:i4>117</vt:i4>
      </vt:variant>
      <vt:variant>
        <vt:i4>0</vt:i4>
      </vt:variant>
      <vt:variant>
        <vt:i4>5</vt:i4>
      </vt:variant>
      <vt:variant>
        <vt:lpwstr>http://www.nevo.co.il/case/27171364</vt:lpwstr>
      </vt:variant>
      <vt:variant>
        <vt:lpwstr/>
      </vt:variant>
      <vt:variant>
        <vt:i4>4128881</vt:i4>
      </vt:variant>
      <vt:variant>
        <vt:i4>114</vt:i4>
      </vt:variant>
      <vt:variant>
        <vt:i4>0</vt:i4>
      </vt:variant>
      <vt:variant>
        <vt:i4>5</vt:i4>
      </vt:variant>
      <vt:variant>
        <vt:lpwstr>http://www.nevo.co.il/case/27309272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3932283</vt:i4>
      </vt:variant>
      <vt:variant>
        <vt:i4>108</vt:i4>
      </vt:variant>
      <vt:variant>
        <vt:i4>0</vt:i4>
      </vt:variant>
      <vt:variant>
        <vt:i4>5</vt:i4>
      </vt:variant>
      <vt:variant>
        <vt:lpwstr>http://www.nevo.co.il/case/26905927</vt:lpwstr>
      </vt:variant>
      <vt:variant>
        <vt:lpwstr/>
      </vt:variant>
      <vt:variant>
        <vt:i4>3997810</vt:i4>
      </vt:variant>
      <vt:variant>
        <vt:i4>105</vt:i4>
      </vt:variant>
      <vt:variant>
        <vt:i4>0</vt:i4>
      </vt:variant>
      <vt:variant>
        <vt:i4>5</vt:i4>
      </vt:variant>
      <vt:variant>
        <vt:lpwstr>http://www.nevo.co.il/case/6072945</vt:lpwstr>
      </vt:variant>
      <vt:variant>
        <vt:lpwstr/>
      </vt:variant>
      <vt:variant>
        <vt:i4>3407991</vt:i4>
      </vt:variant>
      <vt:variant>
        <vt:i4>102</vt:i4>
      </vt:variant>
      <vt:variant>
        <vt:i4>0</vt:i4>
      </vt:variant>
      <vt:variant>
        <vt:i4>5</vt:i4>
      </vt:variant>
      <vt:variant>
        <vt:lpwstr>http://www.nevo.co.il/case/27171364</vt:lpwstr>
      </vt:variant>
      <vt:variant>
        <vt:lpwstr/>
      </vt:variant>
      <vt:variant>
        <vt:i4>3801203</vt:i4>
      </vt:variant>
      <vt:variant>
        <vt:i4>99</vt:i4>
      </vt:variant>
      <vt:variant>
        <vt:i4>0</vt:i4>
      </vt:variant>
      <vt:variant>
        <vt:i4>5</vt:i4>
      </vt:variant>
      <vt:variant>
        <vt:lpwstr>http://www.nevo.co.il/case/26538254</vt:lpwstr>
      </vt:variant>
      <vt:variant>
        <vt:lpwstr/>
      </vt:variant>
      <vt:variant>
        <vt:i4>3670139</vt:i4>
      </vt:variant>
      <vt:variant>
        <vt:i4>96</vt:i4>
      </vt:variant>
      <vt:variant>
        <vt:i4>0</vt:i4>
      </vt:variant>
      <vt:variant>
        <vt:i4>5</vt:i4>
      </vt:variant>
      <vt:variant>
        <vt:lpwstr>http://www.nevo.co.il/case/25824863</vt:lpwstr>
      </vt:variant>
      <vt:variant>
        <vt:lpwstr/>
      </vt:variant>
      <vt:variant>
        <vt:i4>3670131</vt:i4>
      </vt:variant>
      <vt:variant>
        <vt:i4>93</vt:i4>
      </vt:variant>
      <vt:variant>
        <vt:i4>0</vt:i4>
      </vt:variant>
      <vt:variant>
        <vt:i4>5</vt:i4>
      </vt:variant>
      <vt:variant>
        <vt:lpwstr>http://www.nevo.co.il/case/26986954</vt:lpwstr>
      </vt:variant>
      <vt:variant>
        <vt:lpwstr/>
      </vt:variant>
      <vt:variant>
        <vt:i4>5439574</vt:i4>
      </vt:variant>
      <vt:variant>
        <vt:i4>90</vt:i4>
      </vt:variant>
      <vt:variant>
        <vt:i4>0</vt:i4>
      </vt:variant>
      <vt:variant>
        <vt:i4>5</vt:i4>
      </vt:variant>
      <vt:variant>
        <vt:lpwstr>http://www.nevo.co.il/law/70301/340a.b.1</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3407987</vt:i4>
      </vt:variant>
      <vt:variant>
        <vt:i4>81</vt:i4>
      </vt:variant>
      <vt:variant>
        <vt:i4>0</vt:i4>
      </vt:variant>
      <vt:variant>
        <vt:i4>5</vt:i4>
      </vt:variant>
      <vt:variant>
        <vt:lpwstr>http://www.nevo.co.il/case/13015506</vt:lpwstr>
      </vt:variant>
      <vt:variant>
        <vt:lpwstr/>
      </vt:variant>
      <vt:variant>
        <vt:i4>3735675</vt:i4>
      </vt:variant>
      <vt:variant>
        <vt:i4>78</vt:i4>
      </vt:variant>
      <vt:variant>
        <vt:i4>0</vt:i4>
      </vt:variant>
      <vt:variant>
        <vt:i4>5</vt:i4>
      </vt:variant>
      <vt:variant>
        <vt:lpwstr>http://www.nevo.co.il/case/7791493</vt:lpwstr>
      </vt:variant>
      <vt:variant>
        <vt:lpwstr/>
      </vt:variant>
      <vt:variant>
        <vt:i4>4063356</vt:i4>
      </vt:variant>
      <vt:variant>
        <vt:i4>75</vt:i4>
      </vt:variant>
      <vt:variant>
        <vt:i4>0</vt:i4>
      </vt:variant>
      <vt:variant>
        <vt:i4>5</vt:i4>
      </vt:variant>
      <vt:variant>
        <vt:lpwstr>http://www.nevo.co.il/case/7697292</vt:lpwstr>
      </vt:variant>
      <vt:variant>
        <vt:lpwstr/>
      </vt:variant>
      <vt:variant>
        <vt:i4>3407987</vt:i4>
      </vt:variant>
      <vt:variant>
        <vt:i4>72</vt:i4>
      </vt:variant>
      <vt:variant>
        <vt:i4>0</vt:i4>
      </vt:variant>
      <vt:variant>
        <vt:i4>5</vt:i4>
      </vt:variant>
      <vt:variant>
        <vt:lpwstr>http://www.nevo.co.il/case/21474168</vt:lpwstr>
      </vt:variant>
      <vt:variant>
        <vt:lpwstr/>
      </vt:variant>
      <vt:variant>
        <vt:i4>3997815</vt:i4>
      </vt:variant>
      <vt:variant>
        <vt:i4>69</vt:i4>
      </vt:variant>
      <vt:variant>
        <vt:i4>0</vt:i4>
      </vt:variant>
      <vt:variant>
        <vt:i4>5</vt:i4>
      </vt:variant>
      <vt:variant>
        <vt:lpwstr>http://www.nevo.co.il/case/23509035</vt:lpwstr>
      </vt:variant>
      <vt:variant>
        <vt:lpwstr/>
      </vt:variant>
      <vt:variant>
        <vt:i4>3997815</vt:i4>
      </vt:variant>
      <vt:variant>
        <vt:i4>66</vt:i4>
      </vt:variant>
      <vt:variant>
        <vt:i4>0</vt:i4>
      </vt:variant>
      <vt:variant>
        <vt:i4>5</vt:i4>
      </vt:variant>
      <vt:variant>
        <vt:lpwstr>http://www.nevo.co.il/case/26923758</vt:lpwstr>
      </vt:variant>
      <vt:variant>
        <vt:lpwstr/>
      </vt:variant>
      <vt:variant>
        <vt:i4>3997822</vt:i4>
      </vt:variant>
      <vt:variant>
        <vt:i4>63</vt:i4>
      </vt:variant>
      <vt:variant>
        <vt:i4>0</vt:i4>
      </vt:variant>
      <vt:variant>
        <vt:i4>5</vt:i4>
      </vt:variant>
      <vt:variant>
        <vt:lpwstr>http://www.nevo.co.il/case/26492590</vt:lpwstr>
      </vt:variant>
      <vt:variant>
        <vt:lpwstr/>
      </vt:variant>
      <vt:variant>
        <vt:i4>3342457</vt:i4>
      </vt:variant>
      <vt:variant>
        <vt:i4>60</vt:i4>
      </vt:variant>
      <vt:variant>
        <vt:i4>0</vt:i4>
      </vt:variant>
      <vt:variant>
        <vt:i4>5</vt:i4>
      </vt:variant>
      <vt:variant>
        <vt:lpwstr>http://www.nevo.co.il/case/6058757</vt:lpwstr>
      </vt:variant>
      <vt:variant>
        <vt:lpwstr/>
      </vt:variant>
      <vt:variant>
        <vt:i4>3997813</vt:i4>
      </vt:variant>
      <vt:variant>
        <vt:i4>57</vt:i4>
      </vt:variant>
      <vt:variant>
        <vt:i4>0</vt:i4>
      </vt:variant>
      <vt:variant>
        <vt:i4>5</vt:i4>
      </vt:variant>
      <vt:variant>
        <vt:lpwstr>http://www.nevo.co.il/case/20529332</vt:lpwstr>
      </vt:variant>
      <vt:variant>
        <vt:lpwstr/>
      </vt:variant>
      <vt:variant>
        <vt:i4>3604604</vt:i4>
      </vt:variant>
      <vt:variant>
        <vt:i4>54</vt:i4>
      </vt:variant>
      <vt:variant>
        <vt:i4>0</vt:i4>
      </vt:variant>
      <vt:variant>
        <vt:i4>5</vt:i4>
      </vt:variant>
      <vt:variant>
        <vt:lpwstr>http://www.nevo.co.il/case/26888657</vt:lpwstr>
      </vt:variant>
      <vt:variant>
        <vt:lpwstr/>
      </vt:variant>
      <vt:variant>
        <vt:i4>4063353</vt:i4>
      </vt:variant>
      <vt:variant>
        <vt:i4>51</vt:i4>
      </vt:variant>
      <vt:variant>
        <vt:i4>0</vt:i4>
      </vt:variant>
      <vt:variant>
        <vt:i4>5</vt:i4>
      </vt:variant>
      <vt:variant>
        <vt:lpwstr>http://www.nevo.co.il/case/25612982</vt:lpwstr>
      </vt:variant>
      <vt:variant>
        <vt:lpwstr/>
      </vt:variant>
      <vt:variant>
        <vt:i4>3211388</vt:i4>
      </vt:variant>
      <vt:variant>
        <vt:i4>48</vt:i4>
      </vt:variant>
      <vt:variant>
        <vt:i4>0</vt:i4>
      </vt:variant>
      <vt:variant>
        <vt:i4>5</vt:i4>
      </vt:variant>
      <vt:variant>
        <vt:lpwstr>http://www.nevo.co.il/case/26393738</vt:lpwstr>
      </vt:variant>
      <vt:variant>
        <vt:lpwstr/>
      </vt:variant>
      <vt:variant>
        <vt:i4>3145849</vt:i4>
      </vt:variant>
      <vt:variant>
        <vt:i4>45</vt:i4>
      </vt:variant>
      <vt:variant>
        <vt:i4>0</vt:i4>
      </vt:variant>
      <vt:variant>
        <vt:i4>5</vt:i4>
      </vt:variant>
      <vt:variant>
        <vt:lpwstr>http://www.nevo.co.il/case/25586010</vt:lpwstr>
      </vt:variant>
      <vt:variant>
        <vt:lpwstr/>
      </vt:variant>
      <vt:variant>
        <vt:i4>3932275</vt:i4>
      </vt:variant>
      <vt:variant>
        <vt:i4>42</vt:i4>
      </vt:variant>
      <vt:variant>
        <vt:i4>0</vt:i4>
      </vt:variant>
      <vt:variant>
        <vt:i4>5</vt:i4>
      </vt:variant>
      <vt:variant>
        <vt:lpwstr>http://www.nevo.co.il/case/25842649</vt:lpwstr>
      </vt:variant>
      <vt:variant>
        <vt:lpwstr/>
      </vt:variant>
      <vt:variant>
        <vt:i4>3997818</vt:i4>
      </vt:variant>
      <vt:variant>
        <vt:i4>39</vt:i4>
      </vt:variant>
      <vt:variant>
        <vt:i4>0</vt:i4>
      </vt:variant>
      <vt:variant>
        <vt:i4>5</vt:i4>
      </vt:variant>
      <vt:variant>
        <vt:lpwstr>http://www.nevo.co.il/case/27087184</vt:lpwstr>
      </vt:variant>
      <vt:variant>
        <vt:lpwstr/>
      </vt:variant>
      <vt:variant>
        <vt:i4>3145841</vt:i4>
      </vt:variant>
      <vt:variant>
        <vt:i4>36</vt:i4>
      </vt:variant>
      <vt:variant>
        <vt:i4>0</vt:i4>
      </vt:variant>
      <vt:variant>
        <vt:i4>5</vt:i4>
      </vt:variant>
      <vt:variant>
        <vt:lpwstr>http://www.nevo.co.il/case/6151556</vt:lpwstr>
      </vt:variant>
      <vt:variant>
        <vt:lpwstr/>
      </vt:variant>
      <vt:variant>
        <vt:i4>3604604</vt:i4>
      </vt:variant>
      <vt:variant>
        <vt:i4>33</vt:i4>
      </vt:variant>
      <vt:variant>
        <vt:i4>0</vt:i4>
      </vt:variant>
      <vt:variant>
        <vt:i4>5</vt:i4>
      </vt:variant>
      <vt:variant>
        <vt:lpwstr>http://www.nevo.co.il/case/26888657</vt:lpwstr>
      </vt:variant>
      <vt:variant>
        <vt:lpwstr/>
      </vt:variant>
      <vt:variant>
        <vt:i4>4063353</vt:i4>
      </vt:variant>
      <vt:variant>
        <vt:i4>30</vt:i4>
      </vt:variant>
      <vt:variant>
        <vt:i4>0</vt:i4>
      </vt:variant>
      <vt:variant>
        <vt:i4>5</vt:i4>
      </vt:variant>
      <vt:variant>
        <vt:lpwstr>http://www.nevo.co.il/case/25612982</vt:lpwstr>
      </vt:variant>
      <vt:variant>
        <vt:lpwstr/>
      </vt:variant>
      <vt:variant>
        <vt:i4>3866748</vt:i4>
      </vt:variant>
      <vt:variant>
        <vt:i4>27</vt:i4>
      </vt:variant>
      <vt:variant>
        <vt:i4>0</vt:i4>
      </vt:variant>
      <vt:variant>
        <vt:i4>5</vt:i4>
      </vt:variant>
      <vt:variant>
        <vt:lpwstr>http://www.nevo.co.il/case/6248029</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5439574</vt:i4>
      </vt:variant>
      <vt:variant>
        <vt:i4>12</vt:i4>
      </vt:variant>
      <vt:variant>
        <vt:i4>0</vt:i4>
      </vt:variant>
      <vt:variant>
        <vt:i4>5</vt:i4>
      </vt:variant>
      <vt:variant>
        <vt:lpwstr>http://www.nevo.co.il/law/70301/340a.b.1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2025-01-19T16:34:00Z</dcterms:created>
  <dcterms:modified xsi:type="dcterms:W3CDTF">2025-01-19T16:34:00Z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12035</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אגבאריה </vt:lpwstr>
  </property>
  <property fmtid="{D5CDD505-2E9C-101B-9397-08002B2CF9AE}" pid="10" name="LAWYER">
    <vt:lpwstr>עומר מסארוה</vt:lpwstr>
  </property>
  <property fmtid="{D5CDD505-2E9C-101B-9397-08002B2CF9AE}" pid="11" name="JUDGE">
    <vt:lpwstr>תמר נאות פרי</vt:lpwstr>
  </property>
  <property fmtid="{D5CDD505-2E9C-101B-9397-08002B2CF9AE}" pid="12" name="CITY">
    <vt:lpwstr>חי'</vt:lpwstr>
  </property>
  <property fmtid="{D5CDD505-2E9C-101B-9397-08002B2CF9AE}" pid="13" name="DATE">
    <vt:lpwstr>20210428</vt:lpwstr>
  </property>
  <property fmtid="{D5CDD505-2E9C-101B-9397-08002B2CF9AE}" pid="14" name="TYPE_N_DATE">
    <vt:lpwstr>39020210428</vt:lpwstr>
  </property>
  <property fmtid="{D5CDD505-2E9C-101B-9397-08002B2CF9AE}" pid="15" name="WORDNUMPAGES">
    <vt:lpwstr>9</vt:lpwstr>
  </property>
  <property fmtid="{D5CDD505-2E9C-101B-9397-08002B2CF9AE}" pid="16" name="TYPE_ABS_DATE">
    <vt:lpwstr>390020210428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6248029;25612982:2;26888657:2;6151556;27087184;25842649;25586010;26393738;20529332;6058757;26492590;26923758;23509035;21474168;7697292;7791493;13015506;26986954;25824863:2;26538254;27171364:2;6072945;26905927;27309272;5568354;26934681;24263397</vt:lpwstr>
  </property>
  <property fmtid="{D5CDD505-2E9C-101B-9397-08002B2CF9AE}" pid="36" name="LAWLISTTMP1">
    <vt:lpwstr>70301/144.a;144.b:2;340a.b.1:2;040b</vt:lpwstr>
  </property>
</Properties>
</file>