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353B1D" w:rsidRPr="00F904CB" w14:paraId="2982705C" w14:textId="77777777" w:rsidTr="00362ABF">
        <w:trPr>
          <w:trHeight w:hRule="exact" w:val="418"/>
          <w:jc w:val="center"/>
        </w:trPr>
        <w:tc>
          <w:tcPr>
            <w:tcW w:w="8721" w:type="dxa"/>
            <w:gridSpan w:val="2"/>
          </w:tcPr>
          <w:p w14:paraId="6AC88425" w14:textId="77777777" w:rsidR="00353B1D" w:rsidRPr="00F904CB" w:rsidRDefault="00353B1D" w:rsidP="00396361">
            <w:pPr>
              <w:pStyle w:val="a3"/>
              <w:jc w:val="center"/>
              <w:rPr>
                <w:rFonts w:ascii="Tahoma" w:hAnsi="Tahoma" w:cs="Tahoma"/>
                <w:color w:val="000080"/>
                <w:rtl/>
              </w:rPr>
            </w:pPr>
            <w:bookmarkStart w:id="0" w:name="LastJudge"/>
            <w:r w:rsidRPr="00F904CB">
              <w:rPr>
                <w:rFonts w:ascii="Tahoma" w:hAnsi="Tahoma" w:cs="Tahoma"/>
                <w:b/>
                <w:bCs/>
                <w:color w:val="000080"/>
                <w:rtl/>
              </w:rPr>
              <w:t>בית המשפט המחוזי בחיפה</w:t>
            </w:r>
          </w:p>
        </w:tc>
      </w:tr>
      <w:tr w:rsidR="00353B1D" w:rsidRPr="00F904CB" w14:paraId="7F7A9854" w14:textId="77777777" w:rsidTr="00362ABF">
        <w:trPr>
          <w:trHeight w:val="337"/>
          <w:jc w:val="center"/>
        </w:trPr>
        <w:tc>
          <w:tcPr>
            <w:tcW w:w="5058" w:type="dxa"/>
          </w:tcPr>
          <w:p w14:paraId="0C1D4913" w14:textId="77777777" w:rsidR="00353B1D" w:rsidRPr="00F904CB" w:rsidRDefault="00353B1D" w:rsidP="00396361">
            <w:pPr>
              <w:rPr>
                <w:rFonts w:cs="FrankRuehl"/>
                <w:sz w:val="28"/>
                <w:szCs w:val="28"/>
                <w:rtl/>
              </w:rPr>
            </w:pPr>
            <w:r w:rsidRPr="00F904CB">
              <w:rPr>
                <w:rFonts w:cs="FrankRuehl"/>
                <w:sz w:val="28"/>
                <w:szCs w:val="28"/>
                <w:rtl/>
              </w:rPr>
              <w:t>ת"פ</w:t>
            </w:r>
            <w:r w:rsidRPr="00F904CB">
              <w:rPr>
                <w:rFonts w:cs="FrankRuehl" w:hint="cs"/>
                <w:sz w:val="28"/>
                <w:szCs w:val="28"/>
                <w:rtl/>
              </w:rPr>
              <w:t xml:space="preserve"> </w:t>
            </w:r>
            <w:r w:rsidRPr="00F904CB">
              <w:rPr>
                <w:rFonts w:cs="FrankRuehl"/>
                <w:sz w:val="28"/>
                <w:szCs w:val="28"/>
                <w:rtl/>
              </w:rPr>
              <w:t>30391-06-20</w:t>
            </w:r>
            <w:r w:rsidRPr="00F904CB">
              <w:rPr>
                <w:rFonts w:cs="FrankRuehl" w:hint="cs"/>
                <w:sz w:val="28"/>
                <w:szCs w:val="28"/>
                <w:rtl/>
              </w:rPr>
              <w:t xml:space="preserve"> </w:t>
            </w:r>
            <w:r w:rsidRPr="00F904CB">
              <w:rPr>
                <w:rFonts w:cs="FrankRuehl"/>
                <w:sz w:val="28"/>
                <w:szCs w:val="28"/>
                <w:rtl/>
              </w:rPr>
              <w:t>מדינת ישראל נ' עישאן(עציר) ואח'</w:t>
            </w:r>
          </w:p>
          <w:p w14:paraId="5A891499" w14:textId="77777777" w:rsidR="00353B1D" w:rsidRPr="00F904CB" w:rsidRDefault="00353B1D" w:rsidP="00396361">
            <w:pPr>
              <w:pStyle w:val="a3"/>
              <w:rPr>
                <w:rFonts w:cs="FrankRuehl"/>
                <w:sz w:val="28"/>
                <w:szCs w:val="28"/>
                <w:rtl/>
              </w:rPr>
            </w:pPr>
          </w:p>
        </w:tc>
        <w:tc>
          <w:tcPr>
            <w:tcW w:w="3663" w:type="dxa"/>
          </w:tcPr>
          <w:p w14:paraId="57E82259" w14:textId="77777777" w:rsidR="00353B1D" w:rsidRPr="00F904CB" w:rsidRDefault="00353B1D" w:rsidP="00396361">
            <w:pPr>
              <w:pStyle w:val="a3"/>
              <w:jc w:val="right"/>
              <w:rPr>
                <w:rFonts w:cs="FrankRuehl"/>
                <w:sz w:val="28"/>
                <w:szCs w:val="28"/>
                <w:rtl/>
              </w:rPr>
            </w:pPr>
          </w:p>
        </w:tc>
      </w:tr>
    </w:tbl>
    <w:p w14:paraId="1D32D337" w14:textId="77777777" w:rsidR="00353B1D" w:rsidRPr="00F904CB" w:rsidRDefault="00353B1D" w:rsidP="00353B1D">
      <w:pPr>
        <w:pStyle w:val="a3"/>
        <w:rPr>
          <w:rtl/>
        </w:rPr>
      </w:pPr>
      <w:r w:rsidRPr="00F904CB">
        <w:rPr>
          <w:rFonts w:hint="cs"/>
          <w:rtl/>
        </w:rPr>
        <w:t xml:space="preserve"> </w:t>
      </w:r>
    </w:p>
    <w:p w14:paraId="41DDB2D5" w14:textId="77777777" w:rsidR="00353B1D" w:rsidRPr="00F904CB" w:rsidRDefault="00353B1D" w:rsidP="00353B1D">
      <w:pPr>
        <w:jc w:val="both"/>
        <w:rPr>
          <w:rtl/>
        </w:rPr>
      </w:pPr>
    </w:p>
    <w:p w14:paraId="712264A6" w14:textId="77777777" w:rsidR="00353B1D" w:rsidRPr="00F904CB" w:rsidRDefault="00353B1D" w:rsidP="00353B1D">
      <w:pPr>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353B1D" w:rsidRPr="00F904CB" w14:paraId="56F38251" w14:textId="77777777" w:rsidTr="00353B1D">
        <w:trPr>
          <w:trHeight w:val="295"/>
          <w:jc w:val="center"/>
        </w:trPr>
        <w:tc>
          <w:tcPr>
            <w:tcW w:w="923" w:type="dxa"/>
            <w:tcBorders>
              <w:top w:val="nil"/>
              <w:left w:val="nil"/>
              <w:bottom w:val="nil"/>
              <w:right w:val="nil"/>
            </w:tcBorders>
            <w:shd w:val="clear" w:color="auto" w:fill="auto"/>
          </w:tcPr>
          <w:p w14:paraId="4F7C3B40" w14:textId="77777777" w:rsidR="00353B1D" w:rsidRPr="00F904CB" w:rsidRDefault="00353B1D" w:rsidP="00353B1D">
            <w:pPr>
              <w:jc w:val="both"/>
              <w:rPr>
                <w:rFonts w:ascii="David" w:hAnsi="David"/>
                <w:b/>
                <w:bCs/>
              </w:rPr>
            </w:pPr>
            <w:r w:rsidRPr="00F904CB">
              <w:rPr>
                <w:rFonts w:ascii="David" w:hAnsi="David"/>
                <w:b/>
                <w:bCs/>
                <w:rtl/>
              </w:rPr>
              <w:t xml:space="preserve">בפני </w:t>
            </w:r>
          </w:p>
        </w:tc>
        <w:tc>
          <w:tcPr>
            <w:tcW w:w="7897" w:type="dxa"/>
            <w:gridSpan w:val="2"/>
            <w:tcBorders>
              <w:top w:val="nil"/>
              <w:left w:val="nil"/>
              <w:bottom w:val="nil"/>
              <w:right w:val="nil"/>
            </w:tcBorders>
            <w:shd w:val="clear" w:color="auto" w:fill="auto"/>
          </w:tcPr>
          <w:p w14:paraId="6BF9E555" w14:textId="77777777" w:rsidR="00353B1D" w:rsidRPr="00F904CB" w:rsidRDefault="00353B1D" w:rsidP="00353B1D">
            <w:pPr>
              <w:jc w:val="both"/>
              <w:rPr>
                <w:rFonts w:ascii="David" w:hAnsi="David"/>
                <w:b/>
                <w:bCs/>
                <w:rtl/>
              </w:rPr>
            </w:pPr>
            <w:r w:rsidRPr="00F904CB">
              <w:rPr>
                <w:rFonts w:ascii="David" w:hAnsi="David"/>
                <w:b/>
                <w:bCs/>
                <w:rtl/>
              </w:rPr>
              <w:t>כבוד השופטת  רונית בש</w:t>
            </w:r>
          </w:p>
          <w:p w14:paraId="6CDFDAF9" w14:textId="77777777" w:rsidR="00353B1D" w:rsidRPr="00F904CB" w:rsidRDefault="00353B1D" w:rsidP="00353B1D">
            <w:pPr>
              <w:jc w:val="both"/>
              <w:rPr>
                <w:rFonts w:ascii="David" w:hAnsi="David"/>
                <w:b/>
                <w:bCs/>
                <w:rtl/>
              </w:rPr>
            </w:pPr>
          </w:p>
          <w:p w14:paraId="62E06E47" w14:textId="77777777" w:rsidR="00353B1D" w:rsidRPr="00F904CB" w:rsidRDefault="00353B1D" w:rsidP="00353B1D">
            <w:pPr>
              <w:jc w:val="both"/>
              <w:rPr>
                <w:rFonts w:ascii="David" w:hAnsi="David"/>
                <w:b/>
                <w:bCs/>
              </w:rPr>
            </w:pPr>
          </w:p>
        </w:tc>
      </w:tr>
      <w:tr w:rsidR="00353B1D" w:rsidRPr="00F904CB" w14:paraId="1900C848" w14:textId="77777777" w:rsidTr="00353B1D">
        <w:trPr>
          <w:trHeight w:val="355"/>
          <w:jc w:val="center"/>
        </w:trPr>
        <w:tc>
          <w:tcPr>
            <w:tcW w:w="923" w:type="dxa"/>
            <w:tcBorders>
              <w:top w:val="nil"/>
              <w:left w:val="nil"/>
              <w:bottom w:val="nil"/>
              <w:right w:val="nil"/>
            </w:tcBorders>
            <w:shd w:val="clear" w:color="auto" w:fill="auto"/>
          </w:tcPr>
          <w:p w14:paraId="56DB462D" w14:textId="77777777" w:rsidR="00353B1D" w:rsidRPr="00F904CB" w:rsidRDefault="00353B1D" w:rsidP="00353B1D">
            <w:pPr>
              <w:jc w:val="both"/>
              <w:rPr>
                <w:rFonts w:ascii="David" w:hAnsi="David"/>
                <w:b/>
                <w:bCs/>
              </w:rPr>
            </w:pPr>
            <w:bookmarkStart w:id="1" w:name="FirstAppellant"/>
            <w:r w:rsidRPr="00F904CB">
              <w:rPr>
                <w:rFonts w:ascii="David" w:hAnsi="David"/>
                <w:b/>
                <w:bCs/>
                <w:rtl/>
              </w:rPr>
              <w:t>בעניין:</w:t>
            </w:r>
          </w:p>
        </w:tc>
        <w:tc>
          <w:tcPr>
            <w:tcW w:w="4126" w:type="dxa"/>
            <w:tcBorders>
              <w:top w:val="nil"/>
              <w:left w:val="nil"/>
              <w:bottom w:val="nil"/>
              <w:right w:val="nil"/>
            </w:tcBorders>
            <w:shd w:val="clear" w:color="auto" w:fill="auto"/>
          </w:tcPr>
          <w:p w14:paraId="352003A4" w14:textId="77777777" w:rsidR="00353B1D" w:rsidRPr="00F904CB" w:rsidRDefault="00353B1D" w:rsidP="00353B1D">
            <w:pPr>
              <w:jc w:val="both"/>
              <w:rPr>
                <w:rFonts w:ascii="David" w:hAnsi="David"/>
                <w:b/>
                <w:bCs/>
              </w:rPr>
            </w:pPr>
            <w:r w:rsidRPr="00F904CB">
              <w:rPr>
                <w:rFonts w:ascii="David" w:hAnsi="David"/>
                <w:b/>
                <w:bCs/>
                <w:rtl/>
              </w:rPr>
              <w:t>מדינת ישראל</w:t>
            </w:r>
          </w:p>
        </w:tc>
        <w:tc>
          <w:tcPr>
            <w:tcW w:w="3771" w:type="dxa"/>
            <w:tcBorders>
              <w:top w:val="nil"/>
              <w:left w:val="nil"/>
              <w:bottom w:val="nil"/>
              <w:right w:val="nil"/>
            </w:tcBorders>
            <w:shd w:val="clear" w:color="auto" w:fill="auto"/>
          </w:tcPr>
          <w:p w14:paraId="28387582" w14:textId="77777777" w:rsidR="00353B1D" w:rsidRPr="00F904CB" w:rsidRDefault="00353B1D" w:rsidP="00353B1D">
            <w:pPr>
              <w:jc w:val="both"/>
              <w:rPr>
                <w:rFonts w:ascii="David" w:hAnsi="David"/>
                <w:b/>
                <w:bCs/>
              </w:rPr>
            </w:pPr>
            <w:r w:rsidRPr="00F904CB">
              <w:rPr>
                <w:rFonts w:ascii="David" w:hAnsi="David" w:hint="cs"/>
                <w:b/>
                <w:bCs/>
                <w:rtl/>
              </w:rPr>
              <w:t>המאשימה</w:t>
            </w:r>
          </w:p>
        </w:tc>
      </w:tr>
      <w:bookmarkEnd w:id="1"/>
      <w:tr w:rsidR="00353B1D" w:rsidRPr="00F904CB" w14:paraId="676487F5" w14:textId="77777777" w:rsidTr="00353B1D">
        <w:trPr>
          <w:trHeight w:val="355"/>
          <w:jc w:val="center"/>
        </w:trPr>
        <w:tc>
          <w:tcPr>
            <w:tcW w:w="923" w:type="dxa"/>
            <w:tcBorders>
              <w:top w:val="nil"/>
              <w:left w:val="nil"/>
              <w:bottom w:val="nil"/>
              <w:right w:val="nil"/>
            </w:tcBorders>
            <w:shd w:val="clear" w:color="auto" w:fill="auto"/>
          </w:tcPr>
          <w:p w14:paraId="4E1033A5" w14:textId="77777777" w:rsidR="00353B1D" w:rsidRPr="00F904CB" w:rsidRDefault="00353B1D" w:rsidP="00353B1D">
            <w:pPr>
              <w:jc w:val="center"/>
              <w:rPr>
                <w:rFonts w:ascii="David" w:hAnsi="David"/>
                <w:b/>
                <w:bCs/>
                <w:rtl/>
              </w:rPr>
            </w:pPr>
          </w:p>
        </w:tc>
        <w:tc>
          <w:tcPr>
            <w:tcW w:w="7897" w:type="dxa"/>
            <w:gridSpan w:val="2"/>
            <w:tcBorders>
              <w:top w:val="nil"/>
              <w:left w:val="nil"/>
              <w:bottom w:val="nil"/>
              <w:right w:val="nil"/>
            </w:tcBorders>
            <w:shd w:val="clear" w:color="auto" w:fill="auto"/>
          </w:tcPr>
          <w:p w14:paraId="5E9A1157" w14:textId="77777777" w:rsidR="00353B1D" w:rsidRPr="00F904CB" w:rsidRDefault="00353B1D" w:rsidP="00353B1D">
            <w:pPr>
              <w:jc w:val="center"/>
              <w:rPr>
                <w:rFonts w:ascii="David" w:hAnsi="David"/>
                <w:b/>
                <w:bCs/>
                <w:rtl/>
              </w:rPr>
            </w:pPr>
          </w:p>
          <w:p w14:paraId="57980C9F" w14:textId="77777777" w:rsidR="00353B1D" w:rsidRPr="00F904CB" w:rsidRDefault="00353B1D" w:rsidP="00353B1D">
            <w:pPr>
              <w:jc w:val="center"/>
              <w:rPr>
                <w:rFonts w:ascii="David" w:hAnsi="David"/>
                <w:b/>
                <w:bCs/>
                <w:rtl/>
              </w:rPr>
            </w:pPr>
            <w:r w:rsidRPr="00F904CB">
              <w:rPr>
                <w:rFonts w:ascii="David" w:hAnsi="David"/>
                <w:b/>
                <w:bCs/>
                <w:rtl/>
              </w:rPr>
              <w:t>נגד</w:t>
            </w:r>
          </w:p>
          <w:p w14:paraId="7F291DAE" w14:textId="77777777" w:rsidR="00353B1D" w:rsidRPr="00F904CB" w:rsidRDefault="00353B1D" w:rsidP="00353B1D">
            <w:pPr>
              <w:jc w:val="center"/>
              <w:rPr>
                <w:rFonts w:ascii="David" w:hAnsi="David"/>
                <w:b/>
                <w:bCs/>
              </w:rPr>
            </w:pPr>
          </w:p>
        </w:tc>
      </w:tr>
      <w:tr w:rsidR="00353B1D" w:rsidRPr="00F904CB" w14:paraId="7CC07421" w14:textId="77777777" w:rsidTr="00353B1D">
        <w:trPr>
          <w:trHeight w:val="355"/>
          <w:jc w:val="center"/>
        </w:trPr>
        <w:tc>
          <w:tcPr>
            <w:tcW w:w="923" w:type="dxa"/>
            <w:tcBorders>
              <w:top w:val="nil"/>
              <w:left w:val="nil"/>
              <w:bottom w:val="nil"/>
              <w:right w:val="nil"/>
            </w:tcBorders>
            <w:shd w:val="clear" w:color="auto" w:fill="auto"/>
          </w:tcPr>
          <w:p w14:paraId="16C0A3A3" w14:textId="77777777" w:rsidR="00353B1D" w:rsidRPr="00F904CB" w:rsidRDefault="00353B1D" w:rsidP="00353B1D">
            <w:pPr>
              <w:jc w:val="both"/>
              <w:rPr>
                <w:rFonts w:ascii="David" w:hAnsi="David"/>
                <w:b/>
                <w:bCs/>
                <w:rtl/>
              </w:rPr>
            </w:pPr>
          </w:p>
        </w:tc>
        <w:tc>
          <w:tcPr>
            <w:tcW w:w="4126" w:type="dxa"/>
            <w:tcBorders>
              <w:top w:val="nil"/>
              <w:left w:val="nil"/>
              <w:bottom w:val="nil"/>
              <w:right w:val="nil"/>
            </w:tcBorders>
            <w:shd w:val="clear" w:color="auto" w:fill="auto"/>
          </w:tcPr>
          <w:p w14:paraId="775271B0" w14:textId="77777777" w:rsidR="00353B1D" w:rsidRPr="00F904CB" w:rsidRDefault="00353B1D" w:rsidP="00353B1D">
            <w:pPr>
              <w:jc w:val="both"/>
              <w:rPr>
                <w:rFonts w:ascii="David" w:hAnsi="David"/>
                <w:b/>
                <w:bCs/>
                <w:rtl/>
              </w:rPr>
            </w:pPr>
            <w:r w:rsidRPr="00F904CB">
              <w:rPr>
                <w:rFonts w:ascii="David" w:hAnsi="David"/>
                <w:b/>
                <w:bCs/>
                <w:rtl/>
              </w:rPr>
              <w:t>1.סעיד עישאן (עציר)</w:t>
            </w:r>
          </w:p>
          <w:p w14:paraId="30E06619" w14:textId="77777777" w:rsidR="00353B1D" w:rsidRPr="00F904CB" w:rsidRDefault="00353B1D" w:rsidP="00353B1D">
            <w:pPr>
              <w:jc w:val="both"/>
              <w:rPr>
                <w:rFonts w:ascii="David" w:hAnsi="David"/>
                <w:b/>
                <w:bCs/>
                <w:rtl/>
              </w:rPr>
            </w:pPr>
            <w:r w:rsidRPr="00F904CB">
              <w:rPr>
                <w:rFonts w:ascii="David" w:hAnsi="David"/>
                <w:b/>
                <w:bCs/>
                <w:rtl/>
              </w:rPr>
              <w:t>2.מוחמד עישאן (עצור/אסיר בפיקוח)</w:t>
            </w:r>
          </w:p>
        </w:tc>
        <w:tc>
          <w:tcPr>
            <w:tcW w:w="3771" w:type="dxa"/>
            <w:tcBorders>
              <w:top w:val="nil"/>
              <w:left w:val="nil"/>
              <w:bottom w:val="nil"/>
              <w:right w:val="nil"/>
            </w:tcBorders>
            <w:shd w:val="clear" w:color="auto" w:fill="auto"/>
          </w:tcPr>
          <w:p w14:paraId="2BB99BFC" w14:textId="77777777" w:rsidR="00353B1D" w:rsidRPr="00F904CB" w:rsidRDefault="00353B1D" w:rsidP="00353B1D">
            <w:pPr>
              <w:jc w:val="both"/>
              <w:rPr>
                <w:rFonts w:ascii="David" w:hAnsi="David"/>
                <w:b/>
                <w:bCs/>
                <w:rtl/>
              </w:rPr>
            </w:pPr>
          </w:p>
          <w:p w14:paraId="0AA1D04B" w14:textId="77777777" w:rsidR="00353B1D" w:rsidRPr="00F904CB" w:rsidRDefault="00353B1D" w:rsidP="00353B1D">
            <w:pPr>
              <w:jc w:val="both"/>
              <w:rPr>
                <w:rFonts w:ascii="David" w:hAnsi="David"/>
                <w:b/>
                <w:bCs/>
              </w:rPr>
            </w:pPr>
            <w:r w:rsidRPr="00F904CB">
              <w:rPr>
                <w:rFonts w:ascii="David" w:hAnsi="David" w:hint="cs"/>
                <w:b/>
                <w:bCs/>
                <w:rtl/>
              </w:rPr>
              <w:t>הנאשמים</w:t>
            </w:r>
          </w:p>
        </w:tc>
      </w:tr>
    </w:tbl>
    <w:p w14:paraId="7E34209A" w14:textId="77777777" w:rsidR="00362ABF" w:rsidRDefault="00362ABF" w:rsidP="00353B1D">
      <w:pPr>
        <w:jc w:val="both"/>
        <w:rPr>
          <w:rtl/>
        </w:rPr>
      </w:pPr>
    </w:p>
    <w:p w14:paraId="30D3B5A6" w14:textId="77777777" w:rsidR="00362ABF" w:rsidRPr="00362ABF" w:rsidRDefault="00362ABF" w:rsidP="00362ABF">
      <w:pPr>
        <w:spacing w:after="120" w:line="240" w:lineRule="exact"/>
        <w:ind w:left="283" w:hanging="283"/>
        <w:jc w:val="both"/>
        <w:rPr>
          <w:rFonts w:ascii="FrankRuehl" w:hAnsi="FrankRuehl" w:cs="FrankRuehl"/>
          <w:rtl/>
        </w:rPr>
      </w:pPr>
    </w:p>
    <w:p w14:paraId="44EC64F7" w14:textId="77777777" w:rsidR="00411455" w:rsidRDefault="00411455" w:rsidP="00411455">
      <w:pPr>
        <w:jc w:val="both"/>
        <w:rPr>
          <w:rFonts w:ascii="David" w:hAnsi="David"/>
          <w:sz w:val="28"/>
          <w:szCs w:val="28"/>
          <w:rtl/>
        </w:rPr>
      </w:pPr>
      <w:bookmarkStart w:id="2" w:name="LawTable"/>
      <w:bookmarkEnd w:id="2"/>
    </w:p>
    <w:p w14:paraId="3BEA3265" w14:textId="77777777" w:rsidR="00411455" w:rsidRPr="00411455" w:rsidRDefault="00411455" w:rsidP="00411455">
      <w:pPr>
        <w:spacing w:before="120" w:after="120" w:line="240" w:lineRule="exact"/>
        <w:ind w:left="283" w:hanging="283"/>
        <w:jc w:val="both"/>
        <w:rPr>
          <w:rFonts w:ascii="FrankRuehl" w:hAnsi="FrankRuehl" w:cs="FrankRuehl"/>
          <w:rtl/>
        </w:rPr>
      </w:pPr>
    </w:p>
    <w:p w14:paraId="229C1E4A" w14:textId="77777777" w:rsidR="00411455" w:rsidRPr="00411455" w:rsidRDefault="00411455" w:rsidP="00411455">
      <w:pPr>
        <w:spacing w:before="120" w:after="120" w:line="240" w:lineRule="exact"/>
        <w:ind w:left="283" w:hanging="283"/>
        <w:jc w:val="both"/>
        <w:rPr>
          <w:rFonts w:ascii="FrankRuehl" w:hAnsi="FrankRuehl" w:cs="FrankRuehl"/>
          <w:rtl/>
        </w:rPr>
      </w:pPr>
    </w:p>
    <w:p w14:paraId="5A42CF4D" w14:textId="77777777" w:rsidR="00411455" w:rsidRPr="00411455" w:rsidRDefault="00411455" w:rsidP="00411455">
      <w:pPr>
        <w:spacing w:before="120" w:after="120" w:line="240" w:lineRule="exact"/>
        <w:ind w:left="283" w:hanging="283"/>
        <w:jc w:val="both"/>
        <w:rPr>
          <w:rFonts w:ascii="FrankRuehl" w:hAnsi="FrankRuehl" w:cs="FrankRuehl"/>
          <w:rtl/>
        </w:rPr>
      </w:pPr>
      <w:r w:rsidRPr="00411455">
        <w:rPr>
          <w:rFonts w:ascii="FrankRuehl" w:hAnsi="FrankRuehl" w:cs="FrankRuehl"/>
          <w:rtl/>
        </w:rPr>
        <w:t xml:space="preserve">חקיקה שאוזכרה: </w:t>
      </w:r>
    </w:p>
    <w:p w14:paraId="5017B5AE" w14:textId="77777777" w:rsidR="00411455" w:rsidRPr="00411455" w:rsidRDefault="00411455" w:rsidP="00411455">
      <w:pPr>
        <w:spacing w:before="120" w:after="120" w:line="240" w:lineRule="exact"/>
        <w:ind w:left="283" w:hanging="283"/>
        <w:jc w:val="both"/>
        <w:rPr>
          <w:rFonts w:ascii="FrankRuehl" w:hAnsi="FrankRuehl" w:cs="FrankRuehl"/>
          <w:rtl/>
        </w:rPr>
      </w:pPr>
      <w:hyperlink r:id="rId7" w:history="1">
        <w:r w:rsidRPr="00411455">
          <w:rPr>
            <w:rFonts w:ascii="FrankRuehl" w:hAnsi="FrankRuehl" w:cs="FrankRuehl"/>
            <w:color w:val="0000FF"/>
            <w:rtl/>
          </w:rPr>
          <w:t>חוק העונשין, תשל"ז-1977</w:t>
        </w:r>
      </w:hyperlink>
      <w:r w:rsidRPr="00411455">
        <w:rPr>
          <w:rFonts w:ascii="FrankRuehl" w:hAnsi="FrankRuehl" w:cs="FrankRuehl"/>
          <w:rtl/>
        </w:rPr>
        <w:t xml:space="preserve">: סע'  </w:t>
      </w:r>
      <w:hyperlink r:id="rId8" w:history="1">
        <w:r w:rsidRPr="00411455">
          <w:rPr>
            <w:rFonts w:ascii="FrankRuehl" w:hAnsi="FrankRuehl" w:cs="FrankRuehl"/>
            <w:color w:val="0000FF"/>
            <w:rtl/>
          </w:rPr>
          <w:t>29</w:t>
        </w:r>
      </w:hyperlink>
      <w:r w:rsidRPr="00411455">
        <w:rPr>
          <w:rFonts w:ascii="FrankRuehl" w:hAnsi="FrankRuehl" w:cs="FrankRuehl"/>
          <w:rtl/>
        </w:rPr>
        <w:t xml:space="preserve">, </w:t>
      </w:r>
      <w:hyperlink r:id="rId9" w:history="1">
        <w:r w:rsidRPr="00411455">
          <w:rPr>
            <w:rFonts w:ascii="FrankRuehl" w:hAnsi="FrankRuehl" w:cs="FrankRuehl"/>
            <w:color w:val="0000FF"/>
            <w:rtl/>
          </w:rPr>
          <w:t>29(ב)</w:t>
        </w:r>
      </w:hyperlink>
      <w:r w:rsidRPr="00411455">
        <w:rPr>
          <w:rFonts w:ascii="FrankRuehl" w:hAnsi="FrankRuehl" w:cs="FrankRuehl"/>
          <w:rtl/>
        </w:rPr>
        <w:t xml:space="preserve">, </w:t>
      </w:r>
      <w:hyperlink r:id="rId10" w:history="1">
        <w:r w:rsidRPr="00411455">
          <w:rPr>
            <w:rFonts w:ascii="FrankRuehl" w:hAnsi="FrankRuehl" w:cs="FrankRuehl"/>
            <w:color w:val="0000FF"/>
            <w:rtl/>
          </w:rPr>
          <w:t>40ב</w:t>
        </w:r>
      </w:hyperlink>
      <w:r w:rsidRPr="00411455">
        <w:rPr>
          <w:rFonts w:ascii="FrankRuehl" w:hAnsi="FrankRuehl" w:cs="FrankRuehl"/>
          <w:rtl/>
        </w:rPr>
        <w:t xml:space="preserve">, </w:t>
      </w:r>
      <w:hyperlink r:id="rId11" w:history="1">
        <w:r w:rsidRPr="00411455">
          <w:rPr>
            <w:rFonts w:ascii="FrankRuehl" w:hAnsi="FrankRuehl" w:cs="FrankRuehl"/>
            <w:color w:val="0000FF"/>
            <w:rtl/>
          </w:rPr>
          <w:t>40ג</w:t>
        </w:r>
      </w:hyperlink>
      <w:r w:rsidRPr="00411455">
        <w:rPr>
          <w:rFonts w:ascii="FrankRuehl" w:hAnsi="FrankRuehl" w:cs="FrankRuehl"/>
          <w:rtl/>
        </w:rPr>
        <w:t xml:space="preserve">, </w:t>
      </w:r>
      <w:hyperlink r:id="rId12" w:history="1">
        <w:r w:rsidRPr="00411455">
          <w:rPr>
            <w:rFonts w:ascii="FrankRuehl" w:hAnsi="FrankRuehl" w:cs="FrankRuehl"/>
            <w:color w:val="0000FF"/>
            <w:rtl/>
          </w:rPr>
          <w:t>40ט</w:t>
        </w:r>
      </w:hyperlink>
      <w:r w:rsidRPr="00411455">
        <w:rPr>
          <w:rFonts w:ascii="FrankRuehl" w:hAnsi="FrankRuehl" w:cs="FrankRuehl"/>
          <w:rtl/>
        </w:rPr>
        <w:t xml:space="preserve">, </w:t>
      </w:r>
      <w:hyperlink r:id="rId13" w:history="1">
        <w:r w:rsidRPr="00411455">
          <w:rPr>
            <w:rFonts w:ascii="FrankRuehl" w:hAnsi="FrankRuehl" w:cs="FrankRuehl"/>
            <w:color w:val="0000FF"/>
            <w:rtl/>
          </w:rPr>
          <w:t>144</w:t>
        </w:r>
      </w:hyperlink>
      <w:r w:rsidRPr="00411455">
        <w:rPr>
          <w:rFonts w:ascii="FrankRuehl" w:hAnsi="FrankRuehl" w:cs="FrankRuehl"/>
          <w:rtl/>
        </w:rPr>
        <w:t xml:space="preserve">, </w:t>
      </w:r>
      <w:hyperlink r:id="rId14" w:history="1">
        <w:r w:rsidRPr="00411455">
          <w:rPr>
            <w:rFonts w:ascii="FrankRuehl" w:hAnsi="FrankRuehl" w:cs="FrankRuehl"/>
            <w:color w:val="0000FF"/>
            <w:rtl/>
          </w:rPr>
          <w:t>144(ב)</w:t>
        </w:r>
      </w:hyperlink>
      <w:r w:rsidRPr="00411455">
        <w:rPr>
          <w:rFonts w:ascii="FrankRuehl" w:hAnsi="FrankRuehl" w:cs="FrankRuehl"/>
          <w:rtl/>
        </w:rPr>
        <w:t xml:space="preserve">, </w:t>
      </w:r>
      <w:hyperlink r:id="rId15" w:history="1">
        <w:r w:rsidRPr="00411455">
          <w:rPr>
            <w:rFonts w:ascii="FrankRuehl" w:hAnsi="FrankRuehl" w:cs="FrankRuehl"/>
            <w:color w:val="0000FF"/>
            <w:rtl/>
          </w:rPr>
          <w:t>144(ג)+</w:t>
        </w:r>
      </w:hyperlink>
      <w:r w:rsidRPr="00411455">
        <w:rPr>
          <w:rFonts w:ascii="FrankRuehl" w:hAnsi="FrankRuehl" w:cs="FrankRuehl"/>
          <w:rtl/>
        </w:rPr>
        <w:t xml:space="preserve">, </w:t>
      </w:r>
      <w:hyperlink r:id="rId16" w:history="1">
        <w:r w:rsidRPr="00411455">
          <w:rPr>
            <w:rFonts w:ascii="FrankRuehl" w:hAnsi="FrankRuehl" w:cs="FrankRuehl"/>
            <w:color w:val="0000FF"/>
            <w:rtl/>
          </w:rPr>
          <w:t>340א</w:t>
        </w:r>
      </w:hyperlink>
      <w:r w:rsidRPr="00411455">
        <w:rPr>
          <w:rFonts w:ascii="FrankRuehl" w:hAnsi="FrankRuehl" w:cs="FrankRuehl"/>
          <w:rtl/>
        </w:rPr>
        <w:t xml:space="preserve">, </w:t>
      </w:r>
      <w:hyperlink r:id="rId17" w:history="1">
        <w:r w:rsidRPr="00411455">
          <w:rPr>
            <w:rFonts w:ascii="FrankRuehl" w:hAnsi="FrankRuehl" w:cs="FrankRuehl"/>
            <w:color w:val="0000FF"/>
            <w:rtl/>
          </w:rPr>
          <w:t>340א(ב)(1)</w:t>
        </w:r>
      </w:hyperlink>
    </w:p>
    <w:p w14:paraId="38A1C5F4" w14:textId="77777777" w:rsidR="00411455" w:rsidRPr="00411455" w:rsidRDefault="00411455" w:rsidP="00411455">
      <w:pPr>
        <w:spacing w:before="120" w:after="120" w:line="240" w:lineRule="exact"/>
        <w:ind w:left="283" w:hanging="283"/>
        <w:jc w:val="both"/>
        <w:rPr>
          <w:rFonts w:ascii="FrankRuehl" w:hAnsi="FrankRuehl" w:cs="FrankRuehl"/>
          <w:rtl/>
        </w:rPr>
      </w:pPr>
      <w:hyperlink r:id="rId18" w:history="1">
        <w:r w:rsidRPr="00411455">
          <w:rPr>
            <w:rFonts w:ascii="FrankRuehl" w:hAnsi="FrankRuehl" w:cs="FrankRuehl"/>
            <w:color w:val="0000FF"/>
            <w:rtl/>
          </w:rPr>
          <w:t>פקודת ביטוח רכב מנועי [נוסח חדש], תש"ל-1970</w:t>
        </w:r>
      </w:hyperlink>
      <w:r w:rsidRPr="00411455">
        <w:rPr>
          <w:rFonts w:ascii="FrankRuehl" w:hAnsi="FrankRuehl" w:cs="FrankRuehl"/>
          <w:rtl/>
        </w:rPr>
        <w:t xml:space="preserve">: סע'  </w:t>
      </w:r>
      <w:hyperlink r:id="rId19" w:history="1">
        <w:r w:rsidRPr="00411455">
          <w:rPr>
            <w:rFonts w:ascii="FrankRuehl" w:hAnsi="FrankRuehl" w:cs="FrankRuehl"/>
            <w:color w:val="0000FF"/>
            <w:rtl/>
          </w:rPr>
          <w:t>2(א)</w:t>
        </w:r>
      </w:hyperlink>
    </w:p>
    <w:p w14:paraId="3133F124" w14:textId="77777777" w:rsidR="00411455" w:rsidRPr="00411455" w:rsidRDefault="00411455" w:rsidP="00411455">
      <w:pPr>
        <w:spacing w:before="120" w:after="120" w:line="240" w:lineRule="exact"/>
        <w:ind w:left="283" w:hanging="283"/>
        <w:jc w:val="both"/>
        <w:rPr>
          <w:rFonts w:ascii="FrankRuehl" w:hAnsi="FrankRuehl" w:cs="FrankRuehl"/>
          <w:rtl/>
        </w:rPr>
      </w:pPr>
      <w:hyperlink r:id="rId20" w:history="1">
        <w:r w:rsidRPr="00411455">
          <w:rPr>
            <w:rFonts w:ascii="FrankRuehl" w:hAnsi="FrankRuehl" w:cs="FrankRuehl"/>
            <w:color w:val="0000FF"/>
            <w:rtl/>
          </w:rPr>
          <w:t>פקודת התעבורה [נוסח חדש]</w:t>
        </w:r>
      </w:hyperlink>
      <w:r w:rsidRPr="00411455">
        <w:rPr>
          <w:rFonts w:ascii="FrankRuehl" w:hAnsi="FrankRuehl" w:cs="FrankRuehl"/>
          <w:rtl/>
        </w:rPr>
        <w:t xml:space="preserve">: סע'  </w:t>
      </w:r>
      <w:hyperlink r:id="rId21" w:history="1">
        <w:r w:rsidRPr="00411455">
          <w:rPr>
            <w:rFonts w:ascii="FrankRuehl" w:hAnsi="FrankRuehl" w:cs="FrankRuehl"/>
            <w:color w:val="0000FF"/>
            <w:rtl/>
          </w:rPr>
          <w:t>2</w:t>
        </w:r>
      </w:hyperlink>
    </w:p>
    <w:p w14:paraId="30B6C134" w14:textId="77777777" w:rsidR="00411455" w:rsidRPr="00411455" w:rsidRDefault="00411455" w:rsidP="00411455">
      <w:pPr>
        <w:jc w:val="both"/>
        <w:rPr>
          <w:rFonts w:ascii="David" w:hAnsi="David"/>
          <w:sz w:val="28"/>
          <w:szCs w:val="28"/>
          <w:rtl/>
        </w:rPr>
      </w:pPr>
      <w:bookmarkStart w:id="3" w:name="LawTable_End"/>
      <w:bookmarkEnd w:id="3"/>
    </w:p>
    <w:p w14:paraId="6E1EBA89" w14:textId="77777777" w:rsidR="00353B1D" w:rsidRPr="00F904CB" w:rsidRDefault="00353B1D" w:rsidP="00353B1D">
      <w:pPr>
        <w:jc w:val="both"/>
        <w:rPr>
          <w:rFonts w:ascii="David" w:hAnsi="David"/>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53B1D" w:rsidRPr="00364227" w14:paraId="38A9C887" w14:textId="77777777" w:rsidTr="00353B1D">
        <w:trPr>
          <w:trHeight w:val="355"/>
          <w:jc w:val="center"/>
        </w:trPr>
        <w:tc>
          <w:tcPr>
            <w:tcW w:w="8820" w:type="dxa"/>
            <w:tcBorders>
              <w:top w:val="nil"/>
              <w:left w:val="nil"/>
              <w:bottom w:val="nil"/>
              <w:right w:val="nil"/>
            </w:tcBorders>
            <w:shd w:val="clear" w:color="auto" w:fill="auto"/>
          </w:tcPr>
          <w:p w14:paraId="2BE70106" w14:textId="77777777" w:rsidR="00F904CB" w:rsidRPr="00F904CB" w:rsidRDefault="00F904CB" w:rsidP="00F904CB">
            <w:pPr>
              <w:jc w:val="center"/>
              <w:rPr>
                <w:rFonts w:ascii="David" w:hAnsi="David"/>
                <w:b/>
                <w:bCs/>
                <w:sz w:val="28"/>
                <w:szCs w:val="28"/>
                <w:u w:val="single"/>
                <w:rtl/>
              </w:rPr>
            </w:pPr>
            <w:bookmarkStart w:id="4" w:name="PsakDin" w:colFirst="0" w:colLast="0"/>
            <w:bookmarkEnd w:id="0"/>
            <w:r w:rsidRPr="00F904CB">
              <w:rPr>
                <w:rFonts w:ascii="David" w:hAnsi="David"/>
                <w:b/>
                <w:bCs/>
                <w:sz w:val="28"/>
                <w:szCs w:val="28"/>
                <w:u w:val="single"/>
                <w:rtl/>
              </w:rPr>
              <w:t>גזר דין</w:t>
            </w:r>
          </w:p>
          <w:p w14:paraId="581F0258" w14:textId="77777777" w:rsidR="00353B1D" w:rsidRPr="00F904CB" w:rsidRDefault="00353B1D" w:rsidP="00F904CB">
            <w:pPr>
              <w:jc w:val="center"/>
              <w:rPr>
                <w:rFonts w:ascii="David" w:hAnsi="David"/>
                <w:b/>
                <w:bCs/>
                <w:sz w:val="28"/>
                <w:szCs w:val="28"/>
                <w:u w:val="single"/>
                <w:rtl/>
              </w:rPr>
            </w:pPr>
          </w:p>
        </w:tc>
      </w:tr>
      <w:bookmarkEnd w:id="4"/>
    </w:tbl>
    <w:p w14:paraId="647EC5B9" w14:textId="77777777" w:rsidR="00353B1D" w:rsidRPr="00364227" w:rsidRDefault="00353B1D" w:rsidP="00353B1D">
      <w:pPr>
        <w:jc w:val="both"/>
        <w:rPr>
          <w:rFonts w:ascii="David" w:hAnsi="David"/>
          <w:sz w:val="28"/>
          <w:szCs w:val="28"/>
          <w:rtl/>
        </w:rPr>
      </w:pPr>
    </w:p>
    <w:p w14:paraId="6E742C83" w14:textId="77777777" w:rsidR="00353B1D" w:rsidRPr="00364227" w:rsidRDefault="00353B1D" w:rsidP="00353B1D">
      <w:pPr>
        <w:spacing w:line="360" w:lineRule="auto"/>
        <w:jc w:val="both"/>
        <w:rPr>
          <w:rFonts w:ascii="David" w:hAnsi="David"/>
          <w:rtl/>
        </w:rPr>
      </w:pPr>
      <w:r w:rsidRPr="00364227">
        <w:rPr>
          <w:rFonts w:ascii="David" w:hAnsi="David" w:hint="cs"/>
          <w:rtl/>
        </w:rPr>
        <w:t>1.</w:t>
      </w:r>
      <w:r w:rsidRPr="00364227">
        <w:rPr>
          <w:rFonts w:ascii="David" w:hAnsi="David"/>
          <w:rtl/>
        </w:rPr>
        <w:tab/>
      </w:r>
      <w:bookmarkStart w:id="5" w:name="ABSTRACT_START"/>
      <w:bookmarkEnd w:id="5"/>
      <w:r w:rsidRPr="00364227">
        <w:rPr>
          <w:rFonts w:ascii="David" w:hAnsi="David"/>
          <w:rtl/>
        </w:rPr>
        <w:t>הנאש</w:t>
      </w:r>
      <w:r w:rsidRPr="00364227">
        <w:rPr>
          <w:rFonts w:ascii="David" w:hAnsi="David" w:hint="cs"/>
          <w:rtl/>
        </w:rPr>
        <w:t>מים</w:t>
      </w:r>
      <w:r w:rsidRPr="00364227">
        <w:rPr>
          <w:rFonts w:ascii="David" w:hAnsi="David"/>
          <w:rtl/>
        </w:rPr>
        <w:t xml:space="preserve"> הורשע</w:t>
      </w:r>
      <w:r w:rsidRPr="00364227">
        <w:rPr>
          <w:rFonts w:ascii="David" w:hAnsi="David" w:hint="cs"/>
          <w:rtl/>
        </w:rPr>
        <w:t>ו</w:t>
      </w:r>
      <w:r w:rsidRPr="00364227">
        <w:rPr>
          <w:rFonts w:ascii="David" w:hAnsi="David"/>
          <w:rtl/>
        </w:rPr>
        <w:t>, על יסוד הודאת</w:t>
      </w:r>
      <w:r w:rsidRPr="00364227">
        <w:rPr>
          <w:rFonts w:ascii="David" w:hAnsi="David" w:hint="cs"/>
          <w:rtl/>
        </w:rPr>
        <w:t>ם</w:t>
      </w:r>
      <w:r w:rsidRPr="00364227">
        <w:rPr>
          <w:rFonts w:ascii="David" w:hAnsi="David"/>
          <w:rtl/>
        </w:rPr>
        <w:t xml:space="preserve">, בעובדות כתב </w:t>
      </w:r>
      <w:r w:rsidRPr="00364227">
        <w:rPr>
          <w:rFonts w:ascii="David" w:hAnsi="David" w:hint="cs"/>
          <w:rtl/>
        </w:rPr>
        <w:t xml:space="preserve">האישום </w:t>
      </w:r>
      <w:r w:rsidRPr="00364227">
        <w:rPr>
          <w:rFonts w:ascii="David" w:hAnsi="David"/>
          <w:rtl/>
        </w:rPr>
        <w:t>המתוקן (</w:t>
      </w:r>
      <w:r w:rsidRPr="00364227">
        <w:rPr>
          <w:rFonts w:ascii="Miriam" w:hAnsi="Miriam" w:cs="Miriam"/>
          <w:rtl/>
        </w:rPr>
        <w:t>א/1</w:t>
      </w:r>
      <w:r w:rsidRPr="00364227">
        <w:rPr>
          <w:rFonts w:ascii="David" w:hAnsi="David"/>
          <w:rtl/>
        </w:rPr>
        <w:t>), במסגרת הסדר טיעון בין הצדדים, בביצוע עביר</w:t>
      </w:r>
      <w:r w:rsidRPr="00364227">
        <w:rPr>
          <w:rFonts w:ascii="David" w:hAnsi="David" w:hint="cs"/>
          <w:rtl/>
        </w:rPr>
        <w:t xml:space="preserve">ות בנשק, </w:t>
      </w:r>
      <w:r w:rsidRPr="00364227">
        <w:rPr>
          <w:rFonts w:ascii="David" w:hAnsi="David"/>
          <w:rtl/>
        </w:rPr>
        <w:t xml:space="preserve">לפי </w:t>
      </w:r>
      <w:hyperlink r:id="rId22" w:history="1">
        <w:r w:rsidR="00362ABF" w:rsidRPr="00362ABF">
          <w:rPr>
            <w:rStyle w:val="Hyperlink"/>
            <w:rFonts w:ascii="David" w:hAnsi="David"/>
            <w:rtl/>
          </w:rPr>
          <w:t>סעיפים 144(ב)</w:t>
        </w:r>
      </w:hyperlink>
      <w:r w:rsidRPr="00364227">
        <w:rPr>
          <w:rFonts w:ascii="David" w:hAnsi="David" w:hint="cs"/>
          <w:rtl/>
        </w:rPr>
        <w:t xml:space="preserve"> ו- </w:t>
      </w:r>
      <w:hyperlink r:id="rId23" w:history="1">
        <w:r w:rsidR="00362ABF" w:rsidRPr="00362ABF">
          <w:rPr>
            <w:rStyle w:val="Hyperlink"/>
            <w:rFonts w:ascii="David" w:hAnsi="David"/>
            <w:rtl/>
          </w:rPr>
          <w:t>144(ג)+</w:t>
        </w:r>
      </w:hyperlink>
      <w:hyperlink r:id="rId24" w:history="1">
        <w:r w:rsidR="00362ABF" w:rsidRPr="00362ABF">
          <w:rPr>
            <w:rStyle w:val="Hyperlink"/>
            <w:rFonts w:ascii="David" w:hAnsi="David"/>
            <w:rtl/>
          </w:rPr>
          <w:t>29(ב)</w:t>
        </w:r>
      </w:hyperlink>
      <w:r w:rsidRPr="00364227">
        <w:rPr>
          <w:rFonts w:ascii="David" w:hAnsi="David"/>
          <w:rtl/>
        </w:rPr>
        <w:t xml:space="preserve"> ל</w:t>
      </w:r>
      <w:hyperlink r:id="rId25" w:history="1">
        <w:r w:rsidR="00F904CB" w:rsidRPr="00F904CB">
          <w:rPr>
            <w:rFonts w:ascii="David" w:hAnsi="David"/>
            <w:color w:val="0000FF"/>
            <w:u w:val="single"/>
            <w:rtl/>
          </w:rPr>
          <w:t>חוק העונשין</w:t>
        </w:r>
      </w:hyperlink>
      <w:r w:rsidRPr="00364227">
        <w:rPr>
          <w:rFonts w:ascii="David" w:hAnsi="David"/>
          <w:rtl/>
        </w:rPr>
        <w:t xml:space="preserve">- התשל"ז- 1977 (להלן: </w:t>
      </w:r>
      <w:r w:rsidRPr="00364227">
        <w:rPr>
          <w:rFonts w:ascii="Miriam" w:hAnsi="Miriam" w:cs="Miriam"/>
          <w:rtl/>
        </w:rPr>
        <w:t>חוק העונשין</w:t>
      </w:r>
      <w:r w:rsidRPr="00364227">
        <w:rPr>
          <w:rFonts w:ascii="David" w:hAnsi="David"/>
          <w:rtl/>
        </w:rPr>
        <w:t>)</w:t>
      </w:r>
      <w:r w:rsidRPr="00364227">
        <w:rPr>
          <w:rFonts w:ascii="David" w:hAnsi="David" w:hint="cs"/>
          <w:rtl/>
        </w:rPr>
        <w:t xml:space="preserve"> </w:t>
      </w:r>
      <w:r w:rsidRPr="00364227">
        <w:rPr>
          <w:rFonts w:ascii="David" w:hAnsi="David"/>
          <w:rtl/>
        </w:rPr>
        <w:t xml:space="preserve">ובעבירה של </w:t>
      </w:r>
      <w:r w:rsidRPr="00364227">
        <w:rPr>
          <w:rFonts w:ascii="David" w:hAnsi="David" w:hint="cs"/>
          <w:rtl/>
        </w:rPr>
        <w:t>ירי מנשק חם</w:t>
      </w:r>
      <w:r w:rsidRPr="00364227">
        <w:rPr>
          <w:rFonts w:ascii="David" w:hAnsi="David"/>
          <w:rtl/>
        </w:rPr>
        <w:t xml:space="preserve">, עבירה לפי </w:t>
      </w:r>
      <w:hyperlink r:id="rId26" w:history="1">
        <w:r w:rsidR="00362ABF" w:rsidRPr="00362ABF">
          <w:rPr>
            <w:rStyle w:val="Hyperlink"/>
            <w:rFonts w:ascii="David" w:hAnsi="David" w:hint="eastAsia"/>
            <w:rtl/>
          </w:rPr>
          <w:t>סעיף</w:t>
        </w:r>
        <w:r w:rsidR="00362ABF" w:rsidRPr="00362ABF">
          <w:rPr>
            <w:rStyle w:val="Hyperlink"/>
            <w:rFonts w:ascii="David" w:hAnsi="David"/>
            <w:rtl/>
          </w:rPr>
          <w:t xml:space="preserve"> 340א(ב)(1)</w:t>
        </w:r>
      </w:hyperlink>
      <w:r w:rsidRPr="00364227">
        <w:rPr>
          <w:rFonts w:ascii="David" w:hAnsi="David" w:hint="cs"/>
          <w:rtl/>
        </w:rPr>
        <w:t xml:space="preserve"> בצירוף </w:t>
      </w:r>
      <w:hyperlink r:id="rId27" w:history="1">
        <w:r w:rsidR="00362ABF" w:rsidRPr="00362ABF">
          <w:rPr>
            <w:rStyle w:val="Hyperlink"/>
            <w:rFonts w:ascii="David" w:hAnsi="David" w:hint="eastAsia"/>
            <w:rtl/>
          </w:rPr>
          <w:t>סעיף</w:t>
        </w:r>
        <w:r w:rsidR="00362ABF" w:rsidRPr="00362ABF">
          <w:rPr>
            <w:rStyle w:val="Hyperlink"/>
            <w:rFonts w:ascii="David" w:hAnsi="David"/>
            <w:rtl/>
          </w:rPr>
          <w:t xml:space="preserve"> 29</w:t>
        </w:r>
      </w:hyperlink>
      <w:r w:rsidRPr="00364227">
        <w:rPr>
          <w:rFonts w:ascii="David" w:hAnsi="David"/>
          <w:rtl/>
        </w:rPr>
        <w:t xml:space="preserve"> לחוק העונשין.</w:t>
      </w:r>
      <w:r w:rsidRPr="00364227">
        <w:rPr>
          <w:rFonts w:ascii="David" w:hAnsi="David" w:hint="cs"/>
          <w:rtl/>
        </w:rPr>
        <w:t xml:space="preserve"> נוסף על כך, הורשע נאשם 2 בביצוע עבירה של נהיגה ללא פוליסת ביטוח בתוקף, עבירה לפי </w:t>
      </w:r>
      <w:hyperlink r:id="rId28" w:history="1">
        <w:r w:rsidR="00362ABF" w:rsidRPr="00362ABF">
          <w:rPr>
            <w:rStyle w:val="Hyperlink"/>
            <w:rFonts w:ascii="David" w:hAnsi="David" w:hint="eastAsia"/>
            <w:rtl/>
          </w:rPr>
          <w:t>סעיף</w:t>
        </w:r>
        <w:r w:rsidR="00362ABF" w:rsidRPr="00362ABF">
          <w:rPr>
            <w:rStyle w:val="Hyperlink"/>
            <w:rFonts w:ascii="David" w:hAnsi="David"/>
            <w:rtl/>
          </w:rPr>
          <w:t xml:space="preserve"> 2(א)</w:t>
        </w:r>
      </w:hyperlink>
      <w:r w:rsidRPr="00364227">
        <w:rPr>
          <w:rFonts w:ascii="David" w:hAnsi="David" w:hint="cs"/>
          <w:rtl/>
        </w:rPr>
        <w:t xml:space="preserve"> ל</w:t>
      </w:r>
      <w:hyperlink r:id="rId29" w:history="1">
        <w:r w:rsidR="00F904CB" w:rsidRPr="00F904CB">
          <w:rPr>
            <w:rFonts w:ascii="David" w:hAnsi="David"/>
            <w:color w:val="0000FF"/>
            <w:u w:val="single"/>
            <w:rtl/>
          </w:rPr>
          <w:t>פקודת ביטוח רכב מנועי</w:t>
        </w:r>
      </w:hyperlink>
      <w:r>
        <w:rPr>
          <w:rFonts w:ascii="David" w:hAnsi="David" w:hint="cs"/>
          <w:rtl/>
        </w:rPr>
        <w:t xml:space="preserve"> </w:t>
      </w:r>
      <w:r w:rsidRPr="00364227">
        <w:rPr>
          <w:rFonts w:ascii="David" w:hAnsi="David" w:hint="cs"/>
          <w:rtl/>
        </w:rPr>
        <w:t>[נוסח חדש],תש"ל-1970</w:t>
      </w:r>
      <w:r w:rsidRPr="00364227">
        <w:rPr>
          <w:rFonts w:ascii="David" w:hAnsi="David"/>
          <w:rtl/>
        </w:rPr>
        <w:t xml:space="preserve"> </w:t>
      </w:r>
      <w:r w:rsidRPr="00364227">
        <w:rPr>
          <w:rFonts w:ascii="David" w:hAnsi="David" w:hint="cs"/>
          <w:rtl/>
        </w:rPr>
        <w:t xml:space="preserve"> ובעבירה של נהיגה ללא רישיון רכב, עבירה לפי </w:t>
      </w:r>
      <w:hyperlink r:id="rId30" w:history="1">
        <w:r w:rsidR="00362ABF" w:rsidRPr="00362ABF">
          <w:rPr>
            <w:rStyle w:val="Hyperlink"/>
            <w:rFonts w:ascii="David" w:hAnsi="David" w:hint="eastAsia"/>
            <w:rtl/>
          </w:rPr>
          <w:t>סעיף</w:t>
        </w:r>
        <w:r w:rsidR="00362ABF" w:rsidRPr="00362ABF">
          <w:rPr>
            <w:rStyle w:val="Hyperlink"/>
            <w:rFonts w:ascii="David" w:hAnsi="David"/>
            <w:rtl/>
          </w:rPr>
          <w:t xml:space="preserve"> 2</w:t>
        </w:r>
      </w:hyperlink>
      <w:r>
        <w:rPr>
          <w:rFonts w:ascii="David" w:hAnsi="David" w:hint="cs"/>
          <w:rtl/>
        </w:rPr>
        <w:t xml:space="preserve"> </w:t>
      </w:r>
      <w:r w:rsidRPr="00364227">
        <w:rPr>
          <w:rFonts w:ascii="David" w:hAnsi="David" w:hint="cs"/>
          <w:rtl/>
        </w:rPr>
        <w:t>ל</w:t>
      </w:r>
      <w:hyperlink r:id="rId31" w:history="1">
        <w:r w:rsidR="00F904CB" w:rsidRPr="00F904CB">
          <w:rPr>
            <w:rFonts w:ascii="David" w:hAnsi="David"/>
            <w:color w:val="0000FF"/>
            <w:u w:val="single"/>
            <w:rtl/>
          </w:rPr>
          <w:t>פקודת התעבורה</w:t>
        </w:r>
      </w:hyperlink>
      <w:r w:rsidRPr="00364227">
        <w:rPr>
          <w:rFonts w:ascii="David" w:hAnsi="David" w:hint="cs"/>
          <w:rtl/>
        </w:rPr>
        <w:t xml:space="preserve"> [נוסח חדש],התשכ"א-1961. </w:t>
      </w:r>
      <w:r w:rsidRPr="00364227">
        <w:rPr>
          <w:rFonts w:ascii="David" w:hAnsi="David"/>
          <w:rtl/>
        </w:rPr>
        <w:t>לא גובשה בין הצדדים הסכמה לעניין העונש.</w:t>
      </w:r>
    </w:p>
    <w:p w14:paraId="79DC836A" w14:textId="77777777" w:rsidR="00353B1D" w:rsidRPr="00364227" w:rsidRDefault="00353B1D" w:rsidP="00353B1D">
      <w:pPr>
        <w:jc w:val="both"/>
        <w:rPr>
          <w:rFonts w:ascii="David" w:hAnsi="David"/>
          <w:rtl/>
        </w:rPr>
      </w:pPr>
      <w:bookmarkStart w:id="6" w:name="ABSTRACT_END"/>
      <w:bookmarkEnd w:id="6"/>
    </w:p>
    <w:p w14:paraId="1BAA7405" w14:textId="77777777" w:rsidR="00353B1D" w:rsidRPr="001B3867" w:rsidRDefault="00353B1D" w:rsidP="00353B1D">
      <w:pPr>
        <w:spacing w:line="360" w:lineRule="auto"/>
        <w:jc w:val="both"/>
        <w:rPr>
          <w:rFonts w:ascii="Miriam" w:hAnsi="Miriam" w:cs="Miriam"/>
          <w:u w:val="single"/>
          <w:rtl/>
        </w:rPr>
      </w:pPr>
      <w:r w:rsidRPr="001B3867">
        <w:rPr>
          <w:rFonts w:ascii="Miriam" w:hAnsi="Miriam" w:cs="Miriam"/>
          <w:u w:val="single"/>
          <w:rtl/>
        </w:rPr>
        <w:t>כתב האישום המתוקן</w:t>
      </w:r>
    </w:p>
    <w:p w14:paraId="753196B1" w14:textId="77777777" w:rsidR="00353B1D" w:rsidRPr="00364227" w:rsidRDefault="00353B1D" w:rsidP="00353B1D">
      <w:pPr>
        <w:jc w:val="both"/>
        <w:rPr>
          <w:rFonts w:ascii="Miriam" w:hAnsi="Miriam" w:cs="Miriam"/>
          <w:rtl/>
        </w:rPr>
      </w:pPr>
    </w:p>
    <w:p w14:paraId="0A6EEAF5" w14:textId="77777777" w:rsidR="00353B1D" w:rsidRPr="00364227" w:rsidRDefault="00353B1D" w:rsidP="00353B1D">
      <w:pPr>
        <w:spacing w:line="360" w:lineRule="auto"/>
        <w:jc w:val="both"/>
        <w:rPr>
          <w:rFonts w:ascii="David" w:hAnsi="David"/>
          <w:rtl/>
        </w:rPr>
      </w:pPr>
      <w:r w:rsidRPr="00364227">
        <w:rPr>
          <w:rFonts w:ascii="David" w:hAnsi="David" w:hint="cs"/>
          <w:rtl/>
        </w:rPr>
        <w:t xml:space="preserve">2. </w:t>
      </w:r>
      <w:r w:rsidRPr="00364227">
        <w:rPr>
          <w:rFonts w:ascii="David" w:hAnsi="David"/>
          <w:rtl/>
        </w:rPr>
        <w:tab/>
      </w:r>
      <w:r w:rsidRPr="00364227">
        <w:rPr>
          <w:rFonts w:ascii="David" w:hAnsi="David" w:hint="cs"/>
          <w:rtl/>
        </w:rPr>
        <w:t xml:space="preserve">הנאשמים הם קרובי משפחה. בתאריך 25/5/20, עובר לשעה 22:45 או בסמוך לכך (להלן: </w:t>
      </w:r>
      <w:r w:rsidRPr="00364227">
        <w:rPr>
          <w:rFonts w:ascii="Miriam" w:hAnsi="Miriam" w:cs="Miriam"/>
          <w:rtl/>
        </w:rPr>
        <w:t>מועד האירוע</w:t>
      </w:r>
      <w:r w:rsidRPr="00364227">
        <w:rPr>
          <w:rFonts w:ascii="David" w:hAnsi="David" w:hint="cs"/>
          <w:rtl/>
        </w:rPr>
        <w:t xml:space="preserve">), בישוב ג'דידה-מכר, נהג הנאשם 2 ברכב הונדה שבבעלות אביו, וסים עישאן (להלן: </w:t>
      </w:r>
      <w:r w:rsidRPr="00364227">
        <w:rPr>
          <w:rFonts w:ascii="Miriam" w:hAnsi="Miriam" w:cs="Miriam"/>
          <w:rtl/>
        </w:rPr>
        <w:lastRenderedPageBreak/>
        <w:t>הרכב</w:t>
      </w:r>
      <w:r w:rsidRPr="00364227">
        <w:rPr>
          <w:rFonts w:ascii="David" w:hAnsi="David" w:hint="cs"/>
          <w:rtl/>
        </w:rPr>
        <w:t xml:space="preserve">). נאשם 1 ישב במושב הקדמי, לצד הנהג. בתאריך 6/3/20 תם תוקף רישיון הרכב ונאשם 2 נהג ברכב אף שידע זאת. הנאשמים נסעו ברכב עד סמוך לבית משפחת סאלח עישאן (להלן: </w:t>
      </w:r>
      <w:r w:rsidRPr="00364227">
        <w:rPr>
          <w:rFonts w:ascii="Miriam" w:hAnsi="Miriam" w:cs="Miriam"/>
          <w:rtl/>
        </w:rPr>
        <w:t>המקום</w:t>
      </w:r>
      <w:r w:rsidRPr="00364227">
        <w:rPr>
          <w:rFonts w:ascii="David" w:hAnsi="David" w:hint="cs"/>
          <w:rtl/>
        </w:rPr>
        <w:t xml:space="preserve">), שם יצאו מהרכב ושוחחו עם אנשים שהיו במקום. בהמשך נכנסו השניים לרכב, בו החזיקו בצוותא תת מקלע מאולתר עם מחסנית תואמת ותחמושת (להלן: </w:t>
      </w:r>
      <w:r w:rsidRPr="00364227">
        <w:rPr>
          <w:rFonts w:ascii="Miriam" w:hAnsi="Miriam" w:cs="Miriam"/>
          <w:rtl/>
        </w:rPr>
        <w:t>הנשק</w:t>
      </w:r>
      <w:r w:rsidRPr="00364227">
        <w:rPr>
          <w:rFonts w:ascii="David" w:hAnsi="David" w:hint="cs"/>
          <w:rtl/>
        </w:rPr>
        <w:t>), בלא רשות על פי דין. מיד עם תחילת הנסיעה, בעודם נוסעים באיטיות סמוך למקום, נאשם 1 הוציא את ידו מחלון הרכב וירה ירייה אחת באוויר, בעוד אזרחים נמצאים בקרבת</w:t>
      </w:r>
      <w:r>
        <w:rPr>
          <w:rFonts w:ascii="David" w:hAnsi="David" w:hint="cs"/>
          <w:rtl/>
        </w:rPr>
        <w:t xml:space="preserve"> מקום</w:t>
      </w:r>
      <w:r w:rsidRPr="00364227">
        <w:rPr>
          <w:rFonts w:ascii="David" w:hAnsi="David" w:hint="cs"/>
          <w:rtl/>
        </w:rPr>
        <w:t xml:space="preserve">, באזור מגורים. הנאשמים המשיכו בנסיעה כשהם מובילים ונושאים נשק. </w:t>
      </w:r>
    </w:p>
    <w:p w14:paraId="5C3866C9" w14:textId="77777777" w:rsidR="00353B1D" w:rsidRPr="00364227" w:rsidRDefault="00353B1D" w:rsidP="00353B1D">
      <w:pPr>
        <w:jc w:val="both"/>
        <w:rPr>
          <w:rFonts w:ascii="David" w:hAnsi="David"/>
          <w:rtl/>
        </w:rPr>
      </w:pPr>
    </w:p>
    <w:p w14:paraId="7ACC062E" w14:textId="77777777" w:rsidR="00353B1D" w:rsidRPr="001B3867" w:rsidRDefault="00353B1D" w:rsidP="00353B1D">
      <w:pPr>
        <w:spacing w:line="360" w:lineRule="auto"/>
        <w:jc w:val="both"/>
        <w:rPr>
          <w:rFonts w:ascii="Miriam" w:hAnsi="Miriam" w:cs="Miriam"/>
          <w:u w:val="single"/>
          <w:rtl/>
        </w:rPr>
      </w:pPr>
      <w:r w:rsidRPr="001B3867">
        <w:rPr>
          <w:rFonts w:ascii="Miriam" w:hAnsi="Miriam" w:cs="Miriam"/>
          <w:u w:val="single"/>
          <w:rtl/>
        </w:rPr>
        <w:t>תסקיר</w:t>
      </w:r>
      <w:r w:rsidRPr="001B3867">
        <w:rPr>
          <w:rFonts w:ascii="Miriam" w:hAnsi="Miriam" w:cs="Miriam" w:hint="cs"/>
          <w:u w:val="single"/>
          <w:rtl/>
        </w:rPr>
        <w:t>י</w:t>
      </w:r>
      <w:r w:rsidRPr="001B3867">
        <w:rPr>
          <w:rFonts w:ascii="Miriam" w:hAnsi="Miriam" w:cs="Miriam"/>
          <w:u w:val="single"/>
          <w:rtl/>
        </w:rPr>
        <w:t xml:space="preserve"> שירות המבחן בעניין נאשם 1</w:t>
      </w:r>
    </w:p>
    <w:p w14:paraId="001618C3" w14:textId="77777777" w:rsidR="00353B1D" w:rsidRPr="00364227" w:rsidRDefault="00353B1D" w:rsidP="00353B1D">
      <w:pPr>
        <w:spacing w:line="360" w:lineRule="auto"/>
        <w:jc w:val="both"/>
        <w:rPr>
          <w:rFonts w:ascii="David" w:hAnsi="David"/>
          <w:rtl/>
        </w:rPr>
      </w:pPr>
    </w:p>
    <w:p w14:paraId="6AC0A2AA" w14:textId="77777777" w:rsidR="00353B1D" w:rsidRPr="00364227" w:rsidRDefault="00353B1D" w:rsidP="00353B1D">
      <w:pPr>
        <w:spacing w:line="360" w:lineRule="auto"/>
        <w:jc w:val="both"/>
        <w:rPr>
          <w:rFonts w:ascii="David" w:hAnsi="David"/>
          <w:rtl/>
        </w:rPr>
      </w:pPr>
      <w:r w:rsidRPr="00364227">
        <w:rPr>
          <w:rFonts w:ascii="David" w:hAnsi="David" w:hint="cs"/>
          <w:rtl/>
        </w:rPr>
        <w:t>3.</w:t>
      </w:r>
      <w:r w:rsidRPr="00364227">
        <w:rPr>
          <w:rFonts w:ascii="David" w:hAnsi="David" w:hint="cs"/>
          <w:rtl/>
        </w:rPr>
        <w:tab/>
        <w:t xml:space="preserve">מתסקיר שירות המבחן שהוגש על אודות הנאשם </w:t>
      </w:r>
      <w:r>
        <w:rPr>
          <w:rFonts w:ascii="David" w:hAnsi="David" w:hint="cs"/>
          <w:rtl/>
        </w:rPr>
        <w:t xml:space="preserve">1 (להלן בפרק זה גם: </w:t>
      </w:r>
      <w:r w:rsidRPr="000F7D1C">
        <w:rPr>
          <w:rFonts w:ascii="Miriam" w:hAnsi="Miriam" w:cs="Miriam"/>
          <w:rtl/>
        </w:rPr>
        <w:t>הנאשם</w:t>
      </w:r>
      <w:r>
        <w:rPr>
          <w:rFonts w:ascii="David" w:hAnsi="David" w:hint="cs"/>
          <w:rtl/>
        </w:rPr>
        <w:t xml:space="preserve">) </w:t>
      </w:r>
      <w:r w:rsidRPr="00364227">
        <w:rPr>
          <w:rFonts w:ascii="David" w:hAnsi="David" w:hint="cs"/>
          <w:rtl/>
        </w:rPr>
        <w:t>עולה, כי הלה רווק בן 24, מאורס מזה כשנתיים לבת זוגו. שירות המבחן העריך כי הנאשם ג</w:t>
      </w:r>
      <w:r>
        <w:rPr>
          <w:rFonts w:ascii="David" w:hAnsi="David" w:hint="cs"/>
          <w:rtl/>
        </w:rPr>
        <w:t>דל במשפחה בה הגבולות מטושטשים, בעל מאפייני אישיות</w:t>
      </w:r>
      <w:r w:rsidRPr="00364227">
        <w:rPr>
          <w:rFonts w:ascii="David" w:hAnsi="David" w:hint="cs"/>
          <w:rtl/>
        </w:rPr>
        <w:t xml:space="preserve"> שאינם בשלים, </w:t>
      </w:r>
      <w:r>
        <w:rPr>
          <w:rFonts w:ascii="David" w:hAnsi="David" w:hint="cs"/>
          <w:rtl/>
        </w:rPr>
        <w:t>לצד נטייתו</w:t>
      </w:r>
      <w:r w:rsidRPr="00364227">
        <w:rPr>
          <w:rFonts w:ascii="David" w:hAnsi="David" w:hint="cs"/>
          <w:rtl/>
        </w:rPr>
        <w:t xml:space="preserve"> להיגרר אחר אחרים</w:t>
      </w:r>
      <w:r>
        <w:rPr>
          <w:rFonts w:ascii="David" w:hAnsi="David" w:hint="cs"/>
          <w:rtl/>
        </w:rPr>
        <w:t>. עוד צוין כי הנאשם</w:t>
      </w:r>
      <w:r w:rsidRPr="00364227">
        <w:rPr>
          <w:rFonts w:ascii="David" w:hAnsi="David" w:hint="cs"/>
          <w:rtl/>
        </w:rPr>
        <w:t xml:space="preserve"> מתקשה לחשוב על השלכות מעשיו בטרם פועל. </w:t>
      </w:r>
      <w:r>
        <w:rPr>
          <w:rFonts w:ascii="David" w:hAnsi="David" w:hint="cs"/>
          <w:rtl/>
        </w:rPr>
        <w:t xml:space="preserve"> כמו כן, </w:t>
      </w:r>
      <w:r w:rsidRPr="00364227">
        <w:rPr>
          <w:rFonts w:ascii="David" w:hAnsi="David" w:hint="cs"/>
          <w:rtl/>
        </w:rPr>
        <w:t xml:space="preserve">לחובת הנאשם </w:t>
      </w:r>
      <w:r>
        <w:rPr>
          <w:rFonts w:ascii="David" w:hAnsi="David" w:hint="cs"/>
          <w:rtl/>
        </w:rPr>
        <w:t>שתי</w:t>
      </w:r>
      <w:r w:rsidRPr="00364227">
        <w:rPr>
          <w:rFonts w:ascii="David" w:hAnsi="David" w:hint="cs"/>
          <w:rtl/>
        </w:rPr>
        <w:t xml:space="preserve"> הרשעות קודמות בעבירות רכוש, בגינן ריצה </w:t>
      </w:r>
      <w:r>
        <w:rPr>
          <w:rFonts w:ascii="David" w:hAnsi="David" w:hint="cs"/>
          <w:rtl/>
        </w:rPr>
        <w:t>מאסר ב</w:t>
      </w:r>
      <w:r w:rsidRPr="00364227">
        <w:rPr>
          <w:rFonts w:ascii="David" w:hAnsi="David" w:hint="cs"/>
          <w:rtl/>
        </w:rPr>
        <w:t>עבודות שירות ומאסר בפועל</w:t>
      </w:r>
      <w:r>
        <w:rPr>
          <w:rFonts w:ascii="David" w:hAnsi="David" w:hint="cs"/>
          <w:rtl/>
        </w:rPr>
        <w:t>.</w:t>
      </w:r>
    </w:p>
    <w:p w14:paraId="7B2D4BF1" w14:textId="77777777" w:rsidR="00353B1D" w:rsidRPr="00364227" w:rsidRDefault="00353B1D" w:rsidP="00353B1D">
      <w:pPr>
        <w:jc w:val="both"/>
        <w:rPr>
          <w:rFonts w:ascii="David" w:hAnsi="David"/>
          <w:rtl/>
        </w:rPr>
      </w:pPr>
    </w:p>
    <w:p w14:paraId="13C75184" w14:textId="77777777" w:rsidR="00353B1D" w:rsidRPr="00364227" w:rsidRDefault="00353B1D" w:rsidP="00353B1D">
      <w:pPr>
        <w:spacing w:line="360" w:lineRule="auto"/>
        <w:jc w:val="both"/>
        <w:rPr>
          <w:rFonts w:ascii="David" w:hAnsi="David"/>
          <w:rtl/>
        </w:rPr>
      </w:pPr>
      <w:r w:rsidRPr="00364227">
        <w:rPr>
          <w:rFonts w:ascii="David" w:hAnsi="David" w:hint="cs"/>
          <w:rtl/>
        </w:rPr>
        <w:t>4.</w:t>
      </w:r>
      <w:r w:rsidRPr="00364227">
        <w:rPr>
          <w:rFonts w:ascii="David" w:hAnsi="David" w:hint="cs"/>
          <w:rtl/>
        </w:rPr>
        <w:tab/>
        <w:t>בבואו להעריך את הסיכון להישנות עבירות</w:t>
      </w:r>
      <w:r>
        <w:rPr>
          <w:rFonts w:ascii="David" w:hAnsi="David" w:hint="cs"/>
          <w:rtl/>
        </w:rPr>
        <w:t>,</w:t>
      </w:r>
      <w:r w:rsidRPr="00364227">
        <w:rPr>
          <w:rFonts w:ascii="David" w:hAnsi="David" w:hint="cs"/>
          <w:rtl/>
        </w:rPr>
        <w:t xml:space="preserve"> התרשם שירות המבחן מיכולתו של הנאשם ליתן מבטחו בגורמי טיפול, כמו גם מיכולת בינונית לשמירה על יציבות תעסוקתית. נוסף על כך, התרשם שירות המבחן מיכולת נמוכה לתקשורת טובה ומקושי בוויסות דחפיו. עוד ניכר</w:t>
      </w:r>
      <w:r>
        <w:rPr>
          <w:rFonts w:ascii="David" w:hAnsi="David" w:hint="cs"/>
          <w:rtl/>
        </w:rPr>
        <w:t>ת</w:t>
      </w:r>
      <w:r w:rsidRPr="00364227">
        <w:rPr>
          <w:rFonts w:ascii="David" w:hAnsi="David" w:hint="cs"/>
          <w:rtl/>
        </w:rPr>
        <w:t xml:space="preserve"> אצל הנאשם יכולת מוגבלת לאחריות אישית למעשיו. הנאשם אומנם לא שלל טיפול באופן הצהרתי, אך גילה רצון ניכר לחזור לשגרת חייו, ללא ביטוי של נזקקות להליך טיפולי.</w:t>
      </w:r>
    </w:p>
    <w:p w14:paraId="608EFD42" w14:textId="77777777" w:rsidR="00353B1D" w:rsidRPr="00364227" w:rsidRDefault="00353B1D" w:rsidP="00353B1D">
      <w:pPr>
        <w:jc w:val="both"/>
        <w:rPr>
          <w:rFonts w:ascii="David" w:hAnsi="David"/>
          <w:rtl/>
        </w:rPr>
      </w:pPr>
    </w:p>
    <w:p w14:paraId="6896B1AE" w14:textId="77777777" w:rsidR="00353B1D" w:rsidRPr="00364227" w:rsidRDefault="00353B1D" w:rsidP="00353B1D">
      <w:pPr>
        <w:spacing w:line="360" w:lineRule="auto"/>
        <w:jc w:val="both"/>
        <w:rPr>
          <w:rFonts w:ascii="David" w:hAnsi="David"/>
          <w:rtl/>
        </w:rPr>
      </w:pPr>
      <w:r w:rsidRPr="00364227">
        <w:rPr>
          <w:rFonts w:ascii="David" w:hAnsi="David" w:hint="cs"/>
          <w:rtl/>
        </w:rPr>
        <w:t>5.</w:t>
      </w:r>
      <w:r w:rsidRPr="00364227">
        <w:rPr>
          <w:rFonts w:ascii="David" w:hAnsi="David" w:hint="cs"/>
          <w:rtl/>
        </w:rPr>
        <w:tab/>
        <w:t>שירות המבחן מעריך כי לאורך השנים ומאז מעורבותו הקודמת, חלה הסלמה ברמת הסיכון הנשקף מאופי העביר</w:t>
      </w:r>
      <w:r>
        <w:rPr>
          <w:rFonts w:ascii="David" w:hAnsi="David" w:hint="cs"/>
          <w:rtl/>
        </w:rPr>
        <w:t xml:space="preserve">ות בהן מעורב הנאשם ואף </w:t>
      </w:r>
      <w:r w:rsidRPr="00364227">
        <w:rPr>
          <w:rFonts w:ascii="David" w:hAnsi="David" w:hint="cs"/>
          <w:rtl/>
        </w:rPr>
        <w:t>התרשם כי הנאשם עלול לנהוג באלימות עקב נטייה להתנהגות אימפולסיבית וחסרת תכנון.</w:t>
      </w:r>
    </w:p>
    <w:p w14:paraId="782B3ED8" w14:textId="77777777" w:rsidR="00353B1D" w:rsidRPr="00364227" w:rsidRDefault="00353B1D" w:rsidP="00353B1D">
      <w:pPr>
        <w:jc w:val="both"/>
        <w:rPr>
          <w:rFonts w:ascii="David" w:hAnsi="David"/>
          <w:rtl/>
        </w:rPr>
      </w:pPr>
    </w:p>
    <w:p w14:paraId="2E16CE1E" w14:textId="77777777" w:rsidR="00353B1D" w:rsidRPr="00364227" w:rsidRDefault="00353B1D" w:rsidP="00353B1D">
      <w:pPr>
        <w:spacing w:line="360" w:lineRule="auto"/>
        <w:jc w:val="both"/>
        <w:rPr>
          <w:rFonts w:ascii="David" w:hAnsi="David"/>
          <w:rtl/>
        </w:rPr>
      </w:pPr>
      <w:r w:rsidRPr="00364227">
        <w:rPr>
          <w:rFonts w:ascii="David" w:hAnsi="David" w:hint="cs"/>
          <w:rtl/>
        </w:rPr>
        <w:t>6.</w:t>
      </w:r>
      <w:r w:rsidRPr="00364227">
        <w:rPr>
          <w:rFonts w:ascii="David" w:hAnsi="David" w:hint="cs"/>
          <w:rtl/>
        </w:rPr>
        <w:tab/>
        <w:t>בבואו לגבש עמדה בעניינו של הנאשם, התרשם שירות המבחן כ</w:t>
      </w:r>
      <w:r>
        <w:rPr>
          <w:rFonts w:ascii="David" w:hAnsi="David" w:hint="cs"/>
          <w:rtl/>
        </w:rPr>
        <w:t>י הנאשם אינו לוקח אחריות פעילה לחריגתו מגבולות החוק</w:t>
      </w:r>
      <w:r w:rsidRPr="00364227">
        <w:rPr>
          <w:rFonts w:ascii="David" w:hAnsi="David" w:hint="cs"/>
          <w:rtl/>
        </w:rPr>
        <w:t xml:space="preserve"> אך מבין שעליו לשלם את המחיר בגין </w:t>
      </w:r>
      <w:r>
        <w:rPr>
          <w:rFonts w:ascii="David" w:hAnsi="David" w:hint="cs"/>
          <w:rtl/>
        </w:rPr>
        <w:t>כך</w:t>
      </w:r>
      <w:r w:rsidRPr="00364227">
        <w:rPr>
          <w:rFonts w:ascii="David" w:hAnsi="David" w:hint="cs"/>
          <w:rtl/>
        </w:rPr>
        <w:t xml:space="preserve">. נוכח עמדתו </w:t>
      </w:r>
      <w:r>
        <w:rPr>
          <w:rFonts w:ascii="David" w:hAnsi="David" w:hint="cs"/>
          <w:rtl/>
        </w:rPr>
        <w:t xml:space="preserve">של הנאשם </w:t>
      </w:r>
      <w:r w:rsidRPr="00364227">
        <w:rPr>
          <w:rFonts w:ascii="David" w:hAnsi="David" w:hint="cs"/>
          <w:rtl/>
        </w:rPr>
        <w:t>ביחס לטיפול</w:t>
      </w:r>
      <w:r>
        <w:rPr>
          <w:rFonts w:ascii="David" w:hAnsi="David" w:hint="cs"/>
          <w:rtl/>
        </w:rPr>
        <w:t xml:space="preserve"> שהינה מילולית ללא פניות ובשלות רגשית וללא יכולת להתבונן באופן מעמיק על מעשיו</w:t>
      </w:r>
      <w:r w:rsidRPr="00364227">
        <w:rPr>
          <w:rFonts w:ascii="David" w:hAnsi="David" w:hint="cs"/>
          <w:rtl/>
        </w:rPr>
        <w:t>, הפרוגנוז</w:t>
      </w:r>
      <w:r w:rsidRPr="00364227">
        <w:rPr>
          <w:rFonts w:ascii="David" w:hAnsi="David" w:hint="eastAsia"/>
          <w:rtl/>
        </w:rPr>
        <w:t>ה</w:t>
      </w:r>
      <w:r w:rsidRPr="00364227">
        <w:rPr>
          <w:rFonts w:ascii="David" w:hAnsi="David" w:hint="cs"/>
          <w:rtl/>
        </w:rPr>
        <w:t xml:space="preserve"> לשיקום- נמוכה. בשקלול גורמי הסיכון, ל</w:t>
      </w:r>
      <w:r>
        <w:rPr>
          <w:rFonts w:ascii="David" w:hAnsi="David" w:hint="cs"/>
          <w:rtl/>
        </w:rPr>
        <w:t xml:space="preserve">צד </w:t>
      </w:r>
      <w:r w:rsidRPr="00364227">
        <w:rPr>
          <w:rFonts w:ascii="David" w:hAnsi="David" w:hint="cs"/>
          <w:rtl/>
        </w:rPr>
        <w:t>היעדר הליך טיפולי</w:t>
      </w:r>
      <w:r>
        <w:rPr>
          <w:rFonts w:ascii="David" w:hAnsi="David" w:hint="cs"/>
          <w:rtl/>
        </w:rPr>
        <w:t xml:space="preserve"> ו</w:t>
      </w:r>
      <w:r w:rsidRPr="00364227">
        <w:rPr>
          <w:rFonts w:ascii="David" w:hAnsi="David" w:hint="cs"/>
          <w:rtl/>
        </w:rPr>
        <w:t>ה</w:t>
      </w:r>
      <w:r>
        <w:rPr>
          <w:rFonts w:ascii="David" w:hAnsi="David" w:hint="cs"/>
          <w:rtl/>
        </w:rPr>
        <w:t>סיכון להישנות התנהגות חוצת גבולות,</w:t>
      </w:r>
      <w:r w:rsidRPr="00364227">
        <w:rPr>
          <w:rFonts w:ascii="David" w:hAnsi="David" w:hint="cs"/>
          <w:rtl/>
        </w:rPr>
        <w:t xml:space="preserve"> , נמנע שירות המבחן מלבוא בהמלצה טיפולית בעניינו.</w:t>
      </w:r>
    </w:p>
    <w:p w14:paraId="3BEE333C" w14:textId="77777777" w:rsidR="00353B1D" w:rsidRPr="00364227" w:rsidRDefault="00353B1D" w:rsidP="00353B1D">
      <w:pPr>
        <w:jc w:val="both"/>
        <w:rPr>
          <w:rFonts w:ascii="David" w:hAnsi="David"/>
          <w:rtl/>
        </w:rPr>
      </w:pPr>
    </w:p>
    <w:p w14:paraId="3C305293" w14:textId="77777777" w:rsidR="00353B1D" w:rsidRPr="00364227" w:rsidRDefault="00353B1D" w:rsidP="00353B1D">
      <w:pPr>
        <w:spacing w:line="360" w:lineRule="auto"/>
        <w:jc w:val="both"/>
        <w:rPr>
          <w:rFonts w:ascii="David" w:hAnsi="David"/>
          <w:rtl/>
        </w:rPr>
      </w:pPr>
      <w:r w:rsidRPr="00364227">
        <w:rPr>
          <w:rFonts w:ascii="David" w:hAnsi="David" w:hint="cs"/>
          <w:rtl/>
        </w:rPr>
        <w:t>7.</w:t>
      </w:r>
      <w:r w:rsidRPr="00364227">
        <w:rPr>
          <w:rFonts w:ascii="David" w:hAnsi="David" w:hint="cs"/>
          <w:rtl/>
        </w:rPr>
        <w:tab/>
      </w:r>
      <w:r>
        <w:rPr>
          <w:rFonts w:ascii="David" w:hAnsi="David" w:hint="cs"/>
          <w:rtl/>
        </w:rPr>
        <w:t>ל</w:t>
      </w:r>
      <w:r w:rsidRPr="00364227">
        <w:rPr>
          <w:rFonts w:ascii="David" w:hAnsi="David" w:hint="cs"/>
          <w:rtl/>
        </w:rPr>
        <w:t xml:space="preserve">בקשת הסניגור, </w:t>
      </w:r>
      <w:r>
        <w:rPr>
          <w:rFonts w:ascii="David" w:hAnsi="David" w:hint="cs"/>
          <w:rtl/>
        </w:rPr>
        <w:t xml:space="preserve">אשר טען כי </w:t>
      </w:r>
      <w:r w:rsidRPr="00364227">
        <w:rPr>
          <w:rFonts w:ascii="David" w:hAnsi="David" w:hint="cs"/>
          <w:rtl/>
        </w:rPr>
        <w:t>דבריו של הנאשם לא הובנו כהוויית</w:t>
      </w:r>
      <w:r w:rsidRPr="00364227">
        <w:rPr>
          <w:rFonts w:ascii="David" w:hAnsi="David" w:hint="eastAsia"/>
          <w:rtl/>
        </w:rPr>
        <w:t>ם</w:t>
      </w:r>
      <w:r w:rsidRPr="00364227">
        <w:rPr>
          <w:rFonts w:ascii="David" w:hAnsi="David" w:hint="cs"/>
          <w:rtl/>
        </w:rPr>
        <w:t xml:space="preserve"> בתסקיר הראשון </w:t>
      </w:r>
      <w:r>
        <w:rPr>
          <w:rFonts w:ascii="David" w:hAnsi="David" w:hint="cs"/>
          <w:rtl/>
        </w:rPr>
        <w:t>וכי הוא מבקש להשתלב בהליך טיפולי</w:t>
      </w:r>
      <w:r w:rsidRPr="00364227">
        <w:rPr>
          <w:rFonts w:ascii="David" w:hAnsi="David" w:hint="cs"/>
          <w:rtl/>
        </w:rPr>
        <w:t xml:space="preserve">, </w:t>
      </w:r>
      <w:r>
        <w:rPr>
          <w:rFonts w:ascii="David" w:hAnsi="David" w:hint="cs"/>
          <w:rtl/>
        </w:rPr>
        <w:t xml:space="preserve">למצער בבית הכלא, </w:t>
      </w:r>
      <w:r w:rsidRPr="00364227">
        <w:rPr>
          <w:rFonts w:ascii="David" w:hAnsi="David" w:hint="cs"/>
          <w:rtl/>
        </w:rPr>
        <w:t>הוגש ביום 14/7/21  תסקיר משלים בעניינו</w:t>
      </w:r>
      <w:r>
        <w:rPr>
          <w:rFonts w:ascii="David" w:hAnsi="David" w:hint="cs"/>
          <w:rtl/>
        </w:rPr>
        <w:t xml:space="preserve"> של הנאשם</w:t>
      </w:r>
      <w:r w:rsidRPr="00364227">
        <w:rPr>
          <w:rFonts w:ascii="David" w:hAnsi="David" w:hint="cs"/>
          <w:rtl/>
        </w:rPr>
        <w:t xml:space="preserve">. בתסקיר הנ"ל הבהיר שירות המבחן כי על אף היות שפת האם של הנאשם </w:t>
      </w:r>
      <w:r w:rsidRPr="00364227">
        <w:rPr>
          <w:rFonts w:ascii="David" w:hAnsi="David"/>
          <w:rtl/>
        </w:rPr>
        <w:t>–</w:t>
      </w:r>
      <w:r w:rsidRPr="00364227">
        <w:rPr>
          <w:rFonts w:ascii="David" w:hAnsi="David" w:hint="cs"/>
          <w:rtl/>
        </w:rPr>
        <w:t>ערבית, עלה בידי</w:t>
      </w:r>
      <w:r>
        <w:rPr>
          <w:rFonts w:ascii="David" w:hAnsi="David" w:hint="cs"/>
          <w:rtl/>
        </w:rPr>
        <w:t xml:space="preserve"> שירות המבחן </w:t>
      </w:r>
      <w:r w:rsidRPr="00364227">
        <w:rPr>
          <w:rFonts w:ascii="David" w:hAnsi="David" w:hint="cs"/>
          <w:rtl/>
        </w:rPr>
        <w:t xml:space="preserve">לאסוף את כל המידע הרלוונטי לגבי הנאשם. אשר לבקשת הנאשם להשתלב בהליך טיפולי בין כותלי בית הסוהר, הבהיר שירות המבחן כי אין זה מאחריותו להפנות אליו. </w:t>
      </w:r>
      <w:r w:rsidRPr="00364227">
        <w:rPr>
          <w:rFonts w:ascii="David" w:hAnsi="David" w:hint="cs"/>
          <w:rtl/>
        </w:rPr>
        <w:lastRenderedPageBreak/>
        <w:t>שירות המבחן שב וציין כי אמנם הנאשם לא שלל נזקקות טיפולית באופן מילולי, אך לצד זאת התקשה לחשוף קשיים רגשיים ולא גילה מוקדי קושי ל</w:t>
      </w:r>
      <w:r>
        <w:rPr>
          <w:rFonts w:ascii="David" w:hAnsi="David" w:hint="cs"/>
          <w:rtl/>
        </w:rPr>
        <w:t xml:space="preserve">צורך </w:t>
      </w:r>
      <w:r w:rsidRPr="00364227">
        <w:rPr>
          <w:rFonts w:ascii="David" w:hAnsi="David" w:hint="cs"/>
          <w:rtl/>
        </w:rPr>
        <w:t>טיפול</w:t>
      </w:r>
      <w:r>
        <w:rPr>
          <w:rFonts w:ascii="David" w:hAnsi="David" w:hint="cs"/>
          <w:rtl/>
        </w:rPr>
        <w:t xml:space="preserve"> בהם</w:t>
      </w:r>
      <w:r w:rsidRPr="00364227">
        <w:rPr>
          <w:rFonts w:ascii="David" w:hAnsi="David" w:hint="cs"/>
          <w:rtl/>
        </w:rPr>
        <w:t xml:space="preserve">. שירות המבחן </w:t>
      </w:r>
      <w:r>
        <w:rPr>
          <w:rFonts w:ascii="David" w:hAnsi="David" w:hint="cs"/>
          <w:rtl/>
        </w:rPr>
        <w:t>שב ו</w:t>
      </w:r>
      <w:r w:rsidRPr="00364227">
        <w:rPr>
          <w:rFonts w:ascii="David" w:hAnsi="David" w:hint="cs"/>
          <w:rtl/>
        </w:rPr>
        <w:t xml:space="preserve">התרשם </w:t>
      </w:r>
      <w:r>
        <w:rPr>
          <w:rFonts w:ascii="David" w:hAnsi="David" w:hint="cs"/>
          <w:rtl/>
        </w:rPr>
        <w:t xml:space="preserve">אצל  הנאשם </w:t>
      </w:r>
      <w:r w:rsidRPr="00364227">
        <w:rPr>
          <w:rFonts w:ascii="David" w:hAnsi="David" w:hint="cs"/>
          <w:rtl/>
        </w:rPr>
        <w:t>מהיעדר פניות ובשלות רגשית והעריך כי הפרוגנוז</w:t>
      </w:r>
      <w:r w:rsidRPr="00364227">
        <w:rPr>
          <w:rFonts w:ascii="David" w:hAnsi="David" w:hint="eastAsia"/>
          <w:rtl/>
        </w:rPr>
        <w:t>ה</w:t>
      </w:r>
      <w:r w:rsidRPr="00364227">
        <w:rPr>
          <w:rFonts w:ascii="David" w:hAnsi="David" w:hint="cs"/>
          <w:rtl/>
        </w:rPr>
        <w:t xml:space="preserve"> לשיקום </w:t>
      </w:r>
      <w:r>
        <w:rPr>
          <w:rFonts w:ascii="David" w:hAnsi="David" w:hint="cs"/>
          <w:rtl/>
        </w:rPr>
        <w:t xml:space="preserve">לגביו </w:t>
      </w:r>
      <w:r w:rsidRPr="00364227">
        <w:rPr>
          <w:rFonts w:ascii="David" w:hAnsi="David" w:hint="cs"/>
          <w:rtl/>
        </w:rPr>
        <w:t>נותרה נמוכה, כאמור בתסקיר הראשון.</w:t>
      </w:r>
    </w:p>
    <w:p w14:paraId="24DC99B6" w14:textId="77777777" w:rsidR="00353B1D" w:rsidRPr="00364227" w:rsidRDefault="00353B1D" w:rsidP="00353B1D">
      <w:pPr>
        <w:jc w:val="both"/>
        <w:rPr>
          <w:rFonts w:ascii="David" w:hAnsi="David"/>
          <w:rtl/>
        </w:rPr>
      </w:pPr>
    </w:p>
    <w:p w14:paraId="3E019975" w14:textId="77777777" w:rsidR="00353B1D" w:rsidRPr="001B3867" w:rsidRDefault="00353B1D" w:rsidP="00353B1D">
      <w:pPr>
        <w:spacing w:line="360" w:lineRule="auto"/>
        <w:jc w:val="both"/>
        <w:rPr>
          <w:rFonts w:ascii="Miriam" w:hAnsi="Miriam" w:cs="Miriam"/>
          <w:u w:val="single"/>
          <w:rtl/>
        </w:rPr>
      </w:pPr>
      <w:r w:rsidRPr="001B3867">
        <w:rPr>
          <w:rFonts w:ascii="Miriam" w:hAnsi="Miriam" w:cs="Miriam"/>
          <w:u w:val="single"/>
          <w:rtl/>
        </w:rPr>
        <w:t>תסקיר שירות המבחן בעניינו של נאשם 2</w:t>
      </w:r>
    </w:p>
    <w:p w14:paraId="5E68FC23" w14:textId="77777777" w:rsidR="00353B1D" w:rsidRPr="00364227" w:rsidRDefault="00353B1D" w:rsidP="00353B1D">
      <w:pPr>
        <w:jc w:val="both"/>
        <w:rPr>
          <w:rFonts w:ascii="David" w:hAnsi="David"/>
          <w:rtl/>
        </w:rPr>
      </w:pPr>
    </w:p>
    <w:p w14:paraId="7C9DB45C" w14:textId="77777777" w:rsidR="00353B1D" w:rsidRPr="00364227" w:rsidRDefault="00353B1D" w:rsidP="00353B1D">
      <w:pPr>
        <w:spacing w:line="360" w:lineRule="auto"/>
        <w:jc w:val="both"/>
        <w:rPr>
          <w:rFonts w:ascii="David" w:hAnsi="David"/>
          <w:rtl/>
        </w:rPr>
      </w:pPr>
      <w:r w:rsidRPr="00364227">
        <w:rPr>
          <w:rFonts w:ascii="David" w:hAnsi="David" w:hint="cs"/>
          <w:rtl/>
        </w:rPr>
        <w:t>8.</w:t>
      </w:r>
      <w:r w:rsidRPr="00364227">
        <w:rPr>
          <w:rFonts w:ascii="David" w:hAnsi="David" w:hint="cs"/>
          <w:rtl/>
        </w:rPr>
        <w:tab/>
        <w:t xml:space="preserve">מהתסקיר שנערך על אודות הנאשם </w:t>
      </w:r>
      <w:r>
        <w:rPr>
          <w:rFonts w:ascii="David" w:hAnsi="David" w:hint="cs"/>
          <w:rtl/>
        </w:rPr>
        <w:t xml:space="preserve">2 (להלן בפרק זה גם: </w:t>
      </w:r>
      <w:r w:rsidRPr="000F7D1C">
        <w:rPr>
          <w:rFonts w:ascii="Miriam" w:hAnsi="Miriam" w:cs="Miriam"/>
          <w:rtl/>
        </w:rPr>
        <w:t>הנאשם</w:t>
      </w:r>
      <w:r>
        <w:rPr>
          <w:rFonts w:ascii="David" w:hAnsi="David" w:hint="cs"/>
          <w:rtl/>
        </w:rPr>
        <w:t xml:space="preserve">) </w:t>
      </w:r>
      <w:r w:rsidRPr="00364227">
        <w:rPr>
          <w:rFonts w:ascii="David" w:hAnsi="David" w:hint="cs"/>
          <w:rtl/>
        </w:rPr>
        <w:t>עולה, כי הלה בן 25, רווק, שוהה בתנאי מעצר בית באיזוק אלקטרוני בבית חבריו. עברו של הנאשם נקי ללא רבב. שירות המבחן התרשם מבחור צעיר, אשר גדל במסגרת משפחתית מיטיבה. הנאשם הצליח לסיים 12 שנות לימוד, ומגלה יציבות תעסוקתית. שירות המבחן התרשם מבחור מופנם, מצומצם רגשית ובעל יכולת ורבאלית נמוכה. בבואו להעריך את גורמי הסיכון להישנות התנהגות עוברת חוק, אול מול גורמי הסיכוי לשיקומו של הנאשם, שקל שירות המבחן את עברו הפלילי הנקי. לצד זאת , לעניין קבלת האחריות, התרשם שירות המבחן כי הנאשם מתקשה לקבל אחריות מלאה על התנהגותו בעת ביצוע העבירות, נוטה להשתמש במנגנוני הגנה נוקשים של מינימליזצי</w:t>
      </w:r>
      <w:r w:rsidRPr="00364227">
        <w:rPr>
          <w:rFonts w:ascii="David" w:hAnsi="David" w:hint="eastAsia"/>
          <w:rtl/>
        </w:rPr>
        <w:t>ה</w:t>
      </w:r>
      <w:r w:rsidRPr="00364227">
        <w:rPr>
          <w:rFonts w:ascii="David" w:hAnsi="David" w:hint="cs"/>
          <w:rtl/>
        </w:rPr>
        <w:t xml:space="preserve"> ורציונליזציה, ומתקשה לערוך התבוננות פנימית. הנאשם הסביר כי ברקע לביצוע העבירות עמדו בין</w:t>
      </w:r>
      <w:r>
        <w:rPr>
          <w:rFonts w:ascii="David" w:hAnsi="David" w:hint="cs"/>
          <w:rtl/>
        </w:rPr>
        <w:t xml:space="preserve"> היתר השפעתם של אלמנטים חברתיים</w:t>
      </w:r>
      <w:r w:rsidRPr="00364227">
        <w:rPr>
          <w:rFonts w:ascii="David" w:hAnsi="David" w:hint="cs"/>
          <w:rtl/>
        </w:rPr>
        <w:t xml:space="preserve"> וקשרים משפחתיים מורכבים. כל אלו מעידים על יכולת נמוכה לעמוד בלחץ חברתי וקושי בזיהוי מצבי סיכון. שירות המבחן התרשם מפער משמעותי בין נסיבות מעורבותו בפלילים</w:t>
      </w:r>
      <w:r>
        <w:rPr>
          <w:rFonts w:ascii="David" w:hAnsi="David" w:hint="cs"/>
          <w:rtl/>
        </w:rPr>
        <w:t xml:space="preserve"> של הנאשם</w:t>
      </w:r>
      <w:r w:rsidRPr="00364227">
        <w:rPr>
          <w:rFonts w:ascii="David" w:hAnsi="David" w:hint="cs"/>
          <w:rtl/>
        </w:rPr>
        <w:t xml:space="preserve"> לבין המצג שהתאמץ להציג בפני שירות המבחן. לפיכך, מעריך שירות המבחן כי קיים סיכון משמעותי להתנהגות פורצת חוק מצדו. נוכח האמור לעיל, נמנע שירות המבחן מלבוא בהמלצה טיפולית במסגרת הקהילה בעניינו של הנאשם.</w:t>
      </w:r>
    </w:p>
    <w:p w14:paraId="491D31F8" w14:textId="77777777" w:rsidR="00353B1D" w:rsidRPr="00364227" w:rsidRDefault="00353B1D" w:rsidP="00353B1D">
      <w:pPr>
        <w:jc w:val="both"/>
        <w:rPr>
          <w:rFonts w:ascii="David" w:hAnsi="David"/>
          <w:rtl/>
        </w:rPr>
      </w:pPr>
    </w:p>
    <w:p w14:paraId="0012DD60" w14:textId="77777777" w:rsidR="00353B1D" w:rsidRPr="001B3867" w:rsidRDefault="00353B1D" w:rsidP="00353B1D">
      <w:pPr>
        <w:spacing w:line="360" w:lineRule="auto"/>
        <w:jc w:val="both"/>
        <w:rPr>
          <w:rFonts w:ascii="Miriam" w:hAnsi="Miriam" w:cs="Miriam"/>
          <w:u w:val="single"/>
          <w:rtl/>
        </w:rPr>
      </w:pPr>
      <w:r w:rsidRPr="001B3867">
        <w:rPr>
          <w:rFonts w:ascii="Miriam" w:hAnsi="Miriam" w:cs="Miriam"/>
          <w:u w:val="single"/>
          <w:rtl/>
        </w:rPr>
        <w:t>ראיות הצדדים לעונש</w:t>
      </w:r>
      <w:r w:rsidRPr="001B3867">
        <w:rPr>
          <w:rFonts w:ascii="Miriam" w:hAnsi="Miriam" w:cs="Miriam" w:hint="cs"/>
          <w:u w:val="single"/>
          <w:rtl/>
        </w:rPr>
        <w:t xml:space="preserve"> </w:t>
      </w:r>
      <w:r w:rsidRPr="001B3867">
        <w:rPr>
          <w:rFonts w:ascii="Miriam" w:hAnsi="Miriam" w:cs="Miriam"/>
          <w:u w:val="single"/>
          <w:rtl/>
        </w:rPr>
        <w:t>וטיעוני</w:t>
      </w:r>
      <w:r w:rsidRPr="001B3867">
        <w:rPr>
          <w:rFonts w:ascii="Miriam" w:hAnsi="Miriam" w:cs="Miriam" w:hint="cs"/>
          <w:u w:val="single"/>
          <w:rtl/>
        </w:rPr>
        <w:t>הם</w:t>
      </w:r>
      <w:r w:rsidRPr="001B3867">
        <w:rPr>
          <w:rFonts w:ascii="Miriam" w:hAnsi="Miriam" w:cs="Miriam"/>
          <w:u w:val="single"/>
          <w:rtl/>
        </w:rPr>
        <w:t xml:space="preserve"> לעונש</w:t>
      </w:r>
    </w:p>
    <w:p w14:paraId="6EC35D07" w14:textId="77777777" w:rsidR="00353B1D" w:rsidRPr="00364227" w:rsidRDefault="00353B1D" w:rsidP="00353B1D">
      <w:pPr>
        <w:jc w:val="both"/>
        <w:rPr>
          <w:rFonts w:ascii="Miriam" w:hAnsi="Miriam" w:cs="Miriam"/>
          <w:rtl/>
        </w:rPr>
      </w:pPr>
    </w:p>
    <w:p w14:paraId="57D4B560" w14:textId="77777777" w:rsidR="00353B1D" w:rsidRPr="00364227" w:rsidRDefault="00353B1D" w:rsidP="00353B1D">
      <w:pPr>
        <w:spacing w:line="360" w:lineRule="auto"/>
        <w:jc w:val="both"/>
        <w:rPr>
          <w:rFonts w:ascii="David" w:hAnsi="David"/>
          <w:rtl/>
        </w:rPr>
      </w:pPr>
      <w:r w:rsidRPr="00364227">
        <w:rPr>
          <w:rFonts w:ascii="David" w:hAnsi="David" w:hint="cs"/>
          <w:rtl/>
        </w:rPr>
        <w:t>9.</w:t>
      </w:r>
      <w:r w:rsidRPr="00364227">
        <w:rPr>
          <w:rFonts w:ascii="David" w:hAnsi="David" w:hint="cs"/>
          <w:rtl/>
        </w:rPr>
        <w:tab/>
        <w:t>במסגרת הראיות לעונש הגישה ב"כ המאשימה את גיליון המרשם התעברותי והפלילי של נאשם 1 (</w:t>
      </w:r>
      <w:r w:rsidRPr="00364227">
        <w:rPr>
          <w:rFonts w:ascii="Miriam" w:hAnsi="Miriam" w:cs="Miriam"/>
          <w:rtl/>
        </w:rPr>
        <w:t>ט/2</w:t>
      </w:r>
      <w:r w:rsidRPr="00364227">
        <w:rPr>
          <w:rFonts w:ascii="David" w:hAnsi="David" w:hint="cs"/>
          <w:rtl/>
        </w:rPr>
        <w:t xml:space="preserve"> ו- </w:t>
      </w:r>
      <w:r w:rsidRPr="00364227">
        <w:rPr>
          <w:rFonts w:ascii="Miriam" w:hAnsi="Miriam" w:cs="Miriam"/>
          <w:rtl/>
        </w:rPr>
        <w:t>ט/2 א'</w:t>
      </w:r>
      <w:r w:rsidRPr="00364227">
        <w:rPr>
          <w:rFonts w:ascii="David" w:hAnsi="David" w:hint="cs"/>
          <w:rtl/>
        </w:rPr>
        <w:t xml:space="preserve"> בהתאמה) וכן את גיליון המרשם התעבורתי של נאשם 2 (</w:t>
      </w:r>
      <w:r w:rsidRPr="00364227">
        <w:rPr>
          <w:rFonts w:ascii="Miriam" w:hAnsi="Miriam" w:cs="Miriam"/>
          <w:rtl/>
        </w:rPr>
        <w:t>ט/3</w:t>
      </w:r>
      <w:r w:rsidRPr="00364227">
        <w:rPr>
          <w:rFonts w:ascii="David" w:hAnsi="David" w:hint="cs"/>
          <w:rtl/>
        </w:rPr>
        <w:t>). עוד הגישה המאשימה את רשימת הכליאות של נאשם 1 (</w:t>
      </w:r>
      <w:r w:rsidRPr="00364227">
        <w:rPr>
          <w:rFonts w:ascii="Miriam" w:hAnsi="Miriam" w:cs="Miriam"/>
          <w:rtl/>
        </w:rPr>
        <w:t>ט/4</w:t>
      </w:r>
      <w:r w:rsidRPr="00364227">
        <w:rPr>
          <w:rFonts w:ascii="David" w:hAnsi="David" w:hint="cs"/>
          <w:rtl/>
        </w:rPr>
        <w:t>) וכן מסמך בעלות רכב המופיע בכתב האישום ואותו מבקשת המאשימה לחלט, לפיו הרכב הנזכר הוא בבעלות אביו של נאשם 2 (</w:t>
      </w:r>
      <w:r w:rsidRPr="00364227">
        <w:rPr>
          <w:rFonts w:ascii="Miriam" w:hAnsi="Miriam" w:cs="Miriam"/>
          <w:rtl/>
        </w:rPr>
        <w:t>ט/5</w:t>
      </w:r>
      <w:r w:rsidRPr="00364227">
        <w:rPr>
          <w:rFonts w:ascii="David" w:hAnsi="David" w:hint="cs"/>
          <w:rtl/>
        </w:rPr>
        <w:t>). נוסף על כך, הגישה המאשימה את הנחיית פרקליט המדינה לעניין מדיניות הענישה בעבירות נשק (</w:t>
      </w:r>
      <w:r w:rsidRPr="00364227">
        <w:rPr>
          <w:rFonts w:ascii="Miriam" w:hAnsi="Miriam" w:cs="Miriam"/>
          <w:rtl/>
        </w:rPr>
        <w:t>ט/6</w:t>
      </w:r>
      <w:r w:rsidRPr="00364227">
        <w:rPr>
          <w:rFonts w:ascii="David" w:hAnsi="David" w:hint="cs"/>
          <w:rtl/>
        </w:rPr>
        <w:t>) ואסופת פסיקה להמחשת עמדתה לעונש (</w:t>
      </w:r>
      <w:r w:rsidRPr="00364227">
        <w:rPr>
          <w:rFonts w:ascii="Miriam" w:hAnsi="Miriam" w:cs="Miriam"/>
          <w:rtl/>
        </w:rPr>
        <w:t>ט/7</w:t>
      </w:r>
      <w:r w:rsidRPr="00364227">
        <w:rPr>
          <w:rFonts w:ascii="David" w:hAnsi="David" w:hint="cs"/>
          <w:rtl/>
        </w:rPr>
        <w:t>) הנזכרת גם בטיעוניה לעונש בכתב.</w:t>
      </w:r>
    </w:p>
    <w:p w14:paraId="163F17A4" w14:textId="77777777" w:rsidR="00353B1D" w:rsidRPr="00364227" w:rsidRDefault="00353B1D" w:rsidP="00353B1D">
      <w:pPr>
        <w:spacing w:line="360" w:lineRule="auto"/>
        <w:jc w:val="both"/>
        <w:rPr>
          <w:rFonts w:ascii="David" w:hAnsi="David"/>
          <w:rtl/>
        </w:rPr>
      </w:pPr>
    </w:p>
    <w:p w14:paraId="0D7ABA69" w14:textId="77777777" w:rsidR="00353B1D" w:rsidRPr="00364227" w:rsidRDefault="00353B1D" w:rsidP="00353B1D">
      <w:pPr>
        <w:spacing w:line="360" w:lineRule="auto"/>
        <w:jc w:val="both"/>
        <w:rPr>
          <w:rFonts w:ascii="David" w:hAnsi="David"/>
          <w:rtl/>
        </w:rPr>
      </w:pPr>
      <w:r w:rsidRPr="00364227">
        <w:rPr>
          <w:rFonts w:ascii="David" w:hAnsi="David" w:hint="cs"/>
          <w:rtl/>
        </w:rPr>
        <w:t>10.</w:t>
      </w:r>
      <w:r w:rsidRPr="00364227">
        <w:rPr>
          <w:rFonts w:ascii="David" w:hAnsi="David" w:hint="cs"/>
          <w:rtl/>
        </w:rPr>
        <w:tab/>
        <w:t>במסגרת טיעוניה לעונש בכתב (</w:t>
      </w:r>
      <w:r w:rsidRPr="00364227">
        <w:rPr>
          <w:rFonts w:ascii="Miriam" w:hAnsi="Miriam" w:cs="Miriam"/>
          <w:rtl/>
        </w:rPr>
        <w:t>ט/1</w:t>
      </w:r>
      <w:r w:rsidRPr="00364227">
        <w:rPr>
          <w:rFonts w:ascii="David" w:hAnsi="David" w:hint="cs"/>
          <w:rtl/>
        </w:rPr>
        <w:t>) ציינה המאשימה כי  עיון בגיליון המרשם הפלילי של נאשם 1 מלמד כי לחובתו  שתי הרשעות קודמות, בין היתר בעבירות רכוש; התפרצות; קשירת קש</w:t>
      </w:r>
      <w:r>
        <w:rPr>
          <w:rFonts w:ascii="David" w:hAnsi="David" w:hint="cs"/>
          <w:rtl/>
        </w:rPr>
        <w:t>ר לפשע, בגינם ריצה 2 עונשי מאסר</w:t>
      </w:r>
      <w:r w:rsidRPr="00364227">
        <w:rPr>
          <w:rFonts w:ascii="David" w:hAnsi="David" w:hint="cs"/>
          <w:rtl/>
        </w:rPr>
        <w:t xml:space="preserve"> מהעת האחרונה. המאשימה הדגישה כי העבירות מושא תיק זה נעברו </w:t>
      </w:r>
      <w:r>
        <w:rPr>
          <w:rFonts w:ascii="David" w:hAnsi="David" w:hint="cs"/>
          <w:rtl/>
        </w:rPr>
        <w:t xml:space="preserve">ע"י הנאשם </w:t>
      </w:r>
      <w:r w:rsidRPr="00364227">
        <w:rPr>
          <w:rFonts w:ascii="David" w:hAnsi="David" w:hint="cs"/>
          <w:rtl/>
        </w:rPr>
        <w:t>אך בחלוף 7.5 חודשים מאז שחרורו מהמאסר</w:t>
      </w:r>
      <w:r>
        <w:rPr>
          <w:rFonts w:ascii="David" w:hAnsi="David" w:hint="cs"/>
          <w:rtl/>
        </w:rPr>
        <w:t xml:space="preserve"> האחרון</w:t>
      </w:r>
      <w:r w:rsidRPr="00364227">
        <w:rPr>
          <w:rFonts w:ascii="David" w:hAnsi="David" w:hint="cs"/>
          <w:rtl/>
        </w:rPr>
        <w:t>. עוד צוין, כי בגזר הדין שהושת על הנאשם ביום 29/1/19 הושתו עליו 13 חודשי מאסר בפועל (הופעל</w:t>
      </w:r>
      <w:r>
        <w:rPr>
          <w:rFonts w:ascii="David" w:hAnsi="David" w:hint="cs"/>
          <w:rtl/>
        </w:rPr>
        <w:t xml:space="preserve"> </w:t>
      </w:r>
      <w:r w:rsidRPr="00364227">
        <w:rPr>
          <w:rFonts w:ascii="David" w:hAnsi="David" w:hint="cs"/>
          <w:rtl/>
        </w:rPr>
        <w:t>מאסר ע"ת של 3 חודשים) והוא שוחרר ממאסר ביום 6/10/19. נוסף על כך, לחובת נאשם 1 ,</w:t>
      </w:r>
      <w:r>
        <w:rPr>
          <w:rFonts w:ascii="David" w:hAnsi="David" w:hint="cs"/>
          <w:rtl/>
        </w:rPr>
        <w:t xml:space="preserve"> שתי</w:t>
      </w:r>
      <w:r w:rsidRPr="00364227">
        <w:rPr>
          <w:rFonts w:ascii="David" w:hAnsi="David" w:hint="cs"/>
          <w:rtl/>
        </w:rPr>
        <w:t xml:space="preserve"> הרשעות תעבורה קודמות, האחרונה מבניהן מיום 22/7/20, בגינה נדון ל- 3 חודשי מאסר במצטבר לעונש מאסר אחר. ב"כ המאשימה עותרת לכך שעונש המאסר שהושת על נאשם 1 בתיק התעבורה, כאמור לעיל, לא יחפוף לתקופת המעצר ו</w:t>
      </w:r>
      <w:r>
        <w:rPr>
          <w:rFonts w:ascii="David" w:hAnsi="David" w:hint="cs"/>
          <w:rtl/>
        </w:rPr>
        <w:t>ל</w:t>
      </w:r>
      <w:r w:rsidRPr="00364227">
        <w:rPr>
          <w:rFonts w:ascii="David" w:hAnsi="David" w:hint="cs"/>
          <w:rtl/>
        </w:rPr>
        <w:t>עונש המאסר שייגזר עליו במסגרת תיק זה.</w:t>
      </w:r>
      <w:r>
        <w:rPr>
          <w:rFonts w:ascii="David" w:hAnsi="David" w:hint="cs"/>
          <w:rtl/>
        </w:rPr>
        <w:t xml:space="preserve"> </w:t>
      </w:r>
      <w:r w:rsidRPr="00364227">
        <w:rPr>
          <w:rFonts w:ascii="David" w:hAnsi="David" w:hint="cs"/>
          <w:rtl/>
        </w:rPr>
        <w:t xml:space="preserve">אשר לעברו הפלילי של נאשם 2, צוין </w:t>
      </w:r>
      <w:r>
        <w:rPr>
          <w:rFonts w:ascii="David" w:hAnsi="David" w:hint="cs"/>
          <w:rtl/>
        </w:rPr>
        <w:t xml:space="preserve">ע"י המאשימה </w:t>
      </w:r>
      <w:r w:rsidRPr="00364227">
        <w:rPr>
          <w:rFonts w:ascii="David" w:hAnsi="David" w:hint="cs"/>
          <w:rtl/>
        </w:rPr>
        <w:t>כי אין לחובתו עבר פלילי אולם לחובתו עבר תעבורתי כמפורט בגיליון הרשעות התעבורה בעניינו, ובין היתר: אי מתן זכות קדימה להולך רגל, רכב לא תקין- מספר הרשעות, חציית שטח הפרדה ע"י רכב, נהיגה ללא חגורת בטיחות, שימוש בטלפון ועוד.</w:t>
      </w:r>
    </w:p>
    <w:p w14:paraId="384DFABA" w14:textId="77777777" w:rsidR="00353B1D" w:rsidRPr="00364227" w:rsidRDefault="00353B1D" w:rsidP="00353B1D">
      <w:pPr>
        <w:spacing w:line="360" w:lineRule="auto"/>
        <w:jc w:val="both"/>
        <w:rPr>
          <w:rFonts w:ascii="David" w:hAnsi="David"/>
          <w:rtl/>
        </w:rPr>
      </w:pPr>
    </w:p>
    <w:p w14:paraId="22988E55" w14:textId="77777777" w:rsidR="00353B1D" w:rsidRPr="00364227" w:rsidRDefault="00353B1D" w:rsidP="00353B1D">
      <w:pPr>
        <w:spacing w:line="360" w:lineRule="auto"/>
        <w:jc w:val="both"/>
        <w:rPr>
          <w:rFonts w:ascii="David" w:hAnsi="David"/>
          <w:rtl/>
        </w:rPr>
      </w:pPr>
      <w:r w:rsidRPr="00364227">
        <w:rPr>
          <w:rFonts w:ascii="David" w:hAnsi="David" w:hint="cs"/>
          <w:rtl/>
        </w:rPr>
        <w:t>11.</w:t>
      </w:r>
      <w:r w:rsidRPr="00364227">
        <w:rPr>
          <w:rFonts w:ascii="David" w:hAnsi="David" w:hint="cs"/>
          <w:rtl/>
        </w:rPr>
        <w:tab/>
        <w:t>בטיעוניה לעונש שבה וציינה ב"כ המאשימה את עובדות כתב האישום המתוקן, ללמד על חומרת מעשיהם של הנאשמים. נטען כי הערכים החברתיים שנפגעו במקרה הנוכחי הם, בין היתר, שמירה על חיי אדם, גופו ובטחונו של אדם באשר הוא אדם. נטען כי מדובר בערכים ראשונים במעלה ומעבר לכך, מעשיו של כל נאשם פוגעים באופן קשה בתחושת הביטחון של האזרח, בשלמות גופו וקניינו. ב"כ המאשימה הוסיפה וטענה כי פגיעה בערכים כה חשובים מחייבת ענישה מחמירה ומרתיעה. נוסף על הערכים שפורטו לעיל, נטען כי נפגעו גם ערכים נוספים שעניינם שמירה על הסדר הציבורי ואכיפת החוק וכן, כי עבירות התעבורה בהן הורשע נאשם 2, מקימות סיכון לחיי אדם.</w:t>
      </w:r>
    </w:p>
    <w:p w14:paraId="519927C6" w14:textId="77777777" w:rsidR="00353B1D" w:rsidRPr="00364227" w:rsidRDefault="00353B1D" w:rsidP="00353B1D">
      <w:pPr>
        <w:spacing w:line="360" w:lineRule="auto"/>
        <w:jc w:val="both"/>
        <w:rPr>
          <w:rFonts w:ascii="David" w:hAnsi="David"/>
          <w:rtl/>
        </w:rPr>
      </w:pPr>
    </w:p>
    <w:p w14:paraId="7B97A90C" w14:textId="77777777" w:rsidR="00353B1D" w:rsidRPr="00364227" w:rsidRDefault="00353B1D" w:rsidP="00353B1D">
      <w:pPr>
        <w:spacing w:line="360" w:lineRule="auto"/>
        <w:jc w:val="both"/>
        <w:rPr>
          <w:rFonts w:ascii="David" w:hAnsi="David"/>
          <w:rtl/>
        </w:rPr>
      </w:pPr>
      <w:r w:rsidRPr="00364227">
        <w:rPr>
          <w:rFonts w:ascii="David" w:hAnsi="David" w:hint="cs"/>
          <w:rtl/>
        </w:rPr>
        <w:t>12.</w:t>
      </w:r>
      <w:r w:rsidRPr="00364227">
        <w:rPr>
          <w:rFonts w:ascii="David" w:hAnsi="David"/>
          <w:rtl/>
        </w:rPr>
        <w:tab/>
      </w:r>
      <w:r w:rsidRPr="00364227">
        <w:rPr>
          <w:rFonts w:ascii="David" w:hAnsi="David" w:hint="cs"/>
          <w:rtl/>
        </w:rPr>
        <w:t>במסגרת הנסיבות הקשורות בביצוע העבירה, ציינה ב"כ המאשימה לח</w:t>
      </w:r>
      <w:r>
        <w:rPr>
          <w:rFonts w:ascii="David" w:hAnsi="David" w:hint="cs"/>
          <w:rtl/>
        </w:rPr>
        <w:t>ומ</w:t>
      </w:r>
      <w:r w:rsidRPr="00364227">
        <w:rPr>
          <w:rFonts w:ascii="David" w:hAnsi="David" w:hint="cs"/>
          <w:rtl/>
        </w:rPr>
        <w:t>רה, כי שרשרת האירועים המתוארת בכתב האישום המתוקן, מלמדת על מידה של תכנון מצד הנאשמים, שעה שהחזיקו באמל"ח שלא כדין ואף בוצע ב</w:t>
      </w:r>
      <w:r>
        <w:rPr>
          <w:rFonts w:ascii="David" w:hAnsi="David" w:hint="cs"/>
          <w:rtl/>
        </w:rPr>
        <w:t>נשק</w:t>
      </w:r>
      <w:r w:rsidRPr="00364227">
        <w:rPr>
          <w:rFonts w:ascii="David" w:hAnsi="David" w:hint="cs"/>
          <w:rtl/>
        </w:rPr>
        <w:t xml:space="preserve"> שימוש ע"י נאשם 1 אשר ירה ב</w:t>
      </w:r>
      <w:r>
        <w:rPr>
          <w:rFonts w:ascii="David" w:hAnsi="David" w:hint="cs"/>
          <w:rtl/>
        </w:rPr>
        <w:t>ו</w:t>
      </w:r>
      <w:r w:rsidRPr="00364227">
        <w:rPr>
          <w:rFonts w:ascii="David" w:hAnsi="David" w:hint="cs"/>
          <w:rtl/>
        </w:rPr>
        <w:t>. ב"כ המאשימה הוסיפה וטענה, כי אין לראות בעובדה שלא נגרם נזק לאדם, כנסיבה לקולה, ויש ליתן את הדעת לסיכון שבירי באזור מגורים- על כל המשתמע מכך. לטענת המאשימה השתת עונש מקל על הנאשמים, יעביר מסר שגוי לציבור ולא יהא בו משום הרתעה של הרבים מפני ביצוע עבירות דומות בעתיד.</w:t>
      </w:r>
    </w:p>
    <w:p w14:paraId="043D3490" w14:textId="77777777" w:rsidR="00353B1D" w:rsidRPr="00364227" w:rsidRDefault="00353B1D" w:rsidP="00353B1D">
      <w:pPr>
        <w:spacing w:line="360" w:lineRule="auto"/>
        <w:jc w:val="both"/>
        <w:rPr>
          <w:rFonts w:ascii="David" w:hAnsi="David"/>
          <w:rtl/>
        </w:rPr>
      </w:pPr>
    </w:p>
    <w:p w14:paraId="3B162DE3" w14:textId="77777777" w:rsidR="00353B1D" w:rsidRPr="00364227" w:rsidRDefault="00353B1D" w:rsidP="00353B1D">
      <w:pPr>
        <w:spacing w:line="360" w:lineRule="auto"/>
        <w:jc w:val="both"/>
        <w:rPr>
          <w:rFonts w:ascii="David" w:hAnsi="David"/>
          <w:rtl/>
        </w:rPr>
      </w:pPr>
      <w:r w:rsidRPr="00364227">
        <w:rPr>
          <w:rFonts w:ascii="David" w:hAnsi="David" w:hint="cs"/>
          <w:rtl/>
        </w:rPr>
        <w:t>13.</w:t>
      </w:r>
      <w:r w:rsidRPr="00364227">
        <w:rPr>
          <w:rFonts w:ascii="David" w:hAnsi="David" w:hint="cs"/>
          <w:rtl/>
        </w:rPr>
        <w:tab/>
        <w:t>במסגרת הנסיבות שאינן קשורות בביצוע העבירות, הפנתה ב"כ המאשימה לתסקירי שירות המבחן שהוגשו על אודות הנאשמים ואשר לא כללו המלצה טיפולית. בעניינו של נאשם 1 ציון כי הפרוגנוז</w:t>
      </w:r>
      <w:r w:rsidRPr="00364227">
        <w:rPr>
          <w:rFonts w:ascii="David" w:hAnsi="David" w:hint="eastAsia"/>
          <w:rtl/>
        </w:rPr>
        <w:t>ה</w:t>
      </w:r>
      <w:r w:rsidRPr="00364227">
        <w:rPr>
          <w:rFonts w:ascii="David" w:hAnsi="David" w:hint="cs"/>
          <w:rtl/>
        </w:rPr>
        <w:t xml:space="preserve"> השיקומית בעניינו- נמוכה ואף חלה הסלמה ברמת הסיכון הנשקפת מאופי העבירות בהן הוא מעורב כיום. </w:t>
      </w:r>
      <w:r>
        <w:rPr>
          <w:rFonts w:ascii="David" w:hAnsi="David" w:hint="cs"/>
          <w:rtl/>
        </w:rPr>
        <w:t xml:space="preserve">צוין כי </w:t>
      </w:r>
      <w:r w:rsidRPr="00364227">
        <w:rPr>
          <w:rFonts w:ascii="David" w:hAnsi="David" w:hint="cs"/>
          <w:rtl/>
        </w:rPr>
        <w:t>שירות המבחן הדגיש</w:t>
      </w:r>
      <w:r>
        <w:rPr>
          <w:rFonts w:ascii="David" w:hAnsi="David" w:hint="cs"/>
          <w:rtl/>
        </w:rPr>
        <w:t xml:space="preserve"> ש</w:t>
      </w:r>
      <w:r w:rsidRPr="00364227">
        <w:rPr>
          <w:rFonts w:ascii="David" w:hAnsi="David" w:hint="cs"/>
          <w:rtl/>
        </w:rPr>
        <w:t>אף שהנאשם שולב בעבר במסגרת של טיפול במסגרת המאסר ולאחר מכן במסגרת שיקום של רש"א, הוא חזר לבצע עבירות חמורות אף יותר.</w:t>
      </w:r>
    </w:p>
    <w:p w14:paraId="5CEB326F" w14:textId="77777777" w:rsidR="00353B1D" w:rsidRPr="00364227" w:rsidRDefault="00353B1D" w:rsidP="00353B1D">
      <w:pPr>
        <w:spacing w:line="360" w:lineRule="auto"/>
        <w:jc w:val="both"/>
        <w:rPr>
          <w:rFonts w:ascii="David" w:hAnsi="David"/>
          <w:rtl/>
        </w:rPr>
      </w:pPr>
      <w:r w:rsidRPr="00364227">
        <w:rPr>
          <w:rFonts w:ascii="David" w:hAnsi="David"/>
          <w:rtl/>
        </w:rPr>
        <w:tab/>
      </w:r>
    </w:p>
    <w:p w14:paraId="45FAA56A" w14:textId="77777777" w:rsidR="00353B1D" w:rsidRPr="00364227" w:rsidRDefault="00353B1D" w:rsidP="00353B1D">
      <w:pPr>
        <w:spacing w:line="360" w:lineRule="auto"/>
        <w:ind w:firstLine="720"/>
        <w:jc w:val="both"/>
        <w:rPr>
          <w:rFonts w:ascii="David" w:hAnsi="David"/>
          <w:rtl/>
        </w:rPr>
      </w:pPr>
      <w:r w:rsidRPr="00364227">
        <w:rPr>
          <w:rFonts w:ascii="David" w:hAnsi="David" w:hint="cs"/>
          <w:rtl/>
        </w:rPr>
        <w:t xml:space="preserve">בעניינו של נאשם 2- ציינה המאשימה כי שירות המבחן לא סבור שיהיה בהליך טיפולי כדי להביא להפחתת הסיכון להישנות התנהגות עוברת חוק </w:t>
      </w:r>
      <w:r>
        <w:rPr>
          <w:rFonts w:ascii="David" w:hAnsi="David" w:hint="cs"/>
          <w:rtl/>
        </w:rPr>
        <w:t xml:space="preserve">מצידו </w:t>
      </w:r>
      <w:r w:rsidRPr="00364227">
        <w:rPr>
          <w:rFonts w:ascii="David" w:hAnsi="David" w:hint="cs"/>
          <w:rtl/>
        </w:rPr>
        <w:t xml:space="preserve">בעתיד. אמנם הנאשם קיבל אחריות מלאה למעשיו, אך יחד עם זאת, התבצר בעמדה הגנתית וקורבנית, תוך שהוא מצמצם ומשליך את האחריות למעשיו על אחרים. </w:t>
      </w:r>
      <w:r>
        <w:rPr>
          <w:rFonts w:ascii="David" w:hAnsi="David" w:hint="cs"/>
          <w:rtl/>
        </w:rPr>
        <w:t xml:space="preserve">הובהר כי </w:t>
      </w:r>
      <w:r w:rsidRPr="00364227">
        <w:rPr>
          <w:rFonts w:ascii="David" w:hAnsi="David" w:hint="cs"/>
          <w:rtl/>
        </w:rPr>
        <w:t>שירות המבחן התרשם מסיכון משמעותי להתנהגות פורצת חוק</w:t>
      </w:r>
      <w:r>
        <w:rPr>
          <w:rFonts w:ascii="David" w:hAnsi="David" w:hint="cs"/>
          <w:rtl/>
        </w:rPr>
        <w:t xml:space="preserve"> ע"י נאשם 2.</w:t>
      </w:r>
    </w:p>
    <w:p w14:paraId="3BA8AC39" w14:textId="77777777" w:rsidR="00353B1D" w:rsidRPr="00364227" w:rsidRDefault="00353B1D" w:rsidP="00353B1D">
      <w:pPr>
        <w:spacing w:line="360" w:lineRule="auto"/>
        <w:jc w:val="both"/>
        <w:rPr>
          <w:rFonts w:ascii="David" w:hAnsi="David"/>
          <w:rtl/>
        </w:rPr>
      </w:pPr>
    </w:p>
    <w:p w14:paraId="50E3E2F1" w14:textId="77777777" w:rsidR="00353B1D" w:rsidRDefault="00353B1D" w:rsidP="00353B1D">
      <w:pPr>
        <w:spacing w:line="360" w:lineRule="auto"/>
        <w:jc w:val="both"/>
        <w:rPr>
          <w:rFonts w:ascii="David" w:hAnsi="David"/>
          <w:rtl/>
        </w:rPr>
      </w:pPr>
      <w:r w:rsidRPr="00364227">
        <w:rPr>
          <w:rFonts w:ascii="David" w:hAnsi="David" w:hint="cs"/>
          <w:rtl/>
        </w:rPr>
        <w:t>14.</w:t>
      </w:r>
      <w:r w:rsidRPr="00364227">
        <w:rPr>
          <w:rFonts w:ascii="David" w:hAnsi="David" w:hint="cs"/>
          <w:rtl/>
        </w:rPr>
        <w:tab/>
      </w:r>
      <w:r>
        <w:rPr>
          <w:rFonts w:ascii="David" w:hAnsi="David" w:hint="cs"/>
          <w:rtl/>
        </w:rPr>
        <w:t>ב</w:t>
      </w:r>
      <w:r w:rsidRPr="00364227">
        <w:rPr>
          <w:rFonts w:ascii="David" w:hAnsi="David" w:hint="cs"/>
          <w:rtl/>
        </w:rPr>
        <w:t>סיכומו של דבר</w:t>
      </w:r>
      <w:r>
        <w:rPr>
          <w:rFonts w:ascii="David" w:hAnsi="David" w:hint="cs"/>
          <w:rtl/>
        </w:rPr>
        <w:t>, בהתאם להודעת ההבהרה שהגישה המאשימה ביום 18/7/21</w:t>
      </w:r>
      <w:r w:rsidRPr="00364227">
        <w:rPr>
          <w:rFonts w:ascii="David" w:hAnsi="David" w:hint="cs"/>
          <w:rtl/>
        </w:rPr>
        <w:t>, מבקשת המאשימה לקבוע מתחם עונש כולל בגין כל העבירות בהן הורשעו הנאשמים הנע בין 6-</w:t>
      </w:r>
      <w:r>
        <w:rPr>
          <w:rFonts w:ascii="David" w:hAnsi="David" w:hint="cs"/>
          <w:rtl/>
        </w:rPr>
        <w:t>3</w:t>
      </w:r>
      <w:r w:rsidRPr="00364227">
        <w:rPr>
          <w:rFonts w:ascii="David" w:hAnsi="David" w:hint="cs"/>
          <w:rtl/>
        </w:rPr>
        <w:t xml:space="preserve"> שנות מאסר</w:t>
      </w:r>
      <w:r>
        <w:rPr>
          <w:rFonts w:ascii="David" w:hAnsi="David" w:hint="cs"/>
          <w:rtl/>
        </w:rPr>
        <w:t xml:space="preserve"> בפועל</w:t>
      </w:r>
      <w:r w:rsidRPr="00364227">
        <w:rPr>
          <w:rFonts w:ascii="David" w:hAnsi="David" w:hint="cs"/>
          <w:rtl/>
        </w:rPr>
        <w:t>, לצד עונש</w:t>
      </w:r>
      <w:r>
        <w:rPr>
          <w:rFonts w:ascii="David" w:hAnsi="David" w:hint="cs"/>
          <w:rtl/>
        </w:rPr>
        <w:t xml:space="preserve"> ממושך של </w:t>
      </w:r>
      <w:r w:rsidRPr="00364227">
        <w:rPr>
          <w:rFonts w:ascii="David" w:hAnsi="David" w:hint="cs"/>
          <w:rtl/>
        </w:rPr>
        <w:t>מאסר על תנאי וקנס כספי. אשר לגזירת העונש בתוך המתחם, עותרת המאשימה לגזור על נאשם 1 עונש באמצע המתחם לו היא עותרת.</w:t>
      </w:r>
      <w:r>
        <w:rPr>
          <w:rFonts w:ascii="David" w:hAnsi="David" w:hint="cs"/>
          <w:rtl/>
        </w:rPr>
        <w:t xml:space="preserve"> לגבי </w:t>
      </w:r>
      <w:r w:rsidRPr="00364227">
        <w:rPr>
          <w:rFonts w:ascii="David" w:hAnsi="David" w:hint="cs"/>
          <w:rtl/>
        </w:rPr>
        <w:t xml:space="preserve">נאשם 2, </w:t>
      </w:r>
      <w:r>
        <w:rPr>
          <w:rFonts w:ascii="David" w:hAnsi="David" w:hint="cs"/>
          <w:rtl/>
        </w:rPr>
        <w:t xml:space="preserve">אשר עברו נקי, </w:t>
      </w:r>
      <w:r w:rsidRPr="00364227">
        <w:rPr>
          <w:rFonts w:ascii="David" w:hAnsi="David" w:hint="cs"/>
          <w:rtl/>
        </w:rPr>
        <w:t>עותרת המאשימה לגזירת עונשו ברף התחתון של המתחם הנ"ל.</w:t>
      </w:r>
      <w:r>
        <w:rPr>
          <w:rFonts w:ascii="David" w:hAnsi="David" w:hint="cs"/>
          <w:rtl/>
        </w:rPr>
        <w:t xml:space="preserve"> ב</w:t>
      </w:r>
      <w:r w:rsidRPr="00364227">
        <w:rPr>
          <w:rFonts w:ascii="David" w:hAnsi="David" w:hint="cs"/>
          <w:rtl/>
        </w:rPr>
        <w:t xml:space="preserve">נוסף, עותרת המאשימה לחילוט הרכב ההונדה נזכר בכתב האישום המתוקן, בכפוף למתן זכות לבעל הרכב-אביו של נאשם 2 </w:t>
      </w:r>
      <w:r>
        <w:rPr>
          <w:rFonts w:ascii="David" w:hAnsi="David" w:hint="cs"/>
          <w:rtl/>
        </w:rPr>
        <w:t xml:space="preserve">- </w:t>
      </w:r>
      <w:r w:rsidRPr="00364227">
        <w:rPr>
          <w:rFonts w:ascii="David" w:hAnsi="David" w:hint="cs"/>
          <w:rtl/>
        </w:rPr>
        <w:t>לשטוח את טענותיו.</w:t>
      </w:r>
    </w:p>
    <w:p w14:paraId="51862864" w14:textId="77777777" w:rsidR="00353B1D" w:rsidRPr="00364227" w:rsidRDefault="00353B1D" w:rsidP="00353B1D">
      <w:pPr>
        <w:spacing w:line="360" w:lineRule="auto"/>
        <w:jc w:val="both"/>
        <w:rPr>
          <w:rFonts w:ascii="David" w:hAnsi="David"/>
          <w:rtl/>
        </w:rPr>
      </w:pPr>
    </w:p>
    <w:p w14:paraId="22C8734D" w14:textId="77777777" w:rsidR="00353B1D" w:rsidRPr="00364227" w:rsidRDefault="00353B1D" w:rsidP="00353B1D">
      <w:pPr>
        <w:spacing w:line="360" w:lineRule="auto"/>
        <w:jc w:val="both"/>
        <w:rPr>
          <w:rFonts w:ascii="David" w:hAnsi="David"/>
          <w:rtl/>
        </w:rPr>
      </w:pPr>
      <w:r w:rsidRPr="00364227">
        <w:rPr>
          <w:rFonts w:ascii="David" w:hAnsi="David" w:hint="cs"/>
          <w:rtl/>
        </w:rPr>
        <w:t>15.</w:t>
      </w:r>
      <w:r w:rsidRPr="00364227">
        <w:rPr>
          <w:rFonts w:ascii="David" w:hAnsi="David" w:hint="cs"/>
          <w:rtl/>
        </w:rPr>
        <w:tab/>
      </w:r>
      <w:r w:rsidRPr="00364227">
        <w:rPr>
          <w:rFonts w:ascii="David" w:hAnsi="David"/>
          <w:rtl/>
        </w:rPr>
        <w:t xml:space="preserve">בפתח טיעוניו לעונש עמד </w:t>
      </w:r>
      <w:r>
        <w:rPr>
          <w:rFonts w:ascii="David" w:hAnsi="David"/>
          <w:rtl/>
        </w:rPr>
        <w:t>סנגורו של נאשם 1 על טענתו ולפיה</w:t>
      </w:r>
      <w:r w:rsidRPr="00364227">
        <w:rPr>
          <w:rFonts w:ascii="David" w:hAnsi="David"/>
          <w:rtl/>
        </w:rPr>
        <w:t xml:space="preserve"> דבריו של הנאשם בפני שירות המבחן לא הובנו כהלכה. נטען לעניין זה כי הנאשם לוקח אחריות מלאה על מעשיו וכי הוא מעוניין בטיפול. עם זאת, </w:t>
      </w:r>
      <w:r>
        <w:rPr>
          <w:rFonts w:ascii="David" w:hAnsi="David" w:hint="cs"/>
          <w:rtl/>
        </w:rPr>
        <w:t>ציין</w:t>
      </w:r>
      <w:r w:rsidRPr="00364227">
        <w:rPr>
          <w:rFonts w:ascii="David" w:hAnsi="David"/>
          <w:rtl/>
        </w:rPr>
        <w:t xml:space="preserve"> הסנגור כי נוכח התקופה הארוכה בה נתון הנאשם במעצר, ובכדי להימנע מדחייה נוספת, הוא אינו מבקש תסקיר משלים נוסף בעניינו של הנאשם.</w:t>
      </w:r>
    </w:p>
    <w:p w14:paraId="7EFC04D2" w14:textId="77777777" w:rsidR="00353B1D" w:rsidRPr="00364227" w:rsidRDefault="00353B1D" w:rsidP="00353B1D">
      <w:pPr>
        <w:spacing w:line="360" w:lineRule="auto"/>
        <w:jc w:val="both"/>
        <w:rPr>
          <w:rFonts w:ascii="David" w:hAnsi="David"/>
          <w:rtl/>
        </w:rPr>
      </w:pPr>
    </w:p>
    <w:p w14:paraId="2551E0CE" w14:textId="77777777" w:rsidR="00353B1D" w:rsidRPr="00364227" w:rsidRDefault="00353B1D" w:rsidP="00353B1D">
      <w:pPr>
        <w:spacing w:line="360" w:lineRule="auto"/>
        <w:jc w:val="both"/>
        <w:rPr>
          <w:rFonts w:ascii="David" w:hAnsi="David"/>
        </w:rPr>
      </w:pPr>
      <w:r w:rsidRPr="00364227">
        <w:rPr>
          <w:rFonts w:ascii="David" w:hAnsi="David" w:hint="cs"/>
          <w:rtl/>
        </w:rPr>
        <w:t>16.</w:t>
      </w:r>
      <w:r w:rsidRPr="00364227">
        <w:rPr>
          <w:rFonts w:ascii="David" w:hAnsi="David" w:hint="cs"/>
          <w:rtl/>
        </w:rPr>
        <w:tab/>
      </w:r>
      <w:r w:rsidRPr="00364227">
        <w:rPr>
          <w:rFonts w:ascii="David" w:hAnsi="David"/>
          <w:rtl/>
        </w:rPr>
        <w:t xml:space="preserve">הסנגור הפנה לעובדות כתב האישום המתוקן וטען כי דובר אך בירייה של כדור בודד אחד באוויר, זאת מבלי שהירייה כוונה כלפי אדם או רכוש ומבלי שנגרם כל נזק. הסנגור הוסיף וטען, כי מעובדות כתב האישום לא עולה, כי נאשם 1 הביא את הנשק לרכב, אלא </w:t>
      </w:r>
      <w:r>
        <w:rPr>
          <w:rFonts w:ascii="David" w:hAnsi="David" w:hint="cs"/>
          <w:rtl/>
        </w:rPr>
        <w:t xml:space="preserve">כי </w:t>
      </w:r>
      <w:r w:rsidRPr="00364227">
        <w:rPr>
          <w:rFonts w:ascii="David" w:hAnsi="David"/>
          <w:rtl/>
        </w:rPr>
        <w:t xml:space="preserve">נסע והוביל אותו יחד עם נאשם 2 ברכבו. כמו כן, הדגיש הסנגור כי הנשק נתפס בידי המשטרה ומשכך אין הוא מהווה עוד סכנה לציבור. הסנגור התייחס למתחם העונש ההולם לו עותרת המאשימה, תוך שהבהיר כי לא נהיר לו מדוע המאשימה עותרת לקביעת מתחם עונש הולם הגבוה ממתחם העונש ההולם </w:t>
      </w:r>
      <w:r>
        <w:rPr>
          <w:rFonts w:ascii="David" w:hAnsi="David" w:hint="cs"/>
          <w:rtl/>
        </w:rPr>
        <w:t>העולה מ</w:t>
      </w:r>
      <w:r w:rsidRPr="00364227">
        <w:rPr>
          <w:rFonts w:ascii="David" w:hAnsi="David"/>
          <w:rtl/>
        </w:rPr>
        <w:t xml:space="preserve">הנחיית פרקליט המדינה. </w:t>
      </w:r>
      <w:r>
        <w:rPr>
          <w:rFonts w:ascii="David" w:hAnsi="David" w:hint="cs"/>
          <w:rtl/>
        </w:rPr>
        <w:t>ב</w:t>
      </w:r>
      <w:r w:rsidRPr="00364227">
        <w:rPr>
          <w:rFonts w:ascii="David" w:hAnsi="David"/>
          <w:rtl/>
        </w:rPr>
        <w:t>סיכומו של דבר, ולאחר שהפנה לפסיקה להמחשת עמדתו לעונש (</w:t>
      </w:r>
      <w:r w:rsidRPr="00364227">
        <w:rPr>
          <w:rFonts w:ascii="Miriam" w:hAnsi="Miriam" w:cs="Miriam"/>
          <w:rtl/>
        </w:rPr>
        <w:t>נע/2</w:t>
      </w:r>
      <w:r w:rsidRPr="00364227">
        <w:rPr>
          <w:rFonts w:ascii="David" w:hAnsi="David"/>
          <w:rtl/>
        </w:rPr>
        <w:t>) טען הסנגור למתחם עונש הולם הנע בין 20-12 חודשי מאסר בפועל.</w:t>
      </w:r>
    </w:p>
    <w:p w14:paraId="512A03B2" w14:textId="77777777" w:rsidR="00353B1D" w:rsidRPr="00364227" w:rsidRDefault="00353B1D" w:rsidP="00353B1D">
      <w:pPr>
        <w:spacing w:line="360" w:lineRule="auto"/>
        <w:jc w:val="both"/>
        <w:rPr>
          <w:rFonts w:ascii="David" w:hAnsi="David"/>
        </w:rPr>
      </w:pPr>
    </w:p>
    <w:p w14:paraId="53DC9ABB" w14:textId="77777777" w:rsidR="00353B1D" w:rsidRPr="00364227" w:rsidRDefault="00353B1D" w:rsidP="00353B1D">
      <w:pPr>
        <w:spacing w:line="360" w:lineRule="auto"/>
        <w:jc w:val="both"/>
        <w:rPr>
          <w:rFonts w:ascii="David" w:hAnsi="David"/>
          <w:rtl/>
        </w:rPr>
      </w:pPr>
      <w:r w:rsidRPr="00364227">
        <w:rPr>
          <w:rFonts w:ascii="David" w:hAnsi="David"/>
        </w:rPr>
        <w:t>17</w:t>
      </w:r>
      <w:r w:rsidRPr="00364227">
        <w:rPr>
          <w:rFonts w:ascii="David" w:hAnsi="David" w:hint="cs"/>
          <w:rtl/>
        </w:rPr>
        <w:t>.</w:t>
      </w:r>
      <w:r w:rsidRPr="00364227">
        <w:rPr>
          <w:rFonts w:ascii="David" w:hAnsi="David" w:hint="cs"/>
          <w:rtl/>
        </w:rPr>
        <w:tab/>
      </w:r>
      <w:r w:rsidRPr="00364227">
        <w:rPr>
          <w:rFonts w:ascii="David" w:hAnsi="David"/>
          <w:rtl/>
        </w:rPr>
        <w:t xml:space="preserve">במסגרת הנסיבות שאינן קשורות בביצוע העבירה, שב והדגיש </w:t>
      </w:r>
      <w:r>
        <w:rPr>
          <w:rFonts w:ascii="David" w:hAnsi="David" w:hint="cs"/>
          <w:rtl/>
        </w:rPr>
        <w:t xml:space="preserve">ב"כ נאשם 1 </w:t>
      </w:r>
      <w:r w:rsidRPr="00364227">
        <w:rPr>
          <w:rFonts w:ascii="David" w:hAnsi="David"/>
          <w:rtl/>
        </w:rPr>
        <w:t xml:space="preserve"> </w:t>
      </w:r>
      <w:r>
        <w:rPr>
          <w:rFonts w:ascii="David" w:hAnsi="David" w:hint="cs"/>
          <w:rtl/>
        </w:rPr>
        <w:t xml:space="preserve"> </w:t>
      </w:r>
      <w:r w:rsidRPr="00364227">
        <w:rPr>
          <w:rFonts w:ascii="David" w:hAnsi="David"/>
          <w:rtl/>
        </w:rPr>
        <w:t>כי הענישה היא לעולם אינדיבידואלית. צוין כי הנאשם הודה בעובדות כתב האישום המתוקן ובכך חסך העדת עדים רבים וכפועל יוצא מכך, נחסך זמן שיפוטי יקר. נטען, כי הנאשם בחור צעיר, מאורס, משפחתו הנורמטיבית והתומכת, נכונה לעזור לו ול</w:t>
      </w:r>
      <w:r>
        <w:rPr>
          <w:rFonts w:ascii="David" w:hAnsi="David" w:hint="cs"/>
          <w:rtl/>
        </w:rPr>
        <w:t>ה</w:t>
      </w:r>
      <w:r w:rsidRPr="00364227">
        <w:rPr>
          <w:rFonts w:ascii="David" w:hAnsi="David"/>
          <w:rtl/>
        </w:rPr>
        <w:t>עלותו על דרך המלך. עוד הדגיש הסנגור את התקופה הארוכה בה נתון הנאשם בתנאי מעצר קשים, תוך ש</w:t>
      </w:r>
      <w:r>
        <w:rPr>
          <w:rFonts w:ascii="David" w:hAnsi="David" w:hint="cs"/>
          <w:rtl/>
        </w:rPr>
        <w:t xml:space="preserve">ציין </w:t>
      </w:r>
      <w:r w:rsidRPr="00364227">
        <w:rPr>
          <w:rFonts w:ascii="David" w:hAnsi="David"/>
          <w:rtl/>
        </w:rPr>
        <w:t>כי מעבר לקושי האינהרנטי שבחוויית המעצר, הרי שנוכח מגפת הקורונה תנאים אלו נחווים כקשים אף יותר. הסנגור ביקש לזקוף לזכות הנאשם את העובדה שאין לחובתו הרשעות בעבירות אלימות או בעבירות דומות. עוד טען הסנגור כי נוכח מעצרו של הנאשם בתיק זה</w:t>
      </w:r>
      <w:r>
        <w:rPr>
          <w:rFonts w:ascii="David" w:hAnsi="David" w:hint="cs"/>
          <w:rtl/>
        </w:rPr>
        <w:t xml:space="preserve">, </w:t>
      </w:r>
      <w:r w:rsidRPr="00364227">
        <w:rPr>
          <w:rFonts w:ascii="David" w:hAnsi="David"/>
          <w:rtl/>
        </w:rPr>
        <w:t xml:space="preserve">הוא זנח, במסגרת טיעוניו לעונש בתיק התעבורה, את האפשרות לטעון למאסר </w:t>
      </w:r>
      <w:r>
        <w:rPr>
          <w:rFonts w:ascii="David" w:hAnsi="David" w:hint="cs"/>
          <w:rtl/>
        </w:rPr>
        <w:t xml:space="preserve">בתיק הנ"ל </w:t>
      </w:r>
      <w:r w:rsidRPr="00364227">
        <w:rPr>
          <w:rFonts w:ascii="David" w:hAnsi="David"/>
          <w:rtl/>
        </w:rPr>
        <w:t>בדרך של עבודות שירות וה</w:t>
      </w:r>
      <w:r>
        <w:rPr>
          <w:rFonts w:ascii="David" w:hAnsi="David" w:hint="cs"/>
          <w:rtl/>
        </w:rPr>
        <w:t xml:space="preserve">נאשם 1 </w:t>
      </w:r>
      <w:r w:rsidRPr="00364227">
        <w:rPr>
          <w:rFonts w:ascii="David" w:hAnsi="David"/>
          <w:rtl/>
        </w:rPr>
        <w:t>נדון למאסר מאחורי סורג ובריח. עוד הפנה הסנגור לתיעוד רפואי (</w:t>
      </w:r>
      <w:r w:rsidRPr="00364227">
        <w:rPr>
          <w:rFonts w:ascii="Miriam" w:hAnsi="Miriam" w:cs="Miriam"/>
          <w:rtl/>
        </w:rPr>
        <w:t>נע/1</w:t>
      </w:r>
      <w:r w:rsidRPr="00364227">
        <w:rPr>
          <w:rFonts w:ascii="David" w:hAnsi="David"/>
          <w:rtl/>
        </w:rPr>
        <w:t xml:space="preserve">) בעניינו של הנאשם </w:t>
      </w:r>
      <w:r>
        <w:rPr>
          <w:rFonts w:ascii="David" w:hAnsi="David" w:hint="cs"/>
          <w:rtl/>
        </w:rPr>
        <w:t xml:space="preserve">1 </w:t>
      </w:r>
      <w:r>
        <w:rPr>
          <w:rFonts w:ascii="David" w:hAnsi="David"/>
          <w:rtl/>
        </w:rPr>
        <w:t xml:space="preserve">אשר נפגע בעת ביצוע עבודות </w:t>
      </w:r>
      <w:r w:rsidRPr="00364227">
        <w:rPr>
          <w:rFonts w:ascii="David" w:hAnsi="David"/>
          <w:rtl/>
        </w:rPr>
        <w:t>שירות בתיק הקודם ונגרם לו שבר ביד, ממנו הוא סובל עד היום. בסיכומו של דבר עותר הסנגור לגזור את עונשו של הנאשם בטווח שבין 15 ל- 18 חודשי מאסר בפועל.</w:t>
      </w:r>
    </w:p>
    <w:p w14:paraId="5128D452" w14:textId="77777777" w:rsidR="00353B1D" w:rsidRPr="00364227" w:rsidRDefault="00353B1D" w:rsidP="00353B1D">
      <w:pPr>
        <w:spacing w:line="360" w:lineRule="auto"/>
        <w:jc w:val="both"/>
        <w:rPr>
          <w:rFonts w:ascii="David" w:hAnsi="David"/>
          <w:rtl/>
        </w:rPr>
      </w:pPr>
    </w:p>
    <w:p w14:paraId="26662635" w14:textId="77777777" w:rsidR="00353B1D" w:rsidRPr="00364227" w:rsidRDefault="00353B1D" w:rsidP="00353B1D">
      <w:pPr>
        <w:spacing w:line="360" w:lineRule="auto"/>
        <w:jc w:val="both"/>
        <w:rPr>
          <w:rFonts w:ascii="David" w:hAnsi="David"/>
          <w:rtl/>
        </w:rPr>
      </w:pPr>
      <w:r w:rsidRPr="00364227">
        <w:rPr>
          <w:rFonts w:ascii="David" w:hAnsi="David" w:hint="cs"/>
          <w:rtl/>
        </w:rPr>
        <w:t>18.</w:t>
      </w:r>
      <w:r w:rsidRPr="00364227">
        <w:rPr>
          <w:rFonts w:ascii="David" w:hAnsi="David" w:hint="cs"/>
          <w:rtl/>
        </w:rPr>
        <w:tab/>
      </w:r>
      <w:r w:rsidRPr="00364227">
        <w:rPr>
          <w:rFonts w:ascii="David" w:hAnsi="David"/>
          <w:rtl/>
        </w:rPr>
        <w:t xml:space="preserve">ב"כ נאשם 2 התנגד למתחם העונש ההולם לו עותרת המאשימה והצטרף לטיעוני חברו לעניין זה. במסגרת הנסיבות הקשורות בביצוע העבירה, טען ב"כ נאשם 2, כי חלקו של הנאשם </w:t>
      </w:r>
      <w:r>
        <w:rPr>
          <w:rFonts w:ascii="David" w:hAnsi="David" w:hint="cs"/>
          <w:rtl/>
        </w:rPr>
        <w:t xml:space="preserve">2 </w:t>
      </w:r>
      <w:r w:rsidRPr="00364227">
        <w:rPr>
          <w:rFonts w:ascii="David" w:hAnsi="David"/>
          <w:rtl/>
        </w:rPr>
        <w:t xml:space="preserve">קטן יותר מחלקו של נאשם 1, שכן נאשם זה לא אחז בנשק ולא ירה בו. לעניין עבירות התעבורה, טען ב"כ נאשם 2 כי רישיון הרכב פג פחות מארבעה חודשים טרם ביצוע העבירה, כך שמדובר בעבירה שהעונש בגינה </w:t>
      </w:r>
      <w:r w:rsidRPr="00364227">
        <w:rPr>
          <w:rFonts w:ascii="David" w:hAnsi="David" w:hint="cs"/>
          <w:rtl/>
        </w:rPr>
        <w:t xml:space="preserve">הוא </w:t>
      </w:r>
      <w:r w:rsidRPr="00364227">
        <w:rPr>
          <w:rFonts w:ascii="David" w:hAnsi="David"/>
          <w:rtl/>
        </w:rPr>
        <w:t>קנס. לתמיכה בעמדתו הנ"ל, הגיש הסנגור טבלת ענישה (</w:t>
      </w:r>
      <w:r w:rsidRPr="0011215D">
        <w:rPr>
          <w:rFonts w:ascii="Miriam" w:hAnsi="Miriam" w:cs="Miriam"/>
          <w:rtl/>
        </w:rPr>
        <w:t>נע/5</w:t>
      </w:r>
      <w:r w:rsidRPr="00364227">
        <w:rPr>
          <w:rFonts w:ascii="David" w:hAnsi="David"/>
          <w:rtl/>
        </w:rPr>
        <w:t>)</w:t>
      </w:r>
      <w:r w:rsidRPr="00364227">
        <w:rPr>
          <w:rFonts w:ascii="David" w:hAnsi="David" w:hint="cs"/>
          <w:rtl/>
        </w:rPr>
        <w:t xml:space="preserve"> ממנה עולה כי עסקינן בעבירה של ברירת משפט שלצידה עונש של קנס בסך 250 ₪. </w:t>
      </w:r>
      <w:r w:rsidRPr="00364227">
        <w:rPr>
          <w:rFonts w:ascii="David" w:hAnsi="David"/>
          <w:rtl/>
        </w:rPr>
        <w:t xml:space="preserve">עוד נטען, כי העבירה של נהיגה ללא פוליסת ביטוח היא עבירה הנובעת מכך שלא היה ברשותו </w:t>
      </w:r>
      <w:r w:rsidRPr="00364227">
        <w:rPr>
          <w:rFonts w:ascii="David" w:hAnsi="David" w:hint="cs"/>
          <w:rtl/>
        </w:rPr>
        <w:t xml:space="preserve">של הנאשם </w:t>
      </w:r>
      <w:r>
        <w:rPr>
          <w:rFonts w:ascii="David" w:hAnsi="David" w:hint="cs"/>
          <w:rtl/>
        </w:rPr>
        <w:t xml:space="preserve">2 </w:t>
      </w:r>
      <w:r w:rsidRPr="00364227">
        <w:rPr>
          <w:rFonts w:ascii="David" w:hAnsi="David"/>
          <w:rtl/>
        </w:rPr>
        <w:t>רישיון רכב תקף. ב"כ נאשם 2 הגיש את רישיון הרכב של אביו של נאשם 2 (</w:t>
      </w:r>
      <w:r w:rsidRPr="0011215D">
        <w:rPr>
          <w:rFonts w:ascii="Miriam" w:hAnsi="Miriam" w:cs="Miriam"/>
          <w:rtl/>
        </w:rPr>
        <w:t>נע/6</w:t>
      </w:r>
      <w:r w:rsidRPr="00364227">
        <w:rPr>
          <w:rFonts w:ascii="David" w:hAnsi="David"/>
          <w:rtl/>
        </w:rPr>
        <w:t xml:space="preserve">), תוך שטען כי הלה לא ידע על מטרת הנהיגה של בנו ברכב, ובנסיבות אלו עותר הסנגור להימנע מחילוט הרכב. </w:t>
      </w:r>
      <w:r w:rsidRPr="00364227">
        <w:rPr>
          <w:rFonts w:ascii="David" w:hAnsi="David" w:hint="cs"/>
          <w:rtl/>
        </w:rPr>
        <w:t>ב</w:t>
      </w:r>
      <w:r w:rsidRPr="00364227">
        <w:rPr>
          <w:rFonts w:ascii="David" w:hAnsi="David"/>
          <w:rtl/>
        </w:rPr>
        <w:t xml:space="preserve">סיכומו של דבר עותר הסנגור </w:t>
      </w:r>
      <w:r w:rsidRPr="00364227">
        <w:rPr>
          <w:rFonts w:ascii="David" w:hAnsi="David" w:hint="cs"/>
          <w:rtl/>
        </w:rPr>
        <w:t xml:space="preserve">לגבי נאשם 2 </w:t>
      </w:r>
      <w:r w:rsidRPr="00364227">
        <w:rPr>
          <w:rFonts w:ascii="David" w:hAnsi="David"/>
          <w:rtl/>
        </w:rPr>
        <w:t>לקביעת מתחם עונש הולם הנע בין 6 ל- 18 חודשי מאסר בפועל</w:t>
      </w:r>
      <w:r w:rsidRPr="00364227">
        <w:rPr>
          <w:rFonts w:ascii="David" w:hAnsi="David" w:hint="cs"/>
          <w:rtl/>
        </w:rPr>
        <w:t>.</w:t>
      </w:r>
    </w:p>
    <w:p w14:paraId="37D47F9E" w14:textId="77777777" w:rsidR="00353B1D" w:rsidRPr="00364227" w:rsidRDefault="00353B1D" w:rsidP="00353B1D">
      <w:pPr>
        <w:spacing w:line="360" w:lineRule="auto"/>
        <w:jc w:val="both"/>
        <w:rPr>
          <w:rFonts w:ascii="David" w:hAnsi="David"/>
          <w:rtl/>
        </w:rPr>
      </w:pPr>
    </w:p>
    <w:p w14:paraId="6E30AB5C" w14:textId="77777777" w:rsidR="00353B1D" w:rsidRPr="00364227" w:rsidRDefault="00353B1D" w:rsidP="00353B1D">
      <w:pPr>
        <w:spacing w:line="360" w:lineRule="auto"/>
        <w:jc w:val="both"/>
        <w:rPr>
          <w:rFonts w:ascii="David" w:hAnsi="David"/>
          <w:rtl/>
        </w:rPr>
      </w:pPr>
      <w:r w:rsidRPr="00364227">
        <w:rPr>
          <w:rFonts w:ascii="David" w:hAnsi="David" w:hint="cs"/>
          <w:rtl/>
        </w:rPr>
        <w:t>19.</w:t>
      </w:r>
      <w:r w:rsidRPr="00364227">
        <w:rPr>
          <w:rFonts w:ascii="David" w:hAnsi="David" w:hint="cs"/>
          <w:rtl/>
        </w:rPr>
        <w:tab/>
      </w:r>
      <w:r w:rsidRPr="00364227">
        <w:rPr>
          <w:rFonts w:ascii="David" w:hAnsi="David"/>
          <w:rtl/>
        </w:rPr>
        <w:t xml:space="preserve">אשר לנסיבות שאינן קשורות בביצוע העבירה, צוין כי נאשם 2 צעיר כבן 24 מאורס ועתיד להתחתן בקרוב. עוד הדגיש הסנגור כי הנאשם </w:t>
      </w:r>
      <w:r>
        <w:rPr>
          <w:rFonts w:ascii="David" w:hAnsi="David" w:hint="cs"/>
          <w:rtl/>
        </w:rPr>
        <w:t xml:space="preserve">2 </w:t>
      </w:r>
      <w:r w:rsidRPr="00364227">
        <w:rPr>
          <w:rFonts w:ascii="David" w:hAnsi="David"/>
          <w:rtl/>
        </w:rPr>
        <w:t xml:space="preserve">הודה בעובדות כתב האישום המתוקן וחסך זמן שיפוטי יקר. נוסף על כך, הדגיש הסנגור כי עברו הפלילי של נאשם 2 נקי ללא רבב. הודגש כי הנאשם היה עצור מאחורי סורג ובריח </w:t>
      </w:r>
      <w:r w:rsidRPr="00364227">
        <w:rPr>
          <w:rFonts w:ascii="David" w:hAnsi="David" w:hint="cs"/>
          <w:rtl/>
        </w:rPr>
        <w:t>למעלה מחודשיים</w:t>
      </w:r>
      <w:r w:rsidRPr="00364227">
        <w:rPr>
          <w:rFonts w:ascii="David" w:hAnsi="David"/>
          <w:rtl/>
        </w:rPr>
        <w:t xml:space="preserve"> ומאז הוא נתון במעצר באיזוק אלקטרוני וש</w:t>
      </w:r>
      <w:r>
        <w:rPr>
          <w:rFonts w:ascii="David" w:hAnsi="David" w:hint="cs"/>
          <w:rtl/>
        </w:rPr>
        <w:t xml:space="preserve">ומר </w:t>
      </w:r>
      <w:r w:rsidRPr="00364227">
        <w:rPr>
          <w:rFonts w:ascii="David" w:hAnsi="David"/>
          <w:rtl/>
        </w:rPr>
        <w:t xml:space="preserve">בקפדנות על </w:t>
      </w:r>
      <w:r>
        <w:rPr>
          <w:rFonts w:ascii="David" w:hAnsi="David" w:hint="cs"/>
          <w:rtl/>
        </w:rPr>
        <w:t>ה</w:t>
      </w:r>
      <w:r w:rsidRPr="00364227">
        <w:rPr>
          <w:rFonts w:ascii="David" w:hAnsi="David"/>
          <w:rtl/>
        </w:rPr>
        <w:t>תנאים המגבילים. הסנגור הבהיר, כי הנאשם מכה על חטא ומבין את הנזק שגרם לו ולמשפחתו. אשר להתרשמות שירות המבחן, טען הסנגור, כי התרשמותו של שירות המבחן מאי לקיחת האחריות של הנאשם נובעת מכך שהנאשם טען בפני קצינת המבחן כי הוא לא זה שירה בפ</w:t>
      </w:r>
      <w:r>
        <w:rPr>
          <w:rFonts w:ascii="David" w:hAnsi="David" w:hint="cs"/>
          <w:rtl/>
        </w:rPr>
        <w:t>וע</w:t>
      </w:r>
      <w:r w:rsidRPr="00364227">
        <w:rPr>
          <w:rFonts w:ascii="David" w:hAnsi="David"/>
          <w:rtl/>
        </w:rPr>
        <w:t xml:space="preserve">ל. עוד נטען כי שירות המבחן כלל לא הציע לנאשם טיפול. הסנגור הגיש מסמכים </w:t>
      </w:r>
      <w:r>
        <w:rPr>
          <w:rFonts w:ascii="David" w:hAnsi="David" w:hint="cs"/>
          <w:rtl/>
        </w:rPr>
        <w:t>לעניין</w:t>
      </w:r>
      <w:r w:rsidRPr="00364227">
        <w:rPr>
          <w:rFonts w:ascii="David" w:hAnsi="David"/>
          <w:rtl/>
        </w:rPr>
        <w:t xml:space="preserve"> אופיו הטוב של הנאשם (</w:t>
      </w:r>
      <w:r w:rsidRPr="00364227">
        <w:rPr>
          <w:rFonts w:ascii="Miriam" w:hAnsi="Miriam" w:cs="Miriam"/>
          <w:rtl/>
        </w:rPr>
        <w:t>נע/7</w:t>
      </w:r>
      <w:r w:rsidRPr="00364227">
        <w:rPr>
          <w:rFonts w:ascii="David" w:hAnsi="David"/>
          <w:rtl/>
        </w:rPr>
        <w:t xml:space="preserve"> ו-</w:t>
      </w:r>
      <w:r w:rsidRPr="00364227">
        <w:rPr>
          <w:rFonts w:ascii="Miriam" w:hAnsi="Miriam" w:cs="Miriam"/>
          <w:rtl/>
        </w:rPr>
        <w:t>נע/8</w:t>
      </w:r>
      <w:r w:rsidRPr="00364227">
        <w:rPr>
          <w:rFonts w:ascii="David" w:hAnsi="David"/>
          <w:rtl/>
        </w:rPr>
        <w:t xml:space="preserve">), </w:t>
      </w:r>
      <w:r>
        <w:rPr>
          <w:rFonts w:ascii="David" w:hAnsi="David" w:hint="cs"/>
          <w:rtl/>
        </w:rPr>
        <w:t>ו</w:t>
      </w:r>
      <w:r w:rsidRPr="00364227">
        <w:rPr>
          <w:rFonts w:ascii="David" w:hAnsi="David"/>
          <w:rtl/>
        </w:rPr>
        <w:t xml:space="preserve">תוך </w:t>
      </w:r>
      <w:r>
        <w:rPr>
          <w:rFonts w:ascii="David" w:hAnsi="David" w:hint="cs"/>
          <w:rtl/>
        </w:rPr>
        <w:t xml:space="preserve">כך </w:t>
      </w:r>
      <w:r w:rsidRPr="00364227">
        <w:rPr>
          <w:rFonts w:ascii="David" w:hAnsi="David"/>
          <w:rtl/>
        </w:rPr>
        <w:t>טען, כי שליחת הנאשם למאסר מאחורי סורג ובריח, עלולה</w:t>
      </w:r>
      <w:r>
        <w:rPr>
          <w:rFonts w:ascii="David" w:hAnsi="David" w:hint="cs"/>
          <w:rtl/>
        </w:rPr>
        <w:t>,</w:t>
      </w:r>
      <w:r w:rsidRPr="00364227">
        <w:rPr>
          <w:rFonts w:ascii="David" w:hAnsi="David"/>
          <w:rtl/>
        </w:rPr>
        <w:t xml:space="preserve"> חלילה, לשלבו בחברה עבריינית. </w:t>
      </w:r>
      <w:r>
        <w:rPr>
          <w:rFonts w:ascii="David" w:hAnsi="David" w:hint="cs"/>
          <w:rtl/>
        </w:rPr>
        <w:t>ב</w:t>
      </w:r>
      <w:r w:rsidRPr="00364227">
        <w:rPr>
          <w:rFonts w:ascii="David" w:hAnsi="David"/>
          <w:rtl/>
        </w:rPr>
        <w:t xml:space="preserve">סיכומו של דבר, ביקש הסנגור לגזור את עונשו של הנאשם </w:t>
      </w:r>
      <w:r>
        <w:rPr>
          <w:rFonts w:ascii="David" w:hAnsi="David" w:hint="cs"/>
          <w:rtl/>
        </w:rPr>
        <w:t xml:space="preserve">2 </w:t>
      </w:r>
      <w:r w:rsidRPr="00364227">
        <w:rPr>
          <w:rFonts w:ascii="David" w:hAnsi="David"/>
          <w:rtl/>
        </w:rPr>
        <w:t xml:space="preserve">בתחתית מתחם העונש </w:t>
      </w:r>
      <w:r>
        <w:rPr>
          <w:rFonts w:ascii="David" w:hAnsi="David" w:hint="cs"/>
          <w:rtl/>
        </w:rPr>
        <w:t xml:space="preserve">ההולם, </w:t>
      </w:r>
      <w:r w:rsidRPr="00364227">
        <w:rPr>
          <w:rFonts w:ascii="David" w:hAnsi="David"/>
          <w:rtl/>
        </w:rPr>
        <w:t xml:space="preserve">המוצע על ידו, </w:t>
      </w:r>
      <w:r>
        <w:rPr>
          <w:rFonts w:ascii="David" w:hAnsi="David" w:hint="cs"/>
          <w:rtl/>
        </w:rPr>
        <w:t xml:space="preserve">באופן </w:t>
      </w:r>
      <w:r w:rsidRPr="00364227">
        <w:rPr>
          <w:rFonts w:ascii="David" w:hAnsi="David"/>
          <w:rtl/>
        </w:rPr>
        <w:t>שייגזר על</w:t>
      </w:r>
      <w:r>
        <w:rPr>
          <w:rFonts w:ascii="David" w:hAnsi="David" w:hint="cs"/>
          <w:rtl/>
        </w:rPr>
        <w:t xml:space="preserve">יו </w:t>
      </w:r>
      <w:r w:rsidRPr="00364227">
        <w:rPr>
          <w:rFonts w:ascii="David" w:hAnsi="David"/>
          <w:rtl/>
        </w:rPr>
        <w:t xml:space="preserve"> עונש מאסר שניתן לרצותו בעבודות שירות.</w:t>
      </w:r>
    </w:p>
    <w:p w14:paraId="5C2AD5E4" w14:textId="77777777" w:rsidR="00353B1D" w:rsidRPr="00364227" w:rsidRDefault="00353B1D" w:rsidP="00353B1D">
      <w:pPr>
        <w:jc w:val="both"/>
        <w:rPr>
          <w:rFonts w:ascii="David" w:hAnsi="David"/>
          <w:rtl/>
        </w:rPr>
      </w:pPr>
    </w:p>
    <w:p w14:paraId="725C7433" w14:textId="77777777" w:rsidR="00353B1D" w:rsidRPr="00364227" w:rsidRDefault="00353B1D" w:rsidP="00353B1D">
      <w:pPr>
        <w:spacing w:line="360" w:lineRule="auto"/>
        <w:jc w:val="both"/>
        <w:rPr>
          <w:rFonts w:ascii="David" w:hAnsi="David"/>
          <w:rtl/>
        </w:rPr>
      </w:pPr>
      <w:r w:rsidRPr="00364227">
        <w:rPr>
          <w:rFonts w:ascii="David" w:hAnsi="David" w:hint="cs"/>
          <w:rtl/>
        </w:rPr>
        <w:t>20.</w:t>
      </w:r>
      <w:r w:rsidRPr="00364227">
        <w:rPr>
          <w:rFonts w:ascii="David" w:hAnsi="David" w:hint="cs"/>
          <w:rtl/>
        </w:rPr>
        <w:tab/>
      </w:r>
      <w:r w:rsidRPr="00364227">
        <w:rPr>
          <w:rFonts w:ascii="David" w:hAnsi="David"/>
          <w:rtl/>
        </w:rPr>
        <w:t>להלן דברי הנאשמים</w:t>
      </w:r>
      <w:r w:rsidRPr="00364227">
        <w:rPr>
          <w:rFonts w:ascii="David" w:hAnsi="David" w:hint="cs"/>
          <w:rtl/>
        </w:rPr>
        <w:t xml:space="preserve"> בדיון לפניי, </w:t>
      </w:r>
      <w:r w:rsidRPr="00364227">
        <w:rPr>
          <w:rFonts w:ascii="David" w:hAnsi="David"/>
          <w:rtl/>
        </w:rPr>
        <w:t xml:space="preserve"> כלשונם:</w:t>
      </w:r>
    </w:p>
    <w:p w14:paraId="5FE2C9B4" w14:textId="77777777" w:rsidR="00353B1D" w:rsidRPr="00364227" w:rsidRDefault="00353B1D" w:rsidP="00353B1D">
      <w:pPr>
        <w:pStyle w:val="a9"/>
        <w:jc w:val="both"/>
        <w:rPr>
          <w:rFonts w:ascii="David" w:hAnsi="David"/>
        </w:rPr>
      </w:pPr>
    </w:p>
    <w:p w14:paraId="1A60DDED" w14:textId="77777777" w:rsidR="00353B1D" w:rsidRPr="00364227" w:rsidRDefault="00353B1D" w:rsidP="00353B1D">
      <w:pPr>
        <w:pStyle w:val="a9"/>
        <w:spacing w:line="360" w:lineRule="auto"/>
        <w:jc w:val="both"/>
        <w:rPr>
          <w:rFonts w:ascii="David" w:hAnsi="David"/>
          <w:rtl/>
        </w:rPr>
      </w:pPr>
      <w:r w:rsidRPr="00364227">
        <w:rPr>
          <w:rFonts w:ascii="David" w:hAnsi="David"/>
          <w:rtl/>
        </w:rPr>
        <w:t>נאשם 1- "</w:t>
      </w:r>
      <w:r w:rsidRPr="00364227">
        <w:rPr>
          <w:rFonts w:ascii="Miriam" w:hAnsi="Miriam" w:cs="Miriam"/>
          <w:rtl/>
        </w:rPr>
        <w:t>אני מבקש סליחה, אני מוריד את הראש על מה שעשיתי, עשיתי בושה למשפחה שלי, אני מבטיח לא לחזור על אותה טעות"</w:t>
      </w:r>
    </w:p>
    <w:p w14:paraId="112E9748" w14:textId="77777777" w:rsidR="00353B1D" w:rsidRPr="00364227" w:rsidRDefault="00353B1D" w:rsidP="00353B1D">
      <w:pPr>
        <w:pStyle w:val="a9"/>
        <w:jc w:val="both"/>
        <w:rPr>
          <w:rFonts w:ascii="David" w:hAnsi="David"/>
          <w:rtl/>
        </w:rPr>
      </w:pPr>
    </w:p>
    <w:p w14:paraId="436E51E3" w14:textId="77777777" w:rsidR="00353B1D" w:rsidRPr="00364227" w:rsidRDefault="00353B1D" w:rsidP="00353B1D">
      <w:pPr>
        <w:pStyle w:val="a9"/>
        <w:spacing w:line="360" w:lineRule="auto"/>
        <w:jc w:val="both"/>
        <w:rPr>
          <w:rFonts w:ascii="David" w:hAnsi="David"/>
          <w:rtl/>
        </w:rPr>
      </w:pPr>
      <w:r w:rsidRPr="00364227">
        <w:rPr>
          <w:rFonts w:ascii="David" w:hAnsi="David"/>
          <w:rtl/>
        </w:rPr>
        <w:t>נאשם 2- "</w:t>
      </w:r>
      <w:r w:rsidRPr="00364227">
        <w:rPr>
          <w:rFonts w:ascii="Miriam" w:hAnsi="Miriam" w:cs="Miriam"/>
          <w:rtl/>
        </w:rPr>
        <w:t>אני מבקש סליחה, אני לא אחזור על מה שעשיתי אני מצטער על הכל"</w:t>
      </w:r>
    </w:p>
    <w:p w14:paraId="7A485C29" w14:textId="77777777" w:rsidR="00353B1D" w:rsidRPr="00364227" w:rsidRDefault="00353B1D" w:rsidP="00353B1D">
      <w:pPr>
        <w:jc w:val="both"/>
        <w:rPr>
          <w:rFonts w:ascii="David" w:hAnsi="David"/>
          <w:rtl/>
        </w:rPr>
      </w:pPr>
    </w:p>
    <w:p w14:paraId="450483E9" w14:textId="77777777" w:rsidR="00353B1D" w:rsidRPr="001B3867" w:rsidRDefault="00353B1D" w:rsidP="00353B1D">
      <w:pPr>
        <w:spacing w:line="360" w:lineRule="auto"/>
        <w:jc w:val="both"/>
        <w:rPr>
          <w:rFonts w:ascii="Miriam" w:hAnsi="Miriam" w:cs="Miriam"/>
          <w:u w:val="single"/>
          <w:rtl/>
        </w:rPr>
      </w:pPr>
      <w:r w:rsidRPr="001B3867">
        <w:rPr>
          <w:rFonts w:ascii="Miriam" w:hAnsi="Miriam" w:cs="Miriam"/>
          <w:u w:val="single"/>
          <w:rtl/>
        </w:rPr>
        <w:t>דיון והכרעה</w:t>
      </w:r>
    </w:p>
    <w:p w14:paraId="59455497" w14:textId="77777777" w:rsidR="00353B1D" w:rsidRPr="00364227" w:rsidRDefault="00353B1D" w:rsidP="00353B1D">
      <w:pPr>
        <w:jc w:val="both"/>
        <w:rPr>
          <w:rFonts w:ascii="David" w:hAnsi="David"/>
          <w:rtl/>
        </w:rPr>
      </w:pPr>
    </w:p>
    <w:p w14:paraId="53CB019E" w14:textId="77777777" w:rsidR="00353B1D" w:rsidRPr="00364227" w:rsidRDefault="00353B1D" w:rsidP="00353B1D">
      <w:pPr>
        <w:spacing w:line="360" w:lineRule="auto"/>
        <w:jc w:val="both"/>
      </w:pPr>
      <w:r w:rsidRPr="00364227">
        <w:rPr>
          <w:rFonts w:hint="cs"/>
          <w:rtl/>
        </w:rPr>
        <w:t>21.</w:t>
      </w:r>
      <w:r w:rsidRPr="00364227">
        <w:rPr>
          <w:rFonts w:hint="cs"/>
          <w:rtl/>
        </w:rPr>
        <w:tab/>
      </w:r>
      <w:r w:rsidRPr="00364227">
        <w:rPr>
          <w:rtl/>
        </w:rPr>
        <w:t>תיקון 113 ל</w:t>
      </w:r>
      <w:hyperlink r:id="rId32" w:history="1">
        <w:r w:rsidR="00F904CB" w:rsidRPr="00F904CB">
          <w:rPr>
            <w:color w:val="0000FF"/>
            <w:u w:val="single"/>
            <w:rtl/>
          </w:rPr>
          <w:t>חוק העונשין</w:t>
        </w:r>
      </w:hyperlink>
      <w:r w:rsidRPr="00364227">
        <w:rPr>
          <w:rtl/>
        </w:rPr>
        <w:t xml:space="preserve"> מתווה את העיקרון המנחה כיום את ביהמ"ש בבואו לגזור דינו של נאשם, שהינו לפי </w:t>
      </w:r>
      <w:hyperlink r:id="rId33" w:history="1">
        <w:r w:rsidR="00362ABF" w:rsidRPr="00362ABF">
          <w:rPr>
            <w:rStyle w:val="Hyperlink"/>
            <w:rtl/>
          </w:rPr>
          <w:t>סעיף 40ב</w:t>
        </w:r>
      </w:hyperlink>
      <w:r w:rsidRPr="00364227">
        <w:rPr>
          <w:rtl/>
        </w:rPr>
        <w:t xml:space="preserve"> לחוק העונשין, עיקרון ההלימה, לפיו צריך להתקיים יחס הולם בין חומרת מעשה העבירה בנסיבותיו ומידת אשמו של הנאשם לבין סוג ומידת העונש המוטל עליו. יחס זה מבטא, למעשה, את עיקרון הגמול (ראו: </w:t>
      </w:r>
      <w:hyperlink r:id="rId34" w:history="1">
        <w:r w:rsidR="00F904CB" w:rsidRPr="00F904CB">
          <w:rPr>
            <w:color w:val="0000FF"/>
            <w:u w:val="single"/>
            <w:rtl/>
          </w:rPr>
          <w:t>ע"פ 1523/10</w:t>
        </w:r>
      </w:hyperlink>
      <w:r w:rsidRPr="00364227">
        <w:rPr>
          <w:rtl/>
        </w:rPr>
        <w:t xml:space="preserve"> </w:t>
      </w:r>
      <w:r w:rsidRPr="00364227">
        <w:rPr>
          <w:rFonts w:ascii="Miriam" w:hAnsi="Miriam" w:cs="Miriam"/>
          <w:rtl/>
        </w:rPr>
        <w:t>פלוני נ' מדינת ישראל</w:t>
      </w:r>
      <w:r w:rsidRPr="00364227">
        <w:rPr>
          <w:rtl/>
        </w:rPr>
        <w:t xml:space="preserve">, 18/4/12). </w:t>
      </w:r>
      <w:hyperlink r:id="rId35" w:history="1">
        <w:r w:rsidR="00362ABF" w:rsidRPr="00362ABF">
          <w:rPr>
            <w:rStyle w:val="Hyperlink"/>
            <w:rtl/>
          </w:rPr>
          <w:t>סעיף 40ג</w:t>
        </w:r>
      </w:hyperlink>
      <w:r w:rsidRPr="00364227">
        <w:rPr>
          <w:rtl/>
        </w:rPr>
        <w:t xml:space="preserve"> ל</w:t>
      </w:r>
      <w:hyperlink r:id="rId36" w:history="1">
        <w:r w:rsidR="00F904CB" w:rsidRPr="00F904CB">
          <w:rPr>
            <w:color w:val="0000FF"/>
            <w:u w:val="single"/>
            <w:rtl/>
          </w:rPr>
          <w:t>חוק העונשין</w:t>
        </w:r>
      </w:hyperlink>
      <w:r w:rsidRPr="00364227">
        <w:rPr>
          <w:rtl/>
        </w:rPr>
        <w:t xml:space="preserve"> קובע, כי על ביהמ"ש לקבוע מתחם עונש הולם למעשה העבירה שביצע הנאשם, בהתאם לעיקרון המנחה הנ"ל. לשם כך, יתחשב ביהמ"ש בערך החברתי שנפגע מביצוע העבירה, במידת הפגיעה בו, במדיניות הענישה הנהוגה ובנסיבות הקשורות בביצוע העבירה, הכלולות </w:t>
      </w:r>
      <w:hyperlink r:id="rId37" w:history="1">
        <w:r w:rsidR="00362ABF" w:rsidRPr="00362ABF">
          <w:rPr>
            <w:rStyle w:val="Hyperlink"/>
            <w:rtl/>
          </w:rPr>
          <w:t>בסעיף 40ט</w:t>
        </w:r>
      </w:hyperlink>
      <w:r w:rsidRPr="00364227">
        <w:rPr>
          <w:rtl/>
        </w:rPr>
        <w:t xml:space="preserve"> ל</w:t>
      </w:r>
      <w:hyperlink r:id="rId38" w:history="1">
        <w:r w:rsidR="00F904CB" w:rsidRPr="00F904CB">
          <w:rPr>
            <w:color w:val="0000FF"/>
            <w:u w:val="single"/>
            <w:rtl/>
          </w:rPr>
          <w:t>חוק העונשין</w:t>
        </w:r>
      </w:hyperlink>
      <w:r w:rsidRPr="00364227">
        <w:rPr>
          <w:rtl/>
        </w:rPr>
        <w:t xml:space="preserve">. </w:t>
      </w:r>
    </w:p>
    <w:p w14:paraId="2E09DF4B" w14:textId="77777777" w:rsidR="00353B1D" w:rsidRPr="00364227" w:rsidRDefault="00353B1D" w:rsidP="00353B1D">
      <w:pPr>
        <w:jc w:val="both"/>
        <w:rPr>
          <w:rtl/>
        </w:rPr>
      </w:pPr>
    </w:p>
    <w:p w14:paraId="4BC8125E" w14:textId="77777777" w:rsidR="00353B1D" w:rsidRPr="00364227" w:rsidRDefault="00353B1D" w:rsidP="00353B1D">
      <w:pPr>
        <w:spacing w:line="360" w:lineRule="auto"/>
        <w:jc w:val="both"/>
        <w:rPr>
          <w:rtl/>
        </w:rPr>
      </w:pPr>
      <w:r w:rsidRPr="00364227">
        <w:rPr>
          <w:rFonts w:hint="cs"/>
          <w:rtl/>
        </w:rPr>
        <w:t>22.</w:t>
      </w:r>
      <w:r w:rsidRPr="00364227">
        <w:rPr>
          <w:rFonts w:hint="cs"/>
          <w:rtl/>
        </w:rPr>
        <w:tab/>
      </w:r>
      <w:r w:rsidRPr="00364227">
        <w:rPr>
          <w:rtl/>
        </w:rPr>
        <w:t>הערך החברתי הנפגע כתוצאה מביצוע העבירות ש</w:t>
      </w:r>
      <w:r w:rsidRPr="00364227">
        <w:rPr>
          <w:rFonts w:hint="cs"/>
          <w:rtl/>
        </w:rPr>
        <w:t>עניינן</w:t>
      </w:r>
      <w:r w:rsidRPr="00364227">
        <w:rPr>
          <w:rtl/>
        </w:rPr>
        <w:t xml:space="preserve"> נשיאת</w:t>
      </w:r>
      <w:r w:rsidRPr="00364227">
        <w:rPr>
          <w:rFonts w:hint="cs"/>
          <w:rtl/>
        </w:rPr>
        <w:t xml:space="preserve"> והובלת נשק</w:t>
      </w:r>
      <w:r w:rsidRPr="00364227">
        <w:rPr>
          <w:rtl/>
        </w:rPr>
        <w:t xml:space="preserve"> שלא כדין</w:t>
      </w:r>
      <w:r w:rsidRPr="00364227">
        <w:rPr>
          <w:rFonts w:hint="cs"/>
          <w:rtl/>
        </w:rPr>
        <w:t xml:space="preserve"> וירי באזור מגורים</w:t>
      </w:r>
      <w:r w:rsidRPr="00364227">
        <w:rPr>
          <w:rtl/>
        </w:rPr>
        <w:t xml:space="preserve"> </w:t>
      </w:r>
      <w:r w:rsidRPr="00364227">
        <w:rPr>
          <w:rFonts w:hint="cs"/>
          <w:rtl/>
        </w:rPr>
        <w:t xml:space="preserve">כשיש בו כדי לסכן חיי אדם, </w:t>
      </w:r>
      <w:r w:rsidRPr="00364227">
        <w:rPr>
          <w:rtl/>
        </w:rPr>
        <w:t xml:space="preserve">הוא שלום הציבור ובטחונו. </w:t>
      </w:r>
      <w:r w:rsidRPr="00364227">
        <w:rPr>
          <w:rFonts w:hint="cs"/>
          <w:rtl/>
        </w:rPr>
        <w:t>תחושת הביטחון של</w:t>
      </w:r>
      <w:r>
        <w:rPr>
          <w:rtl/>
        </w:rPr>
        <w:t xml:space="preserve"> התושבים </w:t>
      </w:r>
      <w:r w:rsidRPr="00364227">
        <w:rPr>
          <w:rFonts w:hint="cs"/>
          <w:rtl/>
        </w:rPr>
        <w:t xml:space="preserve">נפגעת </w:t>
      </w:r>
      <w:r w:rsidRPr="00364227">
        <w:rPr>
          <w:rtl/>
        </w:rPr>
        <w:t xml:space="preserve"> כתוצאה מהימצאות </w:t>
      </w:r>
      <w:r w:rsidRPr="00364227">
        <w:rPr>
          <w:rFonts w:hint="cs"/>
          <w:rtl/>
        </w:rPr>
        <w:t xml:space="preserve">במדינה של </w:t>
      </w:r>
      <w:r w:rsidRPr="00364227">
        <w:rPr>
          <w:rtl/>
        </w:rPr>
        <w:t>כלי נשק לא חוקיים בהיקפים נרחבים</w:t>
      </w:r>
      <w:r w:rsidRPr="00364227">
        <w:rPr>
          <w:rFonts w:hint="cs"/>
          <w:rtl/>
        </w:rPr>
        <w:t xml:space="preserve"> כל שכן כאשר מבוצע ירי בנשק באזור מגורים</w:t>
      </w:r>
      <w:r w:rsidRPr="00364227">
        <w:rPr>
          <w:rtl/>
        </w:rPr>
        <w:t xml:space="preserve">. </w:t>
      </w:r>
    </w:p>
    <w:p w14:paraId="55757CFC" w14:textId="77777777" w:rsidR="00353B1D" w:rsidRPr="00364227" w:rsidRDefault="00353B1D" w:rsidP="00353B1D">
      <w:pPr>
        <w:jc w:val="both"/>
        <w:rPr>
          <w:rtl/>
        </w:rPr>
      </w:pPr>
    </w:p>
    <w:p w14:paraId="1748AB69" w14:textId="77777777" w:rsidR="00353B1D" w:rsidRPr="00364227" w:rsidRDefault="00353B1D" w:rsidP="00353B1D">
      <w:pPr>
        <w:spacing w:line="360" w:lineRule="auto"/>
        <w:jc w:val="both"/>
        <w:rPr>
          <w:rFonts w:ascii="Miriam" w:hAnsi="Miriam" w:cs="Miriam"/>
          <w:rtl/>
        </w:rPr>
      </w:pPr>
      <w:r w:rsidRPr="00364227">
        <w:rPr>
          <w:rFonts w:hint="cs"/>
          <w:rtl/>
        </w:rPr>
        <w:t>23.</w:t>
      </w:r>
      <w:r w:rsidRPr="00364227">
        <w:rPr>
          <w:rFonts w:hint="cs"/>
          <w:rtl/>
        </w:rPr>
        <w:tab/>
        <w:t xml:space="preserve">בית המשפט העליון קבע כי </w:t>
      </w:r>
      <w:r w:rsidRPr="00364227">
        <w:rPr>
          <w:rtl/>
        </w:rPr>
        <w:t>"</w:t>
      </w:r>
      <w:r w:rsidRPr="00364227">
        <w:rPr>
          <w:rFonts w:ascii="Miriam" w:hAnsi="Miriam" w:cs="Miriam"/>
          <w:rtl/>
        </w:rPr>
        <w:t>עבירות בנשק לסוגיהן מגלמות בתוכן סיכון ממשי לשלום הציבור ולביטחונו, שכן לא ניתן לדעת להיכן יתגלגלו כלי הנשק המוחזקים שלא כדין, ואיזה שימוש יעשה בהם בעתיד</w:t>
      </w:r>
      <w:r w:rsidRPr="00364227">
        <w:rPr>
          <w:rtl/>
        </w:rPr>
        <w:t>" (</w:t>
      </w:r>
      <w:hyperlink r:id="rId39" w:history="1">
        <w:r w:rsidR="00F904CB" w:rsidRPr="00F904CB">
          <w:rPr>
            <w:color w:val="0000FF"/>
            <w:u w:val="single"/>
            <w:rtl/>
          </w:rPr>
          <w:t>ע"פ 7502/12</w:t>
        </w:r>
      </w:hyperlink>
      <w:r w:rsidRPr="00364227">
        <w:rPr>
          <w:rtl/>
        </w:rPr>
        <w:t xml:space="preserve"> ‏</w:t>
      </w:r>
      <w:r w:rsidRPr="00364227">
        <w:rPr>
          <w:rFonts w:ascii="Miriam" w:hAnsi="Miriam" w:cs="Miriam"/>
          <w:rtl/>
        </w:rPr>
        <w:t xml:space="preserve">כוויס נ' מדינת ישראל </w:t>
      </w:r>
      <w:r w:rsidRPr="00364227">
        <w:rPr>
          <w:rtl/>
        </w:rPr>
        <w:t xml:space="preserve">(25.6.2013)). </w:t>
      </w:r>
      <w:r w:rsidRPr="00364227">
        <w:rPr>
          <w:rFonts w:hint="cs"/>
          <w:rtl/>
        </w:rPr>
        <w:t xml:space="preserve">עוד יפים בענייננו </w:t>
      </w:r>
      <w:r w:rsidRPr="00364227">
        <w:rPr>
          <w:rtl/>
        </w:rPr>
        <w:t>דבריה הבאים של כב' השופטת ארבל שנאמרו ב</w:t>
      </w:r>
      <w:hyperlink r:id="rId40" w:history="1">
        <w:r w:rsidR="00F904CB" w:rsidRPr="00F904CB">
          <w:rPr>
            <w:color w:val="0000FF"/>
            <w:u w:val="single"/>
            <w:rtl/>
          </w:rPr>
          <w:t>ע"פ 4945/13</w:t>
        </w:r>
      </w:hyperlink>
      <w:r w:rsidRPr="00364227">
        <w:rPr>
          <w:rtl/>
        </w:rPr>
        <w:t xml:space="preserve"> </w:t>
      </w:r>
      <w:r w:rsidRPr="00364227">
        <w:rPr>
          <w:rFonts w:ascii="Miriam" w:hAnsi="Miriam" w:cs="Miriam"/>
          <w:rtl/>
        </w:rPr>
        <w:t>מדינת ישראל נ' עבד אלכרים סלימאן</w:t>
      </w:r>
      <w:r w:rsidRPr="00364227">
        <w:rPr>
          <w:rtl/>
        </w:rPr>
        <w:t xml:space="preserve"> (19.01.14: </w:t>
      </w:r>
      <w:r w:rsidRPr="00364227">
        <w:rPr>
          <w:rFonts w:ascii="Miriam" w:hAnsi="Miriam" w:cs="Miriam"/>
          <w:rtl/>
        </w:rPr>
        <w:t xml:space="preserve">"...עבירות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w:t>
      </w:r>
    </w:p>
    <w:p w14:paraId="59E4A925" w14:textId="77777777" w:rsidR="00353B1D" w:rsidRPr="00364227" w:rsidRDefault="00353B1D" w:rsidP="00353B1D">
      <w:pPr>
        <w:spacing w:line="360" w:lineRule="auto"/>
        <w:jc w:val="both"/>
        <w:rPr>
          <w:rFonts w:ascii="Miriam" w:hAnsi="Miriam" w:cs="Miriam"/>
          <w:rtl/>
        </w:rPr>
      </w:pPr>
    </w:p>
    <w:p w14:paraId="3439CDA7" w14:textId="77777777" w:rsidR="00353B1D" w:rsidRPr="00364227" w:rsidRDefault="00353B1D" w:rsidP="00353B1D">
      <w:pPr>
        <w:spacing w:line="360" w:lineRule="auto"/>
        <w:jc w:val="both"/>
        <w:rPr>
          <w:rFonts w:ascii="David" w:hAnsi="David"/>
          <w:rtl/>
        </w:rPr>
      </w:pPr>
      <w:r w:rsidRPr="00364227">
        <w:rPr>
          <w:rFonts w:ascii="David" w:hAnsi="David" w:hint="cs"/>
          <w:rtl/>
        </w:rPr>
        <w:t>24.</w:t>
      </w:r>
      <w:r w:rsidRPr="00364227">
        <w:rPr>
          <w:rFonts w:ascii="David" w:hAnsi="David" w:hint="cs"/>
          <w:rtl/>
        </w:rPr>
        <w:tab/>
      </w:r>
      <w:r w:rsidRPr="00364227">
        <w:rPr>
          <w:rFonts w:ascii="David" w:hAnsi="David"/>
          <w:rtl/>
        </w:rPr>
        <w:t xml:space="preserve">ומהתם להכא: </w:t>
      </w:r>
    </w:p>
    <w:p w14:paraId="28935803" w14:textId="77777777" w:rsidR="00353B1D" w:rsidRPr="00364227" w:rsidRDefault="00353B1D" w:rsidP="00353B1D">
      <w:pPr>
        <w:spacing w:line="360" w:lineRule="auto"/>
        <w:jc w:val="both"/>
        <w:rPr>
          <w:rFonts w:ascii="David" w:hAnsi="David"/>
          <w:rtl/>
        </w:rPr>
      </w:pPr>
      <w:r w:rsidRPr="00364227">
        <w:rPr>
          <w:rFonts w:ascii="David" w:hAnsi="David"/>
          <w:rtl/>
        </w:rPr>
        <w:t xml:space="preserve">במקרה דנן מדובר בנשיאה ובהובלה בצוותא של נשק מסוכן מסוג תת מקלע מאולתר עם מחסנית תואמת ותחמושת, ואף בירי באותו נשק. יצוין לקולה כי עסקינן  בירי של ירייה אחת בלבד באוויר. אולם, אף ירי באוויר באזור מגורים בו שוהים אנשים יכול חלילה להסתיים בפגיעה במאן דהוא. </w:t>
      </w:r>
      <w:r>
        <w:rPr>
          <w:rFonts w:ascii="David" w:hAnsi="David" w:hint="cs"/>
          <w:rtl/>
        </w:rPr>
        <w:t xml:space="preserve">יודגש כי בגין עבירה זו של ירי באזור מגורים קבע המחוקק, ולא בכדי, עונש מרבי של חמש שנות מאסר כדי ללמד על חומרתה של העבירה והסיכון הגלום בה. </w:t>
      </w:r>
      <w:r w:rsidRPr="00364227">
        <w:rPr>
          <w:rFonts w:ascii="David" w:hAnsi="David"/>
          <w:rtl/>
        </w:rPr>
        <w:t>עוד אציין בעניינו של נאשם 2 כי נאש</w:t>
      </w:r>
      <w:r>
        <w:rPr>
          <w:rFonts w:ascii="David" w:hAnsi="David"/>
          <w:rtl/>
        </w:rPr>
        <w:t xml:space="preserve">ם זה, אמנם, לא ירה פיזית בנשק, </w:t>
      </w:r>
      <w:r w:rsidRPr="00364227">
        <w:rPr>
          <w:rFonts w:ascii="David" w:hAnsi="David"/>
          <w:rtl/>
        </w:rPr>
        <w:t>אולם הוא אחראי לביצוע עבירת הירי כמבצע בצוותא וכן אין להתעלם מהעובדה שהוא זה שנהג ברכב בו הובילו ונשאו השניים את הנשק, וזאת במשך זמן קצר לפני הירי וגם לאחריו.</w:t>
      </w:r>
      <w:r w:rsidRPr="00364227">
        <w:rPr>
          <w:rFonts w:ascii="David" w:hAnsi="David" w:hint="cs"/>
          <w:rtl/>
        </w:rPr>
        <w:t xml:space="preserve"> למרבה המזל, נתפס הנשק שאם לא כן יכול היה חלילה לשמש לירי נוסף ולהמשיך לסכן ביטחונם של אחרים. לגבי עבירות התעבורה בהן הורשע נאשם 2, אציין כי  רישיון הרכב בו נהג נאשם 2 פקע רק כ-3 חודשים קודם לכן. לפיכך,  העונש לצד העבירה של נהיגה ללא רישיון רכב, בנסיבות אלו, הוא אך קנס בסך 250 ₪ (ראו: </w:t>
      </w:r>
      <w:r w:rsidRPr="00364227">
        <w:rPr>
          <w:rFonts w:ascii="Miriam" w:hAnsi="Miriam" w:cs="Miriam"/>
          <w:rtl/>
        </w:rPr>
        <w:t>נע/5)</w:t>
      </w:r>
      <w:r w:rsidRPr="00364227">
        <w:rPr>
          <w:rFonts w:ascii="David" w:hAnsi="David" w:hint="cs"/>
          <w:rtl/>
        </w:rPr>
        <w:t>, והעבירה של נהיגה ללא פוליסת ביטוח נלווית אכן לעבירה זו, כפי שטען הסנגור.</w:t>
      </w:r>
    </w:p>
    <w:p w14:paraId="37A4247C" w14:textId="77777777" w:rsidR="00353B1D" w:rsidRPr="00364227" w:rsidRDefault="00353B1D" w:rsidP="00353B1D">
      <w:pPr>
        <w:spacing w:line="360" w:lineRule="auto"/>
        <w:jc w:val="both"/>
        <w:rPr>
          <w:rFonts w:ascii="David" w:hAnsi="David"/>
          <w:rtl/>
        </w:rPr>
      </w:pPr>
    </w:p>
    <w:p w14:paraId="2F188822" w14:textId="77777777" w:rsidR="00353B1D" w:rsidRPr="00364227" w:rsidRDefault="00353B1D" w:rsidP="00353B1D">
      <w:pPr>
        <w:spacing w:after="200" w:line="360" w:lineRule="auto"/>
        <w:jc w:val="both"/>
        <w:rPr>
          <w:rFonts w:ascii="David" w:hAnsi="David"/>
        </w:rPr>
      </w:pPr>
      <w:r w:rsidRPr="00364227">
        <w:rPr>
          <w:rFonts w:ascii="David" w:hAnsi="David" w:hint="cs"/>
          <w:rtl/>
        </w:rPr>
        <w:t>25.</w:t>
      </w:r>
      <w:r w:rsidRPr="00364227">
        <w:rPr>
          <w:rFonts w:ascii="David" w:hAnsi="David" w:hint="cs"/>
          <w:rtl/>
        </w:rPr>
        <w:tab/>
      </w:r>
      <w:r w:rsidRPr="00364227">
        <w:rPr>
          <w:rFonts w:ascii="David" w:hAnsi="David"/>
          <w:rtl/>
        </w:rPr>
        <w:t xml:space="preserve">במסגרת סקירת מדיניות הענישה הנהוגה בעבירות שעיקרן  נשיאת  נשק </w:t>
      </w:r>
      <w:r w:rsidRPr="00364227">
        <w:rPr>
          <w:rFonts w:ascii="David" w:hAnsi="David" w:hint="cs"/>
          <w:rtl/>
        </w:rPr>
        <w:t xml:space="preserve">שלא כדין </w:t>
      </w:r>
      <w:r>
        <w:rPr>
          <w:rFonts w:ascii="David" w:hAnsi="David" w:hint="cs"/>
          <w:rtl/>
        </w:rPr>
        <w:t>וירי מנשק חם בא</w:t>
      </w:r>
      <w:r w:rsidRPr="00364227">
        <w:rPr>
          <w:rFonts w:ascii="David" w:hAnsi="David" w:hint="cs"/>
          <w:rtl/>
        </w:rPr>
        <w:t>זור מגורים</w:t>
      </w:r>
      <w:r w:rsidRPr="00364227">
        <w:rPr>
          <w:rFonts w:ascii="David" w:hAnsi="David"/>
          <w:rtl/>
        </w:rPr>
        <w:t xml:space="preserve">, תובא הפסיקה הבאה: </w:t>
      </w:r>
    </w:p>
    <w:p w14:paraId="5B2B4715" w14:textId="77777777" w:rsidR="00353B1D" w:rsidRDefault="00F904CB" w:rsidP="00353B1D">
      <w:pPr>
        <w:pStyle w:val="a9"/>
        <w:numPr>
          <w:ilvl w:val="0"/>
          <w:numId w:val="2"/>
        </w:numPr>
        <w:spacing w:after="200" w:line="360" w:lineRule="auto"/>
        <w:jc w:val="both"/>
        <w:rPr>
          <w:rFonts w:ascii="David" w:hAnsi="David"/>
        </w:rPr>
      </w:pPr>
      <w:hyperlink r:id="rId41" w:history="1">
        <w:r w:rsidRPr="00F904CB">
          <w:rPr>
            <w:rFonts w:ascii="David" w:hAnsi="David"/>
            <w:color w:val="0000FF"/>
            <w:u w:val="single"/>
            <w:rtl/>
          </w:rPr>
          <w:t>ע"פ 6281/15</w:t>
        </w:r>
      </w:hyperlink>
      <w:r>
        <w:rPr>
          <w:rFonts w:ascii="David" w:hAnsi="David"/>
        </w:rPr>
        <w:t xml:space="preserve"> </w:t>
      </w:r>
      <w:r w:rsidR="00353B1D" w:rsidRPr="007855FB">
        <w:rPr>
          <w:rFonts w:ascii="Miriam" w:hAnsi="Miriam" w:cs="Miriam"/>
          <w:rtl/>
        </w:rPr>
        <w:t>עבד אלרחמאן קשוע נ' מדינת ישראל</w:t>
      </w:r>
      <w:r w:rsidR="00353B1D" w:rsidRPr="007855FB">
        <w:rPr>
          <w:rFonts w:ascii="David" w:hAnsi="David" w:hint="cs"/>
          <w:rtl/>
        </w:rPr>
        <w:t xml:space="preserve"> (21/4/16)-</w:t>
      </w:r>
      <w:r w:rsidR="00353B1D" w:rsidRPr="007855FB">
        <w:rPr>
          <w:rFonts w:ascii="David" w:hAnsi="David"/>
          <w:rtl/>
        </w:rPr>
        <w:t xml:space="preserve"> נגזר על המערער שירה באוויר ברובה מסוג קרל גוסטב </w:t>
      </w:r>
      <w:r w:rsidR="00353B1D">
        <w:rPr>
          <w:rFonts w:ascii="David" w:hAnsi="David"/>
          <w:rtl/>
        </w:rPr>
        <w:t>ליד ביתה של מי שלא רצתה לעמוד ע</w:t>
      </w:r>
      <w:r w:rsidR="00353B1D" w:rsidRPr="007855FB">
        <w:rPr>
          <w:rFonts w:ascii="David" w:hAnsi="David"/>
          <w:rtl/>
        </w:rPr>
        <w:t xml:space="preserve">מו בקשר, עונש של 24 חודשי מאסר בפועל. </w:t>
      </w:r>
      <w:r w:rsidR="00353B1D" w:rsidRPr="007855FB">
        <w:rPr>
          <w:rFonts w:ascii="David" w:hAnsi="David" w:hint="cs"/>
          <w:rtl/>
        </w:rPr>
        <w:t>הערעור נדחה.</w:t>
      </w:r>
    </w:p>
    <w:p w14:paraId="2652DC74" w14:textId="77777777" w:rsidR="00353B1D" w:rsidRPr="007855FB" w:rsidRDefault="00353B1D" w:rsidP="00353B1D">
      <w:pPr>
        <w:pStyle w:val="a9"/>
        <w:spacing w:after="200" w:line="360" w:lineRule="auto"/>
        <w:jc w:val="both"/>
        <w:rPr>
          <w:rFonts w:ascii="David" w:hAnsi="David"/>
          <w:rtl/>
        </w:rPr>
      </w:pPr>
    </w:p>
    <w:p w14:paraId="53E0103A" w14:textId="77777777" w:rsidR="00353B1D" w:rsidRDefault="00F904CB" w:rsidP="00353B1D">
      <w:pPr>
        <w:pStyle w:val="a9"/>
        <w:numPr>
          <w:ilvl w:val="0"/>
          <w:numId w:val="2"/>
        </w:numPr>
        <w:spacing w:after="200" w:line="360" w:lineRule="auto"/>
        <w:jc w:val="both"/>
        <w:rPr>
          <w:rFonts w:ascii="David" w:hAnsi="David"/>
        </w:rPr>
      </w:pPr>
      <w:hyperlink r:id="rId42" w:history="1">
        <w:r w:rsidRPr="00F904CB">
          <w:rPr>
            <w:rFonts w:ascii="David" w:hAnsi="David"/>
            <w:color w:val="0000FF"/>
            <w:u w:val="single"/>
            <w:rtl/>
          </w:rPr>
          <w:t>ע"פ 9830/17</w:t>
        </w:r>
      </w:hyperlink>
      <w:r>
        <w:rPr>
          <w:rFonts w:ascii="Miriam" w:hAnsi="Miriam" w:cs="Miriam"/>
        </w:rPr>
        <w:t xml:space="preserve"> </w:t>
      </w:r>
      <w:r w:rsidR="00353B1D" w:rsidRPr="007855FB">
        <w:rPr>
          <w:rFonts w:ascii="Miriam" w:hAnsi="Miriam" w:cs="Miriam"/>
          <w:rtl/>
        </w:rPr>
        <w:t>פאלח חמודה נ' מדינת ישראל</w:t>
      </w:r>
      <w:r w:rsidR="00353B1D" w:rsidRPr="007855FB">
        <w:rPr>
          <w:rFonts w:ascii="David" w:hAnsi="David" w:hint="cs"/>
          <w:rtl/>
        </w:rPr>
        <w:t xml:space="preserve"> (8/3/18)- </w:t>
      </w:r>
      <w:r w:rsidR="00353B1D" w:rsidRPr="007855FB">
        <w:rPr>
          <w:rFonts w:ascii="David" w:hAnsi="David"/>
          <w:rtl/>
        </w:rPr>
        <w:t xml:space="preserve"> נגזר על המערער שירה ארבעה כדורים לעבר ביתו של אדם שהיה מסוכסך אתו, עונש של 30 חודשי מאסר בפועל</w:t>
      </w:r>
      <w:r w:rsidR="00353B1D" w:rsidRPr="007855FB">
        <w:rPr>
          <w:rFonts w:ascii="David" w:hAnsi="David"/>
        </w:rPr>
        <w:t>.</w:t>
      </w:r>
      <w:r>
        <w:rPr>
          <w:rFonts w:ascii="David" w:hAnsi="David"/>
        </w:rPr>
        <w:t xml:space="preserve"> </w:t>
      </w:r>
      <w:r w:rsidR="00353B1D" w:rsidRPr="007855FB">
        <w:rPr>
          <w:rFonts w:ascii="David" w:hAnsi="David" w:hint="cs"/>
          <w:rtl/>
        </w:rPr>
        <w:t>הערעור נדחה.</w:t>
      </w:r>
    </w:p>
    <w:p w14:paraId="55DB62DA" w14:textId="77777777" w:rsidR="00353B1D" w:rsidRPr="007855FB" w:rsidRDefault="00353B1D" w:rsidP="00353B1D">
      <w:pPr>
        <w:pStyle w:val="a9"/>
        <w:rPr>
          <w:rFonts w:ascii="David" w:hAnsi="David"/>
          <w:rtl/>
        </w:rPr>
      </w:pPr>
    </w:p>
    <w:p w14:paraId="5C6C209B" w14:textId="77777777" w:rsidR="00353B1D" w:rsidRDefault="00F904CB" w:rsidP="00353B1D">
      <w:pPr>
        <w:pStyle w:val="a9"/>
        <w:numPr>
          <w:ilvl w:val="0"/>
          <w:numId w:val="2"/>
        </w:numPr>
        <w:spacing w:line="360" w:lineRule="auto"/>
        <w:jc w:val="both"/>
        <w:rPr>
          <w:rFonts w:ascii="David" w:hAnsi="David"/>
        </w:rPr>
      </w:pPr>
      <w:hyperlink r:id="rId43" w:history="1">
        <w:r w:rsidRPr="00F904CB">
          <w:rPr>
            <w:rFonts w:ascii="David" w:hAnsi="David"/>
            <w:color w:val="0000FF"/>
            <w:u w:val="single"/>
            <w:rtl/>
          </w:rPr>
          <w:t>ע"פ 1509/20</w:t>
        </w:r>
      </w:hyperlink>
      <w:r w:rsidR="00353B1D" w:rsidRPr="007855FB">
        <w:rPr>
          <w:rFonts w:ascii="David" w:hAnsi="David"/>
          <w:rtl/>
        </w:rPr>
        <w:t xml:space="preserve"> </w:t>
      </w:r>
      <w:r w:rsidR="00353B1D" w:rsidRPr="007855FB">
        <w:rPr>
          <w:rFonts w:ascii="Miriam" w:hAnsi="Miriam" w:cs="Miriam"/>
          <w:rtl/>
        </w:rPr>
        <w:t>מדינת ישראל נ' ראפאת נבארי</w:t>
      </w:r>
      <w:r w:rsidR="00353B1D" w:rsidRPr="007855FB">
        <w:rPr>
          <w:rFonts w:ascii="David" w:hAnsi="David"/>
          <w:rtl/>
        </w:rPr>
        <w:t xml:space="preserve"> (</w:t>
      </w:r>
      <w:r w:rsidR="00353B1D" w:rsidRPr="007855FB">
        <w:rPr>
          <w:rFonts w:ascii="David" w:hAnsi="David" w:hint="cs"/>
          <w:rtl/>
        </w:rPr>
        <w:t>2/7/20</w:t>
      </w:r>
      <w:r w:rsidR="00353B1D" w:rsidRPr="007855FB">
        <w:rPr>
          <w:rFonts w:ascii="David" w:hAnsi="David"/>
          <w:rtl/>
        </w:rPr>
        <w:t>)</w:t>
      </w:r>
      <w:r w:rsidR="00353B1D" w:rsidRPr="007855FB">
        <w:rPr>
          <w:rFonts w:ascii="David" w:hAnsi="David" w:hint="cs"/>
          <w:rtl/>
        </w:rPr>
        <w:t xml:space="preserve">- </w:t>
      </w:r>
      <w:r w:rsidR="00353B1D" w:rsidRPr="007855FB">
        <w:rPr>
          <w:rFonts w:ascii="David" w:hAnsi="David"/>
          <w:rtl/>
        </w:rPr>
        <w:t>במקרה זה הנאשם</w:t>
      </w:r>
      <w:r w:rsidR="00353B1D" w:rsidRPr="007855FB">
        <w:rPr>
          <w:rFonts w:ascii="David" w:hAnsi="David" w:hint="cs"/>
          <w:rtl/>
        </w:rPr>
        <w:t xml:space="preserve">, בעל עבר פלילי, </w:t>
      </w:r>
      <w:r w:rsidR="00353B1D" w:rsidRPr="007855FB">
        <w:rPr>
          <w:rFonts w:ascii="David" w:hAnsi="David"/>
          <w:rtl/>
        </w:rPr>
        <w:t xml:space="preserve"> הורשע על יסוד הודאתו בנשיאה והובלה של נשק מסוג תת מקלע מאולתר ובירי מנשק חם באזור מגורים בהיותו נוהג ברכב. הירי שב</w:t>
      </w:r>
      <w:r w:rsidR="00353B1D" w:rsidRPr="007855FB">
        <w:rPr>
          <w:rFonts w:ascii="David" w:hAnsi="David" w:hint="cs"/>
          <w:rtl/>
        </w:rPr>
        <w:t>ו</w:t>
      </w:r>
      <w:r w:rsidR="00353B1D" w:rsidRPr="007855FB">
        <w:rPr>
          <w:rFonts w:ascii="David" w:hAnsi="David"/>
          <w:rtl/>
        </w:rPr>
        <w:t xml:space="preserve">צע לא גרם לנזק בגוף או ברכוש. מתחם העונש ההולם שנקבע </w:t>
      </w:r>
      <w:r w:rsidR="00353B1D" w:rsidRPr="007855FB">
        <w:rPr>
          <w:rFonts w:ascii="David" w:hAnsi="David" w:hint="cs"/>
          <w:rtl/>
        </w:rPr>
        <w:t xml:space="preserve">בערכאה הדיונית </w:t>
      </w:r>
      <w:r w:rsidR="00353B1D" w:rsidRPr="007855FB">
        <w:rPr>
          <w:rFonts w:ascii="David" w:hAnsi="David"/>
          <w:rtl/>
        </w:rPr>
        <w:t xml:space="preserve">נע בין </w:t>
      </w:r>
      <w:r w:rsidR="00353B1D" w:rsidRPr="007855FB">
        <w:rPr>
          <w:rFonts w:ascii="David" w:hAnsi="David" w:hint="cs"/>
          <w:rtl/>
        </w:rPr>
        <w:t>50</w:t>
      </w:r>
      <w:r w:rsidR="00353B1D" w:rsidRPr="007855FB">
        <w:rPr>
          <w:rFonts w:ascii="David" w:hAnsi="David"/>
          <w:rtl/>
        </w:rPr>
        <w:t>-</w:t>
      </w:r>
      <w:r w:rsidR="00353B1D" w:rsidRPr="007855FB">
        <w:rPr>
          <w:rFonts w:ascii="David" w:hAnsi="David" w:hint="cs"/>
          <w:rtl/>
        </w:rPr>
        <w:t>20</w:t>
      </w:r>
      <w:r w:rsidR="00353B1D" w:rsidRPr="007855FB">
        <w:rPr>
          <w:rFonts w:ascii="David" w:hAnsi="David"/>
          <w:rtl/>
        </w:rPr>
        <w:t xml:space="preserve"> חודשי מאסר. ביהמ"ש המחוזי הטיל </w:t>
      </w:r>
      <w:r w:rsidR="00353B1D" w:rsidRPr="007855FB">
        <w:rPr>
          <w:rFonts w:ascii="David" w:hAnsi="David" w:hint="cs"/>
          <w:rtl/>
        </w:rPr>
        <w:t xml:space="preserve">על הנאשם </w:t>
      </w:r>
      <w:r w:rsidR="00353B1D" w:rsidRPr="007855FB">
        <w:rPr>
          <w:rFonts w:ascii="David" w:hAnsi="David"/>
          <w:rtl/>
        </w:rPr>
        <w:t xml:space="preserve">עונש </w:t>
      </w:r>
      <w:r w:rsidR="00353B1D" w:rsidRPr="007855FB">
        <w:rPr>
          <w:rFonts w:ascii="David" w:hAnsi="David" w:hint="cs"/>
          <w:rtl/>
        </w:rPr>
        <w:t xml:space="preserve">שעיקרו </w:t>
      </w:r>
      <w:r w:rsidR="00353B1D" w:rsidRPr="007855FB">
        <w:rPr>
          <w:rFonts w:ascii="David" w:hAnsi="David"/>
          <w:rtl/>
        </w:rPr>
        <w:t>מאסר בפועל למשך 27 חודשים</w:t>
      </w:r>
      <w:r w:rsidR="00353B1D" w:rsidRPr="007855FB">
        <w:rPr>
          <w:rFonts w:ascii="David" w:hAnsi="David" w:hint="cs"/>
          <w:rtl/>
        </w:rPr>
        <w:t xml:space="preserve">. </w:t>
      </w:r>
      <w:r w:rsidR="00353B1D" w:rsidRPr="007855FB">
        <w:rPr>
          <w:rFonts w:ascii="David" w:hAnsi="David"/>
          <w:rtl/>
        </w:rPr>
        <w:t>ביהמ"ש העליון קיבל את ערעור המדינה ול</w:t>
      </w:r>
      <w:r w:rsidR="00353B1D" w:rsidRPr="007855FB">
        <w:rPr>
          <w:rFonts w:ascii="David" w:hAnsi="David" w:hint="cs"/>
          <w:rtl/>
        </w:rPr>
        <w:t xml:space="preserve">גבי </w:t>
      </w:r>
      <w:r w:rsidR="00353B1D" w:rsidRPr="007855FB">
        <w:rPr>
          <w:rFonts w:ascii="David" w:hAnsi="David"/>
          <w:rtl/>
        </w:rPr>
        <w:t xml:space="preserve">המתחם קבע :" </w:t>
      </w:r>
      <w:r w:rsidR="00353B1D" w:rsidRPr="007855FB">
        <w:rPr>
          <w:rFonts w:ascii="Miriam" w:hAnsi="Miriam" w:cs="Miriam"/>
          <w:rtl/>
        </w:rPr>
        <w:t>ולנוכח הריבוי של אירועי ירי באזורי מגורים בעת האחרונה, הרף התחתון של המתחם צריך, לדעתי, להיות גבוה יותר מעשרים חודשי מאסר, וזאת באופן משמעותי</w:t>
      </w:r>
      <w:r w:rsidR="00353B1D" w:rsidRPr="007855FB">
        <w:rPr>
          <w:rFonts w:ascii="David" w:hAnsi="David"/>
          <w:rtl/>
        </w:rPr>
        <w:t>"(</w:t>
      </w:r>
      <w:r w:rsidR="00353B1D" w:rsidRPr="007855FB">
        <w:rPr>
          <w:rFonts w:ascii="David" w:hAnsi="David" w:hint="cs"/>
          <w:rtl/>
        </w:rPr>
        <w:t xml:space="preserve">שם, </w:t>
      </w:r>
      <w:r w:rsidR="00353B1D" w:rsidRPr="007855FB">
        <w:rPr>
          <w:rFonts w:ascii="David" w:hAnsi="David"/>
          <w:rtl/>
        </w:rPr>
        <w:t>פסקה 12)</w:t>
      </w:r>
      <w:r w:rsidR="00353B1D" w:rsidRPr="007855FB">
        <w:rPr>
          <w:rFonts w:ascii="FrankRuehl" w:hAnsi="FrankRuehl" w:cs="FrankRuehl"/>
          <w:rtl/>
        </w:rPr>
        <w:t>.</w:t>
      </w:r>
      <w:r w:rsidR="00353B1D" w:rsidRPr="007855FB">
        <w:rPr>
          <w:rFonts w:ascii="David" w:hAnsi="David"/>
          <w:rtl/>
        </w:rPr>
        <w:t xml:space="preserve"> ביהמ"ש העליון העמיד את עונש  המאסר בפועל  על  36 חודשים בניכוי ימי </w:t>
      </w:r>
      <w:r w:rsidR="00353B1D" w:rsidRPr="007855FB">
        <w:rPr>
          <w:rFonts w:ascii="David" w:hAnsi="David" w:hint="cs"/>
          <w:rtl/>
        </w:rPr>
        <w:t>המעצר</w:t>
      </w:r>
      <w:r w:rsidR="00353B1D" w:rsidRPr="007855FB">
        <w:rPr>
          <w:rFonts w:ascii="David" w:hAnsi="David"/>
          <w:rtl/>
        </w:rPr>
        <w:t xml:space="preserve"> ו</w:t>
      </w:r>
      <w:r w:rsidR="00353B1D" w:rsidRPr="007855FB">
        <w:rPr>
          <w:rFonts w:ascii="David" w:hAnsi="David" w:hint="cs"/>
          <w:rtl/>
        </w:rPr>
        <w:t xml:space="preserve">בד בבד קבע </w:t>
      </w:r>
      <w:r w:rsidR="00353B1D" w:rsidRPr="007855FB">
        <w:rPr>
          <w:rFonts w:ascii="David" w:hAnsi="David"/>
          <w:rtl/>
        </w:rPr>
        <w:t xml:space="preserve"> :"</w:t>
      </w:r>
      <w:r w:rsidR="00353B1D" w:rsidRPr="007855FB">
        <w:rPr>
          <w:rFonts w:ascii="Miriam" w:hAnsi="Miriam" w:cs="Miriam"/>
          <w:rtl/>
        </w:rPr>
        <w:t>לאור הצורך החברתי להחמיר בענישה כל אימת שמדובר בירי באזור מגורים, וכן בהתחשב במכלול הנסיבות – לרבות השימוש שעשה המשיב בנשק אוטומטי מאולתר – הנני סבור אפוא כי ראוי היה להטיל על המשיב מאסר בפועל לתקופה ממושכת</w:t>
      </w:r>
      <w:r w:rsidR="00353B1D" w:rsidRPr="007855FB">
        <w:rPr>
          <w:rFonts w:ascii="David" w:hAnsi="David"/>
          <w:rtl/>
        </w:rPr>
        <w:t>"</w:t>
      </w:r>
      <w:r w:rsidR="00353B1D" w:rsidRPr="007855FB">
        <w:rPr>
          <w:rFonts w:ascii="David" w:hAnsi="David" w:hint="cs"/>
          <w:rtl/>
        </w:rPr>
        <w:t>.</w:t>
      </w:r>
    </w:p>
    <w:p w14:paraId="3B2BCB3A" w14:textId="77777777" w:rsidR="00353B1D" w:rsidRPr="007855FB" w:rsidRDefault="00353B1D" w:rsidP="00353B1D">
      <w:pPr>
        <w:pStyle w:val="a9"/>
        <w:rPr>
          <w:rFonts w:ascii="David" w:hAnsi="David"/>
          <w:rtl/>
        </w:rPr>
      </w:pPr>
    </w:p>
    <w:p w14:paraId="1A203FA6" w14:textId="77777777" w:rsidR="00353B1D" w:rsidRPr="007855FB" w:rsidRDefault="00F904CB" w:rsidP="00353B1D">
      <w:pPr>
        <w:pStyle w:val="a9"/>
        <w:numPr>
          <w:ilvl w:val="0"/>
          <w:numId w:val="2"/>
        </w:numPr>
        <w:spacing w:line="360" w:lineRule="auto"/>
        <w:jc w:val="both"/>
        <w:rPr>
          <w:rFonts w:ascii="David" w:hAnsi="David"/>
          <w:rtl/>
        </w:rPr>
      </w:pPr>
      <w:hyperlink r:id="rId44" w:history="1">
        <w:r w:rsidRPr="00F904CB">
          <w:rPr>
            <w:rFonts w:ascii="David" w:hAnsi="David"/>
            <w:color w:val="0000FF"/>
            <w:u w:val="single"/>
            <w:rtl/>
          </w:rPr>
          <w:t>ת.פ. 13719-07-20</w:t>
        </w:r>
      </w:hyperlink>
      <w:r w:rsidR="00353B1D" w:rsidRPr="007855FB">
        <w:rPr>
          <w:rFonts w:ascii="David" w:hAnsi="David"/>
        </w:rPr>
        <w:t xml:space="preserve"> </w:t>
      </w:r>
      <w:r w:rsidR="00353B1D" w:rsidRPr="007855FB">
        <w:rPr>
          <w:rFonts w:ascii="Miriam" w:hAnsi="Miriam" w:cs="Miriam"/>
          <w:rtl/>
        </w:rPr>
        <w:t>(מחוזי חיפה) מדינת ישראל נ' אגבאריה</w:t>
      </w:r>
      <w:r>
        <w:rPr>
          <w:rFonts w:ascii="Miriam" w:hAnsi="Miriam" w:cs="Miriam"/>
          <w:rtl/>
        </w:rPr>
        <w:t xml:space="preserve"> </w:t>
      </w:r>
      <w:r w:rsidR="00353B1D" w:rsidRPr="007855FB">
        <w:rPr>
          <w:rFonts w:ascii="Miriam" w:hAnsi="Miriam" w:cs="Miriam"/>
          <w:rtl/>
        </w:rPr>
        <w:t xml:space="preserve"> </w:t>
      </w:r>
      <w:r w:rsidR="00353B1D" w:rsidRPr="007855FB">
        <w:rPr>
          <w:rFonts w:ascii="David" w:hAnsi="David" w:hint="cs"/>
          <w:rtl/>
        </w:rPr>
        <w:t xml:space="preserve">(22/3/21)- </w:t>
      </w:r>
      <w:r w:rsidR="00353B1D" w:rsidRPr="007855FB">
        <w:rPr>
          <w:rFonts w:ascii="David" w:hAnsi="David"/>
          <w:rtl/>
        </w:rPr>
        <w:t xml:space="preserve"> </w:t>
      </w:r>
      <w:r w:rsidR="00353B1D" w:rsidRPr="007855FB">
        <w:rPr>
          <w:rFonts w:ascii="David" w:hAnsi="David" w:hint="cs"/>
          <w:rtl/>
        </w:rPr>
        <w:t xml:space="preserve">שני </w:t>
      </w:r>
      <w:r w:rsidR="00353B1D" w:rsidRPr="007855FB">
        <w:rPr>
          <w:rFonts w:ascii="David" w:hAnsi="David"/>
          <w:rtl/>
        </w:rPr>
        <w:t xml:space="preserve">הנאשמים </w:t>
      </w:r>
      <w:r w:rsidR="00353B1D" w:rsidRPr="007855FB">
        <w:rPr>
          <w:rFonts w:ascii="David" w:hAnsi="David" w:hint="cs"/>
          <w:rtl/>
        </w:rPr>
        <w:t xml:space="preserve">הורשעו כמבצעים בצוותא </w:t>
      </w:r>
      <w:r w:rsidR="00353B1D" w:rsidRPr="007855FB">
        <w:rPr>
          <w:rFonts w:ascii="David" w:hAnsi="David"/>
          <w:rtl/>
        </w:rPr>
        <w:t>בעבירות נש</w:t>
      </w:r>
      <w:r w:rsidR="00353B1D">
        <w:rPr>
          <w:rFonts w:ascii="David" w:hAnsi="David"/>
          <w:rtl/>
        </w:rPr>
        <w:t>ק (החזקה, נשיאה והובלה), ירי בא</w:t>
      </w:r>
      <w:r w:rsidR="00353B1D" w:rsidRPr="007855FB">
        <w:rPr>
          <w:rFonts w:ascii="David" w:hAnsi="David"/>
          <w:rtl/>
        </w:rPr>
        <w:t>זור מגורים ואיומים</w:t>
      </w:r>
      <w:r w:rsidR="00353B1D" w:rsidRPr="007855FB">
        <w:rPr>
          <w:rFonts w:ascii="David" w:hAnsi="David" w:hint="cs"/>
          <w:rtl/>
        </w:rPr>
        <w:t xml:space="preserve"> </w:t>
      </w:r>
      <w:r w:rsidR="00353B1D" w:rsidRPr="007855FB">
        <w:rPr>
          <w:rFonts w:ascii="David" w:hAnsi="David"/>
          <w:rtl/>
        </w:rPr>
        <w:t>(הגעה בסמוך לביתו של מנהל המכללה בה למדו, השלכת ראש כבש לעבר חצר ביתו כדי להפחידו וירי של 37 כדורים באו</w:t>
      </w:r>
      <w:r w:rsidR="00353B1D">
        <w:rPr>
          <w:rFonts w:ascii="David" w:hAnsi="David" w:hint="cs"/>
          <w:rtl/>
        </w:rPr>
        <w:t>ו</w:t>
      </w:r>
      <w:r w:rsidR="00353B1D" w:rsidRPr="007855FB">
        <w:rPr>
          <w:rFonts w:ascii="David" w:hAnsi="David"/>
          <w:rtl/>
        </w:rPr>
        <w:t xml:space="preserve">יר) </w:t>
      </w:r>
      <w:r w:rsidR="00353B1D" w:rsidRPr="007855FB">
        <w:rPr>
          <w:rFonts w:ascii="David" w:hAnsi="David" w:hint="cs"/>
          <w:rtl/>
        </w:rPr>
        <w:t>ו</w:t>
      </w:r>
      <w:r w:rsidR="00353B1D" w:rsidRPr="007855FB">
        <w:rPr>
          <w:rFonts w:ascii="David" w:hAnsi="David"/>
          <w:rtl/>
        </w:rPr>
        <w:t>כן הורשעו בעבירה של שינוי זהות של רכב</w:t>
      </w:r>
      <w:r w:rsidR="00353B1D" w:rsidRPr="007855FB">
        <w:rPr>
          <w:rFonts w:ascii="David" w:hAnsi="David" w:hint="cs"/>
          <w:rtl/>
        </w:rPr>
        <w:t xml:space="preserve">, היזק בזדון, שיבוש מהלכי משפט והפרעה לשוטר במילוי תפקידו כדין. </w:t>
      </w:r>
      <w:r w:rsidR="00353B1D" w:rsidRPr="007855FB">
        <w:rPr>
          <w:rFonts w:ascii="David" w:hAnsi="David"/>
          <w:rtl/>
        </w:rPr>
        <w:t>שירות המבחן לא בא בהמלצה בעניינם לחלופת ענישה במסגרת הקהילה. בית המשפט המחוזי קבע מתחם עונש הנע בין 24 ל-48 חודשי מאסר בפועל, וגזר על הנאשמים 24 חודשי מאסר לריצוי בפועל ועונשים נלווים</w:t>
      </w:r>
      <w:r w:rsidR="00353B1D" w:rsidRPr="007855FB">
        <w:rPr>
          <w:rFonts w:ascii="David" w:hAnsi="David"/>
        </w:rPr>
        <w:t>.</w:t>
      </w:r>
      <w:r w:rsidR="00353B1D" w:rsidRPr="007855FB">
        <w:rPr>
          <w:rFonts w:ascii="David" w:hAnsi="David" w:hint="cs"/>
          <w:rtl/>
        </w:rPr>
        <w:t xml:space="preserve"> בית המשפט העליון, בציינו כי אינו ממצה את הדין,  קיבל לאחרונה, ביום 21/6/21 את ערעור המדינה והשית על אותם נאשמים עונש של 36 חודשי מאסר בפועל (</w:t>
      </w:r>
      <w:hyperlink r:id="rId45" w:history="1">
        <w:r w:rsidRPr="00F904CB">
          <w:rPr>
            <w:rFonts w:ascii="David" w:hAnsi="David"/>
            <w:color w:val="0000FF"/>
            <w:u w:val="single"/>
            <w:rtl/>
          </w:rPr>
          <w:t>ע"פ 3169/21</w:t>
        </w:r>
      </w:hyperlink>
      <w:r w:rsidR="00353B1D" w:rsidRPr="007855FB">
        <w:rPr>
          <w:rFonts w:ascii="David" w:hAnsi="David" w:hint="cs"/>
          <w:rtl/>
        </w:rPr>
        <w:t>).</w:t>
      </w:r>
    </w:p>
    <w:p w14:paraId="62367308" w14:textId="77777777" w:rsidR="00353B1D" w:rsidRPr="00364227" w:rsidRDefault="00353B1D" w:rsidP="00353B1D">
      <w:pPr>
        <w:spacing w:line="360" w:lineRule="auto"/>
        <w:jc w:val="both"/>
        <w:rPr>
          <w:rFonts w:ascii="David" w:hAnsi="David"/>
          <w:rtl/>
        </w:rPr>
      </w:pPr>
    </w:p>
    <w:p w14:paraId="5DE7EECB" w14:textId="77777777" w:rsidR="00353B1D" w:rsidRPr="00364227" w:rsidRDefault="00353B1D" w:rsidP="00353B1D">
      <w:pPr>
        <w:spacing w:line="360" w:lineRule="auto"/>
        <w:jc w:val="both"/>
        <w:rPr>
          <w:rFonts w:ascii="David" w:hAnsi="David"/>
          <w:rtl/>
        </w:rPr>
      </w:pPr>
      <w:r w:rsidRPr="00364227">
        <w:rPr>
          <w:rFonts w:ascii="David" w:hAnsi="David" w:hint="cs"/>
          <w:rtl/>
        </w:rPr>
        <w:t>26.</w:t>
      </w:r>
      <w:r w:rsidRPr="00364227">
        <w:rPr>
          <w:rFonts w:ascii="David" w:hAnsi="David" w:hint="cs"/>
          <w:rtl/>
        </w:rPr>
        <w:tab/>
      </w:r>
      <w:r w:rsidRPr="00364227">
        <w:rPr>
          <w:rFonts w:ascii="David" w:hAnsi="David"/>
          <w:rtl/>
        </w:rPr>
        <w:t>לאחר שבחנתי את הערכים החברתיים שנפגעו כתוצאה מביצוע העבירות, את נסיבות ביצוען ואת מדיניות הענישה הנהוגה, לרבות הפסיקה אליה הפנו הצדדים, הגעתי לכלל מסקנה  כי מתחם העונש ההולם בתיק זה נע בין עונש של 24 חודשי מאסר בפועל עד ל- 48 חודשי מאסר בפועל</w:t>
      </w:r>
      <w:r w:rsidRPr="00364227">
        <w:rPr>
          <w:rFonts w:ascii="David" w:hAnsi="David" w:hint="cs"/>
          <w:rtl/>
        </w:rPr>
        <w:t>.</w:t>
      </w:r>
    </w:p>
    <w:p w14:paraId="25C0C960" w14:textId="77777777" w:rsidR="00353B1D" w:rsidRPr="00364227" w:rsidRDefault="00353B1D" w:rsidP="00353B1D">
      <w:pPr>
        <w:spacing w:line="360" w:lineRule="auto"/>
        <w:jc w:val="both"/>
        <w:rPr>
          <w:rFonts w:ascii="David" w:hAnsi="David"/>
          <w:rtl/>
        </w:rPr>
      </w:pPr>
    </w:p>
    <w:p w14:paraId="6FFA235E" w14:textId="77777777" w:rsidR="00353B1D" w:rsidRPr="00364227" w:rsidRDefault="00353B1D" w:rsidP="00353B1D">
      <w:pPr>
        <w:spacing w:line="360" w:lineRule="auto"/>
        <w:jc w:val="both"/>
        <w:rPr>
          <w:rFonts w:ascii="David" w:hAnsi="David"/>
        </w:rPr>
      </w:pPr>
      <w:r w:rsidRPr="00364227">
        <w:rPr>
          <w:rFonts w:ascii="David" w:hAnsi="David" w:hint="cs"/>
          <w:rtl/>
        </w:rPr>
        <w:t>27.</w:t>
      </w:r>
      <w:r w:rsidRPr="00364227">
        <w:rPr>
          <w:rFonts w:ascii="David" w:hAnsi="David" w:hint="cs"/>
          <w:rtl/>
        </w:rPr>
        <w:tab/>
        <w:t>במסגרת בחינת הנסיבות שאינן קשורות בביצוע העבירות, אציין לטובת שני הנאשמים את הודאת</w:t>
      </w:r>
      <w:r>
        <w:rPr>
          <w:rFonts w:ascii="David" w:hAnsi="David" w:hint="cs"/>
          <w:rtl/>
        </w:rPr>
        <w:t>ם</w:t>
      </w:r>
      <w:r w:rsidRPr="00364227">
        <w:rPr>
          <w:rFonts w:ascii="David" w:hAnsi="David" w:hint="cs"/>
          <w:rtl/>
        </w:rPr>
        <w:t xml:space="preserve"> בעובדות כתב האישום המתוקן, מיד לאחר תיקונו במסגרת הסדר הטיעון, אם כי לאחר שמיעת חלק מפרשת התביעה. עוד אציין בעניינו של נאשם 1 כי לחובתו שתי הרשעות קודמות בביצוע עבירות רכוש וקשירת קשר לפשע והוא אף ריצה מאסר של ממש לתקופה של 13 חודשים, דבר שלא הרתיעו מלשוב ולבצע עבירות זמן לא רב לאחר שחרורו ממאסר. עם </w:t>
      </w:r>
      <w:r>
        <w:rPr>
          <w:rFonts w:ascii="David" w:hAnsi="David" w:hint="cs"/>
          <w:rtl/>
        </w:rPr>
        <w:t>ז</w:t>
      </w:r>
      <w:r w:rsidRPr="00364227">
        <w:rPr>
          <w:rFonts w:ascii="David" w:hAnsi="David" w:hint="cs"/>
          <w:rtl/>
        </w:rPr>
        <w:t xml:space="preserve">את, לטובת נאשם 1 אציין כי אין בעברו הרשעות קודמות בעבירות נשק וכן אציין לטובת נאשם 2 את עברו הפלילי הנקי וכן כי עברו התעבורתי אינו מכביד.  </w:t>
      </w:r>
    </w:p>
    <w:p w14:paraId="6A2BAF87" w14:textId="77777777" w:rsidR="00353B1D" w:rsidRPr="00364227" w:rsidRDefault="00353B1D" w:rsidP="00353B1D">
      <w:pPr>
        <w:jc w:val="both"/>
        <w:rPr>
          <w:rFonts w:ascii="David" w:hAnsi="David"/>
          <w:rtl/>
        </w:rPr>
      </w:pPr>
    </w:p>
    <w:p w14:paraId="28F9BAEA" w14:textId="77777777" w:rsidR="00353B1D" w:rsidRPr="00364227" w:rsidRDefault="00353B1D" w:rsidP="00353B1D">
      <w:pPr>
        <w:spacing w:line="360" w:lineRule="auto"/>
        <w:jc w:val="both"/>
        <w:rPr>
          <w:rFonts w:ascii="David" w:hAnsi="David"/>
          <w:rtl/>
        </w:rPr>
      </w:pPr>
      <w:r w:rsidRPr="00364227">
        <w:rPr>
          <w:rFonts w:ascii="David" w:hAnsi="David" w:hint="cs"/>
          <w:rtl/>
        </w:rPr>
        <w:t>28.</w:t>
      </w:r>
      <w:r w:rsidRPr="00364227">
        <w:rPr>
          <w:rFonts w:ascii="David" w:hAnsi="David" w:hint="cs"/>
          <w:rtl/>
        </w:rPr>
        <w:tab/>
        <w:t>לחובתם של שני הנאשמים יצוין כי תסקירי שרות המבחן לא באו, כאמור, בהמלצה טיפולית בעניינם תוך שצוין כי נאשם 1 אינו לוקח אחריות למעשיו ונאשם 2 מתקשה לקבל אחריות מלאה לגבי התנהגותו בעת ביצוע העבירו</w:t>
      </w:r>
      <w:r>
        <w:rPr>
          <w:rFonts w:ascii="David" w:hAnsi="David" w:hint="cs"/>
          <w:rtl/>
        </w:rPr>
        <w:t xml:space="preserve">ת ומתקשה לערוך התבוננות פנימית. </w:t>
      </w:r>
      <w:r w:rsidRPr="00364227">
        <w:rPr>
          <w:rFonts w:ascii="David" w:hAnsi="David" w:hint="cs"/>
          <w:rtl/>
        </w:rPr>
        <w:t>לטובת שני הנאשמים אתן את הדעת לנסיבותיהם האישיות, כפי שהועלו בטיעוני הסנגורים לעונש שהובאו לעיל.</w:t>
      </w:r>
    </w:p>
    <w:p w14:paraId="0F8479EE" w14:textId="77777777" w:rsidR="00353B1D" w:rsidRPr="00364227" w:rsidRDefault="00353B1D" w:rsidP="00353B1D">
      <w:pPr>
        <w:spacing w:line="360" w:lineRule="auto"/>
        <w:jc w:val="both"/>
        <w:rPr>
          <w:rFonts w:ascii="David" w:hAnsi="David"/>
          <w:rtl/>
        </w:rPr>
      </w:pPr>
    </w:p>
    <w:p w14:paraId="6846478C" w14:textId="77777777" w:rsidR="00353B1D" w:rsidRPr="00364227" w:rsidRDefault="00353B1D" w:rsidP="00353B1D">
      <w:pPr>
        <w:spacing w:line="360" w:lineRule="auto"/>
        <w:jc w:val="both"/>
        <w:rPr>
          <w:rFonts w:ascii="David" w:hAnsi="David"/>
          <w:rtl/>
        </w:rPr>
      </w:pPr>
      <w:r w:rsidRPr="00364227">
        <w:rPr>
          <w:rFonts w:ascii="David" w:hAnsi="David" w:hint="cs"/>
          <w:rtl/>
        </w:rPr>
        <w:t>29.</w:t>
      </w:r>
      <w:r w:rsidRPr="00364227">
        <w:rPr>
          <w:rFonts w:ascii="David" w:hAnsi="David" w:hint="cs"/>
          <w:rtl/>
        </w:rPr>
        <w:tab/>
        <w:t>לאחר שבחנתי את מכלול הטעמים שאינם קשורים בביצוע העבירות</w:t>
      </w:r>
      <w:r>
        <w:rPr>
          <w:rFonts w:ascii="David" w:hAnsi="David" w:hint="cs"/>
          <w:rtl/>
        </w:rPr>
        <w:t>,</w:t>
      </w:r>
      <w:r w:rsidRPr="00364227">
        <w:rPr>
          <w:rFonts w:ascii="David" w:hAnsi="David" w:hint="cs"/>
          <w:rtl/>
        </w:rPr>
        <w:t xml:space="preserve"> הגעתי לכלל מסקנה כי על נאשם 1 יושת עונש של 30 חודשי מאסר בפועל, לצד רכיבי ענישה של מאסר מותנה וקנס כספי וכי על נאשם 2 שעברו הפלילי נקי יושת עונש של 24 חודשי מאסר בפועל לצד רכיבי ענישה של מאסר מותנה וקנס כספי. לעניין בקשת המאשימה לחילוט רכבו של אביו של נאשם 2, אציין כי אני מבכרת שלא להיעתר לבקשה זו בהינתן העובדה שמדובר לא ברכבו</w:t>
      </w:r>
      <w:r>
        <w:rPr>
          <w:rFonts w:ascii="David" w:hAnsi="David" w:hint="cs"/>
          <w:rtl/>
        </w:rPr>
        <w:t xml:space="preserve"> של נאשם 2 כי אם ברכבו של אביו ו</w:t>
      </w:r>
      <w:r w:rsidRPr="00364227">
        <w:rPr>
          <w:rFonts w:ascii="David" w:hAnsi="David" w:hint="cs"/>
          <w:rtl/>
        </w:rPr>
        <w:t>תוך מתן הדעת לכך שמי שירה בפועל  מהרכב היה נאשם 1 ולא נאשם 2.</w:t>
      </w:r>
    </w:p>
    <w:p w14:paraId="6B33A684" w14:textId="77777777" w:rsidR="00353B1D" w:rsidRPr="00364227" w:rsidRDefault="00353B1D" w:rsidP="00353B1D">
      <w:pPr>
        <w:spacing w:line="360" w:lineRule="auto"/>
        <w:ind w:firstLine="720"/>
        <w:jc w:val="both"/>
        <w:rPr>
          <w:rFonts w:ascii="David" w:hAnsi="David"/>
          <w:rtl/>
        </w:rPr>
      </w:pPr>
    </w:p>
    <w:p w14:paraId="3787FBEE" w14:textId="77777777" w:rsidR="00353B1D" w:rsidRPr="00364227" w:rsidRDefault="00353B1D" w:rsidP="00353B1D">
      <w:pPr>
        <w:spacing w:line="360" w:lineRule="auto"/>
        <w:jc w:val="both"/>
        <w:rPr>
          <w:rFonts w:ascii="David" w:hAnsi="David"/>
          <w:rtl/>
        </w:rPr>
      </w:pPr>
      <w:r w:rsidRPr="00364227">
        <w:rPr>
          <w:rFonts w:ascii="David" w:hAnsi="David" w:hint="cs"/>
          <w:rtl/>
        </w:rPr>
        <w:t>30.</w:t>
      </w:r>
      <w:r w:rsidRPr="00364227">
        <w:rPr>
          <w:rFonts w:ascii="David" w:hAnsi="David" w:hint="cs"/>
          <w:rtl/>
        </w:rPr>
        <w:tab/>
        <w:t>בסיכומו של דבר, אני דנה כל אחד מהנאשמים, כדלקמן:</w:t>
      </w:r>
    </w:p>
    <w:p w14:paraId="76D8BB8A" w14:textId="77777777" w:rsidR="00353B1D" w:rsidRPr="00364227" w:rsidRDefault="00353B1D" w:rsidP="00353B1D">
      <w:pPr>
        <w:ind w:firstLine="720"/>
        <w:jc w:val="both"/>
        <w:rPr>
          <w:rFonts w:ascii="David" w:hAnsi="David"/>
          <w:rtl/>
        </w:rPr>
      </w:pPr>
    </w:p>
    <w:p w14:paraId="739F946A" w14:textId="77777777" w:rsidR="00353B1D" w:rsidRPr="007855FB" w:rsidRDefault="00353B1D" w:rsidP="00353B1D">
      <w:pPr>
        <w:spacing w:line="360" w:lineRule="auto"/>
        <w:ind w:firstLine="720"/>
        <w:jc w:val="both"/>
        <w:rPr>
          <w:rFonts w:ascii="David" w:hAnsi="David"/>
          <w:b/>
          <w:bCs/>
          <w:u w:val="single"/>
          <w:rtl/>
        </w:rPr>
      </w:pPr>
      <w:r w:rsidRPr="007855FB">
        <w:rPr>
          <w:rFonts w:ascii="Miriam" w:hAnsi="Miriam" w:cs="Miriam"/>
          <w:b/>
          <w:bCs/>
          <w:u w:val="single"/>
          <w:rtl/>
        </w:rPr>
        <w:t>נאשם 1</w:t>
      </w:r>
      <w:r w:rsidRPr="007855FB">
        <w:rPr>
          <w:rFonts w:ascii="David" w:hAnsi="David" w:hint="cs"/>
          <w:b/>
          <w:bCs/>
          <w:u w:val="single"/>
          <w:rtl/>
        </w:rPr>
        <w:t>:</w:t>
      </w:r>
    </w:p>
    <w:p w14:paraId="4C0DAD4E" w14:textId="77777777" w:rsidR="00353B1D" w:rsidRPr="00364227" w:rsidRDefault="00353B1D" w:rsidP="00353B1D">
      <w:pPr>
        <w:pStyle w:val="a9"/>
        <w:numPr>
          <w:ilvl w:val="0"/>
          <w:numId w:val="1"/>
        </w:numPr>
        <w:spacing w:line="360" w:lineRule="auto"/>
        <w:jc w:val="both"/>
        <w:rPr>
          <w:rFonts w:ascii="David" w:hAnsi="David"/>
        </w:rPr>
      </w:pPr>
      <w:r w:rsidRPr="00364227">
        <w:rPr>
          <w:rtl/>
        </w:rPr>
        <w:t xml:space="preserve">למאסר בפועל לתקופה של </w:t>
      </w:r>
      <w:r w:rsidRPr="00364227">
        <w:rPr>
          <w:rFonts w:hint="cs"/>
          <w:rtl/>
        </w:rPr>
        <w:t>30</w:t>
      </w:r>
      <w:r w:rsidRPr="00364227">
        <w:rPr>
          <w:rtl/>
        </w:rPr>
        <w:t xml:space="preserve"> חודשים, בניכוי ימי מעצרו </w:t>
      </w:r>
      <w:r w:rsidRPr="00364227">
        <w:rPr>
          <w:rFonts w:hint="cs"/>
          <w:rtl/>
        </w:rPr>
        <w:t xml:space="preserve">(מיום 26/5/20 </w:t>
      </w:r>
      <w:r w:rsidRPr="00364227">
        <w:rPr>
          <w:rtl/>
        </w:rPr>
        <w:t>)</w:t>
      </w:r>
      <w:r>
        <w:rPr>
          <w:rFonts w:hint="cs"/>
          <w:rtl/>
        </w:rPr>
        <w:t xml:space="preserve">, למעט תקופת המאסר בת ה- 3 חודשים שהושתה עליו בתיק התעבורה 6447-02-20 בבית משפט השלום לתעבורה בעכו. </w:t>
      </w:r>
    </w:p>
    <w:p w14:paraId="43BE5A7C" w14:textId="77777777" w:rsidR="00353B1D" w:rsidRPr="00364227" w:rsidRDefault="00353B1D" w:rsidP="00353B1D">
      <w:pPr>
        <w:pStyle w:val="a9"/>
        <w:spacing w:line="360" w:lineRule="auto"/>
        <w:jc w:val="both"/>
        <w:rPr>
          <w:rFonts w:ascii="David" w:hAnsi="David"/>
        </w:rPr>
      </w:pPr>
    </w:p>
    <w:p w14:paraId="78A21605" w14:textId="77777777" w:rsidR="00353B1D" w:rsidRPr="00364227" w:rsidRDefault="00353B1D" w:rsidP="00353B1D">
      <w:pPr>
        <w:pStyle w:val="a9"/>
        <w:numPr>
          <w:ilvl w:val="0"/>
          <w:numId w:val="1"/>
        </w:numPr>
        <w:spacing w:line="360" w:lineRule="auto"/>
        <w:jc w:val="both"/>
        <w:rPr>
          <w:rFonts w:ascii="David" w:hAnsi="David"/>
        </w:rPr>
      </w:pPr>
      <w:r w:rsidRPr="00364227">
        <w:rPr>
          <w:rtl/>
        </w:rPr>
        <w:t xml:space="preserve">למאסר על תנאי לתקופה של 12 חודשים למשך 3 שנים, והתנאי הוא לבל יעבור הנאשם עבירה מסוג פשע לפי </w:t>
      </w:r>
      <w:hyperlink r:id="rId46" w:history="1">
        <w:r w:rsidR="00362ABF" w:rsidRPr="00362ABF">
          <w:rPr>
            <w:rStyle w:val="Hyperlink"/>
            <w:rtl/>
          </w:rPr>
          <w:t>סעיף 144</w:t>
        </w:r>
      </w:hyperlink>
      <w:r w:rsidRPr="00364227">
        <w:rPr>
          <w:rtl/>
        </w:rPr>
        <w:t xml:space="preserve"> ל</w:t>
      </w:r>
      <w:hyperlink r:id="rId47" w:history="1">
        <w:r w:rsidR="00F904CB" w:rsidRPr="00F904CB">
          <w:rPr>
            <w:color w:val="0000FF"/>
            <w:u w:val="single"/>
            <w:rtl/>
          </w:rPr>
          <w:t>חוק העונשין</w:t>
        </w:r>
      </w:hyperlink>
      <w:r w:rsidRPr="00364227">
        <w:rPr>
          <w:rtl/>
        </w:rPr>
        <w:t xml:space="preserve">, התשל"ז-1977. </w:t>
      </w:r>
    </w:p>
    <w:p w14:paraId="7D33A8E3" w14:textId="77777777" w:rsidR="00353B1D" w:rsidRPr="00364227" w:rsidRDefault="00353B1D" w:rsidP="00353B1D">
      <w:pPr>
        <w:pStyle w:val="a9"/>
        <w:rPr>
          <w:rFonts w:ascii="David" w:hAnsi="David"/>
          <w:rtl/>
        </w:rPr>
      </w:pPr>
    </w:p>
    <w:p w14:paraId="41E2FC09" w14:textId="77777777" w:rsidR="00353B1D" w:rsidRPr="00364227" w:rsidRDefault="00353B1D" w:rsidP="00353B1D">
      <w:pPr>
        <w:pStyle w:val="a9"/>
        <w:numPr>
          <w:ilvl w:val="0"/>
          <w:numId w:val="1"/>
        </w:numPr>
        <w:spacing w:line="360" w:lineRule="auto"/>
        <w:jc w:val="both"/>
        <w:rPr>
          <w:rFonts w:ascii="David" w:hAnsi="David"/>
        </w:rPr>
      </w:pPr>
      <w:r w:rsidRPr="00364227">
        <w:rPr>
          <w:rtl/>
        </w:rPr>
        <w:t xml:space="preserve">למאסר על תנאי לתקופה של 6 חודשים למשך 3 שנים והתנאי הוא לבל יבצע הנאשם עבירה לפי </w:t>
      </w:r>
      <w:hyperlink r:id="rId48" w:history="1">
        <w:r w:rsidR="00362ABF" w:rsidRPr="00362ABF">
          <w:rPr>
            <w:rStyle w:val="Hyperlink"/>
            <w:rtl/>
          </w:rPr>
          <w:t>סעיף 340א</w:t>
        </w:r>
      </w:hyperlink>
      <w:r w:rsidRPr="00364227">
        <w:rPr>
          <w:rtl/>
        </w:rPr>
        <w:t xml:space="preserve"> ל</w:t>
      </w:r>
      <w:hyperlink r:id="rId49" w:history="1">
        <w:r w:rsidR="00F904CB" w:rsidRPr="00F904CB">
          <w:rPr>
            <w:color w:val="0000FF"/>
            <w:u w:val="single"/>
            <w:rtl/>
          </w:rPr>
          <w:t>חוק העונשין</w:t>
        </w:r>
      </w:hyperlink>
      <w:r w:rsidRPr="00364227">
        <w:rPr>
          <w:rtl/>
        </w:rPr>
        <w:t xml:space="preserve">, התשל"ז-1977 או עבירה מסוג עוון לפי </w:t>
      </w:r>
      <w:hyperlink r:id="rId50" w:history="1">
        <w:r w:rsidR="00362ABF" w:rsidRPr="00362ABF">
          <w:rPr>
            <w:rStyle w:val="Hyperlink"/>
            <w:rtl/>
          </w:rPr>
          <w:t>סעיף 144</w:t>
        </w:r>
      </w:hyperlink>
      <w:r w:rsidRPr="00364227">
        <w:rPr>
          <w:rtl/>
        </w:rPr>
        <w:t xml:space="preserve"> לחוק העונשין</w:t>
      </w:r>
      <w:r w:rsidRPr="00364227">
        <w:rPr>
          <w:rFonts w:hint="cs"/>
          <w:rtl/>
        </w:rPr>
        <w:t>.</w:t>
      </w:r>
    </w:p>
    <w:p w14:paraId="3BEBAA94" w14:textId="77777777" w:rsidR="00353B1D" w:rsidRPr="00364227" w:rsidRDefault="00353B1D" w:rsidP="00353B1D">
      <w:pPr>
        <w:pStyle w:val="a9"/>
        <w:rPr>
          <w:rFonts w:ascii="David" w:hAnsi="David"/>
          <w:rtl/>
        </w:rPr>
      </w:pPr>
    </w:p>
    <w:p w14:paraId="5AFBCA47" w14:textId="77777777" w:rsidR="00353B1D" w:rsidRPr="00364227" w:rsidRDefault="00353B1D" w:rsidP="00353B1D">
      <w:pPr>
        <w:pStyle w:val="a9"/>
        <w:numPr>
          <w:ilvl w:val="0"/>
          <w:numId w:val="1"/>
        </w:numPr>
        <w:spacing w:line="360" w:lineRule="auto"/>
        <w:jc w:val="both"/>
        <w:rPr>
          <w:rFonts w:ascii="David" w:hAnsi="David"/>
        </w:rPr>
      </w:pPr>
      <w:r w:rsidRPr="00364227">
        <w:rPr>
          <w:rtl/>
        </w:rPr>
        <w:t>לתשלום קנס בסך 5,000 ₪ או 25 ימי מאסר תמורתו. הקנס ישולם ב-</w:t>
      </w:r>
      <w:r w:rsidRPr="00364227">
        <w:rPr>
          <w:rFonts w:hint="cs"/>
          <w:rtl/>
        </w:rPr>
        <w:t>1</w:t>
      </w:r>
      <w:r w:rsidRPr="00364227">
        <w:rPr>
          <w:rtl/>
        </w:rPr>
        <w:t xml:space="preserve">0 תשלומים חודשיים, שווים ורצופים בסך </w:t>
      </w:r>
      <w:r w:rsidRPr="00364227">
        <w:rPr>
          <w:rFonts w:hint="cs"/>
          <w:rtl/>
        </w:rPr>
        <w:t>500</w:t>
      </w:r>
      <w:r w:rsidRPr="00364227">
        <w:rPr>
          <w:rtl/>
        </w:rPr>
        <w:t xml:space="preserve"> ₪ כל אחד החל מיום </w:t>
      </w:r>
      <w:r w:rsidRPr="00364227">
        <w:rPr>
          <w:rFonts w:hint="cs"/>
          <w:rtl/>
        </w:rPr>
        <w:t>15/11/21 ואילך</w:t>
      </w:r>
      <w:r w:rsidRPr="00364227">
        <w:rPr>
          <w:rFonts w:ascii="David" w:hAnsi="David"/>
          <w:rtl/>
        </w:rPr>
        <w:t>. אי עמידה במועד באחד מתשלומי הקנס תביא לפירעון מידי של יתרת הקנס.</w:t>
      </w:r>
    </w:p>
    <w:p w14:paraId="088BEFD2" w14:textId="77777777" w:rsidR="00353B1D" w:rsidRPr="00364227" w:rsidRDefault="00353B1D" w:rsidP="00353B1D">
      <w:pPr>
        <w:pStyle w:val="a9"/>
        <w:rPr>
          <w:rFonts w:ascii="Miriam" w:hAnsi="Miriam" w:cs="Miriam"/>
          <w:rtl/>
        </w:rPr>
      </w:pPr>
    </w:p>
    <w:p w14:paraId="7B7BFF96" w14:textId="77777777" w:rsidR="00353B1D" w:rsidRPr="007855FB" w:rsidRDefault="00353B1D" w:rsidP="00353B1D">
      <w:pPr>
        <w:spacing w:line="360" w:lineRule="auto"/>
        <w:ind w:left="720"/>
        <w:jc w:val="both"/>
        <w:rPr>
          <w:rFonts w:ascii="David" w:hAnsi="David"/>
          <w:b/>
          <w:bCs/>
          <w:rtl/>
        </w:rPr>
      </w:pPr>
      <w:r w:rsidRPr="007855FB">
        <w:rPr>
          <w:rFonts w:ascii="Miriam" w:hAnsi="Miriam" w:cs="Miriam"/>
          <w:b/>
          <w:bCs/>
          <w:u w:val="single"/>
          <w:rtl/>
        </w:rPr>
        <w:t>נאשם 2</w:t>
      </w:r>
      <w:r w:rsidRPr="007855FB">
        <w:rPr>
          <w:rFonts w:ascii="David" w:hAnsi="David" w:hint="cs"/>
          <w:b/>
          <w:bCs/>
          <w:rtl/>
        </w:rPr>
        <w:t>:</w:t>
      </w:r>
    </w:p>
    <w:p w14:paraId="5F091573" w14:textId="77777777" w:rsidR="00353B1D" w:rsidRPr="00364227" w:rsidRDefault="00353B1D" w:rsidP="00353B1D">
      <w:pPr>
        <w:pStyle w:val="a9"/>
        <w:numPr>
          <w:ilvl w:val="0"/>
          <w:numId w:val="1"/>
        </w:numPr>
        <w:spacing w:line="360" w:lineRule="auto"/>
        <w:jc w:val="both"/>
        <w:rPr>
          <w:rFonts w:ascii="David" w:hAnsi="David"/>
        </w:rPr>
      </w:pPr>
      <w:r w:rsidRPr="00364227">
        <w:rPr>
          <w:rtl/>
        </w:rPr>
        <w:t>למאסר בפועל לתקופה של 24 חודשים, בניכוי ימי מעצרו (</w:t>
      </w:r>
      <w:r w:rsidRPr="00364227">
        <w:rPr>
          <w:rFonts w:hint="cs"/>
          <w:rtl/>
        </w:rPr>
        <w:t>5/8/20-26/5/20).</w:t>
      </w:r>
    </w:p>
    <w:p w14:paraId="7A88D5A2" w14:textId="77777777" w:rsidR="00353B1D" w:rsidRPr="00364227" w:rsidRDefault="00353B1D" w:rsidP="00353B1D">
      <w:pPr>
        <w:pStyle w:val="a9"/>
        <w:spacing w:line="360" w:lineRule="auto"/>
        <w:jc w:val="both"/>
        <w:rPr>
          <w:rFonts w:ascii="David" w:hAnsi="David"/>
        </w:rPr>
      </w:pPr>
      <w:r w:rsidRPr="00364227">
        <w:rPr>
          <w:rtl/>
        </w:rPr>
        <w:t xml:space="preserve"> </w:t>
      </w:r>
    </w:p>
    <w:p w14:paraId="6E78A787" w14:textId="77777777" w:rsidR="00353B1D" w:rsidRPr="00364227" w:rsidRDefault="00353B1D" w:rsidP="00353B1D">
      <w:pPr>
        <w:pStyle w:val="a9"/>
        <w:numPr>
          <w:ilvl w:val="0"/>
          <w:numId w:val="1"/>
        </w:numPr>
        <w:spacing w:line="360" w:lineRule="auto"/>
        <w:jc w:val="both"/>
        <w:rPr>
          <w:rFonts w:ascii="David" w:hAnsi="David"/>
        </w:rPr>
      </w:pPr>
      <w:r w:rsidRPr="00364227">
        <w:rPr>
          <w:rtl/>
        </w:rPr>
        <w:t xml:space="preserve">למאסר על תנאי לתקופה של 12 חודשים למשך 3 שנים, והתנאי הוא לבל יעבור הנאשם עבירה מסוג פשע לפי </w:t>
      </w:r>
      <w:hyperlink r:id="rId51" w:history="1">
        <w:r w:rsidR="00362ABF" w:rsidRPr="00362ABF">
          <w:rPr>
            <w:rStyle w:val="Hyperlink"/>
            <w:rtl/>
          </w:rPr>
          <w:t>סעיף 144</w:t>
        </w:r>
      </w:hyperlink>
      <w:r w:rsidRPr="00364227">
        <w:rPr>
          <w:rtl/>
        </w:rPr>
        <w:t xml:space="preserve"> ל</w:t>
      </w:r>
      <w:hyperlink r:id="rId52" w:history="1">
        <w:r w:rsidR="00F904CB" w:rsidRPr="00F904CB">
          <w:rPr>
            <w:color w:val="0000FF"/>
            <w:u w:val="single"/>
            <w:rtl/>
          </w:rPr>
          <w:t>חוק העונשין</w:t>
        </w:r>
      </w:hyperlink>
      <w:r w:rsidRPr="00364227">
        <w:rPr>
          <w:rtl/>
        </w:rPr>
        <w:t xml:space="preserve">, התשל"ז-1977. </w:t>
      </w:r>
    </w:p>
    <w:p w14:paraId="25BFD3AA" w14:textId="77777777" w:rsidR="00353B1D" w:rsidRPr="00364227" w:rsidRDefault="00353B1D" w:rsidP="00353B1D">
      <w:pPr>
        <w:pStyle w:val="a9"/>
        <w:rPr>
          <w:rFonts w:ascii="David" w:hAnsi="David"/>
          <w:rtl/>
        </w:rPr>
      </w:pPr>
    </w:p>
    <w:p w14:paraId="4B27F0B5" w14:textId="77777777" w:rsidR="00353B1D" w:rsidRPr="00364227" w:rsidRDefault="00353B1D" w:rsidP="00353B1D">
      <w:pPr>
        <w:pStyle w:val="a9"/>
        <w:numPr>
          <w:ilvl w:val="0"/>
          <w:numId w:val="1"/>
        </w:numPr>
        <w:spacing w:line="360" w:lineRule="auto"/>
        <w:jc w:val="both"/>
      </w:pPr>
      <w:r w:rsidRPr="00364227">
        <w:rPr>
          <w:rtl/>
        </w:rPr>
        <w:t xml:space="preserve">למאסר על תנאי לתקופה של 6 חודשים למשך 3 שנים והתנאי הוא לבל יבצע הנאשם עבירה לפי </w:t>
      </w:r>
      <w:hyperlink r:id="rId53" w:history="1">
        <w:r w:rsidR="00362ABF" w:rsidRPr="00362ABF">
          <w:rPr>
            <w:rStyle w:val="Hyperlink"/>
            <w:rtl/>
          </w:rPr>
          <w:t>סעיף 340א</w:t>
        </w:r>
      </w:hyperlink>
      <w:r w:rsidRPr="00364227">
        <w:rPr>
          <w:rtl/>
        </w:rPr>
        <w:t xml:space="preserve"> ל</w:t>
      </w:r>
      <w:hyperlink r:id="rId54" w:history="1">
        <w:r w:rsidR="00F904CB" w:rsidRPr="00F904CB">
          <w:rPr>
            <w:color w:val="0000FF"/>
            <w:u w:val="single"/>
            <w:rtl/>
          </w:rPr>
          <w:t>חוק העונשין</w:t>
        </w:r>
      </w:hyperlink>
      <w:r w:rsidRPr="00364227">
        <w:rPr>
          <w:rtl/>
        </w:rPr>
        <w:t xml:space="preserve">, התשל"ז-1977 או עבירה מסוג עוון לפי </w:t>
      </w:r>
      <w:hyperlink r:id="rId55" w:history="1">
        <w:r w:rsidR="00362ABF" w:rsidRPr="00362ABF">
          <w:rPr>
            <w:rStyle w:val="Hyperlink"/>
            <w:rtl/>
          </w:rPr>
          <w:t>סעיף 144</w:t>
        </w:r>
      </w:hyperlink>
      <w:r w:rsidRPr="00364227">
        <w:rPr>
          <w:rtl/>
        </w:rPr>
        <w:t xml:space="preserve"> לחוק העונשין.</w:t>
      </w:r>
    </w:p>
    <w:p w14:paraId="564A2253" w14:textId="77777777" w:rsidR="00353B1D" w:rsidRPr="00364227" w:rsidRDefault="00353B1D" w:rsidP="00353B1D">
      <w:pPr>
        <w:pStyle w:val="a9"/>
        <w:rPr>
          <w:rtl/>
        </w:rPr>
      </w:pPr>
    </w:p>
    <w:p w14:paraId="7513AA6F" w14:textId="77777777" w:rsidR="00353B1D" w:rsidRPr="00364227" w:rsidRDefault="00353B1D" w:rsidP="00353B1D">
      <w:pPr>
        <w:pStyle w:val="a9"/>
        <w:numPr>
          <w:ilvl w:val="0"/>
          <w:numId w:val="1"/>
        </w:numPr>
        <w:spacing w:line="360" w:lineRule="auto"/>
        <w:jc w:val="both"/>
        <w:rPr>
          <w:rFonts w:ascii="David" w:hAnsi="David"/>
        </w:rPr>
      </w:pPr>
      <w:r w:rsidRPr="00364227">
        <w:rPr>
          <w:rtl/>
        </w:rPr>
        <w:t>לתשלום קנס בסך 5,000 ₪ או 25 ימי מאסר תמורתו. הקנס ישולם ב-</w:t>
      </w:r>
      <w:r w:rsidRPr="00364227">
        <w:rPr>
          <w:rFonts w:hint="cs"/>
          <w:rtl/>
        </w:rPr>
        <w:t>1</w:t>
      </w:r>
      <w:r w:rsidRPr="00364227">
        <w:rPr>
          <w:rtl/>
        </w:rPr>
        <w:t xml:space="preserve">0 תשלומים חודשיים, שווים ורצופים בסך </w:t>
      </w:r>
      <w:r w:rsidRPr="00364227">
        <w:rPr>
          <w:rFonts w:hint="cs"/>
          <w:rtl/>
        </w:rPr>
        <w:t>500</w:t>
      </w:r>
      <w:r w:rsidRPr="00364227">
        <w:rPr>
          <w:rtl/>
        </w:rPr>
        <w:t xml:space="preserve"> ₪ כל אחד החל מיום </w:t>
      </w:r>
      <w:r w:rsidRPr="00364227">
        <w:rPr>
          <w:rFonts w:hint="cs"/>
          <w:rtl/>
        </w:rPr>
        <w:t>15/11/21 ואילך.</w:t>
      </w:r>
      <w:r w:rsidRPr="00364227">
        <w:rPr>
          <w:rFonts w:ascii="Miriam" w:hAnsi="Miriam" w:cs="Miriam" w:hint="cs"/>
          <w:rtl/>
        </w:rPr>
        <w:t xml:space="preserve"> </w:t>
      </w:r>
      <w:r w:rsidRPr="00364227">
        <w:rPr>
          <w:rFonts w:ascii="David" w:hAnsi="David"/>
          <w:rtl/>
        </w:rPr>
        <w:t>אי עמידה במועד באחד מתשלומי הקנס תביא לפירעון מידי של יתרת הקנס.</w:t>
      </w:r>
    </w:p>
    <w:p w14:paraId="0E7E4DD4" w14:textId="77777777" w:rsidR="00353B1D" w:rsidRDefault="00353B1D" w:rsidP="00353B1D">
      <w:pPr>
        <w:spacing w:line="360" w:lineRule="auto"/>
        <w:ind w:left="360"/>
        <w:jc w:val="both"/>
        <w:rPr>
          <w:rFonts w:ascii="Miriam" w:hAnsi="Miriam" w:cs="Miriam"/>
          <w:rtl/>
        </w:rPr>
      </w:pPr>
    </w:p>
    <w:p w14:paraId="1E7C67E7" w14:textId="77777777" w:rsidR="00353B1D" w:rsidRDefault="00353B1D" w:rsidP="00353B1D">
      <w:pPr>
        <w:spacing w:line="360" w:lineRule="auto"/>
        <w:jc w:val="both"/>
        <w:rPr>
          <w:rFonts w:ascii="Miriam" w:hAnsi="Miriam" w:cs="Miriam"/>
          <w:rtl/>
        </w:rPr>
      </w:pPr>
    </w:p>
    <w:p w14:paraId="25AAD100" w14:textId="77777777" w:rsidR="00353B1D" w:rsidRPr="003974CD" w:rsidRDefault="00353B1D" w:rsidP="00353B1D">
      <w:pPr>
        <w:spacing w:line="360" w:lineRule="auto"/>
        <w:jc w:val="both"/>
        <w:rPr>
          <w:rFonts w:ascii="David" w:hAnsi="David"/>
          <w:b/>
          <w:bCs/>
          <w:u w:val="single"/>
          <w:rtl/>
        </w:rPr>
      </w:pPr>
      <w:r w:rsidRPr="003974CD">
        <w:rPr>
          <w:rFonts w:ascii="David" w:hAnsi="David" w:hint="cs"/>
          <w:b/>
          <w:bCs/>
          <w:u w:val="single"/>
          <w:rtl/>
        </w:rPr>
        <w:t xml:space="preserve">המזכירות תמציא את גזר הדין לשירות המבחן. </w:t>
      </w:r>
    </w:p>
    <w:p w14:paraId="2520BCCD" w14:textId="77777777" w:rsidR="00353B1D" w:rsidRPr="007855FB" w:rsidRDefault="00F904CB" w:rsidP="00353B1D">
      <w:pPr>
        <w:spacing w:line="360" w:lineRule="auto"/>
        <w:jc w:val="both"/>
        <w:rPr>
          <w:rFonts w:ascii="David" w:hAnsi="David"/>
          <w:b/>
          <w:bCs/>
          <w:u w:val="double"/>
          <w:rtl/>
        </w:rPr>
      </w:pPr>
      <w:r w:rsidRPr="00F904CB">
        <w:rPr>
          <w:rFonts w:ascii="David" w:hAnsi="David"/>
          <w:b/>
          <w:bCs/>
          <w:color w:val="FFFFFF"/>
          <w:sz w:val="2"/>
          <w:szCs w:val="2"/>
          <w:u w:val="double"/>
          <w:rtl/>
        </w:rPr>
        <w:t>5129371</w:t>
      </w:r>
      <w:r w:rsidR="00353B1D" w:rsidRPr="007855FB">
        <w:rPr>
          <w:rFonts w:ascii="David" w:hAnsi="David" w:hint="cs"/>
          <w:b/>
          <w:bCs/>
          <w:u w:val="double"/>
          <w:rtl/>
        </w:rPr>
        <w:t>זכות ערעור לבית המשפט העליון תוך 45 יום מהיום</w:t>
      </w:r>
      <w:r w:rsidR="00353B1D">
        <w:rPr>
          <w:rFonts w:ascii="David" w:hAnsi="David" w:hint="cs"/>
          <w:b/>
          <w:bCs/>
          <w:u w:val="double"/>
          <w:rtl/>
        </w:rPr>
        <w:t>.</w:t>
      </w:r>
    </w:p>
    <w:p w14:paraId="73F7C91B" w14:textId="77777777" w:rsidR="00353B1D" w:rsidRPr="00F904CB" w:rsidRDefault="00F904CB" w:rsidP="00353B1D">
      <w:pPr>
        <w:spacing w:line="360" w:lineRule="auto"/>
        <w:jc w:val="both"/>
        <w:rPr>
          <w:rFonts w:ascii="David" w:hAnsi="David"/>
          <w:color w:val="FFFFFF"/>
          <w:sz w:val="2"/>
          <w:szCs w:val="2"/>
          <w:rtl/>
        </w:rPr>
      </w:pPr>
      <w:r w:rsidRPr="00F904CB">
        <w:rPr>
          <w:rFonts w:ascii="David" w:hAnsi="David"/>
          <w:color w:val="FFFFFF"/>
          <w:sz w:val="2"/>
          <w:szCs w:val="2"/>
          <w:rtl/>
        </w:rPr>
        <w:t>54678313</w:t>
      </w:r>
    </w:p>
    <w:p w14:paraId="03EAF956" w14:textId="77777777" w:rsidR="00353B1D" w:rsidRPr="00364227" w:rsidRDefault="00F904CB" w:rsidP="00353B1D">
      <w:pPr>
        <w:spacing w:line="360" w:lineRule="auto"/>
        <w:jc w:val="both"/>
        <w:rPr>
          <w:rFonts w:ascii="David" w:hAnsi="David"/>
        </w:rPr>
      </w:pPr>
      <w:bookmarkStart w:id="7" w:name="Nitan"/>
      <w:r>
        <w:rPr>
          <w:rFonts w:ascii="David" w:hAnsi="David"/>
          <w:rtl/>
        </w:rPr>
        <w:t xml:space="preserve">ניתן היום,  כ"ד אב תשפ"א, 02 אוגוסט 2021, במעמד ב"כ המאשימה עו"ד אדם סרי, ב"כ נאשם 1, </w:t>
      </w:r>
      <w:bookmarkEnd w:id="7"/>
      <w:r w:rsidR="00353B1D" w:rsidRPr="00364227">
        <w:rPr>
          <w:rFonts w:ascii="David" w:hAnsi="David" w:hint="cs"/>
          <w:rtl/>
        </w:rPr>
        <w:t>עו"ד</w:t>
      </w:r>
      <w:r w:rsidR="00353B1D">
        <w:rPr>
          <w:rFonts w:ascii="David" w:hAnsi="David" w:hint="cs"/>
          <w:rtl/>
        </w:rPr>
        <w:t xml:space="preserve"> אנס דיראוי</w:t>
      </w:r>
      <w:r w:rsidR="00353B1D" w:rsidRPr="00364227">
        <w:rPr>
          <w:rFonts w:ascii="David" w:hAnsi="David" w:hint="cs"/>
          <w:rtl/>
        </w:rPr>
        <w:t>, ב"כ</w:t>
      </w:r>
      <w:r w:rsidR="00353B1D">
        <w:rPr>
          <w:rFonts w:ascii="David" w:hAnsi="David" w:hint="cs"/>
          <w:rtl/>
        </w:rPr>
        <w:t xml:space="preserve"> נאשם 2, עו"ד אסד שאמי, נאשם 1 ע"י שב"</w:t>
      </w:r>
      <w:r w:rsidR="00353B1D" w:rsidRPr="00364227">
        <w:rPr>
          <w:rFonts w:ascii="David" w:hAnsi="David" w:hint="cs"/>
          <w:rtl/>
        </w:rPr>
        <w:t>ס ונאשם 2 בעצמו</w:t>
      </w:r>
      <w:r w:rsidR="00353B1D">
        <w:rPr>
          <w:rFonts w:ascii="David" w:hAnsi="David" w:hint="cs"/>
          <w:rtl/>
        </w:rPr>
        <w:t>.</w:t>
      </w:r>
    </w:p>
    <w:p w14:paraId="686C1AB4" w14:textId="77777777" w:rsidR="00353B1D" w:rsidRPr="004A15EB" w:rsidRDefault="00353B1D" w:rsidP="00353B1D">
      <w:pPr>
        <w:jc w:val="both"/>
        <w:rPr>
          <w:rFonts w:ascii="David" w:hAnsi="David"/>
          <w:rtl/>
        </w:rPr>
      </w:pPr>
    </w:p>
    <w:p w14:paraId="164949A7" w14:textId="77777777" w:rsidR="00353B1D" w:rsidRPr="00364227" w:rsidRDefault="00353B1D" w:rsidP="00F904CB">
      <w:pPr>
        <w:jc w:val="both"/>
      </w:pPr>
      <w:r w:rsidRPr="00364227">
        <w:rPr>
          <w:rFonts w:ascii="David" w:hAnsi="David"/>
          <w:rtl/>
        </w:rPr>
        <w:t xml:space="preserve">   </w:t>
      </w:r>
      <w:r w:rsidRPr="00364227">
        <w:rPr>
          <w:rFonts w:ascii="David" w:hAnsi="David"/>
          <w:rtl/>
        </w:rPr>
        <w:tab/>
      </w:r>
      <w:r w:rsidRPr="00364227">
        <w:rPr>
          <w:rFonts w:ascii="David" w:hAnsi="David"/>
          <w:rtl/>
        </w:rPr>
        <w:tab/>
      </w:r>
      <w:r w:rsidRPr="00364227">
        <w:rPr>
          <w:rFonts w:ascii="David" w:hAnsi="David"/>
          <w:rtl/>
        </w:rPr>
        <w:tab/>
      </w:r>
      <w:r w:rsidRPr="00364227">
        <w:rPr>
          <w:rFonts w:ascii="David" w:hAnsi="David"/>
          <w:rtl/>
        </w:rPr>
        <w:tab/>
      </w:r>
      <w:r w:rsidRPr="00364227">
        <w:rPr>
          <w:rFonts w:ascii="David" w:hAnsi="David"/>
          <w:rtl/>
        </w:rPr>
        <w:tab/>
      </w:r>
    </w:p>
    <w:p w14:paraId="149B527A" w14:textId="77777777" w:rsidR="00353B1D" w:rsidRPr="00362ABF" w:rsidRDefault="00362ABF" w:rsidP="00353B1D">
      <w:pPr>
        <w:jc w:val="both"/>
        <w:rPr>
          <w:rFonts w:ascii="David" w:hAnsi="David"/>
          <w:color w:val="FFFFFF"/>
          <w:sz w:val="2"/>
          <w:szCs w:val="2"/>
          <w:rtl/>
        </w:rPr>
      </w:pPr>
      <w:r w:rsidRPr="00362ABF">
        <w:rPr>
          <w:rFonts w:ascii="David" w:hAnsi="David"/>
          <w:color w:val="FFFFFF"/>
          <w:sz w:val="2"/>
          <w:szCs w:val="2"/>
          <w:rtl/>
        </w:rPr>
        <w:t>5129371</w:t>
      </w:r>
    </w:p>
    <w:p w14:paraId="25B7DEC0" w14:textId="77777777" w:rsidR="00D62E5E" w:rsidRPr="00362ABF" w:rsidRDefault="00362ABF" w:rsidP="00F904CB">
      <w:pPr>
        <w:keepNext/>
        <w:rPr>
          <w:rFonts w:ascii="David" w:hAnsi="David"/>
          <w:color w:val="FFFFFF"/>
          <w:sz w:val="2"/>
          <w:szCs w:val="2"/>
          <w:rtl/>
        </w:rPr>
      </w:pPr>
      <w:r w:rsidRPr="00362ABF">
        <w:rPr>
          <w:rFonts w:ascii="David" w:hAnsi="David"/>
          <w:color w:val="FFFFFF"/>
          <w:sz w:val="2"/>
          <w:szCs w:val="2"/>
          <w:rtl/>
        </w:rPr>
        <w:t>54678313</w:t>
      </w:r>
    </w:p>
    <w:p w14:paraId="19E929B8" w14:textId="77777777" w:rsidR="00F904CB" w:rsidRDefault="00F904CB" w:rsidP="00F904CB">
      <w:pPr>
        <w:rPr>
          <w:rtl/>
        </w:rPr>
      </w:pPr>
    </w:p>
    <w:p w14:paraId="20F233A4" w14:textId="77777777" w:rsidR="00F904CB" w:rsidRDefault="00F904CB" w:rsidP="00F904CB">
      <w:pPr>
        <w:jc w:val="center"/>
        <w:rPr>
          <w:color w:val="0000FF"/>
          <w:u w:val="single"/>
        </w:rPr>
      </w:pPr>
      <w:hyperlink r:id="rId56" w:history="1">
        <w:r>
          <w:rPr>
            <w:color w:val="0000FF"/>
            <w:u w:val="single"/>
            <w:rtl/>
          </w:rPr>
          <w:t>בעניין עריכה ושינויים במסמכי פסיקה, חקיקה ועוד באתר נבו – הקש כאן</w:t>
        </w:r>
      </w:hyperlink>
    </w:p>
    <w:p w14:paraId="06B3CC1C" w14:textId="77777777" w:rsidR="00362ABF" w:rsidRPr="00362ABF" w:rsidRDefault="00362ABF" w:rsidP="00362ABF">
      <w:pPr>
        <w:keepNext/>
        <w:rPr>
          <w:rFonts w:ascii="David" w:hAnsi="David"/>
          <w:color w:val="000000"/>
          <w:sz w:val="22"/>
          <w:szCs w:val="22"/>
          <w:rtl/>
        </w:rPr>
      </w:pPr>
    </w:p>
    <w:p w14:paraId="3AAA041F" w14:textId="77777777" w:rsidR="00362ABF" w:rsidRPr="00362ABF" w:rsidRDefault="00362ABF" w:rsidP="00362ABF">
      <w:pPr>
        <w:keepNext/>
        <w:rPr>
          <w:rFonts w:ascii="David" w:hAnsi="David"/>
          <w:color w:val="000000"/>
          <w:sz w:val="22"/>
          <w:szCs w:val="22"/>
          <w:rtl/>
        </w:rPr>
      </w:pPr>
      <w:r w:rsidRPr="00362ABF">
        <w:rPr>
          <w:rFonts w:ascii="David" w:hAnsi="David"/>
          <w:color w:val="000000"/>
          <w:sz w:val="22"/>
          <w:szCs w:val="22"/>
          <w:rtl/>
        </w:rPr>
        <w:t>רונית בש 54678313-/</w:t>
      </w:r>
    </w:p>
    <w:p w14:paraId="276CEAB6" w14:textId="77777777" w:rsidR="00F904CB" w:rsidRPr="00F904CB" w:rsidRDefault="00362ABF" w:rsidP="00362ABF">
      <w:pPr>
        <w:rPr>
          <w:rFonts w:hint="cs"/>
          <w:color w:val="0000FF"/>
          <w:u w:val="single"/>
        </w:rPr>
      </w:pPr>
      <w:r w:rsidRPr="00362ABF">
        <w:rPr>
          <w:color w:val="000000"/>
          <w:u w:val="single"/>
          <w:rtl/>
        </w:rPr>
        <w:t>נוסח מסמך זה כפוף לשינויי ניסוח ועריכה</w:t>
      </w:r>
      <w:r w:rsidR="00D218CE">
        <w:rPr>
          <w:rFonts w:hint="cs"/>
          <w:color w:val="0000FF"/>
          <w:u w:val="single"/>
          <w:rtl/>
        </w:rPr>
        <w:t xml:space="preserve"> </w:t>
      </w:r>
    </w:p>
    <w:sectPr w:rsidR="00F904CB" w:rsidRPr="00F904CB" w:rsidSect="00362ABF">
      <w:headerReference w:type="even" r:id="rId57"/>
      <w:headerReference w:type="default" r:id="rId58"/>
      <w:footerReference w:type="even" r:id="rId59"/>
      <w:footerReference w:type="default" r:id="rId6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69D47D" w14:textId="77777777" w:rsidR="00D221D2" w:rsidRDefault="00D221D2" w:rsidP="00BE4602">
      <w:r>
        <w:separator/>
      </w:r>
    </w:p>
  </w:endnote>
  <w:endnote w:type="continuationSeparator" w:id="0">
    <w:p w14:paraId="28130E6C" w14:textId="77777777" w:rsidR="00D221D2" w:rsidRDefault="00D221D2" w:rsidP="00BE4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5A81B1" w14:textId="77777777" w:rsidR="00362ABF" w:rsidRDefault="00362ABF" w:rsidP="00362AB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02E5EDC" w14:textId="77777777" w:rsidR="00396361" w:rsidRPr="00362ABF" w:rsidRDefault="00362ABF" w:rsidP="00362ABF">
    <w:pPr>
      <w:pStyle w:val="a5"/>
      <w:pBdr>
        <w:top w:val="single" w:sz="4" w:space="1" w:color="auto"/>
        <w:between w:val="single" w:sz="4" w:space="0" w:color="auto"/>
      </w:pBdr>
      <w:spacing w:after="60"/>
      <w:jc w:val="center"/>
      <w:rPr>
        <w:rFonts w:ascii="FrankRuehl" w:hAnsi="FrankRuehl" w:cs="FrankRuehl"/>
        <w:color w:val="000000"/>
      </w:rPr>
    </w:pPr>
    <w:r w:rsidRPr="00362AB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B24CE" w14:textId="77777777" w:rsidR="00362ABF" w:rsidRDefault="00362ABF" w:rsidP="00362AB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225A8">
      <w:rPr>
        <w:rFonts w:ascii="FrankRuehl" w:hAnsi="FrankRuehl" w:cs="FrankRuehl"/>
        <w:noProof/>
        <w:rtl/>
      </w:rPr>
      <w:t>1</w:t>
    </w:r>
    <w:r>
      <w:rPr>
        <w:rFonts w:ascii="FrankRuehl" w:hAnsi="FrankRuehl" w:cs="FrankRuehl"/>
        <w:rtl/>
      </w:rPr>
      <w:fldChar w:fldCharType="end"/>
    </w:r>
  </w:p>
  <w:p w14:paraId="65EFF270" w14:textId="77777777" w:rsidR="00396361" w:rsidRPr="00362ABF" w:rsidRDefault="00362ABF" w:rsidP="00362ABF">
    <w:pPr>
      <w:pStyle w:val="a5"/>
      <w:pBdr>
        <w:top w:val="single" w:sz="4" w:space="1" w:color="auto"/>
        <w:between w:val="single" w:sz="4" w:space="0" w:color="auto"/>
      </w:pBdr>
      <w:spacing w:after="60"/>
      <w:jc w:val="center"/>
      <w:rPr>
        <w:rFonts w:ascii="FrankRuehl" w:hAnsi="FrankRuehl" w:cs="FrankRuehl"/>
        <w:color w:val="000000"/>
      </w:rPr>
    </w:pPr>
    <w:r w:rsidRPr="00362ABF">
      <w:rPr>
        <w:rFonts w:ascii="FrankRuehl" w:hAnsi="FrankRuehl" w:cs="FrankRuehl"/>
        <w:color w:val="000000"/>
      </w:rPr>
      <w:pict w14:anchorId="789849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714A88" w14:textId="77777777" w:rsidR="00D221D2" w:rsidRDefault="00D221D2" w:rsidP="00BE4602">
      <w:r>
        <w:separator/>
      </w:r>
    </w:p>
  </w:footnote>
  <w:footnote w:type="continuationSeparator" w:id="0">
    <w:p w14:paraId="1FF80399" w14:textId="77777777" w:rsidR="00D221D2" w:rsidRDefault="00D221D2" w:rsidP="00BE46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0DBDD0" w14:textId="77777777" w:rsidR="00F904CB" w:rsidRPr="00362ABF" w:rsidRDefault="00362ABF" w:rsidP="00362AB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30391-06-20</w:t>
    </w:r>
    <w:r>
      <w:rPr>
        <w:rFonts w:ascii="David" w:hAnsi="David"/>
        <w:color w:val="000000"/>
        <w:sz w:val="22"/>
        <w:szCs w:val="22"/>
        <w:rtl/>
      </w:rPr>
      <w:tab/>
      <w:t xml:space="preserve"> מדינת ישראל נ' סעיד עישאן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0B336" w14:textId="77777777" w:rsidR="00F904CB" w:rsidRPr="00362ABF" w:rsidRDefault="00362ABF" w:rsidP="00362AB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30391-06-20</w:t>
    </w:r>
    <w:r>
      <w:rPr>
        <w:rFonts w:ascii="David" w:hAnsi="David"/>
        <w:color w:val="000000"/>
        <w:sz w:val="22"/>
        <w:szCs w:val="22"/>
        <w:rtl/>
      </w:rPr>
      <w:tab/>
      <w:t xml:space="preserve"> מדינת ישראל נ' סעיד עישאן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890989"/>
    <w:multiLevelType w:val="hybridMultilevel"/>
    <w:tmpl w:val="6A3ACBB2"/>
    <w:lvl w:ilvl="0" w:tplc="0434B7D8">
      <w:numFmt w:val="bullet"/>
      <w:lvlText w:val=""/>
      <w:lvlJc w:val="left"/>
      <w:pPr>
        <w:ind w:left="720" w:hanging="360"/>
      </w:pPr>
      <w:rPr>
        <w:rFonts w:ascii="Symbol" w:eastAsia="Times New Roman" w:hAnsi="Symbol" w:cs="David" w:hint="default"/>
        <w:color w:val="000000"/>
        <w:sz w:val="27"/>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01177C"/>
    <w:multiLevelType w:val="hybridMultilevel"/>
    <w:tmpl w:val="A49A2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3471047">
    <w:abstractNumId w:val="0"/>
  </w:num>
  <w:num w:numId="2" w16cid:durableId="15528127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53B1D"/>
    <w:rsid w:val="001B5A3B"/>
    <w:rsid w:val="00353B1D"/>
    <w:rsid w:val="00362ABF"/>
    <w:rsid w:val="00396361"/>
    <w:rsid w:val="00411455"/>
    <w:rsid w:val="00615C27"/>
    <w:rsid w:val="007B1588"/>
    <w:rsid w:val="008225A8"/>
    <w:rsid w:val="008D2B51"/>
    <w:rsid w:val="00B513D9"/>
    <w:rsid w:val="00BE4602"/>
    <w:rsid w:val="00D218CE"/>
    <w:rsid w:val="00D221D2"/>
    <w:rsid w:val="00D62E5E"/>
    <w:rsid w:val="00F33D4A"/>
    <w:rsid w:val="00F904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A953615"/>
  <w15:chartTrackingRefBased/>
  <w15:docId w15:val="{1048F984-5E85-49F7-8253-407134C6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53B1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53B1D"/>
    <w:pPr>
      <w:tabs>
        <w:tab w:val="center" w:pos="4153"/>
        <w:tab w:val="right" w:pos="8306"/>
      </w:tabs>
    </w:pPr>
  </w:style>
  <w:style w:type="character" w:customStyle="1" w:styleId="a4">
    <w:name w:val="כותרת עליונה תו"/>
    <w:link w:val="a3"/>
    <w:rsid w:val="00353B1D"/>
    <w:rPr>
      <w:rFonts w:ascii="Times New Roman" w:eastAsia="Times New Roman" w:hAnsi="Times New Roman" w:cs="David"/>
      <w:sz w:val="24"/>
      <w:szCs w:val="24"/>
    </w:rPr>
  </w:style>
  <w:style w:type="paragraph" w:styleId="a5">
    <w:name w:val="footer"/>
    <w:basedOn w:val="a"/>
    <w:link w:val="a6"/>
    <w:rsid w:val="00353B1D"/>
    <w:pPr>
      <w:tabs>
        <w:tab w:val="center" w:pos="4153"/>
        <w:tab w:val="right" w:pos="8306"/>
      </w:tabs>
    </w:pPr>
  </w:style>
  <w:style w:type="character" w:customStyle="1" w:styleId="a6">
    <w:name w:val="כותרת תחתונה תו"/>
    <w:link w:val="a5"/>
    <w:rsid w:val="00353B1D"/>
    <w:rPr>
      <w:rFonts w:ascii="Times New Roman" w:eastAsia="Times New Roman" w:hAnsi="Times New Roman" w:cs="David"/>
      <w:sz w:val="24"/>
      <w:szCs w:val="24"/>
    </w:rPr>
  </w:style>
  <w:style w:type="table" w:styleId="a7">
    <w:name w:val="Table Grid"/>
    <w:basedOn w:val="a1"/>
    <w:rsid w:val="00353B1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53B1D"/>
  </w:style>
  <w:style w:type="paragraph" w:styleId="a9">
    <w:name w:val="List Paragraph"/>
    <w:basedOn w:val="a"/>
    <w:qFormat/>
    <w:rsid w:val="00353B1D"/>
    <w:pPr>
      <w:ind w:left="720"/>
      <w:contextualSpacing/>
    </w:pPr>
  </w:style>
  <w:style w:type="character" w:styleId="Hyperlink">
    <w:name w:val="Hyperlink"/>
    <w:rsid w:val="00353B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 TargetMode="External"/><Relationship Id="rId18" Type="http://schemas.openxmlformats.org/officeDocument/2006/relationships/hyperlink" Target="http://www.nevo.co.il/law/74501" TargetMode="External"/><Relationship Id="rId26" Type="http://schemas.openxmlformats.org/officeDocument/2006/relationships/hyperlink" Target="http://www.nevo.co.il/law/70301/340a.b.1" TargetMode="External"/><Relationship Id="rId39" Type="http://schemas.openxmlformats.org/officeDocument/2006/relationships/hyperlink" Target="http://www.nevo.co.il/case/5601503" TargetMode="External"/><Relationship Id="rId21" Type="http://schemas.openxmlformats.org/officeDocument/2006/relationships/hyperlink" Target="http://www.nevo.co.il/law/5227/2" TargetMode="External"/><Relationship Id="rId34" Type="http://schemas.openxmlformats.org/officeDocument/2006/relationships/hyperlink" Target="http://www.nevo.co.il/case/6243627" TargetMode="External"/><Relationship Id="rId42" Type="http://schemas.openxmlformats.org/officeDocument/2006/relationships/hyperlink" Target="http://www.nevo.co.il/case/23509035" TargetMode="External"/><Relationship Id="rId47" Type="http://schemas.openxmlformats.org/officeDocument/2006/relationships/hyperlink" Target="http://www.nevo.co.il/law/70301" TargetMode="External"/><Relationship Id="rId50" Type="http://schemas.openxmlformats.org/officeDocument/2006/relationships/hyperlink" Target="http://www.nevo.co.il/law/70301/144" TargetMode="External"/><Relationship Id="rId55" Type="http://schemas.openxmlformats.org/officeDocument/2006/relationships/hyperlink" Target="http://www.nevo.co.il/law/70301/144"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40a" TargetMode="External"/><Relationship Id="rId29" Type="http://schemas.openxmlformats.org/officeDocument/2006/relationships/hyperlink" Target="http://www.nevo.co.il/law/74501" TargetMode="External"/><Relationship Id="rId11" Type="http://schemas.openxmlformats.org/officeDocument/2006/relationships/hyperlink" Target="http://www.nevo.co.il/law/70301/40c" TargetMode="External"/><Relationship Id="rId24" Type="http://schemas.openxmlformats.org/officeDocument/2006/relationships/hyperlink" Target="http://www.nevo.co.il/law/70301/29.b"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40i" TargetMode="External"/><Relationship Id="rId40" Type="http://schemas.openxmlformats.org/officeDocument/2006/relationships/hyperlink" Target="http://www.nevo.co.il/case/7791493" TargetMode="External"/><Relationship Id="rId45" Type="http://schemas.openxmlformats.org/officeDocument/2006/relationships/hyperlink" Target="http://www.nevo.co.il/case/27603872" TargetMode="External"/><Relationship Id="rId53" Type="http://schemas.openxmlformats.org/officeDocument/2006/relationships/hyperlink" Target="http://www.nevo.co.il/law/70301/340a" TargetMode="External"/><Relationship Id="rId58"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www.nevo.co.il/law/74501/2.a"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law/70301/144.b" TargetMode="External"/><Relationship Id="rId27" Type="http://schemas.openxmlformats.org/officeDocument/2006/relationships/hyperlink" Target="http://www.nevo.co.il/law/70301/29" TargetMode="External"/><Relationship Id="rId30" Type="http://schemas.openxmlformats.org/officeDocument/2006/relationships/hyperlink" Target="http://www.nevo.co.il/law/5227/2" TargetMode="External"/><Relationship Id="rId35" Type="http://schemas.openxmlformats.org/officeDocument/2006/relationships/hyperlink" Target="http://www.nevo.co.il/law/70301/40c" TargetMode="External"/><Relationship Id="rId43" Type="http://schemas.openxmlformats.org/officeDocument/2006/relationships/hyperlink" Target="http://www.nevo.co.il/case/26492590" TargetMode="External"/><Relationship Id="rId48" Type="http://schemas.openxmlformats.org/officeDocument/2006/relationships/hyperlink" Target="http://www.nevo.co.il/law/70301/340a" TargetMode="External"/><Relationship Id="rId56" Type="http://schemas.openxmlformats.org/officeDocument/2006/relationships/hyperlink" Target="http://www.nevo.co.il/advertisements/nevo-100.doc" TargetMode="External"/><Relationship Id="rId8" Type="http://schemas.openxmlformats.org/officeDocument/2006/relationships/hyperlink" Target="http://www.nevo.co.il/law/70301/29" TargetMode="External"/><Relationship Id="rId51" Type="http://schemas.openxmlformats.org/officeDocument/2006/relationships/hyperlink" Target="http://www.nevo.co.il/law/70301/144" TargetMode="External"/><Relationship Id="rId3" Type="http://schemas.openxmlformats.org/officeDocument/2006/relationships/settings" Target="settings.xml"/><Relationship Id="rId12" Type="http://schemas.openxmlformats.org/officeDocument/2006/relationships/hyperlink" Target="http://www.nevo.co.il/law/70301/40i" TargetMode="External"/><Relationship Id="rId17" Type="http://schemas.openxmlformats.org/officeDocument/2006/relationships/hyperlink" Target="http://www.nevo.co.il/law/70301/340a.b.1"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40b" TargetMode="External"/><Relationship Id="rId38" Type="http://schemas.openxmlformats.org/officeDocument/2006/relationships/hyperlink" Target="http://www.nevo.co.il/law/70301" TargetMode="External"/><Relationship Id="rId46" Type="http://schemas.openxmlformats.org/officeDocument/2006/relationships/hyperlink" Target="http://www.nevo.co.il/law/70301/144" TargetMode="External"/><Relationship Id="rId59" Type="http://schemas.openxmlformats.org/officeDocument/2006/relationships/footer" Target="footer1.xml"/><Relationship Id="rId20" Type="http://schemas.openxmlformats.org/officeDocument/2006/relationships/hyperlink" Target="http://www.nevo.co.il/law/5227" TargetMode="External"/><Relationship Id="rId41" Type="http://schemas.openxmlformats.org/officeDocument/2006/relationships/hyperlink" Target="http://www.nevo.co.il/case/20597471" TargetMode="External"/><Relationship Id="rId54" Type="http://schemas.openxmlformats.org/officeDocument/2006/relationships/hyperlink" Target="http://www.nevo.co.il/law/70301"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c" TargetMode="External"/><Relationship Id="rId23" Type="http://schemas.openxmlformats.org/officeDocument/2006/relationships/hyperlink" Target="http://www.nevo.co.il/law/70301/144.c" TargetMode="External"/><Relationship Id="rId28" Type="http://schemas.openxmlformats.org/officeDocument/2006/relationships/hyperlink" Target="http://www.nevo.co.il/law/74501/2.a" TargetMode="External"/><Relationship Id="rId36" Type="http://schemas.openxmlformats.org/officeDocument/2006/relationships/hyperlink" Target="http://www.nevo.co.il/law/70301" TargetMode="External"/><Relationship Id="rId49" Type="http://schemas.openxmlformats.org/officeDocument/2006/relationships/hyperlink" Target="http://www.nevo.co.il/law/70301" TargetMode="External"/><Relationship Id="rId57" Type="http://schemas.openxmlformats.org/officeDocument/2006/relationships/header" Target="header1.xml"/><Relationship Id="rId10" Type="http://schemas.openxmlformats.org/officeDocument/2006/relationships/hyperlink" Target="http://www.nevo.co.il/law/70301/40b" TargetMode="External"/><Relationship Id="rId31" Type="http://schemas.openxmlformats.org/officeDocument/2006/relationships/hyperlink" Target="http://www.nevo.co.il/law/5227" TargetMode="External"/><Relationship Id="rId44" Type="http://schemas.openxmlformats.org/officeDocument/2006/relationships/hyperlink" Target="http://www.nevo.co.il/case/26823704" TargetMode="External"/><Relationship Id="rId52" Type="http://schemas.openxmlformats.org/officeDocument/2006/relationships/hyperlink" Target="http://www.nevo.co.il/law/70301" TargetMode="External"/><Relationship Id="rId6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29.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3869</Words>
  <Characters>19346</Characters>
  <Application>Microsoft Office Word</Application>
  <DocSecurity>0</DocSecurity>
  <Lines>161</Lines>
  <Paragraphs>46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23169</CharactersWithSpaces>
  <SharedDoc>false</SharedDoc>
  <HLinks>
    <vt:vector size="300" baseType="variant">
      <vt:variant>
        <vt:i4>393283</vt:i4>
      </vt:variant>
      <vt:variant>
        <vt:i4>147</vt:i4>
      </vt:variant>
      <vt:variant>
        <vt:i4>0</vt:i4>
      </vt:variant>
      <vt:variant>
        <vt:i4>5</vt:i4>
      </vt:variant>
      <vt:variant>
        <vt:lpwstr>http://www.nevo.co.il/advertisements/nevo-100.doc</vt:lpwstr>
      </vt:variant>
      <vt:variant>
        <vt:lpwstr/>
      </vt:variant>
      <vt:variant>
        <vt:i4>6357092</vt:i4>
      </vt:variant>
      <vt:variant>
        <vt:i4>144</vt:i4>
      </vt:variant>
      <vt:variant>
        <vt:i4>0</vt:i4>
      </vt:variant>
      <vt:variant>
        <vt:i4>5</vt:i4>
      </vt:variant>
      <vt:variant>
        <vt:lpwstr>http://www.nevo.co.il/law/70301/144</vt:lpwstr>
      </vt:variant>
      <vt:variant>
        <vt:lpwstr/>
      </vt:variant>
      <vt:variant>
        <vt:i4>7995492</vt:i4>
      </vt:variant>
      <vt:variant>
        <vt:i4>141</vt:i4>
      </vt:variant>
      <vt:variant>
        <vt:i4>0</vt:i4>
      </vt:variant>
      <vt:variant>
        <vt:i4>5</vt:i4>
      </vt:variant>
      <vt:variant>
        <vt:lpwstr>http://www.nevo.co.il/law/70301</vt:lpwstr>
      </vt:variant>
      <vt:variant>
        <vt:lpwstr/>
      </vt:variant>
      <vt:variant>
        <vt:i4>86</vt:i4>
      </vt:variant>
      <vt:variant>
        <vt:i4>138</vt:i4>
      </vt:variant>
      <vt:variant>
        <vt:i4>0</vt:i4>
      </vt:variant>
      <vt:variant>
        <vt:i4>5</vt:i4>
      </vt:variant>
      <vt:variant>
        <vt:lpwstr>http://www.nevo.co.il/law/70301/340a</vt:lpwstr>
      </vt:variant>
      <vt:variant>
        <vt:lpwstr/>
      </vt:variant>
      <vt:variant>
        <vt:i4>7995492</vt:i4>
      </vt:variant>
      <vt:variant>
        <vt:i4>135</vt:i4>
      </vt:variant>
      <vt:variant>
        <vt:i4>0</vt:i4>
      </vt:variant>
      <vt:variant>
        <vt:i4>5</vt:i4>
      </vt:variant>
      <vt:variant>
        <vt:lpwstr>http://www.nevo.co.il/law/70301</vt:lpwstr>
      </vt:variant>
      <vt:variant>
        <vt:lpwstr/>
      </vt:variant>
      <vt:variant>
        <vt:i4>6357092</vt:i4>
      </vt:variant>
      <vt:variant>
        <vt:i4>132</vt:i4>
      </vt:variant>
      <vt:variant>
        <vt:i4>0</vt:i4>
      </vt:variant>
      <vt:variant>
        <vt:i4>5</vt:i4>
      </vt:variant>
      <vt:variant>
        <vt:lpwstr>http://www.nevo.co.il/law/70301/144</vt:lpwstr>
      </vt:variant>
      <vt:variant>
        <vt:lpwstr/>
      </vt:variant>
      <vt:variant>
        <vt:i4>6357092</vt:i4>
      </vt:variant>
      <vt:variant>
        <vt:i4>129</vt:i4>
      </vt:variant>
      <vt:variant>
        <vt:i4>0</vt:i4>
      </vt:variant>
      <vt:variant>
        <vt:i4>5</vt:i4>
      </vt:variant>
      <vt:variant>
        <vt:lpwstr>http://www.nevo.co.il/law/70301/144</vt:lpwstr>
      </vt:variant>
      <vt:variant>
        <vt:lpwstr/>
      </vt:variant>
      <vt:variant>
        <vt:i4>7995492</vt:i4>
      </vt:variant>
      <vt:variant>
        <vt:i4>126</vt:i4>
      </vt:variant>
      <vt:variant>
        <vt:i4>0</vt:i4>
      </vt:variant>
      <vt:variant>
        <vt:i4>5</vt:i4>
      </vt:variant>
      <vt:variant>
        <vt:lpwstr>http://www.nevo.co.il/law/70301</vt:lpwstr>
      </vt:variant>
      <vt:variant>
        <vt:lpwstr/>
      </vt:variant>
      <vt:variant>
        <vt:i4>86</vt:i4>
      </vt:variant>
      <vt:variant>
        <vt:i4>123</vt:i4>
      </vt:variant>
      <vt:variant>
        <vt:i4>0</vt:i4>
      </vt:variant>
      <vt:variant>
        <vt:i4>5</vt:i4>
      </vt:variant>
      <vt:variant>
        <vt:lpwstr>http://www.nevo.co.il/law/70301/340a</vt:lpwstr>
      </vt:variant>
      <vt:variant>
        <vt:lpwstr/>
      </vt:variant>
      <vt:variant>
        <vt:i4>7995492</vt:i4>
      </vt:variant>
      <vt:variant>
        <vt:i4>120</vt:i4>
      </vt:variant>
      <vt:variant>
        <vt:i4>0</vt:i4>
      </vt:variant>
      <vt:variant>
        <vt:i4>5</vt:i4>
      </vt:variant>
      <vt:variant>
        <vt:lpwstr>http://www.nevo.co.il/law/70301</vt:lpwstr>
      </vt:variant>
      <vt:variant>
        <vt:lpwstr/>
      </vt:variant>
      <vt:variant>
        <vt:i4>6357092</vt:i4>
      </vt:variant>
      <vt:variant>
        <vt:i4>117</vt:i4>
      </vt:variant>
      <vt:variant>
        <vt:i4>0</vt:i4>
      </vt:variant>
      <vt:variant>
        <vt:i4>5</vt:i4>
      </vt:variant>
      <vt:variant>
        <vt:lpwstr>http://www.nevo.co.il/law/70301/144</vt:lpwstr>
      </vt:variant>
      <vt:variant>
        <vt:lpwstr/>
      </vt:variant>
      <vt:variant>
        <vt:i4>3145851</vt:i4>
      </vt:variant>
      <vt:variant>
        <vt:i4>114</vt:i4>
      </vt:variant>
      <vt:variant>
        <vt:i4>0</vt:i4>
      </vt:variant>
      <vt:variant>
        <vt:i4>5</vt:i4>
      </vt:variant>
      <vt:variant>
        <vt:lpwstr>http://www.nevo.co.il/case/27603872</vt:lpwstr>
      </vt:variant>
      <vt:variant>
        <vt:lpwstr/>
      </vt:variant>
      <vt:variant>
        <vt:i4>3735671</vt:i4>
      </vt:variant>
      <vt:variant>
        <vt:i4>111</vt:i4>
      </vt:variant>
      <vt:variant>
        <vt:i4>0</vt:i4>
      </vt:variant>
      <vt:variant>
        <vt:i4>5</vt:i4>
      </vt:variant>
      <vt:variant>
        <vt:lpwstr>http://www.nevo.co.il/case/26823704</vt:lpwstr>
      </vt:variant>
      <vt:variant>
        <vt:lpwstr/>
      </vt:variant>
      <vt:variant>
        <vt:i4>3997822</vt:i4>
      </vt:variant>
      <vt:variant>
        <vt:i4>108</vt:i4>
      </vt:variant>
      <vt:variant>
        <vt:i4>0</vt:i4>
      </vt:variant>
      <vt:variant>
        <vt:i4>5</vt:i4>
      </vt:variant>
      <vt:variant>
        <vt:lpwstr>http://www.nevo.co.il/case/26492590</vt:lpwstr>
      </vt:variant>
      <vt:variant>
        <vt:lpwstr/>
      </vt:variant>
      <vt:variant>
        <vt:i4>3997815</vt:i4>
      </vt:variant>
      <vt:variant>
        <vt:i4>105</vt:i4>
      </vt:variant>
      <vt:variant>
        <vt:i4>0</vt:i4>
      </vt:variant>
      <vt:variant>
        <vt:i4>5</vt:i4>
      </vt:variant>
      <vt:variant>
        <vt:lpwstr>http://www.nevo.co.il/case/23509035</vt:lpwstr>
      </vt:variant>
      <vt:variant>
        <vt:lpwstr/>
      </vt:variant>
      <vt:variant>
        <vt:i4>3604601</vt:i4>
      </vt:variant>
      <vt:variant>
        <vt:i4>102</vt:i4>
      </vt:variant>
      <vt:variant>
        <vt:i4>0</vt:i4>
      </vt:variant>
      <vt:variant>
        <vt:i4>5</vt:i4>
      </vt:variant>
      <vt:variant>
        <vt:lpwstr>http://www.nevo.co.il/case/20597471</vt:lpwstr>
      </vt:variant>
      <vt:variant>
        <vt:lpwstr/>
      </vt:variant>
      <vt:variant>
        <vt:i4>3735675</vt:i4>
      </vt:variant>
      <vt:variant>
        <vt:i4>99</vt:i4>
      </vt:variant>
      <vt:variant>
        <vt:i4>0</vt:i4>
      </vt:variant>
      <vt:variant>
        <vt:i4>5</vt:i4>
      </vt:variant>
      <vt:variant>
        <vt:lpwstr>http://www.nevo.co.il/case/7791493</vt:lpwstr>
      </vt:variant>
      <vt:variant>
        <vt:lpwstr/>
      </vt:variant>
      <vt:variant>
        <vt:i4>3342451</vt:i4>
      </vt:variant>
      <vt:variant>
        <vt:i4>96</vt:i4>
      </vt:variant>
      <vt:variant>
        <vt:i4>0</vt:i4>
      </vt:variant>
      <vt:variant>
        <vt:i4>5</vt:i4>
      </vt:variant>
      <vt:variant>
        <vt:lpwstr>http://www.nevo.co.il/case/5601503</vt:lpwstr>
      </vt:variant>
      <vt:variant>
        <vt:lpwstr/>
      </vt:variant>
      <vt:variant>
        <vt:i4>7995492</vt:i4>
      </vt:variant>
      <vt:variant>
        <vt:i4>93</vt:i4>
      </vt:variant>
      <vt:variant>
        <vt:i4>0</vt:i4>
      </vt:variant>
      <vt:variant>
        <vt:i4>5</vt:i4>
      </vt:variant>
      <vt:variant>
        <vt:lpwstr>http://www.nevo.co.il/law/70301</vt:lpwstr>
      </vt:variant>
      <vt:variant>
        <vt:lpwstr/>
      </vt:variant>
      <vt:variant>
        <vt:i4>6619233</vt:i4>
      </vt:variant>
      <vt:variant>
        <vt:i4>90</vt:i4>
      </vt:variant>
      <vt:variant>
        <vt:i4>0</vt:i4>
      </vt:variant>
      <vt:variant>
        <vt:i4>5</vt:i4>
      </vt:variant>
      <vt:variant>
        <vt:lpwstr>http://www.nevo.co.il/law/70301/40i</vt:lpwstr>
      </vt:variant>
      <vt:variant>
        <vt:lpwstr/>
      </vt:variant>
      <vt:variant>
        <vt:i4>7995492</vt:i4>
      </vt:variant>
      <vt:variant>
        <vt:i4>87</vt:i4>
      </vt:variant>
      <vt:variant>
        <vt:i4>0</vt:i4>
      </vt:variant>
      <vt:variant>
        <vt:i4>5</vt:i4>
      </vt:variant>
      <vt:variant>
        <vt:lpwstr>http://www.nevo.co.il/law/70301</vt:lpwstr>
      </vt:variant>
      <vt:variant>
        <vt:lpwstr/>
      </vt:variant>
      <vt:variant>
        <vt:i4>6619233</vt:i4>
      </vt:variant>
      <vt:variant>
        <vt:i4>84</vt:i4>
      </vt:variant>
      <vt:variant>
        <vt:i4>0</vt:i4>
      </vt:variant>
      <vt:variant>
        <vt:i4>5</vt:i4>
      </vt:variant>
      <vt:variant>
        <vt:lpwstr>http://www.nevo.co.il/law/70301/40c</vt:lpwstr>
      </vt:variant>
      <vt:variant>
        <vt:lpwstr/>
      </vt:variant>
      <vt:variant>
        <vt:i4>3342455</vt:i4>
      </vt:variant>
      <vt:variant>
        <vt:i4>81</vt:i4>
      </vt:variant>
      <vt:variant>
        <vt:i4>0</vt:i4>
      </vt:variant>
      <vt:variant>
        <vt:i4>5</vt:i4>
      </vt:variant>
      <vt:variant>
        <vt:lpwstr>http://www.nevo.co.il/case/6243627</vt:lpwstr>
      </vt:variant>
      <vt:variant>
        <vt:lpwstr/>
      </vt:variant>
      <vt:variant>
        <vt:i4>6619233</vt:i4>
      </vt:variant>
      <vt:variant>
        <vt:i4>78</vt:i4>
      </vt:variant>
      <vt:variant>
        <vt:i4>0</vt:i4>
      </vt:variant>
      <vt:variant>
        <vt:i4>5</vt:i4>
      </vt:variant>
      <vt:variant>
        <vt:lpwstr>http://www.nevo.co.il/law/70301/40b</vt:lpwstr>
      </vt:variant>
      <vt:variant>
        <vt:lpwstr/>
      </vt:variant>
      <vt:variant>
        <vt:i4>7995492</vt:i4>
      </vt:variant>
      <vt:variant>
        <vt:i4>75</vt:i4>
      </vt:variant>
      <vt:variant>
        <vt:i4>0</vt:i4>
      </vt:variant>
      <vt:variant>
        <vt:i4>5</vt:i4>
      </vt:variant>
      <vt:variant>
        <vt:lpwstr>http://www.nevo.co.il/law/70301</vt:lpwstr>
      </vt:variant>
      <vt:variant>
        <vt:lpwstr/>
      </vt:variant>
      <vt:variant>
        <vt:i4>8323175</vt:i4>
      </vt:variant>
      <vt:variant>
        <vt:i4>72</vt:i4>
      </vt:variant>
      <vt:variant>
        <vt:i4>0</vt:i4>
      </vt:variant>
      <vt:variant>
        <vt:i4>5</vt:i4>
      </vt:variant>
      <vt:variant>
        <vt:lpwstr>http://www.nevo.co.il/law/5227</vt:lpwstr>
      </vt:variant>
      <vt:variant>
        <vt:lpwstr/>
      </vt:variant>
      <vt:variant>
        <vt:i4>5046344</vt:i4>
      </vt:variant>
      <vt:variant>
        <vt:i4>69</vt:i4>
      </vt:variant>
      <vt:variant>
        <vt:i4>0</vt:i4>
      </vt:variant>
      <vt:variant>
        <vt:i4>5</vt:i4>
      </vt:variant>
      <vt:variant>
        <vt:lpwstr>http://www.nevo.co.il/law/5227/2</vt:lpwstr>
      </vt:variant>
      <vt:variant>
        <vt:lpwstr/>
      </vt:variant>
      <vt:variant>
        <vt:i4>8257634</vt:i4>
      </vt:variant>
      <vt:variant>
        <vt:i4>66</vt:i4>
      </vt:variant>
      <vt:variant>
        <vt:i4>0</vt:i4>
      </vt:variant>
      <vt:variant>
        <vt:i4>5</vt:i4>
      </vt:variant>
      <vt:variant>
        <vt:lpwstr>http://www.nevo.co.il/law/74501</vt:lpwstr>
      </vt:variant>
      <vt:variant>
        <vt:lpwstr/>
      </vt:variant>
      <vt:variant>
        <vt:i4>8323169</vt:i4>
      </vt:variant>
      <vt:variant>
        <vt:i4>63</vt:i4>
      </vt:variant>
      <vt:variant>
        <vt:i4>0</vt:i4>
      </vt:variant>
      <vt:variant>
        <vt:i4>5</vt:i4>
      </vt:variant>
      <vt:variant>
        <vt:lpwstr>http://www.nevo.co.il/law/74501/2.a</vt:lpwstr>
      </vt:variant>
      <vt:variant>
        <vt:lpwstr/>
      </vt:variant>
      <vt:variant>
        <vt:i4>7077991</vt:i4>
      </vt:variant>
      <vt:variant>
        <vt:i4>60</vt:i4>
      </vt:variant>
      <vt:variant>
        <vt:i4>0</vt:i4>
      </vt:variant>
      <vt:variant>
        <vt:i4>5</vt:i4>
      </vt:variant>
      <vt:variant>
        <vt:lpwstr>http://www.nevo.co.il/law/70301/29</vt:lpwstr>
      </vt:variant>
      <vt:variant>
        <vt:lpwstr/>
      </vt:variant>
      <vt:variant>
        <vt:i4>5439574</vt:i4>
      </vt:variant>
      <vt:variant>
        <vt:i4>57</vt:i4>
      </vt:variant>
      <vt:variant>
        <vt:i4>0</vt:i4>
      </vt:variant>
      <vt:variant>
        <vt:i4>5</vt:i4>
      </vt:variant>
      <vt:variant>
        <vt:lpwstr>http://www.nevo.co.il/law/70301/340a.b.1</vt:lpwstr>
      </vt:variant>
      <vt:variant>
        <vt:lpwstr/>
      </vt:variant>
      <vt:variant>
        <vt:i4>7995492</vt:i4>
      </vt:variant>
      <vt:variant>
        <vt:i4>54</vt:i4>
      </vt:variant>
      <vt:variant>
        <vt:i4>0</vt:i4>
      </vt:variant>
      <vt:variant>
        <vt:i4>5</vt:i4>
      </vt:variant>
      <vt:variant>
        <vt:lpwstr>http://www.nevo.co.il/law/70301</vt:lpwstr>
      </vt:variant>
      <vt:variant>
        <vt:lpwstr/>
      </vt:variant>
      <vt:variant>
        <vt:i4>917577</vt:i4>
      </vt:variant>
      <vt:variant>
        <vt:i4>51</vt:i4>
      </vt:variant>
      <vt:variant>
        <vt:i4>0</vt:i4>
      </vt:variant>
      <vt:variant>
        <vt:i4>5</vt:i4>
      </vt:variant>
      <vt:variant>
        <vt:lpwstr>http://www.nevo.co.il/law/70301/29.b</vt:lpwstr>
      </vt:variant>
      <vt:variant>
        <vt:lpwstr/>
      </vt:variant>
      <vt:variant>
        <vt:i4>5177424</vt:i4>
      </vt:variant>
      <vt:variant>
        <vt:i4>48</vt:i4>
      </vt:variant>
      <vt:variant>
        <vt:i4>0</vt:i4>
      </vt:variant>
      <vt:variant>
        <vt:i4>5</vt:i4>
      </vt:variant>
      <vt:variant>
        <vt:lpwstr>http://www.nevo.co.il/law/70301/144.c</vt:lpwstr>
      </vt:variant>
      <vt:variant>
        <vt:lpwstr/>
      </vt:variant>
      <vt:variant>
        <vt:i4>5177424</vt:i4>
      </vt:variant>
      <vt:variant>
        <vt:i4>45</vt:i4>
      </vt:variant>
      <vt:variant>
        <vt:i4>0</vt:i4>
      </vt:variant>
      <vt:variant>
        <vt:i4>5</vt:i4>
      </vt:variant>
      <vt:variant>
        <vt:lpwstr>http://www.nevo.co.il/law/70301/144.b</vt:lpwstr>
      </vt:variant>
      <vt:variant>
        <vt:lpwstr/>
      </vt:variant>
      <vt:variant>
        <vt:i4>5046344</vt:i4>
      </vt:variant>
      <vt:variant>
        <vt:i4>42</vt:i4>
      </vt:variant>
      <vt:variant>
        <vt:i4>0</vt:i4>
      </vt:variant>
      <vt:variant>
        <vt:i4>5</vt:i4>
      </vt:variant>
      <vt:variant>
        <vt:lpwstr>http://www.nevo.co.il/law/5227/2</vt:lpwstr>
      </vt:variant>
      <vt:variant>
        <vt:lpwstr/>
      </vt:variant>
      <vt:variant>
        <vt:i4>8323175</vt:i4>
      </vt:variant>
      <vt:variant>
        <vt:i4>39</vt:i4>
      </vt:variant>
      <vt:variant>
        <vt:i4>0</vt:i4>
      </vt:variant>
      <vt:variant>
        <vt:i4>5</vt:i4>
      </vt:variant>
      <vt:variant>
        <vt:lpwstr>http://www.nevo.co.il/law/5227</vt:lpwstr>
      </vt:variant>
      <vt:variant>
        <vt:lpwstr/>
      </vt:variant>
      <vt:variant>
        <vt:i4>8323169</vt:i4>
      </vt:variant>
      <vt:variant>
        <vt:i4>36</vt:i4>
      </vt:variant>
      <vt:variant>
        <vt:i4>0</vt:i4>
      </vt:variant>
      <vt:variant>
        <vt:i4>5</vt:i4>
      </vt:variant>
      <vt:variant>
        <vt:lpwstr>http://www.nevo.co.il/law/74501/2.a</vt:lpwstr>
      </vt:variant>
      <vt:variant>
        <vt:lpwstr/>
      </vt:variant>
      <vt:variant>
        <vt:i4>8257634</vt:i4>
      </vt:variant>
      <vt:variant>
        <vt:i4>33</vt:i4>
      </vt:variant>
      <vt:variant>
        <vt:i4>0</vt:i4>
      </vt:variant>
      <vt:variant>
        <vt:i4>5</vt:i4>
      </vt:variant>
      <vt:variant>
        <vt:lpwstr>http://www.nevo.co.il/law/74501</vt:lpwstr>
      </vt:variant>
      <vt:variant>
        <vt:lpwstr/>
      </vt:variant>
      <vt:variant>
        <vt:i4>5439574</vt:i4>
      </vt:variant>
      <vt:variant>
        <vt:i4>30</vt:i4>
      </vt:variant>
      <vt:variant>
        <vt:i4>0</vt:i4>
      </vt:variant>
      <vt:variant>
        <vt:i4>5</vt:i4>
      </vt:variant>
      <vt:variant>
        <vt:lpwstr>http://www.nevo.co.il/law/70301/340a.b.1</vt:lpwstr>
      </vt:variant>
      <vt:variant>
        <vt:lpwstr/>
      </vt:variant>
      <vt:variant>
        <vt:i4>86</vt:i4>
      </vt:variant>
      <vt:variant>
        <vt:i4>27</vt:i4>
      </vt:variant>
      <vt:variant>
        <vt:i4>0</vt:i4>
      </vt:variant>
      <vt:variant>
        <vt:i4>5</vt:i4>
      </vt:variant>
      <vt:variant>
        <vt:lpwstr>http://www.nevo.co.il/law/70301/340a</vt:lpwstr>
      </vt:variant>
      <vt:variant>
        <vt:lpwstr/>
      </vt:variant>
      <vt:variant>
        <vt:i4>5177424</vt:i4>
      </vt:variant>
      <vt:variant>
        <vt:i4>24</vt:i4>
      </vt:variant>
      <vt:variant>
        <vt:i4>0</vt:i4>
      </vt:variant>
      <vt:variant>
        <vt:i4>5</vt:i4>
      </vt:variant>
      <vt:variant>
        <vt:lpwstr>http://www.nevo.co.il/law/70301/144.c</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6357092</vt:i4>
      </vt:variant>
      <vt:variant>
        <vt:i4>18</vt:i4>
      </vt:variant>
      <vt:variant>
        <vt:i4>0</vt:i4>
      </vt:variant>
      <vt:variant>
        <vt:i4>5</vt:i4>
      </vt:variant>
      <vt:variant>
        <vt:lpwstr>http://www.nevo.co.il/law/70301/144</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6619233</vt:i4>
      </vt:variant>
      <vt:variant>
        <vt:i4>12</vt:i4>
      </vt:variant>
      <vt:variant>
        <vt:i4>0</vt:i4>
      </vt:variant>
      <vt:variant>
        <vt:i4>5</vt:i4>
      </vt:variant>
      <vt:variant>
        <vt:lpwstr>http://www.nevo.co.il/law/70301/40c</vt:lpwstr>
      </vt:variant>
      <vt:variant>
        <vt:lpwstr/>
      </vt:variant>
      <vt:variant>
        <vt:i4>6619233</vt:i4>
      </vt:variant>
      <vt:variant>
        <vt:i4>9</vt:i4>
      </vt:variant>
      <vt:variant>
        <vt:i4>0</vt:i4>
      </vt:variant>
      <vt:variant>
        <vt:i4>5</vt:i4>
      </vt:variant>
      <vt:variant>
        <vt:lpwstr>http://www.nevo.co.il/law/70301/40b</vt:lpwstr>
      </vt:variant>
      <vt:variant>
        <vt:lpwstr/>
      </vt:variant>
      <vt:variant>
        <vt:i4>917577</vt:i4>
      </vt:variant>
      <vt:variant>
        <vt:i4>6</vt:i4>
      </vt:variant>
      <vt:variant>
        <vt:i4>0</vt:i4>
      </vt:variant>
      <vt:variant>
        <vt:i4>5</vt:i4>
      </vt:variant>
      <vt:variant>
        <vt:lpwstr>http://www.nevo.co.il/law/70301/29.b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2025-04-25T10:47:00Z</dcterms:created>
  <dcterms:modified xsi:type="dcterms:W3CDTF">2025-04-25T10:47:00Z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30391</vt:lpwstr>
  </property>
  <property fmtid="{D5CDD505-2E9C-101B-9397-08002B2CF9AE}" pid="6" name="NEWPARTB">
    <vt:lpwstr>06</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סעיד עישאן;מוחמד עישאן </vt:lpwstr>
  </property>
  <property fmtid="{D5CDD505-2E9C-101B-9397-08002B2CF9AE}" pid="10" name="JUDGE">
    <vt:lpwstr>רונית בש</vt:lpwstr>
  </property>
  <property fmtid="{D5CDD505-2E9C-101B-9397-08002B2CF9AE}" pid="11" name="CITY">
    <vt:lpwstr>חי'</vt:lpwstr>
  </property>
  <property fmtid="{D5CDD505-2E9C-101B-9397-08002B2CF9AE}" pid="12" name="DATE">
    <vt:lpwstr>20210802</vt:lpwstr>
  </property>
  <property fmtid="{D5CDD505-2E9C-101B-9397-08002B2CF9AE}" pid="13" name="TYPE_N_DATE">
    <vt:lpwstr>39020210802</vt:lpwstr>
  </property>
  <property fmtid="{D5CDD505-2E9C-101B-9397-08002B2CF9AE}" pid="14" name="WORDNUMPAGES">
    <vt:lpwstr>10</vt:lpwstr>
  </property>
  <property fmtid="{D5CDD505-2E9C-101B-9397-08002B2CF9AE}" pid="15" name="TYPE_ABS_DATE">
    <vt:lpwstr>390020210802</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6243627;5601503;7791493;20597471;23509035;26492590;26823704;27603872</vt:lpwstr>
  </property>
  <property fmtid="{D5CDD505-2E9C-101B-9397-08002B2CF9AE}" pid="36" name="LAWLISTTMP1">
    <vt:lpwstr>70301/144.b;144.c;029.b;340a.b.1;029;040b;040c;040i;144:4;340a:2</vt:lpwstr>
  </property>
  <property fmtid="{D5CDD505-2E9C-101B-9397-08002B2CF9AE}" pid="37" name="LAWLISTTMP2">
    <vt:lpwstr>74501/002.a</vt:lpwstr>
  </property>
  <property fmtid="{D5CDD505-2E9C-101B-9397-08002B2CF9AE}" pid="38" name="LAWLISTTMP3">
    <vt:lpwstr>5227/002</vt:lpwstr>
  </property>
</Properties>
</file>