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140AA1" w:rsidRPr="00560CF9" w14:paraId="1F87307A" w14:textId="77777777" w:rsidTr="00A32674">
        <w:trPr>
          <w:trHeight w:hRule="exact" w:val="418"/>
          <w:jc w:val="center"/>
        </w:trPr>
        <w:tc>
          <w:tcPr>
            <w:tcW w:w="8721" w:type="dxa"/>
            <w:gridSpan w:val="2"/>
          </w:tcPr>
          <w:p w14:paraId="57D84977" w14:textId="77777777" w:rsidR="00140AA1" w:rsidRPr="00560CF9" w:rsidRDefault="00140AA1" w:rsidP="0026111D">
            <w:pPr>
              <w:pStyle w:val="a5"/>
              <w:jc w:val="center"/>
              <w:rPr>
                <w:rFonts w:ascii="Tahoma" w:hAnsi="Tahoma" w:cs="Tahoma"/>
                <w:color w:val="000080"/>
                <w:rtl/>
              </w:rPr>
            </w:pPr>
            <w:bookmarkStart w:id="0" w:name="LastJudge"/>
            <w:r w:rsidRPr="00560CF9">
              <w:rPr>
                <w:rFonts w:ascii="Tahoma" w:hAnsi="Tahoma" w:cs="Tahoma"/>
                <w:b/>
                <w:bCs/>
                <w:color w:val="000080"/>
                <w:rtl/>
              </w:rPr>
              <w:t>בית המשפט המחוזי מרכז-לוד</w:t>
            </w:r>
          </w:p>
        </w:tc>
      </w:tr>
      <w:tr w:rsidR="00140AA1" w:rsidRPr="00560CF9" w14:paraId="40C0ADAE" w14:textId="77777777" w:rsidTr="00A32674">
        <w:trPr>
          <w:trHeight w:val="337"/>
          <w:jc w:val="center"/>
        </w:trPr>
        <w:tc>
          <w:tcPr>
            <w:tcW w:w="5058" w:type="dxa"/>
          </w:tcPr>
          <w:p w14:paraId="205B6E6C" w14:textId="77777777" w:rsidR="00140AA1" w:rsidRPr="00560CF9" w:rsidRDefault="00140AA1" w:rsidP="0026111D">
            <w:pPr>
              <w:rPr>
                <w:rFonts w:cs="FrankRuehl"/>
                <w:sz w:val="28"/>
                <w:szCs w:val="28"/>
                <w:rtl/>
              </w:rPr>
            </w:pPr>
            <w:r w:rsidRPr="00560CF9">
              <w:rPr>
                <w:rFonts w:cs="FrankRuehl"/>
                <w:sz w:val="28"/>
                <w:szCs w:val="28"/>
                <w:rtl/>
              </w:rPr>
              <w:t>ת"פ</w:t>
            </w:r>
            <w:r w:rsidRPr="00560CF9">
              <w:rPr>
                <w:rFonts w:cs="FrankRuehl" w:hint="cs"/>
                <w:sz w:val="28"/>
                <w:szCs w:val="28"/>
                <w:rtl/>
              </w:rPr>
              <w:t xml:space="preserve"> </w:t>
            </w:r>
            <w:r w:rsidRPr="00560CF9">
              <w:rPr>
                <w:rFonts w:cs="FrankRuehl"/>
                <w:sz w:val="28"/>
                <w:szCs w:val="28"/>
                <w:rtl/>
              </w:rPr>
              <w:t>52416-06-20</w:t>
            </w:r>
            <w:r w:rsidRPr="00560CF9">
              <w:rPr>
                <w:rFonts w:cs="FrankRuehl" w:hint="cs"/>
                <w:sz w:val="28"/>
                <w:szCs w:val="28"/>
                <w:rtl/>
              </w:rPr>
              <w:t xml:space="preserve"> </w:t>
            </w:r>
            <w:r w:rsidRPr="00560CF9">
              <w:rPr>
                <w:rFonts w:cs="FrankRuehl"/>
                <w:sz w:val="28"/>
                <w:szCs w:val="28"/>
                <w:rtl/>
              </w:rPr>
              <w:t>מדינת ישראל נ' מתאני(עציר)</w:t>
            </w:r>
          </w:p>
          <w:p w14:paraId="6EA7DE41" w14:textId="77777777" w:rsidR="00140AA1" w:rsidRPr="00560CF9" w:rsidRDefault="00140AA1" w:rsidP="0026111D">
            <w:pPr>
              <w:pStyle w:val="a5"/>
              <w:rPr>
                <w:rFonts w:cs="FrankRuehl"/>
                <w:sz w:val="28"/>
                <w:szCs w:val="28"/>
                <w:rtl/>
              </w:rPr>
            </w:pPr>
          </w:p>
        </w:tc>
        <w:tc>
          <w:tcPr>
            <w:tcW w:w="3663" w:type="dxa"/>
          </w:tcPr>
          <w:p w14:paraId="39064638" w14:textId="77777777" w:rsidR="00140AA1" w:rsidRPr="00560CF9" w:rsidRDefault="00140AA1" w:rsidP="0026111D">
            <w:pPr>
              <w:pStyle w:val="a5"/>
              <w:jc w:val="right"/>
              <w:rPr>
                <w:rFonts w:cs="FrankRuehl"/>
                <w:sz w:val="28"/>
                <w:szCs w:val="28"/>
                <w:rtl/>
              </w:rPr>
            </w:pPr>
          </w:p>
        </w:tc>
      </w:tr>
    </w:tbl>
    <w:p w14:paraId="3AD3D629" w14:textId="77777777" w:rsidR="00140AA1" w:rsidRPr="00560CF9" w:rsidRDefault="00140AA1" w:rsidP="00140AA1">
      <w:pPr>
        <w:pStyle w:val="a5"/>
        <w:rPr>
          <w:rtl/>
        </w:rPr>
      </w:pPr>
      <w:r w:rsidRPr="00560CF9">
        <w:rPr>
          <w:rFonts w:hint="cs"/>
          <w:rtl/>
        </w:rPr>
        <w:t xml:space="preserve"> </w:t>
      </w:r>
    </w:p>
    <w:p w14:paraId="6BCBB696" w14:textId="77777777" w:rsidR="00140AA1" w:rsidRPr="00560CF9" w:rsidRDefault="00140AA1" w:rsidP="00140AA1">
      <w:pPr>
        <w:rPr>
          <w:rtl/>
        </w:rPr>
      </w:pPr>
    </w:p>
    <w:p w14:paraId="01289494" w14:textId="77777777" w:rsidR="00140AA1" w:rsidRPr="00560CF9" w:rsidRDefault="00140AA1" w:rsidP="00140AA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40AA1" w:rsidRPr="00560CF9" w14:paraId="4C5477F6" w14:textId="77777777" w:rsidTr="00140AA1">
        <w:trPr>
          <w:trHeight w:val="295"/>
          <w:jc w:val="center"/>
        </w:trPr>
        <w:tc>
          <w:tcPr>
            <w:tcW w:w="923" w:type="dxa"/>
            <w:tcBorders>
              <w:top w:val="nil"/>
              <w:left w:val="nil"/>
              <w:bottom w:val="nil"/>
              <w:right w:val="nil"/>
            </w:tcBorders>
            <w:shd w:val="clear" w:color="auto" w:fill="auto"/>
          </w:tcPr>
          <w:p w14:paraId="0CD89D74" w14:textId="77777777" w:rsidR="00140AA1" w:rsidRPr="00560CF9" w:rsidRDefault="00140AA1" w:rsidP="00140AA1">
            <w:pPr>
              <w:jc w:val="both"/>
              <w:rPr>
                <w:rFonts w:ascii="Arial" w:hAnsi="Arial" w:cs="FrankRuehl"/>
                <w:sz w:val="28"/>
                <w:szCs w:val="28"/>
              </w:rPr>
            </w:pPr>
            <w:r w:rsidRPr="00560CF9">
              <w:rPr>
                <w:rFonts w:ascii="Arial" w:hAnsi="Arial" w:cs="FrankRuehl" w:hint="cs"/>
                <w:sz w:val="28"/>
                <w:szCs w:val="28"/>
                <w:rtl/>
              </w:rPr>
              <w:t>ב</w:t>
            </w:r>
            <w:r w:rsidRPr="00560CF9">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D1D1AA5" w14:textId="77777777" w:rsidR="00140AA1" w:rsidRPr="00560CF9" w:rsidRDefault="00140AA1" w:rsidP="0026111D">
            <w:pPr>
              <w:rPr>
                <w:rFonts w:ascii="Arial" w:hAnsi="Arial"/>
                <w:b/>
                <w:bCs/>
                <w:rtl/>
              </w:rPr>
            </w:pPr>
            <w:r w:rsidRPr="00560CF9">
              <w:rPr>
                <w:rFonts w:ascii="Arial" w:hAnsi="Arial" w:hint="cs"/>
                <w:b/>
                <w:bCs/>
                <w:rtl/>
              </w:rPr>
              <w:t>כבוד ה</w:t>
            </w:r>
            <w:r w:rsidRPr="00560CF9">
              <w:rPr>
                <w:rFonts w:ascii="Arial" w:hAnsi="Arial"/>
                <w:b/>
                <w:bCs/>
                <w:rtl/>
              </w:rPr>
              <w:t>שופט</w:t>
            </w:r>
            <w:r w:rsidRPr="00560CF9">
              <w:rPr>
                <w:rFonts w:ascii="Arial" w:hAnsi="Arial" w:hint="cs"/>
                <w:b/>
                <w:bCs/>
                <w:rtl/>
              </w:rPr>
              <w:t xml:space="preserve">  </w:t>
            </w:r>
            <w:r w:rsidRPr="00560CF9">
              <w:rPr>
                <w:rFonts w:ascii="Arial" w:hAnsi="Arial"/>
                <w:b/>
                <w:bCs/>
                <w:rtl/>
              </w:rPr>
              <w:t>עמי קובו</w:t>
            </w:r>
          </w:p>
          <w:p w14:paraId="1094176E" w14:textId="77777777" w:rsidR="00140AA1" w:rsidRPr="00560CF9" w:rsidRDefault="00140AA1" w:rsidP="0026111D">
            <w:pPr>
              <w:rPr>
                <w:rtl/>
              </w:rPr>
            </w:pPr>
          </w:p>
          <w:p w14:paraId="1C538CFD" w14:textId="77777777" w:rsidR="00140AA1" w:rsidRPr="00560CF9" w:rsidRDefault="00140AA1" w:rsidP="00140AA1">
            <w:pPr>
              <w:jc w:val="both"/>
              <w:rPr>
                <w:rFonts w:ascii="Arial" w:hAnsi="Arial" w:cs="FrankRuehl"/>
                <w:sz w:val="28"/>
                <w:szCs w:val="28"/>
              </w:rPr>
            </w:pPr>
          </w:p>
        </w:tc>
      </w:tr>
      <w:tr w:rsidR="00140AA1" w:rsidRPr="00560CF9" w14:paraId="16124197" w14:textId="77777777" w:rsidTr="00140AA1">
        <w:trPr>
          <w:trHeight w:val="355"/>
          <w:jc w:val="center"/>
        </w:trPr>
        <w:tc>
          <w:tcPr>
            <w:tcW w:w="923" w:type="dxa"/>
            <w:tcBorders>
              <w:top w:val="nil"/>
              <w:left w:val="nil"/>
              <w:bottom w:val="nil"/>
              <w:right w:val="nil"/>
            </w:tcBorders>
            <w:shd w:val="clear" w:color="auto" w:fill="auto"/>
          </w:tcPr>
          <w:p w14:paraId="5F8AFF18" w14:textId="77777777" w:rsidR="00140AA1" w:rsidRPr="00560CF9" w:rsidRDefault="00140AA1" w:rsidP="00140AA1">
            <w:pPr>
              <w:jc w:val="both"/>
              <w:rPr>
                <w:rFonts w:ascii="Arial" w:hAnsi="Arial" w:cs="FrankRuehl"/>
                <w:sz w:val="28"/>
                <w:szCs w:val="28"/>
              </w:rPr>
            </w:pPr>
            <w:bookmarkStart w:id="1" w:name="FirstAppellant"/>
            <w:r w:rsidRPr="00560CF9">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26916AE" w14:textId="77777777" w:rsidR="00140AA1" w:rsidRPr="00560CF9" w:rsidRDefault="00140AA1" w:rsidP="0026111D">
            <w:r w:rsidRPr="00560CF9">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497FEAE" w14:textId="77777777" w:rsidR="00140AA1" w:rsidRPr="00560CF9" w:rsidRDefault="00140AA1" w:rsidP="00140AA1">
            <w:pPr>
              <w:jc w:val="both"/>
              <w:rPr>
                <w:rFonts w:ascii="Arial" w:hAnsi="Arial" w:cs="FrankRuehl"/>
                <w:sz w:val="28"/>
                <w:szCs w:val="28"/>
              </w:rPr>
            </w:pPr>
          </w:p>
        </w:tc>
      </w:tr>
      <w:bookmarkEnd w:id="1"/>
      <w:tr w:rsidR="00140AA1" w:rsidRPr="00560CF9" w14:paraId="1DBD6CE7" w14:textId="77777777" w:rsidTr="00140AA1">
        <w:trPr>
          <w:trHeight w:val="355"/>
          <w:jc w:val="center"/>
        </w:trPr>
        <w:tc>
          <w:tcPr>
            <w:tcW w:w="923" w:type="dxa"/>
            <w:tcBorders>
              <w:top w:val="nil"/>
              <w:left w:val="nil"/>
              <w:bottom w:val="nil"/>
              <w:right w:val="nil"/>
            </w:tcBorders>
            <w:shd w:val="clear" w:color="auto" w:fill="auto"/>
          </w:tcPr>
          <w:p w14:paraId="556AF24E" w14:textId="77777777" w:rsidR="00140AA1" w:rsidRPr="00560CF9" w:rsidRDefault="00140AA1" w:rsidP="00140AA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2DE79E0" w14:textId="77777777" w:rsidR="00140AA1" w:rsidRPr="00560CF9" w:rsidRDefault="00140AA1" w:rsidP="00140AA1">
            <w:pPr>
              <w:jc w:val="both"/>
              <w:rPr>
                <w:rtl/>
              </w:rPr>
            </w:pPr>
          </w:p>
        </w:tc>
        <w:tc>
          <w:tcPr>
            <w:tcW w:w="3771" w:type="dxa"/>
            <w:tcBorders>
              <w:top w:val="nil"/>
              <w:left w:val="nil"/>
              <w:bottom w:val="nil"/>
              <w:right w:val="nil"/>
            </w:tcBorders>
            <w:shd w:val="clear" w:color="auto" w:fill="auto"/>
          </w:tcPr>
          <w:p w14:paraId="2BF62A31" w14:textId="77777777" w:rsidR="00140AA1" w:rsidRPr="00560CF9" w:rsidRDefault="00140AA1" w:rsidP="00140AA1">
            <w:pPr>
              <w:jc w:val="right"/>
              <w:rPr>
                <w:rFonts w:ascii="Arial" w:hAnsi="Arial" w:cs="FrankRuehl"/>
                <w:sz w:val="28"/>
                <w:szCs w:val="28"/>
                <w:rtl/>
              </w:rPr>
            </w:pPr>
            <w:r w:rsidRPr="00560CF9">
              <w:rPr>
                <w:rFonts w:ascii="Arial" w:hAnsi="Arial" w:cs="FrankRuehl" w:hint="cs"/>
                <w:sz w:val="28"/>
                <w:szCs w:val="28"/>
                <w:rtl/>
              </w:rPr>
              <w:t>ה</w:t>
            </w:r>
            <w:r w:rsidRPr="00560CF9">
              <w:rPr>
                <w:rFonts w:ascii="Arial" w:hAnsi="Arial" w:cs="FrankRuehl"/>
                <w:sz w:val="28"/>
                <w:szCs w:val="28"/>
                <w:rtl/>
              </w:rPr>
              <w:t>מאשימה</w:t>
            </w:r>
          </w:p>
        </w:tc>
      </w:tr>
      <w:tr w:rsidR="00140AA1" w:rsidRPr="00560CF9" w14:paraId="4313348A" w14:textId="77777777" w:rsidTr="00140AA1">
        <w:trPr>
          <w:trHeight w:val="355"/>
          <w:jc w:val="center"/>
        </w:trPr>
        <w:tc>
          <w:tcPr>
            <w:tcW w:w="923" w:type="dxa"/>
            <w:tcBorders>
              <w:top w:val="nil"/>
              <w:left w:val="nil"/>
              <w:bottom w:val="nil"/>
              <w:right w:val="nil"/>
            </w:tcBorders>
            <w:shd w:val="clear" w:color="auto" w:fill="auto"/>
          </w:tcPr>
          <w:p w14:paraId="07078EE5" w14:textId="77777777" w:rsidR="00140AA1" w:rsidRPr="00560CF9" w:rsidRDefault="00140AA1" w:rsidP="00140AA1">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801AAC7" w14:textId="77777777" w:rsidR="00140AA1" w:rsidRPr="00560CF9" w:rsidRDefault="00140AA1" w:rsidP="00140AA1">
            <w:pPr>
              <w:jc w:val="center"/>
              <w:rPr>
                <w:rFonts w:ascii="Arial" w:hAnsi="Arial" w:cs="FrankRuehl"/>
                <w:b/>
                <w:bCs/>
                <w:sz w:val="28"/>
                <w:szCs w:val="28"/>
                <w:rtl/>
              </w:rPr>
            </w:pPr>
          </w:p>
          <w:p w14:paraId="030167FE" w14:textId="77777777" w:rsidR="00140AA1" w:rsidRPr="00560CF9" w:rsidRDefault="00140AA1" w:rsidP="00140AA1">
            <w:pPr>
              <w:jc w:val="center"/>
              <w:rPr>
                <w:rFonts w:ascii="Arial" w:hAnsi="Arial" w:cs="FrankRuehl"/>
                <w:b/>
                <w:bCs/>
                <w:sz w:val="28"/>
                <w:szCs w:val="28"/>
                <w:rtl/>
              </w:rPr>
            </w:pPr>
            <w:r w:rsidRPr="00560CF9">
              <w:rPr>
                <w:rFonts w:ascii="Arial" w:hAnsi="Arial" w:cs="FrankRuehl"/>
                <w:b/>
                <w:bCs/>
                <w:sz w:val="28"/>
                <w:szCs w:val="28"/>
                <w:rtl/>
              </w:rPr>
              <w:t>נגד</w:t>
            </w:r>
          </w:p>
          <w:p w14:paraId="67FF2AA0" w14:textId="77777777" w:rsidR="00140AA1" w:rsidRPr="00560CF9" w:rsidRDefault="00140AA1" w:rsidP="00140AA1">
            <w:pPr>
              <w:jc w:val="both"/>
              <w:rPr>
                <w:rFonts w:ascii="Arial" w:hAnsi="Arial" w:cs="FrankRuehl"/>
                <w:sz w:val="28"/>
                <w:szCs w:val="28"/>
              </w:rPr>
            </w:pPr>
          </w:p>
        </w:tc>
      </w:tr>
      <w:tr w:rsidR="00140AA1" w:rsidRPr="00560CF9" w14:paraId="77FB0B26" w14:textId="77777777" w:rsidTr="00140AA1">
        <w:trPr>
          <w:trHeight w:val="355"/>
          <w:jc w:val="center"/>
        </w:trPr>
        <w:tc>
          <w:tcPr>
            <w:tcW w:w="923" w:type="dxa"/>
            <w:tcBorders>
              <w:top w:val="nil"/>
              <w:left w:val="nil"/>
              <w:bottom w:val="nil"/>
              <w:right w:val="nil"/>
            </w:tcBorders>
            <w:shd w:val="clear" w:color="auto" w:fill="auto"/>
          </w:tcPr>
          <w:p w14:paraId="52D358A4" w14:textId="77777777" w:rsidR="00140AA1" w:rsidRPr="00560CF9" w:rsidRDefault="00140AA1" w:rsidP="0026111D">
            <w:pPr>
              <w:rPr>
                <w:rFonts w:ascii="Arial" w:hAnsi="Arial" w:cs="FrankRuehl"/>
                <w:sz w:val="28"/>
                <w:szCs w:val="28"/>
                <w:rtl/>
              </w:rPr>
            </w:pPr>
          </w:p>
        </w:tc>
        <w:tc>
          <w:tcPr>
            <w:tcW w:w="4126" w:type="dxa"/>
            <w:tcBorders>
              <w:top w:val="nil"/>
              <w:left w:val="nil"/>
              <w:bottom w:val="nil"/>
              <w:right w:val="nil"/>
            </w:tcBorders>
            <w:shd w:val="clear" w:color="auto" w:fill="auto"/>
          </w:tcPr>
          <w:p w14:paraId="10FC6280" w14:textId="77777777" w:rsidR="00140AA1" w:rsidRPr="00560CF9" w:rsidRDefault="00140AA1" w:rsidP="0026111D">
            <w:pPr>
              <w:rPr>
                <w:rtl/>
              </w:rPr>
            </w:pPr>
            <w:r w:rsidRPr="00560CF9">
              <w:rPr>
                <w:rFonts w:ascii="Arial" w:hAnsi="Arial" w:cs="FrankRuehl"/>
                <w:sz w:val="28"/>
                <w:szCs w:val="28"/>
                <w:rtl/>
              </w:rPr>
              <w:t xml:space="preserve">סנד מתאני </w:t>
            </w:r>
          </w:p>
        </w:tc>
        <w:tc>
          <w:tcPr>
            <w:tcW w:w="3771" w:type="dxa"/>
            <w:tcBorders>
              <w:top w:val="nil"/>
              <w:left w:val="nil"/>
              <w:bottom w:val="nil"/>
              <w:right w:val="nil"/>
            </w:tcBorders>
            <w:shd w:val="clear" w:color="auto" w:fill="auto"/>
          </w:tcPr>
          <w:p w14:paraId="3D5B7096" w14:textId="77777777" w:rsidR="00140AA1" w:rsidRPr="00560CF9" w:rsidRDefault="00140AA1" w:rsidP="00140AA1">
            <w:pPr>
              <w:jc w:val="right"/>
              <w:rPr>
                <w:rFonts w:ascii="Arial" w:hAnsi="Arial" w:cs="FrankRuehl"/>
                <w:sz w:val="28"/>
                <w:szCs w:val="28"/>
              </w:rPr>
            </w:pPr>
          </w:p>
        </w:tc>
      </w:tr>
      <w:tr w:rsidR="00140AA1" w:rsidRPr="00560CF9" w14:paraId="0996E383" w14:textId="77777777" w:rsidTr="00140AA1">
        <w:trPr>
          <w:trHeight w:val="355"/>
          <w:jc w:val="center"/>
        </w:trPr>
        <w:tc>
          <w:tcPr>
            <w:tcW w:w="923" w:type="dxa"/>
            <w:tcBorders>
              <w:top w:val="nil"/>
              <w:left w:val="nil"/>
              <w:bottom w:val="nil"/>
              <w:right w:val="nil"/>
            </w:tcBorders>
            <w:shd w:val="clear" w:color="auto" w:fill="auto"/>
          </w:tcPr>
          <w:p w14:paraId="74E796C7" w14:textId="77777777" w:rsidR="00140AA1" w:rsidRPr="00560CF9" w:rsidRDefault="00140AA1" w:rsidP="00140AA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39058BC" w14:textId="77777777" w:rsidR="00140AA1" w:rsidRPr="00560CF9" w:rsidRDefault="00140AA1" w:rsidP="00140AA1">
            <w:pPr>
              <w:jc w:val="both"/>
              <w:rPr>
                <w:rtl/>
              </w:rPr>
            </w:pPr>
          </w:p>
        </w:tc>
        <w:tc>
          <w:tcPr>
            <w:tcW w:w="3771" w:type="dxa"/>
            <w:tcBorders>
              <w:top w:val="nil"/>
              <w:left w:val="nil"/>
              <w:bottom w:val="nil"/>
              <w:right w:val="nil"/>
            </w:tcBorders>
            <w:shd w:val="clear" w:color="auto" w:fill="auto"/>
          </w:tcPr>
          <w:p w14:paraId="03A91BA9" w14:textId="77777777" w:rsidR="00140AA1" w:rsidRPr="00560CF9" w:rsidRDefault="00140AA1" w:rsidP="00140AA1">
            <w:pPr>
              <w:jc w:val="right"/>
              <w:rPr>
                <w:rFonts w:ascii="Arial" w:hAnsi="Arial" w:cs="FrankRuehl"/>
                <w:sz w:val="28"/>
                <w:szCs w:val="28"/>
              </w:rPr>
            </w:pPr>
            <w:r w:rsidRPr="00560CF9">
              <w:rPr>
                <w:rFonts w:ascii="Arial" w:hAnsi="Arial" w:cs="FrankRuehl" w:hint="cs"/>
                <w:sz w:val="28"/>
                <w:szCs w:val="28"/>
                <w:rtl/>
              </w:rPr>
              <w:t>ה</w:t>
            </w:r>
            <w:r w:rsidRPr="00560CF9">
              <w:rPr>
                <w:rFonts w:ascii="Arial" w:hAnsi="Arial" w:cs="FrankRuehl"/>
                <w:sz w:val="28"/>
                <w:szCs w:val="28"/>
                <w:rtl/>
              </w:rPr>
              <w:t>נאשם</w:t>
            </w:r>
          </w:p>
        </w:tc>
      </w:tr>
    </w:tbl>
    <w:p w14:paraId="7CA2C625" w14:textId="77777777" w:rsidR="00140AA1" w:rsidRPr="00560CF9" w:rsidRDefault="00140AA1" w:rsidP="00140AA1">
      <w:pPr>
        <w:rPr>
          <w:rtl/>
        </w:rPr>
      </w:pPr>
      <w:bookmarkStart w:id="2" w:name="FirstLawyer"/>
      <w:r w:rsidRPr="00560CF9">
        <w:rPr>
          <w:rFonts w:hint="cs"/>
          <w:rtl/>
        </w:rPr>
        <w:t>ב"כ</w:t>
      </w:r>
      <w:bookmarkEnd w:id="2"/>
      <w:r w:rsidRPr="00560CF9">
        <w:rPr>
          <w:rFonts w:hint="cs"/>
          <w:rtl/>
        </w:rPr>
        <w:t xml:space="preserve"> המאשימה: עו"ד איריס פיקר</w:t>
      </w:r>
    </w:p>
    <w:p w14:paraId="0B986411" w14:textId="77777777" w:rsidR="00560CF9" w:rsidRPr="00560CF9" w:rsidRDefault="00140AA1" w:rsidP="00560CF9">
      <w:pPr>
        <w:spacing w:before="120" w:after="120" w:line="240" w:lineRule="exact"/>
        <w:ind w:left="283" w:hanging="283"/>
        <w:jc w:val="both"/>
        <w:rPr>
          <w:rFonts w:ascii="FrankRuehl" w:hAnsi="FrankRuehl" w:cs="FrankRuehl"/>
          <w:rtl/>
        </w:rPr>
      </w:pPr>
      <w:r w:rsidRPr="00560CF9">
        <w:rPr>
          <w:rFonts w:hint="cs"/>
          <w:rtl/>
        </w:rPr>
        <w:t>ב"כ הנאשם: עו"ד רומח שביט</w:t>
      </w:r>
    </w:p>
    <w:p w14:paraId="7043A5EE" w14:textId="77777777" w:rsidR="00A32674" w:rsidRPr="00A32674" w:rsidRDefault="00A32674" w:rsidP="00A32674">
      <w:pPr>
        <w:spacing w:before="120" w:after="120" w:line="240" w:lineRule="exact"/>
        <w:ind w:left="283" w:hanging="283"/>
        <w:jc w:val="both"/>
        <w:rPr>
          <w:rFonts w:ascii="FrankRuehl" w:hAnsi="FrankRuehl" w:cs="FrankRuehl"/>
          <w:rtl/>
        </w:rPr>
      </w:pPr>
    </w:p>
    <w:p w14:paraId="6E419FC8" w14:textId="77777777" w:rsidR="00D92F6C" w:rsidRDefault="00D92F6C" w:rsidP="00D92F6C">
      <w:pPr>
        <w:rPr>
          <w:rtl/>
        </w:rPr>
      </w:pPr>
      <w:bookmarkStart w:id="3" w:name="LawTable"/>
      <w:bookmarkEnd w:id="3"/>
    </w:p>
    <w:p w14:paraId="669BB377" w14:textId="77777777" w:rsidR="00D92F6C" w:rsidRPr="00D92F6C" w:rsidRDefault="00D92F6C" w:rsidP="00D92F6C">
      <w:pPr>
        <w:spacing w:before="120" w:after="120" w:line="240" w:lineRule="exact"/>
        <w:ind w:left="283" w:hanging="283"/>
        <w:jc w:val="both"/>
        <w:rPr>
          <w:rFonts w:ascii="FrankRuehl" w:hAnsi="FrankRuehl" w:cs="FrankRuehl"/>
          <w:rtl/>
        </w:rPr>
      </w:pPr>
    </w:p>
    <w:p w14:paraId="7E40C726" w14:textId="77777777" w:rsidR="00D92F6C" w:rsidRPr="00D92F6C" w:rsidRDefault="00D92F6C" w:rsidP="00D92F6C">
      <w:pPr>
        <w:spacing w:before="120" w:after="120" w:line="240" w:lineRule="exact"/>
        <w:ind w:left="283" w:hanging="283"/>
        <w:jc w:val="both"/>
        <w:rPr>
          <w:rFonts w:ascii="FrankRuehl" w:hAnsi="FrankRuehl" w:cs="FrankRuehl"/>
          <w:rtl/>
        </w:rPr>
      </w:pPr>
    </w:p>
    <w:p w14:paraId="162504BA" w14:textId="77777777" w:rsidR="00D92F6C" w:rsidRPr="00D92F6C" w:rsidRDefault="00D92F6C" w:rsidP="00D92F6C">
      <w:pPr>
        <w:spacing w:before="120" w:after="120" w:line="240" w:lineRule="exact"/>
        <w:ind w:left="283" w:hanging="283"/>
        <w:jc w:val="both"/>
        <w:rPr>
          <w:rFonts w:ascii="FrankRuehl" w:hAnsi="FrankRuehl" w:cs="FrankRuehl"/>
          <w:rtl/>
        </w:rPr>
      </w:pPr>
      <w:r w:rsidRPr="00D92F6C">
        <w:rPr>
          <w:rFonts w:ascii="FrankRuehl" w:hAnsi="FrankRuehl" w:cs="FrankRuehl"/>
          <w:rtl/>
        </w:rPr>
        <w:t xml:space="preserve">חקיקה שאוזכרה: </w:t>
      </w:r>
    </w:p>
    <w:p w14:paraId="25331A3B" w14:textId="77777777" w:rsidR="00D92F6C" w:rsidRPr="00D92F6C" w:rsidRDefault="00D92F6C" w:rsidP="00D92F6C">
      <w:pPr>
        <w:spacing w:before="120" w:after="120" w:line="240" w:lineRule="exact"/>
        <w:ind w:left="283" w:hanging="283"/>
        <w:jc w:val="both"/>
        <w:rPr>
          <w:rFonts w:ascii="FrankRuehl" w:hAnsi="FrankRuehl" w:cs="FrankRuehl"/>
          <w:rtl/>
        </w:rPr>
      </w:pPr>
      <w:hyperlink r:id="rId7" w:history="1">
        <w:r w:rsidRPr="00D92F6C">
          <w:rPr>
            <w:rFonts w:ascii="FrankRuehl" w:hAnsi="FrankRuehl" w:cs="FrankRuehl"/>
            <w:color w:val="0000FF"/>
            <w:rtl/>
          </w:rPr>
          <w:t>חוק העונשין, תשל"ז-1977</w:t>
        </w:r>
      </w:hyperlink>
      <w:r w:rsidRPr="00D92F6C">
        <w:rPr>
          <w:rFonts w:ascii="FrankRuehl" w:hAnsi="FrankRuehl" w:cs="FrankRuehl"/>
          <w:rtl/>
        </w:rPr>
        <w:t xml:space="preserve">: סע'  </w:t>
      </w:r>
      <w:hyperlink r:id="rId8" w:history="1">
        <w:r w:rsidRPr="00D92F6C">
          <w:rPr>
            <w:rFonts w:ascii="FrankRuehl" w:hAnsi="FrankRuehl" w:cs="FrankRuehl"/>
            <w:color w:val="0000FF"/>
            <w:rtl/>
          </w:rPr>
          <w:t>144(ב)</w:t>
        </w:r>
      </w:hyperlink>
      <w:r w:rsidRPr="00D92F6C">
        <w:rPr>
          <w:rFonts w:ascii="FrankRuehl" w:hAnsi="FrankRuehl" w:cs="FrankRuehl"/>
          <w:rtl/>
        </w:rPr>
        <w:t xml:space="preserve">, </w:t>
      </w:r>
      <w:hyperlink r:id="rId9" w:history="1">
        <w:r w:rsidRPr="00D92F6C">
          <w:rPr>
            <w:rFonts w:ascii="FrankRuehl" w:hAnsi="FrankRuehl" w:cs="FrankRuehl"/>
            <w:color w:val="0000FF"/>
            <w:rtl/>
          </w:rPr>
          <w:t>40 יג'</w:t>
        </w:r>
      </w:hyperlink>
    </w:p>
    <w:p w14:paraId="348207ED" w14:textId="77777777" w:rsidR="00D92F6C" w:rsidRPr="00D92F6C" w:rsidRDefault="00D92F6C" w:rsidP="00D92F6C">
      <w:pPr>
        <w:rPr>
          <w:rtl/>
        </w:rPr>
      </w:pPr>
      <w:bookmarkStart w:id="4" w:name="LawTable_End"/>
      <w:bookmarkEnd w:id="4"/>
    </w:p>
    <w:p w14:paraId="7B76D54D" w14:textId="77777777" w:rsidR="00140AA1" w:rsidRPr="00A32674" w:rsidRDefault="00140AA1" w:rsidP="00A3267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40AA1" w14:paraId="0331332B" w14:textId="77777777" w:rsidTr="00140AA1">
        <w:trPr>
          <w:trHeight w:val="355"/>
          <w:jc w:val="center"/>
        </w:trPr>
        <w:tc>
          <w:tcPr>
            <w:tcW w:w="8820" w:type="dxa"/>
            <w:tcBorders>
              <w:top w:val="nil"/>
              <w:left w:val="nil"/>
              <w:bottom w:val="nil"/>
              <w:right w:val="nil"/>
            </w:tcBorders>
            <w:shd w:val="clear" w:color="auto" w:fill="auto"/>
          </w:tcPr>
          <w:p w14:paraId="18E1F2BF" w14:textId="77777777" w:rsidR="00560CF9" w:rsidRPr="00560CF9" w:rsidRDefault="00560CF9" w:rsidP="00560CF9">
            <w:pPr>
              <w:jc w:val="center"/>
              <w:rPr>
                <w:rFonts w:ascii="Arial" w:hAnsi="Arial" w:cs="FrankRuehl"/>
                <w:b/>
                <w:bCs/>
                <w:sz w:val="32"/>
                <w:szCs w:val="32"/>
                <w:u w:val="single"/>
                <w:rtl/>
              </w:rPr>
            </w:pPr>
            <w:bookmarkStart w:id="5" w:name="PsakDin" w:colFirst="0" w:colLast="0"/>
            <w:bookmarkEnd w:id="0"/>
            <w:r w:rsidRPr="00560CF9">
              <w:rPr>
                <w:rFonts w:ascii="Arial" w:hAnsi="Arial" w:cs="FrankRuehl"/>
                <w:b/>
                <w:bCs/>
                <w:sz w:val="32"/>
                <w:szCs w:val="32"/>
                <w:u w:val="single"/>
                <w:rtl/>
              </w:rPr>
              <w:t>גזר דין</w:t>
            </w:r>
          </w:p>
          <w:p w14:paraId="2F2A41F5" w14:textId="77777777" w:rsidR="00140AA1" w:rsidRPr="00560CF9" w:rsidRDefault="00140AA1" w:rsidP="00560CF9">
            <w:pPr>
              <w:jc w:val="center"/>
              <w:rPr>
                <w:rFonts w:ascii="Arial" w:hAnsi="Arial" w:cs="FrankRuehl"/>
                <w:bCs/>
                <w:sz w:val="32"/>
                <w:szCs w:val="32"/>
                <w:u w:val="single"/>
                <w:rtl/>
              </w:rPr>
            </w:pPr>
          </w:p>
        </w:tc>
      </w:tr>
      <w:bookmarkEnd w:id="5"/>
    </w:tbl>
    <w:p w14:paraId="11849FF6" w14:textId="77777777" w:rsidR="00140AA1" w:rsidRPr="00B05847" w:rsidRDefault="00140AA1" w:rsidP="00140AA1">
      <w:pPr>
        <w:rPr>
          <w:rFonts w:ascii="Arial" w:hAnsi="Arial"/>
          <w:rtl/>
        </w:rPr>
      </w:pPr>
    </w:p>
    <w:p w14:paraId="27F961B5" w14:textId="77777777" w:rsidR="00140AA1" w:rsidRPr="00B05847" w:rsidRDefault="00140AA1" w:rsidP="00140AA1">
      <w:pPr>
        <w:rPr>
          <w:rFonts w:ascii="Arial" w:hAnsi="Arial"/>
          <w:rtl/>
        </w:rPr>
      </w:pPr>
    </w:p>
    <w:p w14:paraId="25263638" w14:textId="77777777" w:rsidR="00140AA1" w:rsidRDefault="00140AA1" w:rsidP="00140AA1">
      <w:pPr>
        <w:pStyle w:val="ab"/>
        <w:jc w:val="both"/>
      </w:pPr>
      <w:r>
        <w:rPr>
          <w:rtl/>
        </w:rPr>
        <w:t>רקע</w:t>
      </w:r>
    </w:p>
    <w:p w14:paraId="45FAD78A" w14:textId="77777777" w:rsidR="00140AA1" w:rsidRDefault="00140AA1" w:rsidP="00140AA1">
      <w:pPr>
        <w:pStyle w:val="a0"/>
        <w:jc w:val="both"/>
        <w:rPr>
          <w:rtl/>
        </w:rPr>
      </w:pPr>
      <w:bookmarkStart w:id="6" w:name="ABSTRACT_START"/>
      <w:bookmarkEnd w:id="6"/>
      <w:r>
        <w:rPr>
          <w:rFonts w:hint="cs"/>
          <w:rtl/>
        </w:rPr>
        <w:t xml:space="preserve">הנאשם הורשע בהתאם להודאתו בעובדות כתב האישום המתוקן בעבירת </w:t>
      </w:r>
      <w:r>
        <w:rPr>
          <w:rFonts w:hint="cs"/>
          <w:b/>
          <w:bCs/>
          <w:rtl/>
        </w:rPr>
        <w:t>נשיאת נשק ותחמושת</w:t>
      </w:r>
      <w:r>
        <w:rPr>
          <w:rFonts w:hint="cs"/>
          <w:rtl/>
        </w:rPr>
        <w:t xml:space="preserve">, לפי </w:t>
      </w:r>
      <w:hyperlink r:id="rId10" w:history="1">
        <w:r w:rsidR="00A32674" w:rsidRPr="00A32674">
          <w:rPr>
            <w:rStyle w:val="Hyperlink"/>
            <w:rFonts w:hint="eastAsia"/>
            <w:rtl/>
          </w:rPr>
          <w:t>סעיף</w:t>
        </w:r>
        <w:r w:rsidR="00A32674" w:rsidRPr="00A32674">
          <w:rPr>
            <w:rStyle w:val="Hyperlink"/>
            <w:rtl/>
          </w:rPr>
          <w:t xml:space="preserve"> 144(ב)</w:t>
        </w:r>
      </w:hyperlink>
      <w:r>
        <w:rPr>
          <w:rFonts w:hint="cs"/>
          <w:rtl/>
        </w:rPr>
        <w:t xml:space="preserve"> רישא וסיפא ב</w:t>
      </w:r>
      <w:hyperlink r:id="rId11" w:history="1">
        <w:r w:rsidR="00560CF9" w:rsidRPr="00560CF9">
          <w:rPr>
            <w:color w:val="0000FF"/>
            <w:u w:val="single"/>
            <w:rtl/>
          </w:rPr>
          <w:t>חוק העונשין</w:t>
        </w:r>
      </w:hyperlink>
      <w:r>
        <w:rPr>
          <w:rFonts w:hint="cs"/>
          <w:rtl/>
        </w:rPr>
        <w:t xml:space="preserve">, תשל"ז-1977 </w:t>
      </w:r>
      <w:bookmarkStart w:id="7" w:name="ABSTRACT_END"/>
      <w:bookmarkEnd w:id="7"/>
      <w:r>
        <w:rPr>
          <w:rFonts w:hint="cs"/>
          <w:rtl/>
        </w:rPr>
        <w:t>(להלן: "החוק").</w:t>
      </w:r>
    </w:p>
    <w:p w14:paraId="432B90C4" w14:textId="77777777" w:rsidR="00140AA1" w:rsidRDefault="00140AA1" w:rsidP="00140AA1">
      <w:pPr>
        <w:pStyle w:val="a0"/>
        <w:jc w:val="both"/>
      </w:pPr>
      <w:r>
        <w:rPr>
          <w:rFonts w:hint="cs"/>
          <w:rtl/>
        </w:rPr>
        <w:t xml:space="preserve">על-פי המתואר בעובדות כתב האישום המתוקן, עובר ליום 16.6.20 </w:t>
      </w:r>
      <w:r>
        <w:rPr>
          <w:rFonts w:hint="cs"/>
          <w:b/>
          <w:bCs/>
          <w:rtl/>
        </w:rPr>
        <w:t>הגיע לידיו של הנאשם אקדח גנוב מדגם יריחו</w:t>
      </w:r>
      <w:r>
        <w:rPr>
          <w:rFonts w:hint="cs"/>
          <w:rtl/>
        </w:rPr>
        <w:t xml:space="preserve"> (להלן: "האקדח"). ביום 16.6.20 בשעה 14:00 כוח משטרה התמקם בסמוך למתחם מגוריו של הנאשם ותצפת לעבר המתחם לקראת ביצוע חיפוש במקום. בשעה 16:30 </w:t>
      </w:r>
      <w:r>
        <w:rPr>
          <w:rFonts w:hint="cs"/>
          <w:b/>
          <w:bCs/>
          <w:rtl/>
        </w:rPr>
        <w:t>הנאשם יצא ממתחם ביתו כשהוא נושא עליו את האקדח שהיה טעון במחסנית וכדורים תואמים, מוסתר במכנסיו</w:t>
      </w:r>
      <w:r>
        <w:rPr>
          <w:rFonts w:hint="cs"/>
          <w:rtl/>
        </w:rPr>
        <w:t xml:space="preserve">. הכוח המשטרתי הבחין בנאשם שיצא ממתחם המגורים ורכב על אופניו במהירות, תוך שהוא מביט לצדדים בחשדנות. השוטרים </w:t>
      </w:r>
      <w:r>
        <w:rPr>
          <w:rFonts w:hint="cs"/>
          <w:rtl/>
        </w:rPr>
        <w:lastRenderedPageBreak/>
        <w:t>נסעו לכיוון הנאשם ובשעה 16:40 הבחינו בו רוכב על אופניו בניגוד לכיוון התנועה בכביש. בהמשך לכך הגיע רכב משטרתי בנסיעה מול הנאשם ואירעה התנגשות בין הרכב המשטרתי לנאשם. הנאשם נפל מאופניו ורץ במהירות לכיוון בית עסק הנמצא בסמוך למקום. בשלב זה הנאשם הגיע לדרך ללא מוצא והשליך את האקדח.</w:t>
      </w:r>
    </w:p>
    <w:p w14:paraId="795D7B8D" w14:textId="77777777" w:rsidR="00140AA1" w:rsidRDefault="00140AA1" w:rsidP="00140AA1">
      <w:pPr>
        <w:pStyle w:val="a0"/>
        <w:jc w:val="both"/>
        <w:rPr>
          <w:b/>
          <w:bCs/>
          <w:u w:val="single"/>
        </w:rPr>
      </w:pPr>
      <w:r>
        <w:rPr>
          <w:rFonts w:hint="cs"/>
          <w:rtl/>
        </w:rPr>
        <w:t>הצדדים הגיעו להסדר טיעון, לפיו הנאשם הודה והורשע בכתב האישום המתוקן. הוסכם כי המאשימה תטען לעונש ראוי של 27 חודשי מאסר בפועל, מאסר על תנאי וקנס, ואילו ההגנה תהא חופשיה בטיעוניה.</w:t>
      </w:r>
    </w:p>
    <w:p w14:paraId="1259D3F3" w14:textId="77777777" w:rsidR="00140AA1" w:rsidRDefault="00140AA1" w:rsidP="00140AA1">
      <w:pPr>
        <w:pStyle w:val="ab"/>
        <w:jc w:val="both"/>
        <w:rPr>
          <w:rtl/>
        </w:rPr>
      </w:pPr>
      <w:r>
        <w:rPr>
          <w:rtl/>
        </w:rPr>
        <w:t>טיעוני הצדדים</w:t>
      </w:r>
    </w:p>
    <w:p w14:paraId="1B24D158" w14:textId="77777777" w:rsidR="00140AA1" w:rsidRDefault="00140AA1" w:rsidP="00140AA1">
      <w:pPr>
        <w:pStyle w:val="a0"/>
        <w:jc w:val="both"/>
        <w:rPr>
          <w:rtl/>
        </w:rPr>
      </w:pPr>
      <w:r>
        <w:rPr>
          <w:rFonts w:hint="cs"/>
          <w:rtl/>
        </w:rPr>
        <w:t xml:space="preserve">לטענת ב"כ המאשימה, עו"ד איריס פיקר, הערך החברתי שנפגע בעבירת נשיאת נשק ותחמושת קשור בסיכון שהנשק יגיע לגורמים שיעשו בו שימוש למטרות פסולות – פליליות או ביטחוניות. העבירה אירעה בשעת צהרים, ולא אחת מצבים דומים הובילו לפגיעות בגוף ומכאן שהנזק הפוטנציאלי הוא עצום. לאחרונה בית המשפט העליון חזר והחמיר בפסיקתו בעבירות הנשק. מידת הפגיעה בערך המוגן היא בינונית. העונש המרבי הקבוע בצד עבירת נשיאת נשק הוא 10 שנות מאסר, החמור יותר מהעונש המרבי בצד עבירת החזקת נשק שהוא 7 שנות מאסר. נשיאת אקדח חמורה פחות מנשיאת תת מקלע. מדובר באירוע אחד בו הנאשם יצא מביתו חמוש באקדח טעון בכדורים, קיים תכנון מוקדם, הוא הצטייד בנשק והסליק אותו במתחם הבית. לנאשם הרשעה רלוונטית מבית משפט השלום בכפר סבא בו נדון לעונש מאסר מותנה שהסתיים בחודש אפריל 2020. הנאשם ביצע את העבירה בחודש יוני 2020, כך שהתנאי לא חל. הוא נדון אז לעונש של 15 חודשי מאסר ושוחרר ביום 26.4.17. המאשימה עתרה למתחם עונש הנע בין 18 ל-40 חודשי מאסר בפועל וקביעת עונשו של הנאשם באמצעו של מתחם העונש – 27 חודשי מאסר בפועל, מאסר על תנאי וקנס. </w:t>
      </w:r>
    </w:p>
    <w:p w14:paraId="6E7FDC0E" w14:textId="77777777" w:rsidR="00140AA1" w:rsidRDefault="00140AA1" w:rsidP="00140AA1">
      <w:pPr>
        <w:pStyle w:val="a0"/>
        <w:jc w:val="both"/>
        <w:rPr>
          <w:rtl/>
        </w:rPr>
      </w:pPr>
      <w:r>
        <w:rPr>
          <w:rFonts w:hint="cs"/>
          <w:rtl/>
        </w:rPr>
        <w:t xml:space="preserve">לטענת ב"כ הנאשם, עו"ד רומח שביט, מדובר במשק חקלאי ולא בבית בו הוא גר. נשיאת האקדח לא הייתה באזור שבו מסתובבים ילדים, אלא מדובר באזור החקלאי. בכתב האישום נערך תיקון משמעותי. מדובר בעבירת נשיאת נשק בלבד, ללא עבירות נלוות. כלל הנסיבות שיוחסו לנאשם בעניין ההתנגשות בניידת ואי היעתרות לקריאות השוטרים נמחקו, ונושא התנהלות השוטרים נמצא בחקירת מח"ש. נסיבות העבירה כוללות נשיאה של אקדח אחד ומחסנית, במשק חקלאי של משפחתו. עד למעצרו, הנאשם היה זה ששמר על המשק. אביו הציב שם קרוואן שיוכל לישון במקום. הוא נתפס כשיצא מהשטח החקלאי עם האקדח במכנסיו. נשיאת הנשק הייתה ללא שימוש בנשק או איום ולא במסגרת סכסוך. הנשיאה של האקדח הייתה ברכיבה על אופניים ולא בנסיעה ברכב. מדובר בפגיעה ברף הנמוך של הערך המוגן. ההגנה עתרה למתחם עונש שנע בין 12 ועד ל-24 חודשי מאסר. הנאשם צעיר בן 22 בעת ביצוע העבירה, כל חייו לפניו וכך גם סיכויי שיקומו. בן למשפחה נורמטיבית ולמעט הסתבכותו זו והקודמת, אין רקע פלילי במשפחה. אביו של הנאשם עזב את עבודתו כחשמלאי ולקח על עצמו את הטיפול במשק. הנאשם עצור מאז חודש יוני 2020, </w:t>
      </w:r>
      <w:r>
        <w:rPr>
          <w:rFonts w:hint="cs"/>
          <w:rtl/>
        </w:rPr>
        <w:lastRenderedPageBreak/>
        <w:t xml:space="preserve">ובשל מגבלות הקורונה המעצר היה ללא ביקורים, ללא תעסוקה וללא חינוך. הנאשם הודה בביצוע העבירה, חסך זמן שיפוטי יקר ונטל אחריות. בנוגע לעברו הפלילי, בתיק הקודם הוא היה קטין אך נשפט עם שותף בגיר בבית משפט השלום, כאשר השותף היה גיסו, והגיס היה הנאשם העיקרי באותן עבירות. ההגנה עתרה להשית על הנאשם עונש של 15 חודשי מאסר בפועל. </w:t>
      </w:r>
    </w:p>
    <w:p w14:paraId="3A2A030B" w14:textId="77777777" w:rsidR="00140AA1" w:rsidRDefault="00140AA1" w:rsidP="00140AA1">
      <w:pPr>
        <w:pStyle w:val="a0"/>
        <w:jc w:val="both"/>
      </w:pPr>
      <w:r>
        <w:rPr>
          <w:rFonts w:hint="cs"/>
          <w:rtl/>
        </w:rPr>
        <w:t xml:space="preserve">הנאשם טען שהוא מאוד מצטער. </w:t>
      </w:r>
    </w:p>
    <w:p w14:paraId="78C37D82" w14:textId="77777777" w:rsidR="00140AA1" w:rsidRDefault="00140AA1" w:rsidP="00140AA1">
      <w:pPr>
        <w:pStyle w:val="ab"/>
        <w:jc w:val="both"/>
      </w:pPr>
      <w:r>
        <w:rPr>
          <w:rtl/>
        </w:rPr>
        <w:t>דיון - קביעת מתחם העונש ההולם</w:t>
      </w:r>
    </w:p>
    <w:p w14:paraId="7EB2CD1F" w14:textId="77777777" w:rsidR="00140AA1" w:rsidRDefault="00140AA1" w:rsidP="00140AA1">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2C7429DB" w14:textId="77777777" w:rsidR="00140AA1" w:rsidRDefault="00140AA1" w:rsidP="00140AA1">
      <w:pPr>
        <w:pStyle w:val="a0"/>
      </w:pPr>
      <w:r>
        <w:rPr>
          <w:rFonts w:hint="cs"/>
          <w:b/>
          <w:bCs/>
          <w:rtl/>
        </w:rPr>
        <w:t xml:space="preserve">הערך החברתי </w:t>
      </w:r>
      <w:r>
        <w:rPr>
          <w:rFonts w:hint="cs"/>
          <w:rtl/>
        </w:rPr>
        <w:t>אשר נפגע בעבירת נשיאת נשק הוא הגנה על בטחון הציבור. נשיאת נשק חם, מסוג אקדח יוצרת סיכון שהנשק יגיע בסופו של דבר לגורמים אשר יעשו בו שימוש למטרות פסולות, פליליות או ביטחוניות, לרבות פגיעה בגוף או בנפש.</w:t>
      </w:r>
    </w:p>
    <w:p w14:paraId="7F767951" w14:textId="77777777" w:rsidR="00140AA1" w:rsidRDefault="00140AA1" w:rsidP="00140AA1">
      <w:pPr>
        <w:pStyle w:val="a0"/>
        <w:numPr>
          <w:ilvl w:val="0"/>
          <w:numId w:val="0"/>
        </w:numPr>
        <w:tabs>
          <w:tab w:val="left" w:pos="720"/>
        </w:tabs>
        <w:ind w:left="707"/>
        <w:jc w:val="both"/>
      </w:pPr>
      <w:r>
        <w:rPr>
          <w:rFonts w:hint="cs"/>
          <w:rtl/>
        </w:rPr>
        <w:t>בית המשפט העליון חזר והדגיש את מגמת ההחמרה בעבירות הנשק השונות, ואת החומרה היתרה שבביצוע עבירות נשק. זאת בשל הסיכון הממשי לשלום הציבור והפגיעה בערכים המוגנים של שלמות הגוף וחיי אדם. לאור כך, ננקטת מגמת החמרה בענישה בעבירות נשק, כך שזו תבטא באופן הולם את פוטנציאל ההרס הרב הגלום בהן. עוד נקבע כי ראוי ונכון להחמיר את מדיניות הענישה הנוהגת, זאת בין היתר כדי להיאבק בתופעה של שימוש גובר בנשק חם כאמצעי ליישוב סכסוכים. מיגור תופעת נשיאת והחזקת כלי נשק בלתי חוקיים הוא אפוא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12" w:history="1">
        <w:r w:rsidR="00560CF9" w:rsidRPr="00560CF9">
          <w:rPr>
            <w:color w:val="0000FF"/>
            <w:u w:val="single"/>
            <w:rtl/>
          </w:rPr>
          <w:t>ע"פ 5446/19</w:t>
        </w:r>
      </w:hyperlink>
      <w:r>
        <w:rPr>
          <w:rFonts w:hint="cs"/>
          <w:rtl/>
        </w:rPr>
        <w:t xml:space="preserve"> </w:t>
      </w:r>
      <w:r>
        <w:rPr>
          <w:rFonts w:hint="cs"/>
          <w:b/>
          <w:bCs/>
          <w:rtl/>
        </w:rPr>
        <w:t>מדינת ישראל נ' הוארי</w:t>
      </w:r>
      <w:r>
        <w:rPr>
          <w:rFonts w:hint="cs"/>
          <w:rtl/>
        </w:rPr>
        <w:t xml:space="preserve"> [25.11.19], כב' השופטים י' אלרון ומ' מזוז ב</w:t>
      </w:r>
      <w:hyperlink r:id="rId13" w:history="1">
        <w:r w:rsidR="00560CF9" w:rsidRPr="00560CF9">
          <w:rPr>
            <w:color w:val="0000FF"/>
            <w:u w:val="single"/>
            <w:rtl/>
          </w:rPr>
          <w:t>ע"פ 4406/19</w:t>
        </w:r>
      </w:hyperlink>
      <w:r>
        <w:rPr>
          <w:rFonts w:hint="cs"/>
          <w:rtl/>
        </w:rPr>
        <w:t xml:space="preserve"> </w:t>
      </w:r>
      <w:r>
        <w:rPr>
          <w:rFonts w:hint="cs"/>
          <w:b/>
          <w:bCs/>
          <w:rtl/>
        </w:rPr>
        <w:t xml:space="preserve">מדינת ישראל נ' סובח </w:t>
      </w:r>
      <w:r>
        <w:rPr>
          <w:rFonts w:hint="cs"/>
          <w:rtl/>
        </w:rPr>
        <w:t>[5.11.19], כב' השופט א' שטיין ב</w:t>
      </w:r>
      <w:hyperlink r:id="rId14" w:history="1">
        <w:r w:rsidR="00560CF9" w:rsidRPr="00560CF9">
          <w:rPr>
            <w:color w:val="0000FF"/>
            <w:u w:val="single"/>
            <w:rtl/>
          </w:rPr>
          <w:t>ע"פ 1509/20</w:t>
        </w:r>
      </w:hyperlink>
      <w:r>
        <w:rPr>
          <w:rFonts w:hint="cs"/>
          <w:rtl/>
        </w:rPr>
        <w:t xml:space="preserve"> </w:t>
      </w:r>
      <w:r>
        <w:rPr>
          <w:rFonts w:hint="cs"/>
          <w:b/>
          <w:bCs/>
          <w:rtl/>
        </w:rPr>
        <w:t xml:space="preserve">מדינת ישראל נ' נבארי </w:t>
      </w:r>
      <w:r>
        <w:rPr>
          <w:rFonts w:hint="cs"/>
          <w:rtl/>
        </w:rPr>
        <w:t>[2.7.20] וכב' השופט ג' קרא ב</w:t>
      </w:r>
      <w:hyperlink r:id="rId15" w:history="1">
        <w:r w:rsidR="00560CF9" w:rsidRPr="00560CF9">
          <w:rPr>
            <w:color w:val="0000FF"/>
            <w:u w:val="single"/>
            <w:rtl/>
          </w:rPr>
          <w:t>ע"פ 5330/20</w:t>
        </w:r>
      </w:hyperlink>
      <w:r>
        <w:rPr>
          <w:rFonts w:hint="cs"/>
          <w:rtl/>
        </w:rPr>
        <w:t xml:space="preserve"> </w:t>
      </w:r>
      <w:r>
        <w:rPr>
          <w:rFonts w:hint="cs"/>
          <w:b/>
          <w:bCs/>
          <w:rtl/>
        </w:rPr>
        <w:t>ענבתאוי נ' מדינת ישראל</w:t>
      </w:r>
      <w:r>
        <w:rPr>
          <w:rFonts w:hint="cs"/>
          <w:rtl/>
        </w:rPr>
        <w:t xml:space="preserve"> [22.11.20]). </w:t>
      </w:r>
    </w:p>
    <w:p w14:paraId="7F19128E" w14:textId="77777777" w:rsidR="00140AA1" w:rsidRDefault="00140AA1" w:rsidP="00140AA1">
      <w:pPr>
        <w:spacing w:after="120" w:line="360" w:lineRule="auto"/>
        <w:ind w:left="707"/>
        <w:jc w:val="both"/>
        <w:rPr>
          <w:rFonts w:ascii="David" w:hAnsi="David"/>
          <w:rtl/>
        </w:rPr>
      </w:pPr>
      <w:r>
        <w:rPr>
          <w:rFonts w:ascii="David" w:hAnsi="David"/>
          <w:rtl/>
        </w:rPr>
        <w:t xml:space="preserve">עבירות הנשק הוכרו בפסיקה כ"מכת מדינה" באופן אשר מצדיק החמרת ענישה בהן (בהקשר זה ראו </w:t>
      </w:r>
      <w:hyperlink r:id="rId16" w:history="1">
        <w:r w:rsidR="00560CF9" w:rsidRPr="00560CF9">
          <w:rPr>
            <w:rFonts w:ascii="David" w:hAnsi="David"/>
            <w:color w:val="0000FF"/>
            <w:u w:val="single"/>
            <w:rtl/>
          </w:rPr>
          <w:t>ע"פ 4945/13</w:t>
        </w:r>
      </w:hyperlink>
      <w:r>
        <w:rPr>
          <w:rFonts w:ascii="David" w:hAnsi="David"/>
          <w:rtl/>
        </w:rPr>
        <w:t xml:space="preserve"> </w:t>
      </w:r>
      <w:r>
        <w:rPr>
          <w:rFonts w:ascii="David" w:hAnsi="David"/>
          <w:b/>
          <w:bCs/>
          <w:rtl/>
        </w:rPr>
        <w:t>מדינת ישראל נ' סלימאן</w:t>
      </w:r>
      <w:r>
        <w:rPr>
          <w:rFonts w:ascii="David" w:hAnsi="David"/>
          <w:rtl/>
        </w:rPr>
        <w:t xml:space="preserve"> [19.4.14]; </w:t>
      </w:r>
      <w:hyperlink r:id="rId17" w:history="1">
        <w:r w:rsidR="00560CF9" w:rsidRPr="00560CF9">
          <w:rPr>
            <w:rFonts w:ascii="David" w:hAnsi="David"/>
            <w:color w:val="0000FF"/>
            <w:u w:val="single"/>
            <w:rtl/>
          </w:rPr>
          <w:t>ע"פ 2398/14</w:t>
        </w:r>
      </w:hyperlink>
      <w:r>
        <w:rPr>
          <w:rFonts w:ascii="David" w:hAnsi="David"/>
          <w:rtl/>
        </w:rPr>
        <w:t xml:space="preserve"> </w:t>
      </w:r>
      <w:r>
        <w:rPr>
          <w:rFonts w:ascii="David" w:hAnsi="David"/>
          <w:b/>
          <w:bCs/>
          <w:rtl/>
        </w:rPr>
        <w:t>אלהזייל נ' מדינת ישראל</w:t>
      </w:r>
      <w:r>
        <w:rPr>
          <w:rFonts w:ascii="David" w:hAnsi="David"/>
          <w:rtl/>
        </w:rPr>
        <w:t xml:space="preserve"> [8.7.14]; </w:t>
      </w:r>
      <w:hyperlink r:id="rId18" w:history="1">
        <w:r w:rsidR="00560CF9" w:rsidRPr="00560CF9">
          <w:rPr>
            <w:rFonts w:ascii="David" w:hAnsi="David"/>
            <w:color w:val="0000FF"/>
            <w:u w:val="single"/>
            <w:rtl/>
          </w:rPr>
          <w:t>ע"פ 5681/14</w:t>
        </w:r>
      </w:hyperlink>
      <w:r>
        <w:rPr>
          <w:rFonts w:ascii="David" w:hAnsi="David"/>
          <w:rtl/>
        </w:rPr>
        <w:t xml:space="preserve"> </w:t>
      </w:r>
      <w:r>
        <w:rPr>
          <w:rFonts w:ascii="David" w:hAnsi="David"/>
          <w:b/>
          <w:bCs/>
          <w:rtl/>
        </w:rPr>
        <w:t>מדינת ישראל נ' טאטור</w:t>
      </w:r>
      <w:r>
        <w:rPr>
          <w:rFonts w:ascii="David" w:hAnsi="David"/>
          <w:rtl/>
        </w:rPr>
        <w:t xml:space="preserve"> [1.2.15]). עבירות אלו אף הוכרו "כמכת אזור" של ממש (בהקשר זה ראו בין היתר </w:t>
      </w:r>
      <w:hyperlink r:id="rId19" w:history="1">
        <w:r w:rsidR="00560CF9" w:rsidRPr="00560CF9">
          <w:rPr>
            <w:rFonts w:ascii="David" w:hAnsi="David"/>
            <w:color w:val="0000FF"/>
            <w:u w:val="single"/>
            <w:rtl/>
          </w:rPr>
          <w:t>עפ"ג (מח' מר') 15337-10-14</w:t>
        </w:r>
      </w:hyperlink>
      <w:r>
        <w:rPr>
          <w:rFonts w:ascii="David" w:hAnsi="David"/>
          <w:rtl/>
        </w:rPr>
        <w:t xml:space="preserve"> </w:t>
      </w:r>
      <w:r>
        <w:rPr>
          <w:rFonts w:ascii="David" w:hAnsi="David"/>
          <w:b/>
          <w:bCs/>
          <w:rtl/>
        </w:rPr>
        <w:t>ג'אבר נ' מדינת ישראל</w:t>
      </w:r>
      <w:r>
        <w:rPr>
          <w:rFonts w:ascii="David" w:hAnsi="David"/>
          <w:rtl/>
        </w:rPr>
        <w:t xml:space="preserve"> [7.12.14], </w:t>
      </w:r>
      <w:hyperlink r:id="rId20" w:history="1">
        <w:r w:rsidR="00560CF9" w:rsidRPr="00560CF9">
          <w:rPr>
            <w:rFonts w:ascii="David" w:hAnsi="David"/>
            <w:color w:val="0000FF"/>
            <w:u w:val="single"/>
            <w:rtl/>
          </w:rPr>
          <w:t>עפ"ג (מחוזי מר') 27417-11-15</w:t>
        </w:r>
      </w:hyperlink>
      <w:r>
        <w:rPr>
          <w:rFonts w:ascii="David" w:hAnsi="David"/>
          <w:rtl/>
        </w:rPr>
        <w:t xml:space="preserve"> </w:t>
      </w:r>
      <w:r>
        <w:rPr>
          <w:rFonts w:ascii="David" w:hAnsi="David"/>
          <w:b/>
          <w:bCs/>
          <w:rtl/>
        </w:rPr>
        <w:t>מדינת ישראל נ' עבד אל רחים</w:t>
      </w:r>
      <w:r>
        <w:rPr>
          <w:rFonts w:ascii="David" w:hAnsi="David"/>
          <w:rtl/>
        </w:rPr>
        <w:t xml:space="preserve"> [17.1.16]).</w:t>
      </w:r>
    </w:p>
    <w:p w14:paraId="7FE9D4C8" w14:textId="77777777" w:rsidR="00140AA1" w:rsidRDefault="00140AA1" w:rsidP="00140AA1">
      <w:pPr>
        <w:pStyle w:val="a0"/>
        <w:jc w:val="both"/>
      </w:pPr>
      <w:r>
        <w:rPr>
          <w:rFonts w:hint="cs"/>
          <w:rtl/>
        </w:rPr>
        <w:t xml:space="preserve">בחינת </w:t>
      </w:r>
      <w:r>
        <w:rPr>
          <w:rFonts w:hint="cs"/>
          <w:b/>
          <w:bCs/>
          <w:rtl/>
        </w:rPr>
        <w:t xml:space="preserve">מידת הפגיעה בערך המוגן </w:t>
      </w:r>
      <w:r>
        <w:rPr>
          <w:rFonts w:hint="cs"/>
          <w:rtl/>
        </w:rPr>
        <w:t xml:space="preserve">מובילה למסקנה כי הפגיעה היא ברף בינוני. בהקשר זה יש לתת את הדעת לכך שהנאשם ביצע עבירה של נשיאת נשק, אשר העונש המרבי הקבוע בצידה הוא של 10 שנות מאסר, שהיא חמורה יותר מעבירה של החזקת נשק אשר העונש הקבוע בצידה הוא של 7 שנות מאסר. עוד יש לתת את הדעת לכך שעסקינן בנשיאה של כלי נשק מסוג אקדח, שהיא פחות חמורה מאשר עבירה בנשק מסוג תת מקלע, בשל פוטנציאל הנזק הרב יותר של תת מקלע. מכאן, שמדובר בדרגת ביניים של חומרה שהיא גבוהה יותר מהחזקת אקדח, ונמוכה יותר מנשיאת תת מקלע. חומרת הפגיעה נלמדת גם מכך שהנאשם נשא את הנשק בשעת הצהרים בעיר מגוריו. </w:t>
      </w:r>
    </w:p>
    <w:p w14:paraId="4894FEF5" w14:textId="77777777" w:rsidR="00140AA1" w:rsidRPr="00A40127" w:rsidRDefault="00140AA1" w:rsidP="00140AA1">
      <w:pPr>
        <w:pStyle w:val="a0"/>
        <w:jc w:val="both"/>
        <w:rPr>
          <w:rStyle w:val="default"/>
        </w:rPr>
      </w:pPr>
      <w:r w:rsidRPr="00A40127">
        <w:rPr>
          <w:rtl/>
        </w:rPr>
        <w:t xml:space="preserve">במסגרת </w:t>
      </w:r>
      <w:r w:rsidRPr="00A40127">
        <w:rPr>
          <w:b/>
          <w:bCs/>
          <w:rtl/>
        </w:rPr>
        <w:t>הנסיבות הקשורות בביצוע העבירה</w:t>
      </w:r>
      <w:r w:rsidRPr="00A40127">
        <w:rPr>
          <w:rtl/>
        </w:rPr>
        <w:t xml:space="preserve">, יש לתת את הדעת </w:t>
      </w:r>
      <w:r w:rsidRPr="00A40127">
        <w:rPr>
          <w:rStyle w:val="default"/>
          <w:rtl/>
        </w:rPr>
        <w:t>לכך שהנאשם יצא ממתחם מגוריו כשהוא נושא אקדח טעון במחסנית וכדורים תואמים מוסתר במכנסיו. הנאשם רכב על אופניו עד שאירעה התנגשות בינו לבין ניידת משטרה, בעקבות תצפית שנערכה על מתחם ביתו לקראת עריכת חיפוש במקום. הנאשם נפל מאופניו נמלט מהמקום עד שהגיע לדרך ללא מוצא והשליך את האקדח. הנזק הפוטנציאלי בעבירות נשק הוא רב וכולל פגיעה בגוף ובנפש. פוטנציאל הנזק נובע מהחשש מפני הגעת הנשק לידי אחרים שעלולים לעשות בו שימוש במכוון או בשגגה. בפועל לא נעשה שימוש בנשק ולא נגרם נזק.</w:t>
      </w:r>
    </w:p>
    <w:p w14:paraId="1705D20D" w14:textId="77777777" w:rsidR="00140AA1" w:rsidRPr="00A40127" w:rsidRDefault="00140AA1" w:rsidP="00140AA1">
      <w:pPr>
        <w:pStyle w:val="a0"/>
        <w:jc w:val="both"/>
      </w:pPr>
      <w:r w:rsidRPr="00A40127">
        <w:rPr>
          <w:rtl/>
        </w:rPr>
        <w:t xml:space="preserve">בחינת </w:t>
      </w:r>
      <w:r w:rsidRPr="00A40127">
        <w:rPr>
          <w:b/>
          <w:bCs/>
          <w:rtl/>
        </w:rPr>
        <w:t>מדיניות הענישה הנוהגת</w:t>
      </w:r>
      <w:r w:rsidRPr="00A40127">
        <w:rPr>
          <w:rtl/>
        </w:rPr>
        <w:t xml:space="preserve"> מעלה כי במקרים דומים הוטלו על נאשמים עונשי מאסר במנעד רחב כמפורט להלן:</w:t>
      </w:r>
    </w:p>
    <w:p w14:paraId="5557F66B" w14:textId="77777777" w:rsidR="00140AA1" w:rsidRPr="00A40127" w:rsidRDefault="00140AA1" w:rsidP="00140AA1">
      <w:pPr>
        <w:pStyle w:val="a"/>
        <w:numPr>
          <w:ilvl w:val="1"/>
          <w:numId w:val="2"/>
        </w:numPr>
        <w:tabs>
          <w:tab w:val="num" w:pos="1286"/>
        </w:tabs>
        <w:ind w:left="1286" w:right="0" w:hanging="540"/>
        <w:jc w:val="both"/>
        <w:rPr>
          <w:rStyle w:val="default"/>
          <w:rFonts w:ascii="David" w:hAnsi="David"/>
        </w:rPr>
      </w:pPr>
      <w:r w:rsidRPr="00A40127">
        <w:rPr>
          <w:rStyle w:val="default"/>
          <w:rFonts w:ascii="David" w:hAnsi="David"/>
          <w:rtl/>
        </w:rPr>
        <w:t>ב</w:t>
      </w:r>
      <w:hyperlink r:id="rId21" w:history="1">
        <w:r w:rsidR="00560CF9" w:rsidRPr="00560CF9">
          <w:rPr>
            <w:rStyle w:val="default"/>
            <w:rFonts w:ascii="David" w:hAnsi="David"/>
            <w:color w:val="0000FF"/>
            <w:u w:val="single"/>
            <w:rtl/>
          </w:rPr>
          <w:t>ע"פ 6047/20</w:t>
        </w:r>
      </w:hyperlink>
      <w:r w:rsidRPr="00A40127">
        <w:rPr>
          <w:rStyle w:val="default"/>
          <w:rFonts w:ascii="David" w:hAnsi="David"/>
          <w:rtl/>
        </w:rPr>
        <w:t xml:space="preserve"> </w:t>
      </w:r>
      <w:r w:rsidRPr="00A40127">
        <w:rPr>
          <w:rStyle w:val="default"/>
          <w:rFonts w:ascii="David" w:hAnsi="David"/>
          <w:b/>
          <w:bCs/>
          <w:rtl/>
        </w:rPr>
        <w:t>רוש נ' מדינת ישראל</w:t>
      </w:r>
      <w:r w:rsidRPr="00A40127">
        <w:rPr>
          <w:rStyle w:val="default"/>
          <w:rFonts w:ascii="David" w:hAnsi="David"/>
          <w:rtl/>
        </w:rPr>
        <w:t xml:space="preserve"> (18.11.20), קיבל בית המשפט העליון ערעורו של נאשם שהורשע על פי הודאתו בעבירה של נשיאת נשק. הנאשם רכב על אופנוע כשהוא נושא אקדח ובו מחסנית עם כדור אחד ומשתיק קול. הצדדים עתרו במסגרת הסדר טיעון להשית על הנאשם עונש של 24 חודשי מאסר בפועל והפעלת מאסר מותנה חלקו במצטבר כך שירצה עונש של 30 חודשי מאסר בפועל. בית המשפט המחוזי דחה את הסדר הטיעון, קבע </w:t>
      </w:r>
      <w:r w:rsidRPr="00A40127">
        <w:rPr>
          <w:rStyle w:val="default"/>
          <w:rFonts w:ascii="David" w:hAnsi="David"/>
          <w:b/>
          <w:bCs/>
          <w:rtl/>
        </w:rPr>
        <w:t>מתחם עונש הנע בין 2 ל-4.5 שנות מאסר בפועל</w:t>
      </w:r>
      <w:r w:rsidRPr="00A40127">
        <w:rPr>
          <w:rStyle w:val="default"/>
          <w:rFonts w:ascii="David" w:hAnsi="David"/>
          <w:rtl/>
        </w:rPr>
        <w:t xml:space="preserve"> והשית על הנאשם עונש של 30 חודשי מאסר בפועל (42 חודשים כולל הפעלת התנאי). בית משפט העליון הקל בעונשו של הנאשם, בהסכמת הצדדים והטיל עליו </w:t>
      </w:r>
      <w:r w:rsidRPr="00A40127">
        <w:rPr>
          <w:rStyle w:val="default"/>
          <w:rFonts w:ascii="David" w:hAnsi="David"/>
          <w:b/>
          <w:bCs/>
          <w:rtl/>
        </w:rPr>
        <w:t>24 חודשי מאסר בפועל</w:t>
      </w:r>
      <w:r w:rsidRPr="00A40127">
        <w:rPr>
          <w:rStyle w:val="default"/>
          <w:rFonts w:ascii="David" w:hAnsi="David"/>
          <w:rtl/>
        </w:rPr>
        <w:t xml:space="preserve"> (סה"כ 30 חודשים כולל הפעלת התנאי). </w:t>
      </w:r>
    </w:p>
    <w:p w14:paraId="2A953B77" w14:textId="77777777" w:rsidR="00140AA1" w:rsidRPr="00A40127" w:rsidRDefault="00140AA1" w:rsidP="00140AA1">
      <w:pPr>
        <w:pStyle w:val="a"/>
        <w:numPr>
          <w:ilvl w:val="1"/>
          <w:numId w:val="2"/>
        </w:numPr>
        <w:tabs>
          <w:tab w:val="num" w:pos="1286"/>
        </w:tabs>
        <w:ind w:left="1286" w:right="0" w:hanging="540"/>
        <w:jc w:val="both"/>
        <w:rPr>
          <w:rStyle w:val="default"/>
          <w:rFonts w:ascii="David" w:hAnsi="David"/>
        </w:rPr>
      </w:pPr>
      <w:r w:rsidRPr="00A40127">
        <w:rPr>
          <w:rStyle w:val="default"/>
          <w:rFonts w:ascii="David" w:hAnsi="David"/>
          <w:rtl/>
        </w:rPr>
        <w:t>ב</w:t>
      </w:r>
      <w:hyperlink r:id="rId22" w:history="1">
        <w:r w:rsidR="00560CF9" w:rsidRPr="00560CF9">
          <w:rPr>
            <w:rStyle w:val="default"/>
            <w:rFonts w:ascii="David" w:hAnsi="David"/>
            <w:color w:val="0000FF"/>
            <w:u w:val="single"/>
            <w:rtl/>
          </w:rPr>
          <w:t>ע"פ 3156/11</w:t>
        </w:r>
      </w:hyperlink>
      <w:r w:rsidRPr="00A40127">
        <w:rPr>
          <w:rStyle w:val="default"/>
          <w:rFonts w:ascii="David" w:hAnsi="David"/>
          <w:rtl/>
        </w:rPr>
        <w:t xml:space="preserve"> </w:t>
      </w:r>
      <w:r w:rsidRPr="00A40127">
        <w:rPr>
          <w:rStyle w:val="default"/>
          <w:rFonts w:ascii="David" w:hAnsi="David"/>
          <w:b/>
          <w:bCs/>
          <w:rtl/>
        </w:rPr>
        <w:t xml:space="preserve">זראיעה נ' מדינת ישראל </w:t>
      </w:r>
      <w:r w:rsidRPr="00A40127">
        <w:rPr>
          <w:rStyle w:val="default"/>
          <w:rFonts w:ascii="David" w:hAnsi="David"/>
          <w:rtl/>
        </w:rPr>
        <w:t xml:space="preserve">(21.2.12), נדחה ערעורו של הנאשם אשר הורשע על פי הודאתו בעבירות של נשיאה והובלת נשק והסתייעות ברכב לביצוע פשע. הנאשם נסע ברכבו לאחר שהסליק בו אקדח, מחסנית טעונה בכדורים וקופסאות עם כדורי אקדח. האקדח והתחמושת נתפסו בחיפוש שגרתי שביצעה המשטרה ברכב. הנאשם, ללא עבר פלילי, מנהל אורח חיים נורמטיבי, אב ל-4 ילדים ומפרנס יחיד במשפחתו, נדון לעונש של </w:t>
      </w:r>
      <w:r w:rsidRPr="00A40127">
        <w:rPr>
          <w:rStyle w:val="default"/>
          <w:rFonts w:ascii="David" w:hAnsi="David"/>
          <w:b/>
          <w:bCs/>
          <w:rtl/>
        </w:rPr>
        <w:t>24 חודשי מאסר בפועל</w:t>
      </w:r>
      <w:r w:rsidRPr="00A40127">
        <w:rPr>
          <w:rStyle w:val="default"/>
          <w:rFonts w:ascii="David" w:hAnsi="David"/>
          <w:rtl/>
        </w:rPr>
        <w:t>.</w:t>
      </w:r>
    </w:p>
    <w:p w14:paraId="3A1720D8" w14:textId="77777777" w:rsidR="00140AA1" w:rsidRPr="00A40127" w:rsidRDefault="00140AA1" w:rsidP="00140AA1">
      <w:pPr>
        <w:pStyle w:val="a"/>
        <w:numPr>
          <w:ilvl w:val="1"/>
          <w:numId w:val="2"/>
        </w:numPr>
        <w:tabs>
          <w:tab w:val="num" w:pos="1286"/>
        </w:tabs>
        <w:ind w:left="1286" w:right="0" w:hanging="540"/>
        <w:jc w:val="both"/>
        <w:rPr>
          <w:rStyle w:val="default"/>
          <w:rFonts w:ascii="David" w:hAnsi="David"/>
        </w:rPr>
      </w:pPr>
      <w:r w:rsidRPr="00A40127">
        <w:rPr>
          <w:rStyle w:val="default"/>
          <w:rFonts w:ascii="David" w:hAnsi="David"/>
          <w:rtl/>
        </w:rPr>
        <w:t>ב</w:t>
      </w:r>
      <w:hyperlink r:id="rId23" w:history="1">
        <w:r w:rsidR="00560CF9" w:rsidRPr="00560CF9">
          <w:rPr>
            <w:rStyle w:val="default"/>
            <w:rFonts w:ascii="David" w:hAnsi="David"/>
            <w:color w:val="0000FF"/>
            <w:u w:val="single"/>
            <w:rtl/>
          </w:rPr>
          <w:t>ע"פ 2892/13</w:t>
        </w:r>
      </w:hyperlink>
      <w:r w:rsidRPr="00A40127">
        <w:rPr>
          <w:rStyle w:val="default"/>
          <w:rFonts w:ascii="David" w:hAnsi="David"/>
          <w:rtl/>
        </w:rPr>
        <w:t xml:space="preserve"> </w:t>
      </w:r>
      <w:r w:rsidRPr="00A40127">
        <w:rPr>
          <w:rStyle w:val="default"/>
          <w:rFonts w:ascii="David" w:hAnsi="David"/>
          <w:b/>
          <w:bCs/>
          <w:rtl/>
        </w:rPr>
        <w:t>עודתאללה נ' מדינת ישראל</w:t>
      </w:r>
      <w:r w:rsidRPr="00A40127">
        <w:rPr>
          <w:rStyle w:val="default"/>
          <w:rFonts w:ascii="David" w:hAnsi="David"/>
          <w:rtl/>
        </w:rPr>
        <w:t xml:space="preserve"> (29.9.13), נדחה ערעורו של נאשם אשר הורשע לאחר ניהול הוכחות, בעבירה של נשיאה והובלת נשק והסתייעות ברכב לביצוע פשע. הנאשם נהג ברכב והוביל אקדח ובו מחסנית ריקה מכדורים. הנאשם נעדר עבר פלילי ועד לביצוע העבירה ניהל אורח חיים נורמטיבי. בית המשפט המחוזי קבע </w:t>
      </w:r>
      <w:r w:rsidRPr="00A40127">
        <w:rPr>
          <w:rStyle w:val="default"/>
          <w:rFonts w:ascii="David" w:hAnsi="David"/>
          <w:b/>
          <w:bCs/>
          <w:rtl/>
        </w:rPr>
        <w:t>מתחם שבין 12 ל-36 חודשי מאסר</w:t>
      </w:r>
      <w:r w:rsidRPr="00A40127">
        <w:rPr>
          <w:rStyle w:val="default"/>
          <w:rFonts w:ascii="David" w:hAnsi="David"/>
          <w:rtl/>
        </w:rPr>
        <w:t xml:space="preserve"> והטיל על הנאשם </w:t>
      </w:r>
      <w:r w:rsidRPr="00A40127">
        <w:rPr>
          <w:rStyle w:val="default"/>
          <w:rFonts w:ascii="David" w:hAnsi="David"/>
          <w:b/>
          <w:bCs/>
          <w:rtl/>
        </w:rPr>
        <w:t>21 חודשי מאסר בפועל</w:t>
      </w:r>
      <w:r w:rsidRPr="00A40127">
        <w:rPr>
          <w:rStyle w:val="default"/>
          <w:rFonts w:ascii="David" w:hAnsi="David"/>
          <w:rtl/>
        </w:rPr>
        <w:t xml:space="preserve">.  </w:t>
      </w:r>
    </w:p>
    <w:p w14:paraId="2453C56E" w14:textId="77777777" w:rsidR="00140AA1" w:rsidRPr="00A40127" w:rsidRDefault="00140AA1" w:rsidP="00140AA1">
      <w:pPr>
        <w:pStyle w:val="a"/>
        <w:numPr>
          <w:ilvl w:val="1"/>
          <w:numId w:val="2"/>
        </w:numPr>
        <w:tabs>
          <w:tab w:val="num" w:pos="1286"/>
        </w:tabs>
        <w:ind w:left="1286" w:right="0" w:hanging="540"/>
        <w:jc w:val="both"/>
        <w:rPr>
          <w:rStyle w:val="default"/>
          <w:rFonts w:ascii="David" w:hAnsi="David"/>
        </w:rPr>
      </w:pPr>
      <w:r w:rsidRPr="00A40127">
        <w:rPr>
          <w:rStyle w:val="default"/>
          <w:rFonts w:ascii="David" w:hAnsi="David"/>
          <w:rtl/>
        </w:rPr>
        <w:t>ב</w:t>
      </w:r>
      <w:hyperlink r:id="rId24" w:history="1">
        <w:r w:rsidR="00560CF9" w:rsidRPr="00560CF9">
          <w:rPr>
            <w:rStyle w:val="default"/>
            <w:rFonts w:ascii="David" w:hAnsi="David"/>
            <w:color w:val="0000FF"/>
            <w:u w:val="single"/>
            <w:rtl/>
          </w:rPr>
          <w:t>ע"פ 4329/10</w:t>
        </w:r>
      </w:hyperlink>
      <w:r w:rsidRPr="00A40127">
        <w:rPr>
          <w:rStyle w:val="default"/>
          <w:rFonts w:ascii="David" w:hAnsi="David"/>
          <w:rtl/>
        </w:rPr>
        <w:t xml:space="preserve"> </w:t>
      </w:r>
      <w:r w:rsidRPr="00A40127">
        <w:rPr>
          <w:rStyle w:val="default"/>
          <w:rFonts w:ascii="David" w:hAnsi="David"/>
          <w:b/>
          <w:bCs/>
          <w:rtl/>
        </w:rPr>
        <w:t>פלוני נ' מדינת ישראל</w:t>
      </w:r>
      <w:r w:rsidRPr="00A40127">
        <w:rPr>
          <w:rStyle w:val="default"/>
          <w:rFonts w:ascii="David" w:hAnsi="David"/>
          <w:rtl/>
        </w:rPr>
        <w:t xml:space="preserve"> (25.10.10), נדחה ערעורו של נאשם אשר הורשע על פי הודאתו בנשיאת נשק ובהחזקתו. הנאשם החזיק באקדח טעון בתחמושת בעת שנהג ברכב. הנאשם צעיר, סטודנט, נעדר עבר פלילי, ששירות המבחן המליץ בעניינו להסתפק בעונש של עבודות שירות. בית המשפט המחוזי השית על הנאשם עונש של </w:t>
      </w:r>
      <w:r w:rsidRPr="00A40127">
        <w:rPr>
          <w:rStyle w:val="default"/>
          <w:rFonts w:ascii="David" w:hAnsi="David"/>
          <w:b/>
          <w:bCs/>
          <w:rtl/>
        </w:rPr>
        <w:t>20 חודשי מאסר בפועל</w:t>
      </w:r>
      <w:r w:rsidRPr="00A40127">
        <w:rPr>
          <w:rStyle w:val="default"/>
          <w:rFonts w:ascii="David" w:hAnsi="David"/>
          <w:rtl/>
        </w:rPr>
        <w:t>.</w:t>
      </w:r>
    </w:p>
    <w:p w14:paraId="3CC9C0F6" w14:textId="77777777" w:rsidR="00140AA1" w:rsidRPr="00A40127" w:rsidRDefault="00140AA1" w:rsidP="00140AA1">
      <w:pPr>
        <w:pStyle w:val="a"/>
        <w:numPr>
          <w:ilvl w:val="1"/>
          <w:numId w:val="2"/>
        </w:numPr>
        <w:tabs>
          <w:tab w:val="num" w:pos="1286"/>
        </w:tabs>
        <w:ind w:left="1286" w:right="0" w:hanging="540"/>
        <w:jc w:val="both"/>
        <w:rPr>
          <w:rStyle w:val="default"/>
          <w:rFonts w:ascii="David" w:hAnsi="David"/>
        </w:rPr>
      </w:pPr>
      <w:r w:rsidRPr="00A40127">
        <w:rPr>
          <w:rStyle w:val="default"/>
          <w:rFonts w:ascii="David" w:hAnsi="David"/>
          <w:rtl/>
        </w:rPr>
        <w:t>ב</w:t>
      </w:r>
      <w:hyperlink r:id="rId25" w:history="1">
        <w:r w:rsidR="00560CF9" w:rsidRPr="00560CF9">
          <w:rPr>
            <w:rStyle w:val="default"/>
            <w:rFonts w:ascii="David" w:hAnsi="David"/>
            <w:color w:val="0000FF"/>
            <w:u w:val="single"/>
            <w:rtl/>
          </w:rPr>
          <w:t>ע"פ 2564/19</w:t>
        </w:r>
      </w:hyperlink>
      <w:r w:rsidRPr="00A40127">
        <w:rPr>
          <w:rStyle w:val="default"/>
          <w:rFonts w:ascii="David" w:hAnsi="David"/>
          <w:rtl/>
        </w:rPr>
        <w:t xml:space="preserve"> </w:t>
      </w:r>
      <w:r w:rsidRPr="00A40127">
        <w:rPr>
          <w:rStyle w:val="default"/>
          <w:rFonts w:ascii="David" w:hAnsi="David"/>
          <w:b/>
          <w:bCs/>
          <w:rtl/>
        </w:rPr>
        <w:t>אזברגה נ' מדינת ישראל</w:t>
      </w:r>
      <w:r w:rsidRPr="00A40127">
        <w:rPr>
          <w:rStyle w:val="default"/>
          <w:rFonts w:ascii="David" w:hAnsi="David"/>
          <w:rtl/>
        </w:rPr>
        <w:t xml:space="preserve"> (18.7.19) נדחה ערעורו של נאשם שהורשע על פי הודאתו בעבירה של נשיאת נשק. הנאשם רכש אקדח במטרה לסחור בו, וקיבל לרשותו אקדח 9 מ"מ עם מחסנית תואמת, בתמורה כספית. הנאשם ואחר נכנסו לרכבו, הסתירו את האקדח, ונסעו עד שנעצרו על-ידי המשטרה. נקבע </w:t>
      </w:r>
      <w:r w:rsidRPr="00A40127">
        <w:rPr>
          <w:rStyle w:val="default"/>
          <w:rFonts w:ascii="David" w:hAnsi="David"/>
          <w:b/>
          <w:bCs/>
          <w:rtl/>
        </w:rPr>
        <w:t>מתחם שבין 12 ל-40 חודשי מאסר</w:t>
      </w:r>
      <w:r w:rsidRPr="00A40127">
        <w:rPr>
          <w:rStyle w:val="default"/>
          <w:rFonts w:ascii="David" w:hAnsi="David"/>
          <w:rtl/>
        </w:rPr>
        <w:t>, והנאשם, ללא עבר פלילי, נדון ל-</w:t>
      </w:r>
      <w:r w:rsidRPr="00A40127">
        <w:rPr>
          <w:rStyle w:val="default"/>
          <w:rFonts w:ascii="David" w:hAnsi="David"/>
          <w:b/>
          <w:bCs/>
          <w:rtl/>
        </w:rPr>
        <w:t>16 חודשי מאסר בפועל</w:t>
      </w:r>
      <w:r w:rsidRPr="00A40127">
        <w:rPr>
          <w:rStyle w:val="default"/>
          <w:rFonts w:ascii="David" w:hAnsi="David"/>
          <w:rtl/>
        </w:rPr>
        <w:t xml:space="preserve">. </w:t>
      </w:r>
    </w:p>
    <w:p w14:paraId="22FC7975" w14:textId="77777777" w:rsidR="00140AA1" w:rsidRPr="00A40127" w:rsidRDefault="00140AA1" w:rsidP="00140AA1">
      <w:pPr>
        <w:pStyle w:val="a"/>
        <w:numPr>
          <w:ilvl w:val="1"/>
          <w:numId w:val="2"/>
        </w:numPr>
        <w:tabs>
          <w:tab w:val="num" w:pos="1286"/>
        </w:tabs>
        <w:ind w:left="1286" w:right="0" w:hanging="540"/>
        <w:jc w:val="both"/>
        <w:rPr>
          <w:rStyle w:val="default"/>
          <w:rFonts w:ascii="David" w:hAnsi="David"/>
        </w:rPr>
      </w:pPr>
      <w:r w:rsidRPr="00A40127">
        <w:rPr>
          <w:rStyle w:val="default"/>
          <w:rFonts w:ascii="David" w:hAnsi="David"/>
          <w:rtl/>
        </w:rPr>
        <w:t>ב</w:t>
      </w:r>
      <w:hyperlink r:id="rId26" w:history="1">
        <w:r w:rsidR="00560CF9" w:rsidRPr="00560CF9">
          <w:rPr>
            <w:rStyle w:val="default"/>
            <w:rFonts w:ascii="David" w:hAnsi="David"/>
            <w:color w:val="0000FF"/>
            <w:u w:val="single"/>
            <w:rtl/>
          </w:rPr>
          <w:t>ע"פ 4215/18</w:t>
        </w:r>
      </w:hyperlink>
      <w:r w:rsidRPr="00A40127">
        <w:rPr>
          <w:rStyle w:val="default"/>
          <w:rFonts w:ascii="David" w:hAnsi="David"/>
          <w:rtl/>
        </w:rPr>
        <w:t xml:space="preserve"> </w:t>
      </w:r>
      <w:r w:rsidRPr="00A40127">
        <w:rPr>
          <w:rStyle w:val="default"/>
          <w:rFonts w:ascii="David" w:hAnsi="David"/>
          <w:b/>
          <w:bCs/>
          <w:rtl/>
        </w:rPr>
        <w:t>ח'טיב נ' מדינת ישראל</w:t>
      </w:r>
      <w:r w:rsidRPr="00A40127">
        <w:rPr>
          <w:rStyle w:val="default"/>
          <w:rFonts w:ascii="David" w:hAnsi="David"/>
          <w:rtl/>
        </w:rPr>
        <w:t xml:space="preserve"> (8.7.18) נדחה ערעורו של נאשם אשר הורשע על פי הודאתו בעבירות של נשיאת נשק ותחמושת. הנאשם שהה בסמטה סמוכה לחצר ביתו, כשהוא נושא על גופו אקדח טעון בארבעה כדורים. הנאשם צירף שני תיקים של החזקת סמים לצריכה עצמית. נאשם צעיר, לחובתו הרשעה קודמת אחת. נקבע מתחם שבין </w:t>
      </w:r>
      <w:r w:rsidRPr="00A40127">
        <w:rPr>
          <w:rStyle w:val="default"/>
          <w:rFonts w:ascii="David" w:hAnsi="David"/>
          <w:b/>
          <w:bCs/>
          <w:rtl/>
        </w:rPr>
        <w:t>15 ל-36 חודשי מאסר בפועל</w:t>
      </w:r>
      <w:r w:rsidRPr="00A40127">
        <w:rPr>
          <w:rStyle w:val="default"/>
          <w:rFonts w:ascii="David" w:hAnsi="David"/>
          <w:rtl/>
        </w:rPr>
        <w:t>, נדון ל-</w:t>
      </w:r>
      <w:r w:rsidRPr="00A40127">
        <w:rPr>
          <w:rStyle w:val="default"/>
          <w:rFonts w:ascii="David" w:hAnsi="David"/>
          <w:b/>
          <w:bCs/>
          <w:rtl/>
        </w:rPr>
        <w:t>15 חודשי מאסר בפועל</w:t>
      </w:r>
      <w:r w:rsidRPr="00A40127">
        <w:rPr>
          <w:rStyle w:val="default"/>
          <w:rFonts w:ascii="David" w:hAnsi="David"/>
          <w:rtl/>
        </w:rPr>
        <w:t xml:space="preserve">. </w:t>
      </w:r>
    </w:p>
    <w:p w14:paraId="4ACC3A0C" w14:textId="77777777" w:rsidR="00140AA1" w:rsidRPr="00A40127" w:rsidRDefault="00140AA1" w:rsidP="00140AA1">
      <w:pPr>
        <w:pStyle w:val="a"/>
        <w:numPr>
          <w:ilvl w:val="1"/>
          <w:numId w:val="2"/>
        </w:numPr>
        <w:tabs>
          <w:tab w:val="num" w:pos="1286"/>
        </w:tabs>
        <w:ind w:left="1286" w:right="0" w:hanging="540"/>
        <w:jc w:val="both"/>
        <w:rPr>
          <w:rStyle w:val="default"/>
          <w:rFonts w:ascii="David" w:hAnsi="David"/>
        </w:rPr>
      </w:pPr>
      <w:r w:rsidRPr="00A40127">
        <w:rPr>
          <w:rStyle w:val="default"/>
          <w:rFonts w:ascii="David" w:hAnsi="David"/>
          <w:rtl/>
        </w:rPr>
        <w:t>ב</w:t>
      </w:r>
      <w:hyperlink r:id="rId27" w:history="1">
        <w:r w:rsidR="00560CF9" w:rsidRPr="00560CF9">
          <w:rPr>
            <w:rStyle w:val="default"/>
            <w:rFonts w:ascii="David" w:hAnsi="David"/>
            <w:color w:val="0000FF"/>
            <w:u w:val="single"/>
            <w:rtl/>
          </w:rPr>
          <w:t>ת"פ (מח' מר') 41522-05-18</w:t>
        </w:r>
      </w:hyperlink>
      <w:r w:rsidRPr="00A40127">
        <w:rPr>
          <w:rStyle w:val="default"/>
          <w:rFonts w:ascii="David" w:hAnsi="David"/>
          <w:rtl/>
        </w:rPr>
        <w:t xml:space="preserve"> </w:t>
      </w:r>
      <w:r w:rsidRPr="00A40127">
        <w:rPr>
          <w:rStyle w:val="default"/>
          <w:rFonts w:ascii="David" w:hAnsi="David"/>
          <w:b/>
          <w:bCs/>
          <w:rtl/>
        </w:rPr>
        <w:t>מדינת ישראל נ' אזברגה</w:t>
      </w:r>
      <w:r w:rsidRPr="00A40127">
        <w:rPr>
          <w:rStyle w:val="default"/>
          <w:rFonts w:ascii="David" w:hAnsi="David"/>
          <w:rtl/>
        </w:rPr>
        <w:t xml:space="preserve"> (10.8.20), הורשע נאשם על פי הודאתו בעבירות של נשיאת נשק ותחמושת והפרעה לשוטר במילוי תפקידו. הנאשם יצא מרכבו כשהוא נושא אקדח חצי אוטומטי והטמינו תחת חולצתו. כשהבחין בשוטרים נמלט מהמקום, השוטרים רדפו אחריו, הוא קפץ מעל לחומה והאקדח נפל מגופו. בית המשפט קבע </w:t>
      </w:r>
      <w:r w:rsidRPr="00A40127">
        <w:rPr>
          <w:rStyle w:val="default"/>
          <w:rFonts w:ascii="David" w:hAnsi="David"/>
          <w:b/>
          <w:bCs/>
          <w:rtl/>
        </w:rPr>
        <w:t>מתחם עונש הנע בין 16 ל-40 חודשי מאסר בפועל.</w:t>
      </w:r>
      <w:r w:rsidRPr="00A40127">
        <w:rPr>
          <w:rStyle w:val="default"/>
          <w:rFonts w:ascii="David" w:hAnsi="David"/>
          <w:rtl/>
        </w:rPr>
        <w:t xml:space="preserve"> הנאשם בעל נסיבות חיים קשות ועבר פלילי לא מכביד, נדון לעונש של </w:t>
      </w:r>
      <w:r w:rsidRPr="00A40127">
        <w:rPr>
          <w:rStyle w:val="default"/>
          <w:rFonts w:ascii="David" w:hAnsi="David"/>
          <w:b/>
          <w:bCs/>
          <w:rtl/>
        </w:rPr>
        <w:t>21 חודשי מאסר בפועל</w:t>
      </w:r>
      <w:r w:rsidRPr="00A40127">
        <w:rPr>
          <w:rStyle w:val="default"/>
          <w:rFonts w:ascii="David" w:hAnsi="David"/>
          <w:rtl/>
        </w:rPr>
        <w:t xml:space="preserve"> (סה"כ 26 חודשים, כולל הפעלת מאסר על תנאי).</w:t>
      </w:r>
    </w:p>
    <w:p w14:paraId="17DBAF36" w14:textId="77777777" w:rsidR="00140AA1" w:rsidRPr="00A40127" w:rsidRDefault="00140AA1" w:rsidP="00140AA1">
      <w:pPr>
        <w:pStyle w:val="a"/>
        <w:numPr>
          <w:ilvl w:val="1"/>
          <w:numId w:val="2"/>
        </w:numPr>
        <w:tabs>
          <w:tab w:val="num" w:pos="1286"/>
        </w:tabs>
        <w:ind w:left="1286" w:right="0" w:hanging="540"/>
        <w:jc w:val="both"/>
        <w:rPr>
          <w:rStyle w:val="default"/>
          <w:rFonts w:ascii="David" w:hAnsi="David"/>
        </w:rPr>
      </w:pPr>
      <w:r w:rsidRPr="00A40127">
        <w:rPr>
          <w:rStyle w:val="default"/>
          <w:rFonts w:ascii="David" w:hAnsi="David"/>
          <w:rtl/>
        </w:rPr>
        <w:t>ב</w:t>
      </w:r>
      <w:hyperlink r:id="rId28" w:history="1">
        <w:r w:rsidR="00560CF9" w:rsidRPr="00560CF9">
          <w:rPr>
            <w:rStyle w:val="default"/>
            <w:rFonts w:ascii="David" w:hAnsi="David"/>
            <w:color w:val="0000FF"/>
            <w:u w:val="single"/>
            <w:rtl/>
          </w:rPr>
          <w:t>ת"פ (מח' חי') 14115-07-19</w:t>
        </w:r>
      </w:hyperlink>
      <w:r w:rsidRPr="00A40127">
        <w:rPr>
          <w:rStyle w:val="default"/>
          <w:rFonts w:ascii="David" w:hAnsi="David"/>
          <w:rtl/>
        </w:rPr>
        <w:t xml:space="preserve"> </w:t>
      </w:r>
      <w:r w:rsidRPr="00A40127">
        <w:rPr>
          <w:rStyle w:val="default"/>
          <w:rFonts w:ascii="David" w:hAnsi="David"/>
          <w:b/>
          <w:bCs/>
          <w:rtl/>
        </w:rPr>
        <w:t>מדינת ישראל נ' ג'בארין</w:t>
      </w:r>
      <w:r w:rsidRPr="00A40127">
        <w:rPr>
          <w:rStyle w:val="default"/>
          <w:rFonts w:ascii="David" w:hAnsi="David"/>
          <w:rtl/>
        </w:rPr>
        <w:t xml:space="preserve"> (28.1.20), הורשע נאשם על פי הודאתו בעבירות נשיאת נשק והפרעה לשוטר במילוי תפקידו. הנאשם החזיק על גופו אקדח ומחסנית ובה כדורים. משהבחין בניידת משטרה, נמלט מהמקום כשהשוטרים בעקבותיו עד שנתפס. בית המשפט קבע </w:t>
      </w:r>
      <w:r w:rsidRPr="00A40127">
        <w:rPr>
          <w:rStyle w:val="default"/>
          <w:rFonts w:ascii="David" w:hAnsi="David"/>
          <w:b/>
          <w:bCs/>
          <w:rtl/>
        </w:rPr>
        <w:t>מתחם עונש שבין 18 ל-36 חודשי מאסר בפועל</w:t>
      </w:r>
      <w:r w:rsidRPr="00A40127">
        <w:rPr>
          <w:rStyle w:val="default"/>
          <w:rFonts w:ascii="David" w:hAnsi="David"/>
          <w:rtl/>
        </w:rPr>
        <w:t>. הנאשם צעיר, בעברו הרשעה אחת שהתיישנה, נדון ל-</w:t>
      </w:r>
      <w:r w:rsidRPr="00A40127">
        <w:rPr>
          <w:rStyle w:val="default"/>
          <w:rFonts w:ascii="David" w:hAnsi="David"/>
          <w:b/>
          <w:bCs/>
          <w:rtl/>
        </w:rPr>
        <w:t>20 חודשי מאסר בפועל</w:t>
      </w:r>
      <w:r w:rsidRPr="00A40127">
        <w:rPr>
          <w:rStyle w:val="default"/>
          <w:rFonts w:ascii="David" w:hAnsi="David"/>
          <w:rtl/>
        </w:rPr>
        <w:t>.</w:t>
      </w:r>
    </w:p>
    <w:p w14:paraId="61DD5DB7" w14:textId="77777777" w:rsidR="00140AA1" w:rsidRPr="00A40127" w:rsidRDefault="00140AA1" w:rsidP="00140AA1">
      <w:pPr>
        <w:pStyle w:val="a"/>
        <w:numPr>
          <w:ilvl w:val="1"/>
          <w:numId w:val="2"/>
        </w:numPr>
        <w:tabs>
          <w:tab w:val="num" w:pos="1286"/>
        </w:tabs>
        <w:ind w:left="1286" w:right="0" w:hanging="540"/>
        <w:jc w:val="both"/>
        <w:rPr>
          <w:rStyle w:val="default"/>
          <w:rFonts w:ascii="David" w:hAnsi="David"/>
        </w:rPr>
      </w:pPr>
      <w:r w:rsidRPr="00A40127">
        <w:rPr>
          <w:rStyle w:val="default"/>
          <w:rFonts w:ascii="David" w:hAnsi="David"/>
          <w:rtl/>
        </w:rPr>
        <w:t>ב</w:t>
      </w:r>
      <w:hyperlink r:id="rId29" w:history="1">
        <w:r w:rsidR="00560CF9" w:rsidRPr="00560CF9">
          <w:rPr>
            <w:rStyle w:val="default"/>
            <w:rFonts w:ascii="David" w:hAnsi="David"/>
            <w:color w:val="0000FF"/>
            <w:u w:val="single"/>
            <w:rtl/>
          </w:rPr>
          <w:t>ת"פ (מח' מר') 44381-05-20</w:t>
        </w:r>
      </w:hyperlink>
      <w:r w:rsidRPr="00A40127">
        <w:rPr>
          <w:rStyle w:val="default"/>
          <w:rFonts w:ascii="David" w:hAnsi="David"/>
          <w:rtl/>
        </w:rPr>
        <w:t xml:space="preserve"> </w:t>
      </w:r>
      <w:r w:rsidRPr="00A40127">
        <w:rPr>
          <w:rStyle w:val="default"/>
          <w:rFonts w:ascii="David" w:hAnsi="David"/>
          <w:b/>
          <w:bCs/>
          <w:rtl/>
        </w:rPr>
        <w:t>מדינת ישראל נ' סאלח</w:t>
      </w:r>
      <w:r w:rsidRPr="00A40127">
        <w:rPr>
          <w:rStyle w:val="default"/>
          <w:rFonts w:ascii="David" w:hAnsi="David"/>
          <w:rtl/>
        </w:rPr>
        <w:t xml:space="preserve"> (27.10.20), הורשע נאשם על פי הודאתו בעבירה של נשיאת נשק ותחמושת. הנאשם התהלך בעיר מגוריו כשהוא נושא בידו אקדח ובו מחסנית ו-4 כדורים. בית המשפט קבע </w:t>
      </w:r>
      <w:r w:rsidRPr="00A40127">
        <w:rPr>
          <w:rStyle w:val="default"/>
          <w:rFonts w:ascii="David" w:hAnsi="David"/>
          <w:b/>
          <w:bCs/>
          <w:rtl/>
        </w:rPr>
        <w:t>מתחם עונש הנע בין 13 ל-39 חודשי מאסר בפועל</w:t>
      </w:r>
      <w:r w:rsidRPr="00A40127">
        <w:rPr>
          <w:rStyle w:val="default"/>
          <w:rFonts w:ascii="David" w:hAnsi="David"/>
          <w:rtl/>
        </w:rPr>
        <w:t xml:space="preserve">. הנאשם צעיר בן 19, ללא עבר פלילי אשר עד למעצרו התנהל באופן נורמטיבי נדון לעונש של </w:t>
      </w:r>
      <w:r w:rsidRPr="00A40127">
        <w:rPr>
          <w:rStyle w:val="default"/>
          <w:rFonts w:ascii="David" w:hAnsi="David"/>
          <w:b/>
          <w:bCs/>
          <w:rtl/>
        </w:rPr>
        <w:t>14 חודשי מאסר בפועל</w:t>
      </w:r>
      <w:r w:rsidRPr="00A40127">
        <w:rPr>
          <w:rStyle w:val="default"/>
          <w:rFonts w:ascii="David" w:hAnsi="David"/>
          <w:rtl/>
        </w:rPr>
        <w:t xml:space="preserve"> לצד ענישה נלווית. </w:t>
      </w:r>
    </w:p>
    <w:p w14:paraId="0461310B" w14:textId="77777777" w:rsidR="00140AA1" w:rsidRPr="00A40127" w:rsidRDefault="00140AA1" w:rsidP="00140AA1">
      <w:pPr>
        <w:pStyle w:val="a0"/>
        <w:jc w:val="both"/>
      </w:pPr>
      <w:r w:rsidRPr="00A40127">
        <w:rPr>
          <w:rtl/>
        </w:rPr>
        <w:t>בהתאם לתיקון 113 ל</w:t>
      </w:r>
      <w:hyperlink r:id="rId30" w:history="1">
        <w:r w:rsidR="00560CF9" w:rsidRPr="00560CF9">
          <w:rPr>
            <w:color w:val="0000FF"/>
            <w:u w:val="single"/>
            <w:rtl/>
          </w:rPr>
          <w:t>חוק העונשין</w:t>
        </w:r>
      </w:hyperlink>
      <w:r w:rsidRPr="00A40127">
        <w:rPr>
          <w:rtl/>
        </w:rPr>
        <w:t xml:space="preserve"> (סעיף </w:t>
      </w:r>
      <w:hyperlink r:id="rId31" w:history="1">
        <w:r w:rsidR="00A32674" w:rsidRPr="00A32674">
          <w:rPr>
            <w:rStyle w:val="Hyperlink"/>
            <w:rtl/>
          </w:rPr>
          <w:t>40 יג'</w:t>
        </w:r>
      </w:hyperlink>
      <w:r w:rsidRPr="00A40127">
        <w:rPr>
          <w:rtl/>
        </w:rPr>
        <w:t xml:space="preserve">), אני קובע כי </w:t>
      </w:r>
      <w:r w:rsidRPr="00A40127">
        <w:rPr>
          <w:b/>
          <w:bCs/>
          <w:rtl/>
        </w:rPr>
        <w:t>מתחם העונש ההולם הוא החל מ-15 ועד ל-40 חודשי מאסר בפועל</w:t>
      </w:r>
      <w:r w:rsidRPr="00A40127">
        <w:rPr>
          <w:rtl/>
        </w:rPr>
        <w:t xml:space="preserve">.  </w:t>
      </w:r>
    </w:p>
    <w:p w14:paraId="1FA31444" w14:textId="77777777" w:rsidR="00140AA1" w:rsidRPr="00A40127" w:rsidRDefault="00140AA1" w:rsidP="00140AA1">
      <w:pPr>
        <w:pStyle w:val="a0"/>
        <w:numPr>
          <w:ilvl w:val="0"/>
          <w:numId w:val="0"/>
        </w:numPr>
        <w:tabs>
          <w:tab w:val="left" w:pos="720"/>
        </w:tabs>
        <w:ind w:left="720"/>
        <w:jc w:val="both"/>
      </w:pPr>
      <w:r w:rsidRPr="00A40127">
        <w:rPr>
          <w:rtl/>
        </w:rPr>
        <w:t xml:space="preserve">במקרה דנן, לא קיימים שיקולים אשר מצדיקים חריגה מהמתחם, לחומרה או לקולה. </w:t>
      </w:r>
    </w:p>
    <w:p w14:paraId="4E4D410E" w14:textId="77777777" w:rsidR="00140AA1" w:rsidRPr="00A40127" w:rsidRDefault="00140AA1" w:rsidP="00140AA1">
      <w:pPr>
        <w:pStyle w:val="ab"/>
        <w:jc w:val="both"/>
        <w:rPr>
          <w:rFonts w:ascii="David" w:hAnsi="David"/>
        </w:rPr>
      </w:pPr>
      <w:r w:rsidRPr="00A40127">
        <w:rPr>
          <w:rFonts w:ascii="David" w:hAnsi="David"/>
          <w:rtl/>
        </w:rPr>
        <w:t>גזירת העונש המתאים לנאשם</w:t>
      </w:r>
    </w:p>
    <w:p w14:paraId="04C59373" w14:textId="77777777" w:rsidR="00140AA1" w:rsidRPr="00A40127" w:rsidRDefault="00140AA1" w:rsidP="00140AA1">
      <w:pPr>
        <w:pStyle w:val="a0"/>
        <w:jc w:val="both"/>
      </w:pPr>
      <w:r w:rsidRPr="00A40127">
        <w:rPr>
          <w:rtl/>
        </w:rPr>
        <w:t xml:space="preserve">בגזירת העונש המתאים לנאשם, בגדרי מתחם העונש ההולם, יש להתחשב </w:t>
      </w:r>
      <w:r w:rsidRPr="00A40127">
        <w:rPr>
          <w:b/>
          <w:bCs/>
          <w:rtl/>
        </w:rPr>
        <w:t>בנסיבות שאינן קשורות בביצוע העבירה</w:t>
      </w:r>
      <w:r w:rsidRPr="00A40127">
        <w:rPr>
          <w:rtl/>
        </w:rPr>
        <w:t xml:space="preserve">. במסגרת זו </w:t>
      </w:r>
      <w:r w:rsidRPr="00A40127">
        <w:rPr>
          <w:rStyle w:val="default"/>
          <w:rtl/>
        </w:rPr>
        <w:t>מן הראוי לתת את הדעת לכך שהנאשם צעיר בן 23, הודה ונטל אחריות לביצוע העבירה והביע חרטה. ניתן להניח שעונש מאסר ממושך יקשה על הנאשם אף שריצה בעבר עונש מאסר בפועל. מאסר ממושך אף יקשה על בני משפחתו אשר נעזרו בו בעסקיהם. הנאשם לא הופנה לקבלת תסקיר שירות המבחן ולא שולב במסגרת שיקומית כלשהי. בעברו של הנאשם הרשעה אחת (בשני תיקים) משנת 2017 בגין ביצוע עבירות של החזקת נשק ותחמושת וכן גרימת חבלה חמורה. בגין עבירות אלה נדון לעונש של 15 חודשי מאסר בפועל, לצד מאסר על תנאי שתוקפו פג כחודשיים טרם ביצע את העבירה דנן (</w:t>
      </w:r>
      <w:hyperlink r:id="rId32" w:history="1">
        <w:r w:rsidR="00560CF9" w:rsidRPr="00560CF9">
          <w:rPr>
            <w:rStyle w:val="default"/>
            <w:color w:val="0000FF"/>
            <w:u w:val="single"/>
            <w:rtl/>
          </w:rPr>
          <w:t>ת"פ 37833-07-16</w:t>
        </w:r>
      </w:hyperlink>
      <w:r w:rsidRPr="00A40127">
        <w:rPr>
          <w:rStyle w:val="default"/>
          <w:rtl/>
        </w:rPr>
        <w:t xml:space="preserve">). העובדה כי מדובר בהרשעה שנייה בתחום הנשק, מובילה למסקנה בדבר היותו של הנאשם מועד לביצוע עבירות מסוג זה, באופן אשר מצדיק החמרה בעונשו, בגדרי המתחם. </w:t>
      </w:r>
      <w:r w:rsidRPr="00A40127">
        <w:rPr>
          <w:rtl/>
        </w:rPr>
        <w:t>כמו כן נתתי דעתי לתקופת המעצר שבה שוהה הנאשם מאז חודש יוני 20', ולכך שהמגבלות הנובעות ממגפת הקורונה השפיעו על תנאי מעצרו, לרבות לעניין ביקורים.</w:t>
      </w:r>
    </w:p>
    <w:p w14:paraId="2AB662B1" w14:textId="77777777" w:rsidR="00140AA1" w:rsidRPr="00A40127" w:rsidRDefault="00140AA1" w:rsidP="00140AA1">
      <w:pPr>
        <w:pStyle w:val="a0"/>
        <w:jc w:val="both"/>
        <w:rPr>
          <w:rStyle w:val="default"/>
        </w:rPr>
      </w:pPr>
      <w:r w:rsidRPr="00A40127">
        <w:rPr>
          <w:rtl/>
        </w:rPr>
        <w:t xml:space="preserve">עוד יש לתת את הדעת לשיקול </w:t>
      </w:r>
      <w:r w:rsidRPr="00A40127">
        <w:rPr>
          <w:b/>
          <w:bCs/>
          <w:rtl/>
        </w:rPr>
        <w:t>הרתעת היחיד</w:t>
      </w:r>
      <w:r w:rsidRPr="00A40127">
        <w:rPr>
          <w:rtl/>
        </w:rPr>
        <w:t xml:space="preserve"> בגדרו של המתחם, וזאת בשים לב לכך שלסנקציות משפטיות שהוטלו על הנאשם בגין עבירה דומה, ובכלל זה ריצוי עונש מאסר בפועל, לא הייתה השפעה ממתנת ומרתיעה, ולא היה במאסרו הקודם כדי למנוע ממנו מלשוב לסורו. כמו כן, </w:t>
      </w:r>
      <w:r w:rsidRPr="00A40127">
        <w:rPr>
          <w:rStyle w:val="default"/>
          <w:rtl/>
        </w:rPr>
        <w:t xml:space="preserve">הנאשם לא שולב בכל טיפול או שיקום במצבו. </w:t>
      </w:r>
    </w:p>
    <w:p w14:paraId="31F4F7D1" w14:textId="77777777" w:rsidR="00140AA1" w:rsidRPr="00A40127" w:rsidRDefault="00140AA1" w:rsidP="00140AA1">
      <w:pPr>
        <w:pStyle w:val="a0"/>
        <w:jc w:val="both"/>
      </w:pPr>
      <w:r w:rsidRPr="00A40127">
        <w:rPr>
          <w:rStyle w:val="default"/>
          <w:rtl/>
        </w:rPr>
        <w:t xml:space="preserve">באיזון בין השיקולים השונים, סבורני כי יש לגזור על הנאשם עונש בחלקו המרכזי של מתחם העונש לצד עונש מאסר מותנה וקנס כספי. </w:t>
      </w:r>
    </w:p>
    <w:p w14:paraId="1DD3ECC3" w14:textId="77777777" w:rsidR="00140AA1" w:rsidRPr="00A40127" w:rsidRDefault="00140AA1" w:rsidP="00140AA1">
      <w:pPr>
        <w:pStyle w:val="a"/>
        <w:numPr>
          <w:ilvl w:val="0"/>
          <w:numId w:val="0"/>
        </w:numPr>
        <w:tabs>
          <w:tab w:val="left" w:pos="720"/>
        </w:tabs>
        <w:ind w:right="0"/>
        <w:jc w:val="both"/>
        <w:rPr>
          <w:rFonts w:ascii="David" w:hAnsi="David"/>
          <w:b/>
          <w:bCs/>
          <w:u w:val="single"/>
          <w:rtl/>
        </w:rPr>
      </w:pPr>
      <w:r w:rsidRPr="00A40127">
        <w:rPr>
          <w:rFonts w:ascii="David" w:hAnsi="David"/>
          <w:b/>
          <w:bCs/>
          <w:u w:val="single"/>
          <w:rtl/>
        </w:rPr>
        <w:t>סוף דבר</w:t>
      </w:r>
    </w:p>
    <w:p w14:paraId="662EB487" w14:textId="77777777" w:rsidR="00140AA1" w:rsidRPr="00A40127" w:rsidRDefault="00140AA1" w:rsidP="00140AA1">
      <w:pPr>
        <w:pStyle w:val="a0"/>
        <w:jc w:val="both"/>
        <w:rPr>
          <w:rtl/>
        </w:rPr>
      </w:pPr>
      <w:r w:rsidRPr="00A40127">
        <w:rPr>
          <w:b/>
          <w:bCs/>
          <w:u w:val="single"/>
          <w:rtl/>
        </w:rPr>
        <w:t>אשר על-כן, הנני גוזר על הנאשם את העונשים הבאים</w:t>
      </w:r>
      <w:r w:rsidRPr="00A40127">
        <w:rPr>
          <w:rtl/>
        </w:rPr>
        <w:t>:</w:t>
      </w:r>
    </w:p>
    <w:p w14:paraId="28D08805" w14:textId="77777777" w:rsidR="00140AA1" w:rsidRPr="00A40127" w:rsidRDefault="00140AA1" w:rsidP="00140AA1">
      <w:pPr>
        <w:pStyle w:val="a"/>
        <w:numPr>
          <w:ilvl w:val="1"/>
          <w:numId w:val="2"/>
        </w:numPr>
        <w:tabs>
          <w:tab w:val="num" w:pos="1286"/>
        </w:tabs>
        <w:ind w:left="1287" w:right="0" w:hanging="539"/>
        <w:jc w:val="both"/>
        <w:rPr>
          <w:rStyle w:val="default"/>
          <w:rFonts w:ascii="David" w:hAnsi="David"/>
        </w:rPr>
      </w:pPr>
      <w:r w:rsidRPr="00A40127">
        <w:rPr>
          <w:rStyle w:val="default"/>
          <w:rFonts w:ascii="David" w:hAnsi="David"/>
          <w:b/>
          <w:bCs/>
          <w:rtl/>
        </w:rPr>
        <w:t>23 חודשי מאסר בפועל</w:t>
      </w:r>
      <w:r w:rsidRPr="00A40127">
        <w:rPr>
          <w:rStyle w:val="default"/>
          <w:rFonts w:ascii="David" w:hAnsi="David"/>
          <w:rtl/>
        </w:rPr>
        <w:t xml:space="preserve"> אשר מניינם מיום מעצרו 16.6.20. </w:t>
      </w:r>
    </w:p>
    <w:p w14:paraId="62FEEDA6" w14:textId="77777777" w:rsidR="00140AA1" w:rsidRPr="00A40127" w:rsidRDefault="00140AA1" w:rsidP="00140AA1">
      <w:pPr>
        <w:pStyle w:val="a"/>
        <w:numPr>
          <w:ilvl w:val="1"/>
          <w:numId w:val="2"/>
        </w:numPr>
        <w:tabs>
          <w:tab w:val="num" w:pos="1286"/>
        </w:tabs>
        <w:ind w:left="1287" w:right="0" w:hanging="540"/>
        <w:jc w:val="both"/>
        <w:rPr>
          <w:rStyle w:val="default"/>
          <w:rFonts w:ascii="David" w:hAnsi="David"/>
        </w:rPr>
      </w:pPr>
      <w:r w:rsidRPr="00A40127">
        <w:rPr>
          <w:rStyle w:val="default"/>
          <w:rFonts w:ascii="David" w:hAnsi="David"/>
          <w:rtl/>
        </w:rPr>
        <w:t xml:space="preserve">12 חודשי מאסר על תנאי, לבל יעבור הנאשם במשך 3 שנים מיום שחרורו ממאסר כל עבירת נשק מסוג פשע. </w:t>
      </w:r>
    </w:p>
    <w:p w14:paraId="68EFDE3B" w14:textId="77777777" w:rsidR="00140AA1" w:rsidRPr="00A40127" w:rsidRDefault="00140AA1" w:rsidP="00140AA1">
      <w:pPr>
        <w:pStyle w:val="a"/>
        <w:numPr>
          <w:ilvl w:val="1"/>
          <w:numId w:val="2"/>
        </w:numPr>
        <w:tabs>
          <w:tab w:val="num" w:pos="1286"/>
        </w:tabs>
        <w:ind w:left="1287" w:right="0" w:hanging="540"/>
        <w:jc w:val="both"/>
        <w:rPr>
          <w:rStyle w:val="default"/>
          <w:rFonts w:ascii="David" w:hAnsi="David"/>
        </w:rPr>
      </w:pPr>
      <w:r w:rsidRPr="00A40127">
        <w:rPr>
          <w:rStyle w:val="default"/>
          <w:rFonts w:ascii="David" w:hAnsi="David"/>
          <w:rtl/>
        </w:rPr>
        <w:t xml:space="preserve">6 חודשי מאסר על תנאי, לבל יעבור הנאשם במשך שנה מיום שחרורו כל עבירת נשק מסוג עוון.  </w:t>
      </w:r>
    </w:p>
    <w:p w14:paraId="552D70F9" w14:textId="77777777" w:rsidR="00140AA1" w:rsidRDefault="00140AA1" w:rsidP="00140AA1">
      <w:pPr>
        <w:pStyle w:val="a"/>
        <w:numPr>
          <w:ilvl w:val="1"/>
          <w:numId w:val="2"/>
        </w:numPr>
        <w:tabs>
          <w:tab w:val="num" w:pos="1286"/>
        </w:tabs>
        <w:ind w:left="1287" w:right="0" w:hanging="540"/>
        <w:jc w:val="both"/>
        <w:rPr>
          <w:lang w:eastAsia="he-IL"/>
        </w:rPr>
      </w:pPr>
      <w:r w:rsidRPr="00A40127">
        <w:rPr>
          <w:rStyle w:val="default"/>
          <w:rFonts w:ascii="David" w:hAnsi="David"/>
          <w:rtl/>
        </w:rPr>
        <w:t>קנס כספי בסך של 1,500 ₪ או 30 ימי מאסר תמורתו. הקנס ישולם ב-2 תשלומים חודשיים שווים</w:t>
      </w:r>
      <w:r w:rsidRPr="00A40127">
        <w:rPr>
          <w:rFonts w:ascii="David" w:hAnsi="David"/>
          <w:rtl/>
          <w:lang w:eastAsia="he-IL"/>
        </w:rPr>
        <w:t xml:space="preserve"> ורצופים, שהראשון שבהם ביום 1.4.21 אם לא ישולם תשלום כלשהו</w:t>
      </w:r>
      <w:r>
        <w:rPr>
          <w:rtl/>
          <w:lang w:eastAsia="he-IL"/>
        </w:rPr>
        <w:t xml:space="preserve"> במועדו, תעמוד היתרה לפירעון מיידי.</w:t>
      </w:r>
    </w:p>
    <w:p w14:paraId="4B53DDBE" w14:textId="77777777" w:rsidR="00140AA1" w:rsidRDefault="00140AA1" w:rsidP="00140AA1">
      <w:pPr>
        <w:pStyle w:val="a0"/>
        <w:numPr>
          <w:ilvl w:val="0"/>
          <w:numId w:val="0"/>
        </w:numPr>
        <w:tabs>
          <w:tab w:val="left" w:pos="720"/>
        </w:tabs>
        <w:ind w:left="720"/>
        <w:jc w:val="both"/>
        <w:rPr>
          <w:lang w:eastAsia="he-IL"/>
        </w:rPr>
      </w:pPr>
    </w:p>
    <w:p w14:paraId="6B6EA154" w14:textId="77777777" w:rsidR="00140AA1" w:rsidRDefault="00140AA1" w:rsidP="00140AA1">
      <w:pPr>
        <w:pStyle w:val="a"/>
        <w:numPr>
          <w:ilvl w:val="0"/>
          <w:numId w:val="0"/>
        </w:numPr>
        <w:tabs>
          <w:tab w:val="left" w:pos="720"/>
        </w:tabs>
        <w:ind w:right="0" w:firstLine="360"/>
        <w:jc w:val="both"/>
        <w:rPr>
          <w:rtl/>
          <w:lang w:eastAsia="he-IL"/>
        </w:rPr>
      </w:pPr>
      <w:r>
        <w:rPr>
          <w:rtl/>
          <w:lang w:eastAsia="he-IL"/>
        </w:rPr>
        <w:tab/>
        <w:t xml:space="preserve">זכות ערעור לבית-המשפט העליון תוך 45 ימים. </w:t>
      </w:r>
    </w:p>
    <w:p w14:paraId="0E301585" w14:textId="77777777" w:rsidR="00140AA1" w:rsidRDefault="00140AA1" w:rsidP="00140AA1">
      <w:pPr>
        <w:jc w:val="both"/>
        <w:rPr>
          <w:rtl/>
        </w:rPr>
      </w:pPr>
    </w:p>
    <w:p w14:paraId="65B6487C" w14:textId="77777777" w:rsidR="00140AA1" w:rsidRPr="00B05847" w:rsidRDefault="00140AA1" w:rsidP="00140AA1">
      <w:pPr>
        <w:rPr>
          <w:rtl/>
        </w:rPr>
      </w:pPr>
    </w:p>
    <w:p w14:paraId="1D07AD97" w14:textId="77777777" w:rsidR="00140AA1" w:rsidRPr="00B05847" w:rsidRDefault="00140AA1" w:rsidP="00140AA1">
      <w:pPr>
        <w:rPr>
          <w:rtl/>
        </w:rPr>
      </w:pPr>
    </w:p>
    <w:p w14:paraId="4A9B4CF3" w14:textId="77777777" w:rsidR="00140AA1" w:rsidRPr="00B05847" w:rsidRDefault="00140AA1" w:rsidP="00140AA1">
      <w:pPr>
        <w:rPr>
          <w:rtl/>
        </w:rPr>
      </w:pPr>
    </w:p>
    <w:p w14:paraId="42E3F0FA" w14:textId="77777777" w:rsidR="00140AA1" w:rsidRPr="00B05847" w:rsidRDefault="00140AA1" w:rsidP="00140AA1">
      <w:pPr>
        <w:rPr>
          <w:rtl/>
        </w:rPr>
      </w:pPr>
    </w:p>
    <w:p w14:paraId="3DA07379" w14:textId="77777777" w:rsidR="00140AA1" w:rsidRPr="00B05847" w:rsidRDefault="00140AA1" w:rsidP="00140AA1">
      <w:pPr>
        <w:rPr>
          <w:rtl/>
        </w:rPr>
      </w:pPr>
    </w:p>
    <w:p w14:paraId="4F7ABBD4" w14:textId="77777777" w:rsidR="00140AA1" w:rsidRPr="00B05847" w:rsidRDefault="00140AA1" w:rsidP="00140AA1">
      <w:pPr>
        <w:rPr>
          <w:rtl/>
        </w:rPr>
      </w:pPr>
    </w:p>
    <w:p w14:paraId="328489CF" w14:textId="77777777" w:rsidR="00140AA1" w:rsidRPr="00B05847" w:rsidRDefault="00140AA1" w:rsidP="00140AA1">
      <w:pPr>
        <w:rPr>
          <w:rtl/>
        </w:rPr>
      </w:pPr>
    </w:p>
    <w:p w14:paraId="21A7A337" w14:textId="77777777" w:rsidR="00140AA1" w:rsidRPr="00560CF9" w:rsidRDefault="00560CF9" w:rsidP="00140AA1">
      <w:pPr>
        <w:rPr>
          <w:color w:val="FFFFFF"/>
          <w:sz w:val="2"/>
          <w:szCs w:val="2"/>
          <w:rtl/>
        </w:rPr>
      </w:pPr>
      <w:r w:rsidRPr="00560CF9">
        <w:rPr>
          <w:color w:val="FFFFFF"/>
          <w:sz w:val="2"/>
          <w:szCs w:val="2"/>
          <w:rtl/>
        </w:rPr>
        <w:t>5129371</w:t>
      </w:r>
    </w:p>
    <w:p w14:paraId="372D46BA" w14:textId="77777777" w:rsidR="00140AA1" w:rsidRDefault="00560CF9" w:rsidP="00140AA1">
      <w:pPr>
        <w:rPr>
          <w:rFonts w:cs="FrankRuehl" w:hint="cs"/>
          <w:sz w:val="28"/>
          <w:szCs w:val="28"/>
          <w:rtl/>
        </w:rPr>
      </w:pPr>
      <w:bookmarkStart w:id="8" w:name="Nitan"/>
      <w:r w:rsidRPr="00560CF9">
        <w:rPr>
          <w:rFonts w:ascii="Arial" w:hAnsi="Arial"/>
          <w:color w:val="FFFFFF"/>
          <w:sz w:val="2"/>
          <w:szCs w:val="2"/>
          <w:rtl/>
        </w:rPr>
        <w:t>54678313</w:t>
      </w:r>
      <w:r>
        <w:rPr>
          <w:rFonts w:ascii="Arial" w:hAnsi="Arial"/>
          <w:rtl/>
        </w:rPr>
        <w:t xml:space="preserve">ניתן היום,  כ"ח טבת תשפ"א, 12 ינואר 2021, בנוכחות הצדדים. </w:t>
      </w:r>
      <w:bookmarkEnd w:id="8"/>
      <w:r w:rsidR="005858C9">
        <w:rPr>
          <w:rFonts w:cs="FrankRuehl" w:hint="cs"/>
          <w:sz w:val="28"/>
          <w:szCs w:val="28"/>
          <w:rtl/>
        </w:rPr>
        <w:t xml:space="preserve"> </w:t>
      </w:r>
    </w:p>
    <w:p w14:paraId="5EFF2DED" w14:textId="77777777" w:rsidR="00140AA1" w:rsidRDefault="00140AA1" w:rsidP="00560CF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E91CD90" w14:textId="77777777" w:rsidR="00140AA1" w:rsidRDefault="00140AA1" w:rsidP="00140AA1">
      <w:pPr>
        <w:jc w:val="center"/>
        <w:rPr>
          <w:rFonts w:ascii="Arial" w:hAnsi="Arial" w:cs="FrankRuehl"/>
          <w:sz w:val="28"/>
          <w:szCs w:val="28"/>
          <w:rtl/>
        </w:rPr>
      </w:pPr>
    </w:p>
    <w:p w14:paraId="3A87FFCE" w14:textId="77777777" w:rsidR="00140AA1" w:rsidRDefault="00140AA1" w:rsidP="00140AA1">
      <w:pPr>
        <w:rPr>
          <w:rFonts w:cs="FrankRuehl"/>
          <w:sz w:val="28"/>
          <w:szCs w:val="28"/>
          <w:rtl/>
        </w:rPr>
      </w:pPr>
    </w:p>
    <w:p w14:paraId="0E6D4A4C" w14:textId="77777777" w:rsidR="00140AA1" w:rsidRDefault="00140AA1" w:rsidP="00140AA1">
      <w:pPr>
        <w:pStyle w:val="a5"/>
        <w:jc w:val="center"/>
        <w:rPr>
          <w:rtl/>
        </w:rPr>
      </w:pPr>
    </w:p>
    <w:p w14:paraId="11C7EB87" w14:textId="77777777" w:rsidR="00280BB0" w:rsidRPr="00560CF9" w:rsidRDefault="00280BB0" w:rsidP="00560CF9">
      <w:pPr>
        <w:keepNext/>
        <w:rPr>
          <w:rFonts w:ascii="David" w:hAnsi="David"/>
          <w:color w:val="000000"/>
          <w:sz w:val="22"/>
          <w:szCs w:val="22"/>
          <w:rtl/>
        </w:rPr>
      </w:pPr>
    </w:p>
    <w:p w14:paraId="3DA34A13" w14:textId="77777777" w:rsidR="00560CF9" w:rsidRPr="00560CF9" w:rsidRDefault="00560CF9" w:rsidP="00560CF9">
      <w:pPr>
        <w:keepNext/>
        <w:rPr>
          <w:rFonts w:ascii="David" w:hAnsi="David"/>
          <w:color w:val="000000"/>
          <w:sz w:val="22"/>
          <w:szCs w:val="22"/>
          <w:rtl/>
        </w:rPr>
      </w:pPr>
      <w:r w:rsidRPr="00560CF9">
        <w:rPr>
          <w:rFonts w:ascii="David" w:hAnsi="David"/>
          <w:color w:val="000000"/>
          <w:sz w:val="22"/>
          <w:szCs w:val="22"/>
          <w:rtl/>
        </w:rPr>
        <w:t>עמי קובו 54678313</w:t>
      </w:r>
    </w:p>
    <w:p w14:paraId="3C5D7EF0" w14:textId="77777777" w:rsidR="00560CF9" w:rsidRDefault="00560CF9" w:rsidP="00560CF9">
      <w:r w:rsidRPr="00560CF9">
        <w:rPr>
          <w:color w:val="000000"/>
          <w:rtl/>
        </w:rPr>
        <w:t>נוסח מסמך זה כפוף לשינויי ניסוח ועריכה</w:t>
      </w:r>
    </w:p>
    <w:p w14:paraId="69DB9454" w14:textId="77777777" w:rsidR="00560CF9" w:rsidRDefault="00560CF9" w:rsidP="00560CF9">
      <w:pPr>
        <w:rPr>
          <w:rtl/>
        </w:rPr>
      </w:pPr>
    </w:p>
    <w:p w14:paraId="27D63DDF" w14:textId="77777777" w:rsidR="00560CF9" w:rsidRDefault="00560CF9" w:rsidP="00560CF9">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6110684E" w14:textId="77777777" w:rsidR="00560CF9" w:rsidRPr="00560CF9" w:rsidRDefault="00560CF9" w:rsidP="00560CF9">
      <w:pPr>
        <w:jc w:val="center"/>
        <w:rPr>
          <w:color w:val="0000FF"/>
          <w:u w:val="single"/>
        </w:rPr>
      </w:pPr>
    </w:p>
    <w:sectPr w:rsidR="00560CF9" w:rsidRPr="00560CF9" w:rsidSect="00560CF9">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1571B" w14:textId="77777777" w:rsidR="000F4033" w:rsidRDefault="000F4033" w:rsidP="002B7CC0">
      <w:r>
        <w:separator/>
      </w:r>
    </w:p>
  </w:endnote>
  <w:endnote w:type="continuationSeparator" w:id="0">
    <w:p w14:paraId="61FF5D7C" w14:textId="77777777" w:rsidR="000F4033" w:rsidRDefault="000F4033" w:rsidP="002B7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AAACC" w14:textId="77777777" w:rsidR="00560CF9" w:rsidRDefault="00560CF9" w:rsidP="00560CF9">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F738F6" w14:textId="77777777" w:rsidR="0026111D" w:rsidRPr="00560CF9" w:rsidRDefault="00560CF9" w:rsidP="00560CF9">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FD599" w14:textId="77777777" w:rsidR="00560CF9" w:rsidRDefault="00560CF9" w:rsidP="00560CF9">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52363">
      <w:rPr>
        <w:rFonts w:ascii="FrankRuehl" w:hAnsi="FrankRuehl" w:cs="FrankRuehl"/>
        <w:noProof/>
        <w:rtl/>
      </w:rPr>
      <w:t>1</w:t>
    </w:r>
    <w:r>
      <w:rPr>
        <w:rFonts w:ascii="FrankRuehl" w:hAnsi="FrankRuehl" w:cs="FrankRuehl"/>
        <w:rtl/>
      </w:rPr>
      <w:fldChar w:fldCharType="end"/>
    </w:r>
  </w:p>
  <w:p w14:paraId="3E020727" w14:textId="77777777" w:rsidR="0026111D" w:rsidRPr="00560CF9" w:rsidRDefault="00560CF9" w:rsidP="00560CF9">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4754B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02322" w14:textId="77777777" w:rsidR="000F4033" w:rsidRDefault="000F4033" w:rsidP="002B7CC0">
      <w:r>
        <w:separator/>
      </w:r>
    </w:p>
  </w:footnote>
  <w:footnote w:type="continuationSeparator" w:id="0">
    <w:p w14:paraId="28B2725F" w14:textId="77777777" w:rsidR="000F4033" w:rsidRDefault="000F4033" w:rsidP="002B7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E8CCB" w14:textId="77777777" w:rsidR="00560CF9" w:rsidRPr="00560CF9" w:rsidRDefault="00560CF9" w:rsidP="00560CF9">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52416-06-20</w:t>
    </w:r>
    <w:r>
      <w:rPr>
        <w:rFonts w:ascii="David" w:hAnsi="David"/>
        <w:color w:val="000000"/>
        <w:sz w:val="22"/>
        <w:szCs w:val="22"/>
        <w:rtl/>
      </w:rPr>
      <w:tab/>
      <w:t xml:space="preserve"> מדינת ישראל נ' סנד מתאני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EB428" w14:textId="77777777" w:rsidR="00560CF9" w:rsidRPr="00560CF9" w:rsidRDefault="00560CF9" w:rsidP="00560CF9">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52416-06-20</w:t>
    </w:r>
    <w:r>
      <w:rPr>
        <w:rFonts w:ascii="David" w:hAnsi="David"/>
        <w:color w:val="000000"/>
        <w:sz w:val="22"/>
        <w:szCs w:val="22"/>
        <w:rtl/>
      </w:rPr>
      <w:tab/>
      <w:t xml:space="preserve"> מדינת ישראל נ' סנד מתאני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F8907622"/>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8B861232"/>
    <w:lvl w:ilvl="0" w:tplc="800A5CAC">
      <w:start w:val="1"/>
      <w:numFmt w:val="decimal"/>
      <w:pStyle w:val="a0"/>
      <w:lvlText w:val="%1."/>
      <w:lvlJc w:val="left"/>
      <w:pPr>
        <w:tabs>
          <w:tab w:val="num" w:pos="720"/>
        </w:tabs>
        <w:ind w:left="720" w:hanging="720"/>
      </w:pPr>
      <w:rPr>
        <w:b w:val="0"/>
        <w:bCs w:val="0"/>
      </w:rPr>
    </w:lvl>
    <w:lvl w:ilvl="1" w:tplc="FEB4E978">
      <w:start w:val="1"/>
      <w:numFmt w:val="hebrew1"/>
      <w:lvlText w:val="%2."/>
      <w:lvlJc w:val="left"/>
      <w:pPr>
        <w:tabs>
          <w:tab w:val="num" w:pos="1620"/>
        </w:tabs>
        <w:ind w:left="1620" w:hanging="360"/>
      </w:pPr>
      <w:rPr>
        <w:b w:val="0"/>
        <w:bCs w:val="0"/>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6749932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01333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40AA1"/>
    <w:rsid w:val="0007006C"/>
    <w:rsid w:val="000F4033"/>
    <w:rsid w:val="00140AA1"/>
    <w:rsid w:val="0026111D"/>
    <w:rsid w:val="00280BB0"/>
    <w:rsid w:val="002B7CC0"/>
    <w:rsid w:val="003A33AF"/>
    <w:rsid w:val="00560CF9"/>
    <w:rsid w:val="005858C9"/>
    <w:rsid w:val="00752363"/>
    <w:rsid w:val="009C2E9C"/>
    <w:rsid w:val="00A32674"/>
    <w:rsid w:val="00BE143C"/>
    <w:rsid w:val="00C17D4A"/>
    <w:rsid w:val="00C31F91"/>
    <w:rsid w:val="00D92F6C"/>
    <w:rsid w:val="00EB5A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5D106C"/>
  <w15:chartTrackingRefBased/>
  <w15:docId w15:val="{0DF8C675-0F61-46DA-B34E-B0F434D8A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140AA1"/>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140AA1"/>
    <w:pPr>
      <w:tabs>
        <w:tab w:val="center" w:pos="4153"/>
        <w:tab w:val="right" w:pos="8306"/>
      </w:tabs>
    </w:pPr>
  </w:style>
  <w:style w:type="character" w:customStyle="1" w:styleId="a6">
    <w:name w:val="כותרת עליונה תו"/>
    <w:link w:val="a5"/>
    <w:rsid w:val="00140AA1"/>
    <w:rPr>
      <w:rFonts w:ascii="Times New Roman" w:eastAsia="Times New Roman" w:hAnsi="Times New Roman" w:cs="David"/>
      <w:sz w:val="24"/>
      <w:szCs w:val="24"/>
    </w:rPr>
  </w:style>
  <w:style w:type="paragraph" w:styleId="a7">
    <w:name w:val="footer"/>
    <w:basedOn w:val="a1"/>
    <w:link w:val="a8"/>
    <w:rsid w:val="00140AA1"/>
    <w:pPr>
      <w:tabs>
        <w:tab w:val="center" w:pos="4153"/>
        <w:tab w:val="right" w:pos="8306"/>
      </w:tabs>
    </w:pPr>
  </w:style>
  <w:style w:type="character" w:customStyle="1" w:styleId="a8">
    <w:name w:val="כותרת תחתונה תו"/>
    <w:link w:val="a7"/>
    <w:rsid w:val="00140AA1"/>
    <w:rPr>
      <w:rFonts w:ascii="Times New Roman" w:eastAsia="Times New Roman" w:hAnsi="Times New Roman" w:cs="David"/>
      <w:sz w:val="24"/>
      <w:szCs w:val="24"/>
    </w:rPr>
  </w:style>
  <w:style w:type="table" w:styleId="a9">
    <w:name w:val="Table Grid"/>
    <w:basedOn w:val="a3"/>
    <w:rsid w:val="00140A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140AA1"/>
  </w:style>
  <w:style w:type="paragraph" w:styleId="a">
    <w:name w:val="List Number"/>
    <w:basedOn w:val="a1"/>
    <w:rsid w:val="00140AA1"/>
    <w:pPr>
      <w:numPr>
        <w:numId w:val="1"/>
      </w:numPr>
      <w:spacing w:after="120" w:line="360" w:lineRule="auto"/>
      <w:ind w:right="360"/>
    </w:pPr>
  </w:style>
  <w:style w:type="paragraph" w:customStyle="1" w:styleId="ab">
    <w:name w:val="כותרת"/>
    <w:basedOn w:val="a1"/>
    <w:next w:val="ac"/>
    <w:autoRedefine/>
    <w:rsid w:val="00140AA1"/>
    <w:pPr>
      <w:spacing w:after="120" w:line="360" w:lineRule="auto"/>
    </w:pPr>
    <w:rPr>
      <w:bCs/>
      <w:u w:val="single"/>
      <w:lang w:eastAsia="he-IL"/>
    </w:rPr>
  </w:style>
  <w:style w:type="paragraph" w:customStyle="1" w:styleId="a0">
    <w:name w:val="ממוספר"/>
    <w:basedOn w:val="a1"/>
    <w:rsid w:val="00140AA1"/>
    <w:pPr>
      <w:numPr>
        <w:numId w:val="2"/>
      </w:numPr>
      <w:spacing w:after="120" w:line="360" w:lineRule="auto"/>
    </w:pPr>
    <w:rPr>
      <w:rFonts w:ascii="David" w:hAnsi="David"/>
      <w:color w:val="000000"/>
    </w:rPr>
  </w:style>
  <w:style w:type="character" w:customStyle="1" w:styleId="default">
    <w:name w:val="default"/>
    <w:rsid w:val="00140AA1"/>
    <w:rPr>
      <w:rFonts w:ascii="Times New Roman" w:hAnsi="Times New Roman" w:cs="Times New Roman" w:hint="default"/>
      <w:sz w:val="26"/>
      <w:szCs w:val="26"/>
    </w:rPr>
  </w:style>
  <w:style w:type="character" w:styleId="Hyperlink">
    <w:name w:val="Hyperlink"/>
    <w:rsid w:val="00140AA1"/>
    <w:rPr>
      <w:color w:val="0000FF"/>
      <w:u w:val="single"/>
    </w:rPr>
  </w:style>
  <w:style w:type="paragraph" w:styleId="ac">
    <w:name w:val="List"/>
    <w:basedOn w:val="a1"/>
    <w:rsid w:val="00140AA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824863" TargetMode="External"/><Relationship Id="rId18" Type="http://schemas.openxmlformats.org/officeDocument/2006/relationships/hyperlink" Target="http://www.nevo.co.il/case/17954222" TargetMode="External"/><Relationship Id="rId26" Type="http://schemas.openxmlformats.org/officeDocument/2006/relationships/hyperlink" Target="http://www.nevo.co.il/case/24263578" TargetMode="External"/><Relationship Id="rId39" Type="http://schemas.openxmlformats.org/officeDocument/2006/relationships/theme" Target="theme/theme1.xml"/><Relationship Id="rId21" Type="http://schemas.openxmlformats.org/officeDocument/2006/relationships/hyperlink" Target="http://www.nevo.co.il/case/26964498"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case/25940943" TargetMode="External"/><Relationship Id="rId17" Type="http://schemas.openxmlformats.org/officeDocument/2006/relationships/hyperlink" Target="http://www.nevo.co.il/case/13093744" TargetMode="External"/><Relationship Id="rId25" Type="http://schemas.openxmlformats.org/officeDocument/2006/relationships/hyperlink" Target="http://www.nevo.co.il/case/25612982"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7791493" TargetMode="External"/><Relationship Id="rId20" Type="http://schemas.openxmlformats.org/officeDocument/2006/relationships/hyperlink" Target="http://www.nevo.co.il/case/20723375" TargetMode="External"/><Relationship Id="rId29" Type="http://schemas.openxmlformats.org/officeDocument/2006/relationships/hyperlink" Target="http://www.nevo.co.il/case/266860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5950172" TargetMode="External"/><Relationship Id="rId32" Type="http://schemas.openxmlformats.org/officeDocument/2006/relationships/hyperlink" Target="http://www.nevo.co.il/case/21952264"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6888657" TargetMode="External"/><Relationship Id="rId23" Type="http://schemas.openxmlformats.org/officeDocument/2006/relationships/hyperlink" Target="http://www.nevo.co.il/case/6949290" TargetMode="External"/><Relationship Id="rId28" Type="http://schemas.openxmlformats.org/officeDocument/2006/relationships/hyperlink" Target="http://www.nevo.co.il/case/25842649" TargetMode="External"/><Relationship Id="rId36"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case/18086234" TargetMode="External"/><Relationship Id="rId31" Type="http://schemas.openxmlformats.org/officeDocument/2006/relationships/hyperlink" Target="http://www.nevo.co.il/law/70301/40jc" TargetMode="External"/><Relationship Id="rId4" Type="http://schemas.openxmlformats.org/officeDocument/2006/relationships/webSettings" Target="webSettings.xml"/><Relationship Id="rId9" Type="http://schemas.openxmlformats.org/officeDocument/2006/relationships/hyperlink" Target="http://www.nevo.co.il/law/70301/40jc" TargetMode="External"/><Relationship Id="rId14" Type="http://schemas.openxmlformats.org/officeDocument/2006/relationships/hyperlink" Target="http://www.nevo.co.il/case/26492590" TargetMode="External"/><Relationship Id="rId22" Type="http://schemas.openxmlformats.org/officeDocument/2006/relationships/hyperlink" Target="http://www.nevo.co.il/case/5878682" TargetMode="External"/><Relationship Id="rId27" Type="http://schemas.openxmlformats.org/officeDocument/2006/relationships/hyperlink" Target="http://www.nevo.co.il/case/24194196" TargetMode="External"/><Relationship Id="rId30" Type="http://schemas.openxmlformats.org/officeDocument/2006/relationships/hyperlink" Target="http://www.nevo.co.il/law/70301" TargetMode="External"/><Relationship Id="rId35" Type="http://schemas.openxmlformats.org/officeDocument/2006/relationships/header" Target="header2.xml"/><Relationship Id="rId8" Type="http://schemas.openxmlformats.org/officeDocument/2006/relationships/hyperlink" Target="http://www.nevo.co.il/law/70301/144.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2283</Words>
  <Characters>11418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13674</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4128882</vt:i4>
      </vt:variant>
      <vt:variant>
        <vt:i4>75</vt:i4>
      </vt:variant>
      <vt:variant>
        <vt:i4>0</vt:i4>
      </vt:variant>
      <vt:variant>
        <vt:i4>5</vt:i4>
      </vt:variant>
      <vt:variant>
        <vt:lpwstr>http://www.nevo.co.il/case/21952264</vt:lpwstr>
      </vt:variant>
      <vt:variant>
        <vt:lpwstr/>
      </vt:variant>
      <vt:variant>
        <vt:i4>393227</vt:i4>
      </vt:variant>
      <vt:variant>
        <vt:i4>72</vt:i4>
      </vt:variant>
      <vt:variant>
        <vt:i4>0</vt:i4>
      </vt:variant>
      <vt:variant>
        <vt:i4>5</vt:i4>
      </vt:variant>
      <vt:variant>
        <vt:lpwstr>http://www.nevo.co.il/law/70301/40jc</vt:lpwstr>
      </vt:variant>
      <vt:variant>
        <vt:lpwstr/>
      </vt:variant>
      <vt:variant>
        <vt:i4>7995492</vt:i4>
      </vt:variant>
      <vt:variant>
        <vt:i4>69</vt:i4>
      </vt:variant>
      <vt:variant>
        <vt:i4>0</vt:i4>
      </vt:variant>
      <vt:variant>
        <vt:i4>5</vt:i4>
      </vt:variant>
      <vt:variant>
        <vt:lpwstr>http://www.nevo.co.il/law/70301</vt:lpwstr>
      </vt:variant>
      <vt:variant>
        <vt:lpwstr/>
      </vt:variant>
      <vt:variant>
        <vt:i4>3801210</vt:i4>
      </vt:variant>
      <vt:variant>
        <vt:i4>66</vt:i4>
      </vt:variant>
      <vt:variant>
        <vt:i4>0</vt:i4>
      </vt:variant>
      <vt:variant>
        <vt:i4>5</vt:i4>
      </vt:variant>
      <vt:variant>
        <vt:lpwstr>http://www.nevo.co.il/case/26686085</vt:lpwstr>
      </vt:variant>
      <vt:variant>
        <vt:lpwstr/>
      </vt:variant>
      <vt:variant>
        <vt:i4>3932275</vt:i4>
      </vt:variant>
      <vt:variant>
        <vt:i4>63</vt:i4>
      </vt:variant>
      <vt:variant>
        <vt:i4>0</vt:i4>
      </vt:variant>
      <vt:variant>
        <vt:i4>5</vt:i4>
      </vt:variant>
      <vt:variant>
        <vt:lpwstr>http://www.nevo.co.il/case/25842649</vt:lpwstr>
      </vt:variant>
      <vt:variant>
        <vt:lpwstr/>
      </vt:variant>
      <vt:variant>
        <vt:i4>4063352</vt:i4>
      </vt:variant>
      <vt:variant>
        <vt:i4>60</vt:i4>
      </vt:variant>
      <vt:variant>
        <vt:i4>0</vt:i4>
      </vt:variant>
      <vt:variant>
        <vt:i4>5</vt:i4>
      </vt:variant>
      <vt:variant>
        <vt:lpwstr>http://www.nevo.co.il/case/24194196</vt:lpwstr>
      </vt:variant>
      <vt:variant>
        <vt:lpwstr/>
      </vt:variant>
      <vt:variant>
        <vt:i4>3407987</vt:i4>
      </vt:variant>
      <vt:variant>
        <vt:i4>57</vt:i4>
      </vt:variant>
      <vt:variant>
        <vt:i4>0</vt:i4>
      </vt:variant>
      <vt:variant>
        <vt:i4>5</vt:i4>
      </vt:variant>
      <vt:variant>
        <vt:lpwstr>http://www.nevo.co.il/case/24263578</vt:lpwstr>
      </vt:variant>
      <vt:variant>
        <vt:lpwstr/>
      </vt:variant>
      <vt:variant>
        <vt:i4>4063353</vt:i4>
      </vt:variant>
      <vt:variant>
        <vt:i4>54</vt:i4>
      </vt:variant>
      <vt:variant>
        <vt:i4>0</vt:i4>
      </vt:variant>
      <vt:variant>
        <vt:i4>5</vt:i4>
      </vt:variant>
      <vt:variant>
        <vt:lpwstr>http://www.nevo.co.il/case/25612982</vt:lpwstr>
      </vt:variant>
      <vt:variant>
        <vt:lpwstr/>
      </vt:variant>
      <vt:variant>
        <vt:i4>3342458</vt:i4>
      </vt:variant>
      <vt:variant>
        <vt:i4>51</vt:i4>
      </vt:variant>
      <vt:variant>
        <vt:i4>0</vt:i4>
      </vt:variant>
      <vt:variant>
        <vt:i4>5</vt:i4>
      </vt:variant>
      <vt:variant>
        <vt:lpwstr>http://www.nevo.co.il/case/5950172</vt:lpwstr>
      </vt:variant>
      <vt:variant>
        <vt:lpwstr/>
      </vt:variant>
      <vt:variant>
        <vt:i4>3145853</vt:i4>
      </vt:variant>
      <vt:variant>
        <vt:i4>48</vt:i4>
      </vt:variant>
      <vt:variant>
        <vt:i4>0</vt:i4>
      </vt:variant>
      <vt:variant>
        <vt:i4>5</vt:i4>
      </vt:variant>
      <vt:variant>
        <vt:lpwstr>http://www.nevo.co.il/case/6949290</vt:lpwstr>
      </vt:variant>
      <vt:variant>
        <vt:lpwstr/>
      </vt:variant>
      <vt:variant>
        <vt:i4>3539068</vt:i4>
      </vt:variant>
      <vt:variant>
        <vt:i4>45</vt:i4>
      </vt:variant>
      <vt:variant>
        <vt:i4>0</vt:i4>
      </vt:variant>
      <vt:variant>
        <vt:i4>5</vt:i4>
      </vt:variant>
      <vt:variant>
        <vt:lpwstr>http://www.nevo.co.il/case/5878682</vt:lpwstr>
      </vt:variant>
      <vt:variant>
        <vt:lpwstr/>
      </vt:variant>
      <vt:variant>
        <vt:i4>3539056</vt:i4>
      </vt:variant>
      <vt:variant>
        <vt:i4>42</vt:i4>
      </vt:variant>
      <vt:variant>
        <vt:i4>0</vt:i4>
      </vt:variant>
      <vt:variant>
        <vt:i4>5</vt:i4>
      </vt:variant>
      <vt:variant>
        <vt:lpwstr>http://www.nevo.co.il/case/26964498</vt:lpwstr>
      </vt:variant>
      <vt:variant>
        <vt:lpwstr/>
      </vt:variant>
      <vt:variant>
        <vt:i4>3211381</vt:i4>
      </vt:variant>
      <vt:variant>
        <vt:i4>39</vt:i4>
      </vt:variant>
      <vt:variant>
        <vt:i4>0</vt:i4>
      </vt:variant>
      <vt:variant>
        <vt:i4>5</vt:i4>
      </vt:variant>
      <vt:variant>
        <vt:lpwstr>http://www.nevo.co.il/case/20723375</vt:lpwstr>
      </vt:variant>
      <vt:variant>
        <vt:lpwstr/>
      </vt:variant>
      <vt:variant>
        <vt:i4>3407990</vt:i4>
      </vt:variant>
      <vt:variant>
        <vt:i4>36</vt:i4>
      </vt:variant>
      <vt:variant>
        <vt:i4>0</vt:i4>
      </vt:variant>
      <vt:variant>
        <vt:i4>5</vt:i4>
      </vt:variant>
      <vt:variant>
        <vt:lpwstr>http://www.nevo.co.il/case/18086234</vt:lpwstr>
      </vt:variant>
      <vt:variant>
        <vt:lpwstr/>
      </vt:variant>
      <vt:variant>
        <vt:i4>4063348</vt:i4>
      </vt:variant>
      <vt:variant>
        <vt:i4>33</vt:i4>
      </vt:variant>
      <vt:variant>
        <vt:i4>0</vt:i4>
      </vt:variant>
      <vt:variant>
        <vt:i4>5</vt:i4>
      </vt:variant>
      <vt:variant>
        <vt:lpwstr>http://www.nevo.co.il/case/17954222</vt:lpwstr>
      </vt:variant>
      <vt:variant>
        <vt:lpwstr/>
      </vt:variant>
      <vt:variant>
        <vt:i4>3539065</vt:i4>
      </vt:variant>
      <vt:variant>
        <vt:i4>30</vt:i4>
      </vt:variant>
      <vt:variant>
        <vt:i4>0</vt:i4>
      </vt:variant>
      <vt:variant>
        <vt:i4>5</vt:i4>
      </vt:variant>
      <vt:variant>
        <vt:lpwstr>http://www.nevo.co.il/case/13093744</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3604604</vt:i4>
      </vt:variant>
      <vt:variant>
        <vt:i4>24</vt:i4>
      </vt:variant>
      <vt:variant>
        <vt:i4>0</vt:i4>
      </vt:variant>
      <vt:variant>
        <vt:i4>5</vt:i4>
      </vt:variant>
      <vt:variant>
        <vt:lpwstr>http://www.nevo.co.il/case/26888657</vt:lpwstr>
      </vt:variant>
      <vt:variant>
        <vt:lpwstr/>
      </vt:variant>
      <vt:variant>
        <vt:i4>3997822</vt:i4>
      </vt:variant>
      <vt:variant>
        <vt:i4>21</vt:i4>
      </vt:variant>
      <vt:variant>
        <vt:i4>0</vt:i4>
      </vt:variant>
      <vt:variant>
        <vt:i4>5</vt:i4>
      </vt:variant>
      <vt:variant>
        <vt:lpwstr>http://www.nevo.co.il/case/26492590</vt:lpwstr>
      </vt:variant>
      <vt:variant>
        <vt:lpwstr/>
      </vt:variant>
      <vt:variant>
        <vt:i4>3670139</vt:i4>
      </vt:variant>
      <vt:variant>
        <vt:i4>18</vt:i4>
      </vt:variant>
      <vt:variant>
        <vt:i4>0</vt:i4>
      </vt:variant>
      <vt:variant>
        <vt:i4>5</vt:i4>
      </vt:variant>
      <vt:variant>
        <vt:lpwstr>http://www.nevo.co.il/case/25824863</vt:lpwstr>
      </vt:variant>
      <vt:variant>
        <vt:lpwstr/>
      </vt:variant>
      <vt:variant>
        <vt:i4>4128892</vt:i4>
      </vt:variant>
      <vt:variant>
        <vt:i4>15</vt:i4>
      </vt:variant>
      <vt:variant>
        <vt:i4>0</vt:i4>
      </vt:variant>
      <vt:variant>
        <vt:i4>5</vt:i4>
      </vt:variant>
      <vt:variant>
        <vt:lpwstr>http://www.nevo.co.il/case/25940943</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393227</vt:i4>
      </vt:variant>
      <vt:variant>
        <vt:i4>6</vt:i4>
      </vt:variant>
      <vt:variant>
        <vt:i4>0</vt:i4>
      </vt:variant>
      <vt:variant>
        <vt:i4>5</vt:i4>
      </vt:variant>
      <vt:variant>
        <vt:lpwstr>http://www.nevo.co.il/law/70301/40jc</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2025-01-19T16:35:00Z</dcterms:created>
  <dcterms:modified xsi:type="dcterms:W3CDTF">2025-01-19T16:35:00Z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52416</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סנד מתאני</vt:lpwstr>
  </property>
  <property fmtid="{D5CDD505-2E9C-101B-9397-08002B2CF9AE}" pid="10" name="LAWYER">
    <vt:lpwstr>איריס פיקר;רומח שביט</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20210112</vt:lpwstr>
  </property>
  <property fmtid="{D5CDD505-2E9C-101B-9397-08002B2CF9AE}" pid="14" name="TYPE_N_DATE">
    <vt:lpwstr>39020210112</vt:lpwstr>
  </property>
  <property fmtid="{D5CDD505-2E9C-101B-9397-08002B2CF9AE}" pid="15" name="WORDNUMPAGES">
    <vt:lpwstr>8</vt:lpwstr>
  </property>
  <property fmtid="{D5CDD505-2E9C-101B-9397-08002B2CF9AE}" pid="16" name="TYPE_ABS_DATE">
    <vt:lpwstr>390020210112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25940943;25824863;26492590;26888657;7791493;13093744;17954222;18086234;20723375;26964498;5878682;6949290;5950172;25612982;24263578;24194196;25842649;26686085;21952264</vt:lpwstr>
  </property>
  <property fmtid="{D5CDD505-2E9C-101B-9397-08002B2CF9AE}" pid="36" name="LAWLISTTMP1">
    <vt:lpwstr>70301/144.b;40jc</vt:lpwstr>
  </property>
</Properties>
</file>