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444B2" w:rsidRPr="000444B2" w14:paraId="25E18D88" w14:textId="77777777" w:rsidTr="00E91799">
        <w:trPr>
          <w:trHeight w:hRule="exact" w:val="418"/>
          <w:jc w:val="center"/>
        </w:trPr>
        <w:tc>
          <w:tcPr>
            <w:tcW w:w="8720" w:type="dxa"/>
            <w:gridSpan w:val="3"/>
          </w:tcPr>
          <w:p w14:paraId="554DD497" w14:textId="77777777" w:rsidR="000444B2" w:rsidRPr="000444B2" w:rsidRDefault="000444B2" w:rsidP="00E91799">
            <w:pPr>
              <w:pStyle w:val="a3"/>
              <w:tabs>
                <w:tab w:val="clear" w:pos="8306"/>
              </w:tabs>
              <w:jc w:val="center"/>
              <w:rPr>
                <w:rFonts w:ascii="Tahoma" w:hAnsi="Tahoma" w:cs="Tahoma"/>
                <w:b/>
                <w:bCs/>
                <w:color w:val="000080"/>
                <w:sz w:val="20"/>
                <w:szCs w:val="20"/>
                <w:rtl/>
              </w:rPr>
            </w:pPr>
            <w:bookmarkStart w:id="0" w:name="LastJudge"/>
            <w:r w:rsidRPr="000444B2">
              <w:rPr>
                <w:rFonts w:ascii="Tahoma" w:hAnsi="Tahoma" w:cs="Tahoma"/>
                <w:b/>
                <w:bCs/>
                <w:color w:val="000080"/>
                <w:sz w:val="20"/>
                <w:szCs w:val="20"/>
                <w:rtl/>
              </w:rPr>
              <w:t>בית המשפט המחוזי בחיפה</w:t>
            </w:r>
          </w:p>
        </w:tc>
      </w:tr>
      <w:tr w:rsidR="000444B2" w:rsidRPr="000444B2" w14:paraId="563CB745" w14:textId="77777777" w:rsidTr="00E91799">
        <w:trPr>
          <w:trHeight w:val="337"/>
          <w:jc w:val="center"/>
        </w:trPr>
        <w:tc>
          <w:tcPr>
            <w:tcW w:w="6396" w:type="dxa"/>
          </w:tcPr>
          <w:p w14:paraId="58FF6ABA" w14:textId="77777777" w:rsidR="000444B2" w:rsidRPr="000444B2" w:rsidRDefault="000444B2" w:rsidP="00E91799">
            <w:pPr>
              <w:rPr>
                <w:b/>
                <w:bCs/>
                <w:sz w:val="26"/>
                <w:szCs w:val="26"/>
                <w:rtl/>
              </w:rPr>
            </w:pPr>
            <w:r w:rsidRPr="000444B2">
              <w:rPr>
                <w:b/>
                <w:bCs/>
                <w:sz w:val="26"/>
                <w:szCs w:val="26"/>
                <w:rtl/>
              </w:rPr>
              <w:t xml:space="preserve">ת"פ </w:t>
            </w:r>
            <w:bookmarkStart w:id="1" w:name="_GoBack"/>
            <w:r w:rsidRPr="000444B2">
              <w:rPr>
                <w:b/>
                <w:bCs/>
                <w:sz w:val="26"/>
                <w:szCs w:val="26"/>
                <w:rtl/>
              </w:rPr>
              <w:t>46108-06-20</w:t>
            </w:r>
            <w:bookmarkEnd w:id="1"/>
            <w:r w:rsidRPr="000444B2">
              <w:rPr>
                <w:b/>
                <w:bCs/>
                <w:sz w:val="26"/>
                <w:szCs w:val="26"/>
                <w:rtl/>
              </w:rPr>
              <w:t xml:space="preserve"> מדינת ישראל נ' הרשה(עציר)</w:t>
            </w:r>
          </w:p>
          <w:p w14:paraId="59AE56FB" w14:textId="77777777" w:rsidR="000444B2" w:rsidRPr="000444B2" w:rsidRDefault="000444B2" w:rsidP="00E91799">
            <w:pPr>
              <w:rPr>
                <w:b/>
                <w:bCs/>
                <w:sz w:val="26"/>
                <w:szCs w:val="26"/>
                <w:rtl/>
              </w:rPr>
            </w:pPr>
          </w:p>
        </w:tc>
        <w:tc>
          <w:tcPr>
            <w:tcW w:w="236" w:type="dxa"/>
          </w:tcPr>
          <w:p w14:paraId="104BCD3A" w14:textId="77777777" w:rsidR="000444B2" w:rsidRPr="000444B2" w:rsidRDefault="000444B2" w:rsidP="00E91799">
            <w:pPr>
              <w:pStyle w:val="a3"/>
              <w:jc w:val="right"/>
              <w:rPr>
                <w:b/>
                <w:bCs/>
                <w:sz w:val="26"/>
                <w:szCs w:val="26"/>
                <w:rtl/>
              </w:rPr>
            </w:pPr>
          </w:p>
        </w:tc>
        <w:tc>
          <w:tcPr>
            <w:tcW w:w="2088" w:type="dxa"/>
          </w:tcPr>
          <w:p w14:paraId="470CEF14" w14:textId="77777777" w:rsidR="000444B2" w:rsidRPr="000444B2" w:rsidRDefault="000444B2" w:rsidP="00E91799">
            <w:pPr>
              <w:pStyle w:val="a3"/>
              <w:tabs>
                <w:tab w:val="clear" w:pos="4153"/>
              </w:tabs>
              <w:jc w:val="right"/>
              <w:rPr>
                <w:b/>
                <w:bCs/>
                <w:sz w:val="26"/>
                <w:szCs w:val="26"/>
                <w:rtl/>
              </w:rPr>
            </w:pPr>
            <w:r w:rsidRPr="000444B2">
              <w:rPr>
                <w:b/>
                <w:bCs/>
                <w:sz w:val="26"/>
                <w:szCs w:val="26"/>
                <w:rtl/>
              </w:rPr>
              <w:t>29 דצמבר 2020</w:t>
            </w:r>
          </w:p>
        </w:tc>
      </w:tr>
    </w:tbl>
    <w:p w14:paraId="724FA635" w14:textId="77777777" w:rsidR="000444B2" w:rsidRPr="000444B2" w:rsidRDefault="000444B2" w:rsidP="000444B2">
      <w:pPr>
        <w:pStyle w:val="a3"/>
        <w:jc w:val="center"/>
        <w:rPr>
          <w:rFonts w:ascii="Tahoma" w:hAnsi="Tahoma" w:cs="Tahoma"/>
          <w:b/>
          <w:bCs/>
          <w:color w:val="000080"/>
          <w:sz w:val="20"/>
          <w:szCs w:val="20"/>
          <w:rtl/>
        </w:rPr>
      </w:pPr>
    </w:p>
    <w:p w14:paraId="74A83EC7" w14:textId="77777777" w:rsidR="00450785" w:rsidRPr="000444B2" w:rsidRDefault="00450785">
      <w:pPr>
        <w:spacing w:line="360" w:lineRule="auto"/>
        <w:jc w:val="both"/>
        <w:rPr>
          <w:rtl/>
        </w:rPr>
      </w:pPr>
    </w:p>
    <w:tbl>
      <w:tblPr>
        <w:bidiVisual/>
        <w:tblW w:w="0" w:type="auto"/>
        <w:jc w:val="center"/>
        <w:tblLook w:val="0000" w:firstRow="0" w:lastRow="0" w:firstColumn="0" w:lastColumn="0" w:noHBand="0" w:noVBand="0"/>
      </w:tblPr>
      <w:tblGrid>
        <w:gridCol w:w="1548"/>
        <w:gridCol w:w="1255"/>
        <w:gridCol w:w="5632"/>
        <w:gridCol w:w="285"/>
      </w:tblGrid>
      <w:tr w:rsidR="000444B2" w:rsidRPr="000444B2" w14:paraId="1759C2CA" w14:textId="77777777" w:rsidTr="00E91799">
        <w:trPr>
          <w:gridAfter w:val="1"/>
          <w:wAfter w:w="298" w:type="dxa"/>
          <w:trHeight w:val="337"/>
          <w:jc w:val="center"/>
        </w:trPr>
        <w:tc>
          <w:tcPr>
            <w:tcW w:w="1592" w:type="dxa"/>
          </w:tcPr>
          <w:p w14:paraId="757D5E7D" w14:textId="77777777" w:rsidR="000444B2" w:rsidRPr="000444B2" w:rsidRDefault="000444B2" w:rsidP="00E91799">
            <w:pPr>
              <w:pStyle w:val="a3"/>
              <w:bidi w:val="0"/>
              <w:spacing w:line="360" w:lineRule="auto"/>
              <w:jc w:val="both"/>
              <w:rPr>
                <w:rFonts w:ascii="Times New Roman" w:hAnsi="Times New Roman"/>
              </w:rPr>
            </w:pPr>
            <w:r w:rsidRPr="000444B2">
              <w:rPr>
                <w:rFonts w:ascii="Times New Roman" w:hAnsi="Times New Roman"/>
              </w:rPr>
              <w:t xml:space="preserve">    </w:t>
            </w:r>
          </w:p>
        </w:tc>
        <w:tc>
          <w:tcPr>
            <w:tcW w:w="7128" w:type="dxa"/>
            <w:gridSpan w:val="2"/>
          </w:tcPr>
          <w:p w14:paraId="659EC789" w14:textId="77777777" w:rsidR="000444B2" w:rsidRPr="000444B2" w:rsidRDefault="000444B2" w:rsidP="00E91799">
            <w:pPr>
              <w:pStyle w:val="a3"/>
              <w:jc w:val="right"/>
              <w:rPr>
                <w:rtl/>
              </w:rPr>
            </w:pPr>
            <w:r w:rsidRPr="000444B2">
              <w:rPr>
                <w:rtl/>
              </w:rPr>
              <w:t xml:space="preserve"> </w:t>
            </w:r>
          </w:p>
        </w:tc>
      </w:tr>
      <w:tr w:rsidR="000444B2" w:rsidRPr="000444B2" w14:paraId="3E9836AB" w14:textId="77777777" w:rsidTr="00E91799">
        <w:trPr>
          <w:gridAfter w:val="1"/>
          <w:wAfter w:w="298" w:type="dxa"/>
          <w:trHeight w:val="337"/>
          <w:jc w:val="center"/>
        </w:trPr>
        <w:tc>
          <w:tcPr>
            <w:tcW w:w="1592" w:type="dxa"/>
          </w:tcPr>
          <w:p w14:paraId="69928810" w14:textId="77777777" w:rsidR="000444B2" w:rsidRPr="000444B2" w:rsidRDefault="000444B2" w:rsidP="00E91799">
            <w:pPr>
              <w:pStyle w:val="a3"/>
              <w:bidi w:val="0"/>
              <w:jc w:val="both"/>
              <w:rPr>
                <w:rFonts w:ascii="Times New Roman" w:hAnsi="Times New Roman"/>
              </w:rPr>
            </w:pPr>
          </w:p>
        </w:tc>
        <w:tc>
          <w:tcPr>
            <w:tcW w:w="7128" w:type="dxa"/>
            <w:gridSpan w:val="2"/>
          </w:tcPr>
          <w:p w14:paraId="357AAEFF" w14:textId="77777777" w:rsidR="000444B2" w:rsidRPr="000444B2" w:rsidRDefault="000444B2" w:rsidP="00E91799">
            <w:pPr>
              <w:pStyle w:val="a3"/>
              <w:rPr>
                <w:b/>
                <w:bCs/>
                <w:sz w:val="4"/>
                <w:szCs w:val="4"/>
                <w:rtl/>
              </w:rPr>
            </w:pPr>
            <w:r w:rsidRPr="000444B2">
              <w:rPr>
                <w:b/>
                <w:bCs/>
                <w:rtl/>
              </w:rPr>
              <w:t xml:space="preserve">                       </w:t>
            </w:r>
            <w:hyperlink r:id="rId8" w:history="1">
              <w:r w:rsidRPr="000444B2">
                <w:rPr>
                  <w:b/>
                  <w:bCs/>
                  <w:color w:val="0000FF"/>
                  <w:u w:val="single"/>
                  <w:rtl/>
                </w:rPr>
                <w:t>פרק 2745/20</w:t>
              </w:r>
            </w:hyperlink>
            <w:r w:rsidRPr="000444B2">
              <w:rPr>
                <w:b/>
                <w:bCs/>
                <w:rtl/>
              </w:rPr>
              <w:t xml:space="preserve"> מספר פל"א </w:t>
            </w:r>
            <w:r w:rsidRPr="000444B2">
              <w:rPr>
                <w:b/>
                <w:bCs/>
              </w:rPr>
              <w:t>284341/2020</w:t>
            </w:r>
          </w:p>
        </w:tc>
      </w:tr>
      <w:tr w:rsidR="000444B2" w:rsidRPr="000444B2" w14:paraId="1CDDD15A" w14:textId="77777777" w:rsidTr="00E91799">
        <w:trPr>
          <w:gridAfter w:val="1"/>
          <w:wAfter w:w="298" w:type="dxa"/>
          <w:trHeight w:val="337"/>
          <w:jc w:val="center"/>
        </w:trPr>
        <w:tc>
          <w:tcPr>
            <w:tcW w:w="1592" w:type="dxa"/>
          </w:tcPr>
          <w:p w14:paraId="70760347" w14:textId="77777777" w:rsidR="000444B2" w:rsidRPr="000444B2" w:rsidRDefault="000444B2" w:rsidP="00E91799">
            <w:pPr>
              <w:pStyle w:val="a3"/>
              <w:bidi w:val="0"/>
              <w:jc w:val="both"/>
              <w:rPr>
                <w:rFonts w:ascii="Times New Roman" w:hAnsi="Times New Roman"/>
              </w:rPr>
            </w:pPr>
          </w:p>
        </w:tc>
        <w:tc>
          <w:tcPr>
            <w:tcW w:w="7128" w:type="dxa"/>
            <w:gridSpan w:val="2"/>
          </w:tcPr>
          <w:p w14:paraId="7A68ADBB" w14:textId="77777777" w:rsidR="000444B2" w:rsidRPr="000444B2" w:rsidRDefault="000444B2" w:rsidP="00E91799">
            <w:pPr>
              <w:pStyle w:val="a3"/>
              <w:jc w:val="right"/>
              <w:rPr>
                <w:rtl/>
              </w:rPr>
            </w:pPr>
          </w:p>
        </w:tc>
      </w:tr>
      <w:tr w:rsidR="000444B2" w:rsidRPr="000444B2" w14:paraId="35495A58" w14:textId="77777777" w:rsidTr="00E91799">
        <w:tblPrEx>
          <w:jc w:val="left"/>
          <w:tblLook w:val="01E0" w:firstRow="1" w:lastRow="1" w:firstColumn="1" w:lastColumn="1" w:noHBand="0" w:noVBand="0"/>
        </w:tblPrEx>
        <w:trPr>
          <w:gridAfter w:val="1"/>
          <w:wAfter w:w="56" w:type="dxa"/>
        </w:trPr>
        <w:tc>
          <w:tcPr>
            <w:tcW w:w="8718" w:type="dxa"/>
            <w:gridSpan w:val="3"/>
          </w:tcPr>
          <w:p w14:paraId="04B52B43" w14:textId="77777777" w:rsidR="000444B2" w:rsidRPr="000444B2" w:rsidRDefault="000444B2" w:rsidP="00E91799">
            <w:pPr>
              <w:rPr>
                <w:rFonts w:ascii="Times New Roman" w:hAnsi="Times New Roman"/>
                <w:b/>
                <w:bCs/>
                <w:sz w:val="26"/>
                <w:szCs w:val="26"/>
                <w:rtl/>
              </w:rPr>
            </w:pPr>
            <w:r w:rsidRPr="000444B2">
              <w:rPr>
                <w:rFonts w:ascii="Times New Roman" w:hAnsi="Times New Roman"/>
                <w:b/>
                <w:bCs/>
                <w:sz w:val="26"/>
                <w:szCs w:val="26"/>
                <w:rtl/>
              </w:rPr>
              <w:t>לפני כבוד השופט סארי ג'יוסי</w:t>
            </w:r>
            <w:r w:rsidRPr="000444B2">
              <w:rPr>
                <w:rStyle w:val="TimesNewRomanTimesNewRoman"/>
                <w:rtl/>
              </w:rPr>
              <w:t xml:space="preserve"> </w:t>
            </w:r>
          </w:p>
        </w:tc>
      </w:tr>
      <w:tr w:rsidR="000444B2" w:rsidRPr="000444B2" w14:paraId="50958D73" w14:textId="77777777" w:rsidTr="00E91799">
        <w:tblPrEx>
          <w:jc w:val="left"/>
          <w:tblLook w:val="01E0" w:firstRow="1" w:lastRow="1" w:firstColumn="1" w:lastColumn="1" w:noHBand="0" w:noVBand="0"/>
        </w:tblPrEx>
        <w:trPr>
          <w:cantSplit/>
          <w:trHeight w:val="724"/>
        </w:trPr>
        <w:tc>
          <w:tcPr>
            <w:tcW w:w="2880" w:type="dxa"/>
            <w:gridSpan w:val="2"/>
          </w:tcPr>
          <w:p w14:paraId="5A1BB3DD" w14:textId="77777777" w:rsidR="000444B2" w:rsidRPr="000444B2" w:rsidRDefault="000444B2" w:rsidP="00E91799">
            <w:pPr>
              <w:ind w:left="26"/>
              <w:rPr>
                <w:rFonts w:ascii="Times New Roman" w:hAnsi="Times New Roman"/>
                <w:b/>
                <w:bCs/>
                <w:sz w:val="26"/>
                <w:szCs w:val="26"/>
                <w:rtl/>
              </w:rPr>
            </w:pPr>
            <w:bookmarkStart w:id="2" w:name="FirstAppellant"/>
          </w:p>
          <w:p w14:paraId="73D01394" w14:textId="77777777" w:rsidR="000444B2" w:rsidRPr="000444B2" w:rsidRDefault="000444B2" w:rsidP="00E91799">
            <w:pPr>
              <w:ind w:left="26"/>
              <w:rPr>
                <w:rFonts w:ascii="Times New Roman" w:hAnsi="Times New Roman"/>
                <w:b/>
                <w:bCs/>
                <w:sz w:val="26"/>
                <w:szCs w:val="26"/>
                <w:rtl/>
              </w:rPr>
            </w:pPr>
            <w:r w:rsidRPr="000444B2">
              <w:rPr>
                <w:rFonts w:ascii="Times New Roman" w:hAnsi="Times New Roman"/>
                <w:b/>
                <w:bCs/>
                <w:sz w:val="26"/>
                <w:szCs w:val="26"/>
                <w:rtl/>
              </w:rPr>
              <w:t>המאשימה</w:t>
            </w:r>
          </w:p>
        </w:tc>
        <w:tc>
          <w:tcPr>
            <w:tcW w:w="5922" w:type="dxa"/>
            <w:gridSpan w:val="2"/>
          </w:tcPr>
          <w:p w14:paraId="108BFCFE" w14:textId="77777777" w:rsidR="000444B2" w:rsidRPr="000444B2" w:rsidRDefault="000444B2" w:rsidP="00E91799">
            <w:pPr>
              <w:rPr>
                <w:rFonts w:ascii="Times New Roman" w:hAnsi="Times New Roman" w:cs="Times New Roman"/>
                <w:rtl/>
              </w:rPr>
            </w:pPr>
          </w:p>
          <w:p w14:paraId="65756939" w14:textId="77777777" w:rsidR="000444B2" w:rsidRPr="000444B2" w:rsidRDefault="000444B2" w:rsidP="00E91799">
            <w:pPr>
              <w:rPr>
                <w:rFonts w:ascii="Times New Roman" w:hAnsi="Times New Roman"/>
                <w:b/>
                <w:bCs/>
                <w:sz w:val="26"/>
                <w:szCs w:val="26"/>
                <w:rtl/>
              </w:rPr>
            </w:pPr>
            <w:r w:rsidRPr="000444B2">
              <w:rPr>
                <w:rFonts w:ascii="Times New Roman" w:hAnsi="Times New Roman" w:cs="Times New Roman"/>
                <w:rtl/>
              </w:rPr>
              <w:t xml:space="preserve"> </w:t>
            </w:r>
            <w:r w:rsidRPr="000444B2">
              <w:rPr>
                <w:rFonts w:ascii="Times New Roman" w:hAnsi="Times New Roman"/>
                <w:b/>
                <w:bCs/>
                <w:sz w:val="26"/>
                <w:szCs w:val="26"/>
                <w:rtl/>
              </w:rPr>
              <w:t>מדינת ישראל</w:t>
            </w:r>
          </w:p>
          <w:p w14:paraId="64529E73" w14:textId="77777777" w:rsidR="000444B2" w:rsidRPr="000444B2" w:rsidRDefault="000444B2" w:rsidP="00E91799">
            <w:pPr>
              <w:rPr>
                <w:rFonts w:ascii="Times New Roman" w:hAnsi="Times New Roman"/>
                <w:b/>
                <w:bCs/>
                <w:sz w:val="26"/>
                <w:szCs w:val="26"/>
                <w:rtl/>
              </w:rPr>
            </w:pPr>
          </w:p>
        </w:tc>
      </w:tr>
      <w:bookmarkEnd w:id="2"/>
      <w:tr w:rsidR="000444B2" w:rsidRPr="000444B2" w14:paraId="4B630683" w14:textId="77777777" w:rsidTr="00E91799">
        <w:tblPrEx>
          <w:jc w:val="left"/>
          <w:tblLook w:val="01E0" w:firstRow="1" w:lastRow="1" w:firstColumn="1" w:lastColumn="1" w:noHBand="0" w:noVBand="0"/>
        </w:tblPrEx>
        <w:tc>
          <w:tcPr>
            <w:tcW w:w="8802" w:type="dxa"/>
            <w:gridSpan w:val="4"/>
            <w:vAlign w:val="center"/>
          </w:tcPr>
          <w:p w14:paraId="14604F4B" w14:textId="77777777" w:rsidR="000444B2" w:rsidRPr="000444B2" w:rsidRDefault="000444B2" w:rsidP="00E91799">
            <w:pPr>
              <w:jc w:val="center"/>
              <w:rPr>
                <w:rFonts w:ascii="Arial" w:hAnsi="Arial"/>
                <w:b/>
                <w:bCs/>
                <w:sz w:val="26"/>
                <w:szCs w:val="26"/>
                <w:rtl/>
              </w:rPr>
            </w:pPr>
          </w:p>
          <w:p w14:paraId="4DCEB3E8" w14:textId="77777777" w:rsidR="000444B2" w:rsidRPr="000444B2" w:rsidRDefault="000444B2" w:rsidP="00E91799">
            <w:pPr>
              <w:jc w:val="center"/>
              <w:rPr>
                <w:rFonts w:ascii="Arial" w:hAnsi="Arial"/>
                <w:b/>
                <w:bCs/>
                <w:sz w:val="26"/>
                <w:szCs w:val="26"/>
                <w:rtl/>
              </w:rPr>
            </w:pPr>
            <w:r w:rsidRPr="000444B2">
              <w:rPr>
                <w:rFonts w:ascii="Arial" w:hAnsi="Arial"/>
                <w:b/>
                <w:bCs/>
                <w:sz w:val="26"/>
                <w:szCs w:val="26"/>
                <w:rtl/>
              </w:rPr>
              <w:t>נגד</w:t>
            </w:r>
          </w:p>
          <w:p w14:paraId="0DD8A5F3" w14:textId="77777777" w:rsidR="000444B2" w:rsidRPr="000444B2" w:rsidRDefault="000444B2" w:rsidP="00E91799">
            <w:pPr>
              <w:rPr>
                <w:rFonts w:ascii="Arial" w:hAnsi="Arial"/>
                <w:b/>
                <w:bCs/>
                <w:sz w:val="26"/>
                <w:szCs w:val="26"/>
              </w:rPr>
            </w:pPr>
          </w:p>
        </w:tc>
      </w:tr>
      <w:tr w:rsidR="000444B2" w:rsidRPr="000444B2" w14:paraId="7EA676AC" w14:textId="77777777" w:rsidTr="00E91799">
        <w:tblPrEx>
          <w:jc w:val="left"/>
          <w:tblLook w:val="01E0" w:firstRow="1" w:lastRow="1" w:firstColumn="1" w:lastColumn="1" w:noHBand="0" w:noVBand="0"/>
        </w:tblPrEx>
        <w:tc>
          <w:tcPr>
            <w:tcW w:w="2880" w:type="dxa"/>
            <w:gridSpan w:val="2"/>
          </w:tcPr>
          <w:p w14:paraId="30FDA203" w14:textId="77777777" w:rsidR="000444B2" w:rsidRPr="000444B2" w:rsidRDefault="000444B2" w:rsidP="00E91799">
            <w:pPr>
              <w:ind w:left="26"/>
              <w:rPr>
                <w:rFonts w:ascii="Times New Roman" w:hAnsi="Times New Roman"/>
                <w:b/>
                <w:bCs/>
                <w:sz w:val="26"/>
                <w:szCs w:val="26"/>
                <w:rtl/>
              </w:rPr>
            </w:pPr>
            <w:r w:rsidRPr="000444B2">
              <w:rPr>
                <w:rFonts w:ascii="Times New Roman" w:hAnsi="Times New Roman"/>
                <w:b/>
                <w:bCs/>
                <w:sz w:val="26"/>
                <w:szCs w:val="26"/>
                <w:rtl/>
              </w:rPr>
              <w:t>הנאשם</w:t>
            </w:r>
          </w:p>
        </w:tc>
        <w:tc>
          <w:tcPr>
            <w:tcW w:w="5922" w:type="dxa"/>
            <w:gridSpan w:val="2"/>
          </w:tcPr>
          <w:p w14:paraId="0D3D1F71" w14:textId="77777777" w:rsidR="000444B2" w:rsidRPr="000444B2" w:rsidRDefault="000444B2" w:rsidP="00E91799">
            <w:pPr>
              <w:rPr>
                <w:rFonts w:ascii="Times New Roman" w:hAnsi="Times New Roman"/>
                <w:b/>
                <w:bCs/>
                <w:sz w:val="26"/>
                <w:szCs w:val="26"/>
                <w:rtl/>
              </w:rPr>
            </w:pPr>
            <w:r w:rsidRPr="000444B2">
              <w:rPr>
                <w:rFonts w:ascii="Times New Roman" w:hAnsi="Times New Roman" w:cs="Times New Roman"/>
                <w:rtl/>
              </w:rPr>
              <w:t xml:space="preserve"> </w:t>
            </w:r>
            <w:r w:rsidRPr="000444B2">
              <w:rPr>
                <w:rFonts w:ascii="Times New Roman" w:hAnsi="Times New Roman"/>
                <w:b/>
                <w:bCs/>
                <w:sz w:val="26"/>
                <w:szCs w:val="26"/>
                <w:rtl/>
              </w:rPr>
              <w:t>תאאר הרשה (עציר)</w:t>
            </w:r>
            <w:r w:rsidRPr="000444B2">
              <w:rPr>
                <w:rFonts w:ascii="Times New Roman" w:hAnsi="Times New Roman" w:cs="Times New Roman"/>
                <w:rtl/>
              </w:rPr>
              <w:t xml:space="preserve"> </w:t>
            </w:r>
            <w:r w:rsidRPr="000444B2">
              <w:rPr>
                <w:rFonts w:ascii="Times New Roman" w:hAnsi="Times New Roman"/>
                <w:b/>
                <w:bCs/>
                <w:sz w:val="26"/>
                <w:szCs w:val="26"/>
                <w:rtl/>
              </w:rPr>
              <w:t xml:space="preserve">ת"ז  </w:t>
            </w:r>
            <w:r>
              <w:rPr>
                <w:rFonts w:ascii="Times New Roman" w:hAnsi="Times New Roman"/>
                <w:b/>
                <w:bCs/>
                <w:sz w:val="26"/>
                <w:szCs w:val="26"/>
              </w:rPr>
              <w:t>xxxxxxxxxx</w:t>
            </w:r>
          </w:p>
          <w:p w14:paraId="7CEBD710" w14:textId="77777777" w:rsidR="000444B2" w:rsidRPr="000444B2" w:rsidRDefault="000444B2" w:rsidP="00E91799">
            <w:pPr>
              <w:rPr>
                <w:rFonts w:ascii="Times New Roman" w:hAnsi="Times New Roman"/>
                <w:b/>
                <w:bCs/>
                <w:sz w:val="26"/>
                <w:szCs w:val="26"/>
                <w:rtl/>
              </w:rPr>
            </w:pPr>
          </w:p>
        </w:tc>
      </w:tr>
    </w:tbl>
    <w:p w14:paraId="53239A0C" w14:textId="77777777" w:rsidR="000444B2" w:rsidRPr="000444B2" w:rsidRDefault="000444B2">
      <w:pPr>
        <w:spacing w:line="360" w:lineRule="auto"/>
        <w:jc w:val="both"/>
        <w:rPr>
          <w:rtl/>
        </w:rPr>
      </w:pPr>
    </w:p>
    <w:p w14:paraId="17D9980D" w14:textId="77777777" w:rsidR="00450785" w:rsidRPr="000444B2" w:rsidRDefault="00450785">
      <w:pPr>
        <w:spacing w:line="360" w:lineRule="auto"/>
        <w:jc w:val="both"/>
        <w:rPr>
          <w:sz w:val="6"/>
          <w:szCs w:val="6"/>
          <w:rtl/>
        </w:rPr>
      </w:pPr>
      <w:r w:rsidRPr="000444B2">
        <w:rPr>
          <w:sz w:val="6"/>
          <w:szCs w:val="6"/>
          <w:rtl/>
        </w:rPr>
        <w:t>&lt;#2#&gt;</w:t>
      </w:r>
    </w:p>
    <w:p w14:paraId="11AAEE76" w14:textId="77777777" w:rsidR="00450785" w:rsidRPr="000444B2" w:rsidRDefault="00450785">
      <w:pPr>
        <w:pStyle w:val="12"/>
        <w:rPr>
          <w:u w:val="none"/>
          <w:rtl/>
        </w:rPr>
      </w:pPr>
      <w:r w:rsidRPr="000444B2">
        <w:rPr>
          <w:u w:val="none"/>
          <w:rtl/>
        </w:rPr>
        <w:t>נוכחים:</w:t>
      </w:r>
    </w:p>
    <w:p w14:paraId="658AE022" w14:textId="77777777" w:rsidR="00450785" w:rsidRPr="000444B2" w:rsidRDefault="00450785">
      <w:pPr>
        <w:pStyle w:val="12"/>
        <w:rPr>
          <w:b w:val="0"/>
          <w:bCs w:val="0"/>
          <w:u w:val="none"/>
          <w:rtl/>
        </w:rPr>
      </w:pPr>
      <w:bookmarkStart w:id="3" w:name="FirstLawyer"/>
      <w:r w:rsidRPr="000444B2">
        <w:rPr>
          <w:b w:val="0"/>
          <w:bCs w:val="0"/>
          <w:u w:val="none"/>
          <w:rtl/>
        </w:rPr>
        <w:t>ב"כ</w:t>
      </w:r>
      <w:bookmarkEnd w:id="3"/>
      <w:r w:rsidRPr="000444B2">
        <w:rPr>
          <w:b w:val="0"/>
          <w:bCs w:val="0"/>
          <w:u w:val="none"/>
          <w:rtl/>
        </w:rPr>
        <w:t xml:space="preserve"> המאשימה: עו"ד מטאנס מירה</w:t>
      </w:r>
    </w:p>
    <w:p w14:paraId="1BC56C31" w14:textId="77777777" w:rsidR="00450785" w:rsidRPr="000444B2" w:rsidRDefault="00450785" w:rsidP="004252C0">
      <w:pPr>
        <w:pStyle w:val="12"/>
        <w:rPr>
          <w:b w:val="0"/>
          <w:bCs w:val="0"/>
          <w:u w:val="none"/>
          <w:rtl/>
        </w:rPr>
      </w:pPr>
      <w:r w:rsidRPr="000444B2">
        <w:rPr>
          <w:b w:val="0"/>
          <w:bCs w:val="0"/>
          <w:u w:val="none"/>
          <w:rtl/>
        </w:rPr>
        <w:t>ב"כ הנאשם: עו"ד עלי סעדי</w:t>
      </w:r>
    </w:p>
    <w:p w14:paraId="7FD46698" w14:textId="77777777" w:rsidR="00450785" w:rsidRPr="000444B2" w:rsidRDefault="00450785">
      <w:pPr>
        <w:pStyle w:val="12"/>
        <w:rPr>
          <w:b w:val="0"/>
          <w:bCs w:val="0"/>
          <w:u w:val="none"/>
          <w:rtl/>
        </w:rPr>
      </w:pPr>
      <w:r w:rsidRPr="000444B2">
        <w:rPr>
          <w:b w:val="0"/>
          <w:bCs w:val="0"/>
          <w:u w:val="none"/>
          <w:rtl/>
        </w:rPr>
        <w:t>הנאשם באמצעות הליווי</w:t>
      </w:r>
    </w:p>
    <w:p w14:paraId="1270CA69" w14:textId="77777777" w:rsidR="00450785" w:rsidRPr="000444B2" w:rsidRDefault="00450785">
      <w:pPr>
        <w:pStyle w:val="12"/>
        <w:rPr>
          <w:b w:val="0"/>
          <w:bCs w:val="0"/>
          <w:u w:val="none"/>
          <w:rtl/>
        </w:rPr>
      </w:pPr>
    </w:p>
    <w:p w14:paraId="0C11D4EC" w14:textId="77777777" w:rsidR="00450785" w:rsidRPr="000444B2" w:rsidRDefault="00450785">
      <w:pPr>
        <w:spacing w:line="360" w:lineRule="auto"/>
        <w:jc w:val="both"/>
        <w:rPr>
          <w:rtl/>
        </w:rPr>
      </w:pPr>
    </w:p>
    <w:p w14:paraId="23220CBF" w14:textId="77777777" w:rsidR="00450785" w:rsidRPr="000444B2" w:rsidRDefault="00450785">
      <w:pPr>
        <w:spacing w:line="360" w:lineRule="auto"/>
        <w:jc w:val="both"/>
        <w:rPr>
          <w:sz w:val="6"/>
          <w:szCs w:val="6"/>
          <w:rtl/>
        </w:rPr>
      </w:pPr>
      <w:r w:rsidRPr="000444B2">
        <w:rPr>
          <w:sz w:val="6"/>
          <w:szCs w:val="6"/>
          <w:rtl/>
        </w:rPr>
        <w:t>&lt;#3#&gt;</w:t>
      </w:r>
    </w:p>
    <w:p w14:paraId="6C4FB8E7" w14:textId="77777777" w:rsidR="003B7052" w:rsidRPr="003B7052" w:rsidRDefault="003B7052" w:rsidP="003B7052">
      <w:pPr>
        <w:spacing w:before="120" w:after="120" w:line="240" w:lineRule="exact"/>
        <w:ind w:left="283" w:hanging="283"/>
        <w:jc w:val="both"/>
        <w:rPr>
          <w:rFonts w:ascii="FrankRuehl" w:hAnsi="FrankRuehl" w:cs="FrankRuehl"/>
          <w:rtl/>
        </w:rPr>
      </w:pPr>
    </w:p>
    <w:p w14:paraId="497554A1" w14:textId="77777777" w:rsidR="00F87106" w:rsidRDefault="00F87106" w:rsidP="00F87106">
      <w:pPr>
        <w:spacing w:line="360" w:lineRule="auto"/>
        <w:jc w:val="center"/>
        <w:rPr>
          <w:rFonts w:ascii="Arial" w:hAnsi="Arial"/>
          <w:sz w:val="28"/>
          <w:szCs w:val="28"/>
          <w:rtl/>
        </w:rPr>
      </w:pPr>
      <w:bookmarkStart w:id="4" w:name="LawTable"/>
      <w:bookmarkEnd w:id="4"/>
    </w:p>
    <w:p w14:paraId="353C6EBE" w14:textId="77777777" w:rsidR="00F87106" w:rsidRPr="00F87106" w:rsidRDefault="00F87106" w:rsidP="00F87106">
      <w:pPr>
        <w:spacing w:before="120" w:after="120" w:line="240" w:lineRule="exact"/>
        <w:ind w:left="283" w:hanging="283"/>
        <w:jc w:val="both"/>
        <w:rPr>
          <w:rFonts w:ascii="FrankRuehl" w:hAnsi="FrankRuehl" w:cs="FrankRuehl"/>
          <w:rtl/>
        </w:rPr>
      </w:pPr>
    </w:p>
    <w:p w14:paraId="6A714916" w14:textId="77777777" w:rsidR="00F87106" w:rsidRPr="00F87106" w:rsidRDefault="00F87106" w:rsidP="00F87106">
      <w:pPr>
        <w:spacing w:before="120" w:after="120" w:line="240" w:lineRule="exact"/>
        <w:ind w:left="283" w:hanging="283"/>
        <w:jc w:val="both"/>
        <w:rPr>
          <w:rFonts w:ascii="FrankRuehl" w:hAnsi="FrankRuehl" w:cs="FrankRuehl"/>
          <w:rtl/>
        </w:rPr>
      </w:pPr>
    </w:p>
    <w:p w14:paraId="170DB792" w14:textId="77777777" w:rsidR="00F87106" w:rsidRPr="00F87106" w:rsidRDefault="00F87106" w:rsidP="00F87106">
      <w:pPr>
        <w:spacing w:before="120" w:after="120" w:line="240" w:lineRule="exact"/>
        <w:ind w:left="283" w:hanging="283"/>
        <w:jc w:val="both"/>
        <w:rPr>
          <w:rFonts w:ascii="FrankRuehl" w:hAnsi="FrankRuehl" w:cs="FrankRuehl"/>
          <w:rtl/>
        </w:rPr>
      </w:pPr>
      <w:r w:rsidRPr="00F87106">
        <w:rPr>
          <w:rFonts w:ascii="FrankRuehl" w:hAnsi="FrankRuehl" w:cs="FrankRuehl"/>
          <w:rtl/>
        </w:rPr>
        <w:t xml:space="preserve">חקיקה שאוזכרה: </w:t>
      </w:r>
    </w:p>
    <w:p w14:paraId="04482912" w14:textId="77777777" w:rsidR="00F87106" w:rsidRPr="00F87106" w:rsidRDefault="00F87106" w:rsidP="00F87106">
      <w:pPr>
        <w:spacing w:before="120" w:after="120" w:line="240" w:lineRule="exact"/>
        <w:ind w:left="283" w:hanging="283"/>
        <w:jc w:val="both"/>
        <w:rPr>
          <w:rFonts w:ascii="FrankRuehl" w:hAnsi="FrankRuehl" w:cs="FrankRuehl"/>
          <w:rtl/>
        </w:rPr>
      </w:pPr>
      <w:hyperlink r:id="rId9" w:history="1">
        <w:r w:rsidRPr="00F87106">
          <w:rPr>
            <w:rFonts w:ascii="FrankRuehl" w:hAnsi="FrankRuehl" w:cs="FrankRuehl"/>
            <w:color w:val="0000FF"/>
            <w:rtl/>
          </w:rPr>
          <w:t>חוק העונשין, תשל"ז-1977</w:t>
        </w:r>
      </w:hyperlink>
      <w:r w:rsidRPr="00F87106">
        <w:rPr>
          <w:rFonts w:ascii="FrankRuehl" w:hAnsi="FrankRuehl" w:cs="FrankRuehl"/>
          <w:rtl/>
        </w:rPr>
        <w:t xml:space="preserve">: סע'  </w:t>
      </w:r>
      <w:hyperlink r:id="rId10" w:history="1">
        <w:r w:rsidRPr="00F87106">
          <w:rPr>
            <w:rFonts w:ascii="FrankRuehl" w:hAnsi="FrankRuehl" w:cs="FrankRuehl"/>
            <w:color w:val="0000FF"/>
            <w:rtl/>
          </w:rPr>
          <w:t>144 (ב)</w:t>
        </w:r>
      </w:hyperlink>
      <w:r w:rsidRPr="00F87106">
        <w:rPr>
          <w:rFonts w:ascii="FrankRuehl" w:hAnsi="FrankRuehl" w:cs="FrankRuehl"/>
          <w:rtl/>
        </w:rPr>
        <w:t xml:space="preserve">, </w:t>
      </w:r>
      <w:hyperlink r:id="rId11" w:history="1">
        <w:r w:rsidRPr="00F87106">
          <w:rPr>
            <w:rFonts w:ascii="FrankRuehl" w:hAnsi="FrankRuehl" w:cs="FrankRuehl"/>
            <w:color w:val="0000FF"/>
            <w:rtl/>
          </w:rPr>
          <w:t>275</w:t>
        </w:r>
      </w:hyperlink>
      <w:r w:rsidRPr="00F87106">
        <w:rPr>
          <w:rFonts w:ascii="FrankRuehl" w:hAnsi="FrankRuehl" w:cs="FrankRuehl"/>
          <w:rtl/>
        </w:rPr>
        <w:t xml:space="preserve">, </w:t>
      </w:r>
      <w:hyperlink r:id="rId12" w:history="1">
        <w:r w:rsidRPr="00F87106">
          <w:rPr>
            <w:rFonts w:ascii="FrankRuehl" w:hAnsi="FrankRuehl" w:cs="FrankRuehl"/>
            <w:color w:val="0000FF"/>
            <w:rtl/>
          </w:rPr>
          <w:t>333</w:t>
        </w:r>
      </w:hyperlink>
      <w:r w:rsidRPr="00F87106">
        <w:rPr>
          <w:rFonts w:ascii="FrankRuehl" w:hAnsi="FrankRuehl" w:cs="FrankRuehl"/>
          <w:rtl/>
        </w:rPr>
        <w:t xml:space="preserve">, </w:t>
      </w:r>
      <w:hyperlink r:id="rId13" w:history="1">
        <w:r w:rsidRPr="00F87106">
          <w:rPr>
            <w:rFonts w:ascii="FrankRuehl" w:hAnsi="FrankRuehl" w:cs="FrankRuehl"/>
            <w:color w:val="0000FF"/>
            <w:rtl/>
          </w:rPr>
          <w:t>335 (א)(1)</w:t>
        </w:r>
      </w:hyperlink>
      <w:r w:rsidRPr="00F87106">
        <w:rPr>
          <w:rFonts w:ascii="FrankRuehl" w:hAnsi="FrankRuehl" w:cs="FrankRuehl"/>
          <w:rtl/>
        </w:rPr>
        <w:t xml:space="preserve">, </w:t>
      </w:r>
      <w:hyperlink r:id="rId14" w:history="1">
        <w:r w:rsidRPr="00F87106">
          <w:rPr>
            <w:rFonts w:ascii="FrankRuehl" w:hAnsi="FrankRuehl" w:cs="FrankRuehl"/>
            <w:color w:val="0000FF"/>
            <w:rtl/>
          </w:rPr>
          <w:t>40 יא(1)</w:t>
        </w:r>
      </w:hyperlink>
    </w:p>
    <w:p w14:paraId="5F5C4086" w14:textId="77777777" w:rsidR="00F87106" w:rsidRPr="00F87106" w:rsidRDefault="00F87106" w:rsidP="00F87106">
      <w:pPr>
        <w:spacing w:line="360" w:lineRule="auto"/>
        <w:jc w:val="center"/>
        <w:rPr>
          <w:rFonts w:ascii="Arial" w:hAnsi="Arial"/>
          <w:sz w:val="28"/>
          <w:szCs w:val="28"/>
          <w:rtl/>
        </w:rPr>
      </w:pPr>
      <w:bookmarkStart w:id="5" w:name="LawTable_End"/>
      <w:bookmarkEnd w:id="5"/>
    </w:p>
    <w:p w14:paraId="71243C3A" w14:textId="77777777" w:rsidR="000444B2" w:rsidRPr="003B7052" w:rsidRDefault="000444B2" w:rsidP="003B7052">
      <w:pPr>
        <w:spacing w:line="360" w:lineRule="auto"/>
        <w:jc w:val="center"/>
        <w:rPr>
          <w:rFonts w:ascii="Arial" w:hAnsi="Arial"/>
          <w:sz w:val="28"/>
          <w:szCs w:val="28"/>
          <w:rtl/>
        </w:rPr>
      </w:pPr>
    </w:p>
    <w:p w14:paraId="16277E53" w14:textId="77777777" w:rsidR="000444B2" w:rsidRPr="000444B2" w:rsidRDefault="000444B2" w:rsidP="000444B2">
      <w:pPr>
        <w:jc w:val="center"/>
        <w:rPr>
          <w:rFonts w:ascii="Arial" w:hAnsi="Arial"/>
          <w:b/>
          <w:bCs/>
          <w:sz w:val="28"/>
          <w:szCs w:val="28"/>
          <w:u w:val="single"/>
          <w:rtl/>
        </w:rPr>
      </w:pPr>
      <w:bookmarkStart w:id="6" w:name="PsakDin"/>
      <w:bookmarkEnd w:id="0"/>
      <w:r w:rsidRPr="000444B2">
        <w:rPr>
          <w:rFonts w:ascii="Arial" w:hAnsi="Arial"/>
          <w:b/>
          <w:bCs/>
          <w:sz w:val="28"/>
          <w:szCs w:val="28"/>
          <w:u w:val="single"/>
          <w:rtl/>
        </w:rPr>
        <w:t>גזר דין</w:t>
      </w:r>
    </w:p>
    <w:bookmarkEnd w:id="6"/>
    <w:p w14:paraId="0425F65F" w14:textId="77777777" w:rsidR="00450785" w:rsidRDefault="00450785" w:rsidP="00FB1245">
      <w:pPr>
        <w:rPr>
          <w:b/>
          <w:bCs/>
          <w:u w:val="single"/>
          <w:rtl/>
        </w:rPr>
      </w:pPr>
    </w:p>
    <w:p w14:paraId="3F69412D" w14:textId="77777777" w:rsidR="00450785" w:rsidRDefault="00450785" w:rsidP="00FB1245">
      <w:pPr>
        <w:spacing w:line="360" w:lineRule="auto"/>
        <w:ind w:firstLine="720"/>
        <w:jc w:val="both"/>
        <w:rPr>
          <w:rtl/>
        </w:rPr>
      </w:pPr>
      <w:r>
        <w:rPr>
          <w:rtl/>
        </w:rPr>
        <w:t>הנסיבות הצריכות לעניין הן בתמצית אלה</w:t>
      </w:r>
      <w:r>
        <w:t>:</w:t>
      </w:r>
    </w:p>
    <w:p w14:paraId="43F62AB2" w14:textId="77777777" w:rsidR="00450785" w:rsidRDefault="00450785" w:rsidP="00FB1245">
      <w:pPr>
        <w:spacing w:line="360" w:lineRule="auto"/>
        <w:ind w:firstLine="720"/>
        <w:jc w:val="both"/>
        <w:rPr>
          <w:rtl/>
        </w:rPr>
      </w:pPr>
    </w:p>
    <w:p w14:paraId="55D0D637" w14:textId="77777777" w:rsidR="00450785" w:rsidRDefault="00450785" w:rsidP="00FB1245">
      <w:pPr>
        <w:spacing w:line="360" w:lineRule="auto"/>
        <w:ind w:left="720" w:hanging="720"/>
        <w:jc w:val="both"/>
        <w:rPr>
          <w:rtl/>
        </w:rPr>
      </w:pPr>
      <w:r>
        <w:rPr>
          <w:rtl/>
        </w:rPr>
        <w:t xml:space="preserve">1.  </w:t>
      </w:r>
      <w:r>
        <w:rPr>
          <w:rtl/>
        </w:rPr>
        <w:tab/>
      </w:r>
      <w:bookmarkStart w:id="7" w:name="ABSTRACT_START"/>
      <w:bookmarkEnd w:id="7"/>
      <w:r>
        <w:rPr>
          <w:rtl/>
        </w:rPr>
        <w:t xml:space="preserve">הנאשם, יליד 25.11.1998, הורשע ביום 02.12.2020 על סמך הודאתו בעובדות כתב-האישום המתוקן, במסגרת הסדר אליו הגיעו הצדדים, </w:t>
      </w:r>
      <w:r>
        <w:t xml:space="preserve"> </w:t>
      </w:r>
      <w:r>
        <w:rPr>
          <w:rtl/>
        </w:rPr>
        <w:t xml:space="preserve">בעבירות בנשק (נשיאה והובלה), לפי </w:t>
      </w:r>
      <w:hyperlink r:id="rId15" w:history="1">
        <w:r w:rsidR="003B7052" w:rsidRPr="003B7052">
          <w:rPr>
            <w:rStyle w:val="Hyperlink"/>
            <w:rFonts w:cs="David"/>
            <w:rtl/>
          </w:rPr>
          <w:t>סעיף 144 (ב)</w:t>
        </w:r>
      </w:hyperlink>
      <w:r>
        <w:rPr>
          <w:rtl/>
        </w:rPr>
        <w:t xml:space="preserve"> רישא וסיפא ל</w:t>
      </w:r>
      <w:hyperlink r:id="rId16" w:history="1">
        <w:r w:rsidR="000444B2" w:rsidRPr="000444B2">
          <w:rPr>
            <w:color w:val="0000FF"/>
            <w:u w:val="single"/>
            <w:rtl/>
          </w:rPr>
          <w:t>חוק העונשין</w:t>
        </w:r>
      </w:hyperlink>
      <w:r>
        <w:rPr>
          <w:rtl/>
        </w:rPr>
        <w:t>, התשל"ז - 1977 (להלן: "</w:t>
      </w:r>
      <w:r>
        <w:rPr>
          <w:b/>
          <w:bCs/>
          <w:rtl/>
        </w:rPr>
        <w:t>חוק העונשין</w:t>
      </w:r>
      <w:r>
        <w:rPr>
          <w:rtl/>
        </w:rPr>
        <w:t xml:space="preserve">") וכן בעבירת הפרעה לשוטר, לפי </w:t>
      </w:r>
      <w:hyperlink r:id="rId17" w:history="1">
        <w:r w:rsidR="003B7052" w:rsidRPr="003B7052">
          <w:rPr>
            <w:rStyle w:val="Hyperlink"/>
            <w:rFonts w:cs="David"/>
            <w:rtl/>
          </w:rPr>
          <w:t>סעיף 275</w:t>
        </w:r>
      </w:hyperlink>
      <w:r>
        <w:rPr>
          <w:rtl/>
        </w:rPr>
        <w:t xml:space="preserve"> לחוק העונשין.</w:t>
      </w:r>
      <w:bookmarkStart w:id="8" w:name="ABSTRACT_END"/>
      <w:bookmarkEnd w:id="8"/>
    </w:p>
    <w:p w14:paraId="47B6D6DE" w14:textId="77777777" w:rsidR="00450785" w:rsidRDefault="00450785" w:rsidP="00FB1245">
      <w:pPr>
        <w:spacing w:line="360" w:lineRule="auto"/>
        <w:ind w:left="720" w:hanging="720"/>
        <w:jc w:val="both"/>
        <w:rPr>
          <w:rtl/>
        </w:rPr>
      </w:pPr>
    </w:p>
    <w:p w14:paraId="4C5DE926" w14:textId="77777777" w:rsidR="00450785" w:rsidRDefault="00450785" w:rsidP="00FB1245">
      <w:pPr>
        <w:spacing w:line="360" w:lineRule="auto"/>
        <w:ind w:left="720" w:hanging="720"/>
        <w:jc w:val="both"/>
        <w:rPr>
          <w:rtl/>
        </w:rPr>
      </w:pPr>
      <w:r>
        <w:rPr>
          <w:rtl/>
        </w:rPr>
        <w:lastRenderedPageBreak/>
        <w:t xml:space="preserve">2. </w:t>
      </w:r>
      <w:r>
        <w:rPr>
          <w:rtl/>
        </w:rPr>
        <w:tab/>
        <w:t>על-פי עובדות כתב האישום, בתאריך 08.06.2020 בסמוך לשעה 18:00 הגיעו שוטרים וביניהם: מיכאל זגורי, גאורגי רוסטומוב, דודו אביטן, ורובר זיאד (להלן: "השוטרים") לכפר ברטעה לפעילות משטרתית.</w:t>
      </w:r>
    </w:p>
    <w:p w14:paraId="49C6433A" w14:textId="77777777" w:rsidR="00450785" w:rsidRDefault="00450785" w:rsidP="00FB1245">
      <w:pPr>
        <w:spacing w:line="360" w:lineRule="auto"/>
        <w:ind w:left="720" w:hanging="720"/>
        <w:jc w:val="both"/>
        <w:rPr>
          <w:rtl/>
        </w:rPr>
      </w:pPr>
    </w:p>
    <w:p w14:paraId="560DDB8A" w14:textId="77777777" w:rsidR="00450785" w:rsidRDefault="00450785" w:rsidP="00FB1245">
      <w:pPr>
        <w:spacing w:line="360" w:lineRule="auto"/>
        <w:ind w:left="720" w:hanging="720"/>
        <w:jc w:val="both"/>
        <w:rPr>
          <w:rtl/>
        </w:rPr>
      </w:pPr>
      <w:r>
        <w:rPr>
          <w:rtl/>
        </w:rPr>
        <w:tab/>
        <w:t xml:space="preserve">בשלב מסוים, הבחינו השוטרים מיכאל זגורי וגאורגי רוסטומוב בנאשם על גג מחסן בקומה השנייה של המבנה בו הוא מתגורר, עת נושא הוא על גופו נשק דמוי רובה סער </w:t>
      </w:r>
      <w:r>
        <w:t>M-16</w:t>
      </w:r>
      <w:r>
        <w:rPr>
          <w:rtl/>
        </w:rPr>
        <w:t xml:space="preserve"> (להלן: " </w:t>
      </w:r>
      <w:r>
        <w:rPr>
          <w:b/>
          <w:bCs/>
          <w:rtl/>
        </w:rPr>
        <w:t>הנשק</w:t>
      </w:r>
      <w:r>
        <w:rPr>
          <w:rtl/>
        </w:rPr>
        <w:t>"), בלא רשות על-פי דין לנשיאתו או להובלתו.</w:t>
      </w:r>
    </w:p>
    <w:p w14:paraId="6CAC244F" w14:textId="77777777" w:rsidR="00450785" w:rsidRDefault="00450785" w:rsidP="00FB1245">
      <w:pPr>
        <w:spacing w:line="360" w:lineRule="auto"/>
        <w:ind w:left="720" w:hanging="720"/>
        <w:jc w:val="both"/>
        <w:rPr>
          <w:rtl/>
        </w:rPr>
      </w:pPr>
      <w:r>
        <w:rPr>
          <w:rtl/>
        </w:rPr>
        <w:tab/>
        <w:t>בנוסף, נשא הנאשם והוביל על גופו ובכיס מכנסיו תשעה כדורים בקוטר 9 מ"מ (להלן: "</w:t>
      </w:r>
      <w:r>
        <w:rPr>
          <w:b/>
          <w:bCs/>
          <w:rtl/>
        </w:rPr>
        <w:t>הכדורים</w:t>
      </w:r>
      <w:r>
        <w:rPr>
          <w:rtl/>
        </w:rPr>
        <w:t>"), ושתי מחסניות תואמות לנשק טעונות, האחת, ב-21 כדורים, והשנייה ב-22 כדורים (להלן: "</w:t>
      </w:r>
      <w:r>
        <w:rPr>
          <w:b/>
          <w:bCs/>
          <w:rtl/>
        </w:rPr>
        <w:t>המחסניות</w:t>
      </w:r>
      <w:r>
        <w:rPr>
          <w:rtl/>
        </w:rPr>
        <w:t>"), בלא רשות על-פי דין לנשיאתן או הובלתן.</w:t>
      </w:r>
    </w:p>
    <w:p w14:paraId="22F9C91C" w14:textId="77777777" w:rsidR="00450785" w:rsidRDefault="00450785" w:rsidP="00FB1245">
      <w:pPr>
        <w:spacing w:line="360" w:lineRule="auto"/>
        <w:ind w:left="720" w:hanging="720"/>
        <w:jc w:val="both"/>
        <w:rPr>
          <w:rtl/>
        </w:rPr>
      </w:pPr>
    </w:p>
    <w:p w14:paraId="63A50BEA" w14:textId="77777777" w:rsidR="00450785" w:rsidRDefault="00450785" w:rsidP="00FB1245">
      <w:pPr>
        <w:spacing w:line="360" w:lineRule="auto"/>
        <w:ind w:left="720" w:hanging="720"/>
        <w:jc w:val="both"/>
        <w:rPr>
          <w:rtl/>
        </w:rPr>
      </w:pPr>
      <w:r>
        <w:rPr>
          <w:rtl/>
        </w:rPr>
        <w:tab/>
        <w:t>השוטרים מיכאל זגורי וגאורגי רוסטומוב צעקו לעבר הנאשם שיעצור, אך הנאשם השליך את הנשק מגג המחסן, במקום שלא היה נגיש להגעה מידית של השוטרים, ומיד לאחר-מכן קפץ הנאשם מגג המחסן למקום אליו השליך את הנשק.</w:t>
      </w:r>
    </w:p>
    <w:p w14:paraId="4DC6FA8E" w14:textId="77777777" w:rsidR="00450785" w:rsidRDefault="00450785" w:rsidP="00FB1245">
      <w:pPr>
        <w:spacing w:line="360" w:lineRule="auto"/>
        <w:ind w:left="720" w:hanging="720"/>
        <w:jc w:val="both"/>
        <w:rPr>
          <w:rtl/>
        </w:rPr>
      </w:pPr>
    </w:p>
    <w:p w14:paraId="6586FEAA" w14:textId="77777777" w:rsidR="00450785" w:rsidRDefault="00450785" w:rsidP="00FB1245">
      <w:pPr>
        <w:spacing w:line="360" w:lineRule="auto"/>
        <w:ind w:left="720" w:hanging="720"/>
        <w:jc w:val="both"/>
        <w:rPr>
          <w:rtl/>
        </w:rPr>
      </w:pPr>
      <w:r>
        <w:rPr>
          <w:rtl/>
        </w:rPr>
        <w:tab/>
        <w:t>זמן קצר לאחר מכן, נעצר הנאשם על-ידי השוטר רובר זיאד, אשר הגיע למקום. בחיפוש שנערך על גופו של הנאשם, נמצאו ונתפסו הכדורים בכיס מכנסיו.</w:t>
      </w:r>
    </w:p>
    <w:p w14:paraId="06E49AE0" w14:textId="77777777" w:rsidR="00450785" w:rsidRDefault="00450785" w:rsidP="00FB1245">
      <w:pPr>
        <w:spacing w:line="360" w:lineRule="auto"/>
        <w:ind w:left="720" w:hanging="720"/>
        <w:jc w:val="both"/>
        <w:rPr>
          <w:rtl/>
        </w:rPr>
      </w:pPr>
    </w:p>
    <w:p w14:paraId="0B16320F" w14:textId="77777777" w:rsidR="00450785" w:rsidRDefault="00450785" w:rsidP="00FB1245">
      <w:pPr>
        <w:spacing w:line="360" w:lineRule="auto"/>
        <w:ind w:left="720" w:hanging="720"/>
        <w:jc w:val="both"/>
        <w:rPr>
          <w:rtl/>
        </w:rPr>
      </w:pPr>
      <w:r>
        <w:rPr>
          <w:rtl/>
        </w:rPr>
        <w:t>3.</w:t>
      </w:r>
      <w:r>
        <w:rPr>
          <w:rtl/>
        </w:rPr>
        <w:tab/>
        <w:t xml:space="preserve">כאמור כבר לעיל, הגיעו הצדדים להסדר דיוני, ולפיו הודה הנאשם בעובדות כתב-האישום המתוקן, ולא נקבע כל הסדר לעניין העונש. </w:t>
      </w:r>
    </w:p>
    <w:p w14:paraId="6D8B2324" w14:textId="77777777" w:rsidR="00450785" w:rsidRDefault="00450785" w:rsidP="00FB1245">
      <w:pPr>
        <w:spacing w:line="360" w:lineRule="auto"/>
        <w:ind w:left="720" w:hanging="720"/>
        <w:jc w:val="both"/>
        <w:rPr>
          <w:rtl/>
        </w:rPr>
      </w:pPr>
    </w:p>
    <w:p w14:paraId="0DD0170A" w14:textId="77777777" w:rsidR="00450785" w:rsidRDefault="00450785" w:rsidP="00FB1245">
      <w:pPr>
        <w:spacing w:line="360" w:lineRule="auto"/>
        <w:jc w:val="both"/>
        <w:rPr>
          <w:rtl/>
        </w:rPr>
      </w:pPr>
      <w:r>
        <w:rPr>
          <w:rtl/>
        </w:rPr>
        <w:t>4.</w:t>
      </w:r>
      <w:r>
        <w:rPr>
          <w:rtl/>
        </w:rPr>
        <w:tab/>
        <w:t>ביום 08.12.2020 נשמעו טיעוני הצדדים לעונש.</w:t>
      </w:r>
    </w:p>
    <w:p w14:paraId="031090F6" w14:textId="77777777" w:rsidR="00450785" w:rsidRDefault="00450785" w:rsidP="00FB1245">
      <w:pPr>
        <w:spacing w:line="360" w:lineRule="auto"/>
        <w:jc w:val="both"/>
        <w:rPr>
          <w:rtl/>
        </w:rPr>
      </w:pPr>
    </w:p>
    <w:p w14:paraId="2D95D4EE" w14:textId="77777777" w:rsidR="00450785" w:rsidRDefault="00450785" w:rsidP="00FB1245">
      <w:pPr>
        <w:spacing w:line="360" w:lineRule="auto"/>
        <w:ind w:left="720"/>
        <w:jc w:val="both"/>
        <w:rPr>
          <w:rtl/>
        </w:rPr>
      </w:pPr>
      <w:r>
        <w:rPr>
          <w:rtl/>
        </w:rPr>
        <w:t>ב"כ המאשימה הגיש פלט רישום פלילי של הנאשם, תמצית פסיקה קצרה רלבנטית, וכן אסופת פסקי-דין, בהם מתוארים, לטענתו, מקרים דומים.</w:t>
      </w:r>
    </w:p>
    <w:p w14:paraId="681684B4" w14:textId="77777777" w:rsidR="00450785" w:rsidRDefault="00450785" w:rsidP="00FB1245">
      <w:pPr>
        <w:spacing w:line="360" w:lineRule="auto"/>
        <w:ind w:left="720"/>
        <w:jc w:val="both"/>
        <w:rPr>
          <w:rtl/>
        </w:rPr>
      </w:pPr>
    </w:p>
    <w:p w14:paraId="42EDE0DB" w14:textId="77777777" w:rsidR="00450785" w:rsidRDefault="00450785" w:rsidP="00FB1245">
      <w:pPr>
        <w:spacing w:line="360" w:lineRule="auto"/>
        <w:ind w:left="720"/>
        <w:jc w:val="both"/>
        <w:rPr>
          <w:rtl/>
        </w:rPr>
      </w:pPr>
      <w:r>
        <w:rPr>
          <w:rtl/>
        </w:rPr>
        <w:t>ב"כ המאשימה הדגיש, כי הנאשם הורשע על-פי הודאתו בכתב-אישום מתוקן בעבירות של נשיאה והובלה של נשק, וכן בהפרעה לשוטר במילוי תפקידו, אשר מצא ביטוי בהשלכת נשק למקום שאינו נגיש לשוטרים, וקפיצה לאותו מקום.</w:t>
      </w:r>
    </w:p>
    <w:p w14:paraId="3AD807E0" w14:textId="77777777" w:rsidR="00450785" w:rsidRDefault="00450785" w:rsidP="00FB1245">
      <w:pPr>
        <w:spacing w:line="360" w:lineRule="auto"/>
        <w:ind w:left="720"/>
        <w:jc w:val="both"/>
        <w:rPr>
          <w:rtl/>
        </w:rPr>
      </w:pPr>
    </w:p>
    <w:p w14:paraId="0CB2FFCF" w14:textId="77777777" w:rsidR="00450785" w:rsidRDefault="00450785" w:rsidP="00FB1245">
      <w:pPr>
        <w:spacing w:line="360" w:lineRule="auto"/>
        <w:ind w:left="720"/>
        <w:jc w:val="both"/>
        <w:rPr>
          <w:rtl/>
        </w:rPr>
      </w:pPr>
      <w:r>
        <w:rPr>
          <w:rtl/>
        </w:rPr>
        <w:t>לטענת ב"כ המאשימה, הערכים המוגנים שנפגעו ממעשיו של הנאשם הם בטחון הציבור והשמירה על החוק והסדר הציבורי.</w:t>
      </w:r>
    </w:p>
    <w:p w14:paraId="4A0C5D19" w14:textId="77777777" w:rsidR="00450785" w:rsidRDefault="00450785" w:rsidP="00FB1245">
      <w:pPr>
        <w:spacing w:line="360" w:lineRule="auto"/>
        <w:ind w:left="720"/>
        <w:jc w:val="both"/>
        <w:rPr>
          <w:rtl/>
        </w:rPr>
      </w:pPr>
    </w:p>
    <w:p w14:paraId="575C6B10" w14:textId="77777777" w:rsidR="00450785" w:rsidRDefault="00450785" w:rsidP="00FB1245">
      <w:pPr>
        <w:spacing w:line="360" w:lineRule="auto"/>
        <w:ind w:left="720"/>
        <w:jc w:val="both"/>
        <w:rPr>
          <w:rtl/>
        </w:rPr>
      </w:pPr>
      <w:r>
        <w:rPr>
          <w:rtl/>
        </w:rPr>
        <w:t>עוד נטען, כי בענייננו מדובר בנשיאת נשק שכוונה למלט את הנשק, אשר מהווה נסיבה מחמירה. מאידך, כך נטען, כתב-האישום אינו מייחס נשיאה ממושכת או למטרה ספציפית קונקרטית.</w:t>
      </w:r>
    </w:p>
    <w:p w14:paraId="0F841CA2" w14:textId="77777777" w:rsidR="00450785" w:rsidRDefault="00450785" w:rsidP="00FB1245">
      <w:pPr>
        <w:spacing w:line="360" w:lineRule="auto"/>
        <w:ind w:left="720"/>
        <w:jc w:val="both"/>
      </w:pPr>
    </w:p>
    <w:p w14:paraId="5A4B21D5" w14:textId="77777777" w:rsidR="00450785" w:rsidRDefault="00450785" w:rsidP="00FB1245">
      <w:pPr>
        <w:spacing w:line="360" w:lineRule="auto"/>
        <w:ind w:left="720"/>
        <w:jc w:val="both"/>
        <w:rPr>
          <w:rtl/>
        </w:rPr>
      </w:pPr>
      <w:r>
        <w:rPr>
          <w:rtl/>
        </w:rPr>
        <w:lastRenderedPageBreak/>
        <w:t>עוד נטען, כי על מתחם הענישה ההולם, בהתאם להנחיית פרקליט המדינה 9.16, לנוע בין שנתיים וחצי לבין חמש שנות מאסר, על-פי סוג הנשק, ובענייננו מדובר בנשק ארוך.</w:t>
      </w:r>
    </w:p>
    <w:p w14:paraId="0F5DBDF3" w14:textId="77777777" w:rsidR="00450785" w:rsidRDefault="00450785" w:rsidP="00FB1245">
      <w:pPr>
        <w:spacing w:line="360" w:lineRule="auto"/>
        <w:ind w:left="720"/>
        <w:jc w:val="both"/>
        <w:rPr>
          <w:rtl/>
        </w:rPr>
      </w:pPr>
      <w:r>
        <w:rPr>
          <w:rtl/>
        </w:rPr>
        <w:t>עוד ובנוסף נטען, כי הנאשם, צעיר, יליד שנת  1998, אשר לחובתו הרשעה אחת בעבירת אלימות משנת 2018, בגינה ריצה 6 חודשי מאסר בעבודות שירות. מאידך, כך נטען, לזכותו של הנאשם עומדת הודאתו בכתב-האישום המתוקן.</w:t>
      </w:r>
    </w:p>
    <w:p w14:paraId="1A4CD764" w14:textId="77777777" w:rsidR="00450785" w:rsidRDefault="00450785" w:rsidP="00FB1245">
      <w:pPr>
        <w:spacing w:line="360" w:lineRule="auto"/>
        <w:ind w:left="720"/>
        <w:jc w:val="both"/>
        <w:rPr>
          <w:rtl/>
        </w:rPr>
      </w:pPr>
    </w:p>
    <w:p w14:paraId="10EFCF14" w14:textId="77777777" w:rsidR="00450785" w:rsidRDefault="00450785" w:rsidP="00FB1245">
      <w:pPr>
        <w:spacing w:line="360" w:lineRule="auto"/>
        <w:ind w:left="720"/>
        <w:jc w:val="both"/>
        <w:rPr>
          <w:rtl/>
        </w:rPr>
      </w:pPr>
      <w:r>
        <w:rPr>
          <w:rtl/>
        </w:rPr>
        <w:t>אליבא דב"כ המאשימה, הואיל ולא התבקש תסקיר בעניינו של הנאשם, יש להשית על הנאשם ענישה שתהיה בתחום האמצעי של המתחם הנטען, וכמו-כן עתר ב"כ המאשימה להשית על הנאשם גם עונשים נלווים.</w:t>
      </w:r>
    </w:p>
    <w:p w14:paraId="5AE7EB23" w14:textId="77777777" w:rsidR="00450785" w:rsidRDefault="00450785" w:rsidP="00FB1245">
      <w:pPr>
        <w:spacing w:line="360" w:lineRule="auto"/>
        <w:ind w:left="720"/>
        <w:jc w:val="both"/>
        <w:rPr>
          <w:rtl/>
        </w:rPr>
      </w:pPr>
    </w:p>
    <w:p w14:paraId="0E347263" w14:textId="77777777" w:rsidR="00450785" w:rsidRDefault="00450785" w:rsidP="00FB1245">
      <w:pPr>
        <w:spacing w:line="360" w:lineRule="auto"/>
        <w:ind w:left="720"/>
        <w:jc w:val="both"/>
        <w:rPr>
          <w:rtl/>
        </w:rPr>
      </w:pPr>
      <w:r>
        <w:rPr>
          <w:rtl/>
        </w:rPr>
        <w:t>ב"כ המאשימה הפנה ל-</w:t>
      </w:r>
      <w:hyperlink r:id="rId18" w:history="1">
        <w:r w:rsidR="000444B2" w:rsidRPr="000444B2">
          <w:rPr>
            <w:color w:val="0000FF"/>
            <w:u w:val="single"/>
            <w:rtl/>
          </w:rPr>
          <w:t>ע"פ 4435/11</w:t>
        </w:r>
      </w:hyperlink>
      <w:r>
        <w:rPr>
          <w:rtl/>
        </w:rPr>
        <w:t xml:space="preserve"> </w:t>
      </w:r>
      <w:r>
        <w:rPr>
          <w:b/>
          <w:bCs/>
          <w:rtl/>
        </w:rPr>
        <w:t>מחמוד מרזוק נ' מדינת ישראל</w:t>
      </w:r>
      <w:r>
        <w:rPr>
          <w:rtl/>
        </w:rPr>
        <w:t xml:space="preserve"> (01.07.2012) (להלן: "</w:t>
      </w:r>
      <w:r>
        <w:rPr>
          <w:b/>
          <w:bCs/>
          <w:rtl/>
        </w:rPr>
        <w:t>עניין מרזוק</w:t>
      </w:r>
      <w:r>
        <w:rPr>
          <w:rtl/>
        </w:rPr>
        <w:t>"), שם הורשע המערער, לאחר ניהול הליך הוכחות בעבירות של החזקה ונשיאת נשק (אקדח), הפרעה לשוטר, וכן תקיפת שוטר בנסיבות מחמירות, ונגזרו עליו 48 חודשי מאסר בפועל. בית המשפט העליון דחה את ערעורו.</w:t>
      </w:r>
    </w:p>
    <w:p w14:paraId="0D14FD2F" w14:textId="77777777" w:rsidR="00450785" w:rsidRDefault="00450785" w:rsidP="00FB1245">
      <w:pPr>
        <w:spacing w:line="360" w:lineRule="auto"/>
        <w:ind w:left="720"/>
        <w:jc w:val="both"/>
        <w:rPr>
          <w:rtl/>
        </w:rPr>
      </w:pPr>
    </w:p>
    <w:p w14:paraId="7941B6E8" w14:textId="77777777" w:rsidR="00450785" w:rsidRDefault="00450785" w:rsidP="00FB1245">
      <w:pPr>
        <w:spacing w:line="360" w:lineRule="auto"/>
        <w:ind w:left="720"/>
        <w:jc w:val="both"/>
        <w:rPr>
          <w:rtl/>
        </w:rPr>
      </w:pPr>
      <w:r>
        <w:rPr>
          <w:rtl/>
        </w:rPr>
        <w:t>ב-</w:t>
      </w:r>
      <w:hyperlink r:id="rId19" w:history="1">
        <w:r w:rsidR="000444B2" w:rsidRPr="000444B2">
          <w:rPr>
            <w:color w:val="0000FF"/>
            <w:u w:val="single"/>
            <w:rtl/>
          </w:rPr>
          <w:t>ע"פ 3877/16</w:t>
        </w:r>
      </w:hyperlink>
      <w:r>
        <w:rPr>
          <w:rtl/>
        </w:rPr>
        <w:t xml:space="preserve"> </w:t>
      </w:r>
      <w:r>
        <w:rPr>
          <w:b/>
          <w:bCs/>
          <w:rtl/>
        </w:rPr>
        <w:t>פאדי ג'באלי נ' מדינת ישראל</w:t>
      </w:r>
      <w:r>
        <w:rPr>
          <w:rtl/>
        </w:rPr>
        <w:t xml:space="preserve"> (17.11.2016) (להלן: "</w:t>
      </w:r>
      <w:r>
        <w:rPr>
          <w:b/>
          <w:bCs/>
          <w:rtl/>
        </w:rPr>
        <w:t>עניין ג'אבלי</w:t>
      </w:r>
      <w:r>
        <w:rPr>
          <w:rtl/>
        </w:rPr>
        <w:t>"), דחה בית המשפט העליון את ערעורו של המערער, בעל עבר פלילי, אשר הורשע בעבירה של נשיאת אקדח, מחסנית וכדורים, ונגזרו עליו 34 חודשי מאסר בפועל, עת מתחם הענישה נקבע בין 24-48 חודשי מאסר בפועל.</w:t>
      </w:r>
    </w:p>
    <w:p w14:paraId="6912E361" w14:textId="77777777" w:rsidR="00450785" w:rsidRDefault="00450785" w:rsidP="00FB1245">
      <w:pPr>
        <w:spacing w:line="360" w:lineRule="auto"/>
        <w:ind w:left="720"/>
        <w:jc w:val="both"/>
        <w:rPr>
          <w:rtl/>
        </w:rPr>
      </w:pPr>
    </w:p>
    <w:p w14:paraId="14A9FF3F" w14:textId="77777777" w:rsidR="00450785" w:rsidRDefault="00450785" w:rsidP="00FB1245">
      <w:pPr>
        <w:spacing w:line="360" w:lineRule="auto"/>
        <w:ind w:left="720"/>
        <w:jc w:val="both"/>
        <w:rPr>
          <w:rtl/>
        </w:rPr>
      </w:pPr>
      <w:r>
        <w:rPr>
          <w:rtl/>
        </w:rPr>
        <w:t>ב-</w:t>
      </w:r>
      <w:hyperlink r:id="rId20" w:history="1">
        <w:r w:rsidR="000444B2" w:rsidRPr="000444B2">
          <w:rPr>
            <w:color w:val="0000FF"/>
            <w:u w:val="single"/>
            <w:rtl/>
          </w:rPr>
          <w:t>ע"פ 135/17</w:t>
        </w:r>
      </w:hyperlink>
      <w:r>
        <w:rPr>
          <w:rtl/>
        </w:rPr>
        <w:t xml:space="preserve"> </w:t>
      </w:r>
      <w:r>
        <w:rPr>
          <w:b/>
          <w:bCs/>
          <w:rtl/>
        </w:rPr>
        <w:t>מדינת ישראל נ' סמיר בסל</w:t>
      </w:r>
      <w:r>
        <w:rPr>
          <w:rtl/>
        </w:rPr>
        <w:t xml:space="preserve"> (08.03.2017) (להלן: "</w:t>
      </w:r>
      <w:r>
        <w:rPr>
          <w:b/>
          <w:bCs/>
          <w:rtl/>
        </w:rPr>
        <w:t>עניין בסל</w:t>
      </w:r>
      <w:r>
        <w:rPr>
          <w:rtl/>
        </w:rPr>
        <w:t>") קיבל בית המשפט העליון את ערעורה של המדינה על קולת העונש שהושת על המשיב, צעיר בן 20, בגין הרשעתו בעבירה של החזקת ונשיאת נשק. בית המשפט העליון קבע, שעונשו של המשיב יעמוד על 18 חודשי מאסר בפועל חלף 12 חודשי המאסר שנגזרו עליו בבית המשפט המחוזי.</w:t>
      </w:r>
    </w:p>
    <w:p w14:paraId="58B1C2CA" w14:textId="77777777" w:rsidR="00450785" w:rsidRDefault="00450785" w:rsidP="00FB1245">
      <w:pPr>
        <w:spacing w:line="360" w:lineRule="auto"/>
        <w:ind w:left="720"/>
        <w:jc w:val="both"/>
        <w:rPr>
          <w:rtl/>
        </w:rPr>
      </w:pPr>
    </w:p>
    <w:p w14:paraId="368AB459" w14:textId="77777777" w:rsidR="00450785" w:rsidRDefault="00450785" w:rsidP="00FB1245">
      <w:pPr>
        <w:spacing w:line="360" w:lineRule="auto"/>
        <w:ind w:left="720"/>
        <w:jc w:val="both"/>
        <w:rPr>
          <w:rtl/>
        </w:rPr>
      </w:pPr>
      <w:r>
        <w:rPr>
          <w:rtl/>
        </w:rPr>
        <w:t>ב-</w:t>
      </w:r>
      <w:hyperlink r:id="rId21" w:history="1">
        <w:r w:rsidR="000444B2" w:rsidRPr="000444B2">
          <w:rPr>
            <w:color w:val="0000FF"/>
            <w:u w:val="single"/>
            <w:rtl/>
          </w:rPr>
          <w:t>ע"פ 2564/19</w:t>
        </w:r>
      </w:hyperlink>
      <w:r>
        <w:rPr>
          <w:rtl/>
        </w:rPr>
        <w:t xml:space="preserve"> </w:t>
      </w:r>
      <w:r>
        <w:rPr>
          <w:b/>
          <w:bCs/>
          <w:rtl/>
        </w:rPr>
        <w:t>איברהים אזברגה נ' מדינת ישראל</w:t>
      </w:r>
      <w:r>
        <w:rPr>
          <w:rtl/>
        </w:rPr>
        <w:t xml:space="preserve"> (18.07.2019) (להלן: "</w:t>
      </w:r>
      <w:r>
        <w:rPr>
          <w:b/>
          <w:bCs/>
          <w:rtl/>
        </w:rPr>
        <w:t>עניין אזברגה</w:t>
      </w:r>
      <w:r>
        <w:rPr>
          <w:rtl/>
        </w:rPr>
        <w:t>"), דחה בית המשפט העליון את ערעורו של מערער, אשר הורשע בנשיאת נשק, ונגזרו עליו 16 חודשי מאסר בפועל וכן ענישה נלווית, עת מתחם הענישה נקבע בין 12-40 חודשי מאסר בפועל.</w:t>
      </w:r>
    </w:p>
    <w:p w14:paraId="02358291" w14:textId="77777777" w:rsidR="00450785" w:rsidRDefault="00450785" w:rsidP="00FB1245">
      <w:pPr>
        <w:spacing w:line="360" w:lineRule="auto"/>
        <w:ind w:left="720"/>
        <w:jc w:val="both"/>
        <w:rPr>
          <w:rtl/>
        </w:rPr>
      </w:pPr>
    </w:p>
    <w:p w14:paraId="59DEAC0C" w14:textId="77777777" w:rsidR="00450785" w:rsidRDefault="00450785" w:rsidP="00FB1245">
      <w:pPr>
        <w:spacing w:line="360" w:lineRule="auto"/>
        <w:ind w:left="720" w:hanging="720"/>
        <w:jc w:val="both"/>
        <w:rPr>
          <w:rtl/>
        </w:rPr>
      </w:pPr>
      <w:r>
        <w:rPr>
          <w:rtl/>
        </w:rPr>
        <w:t>5.</w:t>
      </w:r>
      <w:r>
        <w:rPr>
          <w:rtl/>
        </w:rPr>
        <w:tab/>
        <w:t>מנגד, טען ב"כ הנאשם, שאף הוא הגיש אסופת פסקי-דין ותקציר פסיקה, כי יש להתחשב בנאשם ולהטיל עליו תקופת מאסר קצרה בלבד, הואיל והנאשם בן 22, ולפיכך נמנה על קבוצת ה"בגירים הצעירים" בהתאם להלכה שנקבעה ב-</w:t>
      </w:r>
      <w:hyperlink r:id="rId22" w:history="1">
        <w:r w:rsidR="000444B2" w:rsidRPr="000444B2">
          <w:rPr>
            <w:color w:val="0000FF"/>
            <w:u w:val="single"/>
            <w:rtl/>
          </w:rPr>
          <w:t>ע"פ 7781/12</w:t>
        </w:r>
      </w:hyperlink>
      <w:r>
        <w:rPr>
          <w:rtl/>
        </w:rPr>
        <w:t xml:space="preserve"> </w:t>
      </w:r>
      <w:r>
        <w:rPr>
          <w:b/>
          <w:bCs/>
          <w:rtl/>
        </w:rPr>
        <w:t xml:space="preserve">פלוני נ' מדינת ישראל </w:t>
      </w:r>
      <w:r>
        <w:rPr>
          <w:rtl/>
        </w:rPr>
        <w:t>(25.06.2013) (להלן: "</w:t>
      </w:r>
      <w:r>
        <w:rPr>
          <w:b/>
          <w:bCs/>
          <w:rtl/>
        </w:rPr>
        <w:t>עניין פלוני</w:t>
      </w:r>
      <w:r>
        <w:rPr>
          <w:rtl/>
        </w:rPr>
        <w:t>").</w:t>
      </w:r>
    </w:p>
    <w:p w14:paraId="4E7B2B1E" w14:textId="77777777" w:rsidR="00450785" w:rsidRDefault="00450785" w:rsidP="00FB1245">
      <w:pPr>
        <w:spacing w:line="360" w:lineRule="auto"/>
        <w:ind w:left="720"/>
        <w:jc w:val="both"/>
        <w:rPr>
          <w:rtl/>
        </w:rPr>
      </w:pPr>
      <w:r>
        <w:rPr>
          <w:rtl/>
        </w:rPr>
        <w:t xml:space="preserve">עוד נטען, כי משפחתו של הנאשם מונה שש נפשות, וכי הנאשם הודה בפתח משפטו בעובדות כתב-האישום. הודאתו של הנאשם, כך נטען, לא רק חסכה בזמן שיפוטי ובזמנם של העדים, אלא אף ממחישה, כי הנאשם לקח אחריות על מעשיו, ומתחרט על ביצוע העבירות. </w:t>
      </w:r>
    </w:p>
    <w:p w14:paraId="6631F7CF" w14:textId="77777777" w:rsidR="00450785" w:rsidRDefault="00450785" w:rsidP="00FB1245">
      <w:pPr>
        <w:spacing w:line="360" w:lineRule="auto"/>
        <w:ind w:left="720"/>
        <w:jc w:val="both"/>
        <w:rPr>
          <w:rtl/>
        </w:rPr>
      </w:pPr>
      <w:r>
        <w:rPr>
          <w:rtl/>
        </w:rPr>
        <w:t>עוד ובנוסף נטען, כי עבירת נשיאת הנשק המיוחסת לנאשם היא נשיאה לפרק-זמן קצר, כפי שאף הודה, בהגינותו, ב"כ המאשימה.</w:t>
      </w:r>
    </w:p>
    <w:p w14:paraId="25FCBF34" w14:textId="77777777" w:rsidR="00450785" w:rsidRDefault="00450785" w:rsidP="00FB1245">
      <w:pPr>
        <w:spacing w:line="360" w:lineRule="auto"/>
        <w:ind w:left="720"/>
        <w:jc w:val="both"/>
        <w:rPr>
          <w:rtl/>
        </w:rPr>
      </w:pPr>
    </w:p>
    <w:p w14:paraId="6C400328" w14:textId="77777777" w:rsidR="00450785" w:rsidRDefault="00450785" w:rsidP="00FB1245">
      <w:pPr>
        <w:spacing w:line="360" w:lineRule="auto"/>
        <w:ind w:left="720"/>
        <w:jc w:val="both"/>
        <w:rPr>
          <w:rtl/>
        </w:rPr>
      </w:pPr>
      <w:r>
        <w:rPr>
          <w:rtl/>
        </w:rPr>
        <w:t xml:space="preserve">לטענת ב"כ הנאשם, הנסיבות בענייננו מצדיקות הקלה בעונש, גם מן הסיבה, שמדובר בתת-מקלע מאולתר דמוי רובה </w:t>
      </w:r>
      <w:r>
        <w:t>M-16</w:t>
      </w:r>
      <w:r>
        <w:rPr>
          <w:rtl/>
        </w:rPr>
        <w:t xml:space="preserve">, כפי שצוין בכתב-האישום המתוקן, ולא בנשק תקני. פוטנציאל הנזק של כלי-נשק זה, כך אליבא דב"כ הנאשם, נמוך יותר מפוטנציאל הנזק של נשק תקני. </w:t>
      </w:r>
    </w:p>
    <w:p w14:paraId="6EC60A7E" w14:textId="77777777" w:rsidR="00450785" w:rsidRDefault="00450785" w:rsidP="00FB1245">
      <w:pPr>
        <w:spacing w:line="360" w:lineRule="auto"/>
        <w:ind w:left="720"/>
        <w:jc w:val="both"/>
        <w:rPr>
          <w:rtl/>
        </w:rPr>
      </w:pPr>
    </w:p>
    <w:p w14:paraId="3E8D7271" w14:textId="77777777" w:rsidR="00450785" w:rsidRDefault="00450785" w:rsidP="00FB1245">
      <w:pPr>
        <w:spacing w:line="360" w:lineRule="auto"/>
        <w:ind w:left="720"/>
        <w:jc w:val="both"/>
        <w:rPr>
          <w:rtl/>
        </w:rPr>
      </w:pPr>
      <w:r>
        <w:rPr>
          <w:rtl/>
        </w:rPr>
        <w:t>נטען, כי בענייננו מדובר בנשיאה קצרה בזמן וגם במרחק, וכי עבירת ההחזקה והנשיאה המיוחסים לנאשם, נכונים למועד המצוין בכתב-האישום המתוקן, שעה שלא נטען, שהנאשם החזיק בנשק במועד אחר.</w:t>
      </w:r>
    </w:p>
    <w:p w14:paraId="536C3DD4" w14:textId="77777777" w:rsidR="00450785" w:rsidRDefault="00450785" w:rsidP="00FB1245">
      <w:pPr>
        <w:spacing w:line="360" w:lineRule="auto"/>
        <w:ind w:left="720"/>
        <w:jc w:val="both"/>
        <w:rPr>
          <w:rtl/>
        </w:rPr>
      </w:pPr>
    </w:p>
    <w:p w14:paraId="7A8CD39D" w14:textId="77777777" w:rsidR="00450785" w:rsidRDefault="00450785" w:rsidP="00FB1245">
      <w:pPr>
        <w:spacing w:line="360" w:lineRule="auto"/>
        <w:ind w:left="720"/>
        <w:jc w:val="both"/>
        <w:rPr>
          <w:rtl/>
        </w:rPr>
      </w:pPr>
      <w:r>
        <w:rPr>
          <w:rtl/>
        </w:rPr>
        <w:t>ב"כ הנאשם הפנה ל-</w:t>
      </w:r>
      <w:hyperlink r:id="rId23" w:history="1">
        <w:r w:rsidR="000444B2" w:rsidRPr="000444B2">
          <w:rPr>
            <w:color w:val="0000FF"/>
            <w:u w:val="single"/>
            <w:rtl/>
          </w:rPr>
          <w:t>ת"פ 41276-06-17</w:t>
        </w:r>
      </w:hyperlink>
      <w:r>
        <w:rPr>
          <w:rtl/>
        </w:rPr>
        <w:t xml:space="preserve"> </w:t>
      </w:r>
      <w:r>
        <w:rPr>
          <w:b/>
          <w:bCs/>
          <w:rtl/>
        </w:rPr>
        <w:t>מדינת ישראל נ'  ודיע ג'בארין</w:t>
      </w:r>
      <w:r>
        <w:rPr>
          <w:rtl/>
        </w:rPr>
        <w:t xml:space="preserve"> (17.07.2018), שם דובר בעבירת נשיאה והובלה של נשק לפרק זמן קצר, ונקבע, כי מדובר כנסיבה מקלה. בית המשפט הטיל על הנאשמים 6 חודשי מאסר לריצוי בעבודות שירות. </w:t>
      </w:r>
    </w:p>
    <w:p w14:paraId="079F39EE" w14:textId="77777777" w:rsidR="00450785" w:rsidRDefault="00450785" w:rsidP="00FB1245">
      <w:pPr>
        <w:spacing w:line="360" w:lineRule="auto"/>
        <w:ind w:left="720"/>
        <w:jc w:val="both"/>
        <w:rPr>
          <w:rtl/>
        </w:rPr>
      </w:pPr>
    </w:p>
    <w:p w14:paraId="027E17BC" w14:textId="77777777" w:rsidR="00450785" w:rsidRDefault="00450785" w:rsidP="00FB1245">
      <w:pPr>
        <w:spacing w:line="360" w:lineRule="auto"/>
        <w:ind w:left="720"/>
        <w:jc w:val="both"/>
        <w:rPr>
          <w:rtl/>
        </w:rPr>
      </w:pPr>
      <w:r>
        <w:rPr>
          <w:rtl/>
        </w:rPr>
        <w:t>ב-</w:t>
      </w:r>
      <w:hyperlink r:id="rId24" w:history="1">
        <w:r w:rsidR="000444B2" w:rsidRPr="000444B2">
          <w:rPr>
            <w:color w:val="0000FF"/>
            <w:u w:val="single"/>
            <w:rtl/>
          </w:rPr>
          <w:t>ת"פ 63018-05-18</w:t>
        </w:r>
      </w:hyperlink>
      <w:r>
        <w:rPr>
          <w:rtl/>
        </w:rPr>
        <w:t xml:space="preserve"> </w:t>
      </w:r>
      <w:r>
        <w:rPr>
          <w:b/>
          <w:bCs/>
          <w:rtl/>
        </w:rPr>
        <w:t>מדינת ישראל נ' אחמד מחאמיד</w:t>
      </w:r>
      <w:r>
        <w:rPr>
          <w:rtl/>
        </w:rPr>
        <w:t xml:space="preserve"> (24.10.2019), דובר בנשיאה והובלה של שני נשקים מסוג </w:t>
      </w:r>
      <w:r>
        <w:t>M-16</w:t>
      </w:r>
      <w:r>
        <w:rPr>
          <w:rtl/>
        </w:rPr>
        <w:t xml:space="preserve"> תקניים, בית המשפט, נתן דעתו לכך, שנשיאת הנשק כפי שעלתה מעובדות כתב-האישום היא נשיאה רגעית, וגזרה 9 חודשי מאסר בפועל, לריצוי בעבודות שירות. </w:t>
      </w:r>
    </w:p>
    <w:p w14:paraId="3A614A95" w14:textId="77777777" w:rsidR="00450785" w:rsidRDefault="00450785" w:rsidP="00FB1245">
      <w:pPr>
        <w:spacing w:line="360" w:lineRule="auto"/>
        <w:ind w:left="720"/>
        <w:jc w:val="both"/>
        <w:rPr>
          <w:rtl/>
        </w:rPr>
      </w:pPr>
    </w:p>
    <w:p w14:paraId="41771451" w14:textId="77777777" w:rsidR="00450785" w:rsidRDefault="00450785" w:rsidP="00FB1245">
      <w:pPr>
        <w:spacing w:line="360" w:lineRule="auto"/>
        <w:ind w:left="720"/>
        <w:jc w:val="both"/>
        <w:rPr>
          <w:rtl/>
        </w:rPr>
      </w:pPr>
      <w:r>
        <w:rPr>
          <w:rtl/>
        </w:rPr>
        <w:t>ב-</w:t>
      </w:r>
      <w:hyperlink r:id="rId25" w:history="1">
        <w:r w:rsidR="000444B2" w:rsidRPr="000444B2">
          <w:rPr>
            <w:color w:val="0000FF"/>
            <w:u w:val="single"/>
            <w:rtl/>
          </w:rPr>
          <w:t>ע"פ 5004/17</w:t>
        </w:r>
      </w:hyperlink>
      <w:r>
        <w:rPr>
          <w:rtl/>
        </w:rPr>
        <w:t xml:space="preserve"> </w:t>
      </w:r>
      <w:r>
        <w:rPr>
          <w:b/>
          <w:bCs/>
          <w:rtl/>
        </w:rPr>
        <w:t>מדינת ישראל נ' ענאן אלעטאונה</w:t>
      </w:r>
      <w:r>
        <w:rPr>
          <w:rtl/>
        </w:rPr>
        <w:t xml:space="preserve"> (20.11.2017), מדובר בנאשם שהחזיק רובה מסוג </w:t>
      </w:r>
      <w:r>
        <w:t>M-16</w:t>
      </w:r>
      <w:r>
        <w:rPr>
          <w:rtl/>
        </w:rPr>
        <w:t xml:space="preserve"> ושני אקדחים, בית המשפט העליון קיבל את ערעורה של המדינה על קולת העונש, וגזר על המשיב 12 חודשי מאסר בפועל, חלף 6 חודשי המאסר לריצוי בעבודות שירות שנגזרו על המשיב על-ידי בית המשפט המחוזי.</w:t>
      </w:r>
    </w:p>
    <w:p w14:paraId="10533E45" w14:textId="77777777" w:rsidR="00450785" w:rsidRDefault="00450785" w:rsidP="00FB1245">
      <w:pPr>
        <w:spacing w:line="360" w:lineRule="auto"/>
        <w:ind w:left="720"/>
        <w:jc w:val="both"/>
        <w:rPr>
          <w:rtl/>
        </w:rPr>
      </w:pPr>
    </w:p>
    <w:p w14:paraId="6488A48C" w14:textId="77777777" w:rsidR="00450785" w:rsidRDefault="00450785" w:rsidP="00FB1245">
      <w:pPr>
        <w:spacing w:line="360" w:lineRule="auto"/>
        <w:ind w:left="720"/>
        <w:jc w:val="both"/>
        <w:rPr>
          <w:rtl/>
        </w:rPr>
      </w:pPr>
      <w:r>
        <w:rPr>
          <w:rtl/>
        </w:rPr>
        <w:t>ב-</w:t>
      </w:r>
      <w:hyperlink r:id="rId26" w:history="1">
        <w:r w:rsidR="000444B2" w:rsidRPr="000444B2">
          <w:rPr>
            <w:color w:val="0000FF"/>
            <w:u w:val="single"/>
            <w:rtl/>
          </w:rPr>
          <w:t>ע"פ 4978/19</w:t>
        </w:r>
      </w:hyperlink>
      <w:r>
        <w:rPr>
          <w:rtl/>
        </w:rPr>
        <w:t xml:space="preserve"> </w:t>
      </w:r>
      <w:r>
        <w:rPr>
          <w:b/>
          <w:bCs/>
          <w:rtl/>
        </w:rPr>
        <w:t>אבו מנסור נ' מדינת ישראל</w:t>
      </w:r>
      <w:r>
        <w:rPr>
          <w:rtl/>
        </w:rPr>
        <w:t xml:space="preserve"> (28.01.2020), קיבל בית המשפט העליון את ערעורם של המערערים, אשר הורשעו בעבירה של נשיאת והובלת כלי-נשק מסוגים שונים. חלף 18 חודשי המאסר בפועל שהוטלו על הנאשם מס' 1, נקבע, כי הוא ירצה 12 חודשי מאסר בפועל, ותשעת חודשי המאסר לריצוי בעבודות שירות הומרו ל-6 חודשי מאסר לריצוי בעבודות שירות.</w:t>
      </w:r>
    </w:p>
    <w:p w14:paraId="691D73A3" w14:textId="77777777" w:rsidR="00450785" w:rsidRDefault="00450785" w:rsidP="00FB1245">
      <w:pPr>
        <w:spacing w:line="360" w:lineRule="auto"/>
        <w:ind w:left="720"/>
        <w:jc w:val="both"/>
        <w:rPr>
          <w:rtl/>
        </w:rPr>
      </w:pPr>
    </w:p>
    <w:p w14:paraId="29EA19D2" w14:textId="77777777" w:rsidR="00450785" w:rsidRDefault="00450785" w:rsidP="00FB1245">
      <w:pPr>
        <w:spacing w:line="360" w:lineRule="auto"/>
        <w:ind w:left="720"/>
        <w:jc w:val="both"/>
        <w:rPr>
          <w:rtl/>
        </w:rPr>
      </w:pPr>
      <w:r>
        <w:rPr>
          <w:rtl/>
        </w:rPr>
        <w:t>ב-</w:t>
      </w:r>
      <w:hyperlink r:id="rId27" w:history="1">
        <w:r w:rsidR="000444B2" w:rsidRPr="000444B2">
          <w:rPr>
            <w:color w:val="0000FF"/>
            <w:u w:val="single"/>
            <w:rtl/>
          </w:rPr>
          <w:t>ת"פ 17935-01-20</w:t>
        </w:r>
      </w:hyperlink>
      <w:r>
        <w:rPr>
          <w:rtl/>
        </w:rPr>
        <w:t xml:space="preserve"> </w:t>
      </w:r>
      <w:r>
        <w:rPr>
          <w:b/>
          <w:bCs/>
          <w:rtl/>
        </w:rPr>
        <w:t>מדינת ישראל נ' מחמוד אגבריה</w:t>
      </w:r>
      <w:r>
        <w:rPr>
          <w:rtl/>
        </w:rPr>
        <w:t xml:space="preserve"> (08.09.2020), הורשע הנאשם בעבירה של נשיאה והובלה של תת-מקלע, ונגזרו עליו 12 חודשי מאסר בפועל.</w:t>
      </w:r>
    </w:p>
    <w:p w14:paraId="14ED4C75" w14:textId="77777777" w:rsidR="00450785" w:rsidRDefault="00450785" w:rsidP="00FB1245">
      <w:pPr>
        <w:spacing w:line="360" w:lineRule="auto"/>
        <w:ind w:left="720"/>
        <w:jc w:val="both"/>
        <w:rPr>
          <w:rtl/>
        </w:rPr>
      </w:pPr>
    </w:p>
    <w:p w14:paraId="6E9ADCB3" w14:textId="77777777" w:rsidR="00450785" w:rsidRDefault="00450785" w:rsidP="00FB1245">
      <w:pPr>
        <w:spacing w:line="360" w:lineRule="auto"/>
        <w:ind w:left="720"/>
        <w:jc w:val="both"/>
        <w:rPr>
          <w:rtl/>
        </w:rPr>
      </w:pPr>
      <w:r>
        <w:rPr>
          <w:rtl/>
        </w:rPr>
        <w:t>ב-</w:t>
      </w:r>
      <w:hyperlink r:id="rId28" w:history="1">
        <w:r w:rsidR="000444B2" w:rsidRPr="000444B2">
          <w:rPr>
            <w:color w:val="0000FF"/>
            <w:u w:val="single"/>
            <w:rtl/>
          </w:rPr>
          <w:t>ת"פ 46608-06-19</w:t>
        </w:r>
      </w:hyperlink>
      <w:r>
        <w:rPr>
          <w:rtl/>
        </w:rPr>
        <w:t xml:space="preserve"> </w:t>
      </w:r>
      <w:r>
        <w:rPr>
          <w:b/>
          <w:bCs/>
          <w:rtl/>
        </w:rPr>
        <w:t>מדינת ישראל נ' בשאר אבו זינה (26.02.2020)</w:t>
      </w:r>
      <w:r>
        <w:rPr>
          <w:rtl/>
        </w:rPr>
        <w:t>, הורשע הנאשם בעבירת נשיאה והובלה של רובה, תוך כדי בריחה מניידות המשטרה, ובית המשפט גזר עליו 11 חודשי מאסר בפועל.</w:t>
      </w:r>
    </w:p>
    <w:p w14:paraId="4611A1B5" w14:textId="77777777" w:rsidR="00450785" w:rsidRDefault="00450785" w:rsidP="00FB1245">
      <w:pPr>
        <w:spacing w:line="360" w:lineRule="auto"/>
        <w:ind w:left="720"/>
        <w:jc w:val="both"/>
        <w:rPr>
          <w:rtl/>
        </w:rPr>
      </w:pPr>
    </w:p>
    <w:p w14:paraId="2D757F23" w14:textId="77777777" w:rsidR="00450785" w:rsidRDefault="00450785" w:rsidP="00FB1245">
      <w:pPr>
        <w:spacing w:line="360" w:lineRule="auto"/>
        <w:ind w:left="720"/>
        <w:jc w:val="both"/>
        <w:rPr>
          <w:rtl/>
        </w:rPr>
      </w:pPr>
      <w:r>
        <w:rPr>
          <w:rtl/>
        </w:rPr>
        <w:t>ב-</w:t>
      </w:r>
      <w:hyperlink r:id="rId29" w:history="1">
        <w:r w:rsidR="000444B2" w:rsidRPr="000444B2">
          <w:rPr>
            <w:color w:val="0000FF"/>
            <w:u w:val="single"/>
            <w:rtl/>
          </w:rPr>
          <w:t>ת"פ 4343-12-19</w:t>
        </w:r>
      </w:hyperlink>
      <w:r>
        <w:rPr>
          <w:rtl/>
        </w:rPr>
        <w:t xml:space="preserve"> </w:t>
      </w:r>
      <w:r>
        <w:rPr>
          <w:b/>
          <w:bCs/>
          <w:rtl/>
        </w:rPr>
        <w:t>מדינת ישראל נ' עז אלדין מחאמיד</w:t>
      </w:r>
      <w:r>
        <w:rPr>
          <w:rtl/>
        </w:rPr>
        <w:t xml:space="preserve"> (17.05.2020), הורשע הנאשם ביבוא של חלקי נשק ובהחזקת כלי-נשק שונים, ובית המשפט גזר עליו 15 חודשי מאסר בפועל. </w:t>
      </w:r>
    </w:p>
    <w:p w14:paraId="0F9B2827" w14:textId="77777777" w:rsidR="00450785" w:rsidRDefault="00450785" w:rsidP="00FB1245">
      <w:pPr>
        <w:spacing w:line="360" w:lineRule="auto"/>
        <w:ind w:left="720"/>
        <w:jc w:val="both"/>
        <w:rPr>
          <w:rtl/>
        </w:rPr>
      </w:pPr>
      <w:r>
        <w:rPr>
          <w:rtl/>
        </w:rPr>
        <w:t>ב-</w:t>
      </w:r>
      <w:hyperlink r:id="rId30" w:history="1">
        <w:r w:rsidR="000444B2" w:rsidRPr="000444B2">
          <w:rPr>
            <w:color w:val="0000FF"/>
            <w:u w:val="single"/>
            <w:rtl/>
          </w:rPr>
          <w:t>ת"פ 52802-07-19</w:t>
        </w:r>
      </w:hyperlink>
      <w:r>
        <w:rPr>
          <w:rtl/>
        </w:rPr>
        <w:t xml:space="preserve"> </w:t>
      </w:r>
      <w:r>
        <w:rPr>
          <w:b/>
          <w:bCs/>
          <w:rtl/>
        </w:rPr>
        <w:t>מדינת ישראל נ' ראמי יונס (26.10.2020)</w:t>
      </w:r>
      <w:r>
        <w:rPr>
          <w:rtl/>
        </w:rPr>
        <w:t>, הורשע הנאשם בעבירות של נשיאה והובלה של נשק וכן בירי, ונגזרו עליו 23 חודשי מאסר בפועל.</w:t>
      </w:r>
    </w:p>
    <w:p w14:paraId="4E6009C1" w14:textId="77777777" w:rsidR="00450785" w:rsidRDefault="00450785" w:rsidP="00FB1245">
      <w:pPr>
        <w:spacing w:line="360" w:lineRule="auto"/>
        <w:ind w:left="720"/>
        <w:jc w:val="both"/>
        <w:rPr>
          <w:rtl/>
        </w:rPr>
      </w:pPr>
    </w:p>
    <w:p w14:paraId="556303AF" w14:textId="77777777" w:rsidR="00450785" w:rsidRDefault="00450785" w:rsidP="00FB1245">
      <w:pPr>
        <w:spacing w:line="360" w:lineRule="auto"/>
        <w:ind w:left="720"/>
        <w:jc w:val="both"/>
        <w:rPr>
          <w:rtl/>
        </w:rPr>
      </w:pPr>
      <w:r>
        <w:rPr>
          <w:rtl/>
        </w:rPr>
        <w:t>ב-</w:t>
      </w:r>
      <w:hyperlink r:id="rId31" w:history="1">
        <w:r w:rsidR="000444B2" w:rsidRPr="000444B2">
          <w:rPr>
            <w:color w:val="0000FF"/>
            <w:u w:val="single"/>
            <w:rtl/>
          </w:rPr>
          <w:t>עפ"ג 68600-12-19</w:t>
        </w:r>
      </w:hyperlink>
      <w:r>
        <w:rPr>
          <w:rtl/>
        </w:rPr>
        <w:t xml:space="preserve"> </w:t>
      </w:r>
      <w:r>
        <w:rPr>
          <w:b/>
          <w:bCs/>
          <w:rtl/>
        </w:rPr>
        <w:t>מדינת ישראל נ' דאהוד מחאמיד</w:t>
      </w:r>
      <w:r>
        <w:rPr>
          <w:rtl/>
        </w:rPr>
        <w:t xml:space="preserve"> (19.03.2020), נדחה ערעורה של המדינה, על קולת העונש של המשיב, שהורשע בעבירות של החזקת נשק, ונגזרו עליו 10 חודשי מאסר בפועל.</w:t>
      </w:r>
    </w:p>
    <w:p w14:paraId="529130DB" w14:textId="77777777" w:rsidR="00450785" w:rsidRDefault="00450785" w:rsidP="00FB1245">
      <w:pPr>
        <w:spacing w:line="360" w:lineRule="auto"/>
        <w:ind w:left="720"/>
        <w:jc w:val="both"/>
        <w:rPr>
          <w:rtl/>
        </w:rPr>
      </w:pPr>
    </w:p>
    <w:p w14:paraId="270C2B0F" w14:textId="77777777" w:rsidR="00450785" w:rsidRDefault="00450785" w:rsidP="00FB1245">
      <w:pPr>
        <w:spacing w:line="360" w:lineRule="auto"/>
        <w:ind w:left="720"/>
        <w:jc w:val="both"/>
        <w:rPr>
          <w:rtl/>
        </w:rPr>
      </w:pPr>
      <w:r>
        <w:rPr>
          <w:rtl/>
        </w:rPr>
        <w:t>ב-</w:t>
      </w:r>
      <w:hyperlink r:id="rId32" w:history="1">
        <w:r w:rsidR="000444B2" w:rsidRPr="000444B2">
          <w:rPr>
            <w:color w:val="0000FF"/>
            <w:u w:val="single"/>
            <w:rtl/>
          </w:rPr>
          <w:t>עפ"ג 32900-07-17</w:t>
        </w:r>
      </w:hyperlink>
      <w:r>
        <w:rPr>
          <w:rtl/>
        </w:rPr>
        <w:t xml:space="preserve"> </w:t>
      </w:r>
      <w:r>
        <w:rPr>
          <w:b/>
          <w:bCs/>
          <w:rtl/>
        </w:rPr>
        <w:t xml:space="preserve">מדינת ישראל נ' חודיפה מלחם </w:t>
      </w:r>
      <w:r>
        <w:rPr>
          <w:rtl/>
        </w:rPr>
        <w:t xml:space="preserve">(28.09.2017), קיבל בית משפט קמא את ערעורה של המדינה, והחמיר את עונשו של המשיב ל-12 חודשי מאסר בפועל, עת הוא הורשע בהחזקת סוגים שונים של כלי-נשק. </w:t>
      </w:r>
    </w:p>
    <w:p w14:paraId="18DCAEB3" w14:textId="77777777" w:rsidR="00450785" w:rsidRDefault="00450785" w:rsidP="00FB1245">
      <w:pPr>
        <w:spacing w:line="360" w:lineRule="auto"/>
        <w:ind w:left="720"/>
        <w:jc w:val="both"/>
        <w:rPr>
          <w:rtl/>
        </w:rPr>
      </w:pPr>
    </w:p>
    <w:p w14:paraId="6526D11B" w14:textId="77777777" w:rsidR="00450785" w:rsidRDefault="00450785" w:rsidP="00FB1245">
      <w:pPr>
        <w:spacing w:line="360" w:lineRule="auto"/>
        <w:ind w:left="720"/>
        <w:jc w:val="both"/>
        <w:rPr>
          <w:rtl/>
        </w:rPr>
      </w:pPr>
      <w:r>
        <w:rPr>
          <w:rtl/>
        </w:rPr>
        <w:t>ב-</w:t>
      </w:r>
      <w:hyperlink r:id="rId33" w:history="1">
        <w:r w:rsidR="000444B2" w:rsidRPr="000444B2">
          <w:rPr>
            <w:color w:val="0000FF"/>
            <w:u w:val="single"/>
            <w:rtl/>
          </w:rPr>
          <w:t>עפ"ג 8286-05-18</w:t>
        </w:r>
      </w:hyperlink>
      <w:r>
        <w:rPr>
          <w:rtl/>
        </w:rPr>
        <w:t xml:space="preserve"> </w:t>
      </w:r>
      <w:r>
        <w:rPr>
          <w:b/>
          <w:bCs/>
          <w:rtl/>
        </w:rPr>
        <w:t>מדינת ישראל נ' אשרף מריסאת (19.07.2018)</w:t>
      </w:r>
      <w:r>
        <w:rPr>
          <w:rtl/>
        </w:rPr>
        <w:t>, התקבל ערעורה של המדינה, ועונשו של המשיב הוחמר מ-6 חודשי מאסר לריצוי בעבודות שירות ל-9 חודשי מאסר לריצוי בעבודות שירות, עת הוא הורשע בהחזקת כלי-נשק מסוגים שונים.</w:t>
      </w:r>
    </w:p>
    <w:p w14:paraId="1D30EEF9" w14:textId="77777777" w:rsidR="00450785" w:rsidRDefault="00450785" w:rsidP="00FB1245">
      <w:pPr>
        <w:spacing w:line="360" w:lineRule="auto"/>
        <w:ind w:left="720"/>
        <w:jc w:val="both"/>
        <w:rPr>
          <w:rtl/>
        </w:rPr>
      </w:pPr>
    </w:p>
    <w:p w14:paraId="794C8B17" w14:textId="77777777" w:rsidR="00450785" w:rsidRDefault="00450785" w:rsidP="00FB1245">
      <w:pPr>
        <w:spacing w:line="360" w:lineRule="auto"/>
        <w:ind w:left="720"/>
        <w:jc w:val="both"/>
        <w:rPr>
          <w:rtl/>
        </w:rPr>
      </w:pPr>
      <w:r>
        <w:rPr>
          <w:rtl/>
        </w:rPr>
        <w:t xml:space="preserve">לטענת ב"כ הנאשם, הפנה ב"כ המאשימה לשני פסקי-דין בעניין </w:t>
      </w:r>
      <w:r w:rsidRPr="00614DA1">
        <w:rPr>
          <w:b/>
          <w:bCs/>
          <w:rtl/>
        </w:rPr>
        <w:t>בסל</w:t>
      </w:r>
      <w:r>
        <w:rPr>
          <w:rtl/>
        </w:rPr>
        <w:t xml:space="preserve"> ובעניין </w:t>
      </w:r>
      <w:r w:rsidRPr="00614DA1">
        <w:rPr>
          <w:b/>
          <w:bCs/>
          <w:rtl/>
        </w:rPr>
        <w:t>אזברגה</w:t>
      </w:r>
      <w:r>
        <w:rPr>
          <w:rtl/>
        </w:rPr>
        <w:t>, בהם הוטלו על הנאשמים 16-18 חודשי מאסר בפועל. אולם, כך לטענת ב"כ הנאשם, עניינם מובחן מענייננו, הואיל ודובר שם בעבירות שחומרתן מצויה ברף העליון של עבירות הנשיאה וההובלה של כלי-נשק, הן בשל מרחק ההובלה הגדול, הן בשל משך-זמן הנשיאה, והן בשל העובדה, שמטרת החזקת הנשק הייתה לסחור בו.</w:t>
      </w:r>
    </w:p>
    <w:p w14:paraId="0880D9E2" w14:textId="77777777" w:rsidR="00450785" w:rsidRDefault="00450785" w:rsidP="004252C0">
      <w:pPr>
        <w:spacing w:line="360" w:lineRule="auto"/>
        <w:ind w:left="720"/>
        <w:jc w:val="both"/>
        <w:rPr>
          <w:rtl/>
        </w:rPr>
      </w:pPr>
      <w:r>
        <w:rPr>
          <w:rtl/>
        </w:rPr>
        <w:t xml:space="preserve">עוד הדגיש ב"כ הנאשם, כי במובחן מן המקרה של הנאשם בענייננו, בעניין </w:t>
      </w:r>
      <w:r w:rsidRPr="00614DA1">
        <w:rPr>
          <w:b/>
          <w:bCs/>
          <w:rtl/>
        </w:rPr>
        <w:t>ג'ב</w:t>
      </w:r>
      <w:r>
        <w:rPr>
          <w:b/>
          <w:bCs/>
          <w:rtl/>
        </w:rPr>
        <w:t>א</w:t>
      </w:r>
      <w:r w:rsidRPr="00614DA1">
        <w:rPr>
          <w:b/>
          <w:bCs/>
          <w:rtl/>
        </w:rPr>
        <w:t>לי</w:t>
      </w:r>
      <w:r>
        <w:rPr>
          <w:rtl/>
        </w:rPr>
        <w:t xml:space="preserve"> הוגש תסקיר, לפיו קיים היה סיכון גבוה להישנות מעשים דומים של הנאשם בעתיד.  לטענת ב"כ הנאשם, ריצה ג'באלי מאסר קודם בן 54 חודשים, והעבירה החדשה בוצעה תוך פחות מחודשיים משחרורו מן המאסר, וכמו-כן הודגש, כי הרקע לעבירה היה סכסוך.</w:t>
      </w:r>
    </w:p>
    <w:p w14:paraId="52337590" w14:textId="77777777" w:rsidR="00450785" w:rsidRDefault="00450785" w:rsidP="00FB1245">
      <w:pPr>
        <w:spacing w:line="360" w:lineRule="auto"/>
        <w:ind w:left="720"/>
        <w:jc w:val="both"/>
      </w:pPr>
    </w:p>
    <w:p w14:paraId="1B31F393" w14:textId="77777777" w:rsidR="00450785" w:rsidRDefault="00450785" w:rsidP="00FB1245">
      <w:pPr>
        <w:spacing w:line="360" w:lineRule="auto"/>
        <w:ind w:left="720"/>
        <w:jc w:val="both"/>
        <w:rPr>
          <w:rtl/>
        </w:rPr>
      </w:pPr>
      <w:r>
        <w:rPr>
          <w:rtl/>
        </w:rPr>
        <w:t xml:space="preserve">עוד ובנוסף נטען, כי בעניין </w:t>
      </w:r>
      <w:r w:rsidRPr="00614DA1">
        <w:rPr>
          <w:b/>
          <w:bCs/>
          <w:rtl/>
        </w:rPr>
        <w:t>מרזוק</w:t>
      </w:r>
      <w:r>
        <w:rPr>
          <w:rtl/>
        </w:rPr>
        <w:t xml:space="preserve"> הדגיש בית המשפט העליון, כי התנהגותו של המערער הייתה חמורה הואיל והוא שלף את הנשק תוך כדי תקיפת השוטר, והדבר מעיד על רמת מסוכנותו. למרות שמדובר במקרים דומים, כך אליבא דב"כ הנאשם, נסיבות המקרה בעניין מרזוק חמורות יותר, ולפיכך יש להטיל על הנאשם עונש שיפחת </w:t>
      </w:r>
      <w:hyperlink r:id="rId34" w:history="1">
        <w:r w:rsidR="000444B2" w:rsidRPr="000444B2">
          <w:rPr>
            <w:color w:val="0000FF"/>
            <w:u w:val="single"/>
            <w:rtl/>
          </w:rPr>
          <w:t>מ 16-18</w:t>
        </w:r>
      </w:hyperlink>
      <w:r>
        <w:rPr>
          <w:rtl/>
        </w:rPr>
        <w:t xml:space="preserve"> חודשי מאסר בפועל.</w:t>
      </w:r>
    </w:p>
    <w:p w14:paraId="665A1535" w14:textId="77777777" w:rsidR="00450785" w:rsidRDefault="00450785" w:rsidP="00FB1245">
      <w:pPr>
        <w:spacing w:line="360" w:lineRule="auto"/>
        <w:ind w:left="720" w:hanging="720"/>
        <w:jc w:val="both"/>
        <w:rPr>
          <w:rtl/>
        </w:rPr>
      </w:pPr>
      <w:r>
        <w:rPr>
          <w:rtl/>
        </w:rPr>
        <w:t>6.</w:t>
      </w:r>
      <w:r>
        <w:rPr>
          <w:rtl/>
        </w:rPr>
        <w:tab/>
        <w:t>הנאשם עצמו העיד וטען, כי הוא מצר על מעשיו, וביקש להתחשב בנסיבותיו האישיות בגזירת העונש.</w:t>
      </w:r>
    </w:p>
    <w:p w14:paraId="28EC850C" w14:textId="77777777" w:rsidR="00450785" w:rsidRDefault="00450785" w:rsidP="00FB1245">
      <w:pPr>
        <w:spacing w:line="360" w:lineRule="auto"/>
        <w:ind w:left="720" w:hanging="720"/>
        <w:jc w:val="both"/>
        <w:rPr>
          <w:rtl/>
        </w:rPr>
      </w:pPr>
    </w:p>
    <w:p w14:paraId="14B8DB54" w14:textId="77777777" w:rsidR="00450785" w:rsidRDefault="00450785" w:rsidP="00FB1245">
      <w:pPr>
        <w:spacing w:line="360" w:lineRule="auto"/>
        <w:ind w:left="720" w:hanging="720"/>
        <w:jc w:val="both"/>
        <w:rPr>
          <w:rtl/>
        </w:rPr>
      </w:pPr>
      <w:r>
        <w:rPr>
          <w:rtl/>
        </w:rPr>
        <w:t>7.</w:t>
      </w:r>
      <w:r>
        <w:rPr>
          <w:rtl/>
        </w:rPr>
        <w:tab/>
        <w:t xml:space="preserve">פסיקה עקבית וארוכת-שנים של בית המשפט העליון קבעה, כי יש לראות את עבירות הנשק בחומרה יתרה, וזאת נוכח הסכנה הגבוהה הנשקפת מהן. אף </w:t>
      </w:r>
      <w:r>
        <w:rPr>
          <w:spacing w:val="10"/>
          <w:rtl/>
        </w:rPr>
        <w:t>המחוקק ביטא את גישתו המחמירה לעבירות אלו, עת קבע בצידן ענישה מחמירה.</w:t>
      </w:r>
    </w:p>
    <w:p w14:paraId="12C2E150" w14:textId="77777777" w:rsidR="00450785" w:rsidRDefault="00450785" w:rsidP="00FB1245">
      <w:pPr>
        <w:pStyle w:val="Ruller50"/>
        <w:spacing w:line="360" w:lineRule="auto"/>
        <w:ind w:left="793" w:right="0"/>
        <w:rPr>
          <w:rFonts w:ascii="David" w:hAnsi="David" w:cs="David"/>
          <w:sz w:val="24"/>
          <w:szCs w:val="24"/>
          <w:rtl/>
        </w:rPr>
      </w:pPr>
      <w:r>
        <w:rPr>
          <w:rFonts w:ascii="David" w:hAnsi="David" w:cs="David"/>
          <w:sz w:val="24"/>
          <w:szCs w:val="24"/>
          <w:rtl/>
        </w:rPr>
        <w:t>יפים לענייננו דבריו של כב' השופט מ. מזוז ב-</w:t>
      </w:r>
      <w:hyperlink r:id="rId35" w:history="1">
        <w:r w:rsidR="000444B2" w:rsidRPr="000444B2">
          <w:rPr>
            <w:rFonts w:ascii="David" w:hAnsi="David" w:cs="David"/>
            <w:color w:val="0000FF"/>
            <w:sz w:val="24"/>
            <w:szCs w:val="24"/>
            <w:u w:val="single"/>
            <w:rtl/>
          </w:rPr>
          <w:t>ע"פ 4406/19</w:t>
        </w:r>
      </w:hyperlink>
      <w:r>
        <w:rPr>
          <w:rFonts w:ascii="David" w:hAnsi="David" w:cs="David"/>
          <w:b/>
          <w:bCs/>
          <w:sz w:val="24"/>
          <w:szCs w:val="24"/>
          <w:rtl/>
        </w:rPr>
        <w:t xml:space="preserve"> </w:t>
      </w:r>
      <w:r>
        <w:rPr>
          <w:rFonts w:ascii="David" w:hAnsi="David" w:cs="David"/>
          <w:b/>
          <w:bCs/>
          <w:spacing w:val="0"/>
          <w:sz w:val="24"/>
          <w:szCs w:val="24"/>
          <w:rtl/>
        </w:rPr>
        <w:t xml:space="preserve">סובח נ' מדינת ישראל </w:t>
      </w:r>
      <w:r>
        <w:rPr>
          <w:rFonts w:ascii="David" w:hAnsi="David" w:cs="David"/>
          <w:sz w:val="24"/>
          <w:szCs w:val="24"/>
          <w:rtl/>
        </w:rPr>
        <w:t>(5.11.2019)):</w:t>
      </w:r>
    </w:p>
    <w:p w14:paraId="594A6B97" w14:textId="77777777" w:rsidR="00450785" w:rsidRDefault="00450785" w:rsidP="00FB1245">
      <w:pPr>
        <w:spacing w:line="360" w:lineRule="auto"/>
        <w:jc w:val="both"/>
        <w:rPr>
          <w:b/>
          <w:bCs/>
          <w:rtl/>
        </w:rPr>
      </w:pPr>
    </w:p>
    <w:p w14:paraId="170E5C2C" w14:textId="77777777" w:rsidR="00450785" w:rsidRDefault="00450785" w:rsidP="00FB1245">
      <w:pPr>
        <w:spacing w:line="360" w:lineRule="auto"/>
        <w:ind w:left="1440"/>
        <w:jc w:val="both"/>
        <w:rPr>
          <w:b/>
          <w:bCs/>
          <w:rtl/>
        </w:rPr>
      </w:pPr>
      <w:r>
        <w:rPr>
          <w:b/>
          <w:bCs/>
          <w:rtl/>
        </w:rPr>
        <w:t>"התופעה של החזקת נשק שלא כדין על ידי אזרחים מהווה איום על שלום הציבור ועל הסדר הציבורי. היא התשתית ו'הגורם בלעדו איין' (</w:t>
      </w:r>
      <w:r>
        <w:rPr>
          <w:b/>
          <w:bCs/>
        </w:rPr>
        <w:t>causa sine qua non</w:t>
      </w:r>
      <w:r>
        <w:rPr>
          <w:b/>
          <w:bCs/>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14:paraId="1CF2AF12" w14:textId="77777777" w:rsidR="00450785" w:rsidRDefault="00450785" w:rsidP="00FB1245">
      <w:pPr>
        <w:spacing w:line="360" w:lineRule="auto"/>
        <w:ind w:left="1440"/>
        <w:jc w:val="both"/>
        <w:rPr>
          <w:b/>
          <w:bCs/>
          <w:rtl/>
        </w:rPr>
      </w:pPr>
    </w:p>
    <w:p w14:paraId="25330A07" w14:textId="77777777" w:rsidR="00450785" w:rsidRDefault="00450785" w:rsidP="00FB1245">
      <w:pPr>
        <w:spacing w:line="360" w:lineRule="auto"/>
        <w:ind w:left="720"/>
        <w:jc w:val="both"/>
        <w:rPr>
          <w:rtl/>
        </w:rPr>
      </w:pPr>
      <w:r>
        <w:rPr>
          <w:rtl/>
        </w:rPr>
        <w:t xml:space="preserve">בענייננו, אף יש לזכור, כי לצד עבירות הנשק בהן הורשע הנאשם, הוא הורשע אף בעבירה של הפרעה לשוטר במילוי תפקידו, וגם לכך יש ליתן משקל.  </w:t>
      </w:r>
    </w:p>
    <w:p w14:paraId="321462C5" w14:textId="77777777" w:rsidR="00450785" w:rsidRDefault="00450785" w:rsidP="00FB1245">
      <w:pPr>
        <w:spacing w:line="360" w:lineRule="auto"/>
        <w:ind w:left="720" w:hanging="720"/>
        <w:jc w:val="both"/>
        <w:rPr>
          <w:rtl/>
        </w:rPr>
      </w:pPr>
      <w:r>
        <w:rPr>
          <w:rtl/>
        </w:rPr>
        <w:t>8.</w:t>
      </w:r>
      <w:r>
        <w:rPr>
          <w:rtl/>
        </w:rPr>
        <w:tab/>
        <w:t xml:space="preserve">במעשיו פגע הנאשם בביטחון הפרט והציבור, ובשלומו. </w:t>
      </w:r>
    </w:p>
    <w:p w14:paraId="531DEA32" w14:textId="77777777" w:rsidR="00450785" w:rsidRDefault="00450785" w:rsidP="00FB1245">
      <w:pPr>
        <w:spacing w:line="360" w:lineRule="auto"/>
        <w:ind w:left="720" w:hanging="720"/>
        <w:jc w:val="both"/>
        <w:rPr>
          <w:rtl/>
        </w:rPr>
      </w:pPr>
    </w:p>
    <w:p w14:paraId="3DAE56B5" w14:textId="77777777" w:rsidR="00450785" w:rsidRDefault="00450785" w:rsidP="00FB1245">
      <w:pPr>
        <w:spacing w:line="360" w:lineRule="auto"/>
        <w:ind w:left="720"/>
        <w:jc w:val="both"/>
        <w:rPr>
          <w:rtl/>
        </w:rPr>
      </w:pPr>
      <w:r>
        <w:rPr>
          <w:rtl/>
        </w:rPr>
        <w:t xml:space="preserve">ודוק, ראשית נתגלה הנאשם עת נושא הוא על גופו נשק דמוי רובה סער </w:t>
      </w:r>
      <w:r>
        <w:t>M-16</w:t>
      </w:r>
      <w:r>
        <w:rPr>
          <w:rtl/>
        </w:rPr>
        <w:t xml:space="preserve"> , בלא רשות על-פי דין לנשיאתו או להובלתו. בנוסף לאמור, נשא הנאשם והוביל על גופו ובכיס מכנסיו תשעה כדורים בקוטר 9 מ"מ, ושתי מחסניות תואמות לנשק טעונות, האחת, ב-21 כדורים, והשנייה ב-22 כדורים, בלא רשות על-פי דין לנשיאתן או הובלתן.</w:t>
      </w:r>
    </w:p>
    <w:p w14:paraId="64412FB9" w14:textId="77777777" w:rsidR="00450785" w:rsidRDefault="00450785" w:rsidP="00FB1245">
      <w:pPr>
        <w:spacing w:line="360" w:lineRule="auto"/>
        <w:ind w:left="720"/>
        <w:jc w:val="both"/>
        <w:rPr>
          <w:rtl/>
        </w:rPr>
      </w:pPr>
    </w:p>
    <w:p w14:paraId="33D0C179" w14:textId="77777777" w:rsidR="00450785" w:rsidRDefault="00450785" w:rsidP="00FB1245">
      <w:pPr>
        <w:spacing w:line="360" w:lineRule="auto"/>
        <w:ind w:left="720" w:hanging="720"/>
        <w:jc w:val="both"/>
        <w:rPr>
          <w:rtl/>
        </w:rPr>
      </w:pPr>
      <w:r>
        <w:rPr>
          <w:rtl/>
        </w:rPr>
        <w:tab/>
        <w:t>אם לא די בכך, הרי שעת קראו השוטרים לעברו של הנאשם, השליך הלה את הנשק למקום שלא היה נגיש להגעה מידית של השוטרים, ומיד לאחר-מכן קפץ הנאשם עצמו למקום אליו השליך את הנשק.</w:t>
      </w:r>
    </w:p>
    <w:p w14:paraId="6A9AFCB2" w14:textId="77777777" w:rsidR="00450785" w:rsidRDefault="00450785" w:rsidP="00FB1245">
      <w:pPr>
        <w:spacing w:line="360" w:lineRule="auto"/>
        <w:ind w:left="720" w:hanging="720"/>
        <w:jc w:val="both"/>
        <w:rPr>
          <w:rtl/>
        </w:rPr>
      </w:pPr>
    </w:p>
    <w:p w14:paraId="56DD2C47" w14:textId="77777777" w:rsidR="00450785" w:rsidRDefault="00450785" w:rsidP="00FB1245">
      <w:pPr>
        <w:spacing w:line="360" w:lineRule="auto"/>
        <w:ind w:left="720" w:hanging="720"/>
        <w:jc w:val="both"/>
        <w:rPr>
          <w:rtl/>
        </w:rPr>
      </w:pPr>
      <w:r>
        <w:rPr>
          <w:rtl/>
        </w:rPr>
        <w:tab/>
        <w:t>עולה בבירור מן האמור לעיל, כי לנאשם היו הזדמנויות למכביר לעצור את מעשיו, דא עקא, הוא לא עשה כן. נהפוך הוא – הנאשם עשה כל שלאל ידו על-מנת לוודא שכלי-הנשק לא "ייפול" לידי רשויות אכיפת החוק, כמו גם הוא בעצמו.</w:t>
      </w:r>
    </w:p>
    <w:p w14:paraId="7DF8840B" w14:textId="77777777" w:rsidR="00450785" w:rsidRDefault="00450785" w:rsidP="00FB1245">
      <w:pPr>
        <w:spacing w:line="360" w:lineRule="auto"/>
        <w:ind w:left="720" w:hanging="720"/>
        <w:jc w:val="both"/>
        <w:rPr>
          <w:rtl/>
        </w:rPr>
      </w:pPr>
    </w:p>
    <w:p w14:paraId="41EE9B8C" w14:textId="77777777" w:rsidR="00450785" w:rsidRDefault="00450785" w:rsidP="00FB1245">
      <w:pPr>
        <w:pStyle w:val="Ruller40"/>
        <w:ind w:left="720" w:hanging="720"/>
        <w:rPr>
          <w:rFonts w:ascii="David" w:hAnsi="David" w:cs="David"/>
          <w:sz w:val="24"/>
          <w:szCs w:val="24"/>
          <w:rtl/>
        </w:rPr>
      </w:pPr>
      <w:r>
        <w:rPr>
          <w:rFonts w:ascii="David" w:hAnsi="David" w:cs="David"/>
          <w:sz w:val="24"/>
          <w:szCs w:val="24"/>
          <w:rtl/>
        </w:rPr>
        <w:t>9.</w:t>
      </w:r>
      <w:r>
        <w:rPr>
          <w:rFonts w:ascii="David" w:hAnsi="David" w:cs="David"/>
          <w:sz w:val="24"/>
          <w:szCs w:val="24"/>
          <w:rtl/>
        </w:rPr>
        <w:tab/>
        <w:t>באשר למדיניות הענישה הנוהגת, הפנו באי-כוח הצדדים לפסיקה רלוונטית, ואף הגישו לעיוני אסופה נרחבת של פסיקה הן מבית המשפט העליון והן מבתי המשפט המחוזיים.</w:t>
      </w:r>
    </w:p>
    <w:p w14:paraId="79D225F1" w14:textId="77777777" w:rsidR="00450785" w:rsidRDefault="00450785" w:rsidP="00FB1245">
      <w:pPr>
        <w:pStyle w:val="Ruller40"/>
        <w:rPr>
          <w:rFonts w:ascii="David" w:hAnsi="David" w:cs="David"/>
          <w:sz w:val="24"/>
          <w:szCs w:val="24"/>
          <w:rtl/>
        </w:rPr>
      </w:pPr>
    </w:p>
    <w:p w14:paraId="0E0697D3" w14:textId="77777777" w:rsidR="00450785" w:rsidRDefault="00450785" w:rsidP="00FB1245">
      <w:pPr>
        <w:spacing w:line="360" w:lineRule="auto"/>
        <w:ind w:left="720"/>
        <w:jc w:val="both"/>
        <w:rPr>
          <w:rtl/>
        </w:rPr>
      </w:pPr>
      <w:r>
        <w:rPr>
          <w:rtl/>
        </w:rPr>
        <w:t>מן החומר האמור, עולה, כי קיים מנעד רחב ביותר של פסיקה באשר לענישה בעבירות האמורות. מחד-גיסא, קיימת פסיקה שבה הסתפקו בתי המשפט בהטלת עונש מאסר לריצוי בעבודות שירות, ומאידך גיסא, קיימת פסיקה, שבה עמדו בתי המשפט על-כך שלא ניתן להימנע בעבירה מסוג זה מלהטיל על הנאשם עונש של מאסר בפועל לריצוי מאחורי סורג ובריח.</w:t>
      </w:r>
    </w:p>
    <w:p w14:paraId="2DFB2423" w14:textId="77777777" w:rsidR="00450785" w:rsidRDefault="00450785" w:rsidP="00FB1245">
      <w:pPr>
        <w:spacing w:line="360" w:lineRule="auto"/>
        <w:ind w:left="720"/>
        <w:jc w:val="both"/>
        <w:rPr>
          <w:rtl/>
        </w:rPr>
      </w:pPr>
    </w:p>
    <w:p w14:paraId="16A62C2F" w14:textId="77777777" w:rsidR="00450785" w:rsidRDefault="00450785" w:rsidP="00FB1245">
      <w:pPr>
        <w:spacing w:line="360" w:lineRule="auto"/>
        <w:ind w:left="720" w:hanging="720"/>
        <w:jc w:val="both"/>
        <w:rPr>
          <w:rtl/>
        </w:rPr>
      </w:pPr>
      <w:r>
        <w:rPr>
          <w:rtl/>
        </w:rPr>
        <w:tab/>
        <w:t>קראתי את הפסיקה אליה הפנו הצדדים, עת מן הפסיקה אליה הפנתה המאשימה עולות נסיבות חמורות מן הנסיבות אשר מתוארות בכתב-האישום בענייננו, לרבות תקיפת שוטר בנסיבות מחמירות, עבר פלילי מכביד של הנאשמים, החזקת נשק לתקופה ארוכה, ועוד.</w:t>
      </w:r>
    </w:p>
    <w:p w14:paraId="7FF9B5E7" w14:textId="77777777" w:rsidR="00450785" w:rsidRDefault="00450785" w:rsidP="00FB1245">
      <w:pPr>
        <w:spacing w:line="360" w:lineRule="auto"/>
        <w:ind w:left="720" w:hanging="720"/>
        <w:jc w:val="both"/>
        <w:rPr>
          <w:rtl/>
        </w:rPr>
      </w:pPr>
    </w:p>
    <w:p w14:paraId="29C44CEA" w14:textId="77777777" w:rsidR="00450785" w:rsidRDefault="00450785" w:rsidP="00FB1245">
      <w:pPr>
        <w:spacing w:line="360" w:lineRule="auto"/>
        <w:ind w:left="720"/>
        <w:jc w:val="both"/>
        <w:rPr>
          <w:rtl/>
        </w:rPr>
      </w:pPr>
      <w:r>
        <w:rPr>
          <w:rtl/>
        </w:rPr>
        <w:t>מנגד, לאורכה ולרוחבה של הפסיקה אליה הפנה ב"כ הנאשם עולה, כי גם בהן הנסיבות שונות בתכלית מאלו שבעניינו של הנאשם שבפניי, לרבות העובדה, כי חלקן נדונו בערכאות הערעור השונות, וכי ערכאת הערעור אינה נוטה למצות את חומרת הדין עם הנאשמים.</w:t>
      </w:r>
    </w:p>
    <w:p w14:paraId="6AC7795C" w14:textId="77777777" w:rsidR="00450785" w:rsidRDefault="00450785" w:rsidP="00FB1245">
      <w:pPr>
        <w:spacing w:line="360" w:lineRule="auto"/>
        <w:ind w:left="720"/>
        <w:jc w:val="both"/>
        <w:rPr>
          <w:rtl/>
        </w:rPr>
      </w:pPr>
      <w:r>
        <w:rPr>
          <w:rtl/>
        </w:rPr>
        <w:t>לצד הפסיקה האמורה, מעיון מעמיק בהלכות בית המשפט העליון, עולה, כי  בית המשפט העליון התווה בפסיקה ארוכת-שנים את מדיניות הענישה הראויה בעבירות נשק.</w:t>
      </w:r>
    </w:p>
    <w:p w14:paraId="01879BC9" w14:textId="77777777" w:rsidR="00450785" w:rsidRDefault="00450785" w:rsidP="00FB1245">
      <w:pPr>
        <w:spacing w:line="360" w:lineRule="auto"/>
        <w:ind w:left="720" w:hanging="720"/>
        <w:jc w:val="both"/>
        <w:rPr>
          <w:rtl/>
        </w:rPr>
      </w:pPr>
      <w:r>
        <w:rPr>
          <w:rtl/>
        </w:rPr>
        <w:tab/>
        <w:t>יפים לענייננו דבריה של כב' הנשיאה, השופטת א. חיות בעניין ג'אבלי:</w:t>
      </w:r>
    </w:p>
    <w:p w14:paraId="4A702E15" w14:textId="77777777" w:rsidR="00450785" w:rsidRDefault="00450785" w:rsidP="00FB1245">
      <w:pPr>
        <w:spacing w:line="360" w:lineRule="auto"/>
        <w:ind w:left="720" w:hanging="720"/>
        <w:jc w:val="both"/>
        <w:rPr>
          <w:rtl/>
        </w:rPr>
      </w:pPr>
    </w:p>
    <w:p w14:paraId="4CA4C115" w14:textId="77777777" w:rsidR="00450785" w:rsidRDefault="00450785" w:rsidP="00FB1245">
      <w:pPr>
        <w:pStyle w:val="Ruller41"/>
        <w:ind w:left="1440"/>
        <w:rPr>
          <w:rFonts w:ascii="David" w:hAnsi="David" w:cs="David"/>
          <w:rtl/>
        </w:rPr>
      </w:pPr>
      <w:r>
        <w:rPr>
          <w:rFonts w:ascii="David" w:hAnsi="David" w:cs="David"/>
          <w:b/>
          <w:bCs/>
          <w:spacing w:val="0"/>
          <w:rtl/>
        </w:rPr>
        <w:t xml:space="preserve">"בית משפט זה עמד פעמים רבות על </w:t>
      </w:r>
      <w:r>
        <w:rPr>
          <w:rFonts w:ascii="David" w:hAnsi="David" w:cs="David"/>
          <w:b/>
          <w:bCs/>
          <w:rtl/>
        </w:rPr>
        <w:t xml:space="preserve">החומרה היתרה הגלומה בביצוע עבירות בנשק ובכללן העבירה של החזקת נשק או נשיאתו שלא כדין. </w:t>
      </w:r>
      <w:r>
        <w:rPr>
          <w:rFonts w:ascii="David" w:hAnsi="David" w:cs="David"/>
          <w:b/>
          <w:bCs/>
          <w:u w:val="single"/>
          <w:rtl/>
        </w:rPr>
        <w:t>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Pr>
          <w:rFonts w:ascii="David" w:hAnsi="David" w:cs="David"/>
          <w:b/>
          <w:bCs/>
          <w:rtl/>
        </w:rPr>
        <w:t>" (</w:t>
      </w:r>
      <w:hyperlink r:id="rId36" w:history="1">
        <w:r w:rsidR="000444B2" w:rsidRPr="000444B2">
          <w:rPr>
            <w:rFonts w:ascii="David" w:hAnsi="David" w:cs="David"/>
            <w:b/>
            <w:bCs/>
            <w:color w:val="0000FF"/>
            <w:u w:val="single"/>
            <w:rtl/>
          </w:rPr>
          <w:t>ע"פ 5120/11</w:t>
        </w:r>
      </w:hyperlink>
      <w:r>
        <w:rPr>
          <w:rFonts w:ascii="David" w:hAnsi="David" w:cs="David"/>
          <w:b/>
          <w:bCs/>
          <w:spacing w:val="0"/>
          <w:rtl/>
        </w:rPr>
        <w:t xml:space="preserve"> שתיווי נ' מדינת ישראל, [פורסם בנבו] בפסקה 5 </w:t>
      </w:r>
      <w:r>
        <w:rPr>
          <w:rFonts w:ascii="David" w:hAnsi="David" w:cs="David"/>
          <w:b/>
          <w:bCs/>
          <w:rtl/>
        </w:rPr>
        <w:t xml:space="preserve">(18.12.2011); </w:t>
      </w:r>
      <w:hyperlink r:id="rId37" w:history="1">
        <w:r w:rsidR="000444B2" w:rsidRPr="000444B2">
          <w:rPr>
            <w:rFonts w:ascii="David" w:hAnsi="David" w:cs="David"/>
            <w:b/>
            <w:bCs/>
            <w:color w:val="0000FF"/>
            <w:u w:val="single"/>
            <w:rtl/>
          </w:rPr>
          <w:t>ע"פ 4329/10</w:t>
        </w:r>
      </w:hyperlink>
      <w:r>
        <w:rPr>
          <w:rFonts w:ascii="David" w:hAnsi="David" w:cs="David"/>
          <w:b/>
          <w:bCs/>
          <w:rtl/>
        </w:rPr>
        <w:t xml:space="preserve"> </w:t>
      </w:r>
      <w:r>
        <w:rPr>
          <w:rFonts w:ascii="David" w:hAnsi="David" w:cs="David"/>
          <w:b/>
          <w:bCs/>
          <w:spacing w:val="0"/>
          <w:rtl/>
        </w:rPr>
        <w:t>פלוני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(25.10.2010)). עוד נפסק כי חומרתן של העבירות בנשק אינה מסתכמת רק בנזק שאירע בפועל, כי אם</w:t>
      </w:r>
      <w:r>
        <w:rPr>
          <w:rFonts w:ascii="David" w:hAnsi="David" w:cs="David"/>
          <w:b/>
          <w:bCs/>
          <w:spacing w:val="0"/>
          <w:rtl/>
        </w:rPr>
        <w:t xml:space="preserve"> בפוטנציאל </w:t>
      </w:r>
      <w:r>
        <w:rPr>
          <w:rFonts w:ascii="David" w:hAnsi="David" w:cs="David"/>
          <w:b/>
          <w:bCs/>
          <w:rtl/>
        </w:rPr>
        <w:t>הנזק הנובע מאותן עבירות (</w:t>
      </w:r>
      <w:hyperlink r:id="rId38" w:history="1">
        <w:r w:rsidR="000444B2" w:rsidRPr="000444B2">
          <w:rPr>
            <w:rFonts w:ascii="David" w:hAnsi="David" w:cs="David"/>
            <w:b/>
            <w:bCs/>
            <w:color w:val="0000FF"/>
            <w:u w:val="single"/>
            <w:rtl/>
          </w:rPr>
          <w:t>ע"פ 116/13</w:t>
        </w:r>
      </w:hyperlink>
      <w:r>
        <w:rPr>
          <w:rFonts w:ascii="David" w:hAnsi="David" w:cs="David"/>
          <w:b/>
          <w:bCs/>
          <w:spacing w:val="0"/>
          <w:rtl/>
        </w:rPr>
        <w:t xml:space="preserve"> וקנין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בפסקה 7 (31.7.2013))" </w:t>
      </w:r>
      <w:r>
        <w:rPr>
          <w:rFonts w:ascii="David" w:hAnsi="David" w:cs="David"/>
          <w:rtl/>
        </w:rPr>
        <w:t>(ההדגשה אינה במקור).</w:t>
      </w:r>
    </w:p>
    <w:p w14:paraId="679025AF" w14:textId="77777777" w:rsidR="00450785" w:rsidRDefault="00450785" w:rsidP="00FB1245">
      <w:pPr>
        <w:pStyle w:val="Ruller40"/>
        <w:ind w:left="720"/>
        <w:rPr>
          <w:rFonts w:ascii="David" w:hAnsi="David" w:cs="David"/>
          <w:sz w:val="24"/>
          <w:szCs w:val="24"/>
          <w:rtl/>
        </w:rPr>
      </w:pPr>
    </w:p>
    <w:p w14:paraId="2002895C" w14:textId="77777777" w:rsidR="00450785" w:rsidRDefault="00450785" w:rsidP="00FB1245">
      <w:pPr>
        <w:pStyle w:val="Ruller40"/>
        <w:ind w:left="720"/>
        <w:rPr>
          <w:rFonts w:ascii="David" w:hAnsi="David" w:cs="David"/>
          <w:sz w:val="24"/>
          <w:szCs w:val="24"/>
          <w:rtl/>
        </w:rPr>
      </w:pPr>
      <w:r>
        <w:rPr>
          <w:rFonts w:ascii="David" w:hAnsi="David" w:cs="David"/>
          <w:sz w:val="24"/>
          <w:szCs w:val="24"/>
          <w:rtl/>
        </w:rPr>
        <w:t>ובפסק-דינו של כב' השופט ע. פוגלמן מן העת האחרונה, אף עולה, כי קיימת מגמה של החמרה בענישה בעבירות הנשק:</w:t>
      </w:r>
    </w:p>
    <w:p w14:paraId="1C5C5FA6" w14:textId="77777777" w:rsidR="00450785" w:rsidRDefault="00450785" w:rsidP="00FB1245">
      <w:pPr>
        <w:pStyle w:val="Ruller40"/>
        <w:ind w:left="720"/>
        <w:rPr>
          <w:rFonts w:ascii="David" w:hAnsi="David" w:cs="David"/>
          <w:sz w:val="24"/>
          <w:szCs w:val="24"/>
          <w:rtl/>
        </w:rPr>
      </w:pPr>
    </w:p>
    <w:p w14:paraId="1ECE12E3" w14:textId="77777777" w:rsidR="00450785" w:rsidRDefault="00450785" w:rsidP="00FB1245">
      <w:pPr>
        <w:pStyle w:val="Ruller40"/>
        <w:ind w:left="720"/>
        <w:rPr>
          <w:rFonts w:ascii="David" w:hAnsi="David" w:cs="David"/>
          <w:sz w:val="24"/>
          <w:szCs w:val="24"/>
          <w:rtl/>
        </w:rPr>
      </w:pPr>
      <w:r>
        <w:rPr>
          <w:rFonts w:ascii="David" w:hAnsi="David" w:cs="David"/>
          <w:sz w:val="24"/>
          <w:szCs w:val="24"/>
          <w:rtl/>
        </w:rPr>
        <w:t xml:space="preserve"> ר' </w:t>
      </w:r>
      <w:hyperlink r:id="rId39" w:history="1">
        <w:r w:rsidR="000444B2" w:rsidRPr="000444B2">
          <w:rPr>
            <w:rFonts w:ascii="David" w:hAnsi="David" w:cs="David"/>
            <w:color w:val="0000FF"/>
            <w:sz w:val="24"/>
            <w:szCs w:val="24"/>
            <w:u w:val="single"/>
            <w:rtl/>
          </w:rPr>
          <w:t>ע"פ 8017/20</w:t>
        </w:r>
      </w:hyperlink>
      <w:r>
        <w:rPr>
          <w:rFonts w:ascii="David" w:hAnsi="David" w:cs="David"/>
          <w:sz w:val="24"/>
          <w:szCs w:val="24"/>
          <w:rtl/>
        </w:rPr>
        <w:t xml:space="preserve"> </w:t>
      </w:r>
      <w:r>
        <w:rPr>
          <w:rFonts w:ascii="David" w:hAnsi="David" w:cs="David"/>
          <w:b/>
          <w:bCs/>
          <w:sz w:val="24"/>
          <w:szCs w:val="24"/>
          <w:rtl/>
        </w:rPr>
        <w:t>מדינת ישראל נ' פאדי גריפאת</w:t>
      </w:r>
      <w:r>
        <w:rPr>
          <w:rFonts w:ascii="David" w:hAnsi="David" w:cs="David"/>
          <w:sz w:val="24"/>
          <w:szCs w:val="24"/>
          <w:rtl/>
        </w:rPr>
        <w:t xml:space="preserve"> (22.12.2020):</w:t>
      </w:r>
    </w:p>
    <w:p w14:paraId="62B74F0D" w14:textId="77777777" w:rsidR="00450785" w:rsidRDefault="00450785" w:rsidP="00FB1245">
      <w:pPr>
        <w:pStyle w:val="Ruller40"/>
        <w:rPr>
          <w:rFonts w:ascii="David" w:hAnsi="David" w:cs="David"/>
          <w:sz w:val="24"/>
          <w:szCs w:val="24"/>
          <w:rtl/>
        </w:rPr>
      </w:pPr>
      <w:r>
        <w:rPr>
          <w:rFonts w:ascii="David" w:hAnsi="David" w:cs="David"/>
          <w:sz w:val="24"/>
          <w:szCs w:val="24"/>
          <w:rtl/>
        </w:rPr>
        <w:t xml:space="preserve"> </w:t>
      </w:r>
      <w:r>
        <w:rPr>
          <w:rFonts w:ascii="David" w:hAnsi="David" w:cs="David"/>
          <w:sz w:val="24"/>
          <w:szCs w:val="24"/>
          <w:rtl/>
        </w:rPr>
        <w:tab/>
      </w:r>
    </w:p>
    <w:p w14:paraId="2D609598" w14:textId="77777777" w:rsidR="00450785" w:rsidRDefault="00450785" w:rsidP="00FB1245">
      <w:pPr>
        <w:spacing w:line="360" w:lineRule="auto"/>
        <w:ind w:left="1440" w:hanging="720"/>
        <w:jc w:val="both"/>
        <w:rPr>
          <w:rtl/>
        </w:rPr>
      </w:pPr>
      <w:r>
        <w:rPr>
          <w:rtl/>
        </w:rPr>
        <w:tab/>
      </w:r>
      <w:r>
        <w:rPr>
          <w:b/>
          <w:bCs/>
          <w:rtl/>
        </w:rPr>
        <w:t xml:space="preserve">"בית משפט זה עמד בשורה ארוכה של פסקי דין על החומרה היתרה של עבירות הנשק ועל הסכנה הגבוהה שנשקפת מהן לשלום הציבור ולביטחונו (ראו, מיני רבים, </w:t>
      </w:r>
      <w:hyperlink r:id="rId40" w:history="1">
        <w:r w:rsidR="000444B2" w:rsidRPr="000444B2">
          <w:rPr>
            <w:b/>
            <w:bCs/>
            <w:color w:val="0000FF"/>
            <w:u w:val="single"/>
            <w:rtl/>
          </w:rPr>
          <w:t>ע"פ 1944/20</w:t>
        </w:r>
      </w:hyperlink>
      <w:r>
        <w:rPr>
          <w:b/>
          <w:bCs/>
          <w:rtl/>
        </w:rPr>
        <w:t xml:space="preserve"> מדינת ישראל נ' אמארה, [פורסם בנבו] פסקה 10 (2.9.2020) (להלן: עניין אמארה); עניין געביס, פסקה 8). חומרתן של עבירות אלו נובעת, בין היתר, גם מהחשש כי הנשק יועבר למי שמתכוון לעשות בו שימוש לפעילות עבריינית או לפעילות טרור (</w:t>
      </w:r>
      <w:hyperlink r:id="rId41" w:history="1">
        <w:r w:rsidR="000444B2" w:rsidRPr="000444B2">
          <w:rPr>
            <w:b/>
            <w:bCs/>
            <w:color w:val="0000FF"/>
            <w:u w:val="single"/>
            <w:rtl/>
          </w:rPr>
          <w:t>ע"פ 4945/13</w:t>
        </w:r>
      </w:hyperlink>
      <w:r>
        <w:rPr>
          <w:b/>
          <w:bCs/>
          <w:rtl/>
        </w:rPr>
        <w:t xml:space="preserve"> מדינת ישראל נ' סלימאן [פורסם בנבו] (19.1.2014); </w:t>
      </w:r>
      <w:hyperlink r:id="rId42" w:history="1">
        <w:r w:rsidR="000444B2" w:rsidRPr="000444B2">
          <w:rPr>
            <w:b/>
            <w:bCs/>
            <w:color w:val="0000FF"/>
            <w:u w:val="single"/>
            <w:rtl/>
          </w:rPr>
          <w:t>ע"פ 2251/11</w:t>
        </w:r>
      </w:hyperlink>
      <w:r>
        <w:rPr>
          <w:b/>
          <w:bCs/>
          <w:rtl/>
        </w:rPr>
        <w:t xml:space="preserve"> נפאע נ' מדינת ישראל, [פורסם בנבו] פסקה 5 (4.12.2011) (להלן: עניין נפאע)). </w:t>
      </w:r>
      <w:r>
        <w:rPr>
          <w:b/>
          <w:bCs/>
          <w:u w:val="single"/>
          <w:rtl/>
        </w:rPr>
        <w:t>נוכח האמור, חזר וציין בית משפט זה כי קיימת מגמה של החמרה בענישה בעבירות אלו וזאת על מנת להרתיע מפני ביצוען</w:t>
      </w:r>
      <w:r>
        <w:rPr>
          <w:b/>
          <w:bCs/>
          <w:rtl/>
        </w:rPr>
        <w:t xml:space="preserve"> (ע"פ עניין אמארה, פסקה 10; </w:t>
      </w:r>
      <w:hyperlink r:id="rId43" w:history="1">
        <w:r w:rsidR="000444B2" w:rsidRPr="000444B2">
          <w:rPr>
            <w:b/>
            <w:bCs/>
            <w:color w:val="0000FF"/>
            <w:u w:val="single"/>
            <w:rtl/>
          </w:rPr>
          <w:t>ע"פ 8045/17</w:t>
        </w:r>
      </w:hyperlink>
      <w:r>
        <w:rPr>
          <w:b/>
          <w:bCs/>
          <w:rtl/>
        </w:rPr>
        <w:t xml:space="preserve"> בראנסי נ' מדינת ישראל, [פורסם בנבו] פסקאות 11, 100 (16.8.2018) (להלן: עניין בראנסי); עניין נפאע, פסקה 5)". </w:t>
      </w:r>
      <w:r>
        <w:rPr>
          <w:rtl/>
        </w:rPr>
        <w:t>(ההדגשה אינה במקור).</w:t>
      </w:r>
    </w:p>
    <w:p w14:paraId="6D57A2F6" w14:textId="77777777" w:rsidR="00450785" w:rsidRDefault="00450785" w:rsidP="00FB1245">
      <w:pPr>
        <w:spacing w:line="360" w:lineRule="auto"/>
        <w:ind w:left="1440" w:hanging="720"/>
        <w:jc w:val="both"/>
        <w:rPr>
          <w:rtl/>
        </w:rPr>
      </w:pPr>
    </w:p>
    <w:p w14:paraId="5613A0CA" w14:textId="77777777" w:rsidR="00450785" w:rsidRDefault="00450785" w:rsidP="00FB1245">
      <w:pPr>
        <w:spacing w:line="360" w:lineRule="auto"/>
        <w:ind w:left="720" w:hanging="720"/>
        <w:jc w:val="both"/>
        <w:rPr>
          <w:rtl/>
        </w:rPr>
      </w:pPr>
      <w:r>
        <w:rPr>
          <w:rtl/>
        </w:rPr>
        <w:t xml:space="preserve">10. </w:t>
      </w:r>
      <w:r>
        <w:rPr>
          <w:rtl/>
        </w:rPr>
        <w:tab/>
        <w:t>עם זאת, יש לזכור, כי העיקרון הנוהג בפסיקה קובע, שהענישה היא אינדיבידואלית, הכול לפי נסיבות ביצוע העבירה ונסיבותיו של מבצע העבירה.</w:t>
      </w:r>
    </w:p>
    <w:p w14:paraId="4A0C551A" w14:textId="77777777" w:rsidR="00450785" w:rsidRDefault="00450785" w:rsidP="00FB1245">
      <w:pPr>
        <w:spacing w:line="360" w:lineRule="auto"/>
        <w:ind w:left="720" w:hanging="720"/>
        <w:jc w:val="both"/>
        <w:rPr>
          <w:rtl/>
        </w:rPr>
      </w:pPr>
    </w:p>
    <w:p w14:paraId="5629999D" w14:textId="77777777" w:rsidR="00450785" w:rsidRDefault="00450785" w:rsidP="00FB1245">
      <w:pPr>
        <w:spacing w:line="360" w:lineRule="auto"/>
        <w:ind w:left="720" w:hanging="720"/>
        <w:jc w:val="both"/>
        <w:rPr>
          <w:rtl/>
        </w:rPr>
      </w:pPr>
      <w:r>
        <w:rPr>
          <w:rtl/>
        </w:rPr>
        <w:tab/>
        <w:t xml:space="preserve">יפים לענייננו, דבריו של המשנה לנשיאה, כב' השופט מ' אלון ז"ל ב- </w:t>
      </w:r>
      <w:hyperlink r:id="rId44" w:history="1">
        <w:r w:rsidR="000444B2" w:rsidRPr="000444B2">
          <w:rPr>
            <w:b/>
            <w:bCs/>
            <w:color w:val="0000FF"/>
            <w:u w:val="single"/>
            <w:rtl/>
          </w:rPr>
          <w:t>ע"פ 433/89 אטיאס נ' מדינת ישראל פ"ד מג</w:t>
        </w:r>
      </w:hyperlink>
      <w:r>
        <w:rPr>
          <w:rtl/>
        </w:rPr>
        <w:t>(4) 170:</w:t>
      </w:r>
    </w:p>
    <w:p w14:paraId="14F70DB4" w14:textId="77777777" w:rsidR="00450785" w:rsidRDefault="00450785" w:rsidP="00FB1245">
      <w:pPr>
        <w:spacing w:line="360" w:lineRule="auto"/>
        <w:ind w:left="720" w:hanging="720"/>
        <w:jc w:val="both"/>
        <w:rPr>
          <w:rtl/>
        </w:rPr>
      </w:pPr>
    </w:p>
    <w:p w14:paraId="64D57AEB" w14:textId="77777777" w:rsidR="00450785" w:rsidRDefault="00450785" w:rsidP="00FB1245">
      <w:pPr>
        <w:tabs>
          <w:tab w:val="left" w:pos="288"/>
          <w:tab w:val="left" w:pos="720"/>
          <w:tab w:val="left" w:pos="1296"/>
        </w:tabs>
        <w:autoSpaceDE w:val="0"/>
        <w:autoSpaceDN w:val="0"/>
        <w:adjustRightInd w:val="0"/>
        <w:spacing w:after="80" w:line="360" w:lineRule="auto"/>
        <w:ind w:left="1296"/>
        <w:jc w:val="both"/>
        <w:rPr>
          <w:rFonts w:cs="Arial"/>
          <w:sz w:val="22"/>
          <w:szCs w:val="22"/>
          <w:rtl/>
        </w:rPr>
      </w:pPr>
      <w:r>
        <w:rPr>
          <w:rtl/>
        </w:rPr>
        <w:tab/>
      </w:r>
      <w:r>
        <w:rPr>
          <w:b/>
          <w:bCs/>
          <w:rtl/>
        </w:rPr>
        <w:t xml:space="preserve">"כידוע, אחד השיקולים החשובים בשיקולי הענישה הוא מהותה של העבירה וחומרתה; שיקול זה קשור, בדרך כלל, בקשר הדוק עם שיקול ההרתעה, למען ישמעו וייראו. לשני שיקולים אלה מיתוסף שיקול נוסף, והוא - קיום מדיניות אחידה, ככל האפשר, שתשמש כקו מנחה וכמורה דרך בעולמה של ענישה. ושיקול אחרון זה יפה הוא במיוחד לפסיקתו של בית המשפט העליון, שהמחוקק הפקידו על קביעת מדיניות זו.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w:t>
      </w:r>
      <w:r>
        <w:rPr>
          <w:b/>
          <w:bCs/>
          <w:u w:val="single"/>
          <w:rtl/>
        </w:rPr>
        <w:t>"ענישתנו היא ענישה אינדיווידואלית של כל עבריין 'באשר הוא שם'" (</w:t>
      </w:r>
      <w:hyperlink r:id="rId45" w:history="1">
        <w:r w:rsidR="000444B2" w:rsidRPr="000444B2">
          <w:rPr>
            <w:b/>
            <w:bCs/>
            <w:color w:val="0000FF"/>
            <w:u w:val="single"/>
            <w:rtl/>
          </w:rPr>
          <w:t>ע"פ 291/81</w:t>
        </w:r>
      </w:hyperlink>
      <w:r>
        <w:rPr>
          <w:b/>
          <w:bCs/>
          <w:u w:val="single"/>
          <w:rtl/>
        </w:rPr>
        <w:t xml:space="preserve"> [1], בעמ' </w:t>
      </w:r>
      <w:r>
        <w:rPr>
          <w:b/>
          <w:bCs/>
          <w:u w:val="single"/>
        </w:rPr>
        <w:t>442</w:t>
      </w:r>
      <w:r>
        <w:rPr>
          <w:b/>
          <w:bCs/>
          <w:u w:val="single"/>
          <w:rtl/>
        </w:rPr>
        <w:t>). זאת תורת הגישה האינדיווידואלית בתורת הענישה, המקובלת עלינו כקו מנחה בסוגיה קשה וסבוכה זו של</w:t>
      </w:r>
      <w:r>
        <w:rPr>
          <w:b/>
          <w:bCs/>
          <w:u w:val="single"/>
        </w:rPr>
        <w:t xml:space="preserve"> </w:t>
      </w:r>
      <w:r>
        <w:rPr>
          <w:b/>
          <w:bCs/>
          <w:u w:val="single"/>
          <w:rtl/>
        </w:rPr>
        <w:t>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r>
        <w:rPr>
          <w:b/>
          <w:bCs/>
          <w:rtl/>
        </w:rPr>
        <w:t>".</w:t>
      </w:r>
      <w:r>
        <w:rPr>
          <w:rtl/>
        </w:rPr>
        <w:t xml:space="preserve"> (ההדגשה אינה במקור).</w:t>
      </w:r>
    </w:p>
    <w:p w14:paraId="6CD982FA" w14:textId="77777777" w:rsidR="00450785" w:rsidRDefault="00450785" w:rsidP="00FB1245">
      <w:pPr>
        <w:tabs>
          <w:tab w:val="left" w:pos="288"/>
          <w:tab w:val="left" w:pos="720"/>
          <w:tab w:val="left" w:pos="1296"/>
        </w:tabs>
        <w:autoSpaceDE w:val="0"/>
        <w:autoSpaceDN w:val="0"/>
        <w:adjustRightInd w:val="0"/>
        <w:spacing w:after="80" w:line="360" w:lineRule="auto"/>
        <w:jc w:val="both"/>
        <w:rPr>
          <w:b/>
          <w:bCs/>
          <w:rtl/>
        </w:rPr>
      </w:pPr>
    </w:p>
    <w:p w14:paraId="6F82A974" w14:textId="77777777" w:rsidR="00450785" w:rsidRDefault="00450785" w:rsidP="00FB1245">
      <w:pPr>
        <w:pStyle w:val="David"/>
        <w:ind w:left="720" w:hanging="720"/>
        <w:rPr>
          <w:rFonts w:ascii="David" w:hAnsi="David"/>
          <w:rtl/>
        </w:rPr>
      </w:pPr>
      <w:r>
        <w:rPr>
          <w:rFonts w:ascii="David" w:hAnsi="David"/>
          <w:rtl/>
        </w:rPr>
        <w:tab/>
        <w:t xml:space="preserve">בענייננו, מחד-גיסא, העבירות בהן הורשע הנאשם אינן נמנות עם המקרים החמורים ביותר, הואיל  ועבירת נשיאת הנשק המיוחסת לנאשם בכתב-האישום המתוקן היא לאותו פרק-זמן קצר המתואר בעובדות כתב-האישום, ואין טענה לפיה החזיק הנאשם בנשק במועד שונה. בנוסף, יש לזכור, כי גם אליבא דב"כ המאשימה כתב-האישום אף אינו מייחס לנאשם נשיאת נשק למטרה ספציפית או קונקרטית. </w:t>
      </w:r>
    </w:p>
    <w:p w14:paraId="02ABB211" w14:textId="77777777" w:rsidR="00450785" w:rsidRDefault="00450785" w:rsidP="00FB1245">
      <w:pPr>
        <w:pStyle w:val="David"/>
        <w:ind w:left="720"/>
        <w:rPr>
          <w:rFonts w:ascii="David" w:hAnsi="David"/>
          <w:rtl/>
        </w:rPr>
      </w:pPr>
    </w:p>
    <w:p w14:paraId="0FDAF173" w14:textId="77777777" w:rsidR="00450785" w:rsidRDefault="00450785" w:rsidP="00FB1245">
      <w:pPr>
        <w:spacing w:line="360" w:lineRule="auto"/>
        <w:ind w:left="720"/>
        <w:jc w:val="both"/>
        <w:rPr>
          <w:rtl/>
        </w:rPr>
      </w:pPr>
      <w:r>
        <w:rPr>
          <w:rtl/>
        </w:rPr>
        <w:t xml:space="preserve">מאידך גיסא, בל נשכח, כי לצד עבירת הנשק, הורשע הנאשם גם בעבירה של הפרעה לשוטר במילוי תפקידו , הואיל והנאשם עשה כל שלאל ידו על-מנת למלט את הנשק מן השוטרים, ולוודא שכלי-הנשק לא "ייפול" לידי רשויות אכיפת החוק, כמו גם הוא בעצמו. </w:t>
      </w:r>
    </w:p>
    <w:p w14:paraId="5D6D6FE4" w14:textId="77777777" w:rsidR="00450785" w:rsidRDefault="00450785" w:rsidP="00FB1245">
      <w:pPr>
        <w:spacing w:line="360" w:lineRule="auto"/>
        <w:ind w:left="720"/>
        <w:jc w:val="both"/>
        <w:rPr>
          <w:rtl/>
        </w:rPr>
      </w:pPr>
    </w:p>
    <w:p w14:paraId="4A6A67A0" w14:textId="77777777" w:rsidR="00450785" w:rsidRDefault="00450785" w:rsidP="00FB1245">
      <w:pPr>
        <w:spacing w:line="360" w:lineRule="auto"/>
        <w:ind w:left="720"/>
        <w:jc w:val="both"/>
        <w:rPr>
          <w:rtl/>
        </w:rPr>
      </w:pPr>
      <w:r>
        <w:rPr>
          <w:rtl/>
        </w:rPr>
        <w:t xml:space="preserve">אין בידי לקבל את טענת ב"כ הנאשם, לפיה הואיל ובענייננו מדובר בתת-מקלע מאולתר דמוי רובה </w:t>
      </w:r>
      <w:r>
        <w:t>M-16</w:t>
      </w:r>
      <w:r>
        <w:rPr>
          <w:rtl/>
        </w:rPr>
        <w:t>, כפי שצוין בכתב-האישום המתוקן, ולא בנשק תקני, פוטנציאל הנזק נמוך יותר. ברי, מן העולה מסעיף מס' 4 לכתב-האישום המתוקן, בו, אזכיר, הודה הנאשם, כי "</w:t>
      </w:r>
      <w:r>
        <w:rPr>
          <w:b/>
          <w:bCs/>
          <w:rtl/>
        </w:rPr>
        <w:t>הנשק הוא כלי שסוגל לירות כדור או קליע שבכוחו להמית אדם, המחסנית והכדורים הם אביזר ותחמושת לנשק</w:t>
      </w:r>
      <w:r>
        <w:rPr>
          <w:rtl/>
        </w:rPr>
        <w:t>", ואידך זיל גמור.</w:t>
      </w:r>
    </w:p>
    <w:p w14:paraId="6F16513E" w14:textId="77777777" w:rsidR="00450785" w:rsidRDefault="00450785" w:rsidP="00FB1245">
      <w:pPr>
        <w:spacing w:line="360" w:lineRule="auto"/>
        <w:ind w:left="720"/>
        <w:jc w:val="both"/>
        <w:rPr>
          <w:rtl/>
        </w:rPr>
      </w:pPr>
      <w:r>
        <w:rPr>
          <w:rtl/>
        </w:rPr>
        <w:t xml:space="preserve">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כי מתחם הענישה הראוי, בנסיבות המקרה דנן, הוא מאסר בפועל לתקופה שנעה בין </w:t>
      </w:r>
      <w:r w:rsidRPr="00614DA1">
        <w:rPr>
          <w:rtl/>
        </w:rPr>
        <w:t>10-36</w:t>
      </w:r>
      <w:r>
        <w:rPr>
          <w:rtl/>
        </w:rPr>
        <w:t xml:space="preserve"> חודשי מאסר בפועל, זאת לצד עונשים נלווים. </w:t>
      </w:r>
    </w:p>
    <w:p w14:paraId="4637BBD9" w14:textId="77777777" w:rsidR="00450785" w:rsidRDefault="00450785" w:rsidP="00FB1245">
      <w:pPr>
        <w:spacing w:line="360" w:lineRule="auto"/>
        <w:ind w:left="720"/>
        <w:jc w:val="both"/>
        <w:rPr>
          <w:rtl/>
        </w:rPr>
      </w:pPr>
    </w:p>
    <w:p w14:paraId="632E4547" w14:textId="77777777" w:rsidR="00450785" w:rsidRDefault="00450785" w:rsidP="00FB1245">
      <w:pPr>
        <w:spacing w:line="360" w:lineRule="auto"/>
        <w:ind w:left="720" w:hanging="720"/>
        <w:jc w:val="both"/>
        <w:rPr>
          <w:rtl/>
        </w:rPr>
      </w:pPr>
      <w:r>
        <w:rPr>
          <w:rtl/>
        </w:rPr>
        <w:t>11.</w:t>
      </w:r>
      <w:r>
        <w:rPr>
          <w:rtl/>
        </w:rPr>
        <w:tab/>
        <w:t xml:space="preserve">בית המשפט רשאי לחרוג ממתחם העונש ההולם או לקולא, בשל שיקולי שיקום וטיפול של הנאשם, או לחומרא בשל הגנה על שלום הציבור. </w:t>
      </w:r>
    </w:p>
    <w:p w14:paraId="01249FA5" w14:textId="77777777" w:rsidR="00450785" w:rsidRDefault="00450785" w:rsidP="00FB1245">
      <w:pPr>
        <w:spacing w:line="360" w:lineRule="auto"/>
        <w:ind w:left="720"/>
        <w:jc w:val="both"/>
        <w:rPr>
          <w:rtl/>
        </w:rPr>
      </w:pPr>
      <w:r>
        <w:rPr>
          <w:rtl/>
        </w:rPr>
        <w:t>בענייננו, לא התבקש תסקיר שירות המבחן, וממילא לא נערך תסקיר, ואף ב"כ הנאשם לא הצביע על שיקולי שיקום בעטיים יש לחרוג מן המתחם שנקבע. מנגד סבורני, כי בנסיבות העניין אף לא מתקיימים התנאים לסטייה לחומרא ממתחם העונש האמור, וכאלה אף לא נטענו, ולפיכך, קובע אני, כי עונשו של הנאשם יקבע במתחם האמור.</w:t>
      </w:r>
    </w:p>
    <w:p w14:paraId="750D312A" w14:textId="77777777" w:rsidR="00450785" w:rsidRDefault="00450785" w:rsidP="00FB1245">
      <w:pPr>
        <w:spacing w:line="360" w:lineRule="auto"/>
        <w:ind w:left="720"/>
        <w:jc w:val="both"/>
        <w:rPr>
          <w:rtl/>
        </w:rPr>
      </w:pPr>
    </w:p>
    <w:p w14:paraId="16240941" w14:textId="77777777" w:rsidR="00450785" w:rsidRDefault="00450785" w:rsidP="00614DA1">
      <w:pPr>
        <w:spacing w:line="360" w:lineRule="auto"/>
        <w:ind w:left="720" w:hanging="720"/>
        <w:jc w:val="both"/>
        <w:rPr>
          <w:rtl/>
        </w:rPr>
      </w:pPr>
      <w:r>
        <w:rPr>
          <w:rtl/>
        </w:rPr>
        <w:t>12.</w:t>
      </w:r>
      <w:r>
        <w:rPr>
          <w:rtl/>
        </w:rPr>
        <w:tab/>
        <w:t>בגזירת העונש המתאים לנאשם יש להתחשב בנסיבות שאינן קשורות לביצוע העבירה, ובענייננו יש להביא בחשבון כשיקול לקולא את הודאתו של הנאשם במיוחס לו בכתב- האישום, בהזדמנות הראשונה, מבלי שיהא צורך בקיום הליך ראייתי ותוך חיסכון בזמן שיפוטי יקר, וכן את נסיבות חייו של הנאשם לרבות היותו בן למשפחה המונה 6 נפשות.</w:t>
      </w:r>
    </w:p>
    <w:p w14:paraId="7F83BE54" w14:textId="77777777" w:rsidR="00450785" w:rsidRDefault="00450785" w:rsidP="00FB1245">
      <w:pPr>
        <w:spacing w:line="360" w:lineRule="auto"/>
        <w:ind w:left="720" w:hanging="720"/>
        <w:jc w:val="both"/>
        <w:rPr>
          <w:rtl/>
        </w:rPr>
      </w:pPr>
    </w:p>
    <w:p w14:paraId="7C2993CC" w14:textId="77777777" w:rsidR="00450785" w:rsidRDefault="00450785" w:rsidP="00614DA1">
      <w:pPr>
        <w:spacing w:line="360" w:lineRule="auto"/>
        <w:ind w:left="720"/>
        <w:jc w:val="both"/>
        <w:rPr>
          <w:rtl/>
        </w:rPr>
      </w:pPr>
      <w:r>
        <w:rPr>
          <w:rtl/>
        </w:rPr>
        <w:t xml:space="preserve">בנוסף, יש ליתן את הדעת, לגילו הצעיר של הנאשם, שנקבע </w:t>
      </w:r>
      <w:hyperlink r:id="rId46" w:history="1">
        <w:r w:rsidR="003B7052" w:rsidRPr="003B7052">
          <w:rPr>
            <w:rStyle w:val="Hyperlink"/>
            <w:rFonts w:cs="David"/>
            <w:rtl/>
          </w:rPr>
          <w:t>בסעיף  40 יא(1)</w:t>
        </w:r>
      </w:hyperlink>
      <w:r>
        <w:rPr>
          <w:rtl/>
        </w:rPr>
        <w:t xml:space="preserve"> ל</w:t>
      </w:r>
      <w:hyperlink r:id="rId47" w:history="1">
        <w:r w:rsidR="000444B2" w:rsidRPr="000444B2">
          <w:rPr>
            <w:color w:val="0000FF"/>
            <w:u w:val="single"/>
            <w:rtl/>
          </w:rPr>
          <w:t>חוק העונשין</w:t>
        </w:r>
      </w:hyperlink>
      <w:r>
        <w:rPr>
          <w:rtl/>
        </w:rPr>
        <w:t>:</w:t>
      </w:r>
    </w:p>
    <w:p w14:paraId="6217FFE7" w14:textId="77777777" w:rsidR="00450785" w:rsidRDefault="00450785" w:rsidP="00614DA1">
      <w:pPr>
        <w:spacing w:line="360" w:lineRule="auto"/>
        <w:ind w:left="720"/>
        <w:jc w:val="both"/>
        <w:rPr>
          <w:rtl/>
        </w:rPr>
      </w:pPr>
    </w:p>
    <w:p w14:paraId="4DC1386E" w14:textId="77777777" w:rsidR="00450785" w:rsidRDefault="00450785" w:rsidP="00FB1245">
      <w:pPr>
        <w:pStyle w:val="p00"/>
        <w:spacing w:before="72" w:line="360" w:lineRule="auto"/>
        <w:ind w:left="1440"/>
        <w:rPr>
          <w:rFonts w:ascii="David" w:hAnsi="David" w:cs="David"/>
          <w:b/>
          <w:bCs/>
          <w:sz w:val="24"/>
          <w:szCs w:val="24"/>
          <w:rtl/>
        </w:rPr>
      </w:pPr>
      <w:r>
        <w:rPr>
          <w:rStyle w:val="default"/>
          <w:rFonts w:ascii="David" w:hAnsi="David" w:cs="David"/>
          <w:b/>
          <w:bCs/>
          <w:sz w:val="24"/>
          <w:szCs w:val="24"/>
          <w:rtl/>
        </w:rPr>
        <w:t>"בגזירת העונש המתאים לנאשם כאמור בסעיף 40ג(ב), רשאי בית המשפט להתחשב בהתקיימות נסיבות שאינן קשורות בביצוע העבירה, המפורטות להלן, ובמידה שבה התקיימו, ככל שסבר כי ראוי לתת להן משקל בנסיבות המקרה, ובלבד שהעונש לא יחרוג ממתחם העונש ההולם:</w:t>
      </w:r>
    </w:p>
    <w:p w14:paraId="089EA2F0" w14:textId="77777777" w:rsidR="00450785" w:rsidRDefault="00450785" w:rsidP="00FB1245">
      <w:pPr>
        <w:pStyle w:val="p00"/>
        <w:spacing w:before="72" w:line="360" w:lineRule="auto"/>
        <w:ind w:left="1344" w:right="1134" w:firstLine="96"/>
        <w:rPr>
          <w:rFonts w:ascii="David" w:hAnsi="David" w:cs="David"/>
          <w:b/>
          <w:bCs/>
          <w:sz w:val="24"/>
          <w:szCs w:val="24"/>
        </w:rPr>
      </w:pPr>
      <w:r>
        <w:rPr>
          <w:rStyle w:val="default"/>
          <w:rFonts w:ascii="David" w:hAnsi="David" w:cs="David"/>
          <w:b/>
          <w:bCs/>
          <w:sz w:val="24"/>
          <w:szCs w:val="24"/>
          <w:rtl/>
        </w:rPr>
        <w:t>(1)</w:t>
      </w:r>
      <w:r w:rsidR="000444B2">
        <w:rPr>
          <w:rStyle w:val="default"/>
          <w:rFonts w:ascii="David" w:hAnsi="David" w:cs="David"/>
          <w:b/>
          <w:bCs/>
          <w:sz w:val="24"/>
          <w:szCs w:val="24"/>
          <w:rtl/>
        </w:rPr>
        <w:t xml:space="preserve"> </w:t>
      </w:r>
      <w:r>
        <w:rPr>
          <w:rStyle w:val="default"/>
          <w:rFonts w:ascii="David" w:hAnsi="David" w:cs="David"/>
          <w:b/>
          <w:bCs/>
          <w:sz w:val="24"/>
          <w:szCs w:val="24"/>
          <w:rtl/>
        </w:rPr>
        <w:t xml:space="preserve"> הפגיעה של העונש בנאשם, לרבות בשל גילו"</w:t>
      </w:r>
      <w:r>
        <w:rPr>
          <w:rFonts w:ascii="David" w:hAnsi="David" w:cs="David"/>
          <w:b/>
          <w:bCs/>
          <w:sz w:val="24"/>
          <w:szCs w:val="24"/>
          <w:rtl/>
        </w:rPr>
        <w:t>.</w:t>
      </w:r>
    </w:p>
    <w:p w14:paraId="48DD95E6" w14:textId="77777777" w:rsidR="00450785" w:rsidRDefault="00450785" w:rsidP="00FB1245">
      <w:pPr>
        <w:spacing w:line="360" w:lineRule="auto"/>
        <w:ind w:left="720"/>
        <w:jc w:val="both"/>
        <w:rPr>
          <w:rtl/>
        </w:rPr>
      </w:pPr>
    </w:p>
    <w:p w14:paraId="77CC61AE" w14:textId="77777777" w:rsidR="00450785" w:rsidRDefault="00450785" w:rsidP="00FB1245">
      <w:pPr>
        <w:spacing w:line="360" w:lineRule="auto"/>
        <w:ind w:left="720"/>
        <w:jc w:val="both"/>
        <w:rPr>
          <w:rtl/>
        </w:rPr>
      </w:pPr>
    </w:p>
    <w:p w14:paraId="76CC5B33" w14:textId="77777777" w:rsidR="00450785" w:rsidRDefault="00450785" w:rsidP="00FB1245">
      <w:pPr>
        <w:spacing w:line="360" w:lineRule="auto"/>
        <w:ind w:left="720"/>
        <w:jc w:val="both"/>
        <w:rPr>
          <w:rtl/>
        </w:rPr>
      </w:pPr>
    </w:p>
    <w:p w14:paraId="18D3B1A2" w14:textId="77777777" w:rsidR="00450785" w:rsidRDefault="00450785" w:rsidP="00FB1245">
      <w:pPr>
        <w:spacing w:line="360" w:lineRule="auto"/>
        <w:ind w:left="720"/>
        <w:jc w:val="both"/>
        <w:rPr>
          <w:rtl/>
        </w:rPr>
      </w:pPr>
    </w:p>
    <w:p w14:paraId="0C52624E" w14:textId="77777777" w:rsidR="00450785" w:rsidRDefault="00450785" w:rsidP="00FB1245">
      <w:pPr>
        <w:spacing w:line="360" w:lineRule="auto"/>
        <w:ind w:left="720"/>
        <w:jc w:val="both"/>
        <w:rPr>
          <w:rtl/>
        </w:rPr>
      </w:pPr>
      <w:r>
        <w:rPr>
          <w:rtl/>
        </w:rPr>
        <w:t>וכן אפנה לדבריו של כב' השופט (בדימוס) ס. ג'ובראן בעניין פלוני:</w:t>
      </w:r>
    </w:p>
    <w:p w14:paraId="4F9204A1" w14:textId="77777777" w:rsidR="00450785" w:rsidRDefault="00450785" w:rsidP="00FB1245">
      <w:pPr>
        <w:spacing w:line="360" w:lineRule="auto"/>
        <w:ind w:left="720"/>
        <w:jc w:val="both"/>
        <w:rPr>
          <w:rtl/>
        </w:rPr>
      </w:pPr>
    </w:p>
    <w:p w14:paraId="2FC87A78" w14:textId="77777777" w:rsidR="00450785" w:rsidRDefault="00450785" w:rsidP="00FB1245">
      <w:pPr>
        <w:spacing w:line="360" w:lineRule="auto"/>
        <w:ind w:left="1440"/>
        <w:jc w:val="both"/>
        <w:rPr>
          <w:rtl/>
        </w:rPr>
      </w:pPr>
      <w:r>
        <w:rPr>
          <w:b/>
          <w:bCs/>
          <w:rtl/>
        </w:rPr>
        <w:t>"</w:t>
      </w:r>
      <w:r>
        <w:rPr>
          <w:b/>
          <w:bCs/>
          <w:spacing w:val="10"/>
          <w:rtl/>
        </w:rPr>
        <w:t xml:space="preserve">לאור כל האמור לעיל, לגישתי, 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14:paraId="390F093D" w14:textId="77777777" w:rsidR="00450785" w:rsidRDefault="00450785" w:rsidP="00FB1245">
      <w:pPr>
        <w:spacing w:line="360" w:lineRule="auto"/>
        <w:ind w:left="1440"/>
        <w:jc w:val="both"/>
        <w:rPr>
          <w:rtl/>
        </w:rPr>
      </w:pPr>
    </w:p>
    <w:p w14:paraId="10E2331E" w14:textId="77777777" w:rsidR="00450785" w:rsidRDefault="00450785" w:rsidP="00FB1245">
      <w:pPr>
        <w:spacing w:line="360" w:lineRule="auto"/>
        <w:ind w:left="720"/>
        <w:jc w:val="both"/>
        <w:rPr>
          <w:rtl/>
        </w:rPr>
      </w:pPr>
      <w:r>
        <w:rPr>
          <w:rtl/>
        </w:rPr>
        <w:t xml:space="preserve">עוד ובנוסף אציין, כי בהתאם לגיליון המרשם הפלילי, לנאשם קיימת הרשעה אחת בגין עבירת חבלה חמורה, מכוח </w:t>
      </w:r>
      <w:hyperlink r:id="rId48" w:history="1">
        <w:r w:rsidR="003B7052" w:rsidRPr="003B7052">
          <w:rPr>
            <w:rStyle w:val="Hyperlink"/>
            <w:rFonts w:cs="David"/>
            <w:rtl/>
          </w:rPr>
          <w:t>סעיף 333</w:t>
        </w:r>
      </w:hyperlink>
      <w:r>
        <w:rPr>
          <w:rtl/>
        </w:rPr>
        <w:t xml:space="preserve"> ל</w:t>
      </w:r>
      <w:hyperlink r:id="rId49" w:history="1">
        <w:r w:rsidR="000444B2" w:rsidRPr="000444B2">
          <w:rPr>
            <w:color w:val="0000FF"/>
            <w:u w:val="single"/>
            <w:rtl/>
          </w:rPr>
          <w:t>חוק העונשין</w:t>
        </w:r>
      </w:hyperlink>
      <w:r>
        <w:rPr>
          <w:rtl/>
        </w:rPr>
        <w:t xml:space="preserve">, וחבלה כשעבריין מזויין, מכוח </w:t>
      </w:r>
      <w:hyperlink r:id="rId50" w:history="1">
        <w:r w:rsidR="003B7052" w:rsidRPr="003B7052">
          <w:rPr>
            <w:rStyle w:val="Hyperlink"/>
            <w:rFonts w:cs="David"/>
            <w:rtl/>
          </w:rPr>
          <w:t>סעיף 335 (א)(1)</w:t>
        </w:r>
      </w:hyperlink>
      <w:r>
        <w:rPr>
          <w:rtl/>
        </w:rPr>
        <w:t xml:space="preserve"> לחוק העונשין, בגינן נגזרו על הנאשם 6 חודשי מאסר לריצוי בעבודות שירות.</w:t>
      </w:r>
    </w:p>
    <w:p w14:paraId="50CFC417" w14:textId="77777777" w:rsidR="00450785" w:rsidRDefault="00450785" w:rsidP="00FB1245">
      <w:pPr>
        <w:spacing w:line="360" w:lineRule="auto"/>
        <w:ind w:left="720"/>
        <w:jc w:val="both"/>
        <w:rPr>
          <w:rtl/>
        </w:rPr>
      </w:pPr>
      <w:r>
        <w:rPr>
          <w:rtl/>
        </w:rPr>
        <w:t>לפיכך, מדובר במאסרו הראשון של הנאשם מאחורי סורג ובריח, וברי, כי גם לכך, יש ליתן משקל.</w:t>
      </w:r>
    </w:p>
    <w:p w14:paraId="4DA2770D" w14:textId="77777777" w:rsidR="00450785" w:rsidRDefault="00450785" w:rsidP="00FB1245">
      <w:pPr>
        <w:spacing w:line="360" w:lineRule="auto"/>
        <w:ind w:left="720"/>
        <w:jc w:val="both"/>
        <w:rPr>
          <w:rtl/>
        </w:rPr>
      </w:pPr>
    </w:p>
    <w:p w14:paraId="6CBE1F9C" w14:textId="77777777" w:rsidR="00450785" w:rsidRDefault="00450785" w:rsidP="00FB1245">
      <w:pPr>
        <w:spacing w:line="360" w:lineRule="auto"/>
        <w:ind w:left="720"/>
        <w:jc w:val="both"/>
        <w:rPr>
          <w:rtl/>
        </w:rPr>
      </w:pPr>
      <w:r>
        <w:rPr>
          <w:rtl/>
        </w:rPr>
        <w:t>אפנה שוב לעניין פלוני:</w:t>
      </w:r>
    </w:p>
    <w:p w14:paraId="54CFA778" w14:textId="77777777" w:rsidR="00450785" w:rsidRDefault="00450785" w:rsidP="00FB1245">
      <w:pPr>
        <w:spacing w:line="360" w:lineRule="auto"/>
        <w:ind w:left="720"/>
        <w:jc w:val="both"/>
        <w:rPr>
          <w:rtl/>
        </w:rPr>
      </w:pPr>
    </w:p>
    <w:p w14:paraId="3D5893EA" w14:textId="77777777" w:rsidR="00450785" w:rsidRDefault="00450785" w:rsidP="00FB1245">
      <w:pPr>
        <w:tabs>
          <w:tab w:val="left" w:pos="800"/>
        </w:tabs>
        <w:overflowPunct w:val="0"/>
        <w:autoSpaceDE w:val="0"/>
        <w:autoSpaceDN w:val="0"/>
        <w:adjustRightInd w:val="0"/>
        <w:spacing w:line="360" w:lineRule="auto"/>
        <w:ind w:left="1440"/>
        <w:jc w:val="both"/>
        <w:rPr>
          <w:b/>
          <w:bCs/>
          <w:i/>
          <w:iCs/>
          <w:spacing w:val="10"/>
          <w:rtl/>
        </w:rPr>
      </w:pPr>
      <w:r>
        <w:rPr>
          <w:rFonts w:ascii="Arial TUR" w:hAnsi="Arial TUR" w:cs="FrankRuehl"/>
          <w:spacing w:val="10"/>
          <w:szCs w:val="28"/>
          <w:rtl/>
        </w:rPr>
        <w:t>"</w:t>
      </w:r>
      <w:r>
        <w:rPr>
          <w:b/>
          <w:bCs/>
          <w:spacing w:val="10"/>
          <w:rtl/>
        </w:rPr>
        <w:t xml:space="preserve">יתר על כך, מחקרים רבים הראו כי קיים קשר סיבתי שלילי, על פיו מאסר ראשון לא רק שאינו מביא להתרעת היחיד, אלא מביא בסבירות גבוהה למאסרים נוספים ורצידיביזם (ראו: חגית לרנאו וישי שרון "שמונה הכרעות ערכיות בחקיקת חוק הבניית שיקול הדעת השיפוטי בענישה" </w:t>
      </w:r>
      <w:r>
        <w:rPr>
          <w:b/>
          <w:bCs/>
          <w:rtl/>
        </w:rPr>
        <w:t>הסניגור</w:t>
      </w:r>
      <w:r>
        <w:rPr>
          <w:b/>
          <w:bCs/>
          <w:spacing w:val="10"/>
          <w:rtl/>
        </w:rPr>
        <w:t xml:space="preserve"> 183 14, 19; </w:t>
      </w:r>
      <w:r>
        <w:rPr>
          <w:b/>
          <w:bCs/>
          <w:spacing w:val="10"/>
        </w:rPr>
        <w:t xml:space="preserve">Francis T. Cullen at el, </w:t>
      </w:r>
      <w:r>
        <w:rPr>
          <w:b/>
          <w:bCs/>
          <w:i/>
          <w:iCs/>
          <w:spacing w:val="10"/>
        </w:rPr>
        <w:t>Prisons do not Reduce Recidivism: The High Cost of Ignoring Science</w:t>
      </w:r>
      <w:r>
        <w:rPr>
          <w:b/>
          <w:bCs/>
          <w:spacing w:val="10"/>
        </w:rPr>
        <w:t xml:space="preserve">, 91 The </w:t>
      </w:r>
      <w:r>
        <w:rPr>
          <w:b/>
          <w:bCs/>
          <w:smallCaps/>
          <w:spacing w:val="10"/>
        </w:rPr>
        <w:t>Prison Journal</w:t>
      </w:r>
      <w:r>
        <w:rPr>
          <w:b/>
          <w:bCs/>
          <w:spacing w:val="10"/>
        </w:rPr>
        <w:t xml:space="preserve"> 48 (2011)</w:t>
      </w:r>
      <w:r>
        <w:rPr>
          <w:b/>
          <w:bCs/>
          <w:spacing w:val="10"/>
          <w:rtl/>
        </w:rPr>
        <w:t xml:space="preserve">)". </w:t>
      </w:r>
    </w:p>
    <w:p w14:paraId="0A2F5260" w14:textId="77777777" w:rsidR="00450785" w:rsidRDefault="00450785" w:rsidP="00FB1245">
      <w:pPr>
        <w:spacing w:line="360" w:lineRule="auto"/>
        <w:ind w:left="720"/>
        <w:jc w:val="both"/>
        <w:rPr>
          <w:rtl/>
        </w:rPr>
      </w:pPr>
    </w:p>
    <w:p w14:paraId="5477E299" w14:textId="77777777" w:rsidR="00450785" w:rsidRDefault="00450785" w:rsidP="00FB1245">
      <w:pPr>
        <w:spacing w:line="360" w:lineRule="auto"/>
        <w:ind w:left="720" w:hanging="720"/>
        <w:jc w:val="both"/>
        <w:rPr>
          <w:rtl/>
        </w:rPr>
      </w:pPr>
      <w:r>
        <w:rPr>
          <w:rtl/>
        </w:rPr>
        <w:t>13.</w:t>
      </w:r>
      <w:r>
        <w:rPr>
          <w:rtl/>
        </w:rPr>
        <w:tab/>
        <w:t xml:space="preserve">מנגד יש להתחשב כשיקול לחומרא בעקרון ההרתעה בעבירות נשק, ובצורך ההולך וגובר למגרן, שעה שמעשים אלו הופכים ל"מכת-מדינה". </w:t>
      </w:r>
    </w:p>
    <w:p w14:paraId="163CEA7E" w14:textId="77777777" w:rsidR="00450785" w:rsidRDefault="00450785" w:rsidP="00FB1245">
      <w:pPr>
        <w:spacing w:line="360" w:lineRule="auto"/>
        <w:ind w:left="720" w:hanging="720"/>
        <w:jc w:val="both"/>
        <w:rPr>
          <w:rtl/>
        </w:rPr>
      </w:pPr>
    </w:p>
    <w:p w14:paraId="39FC8E42" w14:textId="77777777" w:rsidR="00450785" w:rsidRDefault="00450785" w:rsidP="00FB1245">
      <w:pPr>
        <w:spacing w:line="360" w:lineRule="auto"/>
        <w:ind w:left="720" w:hanging="720"/>
        <w:jc w:val="both"/>
        <w:rPr>
          <w:rtl/>
        </w:rPr>
      </w:pPr>
      <w:r>
        <w:rPr>
          <w:rtl/>
        </w:rPr>
        <w:tab/>
        <w:t>גדיעת תופעה זו, בעודה באיבה, עשויה להיות הפסע הראשון במסע הארוך להחזרת ביטחון הציבור ושלומו במרחב הציבורי והפרט גם יחד.</w:t>
      </w:r>
    </w:p>
    <w:p w14:paraId="28EA5371" w14:textId="77777777" w:rsidR="00450785" w:rsidRDefault="00450785" w:rsidP="004252C0">
      <w:pPr>
        <w:spacing w:line="360" w:lineRule="auto"/>
        <w:ind w:left="720" w:hanging="720"/>
        <w:jc w:val="both"/>
        <w:rPr>
          <w:spacing w:val="10"/>
          <w:rtl/>
        </w:rPr>
      </w:pPr>
      <w:r>
        <w:rPr>
          <w:spacing w:val="10"/>
          <w:rtl/>
        </w:rPr>
        <w:t>14.</w:t>
      </w:r>
      <w:r>
        <w:rPr>
          <w:spacing w:val="10"/>
          <w:rtl/>
        </w:rPr>
        <w:tab/>
      </w:r>
      <w:r>
        <w:rPr>
          <w:rtl/>
        </w:rPr>
        <w:t xml:space="preserve">בשקלול הנסיבות והנתונים השונים אני קובע, כי העונש הראוי בנסיבות הוא עונש של </w:t>
      </w:r>
      <w:r w:rsidRPr="004B0745">
        <w:rPr>
          <w:rtl/>
        </w:rPr>
        <w:t>18</w:t>
      </w:r>
      <w:r>
        <w:rPr>
          <w:rtl/>
        </w:rPr>
        <w:t xml:space="preserve"> חודשי מאסר בפועל, בניכוי ימי המעצר בהם נשא הנאשם עד כה מכוח המעצר עד תום ההליכים אשר הושת עליו, החל מיום 8/6/2020.</w:t>
      </w:r>
    </w:p>
    <w:p w14:paraId="408FEB3F" w14:textId="77777777" w:rsidR="00450785" w:rsidRDefault="00450785" w:rsidP="00FB1245">
      <w:pPr>
        <w:pStyle w:val="Ruller40"/>
        <w:rPr>
          <w:sz w:val="22"/>
        </w:rPr>
      </w:pPr>
    </w:p>
    <w:p w14:paraId="6C409784" w14:textId="77777777" w:rsidR="00450785" w:rsidRDefault="00450785" w:rsidP="00FB1245">
      <w:pPr>
        <w:spacing w:line="360" w:lineRule="auto"/>
        <w:jc w:val="both"/>
        <w:rPr>
          <w:rtl/>
        </w:rPr>
      </w:pPr>
      <w:r>
        <w:rPr>
          <w:rtl/>
        </w:rPr>
        <w:t>15.</w:t>
      </w:r>
      <w:r>
        <w:rPr>
          <w:rtl/>
        </w:rPr>
        <w:tab/>
        <w:t>אשר על כן אני גוזר על הנאשם:</w:t>
      </w:r>
    </w:p>
    <w:p w14:paraId="050195AC" w14:textId="77777777" w:rsidR="00450785" w:rsidRDefault="00450785" w:rsidP="004252C0">
      <w:pPr>
        <w:pStyle w:val="ac"/>
        <w:spacing w:after="0" w:line="360" w:lineRule="auto"/>
        <w:ind w:left="1440" w:hanging="720"/>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 xml:space="preserve">מאסר למשך </w:t>
      </w:r>
      <w:r w:rsidRPr="004B0745">
        <w:rPr>
          <w:rFonts w:ascii="David" w:hAnsi="David" w:cs="David"/>
          <w:sz w:val="24"/>
          <w:szCs w:val="24"/>
          <w:rtl/>
        </w:rPr>
        <w:t>18</w:t>
      </w:r>
      <w:r>
        <w:rPr>
          <w:rFonts w:ascii="David" w:hAnsi="David" w:cs="David"/>
          <w:sz w:val="24"/>
          <w:szCs w:val="24"/>
          <w:rtl/>
        </w:rPr>
        <w:t xml:space="preserve"> חודשים, לריצוי בפועל, בניכוי ימי מעצרו החל מיום 8/6/2020.</w:t>
      </w:r>
    </w:p>
    <w:p w14:paraId="28D79E8F" w14:textId="77777777" w:rsidR="00450785" w:rsidRDefault="00450785" w:rsidP="00FB1245">
      <w:pPr>
        <w:pStyle w:val="ac"/>
        <w:spacing w:after="0" w:line="360" w:lineRule="auto"/>
        <w:jc w:val="both"/>
        <w:rPr>
          <w:rFonts w:ascii="David" w:hAnsi="David" w:cs="David"/>
          <w:sz w:val="24"/>
          <w:szCs w:val="24"/>
          <w:rtl/>
        </w:rPr>
      </w:pPr>
    </w:p>
    <w:p w14:paraId="72EA9AD4" w14:textId="77777777" w:rsidR="00450785" w:rsidRDefault="00450785" w:rsidP="00FB1245">
      <w:pPr>
        <w:spacing w:line="360" w:lineRule="auto"/>
        <w:ind w:left="1440" w:hanging="720"/>
        <w:jc w:val="both"/>
        <w:rPr>
          <w:rtl/>
        </w:rPr>
      </w:pPr>
      <w:r>
        <w:rPr>
          <w:rtl/>
        </w:rPr>
        <w:t>ב.</w:t>
      </w:r>
      <w:r>
        <w:rPr>
          <w:rtl/>
        </w:rPr>
        <w:tab/>
        <w:t xml:space="preserve">מאסר על תנאי לתקופה של </w:t>
      </w:r>
      <w:r w:rsidRPr="004B0745">
        <w:rPr>
          <w:rtl/>
        </w:rPr>
        <w:t>10</w:t>
      </w:r>
      <w:r>
        <w:rPr>
          <w:rtl/>
        </w:rPr>
        <w:t xml:space="preserve"> חודשים שיופעל במידה והנאשם יעבור תוך 3 שנים מיום שחרורו, </w:t>
      </w:r>
      <w:r w:rsidRPr="004B0745">
        <w:rPr>
          <w:rtl/>
        </w:rPr>
        <w:t>עבירת נשק או עבירה של הפרעה לגורמי אכיפת החוק, לרבות שוטר.</w:t>
      </w:r>
      <w:r>
        <w:rPr>
          <w:rtl/>
        </w:rPr>
        <w:t xml:space="preserve"> </w:t>
      </w:r>
    </w:p>
    <w:p w14:paraId="2D42B0C7" w14:textId="77777777" w:rsidR="00450785" w:rsidRDefault="00450785" w:rsidP="00FB1245">
      <w:pPr>
        <w:spacing w:line="360" w:lineRule="auto"/>
        <w:ind w:left="1440" w:hanging="720"/>
        <w:jc w:val="both"/>
        <w:rPr>
          <w:rtl/>
        </w:rPr>
      </w:pPr>
    </w:p>
    <w:p w14:paraId="72847C36" w14:textId="77777777" w:rsidR="00450785" w:rsidRDefault="00450785" w:rsidP="00FB1245">
      <w:pPr>
        <w:shd w:val="clear" w:color="auto" w:fill="FFFFFF"/>
        <w:spacing w:line="360" w:lineRule="auto"/>
        <w:ind w:right="426"/>
        <w:jc w:val="both"/>
        <w:rPr>
          <w:rtl/>
        </w:rPr>
      </w:pPr>
      <w:r>
        <w:rPr>
          <w:b/>
          <w:bCs/>
          <w:u w:val="single"/>
          <w:rtl/>
        </w:rPr>
        <w:t>המזכירות תשלח עותק מגזר הדין לשב"ס</w:t>
      </w:r>
      <w:r>
        <w:rPr>
          <w:rtl/>
        </w:rPr>
        <w:t>.</w:t>
      </w:r>
    </w:p>
    <w:p w14:paraId="5F9E0D1D" w14:textId="77777777" w:rsidR="00450785" w:rsidRDefault="00450785" w:rsidP="00FB1245">
      <w:pPr>
        <w:shd w:val="clear" w:color="auto" w:fill="FFFFFF"/>
        <w:spacing w:line="360" w:lineRule="auto"/>
        <w:ind w:right="426"/>
        <w:jc w:val="both"/>
        <w:rPr>
          <w:rtl/>
        </w:rPr>
      </w:pPr>
    </w:p>
    <w:p w14:paraId="4D6A0825" w14:textId="77777777" w:rsidR="00450785" w:rsidRDefault="00450785" w:rsidP="00FB1245">
      <w:pPr>
        <w:shd w:val="clear" w:color="auto" w:fill="FFFFFF"/>
        <w:spacing w:line="360" w:lineRule="auto"/>
        <w:ind w:right="426"/>
        <w:jc w:val="both"/>
        <w:rPr>
          <w:sz w:val="6"/>
          <w:szCs w:val="6"/>
          <w:rtl/>
        </w:rPr>
      </w:pPr>
      <w:r>
        <w:rPr>
          <w:sz w:val="6"/>
          <w:szCs w:val="6"/>
          <w:rtl/>
        </w:rPr>
        <w:t>&lt;#10#&gt;</w:t>
      </w:r>
    </w:p>
    <w:p w14:paraId="77C761E2" w14:textId="77777777" w:rsidR="00450785" w:rsidRDefault="00450785" w:rsidP="003B08F6">
      <w:pPr>
        <w:rPr>
          <w:rtl/>
        </w:rPr>
      </w:pPr>
    </w:p>
    <w:p w14:paraId="37031144" w14:textId="77777777" w:rsidR="00450785" w:rsidRDefault="00450785" w:rsidP="003B08F6">
      <w:pPr>
        <w:spacing w:line="360" w:lineRule="auto"/>
        <w:rPr>
          <w:rFonts w:hint="cs"/>
          <w:rtl/>
        </w:rPr>
      </w:pPr>
      <w:r>
        <w:rPr>
          <w:b/>
          <w:bCs/>
          <w:rtl/>
        </w:rPr>
        <w:t xml:space="preserve">ניתנה והודעה היום י"ד טבת תשפ"א, </w:t>
      </w:r>
      <w:r>
        <w:rPr>
          <w:b/>
          <w:bCs/>
        </w:rPr>
        <w:t>29/12/2020</w:t>
      </w:r>
      <w:r>
        <w:rPr>
          <w:b/>
          <w:bCs/>
          <w:rtl/>
        </w:rPr>
        <w:t xml:space="preserve"> במעמד הנוכחים.</w:t>
      </w:r>
      <w:r w:rsidR="0082463E">
        <w:rPr>
          <w:rFonts w:hint="cs"/>
          <w:rtl/>
        </w:rPr>
        <w:t xml:space="preserve"> </w:t>
      </w:r>
    </w:p>
    <w:p w14:paraId="0BBA226A" w14:textId="77777777" w:rsidR="00450785" w:rsidRDefault="00450785" w:rsidP="003B08F6">
      <w:pPr>
        <w:rPr>
          <w:rtl/>
        </w:rPr>
      </w:pPr>
    </w:p>
    <w:p w14:paraId="7EC705A2" w14:textId="77777777" w:rsidR="00450785" w:rsidRDefault="00450785"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444B2" w14:paraId="116A35FF" w14:textId="77777777" w:rsidTr="00E91799">
        <w:trPr>
          <w:trHeight w:val="316"/>
          <w:jc w:val="right"/>
        </w:trPr>
        <w:tc>
          <w:tcPr>
            <w:tcW w:w="3936" w:type="dxa"/>
            <w:vAlign w:val="bottom"/>
          </w:tcPr>
          <w:p w14:paraId="343022D8" w14:textId="77777777" w:rsidR="000444B2" w:rsidRPr="007C461F" w:rsidRDefault="000444B2" w:rsidP="00E91799">
            <w:pPr>
              <w:jc w:val="center"/>
              <w:rPr>
                <w:rFonts w:ascii="Times New Roman" w:hAnsi="Times New Roman" w:cs="Times New Roman"/>
              </w:rPr>
            </w:pPr>
            <w:r w:rsidRPr="007C461F">
              <w:rPr>
                <w:rFonts w:ascii="Times New Roman" w:hAnsi="Times New Roman" w:cs="Times New Roman"/>
                <w:noProof/>
              </w:rPr>
              <w:pict w14:anchorId="436B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14pt;height:85.8pt;visibility:visible">
                  <v:imagedata r:id="rId51" o:title=""/>
                </v:shape>
              </w:pict>
            </w:r>
          </w:p>
          <w:p w14:paraId="35B59036" w14:textId="77777777" w:rsidR="000444B2" w:rsidRPr="007C461F" w:rsidRDefault="000444B2" w:rsidP="00E91799">
            <w:pPr>
              <w:jc w:val="center"/>
              <w:rPr>
                <w:rFonts w:ascii="Times New Roman" w:hAnsi="Times New Roman" w:cs="Times New Roman"/>
                <w:rtl/>
              </w:rPr>
            </w:pPr>
          </w:p>
        </w:tc>
      </w:tr>
      <w:tr w:rsidR="000444B2" w14:paraId="2BCB0978" w14:textId="77777777" w:rsidTr="00E91799">
        <w:trPr>
          <w:trHeight w:val="361"/>
          <w:jc w:val="right"/>
        </w:trPr>
        <w:tc>
          <w:tcPr>
            <w:tcW w:w="3936" w:type="dxa"/>
          </w:tcPr>
          <w:p w14:paraId="32A62AF7" w14:textId="77777777" w:rsidR="000444B2" w:rsidRPr="007C461F" w:rsidRDefault="000444B2" w:rsidP="00E91799">
            <w:pPr>
              <w:jc w:val="center"/>
              <w:rPr>
                <w:rFonts w:ascii="Times New Roman" w:hAnsi="Times New Roman"/>
                <w:b/>
                <w:bCs/>
                <w:rtl/>
              </w:rPr>
            </w:pPr>
            <w:r w:rsidRPr="007C461F">
              <w:rPr>
                <w:rFonts w:ascii="Times New Roman" w:hAnsi="Times New Roman"/>
                <w:b/>
                <w:bCs/>
                <w:rtl/>
              </w:rPr>
              <w:t>סארי ג'יוסי, שופט</w:t>
            </w:r>
          </w:p>
        </w:tc>
      </w:tr>
    </w:tbl>
    <w:p w14:paraId="2736FBDD" w14:textId="77777777" w:rsidR="000444B2" w:rsidRDefault="000444B2" w:rsidP="003B08F6">
      <w:pPr>
        <w:rPr>
          <w:rFonts w:hint="cs"/>
          <w:rtl/>
        </w:rPr>
      </w:pPr>
    </w:p>
    <w:p w14:paraId="03691AC4" w14:textId="77777777" w:rsidR="00450785" w:rsidRDefault="00450785" w:rsidP="003B08F6">
      <w:pPr>
        <w:rPr>
          <w:rtl/>
        </w:rPr>
      </w:pPr>
    </w:p>
    <w:p w14:paraId="72347DA2" w14:textId="77777777" w:rsidR="00450785" w:rsidRDefault="00450785" w:rsidP="006504EB">
      <w:pPr>
        <w:spacing w:line="360" w:lineRule="auto"/>
        <w:jc w:val="both"/>
        <w:rPr>
          <w:rtl/>
        </w:rPr>
      </w:pPr>
      <w:r w:rsidRPr="006504EB">
        <w:rPr>
          <w:b/>
          <w:bCs/>
          <w:u w:val="single"/>
          <w:rtl/>
        </w:rPr>
        <w:t>ב"כ הנאשם</w:t>
      </w:r>
      <w:r>
        <w:rPr>
          <w:rtl/>
        </w:rPr>
        <w:t>:</w:t>
      </w:r>
    </w:p>
    <w:p w14:paraId="62C4A50A" w14:textId="77777777" w:rsidR="00450785" w:rsidRDefault="00450785" w:rsidP="006504EB">
      <w:pPr>
        <w:spacing w:line="360" w:lineRule="auto"/>
        <w:jc w:val="both"/>
        <w:rPr>
          <w:rtl/>
        </w:rPr>
      </w:pPr>
      <w:r>
        <w:rPr>
          <w:rtl/>
        </w:rPr>
        <w:t>שמעתי כעת את הסברי בית המשפט והדברים הובהרו גם לנאשם לגבי העונש שנגזר ובעיקר הבהרות לעניין העונש של מאסר על תנאי ואימתי יופעל ובגין איזה עבירות.</w:t>
      </w:r>
    </w:p>
    <w:p w14:paraId="2CFC4DC5" w14:textId="77777777" w:rsidR="00450785" w:rsidRDefault="00450785" w:rsidP="003B08F6">
      <w:pPr>
        <w:rPr>
          <w:rtl/>
        </w:rPr>
      </w:pPr>
    </w:p>
    <w:p w14:paraId="66404FF0" w14:textId="77777777" w:rsidR="00450785" w:rsidRDefault="00450785" w:rsidP="009D3F0B">
      <w:pPr>
        <w:spacing w:line="360" w:lineRule="auto"/>
        <w:jc w:val="both"/>
        <w:rPr>
          <w:rtl/>
        </w:rPr>
      </w:pPr>
      <w:r w:rsidRPr="006504EB">
        <w:rPr>
          <w:b/>
          <w:bCs/>
          <w:u w:val="single"/>
          <w:rtl/>
        </w:rPr>
        <w:t>ב"כ המאשימה</w:t>
      </w:r>
      <w:r>
        <w:rPr>
          <w:rtl/>
        </w:rPr>
        <w:t>:</w:t>
      </w:r>
    </w:p>
    <w:p w14:paraId="4C478E11" w14:textId="77777777" w:rsidR="00450785" w:rsidRDefault="00450785" w:rsidP="009D3F0B">
      <w:pPr>
        <w:spacing w:line="360" w:lineRule="auto"/>
        <w:jc w:val="both"/>
        <w:rPr>
          <w:rtl/>
        </w:rPr>
      </w:pPr>
      <w:r>
        <w:rPr>
          <w:rtl/>
        </w:rPr>
        <w:t xml:space="preserve">אבקש שבית המשפט יורה על חילוט הנשק. </w:t>
      </w:r>
    </w:p>
    <w:p w14:paraId="702200E2" w14:textId="77777777" w:rsidR="00450785" w:rsidRDefault="00450785" w:rsidP="009D3F0B">
      <w:pPr>
        <w:spacing w:line="360" w:lineRule="auto"/>
        <w:jc w:val="both"/>
        <w:rPr>
          <w:rtl/>
        </w:rPr>
      </w:pPr>
    </w:p>
    <w:p w14:paraId="6388CEB8" w14:textId="77777777" w:rsidR="00450785" w:rsidRDefault="00450785" w:rsidP="009D3F0B">
      <w:pPr>
        <w:spacing w:line="360" w:lineRule="auto"/>
        <w:jc w:val="both"/>
        <w:rPr>
          <w:rtl/>
        </w:rPr>
      </w:pPr>
      <w:r w:rsidRPr="006504EB">
        <w:rPr>
          <w:b/>
          <w:bCs/>
          <w:u w:val="single"/>
          <w:rtl/>
        </w:rPr>
        <w:t>ב"כ הנאשם</w:t>
      </w:r>
      <w:r>
        <w:rPr>
          <w:rtl/>
        </w:rPr>
        <w:t xml:space="preserve">: </w:t>
      </w:r>
    </w:p>
    <w:p w14:paraId="126F42FC" w14:textId="77777777" w:rsidR="00450785" w:rsidRDefault="00450785" w:rsidP="009D3F0B">
      <w:pPr>
        <w:spacing w:line="360" w:lineRule="auto"/>
        <w:jc w:val="both"/>
        <w:rPr>
          <w:rtl/>
        </w:rPr>
      </w:pPr>
      <w:r>
        <w:rPr>
          <w:rtl/>
        </w:rPr>
        <w:t>אין לנו התנגדות.</w:t>
      </w:r>
    </w:p>
    <w:p w14:paraId="516984BA" w14:textId="77777777" w:rsidR="00450785" w:rsidRDefault="00450785" w:rsidP="009D3F0B">
      <w:pPr>
        <w:spacing w:line="360" w:lineRule="auto"/>
        <w:jc w:val="both"/>
        <w:rPr>
          <w:rtl/>
        </w:rPr>
      </w:pPr>
    </w:p>
    <w:p w14:paraId="5815C2D6" w14:textId="77777777" w:rsidR="00450785" w:rsidRDefault="00450785" w:rsidP="009D3F0B">
      <w:pPr>
        <w:spacing w:line="360" w:lineRule="auto"/>
        <w:jc w:val="both"/>
        <w:rPr>
          <w:sz w:val="6"/>
          <w:szCs w:val="6"/>
          <w:rtl/>
        </w:rPr>
      </w:pPr>
      <w:r>
        <w:rPr>
          <w:sz w:val="6"/>
          <w:szCs w:val="6"/>
          <w:rtl/>
        </w:rPr>
        <w:t>&lt;#11#&gt;</w:t>
      </w:r>
    </w:p>
    <w:p w14:paraId="55E081D4" w14:textId="77777777" w:rsidR="00450785" w:rsidRDefault="0045078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0E1860C" w14:textId="77777777" w:rsidR="00450785" w:rsidRDefault="00450785" w:rsidP="006504EB">
      <w:pPr>
        <w:spacing w:line="360" w:lineRule="auto"/>
        <w:rPr>
          <w:rtl/>
        </w:rPr>
      </w:pPr>
    </w:p>
    <w:p w14:paraId="06E040A5" w14:textId="77777777" w:rsidR="00450785" w:rsidRDefault="00450785" w:rsidP="006504EB">
      <w:pPr>
        <w:spacing w:line="360" w:lineRule="auto"/>
        <w:jc w:val="both"/>
        <w:rPr>
          <w:rtl/>
        </w:rPr>
      </w:pPr>
      <w:r>
        <w:rPr>
          <w:rtl/>
        </w:rPr>
        <w:t xml:space="preserve">מורה על חילוט  הנשק שנתפס – דמוי רובה סער </w:t>
      </w:r>
      <w:r>
        <w:t>M</w:t>
      </w:r>
      <w:r>
        <w:rPr>
          <w:rtl/>
        </w:rPr>
        <w:t>16 וכן הכדורים והמחסניות.</w:t>
      </w:r>
    </w:p>
    <w:p w14:paraId="641CBBF4" w14:textId="77777777" w:rsidR="00450785" w:rsidRDefault="00450785" w:rsidP="006504EB">
      <w:pPr>
        <w:spacing w:line="360" w:lineRule="auto"/>
        <w:jc w:val="both"/>
        <w:rPr>
          <w:rtl/>
        </w:rPr>
      </w:pPr>
    </w:p>
    <w:p w14:paraId="3D635A74" w14:textId="77777777" w:rsidR="00450785" w:rsidRDefault="00450785" w:rsidP="006504EB">
      <w:pPr>
        <w:spacing w:line="360" w:lineRule="auto"/>
        <w:jc w:val="both"/>
        <w:rPr>
          <w:sz w:val="6"/>
          <w:szCs w:val="6"/>
          <w:rtl/>
        </w:rPr>
      </w:pPr>
      <w:r>
        <w:rPr>
          <w:sz w:val="6"/>
          <w:szCs w:val="6"/>
          <w:rtl/>
        </w:rPr>
        <w:t>&lt;#12#&gt;</w:t>
      </w:r>
    </w:p>
    <w:p w14:paraId="2791F3AD" w14:textId="77777777" w:rsidR="00450785" w:rsidRDefault="00450785" w:rsidP="003B08F6">
      <w:pPr>
        <w:rPr>
          <w:rtl/>
        </w:rPr>
      </w:pPr>
    </w:p>
    <w:p w14:paraId="253DFE07" w14:textId="77777777" w:rsidR="00450785" w:rsidRDefault="000444B2" w:rsidP="003B08F6">
      <w:pPr>
        <w:rPr>
          <w:rtl/>
        </w:rPr>
      </w:pPr>
      <w:bookmarkStart w:id="9" w:name="Nitan"/>
      <w:r w:rsidRPr="000444B2">
        <w:rPr>
          <w:b/>
          <w:bCs/>
          <w:color w:val="FFFFFF"/>
          <w:sz w:val="2"/>
          <w:szCs w:val="2"/>
          <w:rtl/>
        </w:rPr>
        <w:t>5129371</w:t>
      </w:r>
      <w:r>
        <w:rPr>
          <w:b/>
          <w:bCs/>
          <w:rtl/>
        </w:rPr>
        <w:t xml:space="preserve">ניתנה והודעה היום י"ד טבת תשפ"א, 29/12/2020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50785" w14:paraId="61D785A8" w14:textId="77777777" w:rsidTr="007C461F">
        <w:trPr>
          <w:trHeight w:val="316"/>
          <w:jc w:val="right"/>
        </w:trPr>
        <w:tc>
          <w:tcPr>
            <w:tcW w:w="3936" w:type="dxa"/>
            <w:vAlign w:val="bottom"/>
          </w:tcPr>
          <w:p w14:paraId="564725A3" w14:textId="77777777" w:rsidR="00450785" w:rsidRPr="000444B2" w:rsidRDefault="000444B2" w:rsidP="007C461F">
            <w:pPr>
              <w:jc w:val="center"/>
              <w:rPr>
                <w:rFonts w:ascii="Times New Roman" w:hAnsi="Times New Roman" w:cs="Times New Roman"/>
                <w:color w:val="FFFFFF"/>
                <w:sz w:val="2"/>
                <w:szCs w:val="2"/>
              </w:rPr>
            </w:pPr>
            <w:r w:rsidRPr="000444B2">
              <w:rPr>
                <w:rFonts w:ascii="Times New Roman" w:hAnsi="Times New Roman" w:cs="Times New Roman"/>
                <w:color w:val="FFFFFF"/>
                <w:sz w:val="2"/>
                <w:szCs w:val="2"/>
                <w:rtl/>
              </w:rPr>
              <w:t>54678313</w:t>
            </w:r>
          </w:p>
          <w:p w14:paraId="027BC8EB" w14:textId="77777777" w:rsidR="00450785" w:rsidRPr="007C461F" w:rsidRDefault="00450785" w:rsidP="007C461F">
            <w:pPr>
              <w:jc w:val="center"/>
              <w:rPr>
                <w:rFonts w:ascii="Times New Roman" w:hAnsi="Times New Roman" w:cs="Times New Roman"/>
                <w:rtl/>
              </w:rPr>
            </w:pPr>
          </w:p>
        </w:tc>
      </w:tr>
      <w:tr w:rsidR="00450785" w14:paraId="4BFF5880" w14:textId="77777777" w:rsidTr="007C461F">
        <w:trPr>
          <w:trHeight w:val="361"/>
          <w:jc w:val="right"/>
        </w:trPr>
        <w:tc>
          <w:tcPr>
            <w:tcW w:w="3936" w:type="dxa"/>
          </w:tcPr>
          <w:p w14:paraId="242F7745" w14:textId="77777777" w:rsidR="00450785" w:rsidRPr="007C461F" w:rsidRDefault="00450785" w:rsidP="007C461F">
            <w:pPr>
              <w:jc w:val="center"/>
              <w:rPr>
                <w:rFonts w:ascii="Times New Roman" w:hAnsi="Times New Roman"/>
                <w:b/>
                <w:bCs/>
                <w:rtl/>
              </w:rPr>
            </w:pPr>
            <w:r w:rsidRPr="007C461F">
              <w:rPr>
                <w:rFonts w:ascii="Times New Roman" w:hAnsi="Times New Roman"/>
                <w:b/>
                <w:bCs/>
                <w:rtl/>
              </w:rPr>
              <w:t>סארי ג'יוסי, שופט</w:t>
            </w:r>
          </w:p>
        </w:tc>
      </w:tr>
    </w:tbl>
    <w:p w14:paraId="1DF2F673" w14:textId="77777777" w:rsidR="00450785" w:rsidRDefault="00450785" w:rsidP="003B08F6">
      <w:pPr>
        <w:rPr>
          <w:rtl/>
        </w:rPr>
      </w:pPr>
    </w:p>
    <w:p w14:paraId="0CE56C5A" w14:textId="77777777" w:rsidR="00450785" w:rsidRDefault="00450785" w:rsidP="003B08F6">
      <w:pPr>
        <w:rPr>
          <w:rtl/>
        </w:rPr>
      </w:pPr>
    </w:p>
    <w:p w14:paraId="587A729D" w14:textId="77777777" w:rsidR="00450785" w:rsidRDefault="00450785" w:rsidP="006504EB">
      <w:pPr>
        <w:spacing w:line="360" w:lineRule="auto"/>
        <w:jc w:val="center"/>
        <w:rPr>
          <w:rtl/>
        </w:rPr>
      </w:pPr>
    </w:p>
    <w:p w14:paraId="6C8BDA88" w14:textId="77777777" w:rsidR="00450785" w:rsidRPr="003B7052" w:rsidRDefault="003B7052" w:rsidP="006504EB">
      <w:pPr>
        <w:spacing w:line="360" w:lineRule="auto"/>
        <w:jc w:val="both"/>
        <w:rPr>
          <w:color w:val="FFFFFF"/>
          <w:sz w:val="2"/>
          <w:szCs w:val="2"/>
          <w:rtl/>
        </w:rPr>
      </w:pPr>
      <w:r w:rsidRPr="003B7052">
        <w:rPr>
          <w:color w:val="FFFFFF"/>
          <w:sz w:val="2"/>
          <w:szCs w:val="2"/>
          <w:rtl/>
        </w:rPr>
        <w:t>5129371</w:t>
      </w:r>
      <w:r w:rsidR="00450785" w:rsidRPr="003B7052">
        <w:rPr>
          <w:color w:val="FFFFFF"/>
          <w:sz w:val="2"/>
          <w:szCs w:val="2"/>
          <w:rtl/>
        </w:rPr>
        <w:t xml:space="preserve"> </w:t>
      </w:r>
    </w:p>
    <w:p w14:paraId="4C4B8A04" w14:textId="77777777" w:rsidR="00450785" w:rsidRPr="000444B2" w:rsidRDefault="003B7052" w:rsidP="000444B2">
      <w:pPr>
        <w:keepNext/>
        <w:rPr>
          <w:color w:val="000000"/>
          <w:sz w:val="22"/>
          <w:szCs w:val="22"/>
        </w:rPr>
      </w:pPr>
      <w:r w:rsidRPr="003B7052">
        <w:rPr>
          <w:color w:val="FFFFFF"/>
          <w:sz w:val="2"/>
          <w:szCs w:val="2"/>
          <w:rtl/>
        </w:rPr>
        <w:t>54678313</w:t>
      </w:r>
      <w:r w:rsidR="00450785">
        <w:rPr>
          <w:rtl/>
        </w:rPr>
        <w:t>הוקלד</w:t>
      </w:r>
      <w:r w:rsidR="00450785">
        <w:t xml:space="preserve"> </w:t>
      </w:r>
      <w:r w:rsidR="00450785">
        <w:rPr>
          <w:rtl/>
        </w:rPr>
        <w:t>על</w:t>
      </w:r>
      <w:r w:rsidR="00450785">
        <w:t xml:space="preserve"> </w:t>
      </w:r>
      <w:r w:rsidR="00450785">
        <w:rPr>
          <w:rtl/>
        </w:rPr>
        <w:t>ידי</w:t>
      </w:r>
      <w:r w:rsidR="00450785">
        <w:t xml:space="preserve"> </w:t>
      </w:r>
      <w:r w:rsidR="00450785">
        <w:rPr>
          <w:rtl/>
        </w:rPr>
        <w:t>מיכל</w:t>
      </w:r>
      <w:r w:rsidR="00450785">
        <w:t xml:space="preserve"> </w:t>
      </w:r>
      <w:r w:rsidR="00450785">
        <w:rPr>
          <w:rtl/>
        </w:rPr>
        <w:t>ניזרי</w:t>
      </w:r>
    </w:p>
    <w:p w14:paraId="08FAA9FA" w14:textId="77777777" w:rsidR="000444B2" w:rsidRPr="003B7052" w:rsidRDefault="000444B2" w:rsidP="000444B2">
      <w:pPr>
        <w:rPr>
          <w:rtl/>
        </w:rPr>
      </w:pPr>
    </w:p>
    <w:p w14:paraId="13578C3A" w14:textId="77777777" w:rsidR="000444B2" w:rsidRDefault="000444B2" w:rsidP="000444B2">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20AB4D96" w14:textId="77777777" w:rsidR="003B7052" w:rsidRPr="003B7052" w:rsidRDefault="003B7052" w:rsidP="003B7052">
      <w:pPr>
        <w:keepNext/>
        <w:rPr>
          <w:color w:val="000000"/>
          <w:sz w:val="22"/>
          <w:szCs w:val="22"/>
          <w:rtl/>
        </w:rPr>
      </w:pPr>
    </w:p>
    <w:p w14:paraId="66CC3607" w14:textId="77777777" w:rsidR="003B7052" w:rsidRPr="003B7052" w:rsidRDefault="003B7052" w:rsidP="003B7052">
      <w:pPr>
        <w:keepNext/>
        <w:rPr>
          <w:color w:val="000000"/>
          <w:sz w:val="22"/>
          <w:szCs w:val="22"/>
          <w:rtl/>
        </w:rPr>
      </w:pPr>
      <w:r w:rsidRPr="003B7052">
        <w:rPr>
          <w:color w:val="000000"/>
          <w:sz w:val="22"/>
          <w:szCs w:val="22"/>
          <w:rtl/>
        </w:rPr>
        <w:t>סארי ג'יוסי 54678313-/</w:t>
      </w:r>
    </w:p>
    <w:p w14:paraId="43418FC5" w14:textId="77777777" w:rsidR="000444B2" w:rsidRPr="000444B2" w:rsidRDefault="003B7052" w:rsidP="003B7052">
      <w:pPr>
        <w:rPr>
          <w:color w:val="0000FF"/>
          <w:u w:val="single"/>
        </w:rPr>
      </w:pPr>
      <w:r w:rsidRPr="003B7052">
        <w:rPr>
          <w:color w:val="000000"/>
          <w:u w:val="single"/>
          <w:rtl/>
        </w:rPr>
        <w:t>נוסח מסמך זה כפוף לשינויי ניסוח ועריכה</w:t>
      </w:r>
    </w:p>
    <w:sectPr w:rsidR="000444B2" w:rsidRPr="000444B2" w:rsidSect="003B7052">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78D29" w14:textId="77777777" w:rsidR="00A72BB5" w:rsidRDefault="00A72BB5">
      <w:r>
        <w:separator/>
      </w:r>
    </w:p>
  </w:endnote>
  <w:endnote w:type="continuationSeparator" w:id="0">
    <w:p w14:paraId="6078779A" w14:textId="77777777" w:rsidR="00A72BB5" w:rsidRDefault="00A7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991FA" w14:textId="77777777" w:rsidR="003B7052" w:rsidRDefault="003B7052" w:rsidP="003B705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721470" w14:textId="77777777" w:rsidR="00450785" w:rsidRPr="003B7052" w:rsidRDefault="003B7052" w:rsidP="003B7052">
    <w:pPr>
      <w:pStyle w:val="a4"/>
      <w:pBdr>
        <w:top w:val="single" w:sz="4" w:space="1" w:color="auto"/>
        <w:between w:val="single" w:sz="4" w:space="0" w:color="auto"/>
      </w:pBdr>
      <w:spacing w:after="60"/>
      <w:jc w:val="center"/>
      <w:rPr>
        <w:rFonts w:ascii="FrankRuehl" w:hAnsi="FrankRuehl" w:cs="FrankRuehl"/>
        <w:color w:val="000000"/>
      </w:rPr>
    </w:pPr>
    <w:r w:rsidRPr="003B70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F3A54" w14:textId="77777777" w:rsidR="003B7052" w:rsidRDefault="003B7052" w:rsidP="003B705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0452F">
      <w:rPr>
        <w:rFonts w:ascii="FrankRuehl" w:hAnsi="FrankRuehl" w:cs="FrankRuehl"/>
        <w:noProof/>
        <w:rtl/>
      </w:rPr>
      <w:t>1</w:t>
    </w:r>
    <w:r>
      <w:rPr>
        <w:rFonts w:ascii="FrankRuehl" w:hAnsi="FrankRuehl" w:cs="FrankRuehl"/>
        <w:rtl/>
      </w:rPr>
      <w:fldChar w:fldCharType="end"/>
    </w:r>
  </w:p>
  <w:p w14:paraId="327D759E" w14:textId="77777777" w:rsidR="00450785" w:rsidRPr="003B7052" w:rsidRDefault="003B7052" w:rsidP="003B7052">
    <w:pPr>
      <w:pStyle w:val="a4"/>
      <w:pBdr>
        <w:top w:val="single" w:sz="4" w:space="1" w:color="auto"/>
        <w:between w:val="single" w:sz="4" w:space="0" w:color="auto"/>
      </w:pBdr>
      <w:spacing w:after="60"/>
      <w:jc w:val="center"/>
      <w:rPr>
        <w:rFonts w:ascii="FrankRuehl" w:hAnsi="FrankRuehl" w:cs="FrankRuehl" w:hint="cs"/>
        <w:color w:val="000000"/>
        <w:rtl/>
      </w:rPr>
    </w:pPr>
    <w:r w:rsidRPr="003B7052">
      <w:rPr>
        <w:rFonts w:ascii="FrankRuehl" w:hAnsi="FrankRuehl" w:cs="FrankRuehl" w:hint="cs"/>
        <w:color w:val="000000"/>
      </w:rPr>
      <w:pict w14:anchorId="64CB9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EB734" w14:textId="77777777" w:rsidR="00A72BB5" w:rsidRDefault="00A72BB5">
      <w:r>
        <w:separator/>
      </w:r>
    </w:p>
  </w:footnote>
  <w:footnote w:type="continuationSeparator" w:id="0">
    <w:p w14:paraId="41D4B0CB" w14:textId="77777777" w:rsidR="00A72BB5" w:rsidRDefault="00A72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802A2" w14:textId="77777777" w:rsidR="000444B2" w:rsidRPr="003B7052" w:rsidRDefault="003B7052" w:rsidP="003B70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46108-06-20</w:t>
    </w:r>
    <w:r>
      <w:rPr>
        <w:color w:val="000000"/>
        <w:sz w:val="22"/>
        <w:szCs w:val="22"/>
        <w:rtl/>
      </w:rPr>
      <w:tab/>
      <w:t xml:space="preserve"> מדינת ישראל נ' תאאר הרשה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60448" w14:textId="77777777" w:rsidR="000444B2" w:rsidRPr="003B7052" w:rsidRDefault="003B7052" w:rsidP="003B70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46108-06-20</w:t>
    </w:r>
    <w:r>
      <w:rPr>
        <w:color w:val="000000"/>
        <w:sz w:val="22"/>
        <w:szCs w:val="22"/>
        <w:rtl/>
      </w:rPr>
      <w:tab/>
      <w:t xml:space="preserve"> מדינת ישראל נ' תאאר הרשה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623460275">
    <w:abstractNumId w:val="14"/>
  </w:num>
  <w:num w:numId="2" w16cid:durableId="1423526750">
    <w:abstractNumId w:val="5"/>
  </w:num>
  <w:num w:numId="3" w16cid:durableId="125439540">
    <w:abstractNumId w:val="12"/>
  </w:num>
  <w:num w:numId="4" w16cid:durableId="398211436">
    <w:abstractNumId w:val="11"/>
  </w:num>
  <w:num w:numId="5" w16cid:durableId="385757605">
    <w:abstractNumId w:val="4"/>
  </w:num>
  <w:num w:numId="6" w16cid:durableId="842404329">
    <w:abstractNumId w:val="6"/>
  </w:num>
  <w:num w:numId="7" w16cid:durableId="1419909991">
    <w:abstractNumId w:val="16"/>
  </w:num>
  <w:num w:numId="8" w16cid:durableId="1828276532">
    <w:abstractNumId w:val="0"/>
  </w:num>
  <w:num w:numId="9" w16cid:durableId="98641734">
    <w:abstractNumId w:val="10"/>
  </w:num>
  <w:num w:numId="10" w16cid:durableId="1770731650">
    <w:abstractNumId w:val="8"/>
  </w:num>
  <w:num w:numId="11" w16cid:durableId="118764311">
    <w:abstractNumId w:val="3"/>
  </w:num>
  <w:num w:numId="12" w16cid:durableId="1081679710">
    <w:abstractNumId w:val="15"/>
  </w:num>
  <w:num w:numId="13" w16cid:durableId="36131782">
    <w:abstractNumId w:val="9"/>
  </w:num>
  <w:num w:numId="14" w16cid:durableId="742068122">
    <w:abstractNumId w:val="2"/>
  </w:num>
  <w:num w:numId="15" w16cid:durableId="893004351">
    <w:abstractNumId w:val="13"/>
  </w:num>
  <w:num w:numId="16" w16cid:durableId="1856184232">
    <w:abstractNumId w:val="1"/>
  </w:num>
  <w:num w:numId="17" w16cid:durableId="944464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6108-06-20"/>
    <w:docVar w:name="caseId" w:val="77494780"/>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1123337"/>
    <w:docVar w:name="releaseSign" w:val="0"/>
    <w:docVar w:name="sittingDateTime" w:val="29/12/2020 12:30     "/>
    <w:docVar w:name="sittingId" w:val="89930275"/>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444B2"/>
    <w:rsid w:val="0005289B"/>
    <w:rsid w:val="00053909"/>
    <w:rsid w:val="000555F0"/>
    <w:rsid w:val="000608AB"/>
    <w:rsid w:val="00074BD2"/>
    <w:rsid w:val="000A4C4B"/>
    <w:rsid w:val="000C3D5F"/>
    <w:rsid w:val="000C7499"/>
    <w:rsid w:val="000E37CD"/>
    <w:rsid w:val="00100FD9"/>
    <w:rsid w:val="00115104"/>
    <w:rsid w:val="00123DDD"/>
    <w:rsid w:val="00130DA3"/>
    <w:rsid w:val="00131385"/>
    <w:rsid w:val="001354AE"/>
    <w:rsid w:val="00137D59"/>
    <w:rsid w:val="0014434E"/>
    <w:rsid w:val="001526FC"/>
    <w:rsid w:val="0016231B"/>
    <w:rsid w:val="00163279"/>
    <w:rsid w:val="001666D0"/>
    <w:rsid w:val="001705B8"/>
    <w:rsid w:val="00174C6C"/>
    <w:rsid w:val="00180246"/>
    <w:rsid w:val="001A63A4"/>
    <w:rsid w:val="001D399C"/>
    <w:rsid w:val="001E6DFB"/>
    <w:rsid w:val="002063A6"/>
    <w:rsid w:val="00227A15"/>
    <w:rsid w:val="00237F64"/>
    <w:rsid w:val="00245547"/>
    <w:rsid w:val="002736EA"/>
    <w:rsid w:val="00277589"/>
    <w:rsid w:val="00296868"/>
    <w:rsid w:val="002A1C94"/>
    <w:rsid w:val="002A7B3F"/>
    <w:rsid w:val="002E24EE"/>
    <w:rsid w:val="002F455E"/>
    <w:rsid w:val="002F5A82"/>
    <w:rsid w:val="00301481"/>
    <w:rsid w:val="00305C90"/>
    <w:rsid w:val="00340759"/>
    <w:rsid w:val="0034100C"/>
    <w:rsid w:val="0034219F"/>
    <w:rsid w:val="00342D84"/>
    <w:rsid w:val="00347ACF"/>
    <w:rsid w:val="003773E5"/>
    <w:rsid w:val="003B08F6"/>
    <w:rsid w:val="003B7052"/>
    <w:rsid w:val="003F6EFC"/>
    <w:rsid w:val="004252C0"/>
    <w:rsid w:val="00440118"/>
    <w:rsid w:val="00442655"/>
    <w:rsid w:val="00445270"/>
    <w:rsid w:val="004473FE"/>
    <w:rsid w:val="0044772D"/>
    <w:rsid w:val="00450785"/>
    <w:rsid w:val="00452A90"/>
    <w:rsid w:val="004752AF"/>
    <w:rsid w:val="00486DEE"/>
    <w:rsid w:val="00494C2F"/>
    <w:rsid w:val="004B0745"/>
    <w:rsid w:val="004C0CA7"/>
    <w:rsid w:val="004D4B57"/>
    <w:rsid w:val="004F4B4A"/>
    <w:rsid w:val="00503959"/>
    <w:rsid w:val="00510083"/>
    <w:rsid w:val="00522237"/>
    <w:rsid w:val="00532A9F"/>
    <w:rsid w:val="00551705"/>
    <w:rsid w:val="00560CB1"/>
    <w:rsid w:val="00564AAC"/>
    <w:rsid w:val="00577444"/>
    <w:rsid w:val="0058186B"/>
    <w:rsid w:val="005832BA"/>
    <w:rsid w:val="00594F89"/>
    <w:rsid w:val="00597E35"/>
    <w:rsid w:val="005B395D"/>
    <w:rsid w:val="005D47FD"/>
    <w:rsid w:val="005D68B0"/>
    <w:rsid w:val="005D6FD9"/>
    <w:rsid w:val="00600219"/>
    <w:rsid w:val="00601F75"/>
    <w:rsid w:val="006110FD"/>
    <w:rsid w:val="00612093"/>
    <w:rsid w:val="00614DA1"/>
    <w:rsid w:val="0061652F"/>
    <w:rsid w:val="00620E3F"/>
    <w:rsid w:val="00623CCF"/>
    <w:rsid w:val="00631222"/>
    <w:rsid w:val="00633BA9"/>
    <w:rsid w:val="00635C8E"/>
    <w:rsid w:val="006424C7"/>
    <w:rsid w:val="00645E5F"/>
    <w:rsid w:val="006504EB"/>
    <w:rsid w:val="006830E7"/>
    <w:rsid w:val="006A4D3D"/>
    <w:rsid w:val="006B639D"/>
    <w:rsid w:val="006B75A3"/>
    <w:rsid w:val="006C2240"/>
    <w:rsid w:val="006D72D1"/>
    <w:rsid w:val="006E3A90"/>
    <w:rsid w:val="006E4296"/>
    <w:rsid w:val="006F0E02"/>
    <w:rsid w:val="006F7861"/>
    <w:rsid w:val="00700409"/>
    <w:rsid w:val="00701199"/>
    <w:rsid w:val="00711EB6"/>
    <w:rsid w:val="007378AE"/>
    <w:rsid w:val="007378FE"/>
    <w:rsid w:val="00770F7C"/>
    <w:rsid w:val="007732A1"/>
    <w:rsid w:val="00781736"/>
    <w:rsid w:val="00791EB6"/>
    <w:rsid w:val="007A0732"/>
    <w:rsid w:val="007B6499"/>
    <w:rsid w:val="007C0D02"/>
    <w:rsid w:val="007C461F"/>
    <w:rsid w:val="007D4DDF"/>
    <w:rsid w:val="007D71BF"/>
    <w:rsid w:val="007E4ADE"/>
    <w:rsid w:val="007F46CA"/>
    <w:rsid w:val="007F4959"/>
    <w:rsid w:val="0080447B"/>
    <w:rsid w:val="008100EF"/>
    <w:rsid w:val="0081212E"/>
    <w:rsid w:val="008138D1"/>
    <w:rsid w:val="008147C4"/>
    <w:rsid w:val="00816980"/>
    <w:rsid w:val="0082463E"/>
    <w:rsid w:val="00833BD9"/>
    <w:rsid w:val="0083639D"/>
    <w:rsid w:val="00836903"/>
    <w:rsid w:val="008411C5"/>
    <w:rsid w:val="0085394B"/>
    <w:rsid w:val="0085535F"/>
    <w:rsid w:val="0088228B"/>
    <w:rsid w:val="008B5819"/>
    <w:rsid w:val="008C6F10"/>
    <w:rsid w:val="008D15AB"/>
    <w:rsid w:val="008D7896"/>
    <w:rsid w:val="008E7204"/>
    <w:rsid w:val="00927BB3"/>
    <w:rsid w:val="00934BA1"/>
    <w:rsid w:val="0094049A"/>
    <w:rsid w:val="0094092B"/>
    <w:rsid w:val="00943E5D"/>
    <w:rsid w:val="009474AF"/>
    <w:rsid w:val="009521C7"/>
    <w:rsid w:val="00960E66"/>
    <w:rsid w:val="0096464A"/>
    <w:rsid w:val="00966439"/>
    <w:rsid w:val="0097713F"/>
    <w:rsid w:val="0098094C"/>
    <w:rsid w:val="009857E4"/>
    <w:rsid w:val="009B24E2"/>
    <w:rsid w:val="009C08D6"/>
    <w:rsid w:val="009D3F0B"/>
    <w:rsid w:val="009D7934"/>
    <w:rsid w:val="009E46EC"/>
    <w:rsid w:val="009E6E0A"/>
    <w:rsid w:val="00A0452F"/>
    <w:rsid w:val="00A04531"/>
    <w:rsid w:val="00A1573A"/>
    <w:rsid w:val="00A25356"/>
    <w:rsid w:val="00A64302"/>
    <w:rsid w:val="00A64696"/>
    <w:rsid w:val="00A67D1A"/>
    <w:rsid w:val="00A72BB5"/>
    <w:rsid w:val="00A910BF"/>
    <w:rsid w:val="00A9385E"/>
    <w:rsid w:val="00AA3C0A"/>
    <w:rsid w:val="00AB1CE7"/>
    <w:rsid w:val="00AC7677"/>
    <w:rsid w:val="00AD1366"/>
    <w:rsid w:val="00B24CA7"/>
    <w:rsid w:val="00B30584"/>
    <w:rsid w:val="00B44123"/>
    <w:rsid w:val="00B6568E"/>
    <w:rsid w:val="00B66459"/>
    <w:rsid w:val="00B734A5"/>
    <w:rsid w:val="00B82C03"/>
    <w:rsid w:val="00B870E1"/>
    <w:rsid w:val="00B96E2A"/>
    <w:rsid w:val="00BA3141"/>
    <w:rsid w:val="00BD13A0"/>
    <w:rsid w:val="00BF00B0"/>
    <w:rsid w:val="00C073E5"/>
    <w:rsid w:val="00C4595F"/>
    <w:rsid w:val="00C471D1"/>
    <w:rsid w:val="00C50277"/>
    <w:rsid w:val="00C518EA"/>
    <w:rsid w:val="00C61C67"/>
    <w:rsid w:val="00C667A1"/>
    <w:rsid w:val="00C836EA"/>
    <w:rsid w:val="00C8613B"/>
    <w:rsid w:val="00CA022A"/>
    <w:rsid w:val="00CA26CF"/>
    <w:rsid w:val="00CB6B34"/>
    <w:rsid w:val="00CD53D1"/>
    <w:rsid w:val="00CE39F4"/>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620AB"/>
    <w:rsid w:val="00E679BB"/>
    <w:rsid w:val="00E74FCF"/>
    <w:rsid w:val="00E866B5"/>
    <w:rsid w:val="00E91799"/>
    <w:rsid w:val="00EA333A"/>
    <w:rsid w:val="00EB1D9D"/>
    <w:rsid w:val="00F1416E"/>
    <w:rsid w:val="00F24B4E"/>
    <w:rsid w:val="00F25041"/>
    <w:rsid w:val="00F30675"/>
    <w:rsid w:val="00F449AC"/>
    <w:rsid w:val="00F53B32"/>
    <w:rsid w:val="00F56690"/>
    <w:rsid w:val="00F56B3A"/>
    <w:rsid w:val="00F579C4"/>
    <w:rsid w:val="00F67E45"/>
    <w:rsid w:val="00F773E3"/>
    <w:rsid w:val="00F861D3"/>
    <w:rsid w:val="00F87106"/>
    <w:rsid w:val="00F91F7D"/>
    <w:rsid w:val="00F941D7"/>
    <w:rsid w:val="00FA2034"/>
    <w:rsid w:val="00FA308E"/>
    <w:rsid w:val="00FA615F"/>
    <w:rsid w:val="00FB1245"/>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3FC8E5"/>
  <w15:chartTrackingRefBased/>
  <w15:docId w15:val="{4B8747E6-E6DC-42E9-96FF-6A0CB03D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6E4296"/>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6E4296"/>
    <w:pPr>
      <w:spacing w:line="360" w:lineRule="auto"/>
      <w:jc w:val="both"/>
    </w:pPr>
    <w:rPr>
      <w:rFonts w:ascii="Times New Roman" w:eastAsia="David" w:hAnsi="Times New Roman"/>
    </w:rPr>
  </w:style>
  <w:style w:type="character" w:styleId="Hyperlink">
    <w:name w:val="Hyperlink"/>
    <w:semiHidden/>
    <w:rsid w:val="00FB1245"/>
    <w:rPr>
      <w:rFonts w:cs="Times New Roman"/>
      <w:color w:val="0000FF"/>
      <w:u w:val="single"/>
    </w:rPr>
  </w:style>
  <w:style w:type="paragraph" w:styleId="ac">
    <w:name w:val="List Paragraph"/>
    <w:basedOn w:val="a"/>
    <w:qFormat/>
    <w:rsid w:val="00FB1245"/>
    <w:pPr>
      <w:spacing w:after="160" w:line="256" w:lineRule="auto"/>
      <w:ind w:left="720"/>
      <w:contextualSpacing/>
    </w:pPr>
    <w:rPr>
      <w:rFonts w:ascii="Calibri" w:hAnsi="Calibri" w:cs="Arial"/>
      <w:sz w:val="22"/>
      <w:szCs w:val="22"/>
    </w:rPr>
  </w:style>
  <w:style w:type="character" w:customStyle="1" w:styleId="Ruller5">
    <w:name w:val="Ruller5 תו"/>
    <w:link w:val="Ruller50"/>
    <w:locked/>
    <w:rsid w:val="00FB1245"/>
    <w:rPr>
      <w:rFonts w:ascii="Arial TUR" w:hAnsi="Arial TUR"/>
      <w:spacing w:val="10"/>
      <w:sz w:val="28"/>
    </w:rPr>
  </w:style>
  <w:style w:type="paragraph" w:customStyle="1" w:styleId="Ruller50">
    <w:name w:val="Ruller5"/>
    <w:basedOn w:val="a"/>
    <w:link w:val="Ruller5"/>
    <w:rsid w:val="00FB1245"/>
    <w:pPr>
      <w:overflowPunct w:val="0"/>
      <w:autoSpaceDE w:val="0"/>
      <w:autoSpaceDN w:val="0"/>
      <w:adjustRightInd w:val="0"/>
      <w:ind w:left="1642" w:right="1282"/>
      <w:jc w:val="both"/>
    </w:pPr>
    <w:rPr>
      <w:rFonts w:ascii="Arial TUR" w:eastAsia="David" w:hAnsi="Arial TUR" w:cs="Times New Roman"/>
      <w:spacing w:val="10"/>
      <w:sz w:val="20"/>
      <w:szCs w:val="28"/>
    </w:rPr>
  </w:style>
  <w:style w:type="character" w:customStyle="1" w:styleId="Ruller4">
    <w:name w:val="Ruller4 תו"/>
    <w:link w:val="Ruller40"/>
    <w:locked/>
    <w:rsid w:val="00FB1245"/>
    <w:rPr>
      <w:rFonts w:ascii="Arial TUR" w:hAnsi="Arial TUR"/>
      <w:spacing w:val="10"/>
      <w:sz w:val="28"/>
    </w:rPr>
  </w:style>
  <w:style w:type="paragraph" w:customStyle="1" w:styleId="Ruller40">
    <w:name w:val="Ruller4"/>
    <w:basedOn w:val="a"/>
    <w:link w:val="Ruller4"/>
    <w:rsid w:val="00FB1245"/>
    <w:pPr>
      <w:tabs>
        <w:tab w:val="left" w:pos="800"/>
      </w:tabs>
      <w:overflowPunct w:val="0"/>
      <w:autoSpaceDE w:val="0"/>
      <w:autoSpaceDN w:val="0"/>
      <w:adjustRightInd w:val="0"/>
      <w:spacing w:line="360" w:lineRule="auto"/>
      <w:jc w:val="both"/>
    </w:pPr>
    <w:rPr>
      <w:rFonts w:ascii="Arial TUR" w:hAnsi="Arial TUR" w:cs="Times New Roman"/>
      <w:spacing w:val="10"/>
      <w:sz w:val="20"/>
      <w:szCs w:val="28"/>
    </w:rPr>
  </w:style>
  <w:style w:type="paragraph" w:customStyle="1" w:styleId="Ruller41">
    <w:name w:val="Ruller 4 ממוספר"/>
    <w:basedOn w:val="a"/>
    <w:rsid w:val="00FB1245"/>
    <w:pPr>
      <w:overflowPunct w:val="0"/>
      <w:autoSpaceDE w:val="0"/>
      <w:autoSpaceDN w:val="0"/>
      <w:spacing w:line="360" w:lineRule="auto"/>
      <w:jc w:val="both"/>
    </w:pPr>
    <w:rPr>
      <w:rFonts w:ascii="Garamond" w:eastAsia="David" w:hAnsi="Garamond" w:cs="Times New Roman"/>
      <w:spacing w:val="10"/>
    </w:rPr>
  </w:style>
  <w:style w:type="paragraph" w:customStyle="1" w:styleId="p00">
    <w:name w:val="p00"/>
    <w:basedOn w:val="a"/>
    <w:rsid w:val="00FB1245"/>
    <w:pPr>
      <w:autoSpaceDE w:val="0"/>
      <w:autoSpaceDN w:val="0"/>
      <w:spacing w:before="60"/>
      <w:ind w:left="2835"/>
      <w:jc w:val="both"/>
    </w:pPr>
    <w:rPr>
      <w:rFonts w:ascii="Times New Roman" w:eastAsia="David" w:hAnsi="Times New Roman" w:cs="Times New Roman"/>
      <w:sz w:val="20"/>
      <w:szCs w:val="20"/>
    </w:rPr>
  </w:style>
  <w:style w:type="character" w:customStyle="1" w:styleId="default">
    <w:name w:val="default"/>
    <w:rsid w:val="00FB12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case/5957403" TargetMode="External"/><Relationship Id="rId26" Type="http://schemas.openxmlformats.org/officeDocument/2006/relationships/hyperlink" Target="http://www.nevo.co.il/case/25892549" TargetMode="External"/><Relationship Id="rId39" Type="http://schemas.openxmlformats.org/officeDocument/2006/relationships/hyperlink" Target="http://www.nevo.co.il/case/27171364" TargetMode="External"/><Relationship Id="rId21" Type="http://schemas.openxmlformats.org/officeDocument/2006/relationships/hyperlink" Target="http://www.nevo.co.il/case/25612982" TargetMode="External"/><Relationship Id="rId34" Type="http://schemas.openxmlformats.org/officeDocument/2006/relationships/hyperlink" Target="http://www.nevo.co.il/case/24893269" TargetMode="External"/><Relationship Id="rId42" Type="http://schemas.openxmlformats.org/officeDocument/2006/relationships/hyperlink" Target="http://www.nevo.co.il/case/5821327"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335.a.1"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case/2623620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4215692" TargetMode="External"/><Relationship Id="rId32" Type="http://schemas.openxmlformats.org/officeDocument/2006/relationships/hyperlink" Target="http://www.nevo.co.il/case/22832395" TargetMode="External"/><Relationship Id="rId37" Type="http://schemas.openxmlformats.org/officeDocument/2006/relationships/hyperlink" Target="http://www.nevo.co.il/case/5950172" TargetMode="External"/><Relationship Id="rId40" Type="http://schemas.openxmlformats.org/officeDocument/2006/relationships/hyperlink" Target="http://www.nevo.co.il/case/26538254" TargetMode="External"/><Relationship Id="rId45" Type="http://schemas.openxmlformats.org/officeDocument/2006/relationships/hyperlink" Target="http://www.nevo.co.il/case/17938943"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evo.co.il/case/21474168" TargetMode="External"/><Relationship Id="rId4" Type="http://schemas.openxmlformats.org/officeDocument/2006/relationships/settings" Target="settings.xml"/><Relationship Id="rId9" Type="http://schemas.openxmlformats.org/officeDocument/2006/relationships/hyperlink" Target="http://www.nevo.co.il/law/70301" TargetMode="External"/><Relationship Id="rId14" Type="http://schemas.openxmlformats.org/officeDocument/2006/relationships/hyperlink" Target="http://www.nevo.co.il/law/70301/40ja.1" TargetMode="External"/><Relationship Id="rId22" Type="http://schemas.openxmlformats.org/officeDocument/2006/relationships/hyperlink" Target="http://www.nevo.co.il/case/6248029" TargetMode="External"/><Relationship Id="rId27" Type="http://schemas.openxmlformats.org/officeDocument/2006/relationships/hyperlink" Target="http://www.nevo.co.il/case/26343396" TargetMode="External"/><Relationship Id="rId30" Type="http://schemas.openxmlformats.org/officeDocument/2006/relationships/hyperlink" Target="http://www.nevo.co.il/case/25888903"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23750625" TargetMode="External"/><Relationship Id="rId48" Type="http://schemas.openxmlformats.org/officeDocument/2006/relationships/hyperlink" Target="http://www.nevo.co.il/law/70301/333" TargetMode="External"/><Relationship Id="rId56" Type="http://schemas.openxmlformats.org/officeDocument/2006/relationships/footer" Target="footer2.xml"/><Relationship Id="rId8" Type="http://schemas.openxmlformats.org/officeDocument/2006/relationships/hyperlink" Target="http://www.nevo.co.il/case/26632890" TargetMode="External"/><Relationship Id="rId51"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evo.co.il/law/70301/333"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22791136" TargetMode="External"/><Relationship Id="rId33" Type="http://schemas.openxmlformats.org/officeDocument/2006/relationships/hyperlink" Target="http://www.nevo.co.il/case/24151283" TargetMode="External"/><Relationship Id="rId38" Type="http://schemas.openxmlformats.org/officeDocument/2006/relationships/hyperlink" Target="http://www.nevo.co.il/case/5568354" TargetMode="External"/><Relationship Id="rId46" Type="http://schemas.openxmlformats.org/officeDocument/2006/relationships/hyperlink" Target="http://www.nevo.co.il/law/70301/40ja.1" TargetMode="External"/><Relationship Id="rId20" Type="http://schemas.openxmlformats.org/officeDocument/2006/relationships/hyperlink" Target="http://www.nevo.co.il/case/22006503" TargetMode="External"/><Relationship Id="rId41" Type="http://schemas.openxmlformats.org/officeDocument/2006/relationships/hyperlink" Target="http://www.nevo.co.il/case/7791493" TargetMode="External"/><Relationship Id="rId54"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2746666" TargetMode="External"/><Relationship Id="rId28" Type="http://schemas.openxmlformats.org/officeDocument/2006/relationships/hyperlink" Target="http://www.nevo.co.il/case/25800939" TargetMode="External"/><Relationship Id="rId36" Type="http://schemas.openxmlformats.org/officeDocument/2006/relationships/hyperlink" Target="http://www.nevo.co.il/case/5995135" TargetMode="External"/><Relationship Id="rId49" Type="http://schemas.openxmlformats.org/officeDocument/2006/relationships/hyperlink" Target="http://www.nevo.co.il/law/70301" TargetMode="External"/><Relationship Id="rId57" Type="http://schemas.openxmlformats.org/officeDocument/2006/relationships/fontTable" Target="fontTable.xml"/><Relationship Id="rId10" Type="http://schemas.openxmlformats.org/officeDocument/2006/relationships/hyperlink" Target="http://www.nevo.co.il/law/70301/144.b" TargetMode="External"/><Relationship Id="rId31" Type="http://schemas.openxmlformats.org/officeDocument/2006/relationships/hyperlink" Target="http://www.nevo.co.il/case/26312850" TargetMode="External"/><Relationship Id="rId44" Type="http://schemas.openxmlformats.org/officeDocument/2006/relationships/hyperlink" Target="http://www.nevo.co.il/case/17941073"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3620</Words>
  <Characters>18101</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21678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6684722</vt:i4>
      </vt:variant>
      <vt:variant>
        <vt:i4>126</vt:i4>
      </vt:variant>
      <vt:variant>
        <vt:i4>0</vt:i4>
      </vt:variant>
      <vt:variant>
        <vt:i4>5</vt:i4>
      </vt:variant>
      <vt:variant>
        <vt:lpwstr>http://www.nevo.co.il/law/70301/335.a.1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6684774</vt:i4>
      </vt:variant>
      <vt:variant>
        <vt:i4>120</vt:i4>
      </vt:variant>
      <vt:variant>
        <vt:i4>0</vt:i4>
      </vt:variant>
      <vt:variant>
        <vt:i4>5</vt:i4>
      </vt:variant>
      <vt:variant>
        <vt:lpwstr>http://www.nevo.co.il/law/70301/333</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3473445</vt:i4>
      </vt:variant>
      <vt:variant>
        <vt:i4>114</vt:i4>
      </vt:variant>
      <vt:variant>
        <vt:i4>0</vt:i4>
      </vt:variant>
      <vt:variant>
        <vt:i4>5</vt:i4>
      </vt:variant>
      <vt:variant>
        <vt:lpwstr>http://www.nevo.co.il/law/70301/40ja.1</vt:lpwstr>
      </vt:variant>
      <vt:variant>
        <vt:lpwstr/>
      </vt:variant>
      <vt:variant>
        <vt:i4>3407993</vt:i4>
      </vt:variant>
      <vt:variant>
        <vt:i4>111</vt:i4>
      </vt:variant>
      <vt:variant>
        <vt:i4>0</vt:i4>
      </vt:variant>
      <vt:variant>
        <vt:i4>5</vt:i4>
      </vt:variant>
      <vt:variant>
        <vt:lpwstr>http://www.nevo.co.il/case/17938943</vt:lpwstr>
      </vt:variant>
      <vt:variant>
        <vt:lpwstr/>
      </vt:variant>
      <vt:variant>
        <vt:i4>4063351</vt:i4>
      </vt:variant>
      <vt:variant>
        <vt:i4>108</vt:i4>
      </vt:variant>
      <vt:variant>
        <vt:i4>0</vt:i4>
      </vt:variant>
      <vt:variant>
        <vt:i4>5</vt:i4>
      </vt:variant>
      <vt:variant>
        <vt:lpwstr>http://www.nevo.co.il/case/17941073</vt:lpwstr>
      </vt:variant>
      <vt:variant>
        <vt:lpwstr/>
      </vt:variant>
      <vt:variant>
        <vt:i4>3604596</vt:i4>
      </vt:variant>
      <vt:variant>
        <vt:i4>105</vt:i4>
      </vt:variant>
      <vt:variant>
        <vt:i4>0</vt:i4>
      </vt:variant>
      <vt:variant>
        <vt:i4>5</vt:i4>
      </vt:variant>
      <vt:variant>
        <vt:lpwstr>http://www.nevo.co.il/case/23750625</vt:lpwstr>
      </vt:variant>
      <vt:variant>
        <vt:lpwstr/>
      </vt:variant>
      <vt:variant>
        <vt:i4>3342463</vt:i4>
      </vt:variant>
      <vt:variant>
        <vt:i4>102</vt:i4>
      </vt:variant>
      <vt:variant>
        <vt:i4>0</vt:i4>
      </vt:variant>
      <vt:variant>
        <vt:i4>5</vt:i4>
      </vt:variant>
      <vt:variant>
        <vt:lpwstr>http://www.nevo.co.il/case/5821327</vt:lpwstr>
      </vt:variant>
      <vt:variant>
        <vt:lpwstr/>
      </vt:variant>
      <vt:variant>
        <vt:i4>3735675</vt:i4>
      </vt:variant>
      <vt:variant>
        <vt:i4>99</vt:i4>
      </vt:variant>
      <vt:variant>
        <vt:i4>0</vt:i4>
      </vt:variant>
      <vt:variant>
        <vt:i4>5</vt:i4>
      </vt:variant>
      <vt:variant>
        <vt:lpwstr>http://www.nevo.co.il/case/7791493</vt:lpwstr>
      </vt:variant>
      <vt:variant>
        <vt:lpwstr/>
      </vt:variant>
      <vt:variant>
        <vt:i4>3801203</vt:i4>
      </vt:variant>
      <vt:variant>
        <vt:i4>96</vt:i4>
      </vt:variant>
      <vt:variant>
        <vt:i4>0</vt:i4>
      </vt:variant>
      <vt:variant>
        <vt:i4>5</vt:i4>
      </vt:variant>
      <vt:variant>
        <vt:lpwstr>http://www.nevo.co.il/case/26538254</vt:lpwstr>
      </vt:variant>
      <vt:variant>
        <vt:lpwstr/>
      </vt:variant>
      <vt:variant>
        <vt:i4>3407991</vt:i4>
      </vt:variant>
      <vt:variant>
        <vt:i4>93</vt:i4>
      </vt:variant>
      <vt:variant>
        <vt:i4>0</vt:i4>
      </vt:variant>
      <vt:variant>
        <vt:i4>5</vt:i4>
      </vt:variant>
      <vt:variant>
        <vt:lpwstr>http://www.nevo.co.il/case/27171364</vt:lpwstr>
      </vt:variant>
      <vt:variant>
        <vt:lpwstr/>
      </vt:variant>
      <vt:variant>
        <vt:i4>3407996</vt:i4>
      </vt:variant>
      <vt:variant>
        <vt:i4>90</vt:i4>
      </vt:variant>
      <vt:variant>
        <vt:i4>0</vt:i4>
      </vt:variant>
      <vt:variant>
        <vt:i4>5</vt:i4>
      </vt:variant>
      <vt:variant>
        <vt:lpwstr>http://www.nevo.co.il/case/5568354</vt:lpwstr>
      </vt:variant>
      <vt:variant>
        <vt:lpwstr/>
      </vt:variant>
      <vt:variant>
        <vt:i4>3342458</vt:i4>
      </vt:variant>
      <vt:variant>
        <vt:i4>87</vt:i4>
      </vt:variant>
      <vt:variant>
        <vt:i4>0</vt:i4>
      </vt:variant>
      <vt:variant>
        <vt:i4>5</vt:i4>
      </vt:variant>
      <vt:variant>
        <vt:lpwstr>http://www.nevo.co.il/case/5950172</vt:lpwstr>
      </vt:variant>
      <vt:variant>
        <vt:lpwstr/>
      </vt:variant>
      <vt:variant>
        <vt:i4>3670139</vt:i4>
      </vt:variant>
      <vt:variant>
        <vt:i4>84</vt:i4>
      </vt:variant>
      <vt:variant>
        <vt:i4>0</vt:i4>
      </vt:variant>
      <vt:variant>
        <vt:i4>5</vt:i4>
      </vt:variant>
      <vt:variant>
        <vt:lpwstr>http://www.nevo.co.il/case/5995135</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4128891</vt:i4>
      </vt:variant>
      <vt:variant>
        <vt:i4>78</vt:i4>
      </vt:variant>
      <vt:variant>
        <vt:i4>0</vt:i4>
      </vt:variant>
      <vt:variant>
        <vt:i4>5</vt:i4>
      </vt:variant>
      <vt:variant>
        <vt:lpwstr>http://www.nevo.co.il/case/24893269</vt:lpwstr>
      </vt:variant>
      <vt:variant>
        <vt:lpwstr/>
      </vt:variant>
      <vt:variant>
        <vt:i4>3801207</vt:i4>
      </vt:variant>
      <vt:variant>
        <vt:i4>75</vt:i4>
      </vt:variant>
      <vt:variant>
        <vt:i4>0</vt:i4>
      </vt:variant>
      <vt:variant>
        <vt:i4>5</vt:i4>
      </vt:variant>
      <vt:variant>
        <vt:lpwstr>http://www.nevo.co.il/case/24151283</vt:lpwstr>
      </vt:variant>
      <vt:variant>
        <vt:lpwstr/>
      </vt:variant>
      <vt:variant>
        <vt:i4>3211382</vt:i4>
      </vt:variant>
      <vt:variant>
        <vt:i4>72</vt:i4>
      </vt:variant>
      <vt:variant>
        <vt:i4>0</vt:i4>
      </vt:variant>
      <vt:variant>
        <vt:i4>5</vt:i4>
      </vt:variant>
      <vt:variant>
        <vt:lpwstr>http://www.nevo.co.il/case/22832395</vt:lpwstr>
      </vt:variant>
      <vt:variant>
        <vt:lpwstr/>
      </vt:variant>
      <vt:variant>
        <vt:i4>3539067</vt:i4>
      </vt:variant>
      <vt:variant>
        <vt:i4>69</vt:i4>
      </vt:variant>
      <vt:variant>
        <vt:i4>0</vt:i4>
      </vt:variant>
      <vt:variant>
        <vt:i4>5</vt:i4>
      </vt:variant>
      <vt:variant>
        <vt:lpwstr>http://www.nevo.co.il/case/26312850</vt:lpwstr>
      </vt:variant>
      <vt:variant>
        <vt:lpwstr/>
      </vt:variant>
      <vt:variant>
        <vt:i4>3276912</vt:i4>
      </vt:variant>
      <vt:variant>
        <vt:i4>66</vt:i4>
      </vt:variant>
      <vt:variant>
        <vt:i4>0</vt:i4>
      </vt:variant>
      <vt:variant>
        <vt:i4>5</vt:i4>
      </vt:variant>
      <vt:variant>
        <vt:lpwstr>http://www.nevo.co.il/case/25888903</vt:lpwstr>
      </vt:variant>
      <vt:variant>
        <vt:lpwstr/>
      </vt:variant>
      <vt:variant>
        <vt:i4>3539059</vt:i4>
      </vt:variant>
      <vt:variant>
        <vt:i4>63</vt:i4>
      </vt:variant>
      <vt:variant>
        <vt:i4>0</vt:i4>
      </vt:variant>
      <vt:variant>
        <vt:i4>5</vt:i4>
      </vt:variant>
      <vt:variant>
        <vt:lpwstr>http://www.nevo.co.il/case/26236201</vt:lpwstr>
      </vt:variant>
      <vt:variant>
        <vt:lpwstr/>
      </vt:variant>
      <vt:variant>
        <vt:i4>3735672</vt:i4>
      </vt:variant>
      <vt:variant>
        <vt:i4>60</vt:i4>
      </vt:variant>
      <vt:variant>
        <vt:i4>0</vt:i4>
      </vt:variant>
      <vt:variant>
        <vt:i4>5</vt:i4>
      </vt:variant>
      <vt:variant>
        <vt:lpwstr>http://www.nevo.co.il/case/25800939</vt:lpwstr>
      </vt:variant>
      <vt:variant>
        <vt:lpwstr/>
      </vt:variant>
      <vt:variant>
        <vt:i4>3866741</vt:i4>
      </vt:variant>
      <vt:variant>
        <vt:i4>57</vt:i4>
      </vt:variant>
      <vt:variant>
        <vt:i4>0</vt:i4>
      </vt:variant>
      <vt:variant>
        <vt:i4>5</vt:i4>
      </vt:variant>
      <vt:variant>
        <vt:lpwstr>http://www.nevo.co.il/case/26343396</vt:lpwstr>
      </vt:variant>
      <vt:variant>
        <vt:lpwstr/>
      </vt:variant>
      <vt:variant>
        <vt:i4>3932285</vt:i4>
      </vt:variant>
      <vt:variant>
        <vt:i4>54</vt:i4>
      </vt:variant>
      <vt:variant>
        <vt:i4>0</vt:i4>
      </vt:variant>
      <vt:variant>
        <vt:i4>5</vt:i4>
      </vt:variant>
      <vt:variant>
        <vt:lpwstr>http://www.nevo.co.il/case/25892549</vt:lpwstr>
      </vt:variant>
      <vt:variant>
        <vt:lpwstr/>
      </vt:variant>
      <vt:variant>
        <vt:i4>3604606</vt:i4>
      </vt:variant>
      <vt:variant>
        <vt:i4>51</vt:i4>
      </vt:variant>
      <vt:variant>
        <vt:i4>0</vt:i4>
      </vt:variant>
      <vt:variant>
        <vt:i4>5</vt:i4>
      </vt:variant>
      <vt:variant>
        <vt:lpwstr>http://www.nevo.co.il/case/22791136</vt:lpwstr>
      </vt:variant>
      <vt:variant>
        <vt:lpwstr/>
      </vt:variant>
      <vt:variant>
        <vt:i4>3932279</vt:i4>
      </vt:variant>
      <vt:variant>
        <vt:i4>48</vt:i4>
      </vt:variant>
      <vt:variant>
        <vt:i4>0</vt:i4>
      </vt:variant>
      <vt:variant>
        <vt:i4>5</vt:i4>
      </vt:variant>
      <vt:variant>
        <vt:lpwstr>http://www.nevo.co.il/case/24215692</vt:lpwstr>
      </vt:variant>
      <vt:variant>
        <vt:lpwstr/>
      </vt:variant>
      <vt:variant>
        <vt:i4>3473524</vt:i4>
      </vt:variant>
      <vt:variant>
        <vt:i4>45</vt:i4>
      </vt:variant>
      <vt:variant>
        <vt:i4>0</vt:i4>
      </vt:variant>
      <vt:variant>
        <vt:i4>5</vt:i4>
      </vt:variant>
      <vt:variant>
        <vt:lpwstr>http://www.nevo.co.il/case/22746666</vt:lpwstr>
      </vt:variant>
      <vt:variant>
        <vt:lpwstr/>
      </vt:variant>
      <vt:variant>
        <vt:i4>3866748</vt:i4>
      </vt:variant>
      <vt:variant>
        <vt:i4>42</vt:i4>
      </vt:variant>
      <vt:variant>
        <vt:i4>0</vt:i4>
      </vt:variant>
      <vt:variant>
        <vt:i4>5</vt:i4>
      </vt:variant>
      <vt:variant>
        <vt:lpwstr>http://www.nevo.co.il/case/6248029</vt:lpwstr>
      </vt:variant>
      <vt:variant>
        <vt:lpwstr/>
      </vt:variant>
      <vt:variant>
        <vt:i4>4063353</vt:i4>
      </vt:variant>
      <vt:variant>
        <vt:i4>39</vt:i4>
      </vt:variant>
      <vt:variant>
        <vt:i4>0</vt:i4>
      </vt:variant>
      <vt:variant>
        <vt:i4>5</vt:i4>
      </vt:variant>
      <vt:variant>
        <vt:lpwstr>http://www.nevo.co.il/case/25612982</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3407987</vt:i4>
      </vt:variant>
      <vt:variant>
        <vt:i4>33</vt:i4>
      </vt:variant>
      <vt:variant>
        <vt:i4>0</vt:i4>
      </vt:variant>
      <vt:variant>
        <vt:i4>5</vt:i4>
      </vt:variant>
      <vt:variant>
        <vt:lpwstr>http://www.nevo.co.il/case/21474168</vt:lpwstr>
      </vt:variant>
      <vt:variant>
        <vt:lpwstr/>
      </vt:variant>
      <vt:variant>
        <vt:i4>3604602</vt:i4>
      </vt:variant>
      <vt:variant>
        <vt:i4>30</vt:i4>
      </vt:variant>
      <vt:variant>
        <vt:i4>0</vt:i4>
      </vt:variant>
      <vt:variant>
        <vt:i4>5</vt:i4>
      </vt:variant>
      <vt:variant>
        <vt:lpwstr>http://www.nevo.co.il/case/5957403</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3473445</vt:i4>
      </vt:variant>
      <vt:variant>
        <vt:i4>18</vt:i4>
      </vt:variant>
      <vt:variant>
        <vt:i4>0</vt:i4>
      </vt:variant>
      <vt:variant>
        <vt:i4>5</vt:i4>
      </vt:variant>
      <vt:variant>
        <vt:lpwstr>http://www.nevo.co.il/law/70301/40ja.1</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7995492</vt:i4>
      </vt:variant>
      <vt:variant>
        <vt:i4>3</vt:i4>
      </vt:variant>
      <vt:variant>
        <vt:i4>0</vt:i4>
      </vt:variant>
      <vt:variant>
        <vt:i4>5</vt:i4>
      </vt:variant>
      <vt:variant>
        <vt:lpwstr>http://www.nevo.co.il/law/70301</vt:lpwstr>
      </vt:variant>
      <vt:variant>
        <vt:lpwstr/>
      </vt:variant>
      <vt:variant>
        <vt:i4>4128889</vt:i4>
      </vt:variant>
      <vt:variant>
        <vt:i4>0</vt:i4>
      </vt:variant>
      <vt:variant>
        <vt:i4>0</vt:i4>
      </vt:variant>
      <vt:variant>
        <vt:i4>5</vt:i4>
      </vt:variant>
      <vt:variant>
        <vt:lpwstr>http://www.nevo.co.il/case/26632890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2020-12-29T10:49:00Z</cp:lastPrinted>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46108</vt:lpwstr>
  </property>
  <property fmtid="{D5CDD505-2E9C-101B-9397-08002B2CF9AE}" pid="9" name="NEWPARTB">
    <vt:lpwstr>06</vt:lpwstr>
  </property>
  <property fmtid="{D5CDD505-2E9C-101B-9397-08002B2CF9AE}" pid="10" name="NEWPARTC">
    <vt:lpwstr>20</vt:lpwstr>
  </property>
  <property fmtid="{D5CDD505-2E9C-101B-9397-08002B2CF9AE}" pid="11" name="APPELLANT">
    <vt:lpwstr>מדינת ישראל</vt:lpwstr>
  </property>
  <property fmtid="{D5CDD505-2E9C-101B-9397-08002B2CF9AE}" pid="12" name="APPELLEE">
    <vt:lpwstr>תאאר הרשה</vt:lpwstr>
  </property>
  <property fmtid="{D5CDD505-2E9C-101B-9397-08002B2CF9AE}" pid="13" name="LAWYER">
    <vt:lpwstr>מטאנס מירה;עלי סעדי</vt:lpwstr>
  </property>
  <property fmtid="{D5CDD505-2E9C-101B-9397-08002B2CF9AE}" pid="14" name="JUDGE">
    <vt:lpwstr>סארי ג'יוסי</vt:lpwstr>
  </property>
  <property fmtid="{D5CDD505-2E9C-101B-9397-08002B2CF9AE}" pid="15" name="CITY">
    <vt:lpwstr>חי'</vt:lpwstr>
  </property>
  <property fmtid="{D5CDD505-2E9C-101B-9397-08002B2CF9AE}" pid="16" name="DATE">
    <vt:lpwstr>20201229</vt:lpwstr>
  </property>
  <property fmtid="{D5CDD505-2E9C-101B-9397-08002B2CF9AE}" pid="17" name="TYPE_N_DATE">
    <vt:lpwstr>39020201229</vt:lpwstr>
  </property>
  <property fmtid="{D5CDD505-2E9C-101B-9397-08002B2CF9AE}" pid="18" name="WORDNUMPAGES">
    <vt:lpwstr>12</vt:lpwstr>
  </property>
  <property fmtid="{D5CDD505-2E9C-101B-9397-08002B2CF9AE}" pid="19" name="TYPE_ABS_DATE">
    <vt:lpwstr>390020201229</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26632890;5957403;21474168;22006503;25612982;6248029;22746666;24215692;22791136;25892549;26343396;25800939;26236201;25888903;26312850;22832395;24151283;24893269;25824863;5995135;5950172;5568354;27171364;26538254;7791493;5821327;23750625;17941073;17938943</vt:lpwstr>
  </property>
  <property fmtid="{D5CDD505-2E9C-101B-9397-08002B2CF9AE}" pid="36" name="LAWLISTTMP1">
    <vt:lpwstr>70301/144.b;275;40ja.1;333;335.a.1</vt:lpwstr>
  </property>
</Properties>
</file>