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D00DD" w:rsidRPr="00C100A7" w14:paraId="37179CFD" w14:textId="77777777" w:rsidTr="00385F1A">
        <w:trPr>
          <w:trHeight w:hRule="exact" w:val="418"/>
          <w:jc w:val="center"/>
        </w:trPr>
        <w:tc>
          <w:tcPr>
            <w:tcW w:w="8721" w:type="dxa"/>
            <w:gridSpan w:val="2"/>
          </w:tcPr>
          <w:p w14:paraId="5A101C39" w14:textId="77777777" w:rsidR="00BD00DD" w:rsidRPr="00C100A7" w:rsidRDefault="00BD00DD" w:rsidP="009E6283">
            <w:pPr>
              <w:pStyle w:val="a3"/>
              <w:jc w:val="center"/>
              <w:rPr>
                <w:rFonts w:ascii="Tahoma" w:hAnsi="Tahoma" w:cs="Tahoma"/>
                <w:color w:val="000080"/>
                <w:rtl/>
              </w:rPr>
            </w:pPr>
            <w:bookmarkStart w:id="0" w:name="LastJudge"/>
            <w:r w:rsidRPr="00C100A7">
              <w:rPr>
                <w:rFonts w:ascii="Tahoma" w:hAnsi="Tahoma" w:cs="Tahoma"/>
                <w:b/>
                <w:bCs/>
                <w:color w:val="000080"/>
                <w:rtl/>
              </w:rPr>
              <w:t>בית המשפט המחוזי בחיפה</w:t>
            </w:r>
          </w:p>
        </w:tc>
      </w:tr>
      <w:tr w:rsidR="00BD00DD" w:rsidRPr="00C100A7" w14:paraId="4E097A7F" w14:textId="77777777" w:rsidTr="00385F1A">
        <w:trPr>
          <w:trHeight w:val="337"/>
          <w:jc w:val="center"/>
        </w:trPr>
        <w:tc>
          <w:tcPr>
            <w:tcW w:w="5058" w:type="dxa"/>
          </w:tcPr>
          <w:p w14:paraId="1FEE5E12" w14:textId="77777777" w:rsidR="00BD00DD" w:rsidRPr="00C100A7" w:rsidRDefault="00BD00DD" w:rsidP="009E6283">
            <w:pPr>
              <w:rPr>
                <w:rFonts w:cs="FrankRuehl"/>
                <w:sz w:val="28"/>
                <w:szCs w:val="28"/>
                <w:rtl/>
              </w:rPr>
            </w:pPr>
            <w:r w:rsidRPr="00C100A7">
              <w:rPr>
                <w:rFonts w:cs="FrankRuehl"/>
                <w:sz w:val="28"/>
                <w:szCs w:val="28"/>
                <w:rtl/>
              </w:rPr>
              <w:t>ת"פ</w:t>
            </w:r>
            <w:r w:rsidRPr="00C100A7">
              <w:rPr>
                <w:rFonts w:cs="FrankRuehl" w:hint="cs"/>
                <w:sz w:val="28"/>
                <w:szCs w:val="28"/>
                <w:rtl/>
              </w:rPr>
              <w:t xml:space="preserve"> </w:t>
            </w:r>
            <w:r w:rsidRPr="00C100A7">
              <w:rPr>
                <w:rFonts w:cs="FrankRuehl"/>
                <w:sz w:val="28"/>
                <w:szCs w:val="28"/>
                <w:rtl/>
              </w:rPr>
              <w:t>962-06-20</w:t>
            </w:r>
            <w:r w:rsidRPr="00C100A7">
              <w:rPr>
                <w:rFonts w:cs="FrankRuehl" w:hint="cs"/>
                <w:sz w:val="28"/>
                <w:szCs w:val="28"/>
                <w:rtl/>
              </w:rPr>
              <w:t xml:space="preserve"> </w:t>
            </w:r>
            <w:r w:rsidRPr="00C100A7">
              <w:rPr>
                <w:rFonts w:cs="FrankRuehl"/>
                <w:sz w:val="28"/>
                <w:szCs w:val="28"/>
                <w:rtl/>
              </w:rPr>
              <w:t>מדינת ישראל נ' מנסור(עציר)</w:t>
            </w:r>
          </w:p>
          <w:p w14:paraId="169B88F2" w14:textId="77777777" w:rsidR="00BD00DD" w:rsidRPr="00C100A7" w:rsidRDefault="00BD00DD" w:rsidP="009E6283">
            <w:pPr>
              <w:pStyle w:val="a3"/>
              <w:rPr>
                <w:rFonts w:cs="FrankRuehl"/>
                <w:sz w:val="28"/>
                <w:szCs w:val="28"/>
                <w:rtl/>
              </w:rPr>
            </w:pPr>
          </w:p>
        </w:tc>
        <w:tc>
          <w:tcPr>
            <w:tcW w:w="3663" w:type="dxa"/>
          </w:tcPr>
          <w:p w14:paraId="67E16C6D" w14:textId="77777777" w:rsidR="00BD00DD" w:rsidRPr="00C100A7" w:rsidRDefault="00BD00DD" w:rsidP="009E6283">
            <w:pPr>
              <w:pStyle w:val="a3"/>
              <w:jc w:val="right"/>
              <w:rPr>
                <w:rFonts w:cs="FrankRuehl"/>
                <w:sz w:val="28"/>
                <w:szCs w:val="28"/>
                <w:rtl/>
              </w:rPr>
            </w:pPr>
          </w:p>
        </w:tc>
      </w:tr>
    </w:tbl>
    <w:p w14:paraId="5CAD3F5D" w14:textId="77777777" w:rsidR="00BD00DD" w:rsidRPr="00C100A7" w:rsidRDefault="00BD00DD" w:rsidP="00BD00DD">
      <w:pPr>
        <w:pStyle w:val="a3"/>
        <w:rPr>
          <w:rtl/>
        </w:rPr>
      </w:pPr>
      <w:r w:rsidRPr="00C100A7">
        <w:rPr>
          <w:rFonts w:hint="cs"/>
          <w:rtl/>
        </w:rPr>
        <w:t xml:space="preserve"> </w:t>
      </w:r>
    </w:p>
    <w:p w14:paraId="7D64BBD5" w14:textId="77777777" w:rsidR="00BD00DD" w:rsidRPr="00C100A7" w:rsidRDefault="00BD00DD" w:rsidP="00BD00DD">
      <w:pPr>
        <w:rPr>
          <w:rtl/>
        </w:rPr>
      </w:pPr>
    </w:p>
    <w:p w14:paraId="1C86CD8C" w14:textId="77777777" w:rsidR="00BD00DD" w:rsidRPr="00C100A7" w:rsidRDefault="00BD00DD" w:rsidP="00BD00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00DD" w:rsidRPr="00C100A7" w14:paraId="061F1A99" w14:textId="77777777" w:rsidTr="00BD00DD">
        <w:trPr>
          <w:trHeight w:val="295"/>
          <w:jc w:val="center"/>
        </w:trPr>
        <w:tc>
          <w:tcPr>
            <w:tcW w:w="923" w:type="dxa"/>
            <w:tcBorders>
              <w:top w:val="nil"/>
              <w:left w:val="nil"/>
              <w:bottom w:val="nil"/>
              <w:right w:val="nil"/>
            </w:tcBorders>
            <w:shd w:val="clear" w:color="auto" w:fill="auto"/>
          </w:tcPr>
          <w:p w14:paraId="7A882E60" w14:textId="77777777" w:rsidR="00BD00DD" w:rsidRPr="00C100A7" w:rsidRDefault="00BD00DD" w:rsidP="00BD00DD">
            <w:pPr>
              <w:jc w:val="both"/>
              <w:rPr>
                <w:rFonts w:ascii="David" w:hAnsi="David"/>
                <w:b/>
                <w:bCs/>
                <w:sz w:val="26"/>
                <w:szCs w:val="26"/>
              </w:rPr>
            </w:pPr>
            <w:r w:rsidRPr="00C100A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56813C2" w14:textId="77777777" w:rsidR="00BD00DD" w:rsidRPr="00C100A7" w:rsidRDefault="00BD00DD" w:rsidP="009E6283">
            <w:pPr>
              <w:rPr>
                <w:rFonts w:ascii="David" w:hAnsi="David"/>
                <w:b/>
                <w:bCs/>
                <w:sz w:val="26"/>
                <w:szCs w:val="26"/>
                <w:rtl/>
              </w:rPr>
            </w:pPr>
            <w:r w:rsidRPr="00C100A7">
              <w:rPr>
                <w:rFonts w:ascii="David" w:hAnsi="David"/>
                <w:b/>
                <w:bCs/>
                <w:sz w:val="26"/>
                <w:szCs w:val="26"/>
                <w:rtl/>
              </w:rPr>
              <w:t>כבוד השופטת  רונית בש</w:t>
            </w:r>
          </w:p>
          <w:p w14:paraId="14CACF1F" w14:textId="77777777" w:rsidR="00BD00DD" w:rsidRPr="00C100A7" w:rsidRDefault="00BD00DD" w:rsidP="009E6283">
            <w:pPr>
              <w:rPr>
                <w:rFonts w:ascii="David" w:hAnsi="David"/>
                <w:b/>
                <w:bCs/>
                <w:sz w:val="26"/>
                <w:szCs w:val="26"/>
                <w:rtl/>
              </w:rPr>
            </w:pPr>
          </w:p>
          <w:p w14:paraId="4378A357" w14:textId="77777777" w:rsidR="00BD00DD" w:rsidRPr="00C100A7" w:rsidRDefault="00BD00DD" w:rsidP="00BD00DD">
            <w:pPr>
              <w:jc w:val="both"/>
              <w:rPr>
                <w:rFonts w:ascii="David" w:hAnsi="David"/>
                <w:b/>
                <w:bCs/>
                <w:sz w:val="26"/>
                <w:szCs w:val="26"/>
              </w:rPr>
            </w:pPr>
          </w:p>
        </w:tc>
      </w:tr>
      <w:tr w:rsidR="00BD00DD" w:rsidRPr="00C100A7" w14:paraId="67E15273" w14:textId="77777777" w:rsidTr="00BD00DD">
        <w:trPr>
          <w:trHeight w:val="355"/>
          <w:jc w:val="center"/>
        </w:trPr>
        <w:tc>
          <w:tcPr>
            <w:tcW w:w="923" w:type="dxa"/>
            <w:tcBorders>
              <w:top w:val="nil"/>
              <w:left w:val="nil"/>
              <w:bottom w:val="nil"/>
              <w:right w:val="nil"/>
            </w:tcBorders>
            <w:shd w:val="clear" w:color="auto" w:fill="auto"/>
          </w:tcPr>
          <w:p w14:paraId="724C18D3" w14:textId="77777777" w:rsidR="00BD00DD" w:rsidRPr="00C100A7" w:rsidRDefault="00BD00DD" w:rsidP="00BD00DD">
            <w:pPr>
              <w:jc w:val="both"/>
              <w:rPr>
                <w:rFonts w:ascii="David" w:hAnsi="David"/>
                <w:b/>
                <w:bCs/>
                <w:sz w:val="26"/>
                <w:szCs w:val="26"/>
              </w:rPr>
            </w:pPr>
            <w:bookmarkStart w:id="1" w:name="FirstAppellant"/>
            <w:r w:rsidRPr="00C100A7">
              <w:rPr>
                <w:rFonts w:ascii="David" w:hAnsi="David"/>
                <w:b/>
                <w:bCs/>
                <w:sz w:val="26"/>
                <w:szCs w:val="26"/>
                <w:rtl/>
              </w:rPr>
              <w:t>בעניין:</w:t>
            </w:r>
          </w:p>
        </w:tc>
        <w:tc>
          <w:tcPr>
            <w:tcW w:w="4126" w:type="dxa"/>
            <w:tcBorders>
              <w:top w:val="nil"/>
              <w:left w:val="nil"/>
              <w:bottom w:val="nil"/>
              <w:right w:val="nil"/>
            </w:tcBorders>
            <w:shd w:val="clear" w:color="auto" w:fill="auto"/>
          </w:tcPr>
          <w:p w14:paraId="6C614E29" w14:textId="77777777" w:rsidR="00BD00DD" w:rsidRPr="00C100A7" w:rsidRDefault="00BD00DD" w:rsidP="009E6283">
            <w:pPr>
              <w:rPr>
                <w:rFonts w:ascii="David" w:hAnsi="David"/>
                <w:b/>
                <w:bCs/>
                <w:sz w:val="26"/>
                <w:szCs w:val="26"/>
              </w:rPr>
            </w:pPr>
            <w:r w:rsidRPr="00C100A7">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C00704E" w14:textId="77777777" w:rsidR="00BD00DD" w:rsidRPr="00C100A7" w:rsidRDefault="00BD00DD" w:rsidP="00BD00DD">
            <w:pPr>
              <w:jc w:val="both"/>
              <w:rPr>
                <w:rFonts w:ascii="David" w:hAnsi="David"/>
                <w:b/>
                <w:bCs/>
                <w:sz w:val="26"/>
                <w:szCs w:val="26"/>
              </w:rPr>
            </w:pPr>
            <w:r w:rsidRPr="00C100A7">
              <w:rPr>
                <w:rFonts w:ascii="David" w:hAnsi="David"/>
                <w:b/>
                <w:bCs/>
                <w:sz w:val="26"/>
                <w:szCs w:val="26"/>
                <w:rtl/>
              </w:rPr>
              <w:t xml:space="preserve">המאשימה </w:t>
            </w:r>
          </w:p>
        </w:tc>
      </w:tr>
      <w:bookmarkEnd w:id="1"/>
      <w:tr w:rsidR="00BD00DD" w:rsidRPr="00C100A7" w14:paraId="0F3B61B9" w14:textId="77777777" w:rsidTr="00BD00DD">
        <w:trPr>
          <w:trHeight w:val="355"/>
          <w:jc w:val="center"/>
        </w:trPr>
        <w:tc>
          <w:tcPr>
            <w:tcW w:w="923" w:type="dxa"/>
            <w:tcBorders>
              <w:top w:val="nil"/>
              <w:left w:val="nil"/>
              <w:bottom w:val="nil"/>
              <w:right w:val="nil"/>
            </w:tcBorders>
            <w:shd w:val="clear" w:color="auto" w:fill="auto"/>
          </w:tcPr>
          <w:p w14:paraId="4A24F831" w14:textId="77777777" w:rsidR="00BD00DD" w:rsidRPr="00C100A7" w:rsidRDefault="00BD00DD" w:rsidP="00BD00DD">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75257A8" w14:textId="77777777" w:rsidR="00BD00DD" w:rsidRPr="00C100A7" w:rsidRDefault="00BD00DD" w:rsidP="00BD00DD">
            <w:pPr>
              <w:jc w:val="center"/>
              <w:rPr>
                <w:rFonts w:ascii="David" w:hAnsi="David"/>
                <w:b/>
                <w:bCs/>
                <w:sz w:val="26"/>
                <w:szCs w:val="26"/>
                <w:rtl/>
              </w:rPr>
            </w:pPr>
          </w:p>
          <w:p w14:paraId="7CF97210" w14:textId="77777777" w:rsidR="00BD00DD" w:rsidRPr="00C100A7" w:rsidRDefault="00BD00DD" w:rsidP="00BD00DD">
            <w:pPr>
              <w:jc w:val="center"/>
              <w:rPr>
                <w:rFonts w:ascii="David" w:hAnsi="David"/>
                <w:b/>
                <w:bCs/>
                <w:sz w:val="26"/>
                <w:szCs w:val="26"/>
                <w:rtl/>
              </w:rPr>
            </w:pPr>
            <w:r w:rsidRPr="00C100A7">
              <w:rPr>
                <w:rFonts w:ascii="David" w:hAnsi="David"/>
                <w:b/>
                <w:bCs/>
                <w:sz w:val="26"/>
                <w:szCs w:val="26"/>
                <w:rtl/>
              </w:rPr>
              <w:t>נגד</w:t>
            </w:r>
          </w:p>
          <w:p w14:paraId="0899CC32" w14:textId="77777777" w:rsidR="00BD00DD" w:rsidRPr="00C100A7" w:rsidRDefault="00BD00DD" w:rsidP="00BD00DD">
            <w:pPr>
              <w:jc w:val="both"/>
              <w:rPr>
                <w:rFonts w:ascii="David" w:hAnsi="David"/>
                <w:b/>
                <w:bCs/>
                <w:sz w:val="26"/>
                <w:szCs w:val="26"/>
              </w:rPr>
            </w:pPr>
          </w:p>
        </w:tc>
      </w:tr>
      <w:tr w:rsidR="00BD00DD" w:rsidRPr="00C100A7" w14:paraId="42E0045A" w14:textId="77777777" w:rsidTr="00BD00DD">
        <w:trPr>
          <w:trHeight w:val="355"/>
          <w:jc w:val="center"/>
        </w:trPr>
        <w:tc>
          <w:tcPr>
            <w:tcW w:w="923" w:type="dxa"/>
            <w:tcBorders>
              <w:top w:val="nil"/>
              <w:left w:val="nil"/>
              <w:bottom w:val="nil"/>
              <w:right w:val="nil"/>
            </w:tcBorders>
            <w:shd w:val="clear" w:color="auto" w:fill="auto"/>
          </w:tcPr>
          <w:p w14:paraId="7420BB96" w14:textId="77777777" w:rsidR="00BD00DD" w:rsidRPr="00C100A7" w:rsidRDefault="00BD00DD" w:rsidP="009E6283">
            <w:pPr>
              <w:rPr>
                <w:rFonts w:ascii="David" w:hAnsi="David"/>
                <w:b/>
                <w:bCs/>
                <w:sz w:val="26"/>
                <w:szCs w:val="26"/>
                <w:rtl/>
              </w:rPr>
            </w:pPr>
          </w:p>
        </w:tc>
        <w:tc>
          <w:tcPr>
            <w:tcW w:w="4126" w:type="dxa"/>
            <w:tcBorders>
              <w:top w:val="nil"/>
              <w:left w:val="nil"/>
              <w:bottom w:val="nil"/>
              <w:right w:val="nil"/>
            </w:tcBorders>
            <w:shd w:val="clear" w:color="auto" w:fill="auto"/>
          </w:tcPr>
          <w:p w14:paraId="26C97157" w14:textId="77777777" w:rsidR="00BD00DD" w:rsidRPr="00C100A7" w:rsidRDefault="00BD00DD" w:rsidP="009E6283">
            <w:pPr>
              <w:rPr>
                <w:rFonts w:ascii="David" w:hAnsi="David"/>
                <w:b/>
                <w:bCs/>
                <w:sz w:val="26"/>
                <w:szCs w:val="26"/>
                <w:rtl/>
              </w:rPr>
            </w:pPr>
            <w:r w:rsidRPr="00C100A7">
              <w:rPr>
                <w:rFonts w:ascii="David" w:hAnsi="David"/>
                <w:b/>
                <w:bCs/>
                <w:sz w:val="26"/>
                <w:szCs w:val="26"/>
                <w:rtl/>
              </w:rPr>
              <w:t>מוחמד מנסור (עציר)</w:t>
            </w:r>
          </w:p>
        </w:tc>
        <w:tc>
          <w:tcPr>
            <w:tcW w:w="3771" w:type="dxa"/>
            <w:tcBorders>
              <w:top w:val="nil"/>
              <w:left w:val="nil"/>
              <w:bottom w:val="nil"/>
              <w:right w:val="nil"/>
            </w:tcBorders>
            <w:shd w:val="clear" w:color="auto" w:fill="auto"/>
          </w:tcPr>
          <w:p w14:paraId="190DD639" w14:textId="77777777" w:rsidR="00BD00DD" w:rsidRPr="00C100A7" w:rsidRDefault="00BD00DD" w:rsidP="009E6283">
            <w:pPr>
              <w:rPr>
                <w:rFonts w:ascii="David" w:hAnsi="David"/>
                <w:b/>
                <w:bCs/>
                <w:sz w:val="26"/>
                <w:szCs w:val="26"/>
              </w:rPr>
            </w:pPr>
            <w:r w:rsidRPr="00C100A7">
              <w:rPr>
                <w:rFonts w:ascii="David" w:hAnsi="David"/>
                <w:b/>
                <w:bCs/>
                <w:sz w:val="26"/>
                <w:szCs w:val="26"/>
                <w:rtl/>
              </w:rPr>
              <w:t>הנאשם</w:t>
            </w:r>
          </w:p>
        </w:tc>
      </w:tr>
    </w:tbl>
    <w:p w14:paraId="2713BAA7" w14:textId="77777777" w:rsidR="00C100A7" w:rsidRPr="00C100A7" w:rsidRDefault="00C100A7" w:rsidP="00C100A7">
      <w:pPr>
        <w:spacing w:before="120" w:after="120" w:line="240" w:lineRule="exact"/>
        <w:ind w:left="283" w:hanging="283"/>
        <w:jc w:val="both"/>
        <w:rPr>
          <w:rFonts w:ascii="FrankRuehl" w:hAnsi="FrankRuehl" w:cs="FrankRuehl"/>
          <w:rtl/>
        </w:rPr>
      </w:pPr>
    </w:p>
    <w:p w14:paraId="3AEC56DC" w14:textId="77777777" w:rsidR="00C100A7" w:rsidRPr="00C100A7" w:rsidRDefault="00C100A7" w:rsidP="00C100A7">
      <w:pPr>
        <w:rPr>
          <w:rtl/>
        </w:rPr>
      </w:pPr>
    </w:p>
    <w:p w14:paraId="17CD069F" w14:textId="77777777" w:rsidR="00385F1A" w:rsidRPr="00385F1A" w:rsidRDefault="00385F1A" w:rsidP="00385F1A">
      <w:pPr>
        <w:spacing w:before="120" w:after="120" w:line="240" w:lineRule="exact"/>
        <w:ind w:left="283" w:hanging="283"/>
        <w:jc w:val="both"/>
        <w:rPr>
          <w:rFonts w:ascii="FrankRuehl" w:hAnsi="FrankRuehl" w:cs="FrankRuehl"/>
          <w:rtl/>
        </w:rPr>
      </w:pPr>
    </w:p>
    <w:p w14:paraId="2F83CD4A" w14:textId="77777777" w:rsidR="00FE1B53" w:rsidRDefault="00FE1B53" w:rsidP="00FE1B53">
      <w:pPr>
        <w:rPr>
          <w:rtl/>
        </w:rPr>
      </w:pPr>
      <w:bookmarkStart w:id="2" w:name="LawTable"/>
      <w:bookmarkEnd w:id="2"/>
    </w:p>
    <w:p w14:paraId="6E676D51" w14:textId="77777777" w:rsidR="00FE1B53" w:rsidRPr="00FE1B53" w:rsidRDefault="00FE1B53" w:rsidP="00FE1B53">
      <w:pPr>
        <w:spacing w:before="120" w:after="120" w:line="240" w:lineRule="exact"/>
        <w:ind w:left="283" w:hanging="283"/>
        <w:jc w:val="both"/>
        <w:rPr>
          <w:rFonts w:ascii="FrankRuehl" w:hAnsi="FrankRuehl" w:cs="FrankRuehl"/>
          <w:rtl/>
        </w:rPr>
      </w:pPr>
    </w:p>
    <w:p w14:paraId="10D9A9AD" w14:textId="77777777" w:rsidR="00FE1B53" w:rsidRPr="00FE1B53" w:rsidRDefault="00FE1B53" w:rsidP="00FE1B53">
      <w:pPr>
        <w:spacing w:before="120" w:after="120" w:line="240" w:lineRule="exact"/>
        <w:ind w:left="283" w:hanging="283"/>
        <w:jc w:val="both"/>
        <w:rPr>
          <w:rFonts w:ascii="FrankRuehl" w:hAnsi="FrankRuehl" w:cs="FrankRuehl"/>
          <w:rtl/>
        </w:rPr>
      </w:pPr>
    </w:p>
    <w:p w14:paraId="094EFF08" w14:textId="77777777" w:rsidR="00FE1B53" w:rsidRPr="00FE1B53" w:rsidRDefault="00FE1B53" w:rsidP="00FE1B53">
      <w:pPr>
        <w:spacing w:before="120" w:after="120" w:line="240" w:lineRule="exact"/>
        <w:ind w:left="283" w:hanging="283"/>
        <w:jc w:val="both"/>
        <w:rPr>
          <w:rFonts w:ascii="FrankRuehl" w:hAnsi="FrankRuehl" w:cs="FrankRuehl"/>
          <w:rtl/>
        </w:rPr>
      </w:pPr>
      <w:r w:rsidRPr="00FE1B53">
        <w:rPr>
          <w:rFonts w:ascii="FrankRuehl" w:hAnsi="FrankRuehl" w:cs="FrankRuehl"/>
          <w:rtl/>
        </w:rPr>
        <w:t xml:space="preserve">חקיקה שאוזכרה: </w:t>
      </w:r>
    </w:p>
    <w:p w14:paraId="369A9DB0" w14:textId="77777777" w:rsidR="00FE1B53" w:rsidRPr="00FE1B53" w:rsidRDefault="00FE1B53" w:rsidP="00FE1B53">
      <w:pPr>
        <w:spacing w:before="120" w:after="120" w:line="240" w:lineRule="exact"/>
        <w:ind w:left="283" w:hanging="283"/>
        <w:jc w:val="both"/>
        <w:rPr>
          <w:rFonts w:ascii="FrankRuehl" w:hAnsi="FrankRuehl" w:cs="FrankRuehl"/>
          <w:rtl/>
        </w:rPr>
      </w:pPr>
      <w:hyperlink r:id="rId7" w:history="1">
        <w:r w:rsidRPr="00FE1B53">
          <w:rPr>
            <w:rFonts w:ascii="FrankRuehl" w:hAnsi="FrankRuehl" w:cs="FrankRuehl"/>
            <w:color w:val="0000FF"/>
            <w:rtl/>
          </w:rPr>
          <w:t>חוק העונשין, תשל"ז-1977</w:t>
        </w:r>
      </w:hyperlink>
      <w:r w:rsidRPr="00FE1B53">
        <w:rPr>
          <w:rFonts w:ascii="FrankRuehl" w:hAnsi="FrankRuehl" w:cs="FrankRuehl"/>
          <w:rtl/>
        </w:rPr>
        <w:t xml:space="preserve">: סע'  </w:t>
      </w:r>
      <w:hyperlink r:id="rId8" w:history="1">
        <w:r w:rsidRPr="00FE1B53">
          <w:rPr>
            <w:rFonts w:ascii="FrankRuehl" w:hAnsi="FrankRuehl" w:cs="FrankRuehl"/>
            <w:color w:val="0000FF"/>
            <w:rtl/>
          </w:rPr>
          <w:t>40ב</w:t>
        </w:r>
      </w:hyperlink>
      <w:r w:rsidRPr="00FE1B53">
        <w:rPr>
          <w:rFonts w:ascii="FrankRuehl" w:hAnsi="FrankRuehl" w:cs="FrankRuehl"/>
          <w:rtl/>
        </w:rPr>
        <w:t xml:space="preserve">, </w:t>
      </w:r>
      <w:hyperlink r:id="rId9" w:history="1">
        <w:r w:rsidRPr="00FE1B53">
          <w:rPr>
            <w:rFonts w:ascii="FrankRuehl" w:hAnsi="FrankRuehl" w:cs="FrankRuehl"/>
            <w:color w:val="0000FF"/>
            <w:rtl/>
          </w:rPr>
          <w:t>40ג</w:t>
        </w:r>
      </w:hyperlink>
      <w:r w:rsidRPr="00FE1B53">
        <w:rPr>
          <w:rFonts w:ascii="FrankRuehl" w:hAnsi="FrankRuehl" w:cs="FrankRuehl"/>
          <w:rtl/>
        </w:rPr>
        <w:t xml:space="preserve">, </w:t>
      </w:r>
      <w:hyperlink r:id="rId10" w:history="1">
        <w:r w:rsidRPr="00FE1B53">
          <w:rPr>
            <w:rFonts w:ascii="FrankRuehl" w:hAnsi="FrankRuehl" w:cs="FrankRuehl"/>
            <w:color w:val="0000FF"/>
            <w:rtl/>
          </w:rPr>
          <w:t>40ד(א)</w:t>
        </w:r>
      </w:hyperlink>
      <w:r w:rsidRPr="00FE1B53">
        <w:rPr>
          <w:rFonts w:ascii="FrankRuehl" w:hAnsi="FrankRuehl" w:cs="FrankRuehl"/>
          <w:rtl/>
        </w:rPr>
        <w:t xml:space="preserve">, </w:t>
      </w:r>
      <w:hyperlink r:id="rId11" w:history="1">
        <w:r w:rsidRPr="00FE1B53">
          <w:rPr>
            <w:rFonts w:ascii="FrankRuehl" w:hAnsi="FrankRuehl" w:cs="FrankRuehl"/>
            <w:color w:val="0000FF"/>
            <w:rtl/>
          </w:rPr>
          <w:t>40ט</w:t>
        </w:r>
      </w:hyperlink>
      <w:r w:rsidRPr="00FE1B53">
        <w:rPr>
          <w:rFonts w:ascii="FrankRuehl" w:hAnsi="FrankRuehl" w:cs="FrankRuehl"/>
          <w:rtl/>
        </w:rPr>
        <w:t xml:space="preserve">, </w:t>
      </w:r>
      <w:hyperlink r:id="rId12" w:history="1">
        <w:r w:rsidRPr="00FE1B53">
          <w:rPr>
            <w:rFonts w:ascii="FrankRuehl" w:hAnsi="FrankRuehl" w:cs="FrankRuehl"/>
            <w:color w:val="0000FF"/>
            <w:rtl/>
          </w:rPr>
          <w:t>144</w:t>
        </w:r>
      </w:hyperlink>
      <w:r w:rsidRPr="00FE1B53">
        <w:rPr>
          <w:rFonts w:ascii="FrankRuehl" w:hAnsi="FrankRuehl" w:cs="FrankRuehl"/>
          <w:rtl/>
        </w:rPr>
        <w:t xml:space="preserve">, </w:t>
      </w:r>
      <w:hyperlink r:id="rId13" w:history="1">
        <w:r w:rsidRPr="00FE1B53">
          <w:rPr>
            <w:rFonts w:ascii="FrankRuehl" w:hAnsi="FrankRuehl" w:cs="FrankRuehl"/>
            <w:color w:val="0000FF"/>
            <w:rtl/>
          </w:rPr>
          <w:t>144(ב)</w:t>
        </w:r>
      </w:hyperlink>
      <w:r w:rsidRPr="00FE1B53">
        <w:rPr>
          <w:rFonts w:ascii="FrankRuehl" w:hAnsi="FrankRuehl" w:cs="FrankRuehl"/>
          <w:rtl/>
        </w:rPr>
        <w:t xml:space="preserve">, </w:t>
      </w:r>
      <w:hyperlink r:id="rId14" w:history="1">
        <w:r w:rsidRPr="00FE1B53">
          <w:rPr>
            <w:rFonts w:ascii="FrankRuehl" w:hAnsi="FrankRuehl" w:cs="FrankRuehl"/>
            <w:color w:val="0000FF"/>
            <w:rtl/>
          </w:rPr>
          <w:t>340א(ב)(1)</w:t>
        </w:r>
      </w:hyperlink>
      <w:r w:rsidRPr="00FE1B53">
        <w:rPr>
          <w:rFonts w:ascii="FrankRuehl" w:hAnsi="FrankRuehl" w:cs="FrankRuehl"/>
          <w:rtl/>
        </w:rPr>
        <w:t xml:space="preserve">, </w:t>
      </w:r>
      <w:hyperlink r:id="rId15" w:history="1">
        <w:r w:rsidRPr="00FE1B53">
          <w:rPr>
            <w:rFonts w:ascii="FrankRuehl" w:hAnsi="FrankRuehl" w:cs="FrankRuehl"/>
            <w:color w:val="0000FF"/>
            <w:rtl/>
          </w:rPr>
          <w:t>340א.ב.2</w:t>
        </w:r>
      </w:hyperlink>
      <w:r w:rsidRPr="00FE1B53">
        <w:rPr>
          <w:rFonts w:ascii="FrankRuehl" w:hAnsi="FrankRuehl" w:cs="FrankRuehl"/>
          <w:rtl/>
        </w:rPr>
        <w:t xml:space="preserve">, </w:t>
      </w:r>
      <w:hyperlink r:id="rId16" w:history="1">
        <w:r w:rsidRPr="00FE1B53">
          <w:rPr>
            <w:rFonts w:ascii="FrankRuehl" w:hAnsi="FrankRuehl" w:cs="FrankRuehl"/>
            <w:color w:val="0000FF"/>
            <w:rtl/>
          </w:rPr>
          <w:t>402(ב)</w:t>
        </w:r>
      </w:hyperlink>
      <w:r w:rsidRPr="00FE1B53">
        <w:rPr>
          <w:rFonts w:ascii="FrankRuehl" w:hAnsi="FrankRuehl" w:cs="FrankRuehl"/>
          <w:rtl/>
        </w:rPr>
        <w:t xml:space="preserve">, </w:t>
      </w:r>
      <w:hyperlink r:id="rId17" w:history="1">
        <w:r w:rsidRPr="00FE1B53">
          <w:rPr>
            <w:rFonts w:ascii="FrankRuehl" w:hAnsi="FrankRuehl" w:cs="FrankRuehl"/>
            <w:color w:val="0000FF"/>
            <w:rtl/>
          </w:rPr>
          <w:t>40יג (ב)</w:t>
        </w:r>
      </w:hyperlink>
      <w:r w:rsidRPr="00FE1B53">
        <w:rPr>
          <w:rFonts w:ascii="FrankRuehl" w:hAnsi="FrankRuehl" w:cs="FrankRuehl"/>
          <w:rtl/>
        </w:rPr>
        <w:t xml:space="preserve">, </w:t>
      </w:r>
      <w:hyperlink r:id="rId18" w:history="1">
        <w:r w:rsidRPr="00FE1B53">
          <w:rPr>
            <w:rFonts w:ascii="FrankRuehl" w:hAnsi="FrankRuehl" w:cs="FrankRuehl"/>
            <w:color w:val="0000FF"/>
            <w:rtl/>
          </w:rPr>
          <w:t>413ג</w:t>
        </w:r>
      </w:hyperlink>
    </w:p>
    <w:p w14:paraId="64A04339" w14:textId="77777777" w:rsidR="00FE1B53" w:rsidRPr="00FE1B53" w:rsidRDefault="00FE1B53" w:rsidP="00FE1B53">
      <w:pPr>
        <w:spacing w:before="120" w:after="120" w:line="240" w:lineRule="exact"/>
        <w:ind w:left="283" w:hanging="283"/>
        <w:jc w:val="both"/>
        <w:rPr>
          <w:rFonts w:ascii="FrankRuehl" w:hAnsi="FrankRuehl" w:cs="FrankRuehl"/>
          <w:rtl/>
        </w:rPr>
      </w:pPr>
      <w:hyperlink r:id="rId19" w:history="1">
        <w:r w:rsidRPr="00FE1B53">
          <w:rPr>
            <w:rFonts w:ascii="FrankRuehl" w:hAnsi="FrankRuehl" w:cs="FrankRuehl"/>
            <w:color w:val="0000FF"/>
            <w:rtl/>
          </w:rPr>
          <w:t>פקודת התעבורה [נוסח חדש]</w:t>
        </w:r>
      </w:hyperlink>
      <w:r w:rsidRPr="00FE1B53">
        <w:rPr>
          <w:rFonts w:ascii="FrankRuehl" w:hAnsi="FrankRuehl" w:cs="FrankRuehl"/>
          <w:rtl/>
        </w:rPr>
        <w:t xml:space="preserve">: סע'  </w:t>
      </w:r>
      <w:hyperlink r:id="rId20" w:history="1">
        <w:r w:rsidRPr="00FE1B53">
          <w:rPr>
            <w:rFonts w:ascii="FrankRuehl" w:hAnsi="FrankRuehl" w:cs="FrankRuehl"/>
            <w:color w:val="0000FF"/>
            <w:rtl/>
          </w:rPr>
          <w:t>10(א)</w:t>
        </w:r>
      </w:hyperlink>
      <w:r w:rsidRPr="00FE1B53">
        <w:rPr>
          <w:rFonts w:ascii="FrankRuehl" w:hAnsi="FrankRuehl" w:cs="FrankRuehl"/>
          <w:rtl/>
        </w:rPr>
        <w:t xml:space="preserve">, </w:t>
      </w:r>
      <w:hyperlink r:id="rId21" w:history="1">
        <w:r w:rsidRPr="00FE1B53">
          <w:rPr>
            <w:rFonts w:ascii="FrankRuehl" w:hAnsi="FrankRuehl" w:cs="FrankRuehl"/>
            <w:color w:val="0000FF"/>
            <w:rtl/>
          </w:rPr>
          <w:t>38(1)</w:t>
        </w:r>
      </w:hyperlink>
      <w:r w:rsidRPr="00FE1B53">
        <w:rPr>
          <w:rFonts w:ascii="FrankRuehl" w:hAnsi="FrankRuehl" w:cs="FrankRuehl"/>
          <w:rtl/>
        </w:rPr>
        <w:t xml:space="preserve">, </w:t>
      </w:r>
      <w:hyperlink r:id="rId22" w:history="1">
        <w:r w:rsidRPr="00FE1B53">
          <w:rPr>
            <w:rFonts w:ascii="FrankRuehl" w:hAnsi="FrankRuehl" w:cs="FrankRuehl"/>
            <w:color w:val="0000FF"/>
            <w:rtl/>
          </w:rPr>
          <w:t>62(1)</w:t>
        </w:r>
      </w:hyperlink>
    </w:p>
    <w:p w14:paraId="733FDD30" w14:textId="77777777" w:rsidR="00FE1B53" w:rsidRPr="00FE1B53" w:rsidRDefault="00FE1B53" w:rsidP="00FE1B53">
      <w:pPr>
        <w:spacing w:before="120" w:after="120" w:line="240" w:lineRule="exact"/>
        <w:ind w:left="283" w:hanging="283"/>
        <w:jc w:val="both"/>
        <w:rPr>
          <w:rFonts w:ascii="FrankRuehl" w:hAnsi="FrankRuehl" w:cs="FrankRuehl"/>
          <w:rtl/>
        </w:rPr>
      </w:pPr>
      <w:hyperlink r:id="rId23" w:history="1">
        <w:r w:rsidRPr="00FE1B53">
          <w:rPr>
            <w:rFonts w:ascii="FrankRuehl" w:hAnsi="FrankRuehl" w:cs="FrankRuehl"/>
            <w:color w:val="0000FF"/>
            <w:rtl/>
          </w:rPr>
          <w:t>פקודת ביטוח רכב מנועי [נוסח חדש], תש"ל-1970</w:t>
        </w:r>
      </w:hyperlink>
      <w:r w:rsidRPr="00FE1B53">
        <w:rPr>
          <w:rFonts w:ascii="FrankRuehl" w:hAnsi="FrankRuehl" w:cs="FrankRuehl"/>
          <w:rtl/>
        </w:rPr>
        <w:t xml:space="preserve">: סע'  </w:t>
      </w:r>
      <w:hyperlink r:id="rId24" w:history="1">
        <w:r w:rsidRPr="00FE1B53">
          <w:rPr>
            <w:rFonts w:ascii="FrankRuehl" w:hAnsi="FrankRuehl" w:cs="FrankRuehl"/>
            <w:color w:val="0000FF"/>
            <w:rtl/>
          </w:rPr>
          <w:t>2(א)</w:t>
        </w:r>
      </w:hyperlink>
      <w:r w:rsidRPr="00FE1B53">
        <w:rPr>
          <w:rFonts w:ascii="FrankRuehl" w:hAnsi="FrankRuehl" w:cs="FrankRuehl"/>
          <w:rtl/>
        </w:rPr>
        <w:t xml:space="preserve">, </w:t>
      </w:r>
      <w:hyperlink r:id="rId25" w:history="1">
        <w:r w:rsidRPr="00FE1B53">
          <w:rPr>
            <w:rFonts w:ascii="FrankRuehl" w:hAnsi="FrankRuehl" w:cs="FrankRuehl"/>
            <w:color w:val="0000FF"/>
            <w:rtl/>
          </w:rPr>
          <w:t>(ב)</w:t>
        </w:r>
      </w:hyperlink>
    </w:p>
    <w:p w14:paraId="74156176" w14:textId="77777777" w:rsidR="00FE1B53" w:rsidRPr="00FE1B53" w:rsidRDefault="00FE1B53" w:rsidP="00FE1B53">
      <w:pPr>
        <w:rPr>
          <w:rtl/>
        </w:rPr>
      </w:pPr>
      <w:bookmarkStart w:id="3" w:name="LawTable_End"/>
      <w:bookmarkEnd w:id="3"/>
    </w:p>
    <w:p w14:paraId="7348E2C7" w14:textId="77777777" w:rsidR="00BD00DD" w:rsidRPr="00385F1A" w:rsidRDefault="00BD00DD" w:rsidP="00385F1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00DD" w14:paraId="4F305892" w14:textId="77777777" w:rsidTr="00BD00DD">
        <w:trPr>
          <w:trHeight w:val="355"/>
          <w:jc w:val="center"/>
        </w:trPr>
        <w:tc>
          <w:tcPr>
            <w:tcW w:w="8820" w:type="dxa"/>
            <w:tcBorders>
              <w:top w:val="nil"/>
              <w:left w:val="nil"/>
              <w:bottom w:val="nil"/>
              <w:right w:val="nil"/>
            </w:tcBorders>
            <w:shd w:val="clear" w:color="auto" w:fill="auto"/>
          </w:tcPr>
          <w:p w14:paraId="4E30D052" w14:textId="77777777" w:rsidR="00C100A7" w:rsidRPr="00C100A7" w:rsidRDefault="00C100A7" w:rsidP="00C100A7">
            <w:pPr>
              <w:jc w:val="center"/>
              <w:rPr>
                <w:rFonts w:ascii="Arial" w:hAnsi="Arial" w:cs="FrankRuehl"/>
                <w:b/>
                <w:bCs/>
                <w:sz w:val="32"/>
                <w:szCs w:val="32"/>
                <w:u w:val="single"/>
                <w:rtl/>
              </w:rPr>
            </w:pPr>
            <w:bookmarkStart w:id="4" w:name="PsakDin" w:colFirst="0" w:colLast="0"/>
            <w:bookmarkEnd w:id="0"/>
            <w:r w:rsidRPr="00C100A7">
              <w:rPr>
                <w:rFonts w:ascii="Arial" w:hAnsi="Arial" w:cs="FrankRuehl"/>
                <w:b/>
                <w:bCs/>
                <w:sz w:val="32"/>
                <w:szCs w:val="32"/>
                <w:u w:val="single"/>
                <w:rtl/>
              </w:rPr>
              <w:t>גזר דין</w:t>
            </w:r>
          </w:p>
          <w:p w14:paraId="41B4C683" w14:textId="77777777" w:rsidR="00BD00DD" w:rsidRPr="00C100A7" w:rsidRDefault="00BD00DD" w:rsidP="00C100A7">
            <w:pPr>
              <w:jc w:val="center"/>
              <w:rPr>
                <w:rFonts w:ascii="Arial" w:hAnsi="Arial" w:cs="FrankRuehl"/>
                <w:bCs/>
                <w:sz w:val="32"/>
                <w:szCs w:val="32"/>
                <w:u w:val="single"/>
                <w:rtl/>
              </w:rPr>
            </w:pPr>
          </w:p>
        </w:tc>
      </w:tr>
      <w:bookmarkEnd w:id="4"/>
    </w:tbl>
    <w:p w14:paraId="0CC2AFBC" w14:textId="77777777" w:rsidR="00BD00DD" w:rsidRPr="00B05847" w:rsidRDefault="00BD00DD" w:rsidP="00BD00DD">
      <w:pPr>
        <w:rPr>
          <w:rFonts w:ascii="Arial" w:hAnsi="Arial"/>
          <w:rtl/>
        </w:rPr>
      </w:pPr>
    </w:p>
    <w:p w14:paraId="23DC78D8" w14:textId="77777777" w:rsidR="00BD00DD" w:rsidRDefault="00BD00DD" w:rsidP="00BD00DD">
      <w:pPr>
        <w:spacing w:line="360" w:lineRule="auto"/>
        <w:jc w:val="both"/>
        <w:rPr>
          <w:rtl/>
        </w:rPr>
      </w:pPr>
      <w:r>
        <w:rPr>
          <w:rtl/>
        </w:rPr>
        <w:t>1.</w:t>
      </w:r>
      <w:r>
        <w:rPr>
          <w:rtl/>
        </w:rPr>
        <w:tab/>
      </w:r>
      <w:bookmarkStart w:id="5" w:name="ABSTRACT_START"/>
      <w:bookmarkEnd w:id="5"/>
      <w:r>
        <w:rPr>
          <w:rtl/>
        </w:rPr>
        <w:t>הנאשם הורשע, על יסוד הודאתו, בעובדות כתב אישום שתוקן במסגרת של הסדר טיעון, אשר לא כלל הסכמה לעניין העונש, בביצוע  העבירות</w:t>
      </w:r>
      <w:r>
        <w:rPr>
          <w:rFonts w:hint="cs"/>
          <w:rtl/>
        </w:rPr>
        <w:t>,</w:t>
      </w:r>
      <w:r>
        <w:rPr>
          <w:rtl/>
        </w:rPr>
        <w:t xml:space="preserve"> כדלקמן: שוד, עבירה לפי </w:t>
      </w:r>
      <w:hyperlink r:id="rId26" w:history="1">
        <w:r w:rsidR="00385F1A" w:rsidRPr="00385F1A">
          <w:rPr>
            <w:rStyle w:val="Hyperlink"/>
            <w:rtl/>
          </w:rPr>
          <w:t>סעיף 402(ב)</w:t>
        </w:r>
      </w:hyperlink>
      <w:r>
        <w:rPr>
          <w:rtl/>
        </w:rPr>
        <w:t xml:space="preserve"> ל</w:t>
      </w:r>
      <w:hyperlink r:id="rId27" w:history="1">
        <w:r w:rsidR="00C100A7" w:rsidRPr="00C100A7">
          <w:rPr>
            <w:color w:val="0000FF"/>
            <w:u w:val="single"/>
            <w:rtl/>
          </w:rPr>
          <w:t>חוק העונשין</w:t>
        </w:r>
      </w:hyperlink>
      <w:r>
        <w:rPr>
          <w:rtl/>
        </w:rPr>
        <w:t xml:space="preserve">, התשל"ז- 1977 (להלן: </w:t>
      </w:r>
      <w:r>
        <w:rPr>
          <w:rFonts w:ascii="Miriam" w:hAnsi="Miriam" w:cs="Miriam"/>
          <w:rtl/>
        </w:rPr>
        <w:t>חוק העונשין</w:t>
      </w:r>
      <w:r>
        <w:rPr>
          <w:rtl/>
        </w:rPr>
        <w:t xml:space="preserve">); נשיאת נשק ותחמושת, עבירה לפי </w:t>
      </w:r>
      <w:hyperlink r:id="rId28" w:history="1">
        <w:r w:rsidR="00385F1A" w:rsidRPr="00385F1A">
          <w:rPr>
            <w:rStyle w:val="Hyperlink"/>
            <w:rtl/>
          </w:rPr>
          <w:t>סעיף 144(ב)</w:t>
        </w:r>
      </w:hyperlink>
      <w:r>
        <w:rPr>
          <w:rtl/>
        </w:rPr>
        <w:t xml:space="preserve"> רישא וסיפא לחוק העונשין וירי מנשק חם, עבירה לפי </w:t>
      </w:r>
      <w:hyperlink r:id="rId29" w:history="1">
        <w:r w:rsidR="00385F1A" w:rsidRPr="00385F1A">
          <w:rPr>
            <w:rStyle w:val="Hyperlink"/>
            <w:rtl/>
          </w:rPr>
          <w:t>סעיף 340א(ב)(1)</w:t>
        </w:r>
      </w:hyperlink>
      <w:r>
        <w:rPr>
          <w:rtl/>
        </w:rPr>
        <w:t xml:space="preserve"> לחוק העונשין. </w:t>
      </w:r>
    </w:p>
    <w:p w14:paraId="5C14BD20" w14:textId="77777777" w:rsidR="00BD00DD" w:rsidRDefault="00BD00DD" w:rsidP="00BD00DD">
      <w:pPr>
        <w:jc w:val="both"/>
        <w:rPr>
          <w:rtl/>
        </w:rPr>
      </w:pPr>
      <w:bookmarkStart w:id="6" w:name="ABSTRACT_END"/>
      <w:bookmarkEnd w:id="6"/>
    </w:p>
    <w:p w14:paraId="22A8597B" w14:textId="77777777" w:rsidR="00BD00DD" w:rsidRPr="00313930" w:rsidRDefault="00BD00DD" w:rsidP="00BD00DD">
      <w:pPr>
        <w:spacing w:line="360" w:lineRule="auto"/>
        <w:jc w:val="both"/>
        <w:rPr>
          <w:u w:val="single"/>
          <w:rtl/>
        </w:rPr>
      </w:pPr>
      <w:r w:rsidRPr="00313930">
        <w:rPr>
          <w:rFonts w:ascii="Miriam" w:hAnsi="Miriam" w:cs="Miriam"/>
          <w:u w:val="single"/>
          <w:rtl/>
        </w:rPr>
        <w:t>כתב האישום המתוקן</w:t>
      </w:r>
      <w:r w:rsidRPr="00313930">
        <w:rPr>
          <w:u w:val="single"/>
          <w:rtl/>
        </w:rPr>
        <w:t xml:space="preserve"> (להלן גם: </w:t>
      </w:r>
      <w:r w:rsidRPr="00313930">
        <w:rPr>
          <w:rFonts w:ascii="Miriam" w:hAnsi="Miriam" w:cs="Miriam"/>
          <w:u w:val="single"/>
          <w:rtl/>
        </w:rPr>
        <w:t>כתב האישום</w:t>
      </w:r>
      <w:r w:rsidRPr="00313930">
        <w:rPr>
          <w:u w:val="single"/>
          <w:rtl/>
        </w:rPr>
        <w:t>)</w:t>
      </w:r>
    </w:p>
    <w:p w14:paraId="2F7D89E5" w14:textId="77777777" w:rsidR="00BD00DD" w:rsidRDefault="00BD00DD" w:rsidP="00BD00DD">
      <w:pPr>
        <w:jc w:val="both"/>
        <w:rPr>
          <w:rtl/>
        </w:rPr>
      </w:pPr>
    </w:p>
    <w:p w14:paraId="7E1FD13B" w14:textId="77777777" w:rsidR="00BD00DD" w:rsidRDefault="00BD00DD" w:rsidP="00BD00DD">
      <w:pPr>
        <w:spacing w:line="360" w:lineRule="auto"/>
        <w:jc w:val="both"/>
        <w:rPr>
          <w:rtl/>
        </w:rPr>
      </w:pPr>
      <w:r>
        <w:rPr>
          <w:rtl/>
        </w:rPr>
        <w:t>2.</w:t>
      </w:r>
      <w:r>
        <w:rPr>
          <w:rtl/>
        </w:rPr>
        <w:tab/>
        <w:t xml:space="preserve">בזמניים הרלוונטיים לכתב האישום עבד שאדי שחאדה (להלן: </w:t>
      </w:r>
      <w:r>
        <w:rPr>
          <w:rFonts w:ascii="Miriam" w:hAnsi="Miriam" w:cs="Miriam"/>
          <w:rtl/>
        </w:rPr>
        <w:t>המתלונן</w:t>
      </w:r>
      <w:r>
        <w:rPr>
          <w:rtl/>
        </w:rPr>
        <w:t xml:space="preserve">) כמתדלק בתחנת הדלק "יעד" במג'דל כרום. ביום 24/3/20 בשעה 20:10 או בסמוך לכך, הגיע הנאשם אל מתחם תחנת הדלק ברכב מסוג פורד פוקוס, ללא לוחיות זיהוי, וזאת במטרה לשדוד את תחנת הדלק. ברכב </w:t>
      </w:r>
      <w:r>
        <w:rPr>
          <w:rtl/>
        </w:rPr>
        <w:lastRenderedPageBreak/>
        <w:t xml:space="preserve">נהג אדם נוסף שזהותו אינה ידועה למאשימה (להלן: </w:t>
      </w:r>
      <w:r>
        <w:rPr>
          <w:rFonts w:ascii="Miriam" w:hAnsi="Miriam" w:cs="Miriam"/>
          <w:rtl/>
        </w:rPr>
        <w:t>האחר</w:t>
      </w:r>
      <w:r>
        <w:rPr>
          <w:rtl/>
        </w:rPr>
        <w:t xml:space="preserve">) ואילו הנאשם ישב במושב האחורי. הנאשם יצא מהרכב כשהוא רעול פנים ונושא בידו אקדח שהינו כלי שסוגל לירות כדור שבכוחו להמית אדם (להלן: </w:t>
      </w:r>
      <w:r>
        <w:rPr>
          <w:rFonts w:ascii="Miriam" w:hAnsi="Miriam" w:cs="Miriam"/>
          <w:rtl/>
        </w:rPr>
        <w:t>האקדח</w:t>
      </w:r>
      <w:r>
        <w:rPr>
          <w:rtl/>
        </w:rPr>
        <w:t xml:space="preserve">), וניגש אל המתלונן ששוחח באותה עת עם לקוח </w:t>
      </w:r>
      <w:r>
        <w:rPr>
          <w:rFonts w:hint="cs"/>
          <w:rtl/>
        </w:rPr>
        <w:t xml:space="preserve">אשר </w:t>
      </w:r>
      <w:r>
        <w:rPr>
          <w:rtl/>
        </w:rPr>
        <w:t>סמוך אליו עמד רכב נוסף. הנאשם אחז במתלונן, כרך את זרועו השמאלית סביב צווארו של המתלונן כשהוא עומד מאחוריו ובידו הימנית החזיק את האקדח. בשלב זה הורה הנאשם למתלונן לתת לו את כל מה שיש לו. משהחל המתלונן לסובב את פניו לאחור, לכיוונו של הנאשם, ירה הנאשם  ירייה אחת באוויר כלפי מעלה אשר פגעה בגג תחנת הדלק. כתוצאה ממעשיו של הנאשם, המתלונן הוציא מכיס מעילו סכום כסף בסך 1</w:t>
      </w:r>
      <w:r>
        <w:rPr>
          <w:rFonts w:hint="cs"/>
          <w:rtl/>
        </w:rPr>
        <w:t>,</w:t>
      </w:r>
      <w:r>
        <w:rPr>
          <w:rtl/>
        </w:rPr>
        <w:t>760 ₪ ומסר אותו לידי הנאשם</w:t>
      </w:r>
      <w:r>
        <w:rPr>
          <w:rFonts w:hint="cs"/>
          <w:rtl/>
        </w:rPr>
        <w:t>, אשר</w:t>
      </w:r>
      <w:r>
        <w:rPr>
          <w:rtl/>
        </w:rPr>
        <w:t xml:space="preserve"> רץ אל הרכב, נכנס למושב האחורי ויחד עם האחר  נסע מהמקום.</w:t>
      </w:r>
    </w:p>
    <w:p w14:paraId="25AAC9BC" w14:textId="77777777" w:rsidR="00BD00DD" w:rsidRDefault="00BD00DD" w:rsidP="00BD00DD">
      <w:pPr>
        <w:jc w:val="both"/>
        <w:rPr>
          <w:rtl/>
        </w:rPr>
      </w:pPr>
    </w:p>
    <w:p w14:paraId="2409EA2B" w14:textId="77777777" w:rsidR="00BD00DD" w:rsidRPr="00313930" w:rsidRDefault="00BD00DD" w:rsidP="00BD00DD">
      <w:pPr>
        <w:spacing w:line="360" w:lineRule="auto"/>
        <w:jc w:val="both"/>
        <w:rPr>
          <w:rFonts w:ascii="Miriam" w:hAnsi="Miriam" w:cs="Miriam"/>
          <w:u w:val="single"/>
          <w:rtl/>
        </w:rPr>
      </w:pPr>
      <w:r w:rsidRPr="00313930">
        <w:rPr>
          <w:rFonts w:ascii="Miriam" w:hAnsi="Miriam" w:cs="Miriam"/>
          <w:u w:val="single"/>
          <w:rtl/>
        </w:rPr>
        <w:t>ראיות הצדדים לעונש וטיעוניהם לעונש</w:t>
      </w:r>
    </w:p>
    <w:p w14:paraId="2B69484B" w14:textId="77777777" w:rsidR="00BD00DD" w:rsidRDefault="00BD00DD" w:rsidP="00BD00DD">
      <w:pPr>
        <w:jc w:val="both"/>
        <w:rPr>
          <w:rtl/>
        </w:rPr>
      </w:pPr>
    </w:p>
    <w:p w14:paraId="01072277" w14:textId="77777777" w:rsidR="00BD00DD" w:rsidRDefault="00BD00DD" w:rsidP="00BD00DD">
      <w:pPr>
        <w:spacing w:line="360" w:lineRule="auto"/>
        <w:jc w:val="both"/>
        <w:rPr>
          <w:rtl/>
        </w:rPr>
      </w:pPr>
      <w:r>
        <w:rPr>
          <w:rtl/>
        </w:rPr>
        <w:t>3.</w:t>
      </w:r>
      <w:r>
        <w:rPr>
          <w:rtl/>
        </w:rPr>
        <w:tab/>
        <w:t>במסגרת ראיות המאשימה לעונש הגישה ב"כ המאשימה דיסק המתעד את אירוע השוד (</w:t>
      </w:r>
      <w:r>
        <w:rPr>
          <w:rFonts w:ascii="Miriam" w:hAnsi="Miriam" w:cs="Miriam"/>
          <w:rtl/>
        </w:rPr>
        <w:t>ט/1</w:t>
      </w:r>
      <w:r>
        <w:rPr>
          <w:rtl/>
        </w:rPr>
        <w:t>). כמו כן, הגישה ב"כ המאשימה את טיעוניה לעונש בכתב (</w:t>
      </w:r>
      <w:r>
        <w:rPr>
          <w:rFonts w:ascii="Miriam" w:hAnsi="Miriam" w:cs="Miriam"/>
          <w:rtl/>
        </w:rPr>
        <w:t>ט/2)</w:t>
      </w:r>
      <w:r>
        <w:rPr>
          <w:rtl/>
        </w:rPr>
        <w:t xml:space="preserve"> והוסיפה וטענה בעל- פה בדיון  בפניי ביום 31/1/21.</w:t>
      </w:r>
    </w:p>
    <w:p w14:paraId="09C1F212" w14:textId="77777777" w:rsidR="00BD00DD" w:rsidRDefault="00BD00DD" w:rsidP="00BD00DD">
      <w:pPr>
        <w:spacing w:line="360" w:lineRule="auto"/>
        <w:jc w:val="both"/>
        <w:rPr>
          <w:rtl/>
        </w:rPr>
      </w:pPr>
    </w:p>
    <w:p w14:paraId="707050EA" w14:textId="77777777" w:rsidR="00BD00DD" w:rsidRDefault="00BD00DD" w:rsidP="00BD00DD">
      <w:pPr>
        <w:spacing w:line="360" w:lineRule="auto"/>
        <w:jc w:val="both"/>
        <w:rPr>
          <w:rtl/>
        </w:rPr>
      </w:pPr>
      <w:r>
        <w:rPr>
          <w:rtl/>
        </w:rPr>
        <w:t>4.</w:t>
      </w:r>
      <w:r>
        <w:rPr>
          <w:rtl/>
        </w:rPr>
        <w:tab/>
        <w:t>ב"כ המאשימה ציינה בטיעוניה את עובדות כתב האישום כדי ללמד על חומרת מעשיו של הנאשם. נטען כי עבירות השוד הפכו לתופעה נפוצה וחמורה הגורמת לפגיעה קשה בביטחונו של הקורבן, בכבודו וברכושו ובביטחון הציבור בכללותו. צוין כי מעבר לפגיעה בערכים המוגנים ע"י עבירת השוד (ההגנה על רכושו וקניינו של הפרט ושמירה על תחושת הביטחון שלו ושל הציבור בכללותו), מתרחב פוטנציאל הפגיעה בענייננו נוכח הירי באוויר שביצע הנאשם בצמוד למתלונן ולאנשים נוספים. ב"כ המאשימה ציינה</w:t>
      </w:r>
      <w:r>
        <w:rPr>
          <w:rFonts w:hint="cs"/>
          <w:rtl/>
        </w:rPr>
        <w:t>,</w:t>
      </w:r>
      <w:r>
        <w:rPr>
          <w:rtl/>
        </w:rPr>
        <w:t xml:space="preserve"> בנוסף</w:t>
      </w:r>
      <w:r>
        <w:rPr>
          <w:rFonts w:hint="cs"/>
          <w:rtl/>
        </w:rPr>
        <w:t>,</w:t>
      </w:r>
      <w:r>
        <w:rPr>
          <w:rtl/>
        </w:rPr>
        <w:t xml:space="preserve"> את הפיתוי הטמון בצדה של עבירת השוד נוכח הקלות היחסית לבצעה והרווח המידי המופק ממנה. נטען  כי לא בכדי ייחס המחוקק חומרה מיוחדת לעבירה זו וקבע לצידה עונש מקסימלי של 20 שנות מאסר.</w:t>
      </w:r>
    </w:p>
    <w:p w14:paraId="1FDD0514" w14:textId="77777777" w:rsidR="00BD00DD" w:rsidRDefault="00BD00DD" w:rsidP="00BD00DD">
      <w:pPr>
        <w:spacing w:line="360" w:lineRule="auto"/>
        <w:jc w:val="both"/>
        <w:rPr>
          <w:rtl/>
        </w:rPr>
      </w:pPr>
    </w:p>
    <w:p w14:paraId="7D1886E3" w14:textId="77777777" w:rsidR="00BD00DD" w:rsidRDefault="00BD00DD" w:rsidP="00BD00DD">
      <w:pPr>
        <w:spacing w:line="360" w:lineRule="auto"/>
        <w:jc w:val="both"/>
        <w:rPr>
          <w:rtl/>
        </w:rPr>
      </w:pPr>
      <w:r>
        <w:rPr>
          <w:rtl/>
        </w:rPr>
        <w:t>5.</w:t>
      </w:r>
      <w:r>
        <w:rPr>
          <w:rtl/>
        </w:rPr>
        <w:tab/>
        <w:t xml:space="preserve">במסגרת הנסיבות הקשורות בביצוע העבירה, צוין ע"י המאשימה כי הנאשם תכנן מבעוד מועד את ביצוע  השוד, הצטייד בנשק חם ותחמושת תואמת, הסווה את פניו והגיע לתחנת הדלק ברכב ללא לוחיות זיהוי. נטען כי מהלכים אלו מעידים כאלף עדים על התכנון המוקדם של הנאשם. עוד ציינה המאשימה את  הנזק שהיה צפוי להיגרם מביצוע העבירות  כתוצאה מביצוע הירי סמוך למתלונן ולאנשים נוספים ששהו במקום באותה עת. נטען כי אמנם המתלונן לא נפגע פיזית, אולם בנקל ניתן לתאר את האימה שאחזה בו ברגעי השוד, שעה שרעול פנים לפת בצווארו מאחור, הורה לו לתת את כספו ואף ירה בנשק חם בסמוך אליו. כנסיבה נוספת לחומרה  ציינה המאשימה כי הנשק ששימש לביצוע השוד לא נתפס עד היום. באת כוח המאשימה ביקשה לראות במכלול העבירות כאירוע אחד ובגינו לקבוע  מתחם עונש הולם כולל לעבירות בהן הורשע הנאשם. בסיכומו של דבר, ולאחר שהפנתה, במסגרת סקירת מדיניות ענישה נהוגה, לפסקי דין שניתנו בעבירות של נשיאת נשק ושוד, ביקשה המאשימה לקבוע מתחם עונש הולם הנע בין 8-6 שנות מאסר בפועל. </w:t>
      </w:r>
      <w:r>
        <w:rPr>
          <w:rtl/>
        </w:rPr>
        <w:lastRenderedPageBreak/>
        <w:t>בשים לב להודאת הנאשם בעובדות כתב האישום המתוקן שחסכה מזמנו היקר של בית המשפט ו</w:t>
      </w:r>
      <w:r>
        <w:rPr>
          <w:rFonts w:hint="cs"/>
          <w:rtl/>
        </w:rPr>
        <w:t xml:space="preserve">כן </w:t>
      </w:r>
      <w:r>
        <w:rPr>
          <w:rtl/>
        </w:rPr>
        <w:t xml:space="preserve">את העדת המתלונן, סבורה המאשימה כי יש למקם את עונשו  </w:t>
      </w:r>
      <w:r>
        <w:rPr>
          <w:rFonts w:hint="cs"/>
          <w:rtl/>
        </w:rPr>
        <w:t xml:space="preserve">של הנאשם </w:t>
      </w:r>
      <w:r>
        <w:rPr>
          <w:rtl/>
        </w:rPr>
        <w:t>בחלקו התחתון של המתחם לו היא עותרת, זאת בנוסף להשתת עונש של מאסר על תנאי ופיצוי למתלונן.</w:t>
      </w:r>
    </w:p>
    <w:p w14:paraId="30FB9C44" w14:textId="77777777" w:rsidR="00BD00DD" w:rsidRDefault="00BD00DD" w:rsidP="00BD00DD">
      <w:pPr>
        <w:spacing w:line="360" w:lineRule="auto"/>
        <w:jc w:val="both"/>
        <w:rPr>
          <w:rtl/>
        </w:rPr>
      </w:pPr>
    </w:p>
    <w:p w14:paraId="3FA6A276" w14:textId="77777777" w:rsidR="00BD00DD" w:rsidRDefault="00BD00DD" w:rsidP="00BD00DD">
      <w:pPr>
        <w:spacing w:line="360" w:lineRule="auto"/>
        <w:jc w:val="both"/>
        <w:rPr>
          <w:rtl/>
        </w:rPr>
      </w:pPr>
      <w:r>
        <w:rPr>
          <w:rtl/>
        </w:rPr>
        <w:t>6.</w:t>
      </w:r>
      <w:r>
        <w:rPr>
          <w:rtl/>
        </w:rPr>
        <w:tab/>
        <w:t>ההגנה הגישה את טיעוניה לעונש בכתב בצירוף פסיקה להמחשת עמדתה לעונש (</w:t>
      </w:r>
      <w:r>
        <w:rPr>
          <w:rFonts w:ascii="Miriam" w:hAnsi="Miriam" w:cs="Miriam"/>
          <w:rtl/>
        </w:rPr>
        <w:t>נ/1</w:t>
      </w:r>
      <w:r>
        <w:rPr>
          <w:rtl/>
        </w:rPr>
        <w:t>) וכן הוסיף הסנגור וטען בקצרה בעל</w:t>
      </w:r>
      <w:r>
        <w:rPr>
          <w:rFonts w:hint="cs"/>
          <w:rtl/>
        </w:rPr>
        <w:t>-</w:t>
      </w:r>
      <w:r>
        <w:rPr>
          <w:rtl/>
        </w:rPr>
        <w:t>פה בדיון בפניי, תוך שהגיש גזר דין נוסף לתמיכה בעמדת ההגנה לעונש (</w:t>
      </w:r>
      <w:r>
        <w:rPr>
          <w:rFonts w:ascii="Miriam" w:hAnsi="Miriam" w:cs="Miriam"/>
          <w:rtl/>
        </w:rPr>
        <w:t>נ/3).</w:t>
      </w:r>
    </w:p>
    <w:p w14:paraId="76B366D3" w14:textId="77777777" w:rsidR="00BD00DD" w:rsidRDefault="00BD00DD" w:rsidP="00BD00DD">
      <w:pPr>
        <w:spacing w:line="360" w:lineRule="auto"/>
        <w:jc w:val="both"/>
        <w:rPr>
          <w:rtl/>
        </w:rPr>
      </w:pPr>
    </w:p>
    <w:p w14:paraId="5B7CA450" w14:textId="77777777" w:rsidR="00BD00DD" w:rsidRDefault="00BD00DD" w:rsidP="00BD00DD">
      <w:pPr>
        <w:spacing w:line="360" w:lineRule="auto"/>
        <w:jc w:val="both"/>
        <w:rPr>
          <w:rtl/>
        </w:rPr>
      </w:pPr>
      <w:r>
        <w:rPr>
          <w:rtl/>
        </w:rPr>
        <w:t>7.</w:t>
      </w:r>
      <w:r>
        <w:rPr>
          <w:rtl/>
        </w:rPr>
        <w:tab/>
        <w:t>בטיעוניה לעונש טוענת ההגנה כי הנאשם הוא בחור צעיר</w:t>
      </w:r>
      <w:r>
        <w:rPr>
          <w:rFonts w:hint="cs"/>
          <w:rtl/>
        </w:rPr>
        <w:t>,</w:t>
      </w:r>
      <w:r>
        <w:rPr>
          <w:rtl/>
        </w:rPr>
        <w:t xml:space="preserve"> בן למשפחה נורמטיבית אשר ניהל אורח חיים נורמטיבי עד למעצרו ואף התארס ותכנן להינשא עמה. עוד נטען, כי הנאשם סיים 12 שנות לימוד עם תעודת בגרות וכי מערכת היחסים בינו לבין בני משפחתו הייתה טובה ותומכת עד שנעצר, אז התרחקו ממנו בני המשפחה בשל תחושת הבושה ורק לאחרונה חודש הקשר. לטענת הסנגור, הניתוק המשפחתי היווה עבור הנאשם גורם מרתיע לחלוטין. בנוסף, טען הסנגור כי אביו של הנאשם סובל ממחלה ממארת</w:t>
      </w:r>
      <w:r>
        <w:rPr>
          <w:rFonts w:hint="cs"/>
          <w:rtl/>
        </w:rPr>
        <w:t xml:space="preserve">, אך </w:t>
      </w:r>
      <w:r>
        <w:rPr>
          <w:rtl/>
        </w:rPr>
        <w:t>לא צורף כל תיעוד רפואי או מסמך כלשהו לתמיכה בטענה זו.</w:t>
      </w:r>
    </w:p>
    <w:p w14:paraId="57B86E0C" w14:textId="77777777" w:rsidR="00BD00DD" w:rsidRDefault="00BD00DD" w:rsidP="00BD00DD">
      <w:pPr>
        <w:spacing w:line="360" w:lineRule="auto"/>
        <w:jc w:val="both"/>
        <w:rPr>
          <w:rtl/>
        </w:rPr>
      </w:pPr>
      <w:r>
        <w:rPr>
          <w:rtl/>
        </w:rPr>
        <w:t>8.</w:t>
      </w:r>
      <w:r>
        <w:rPr>
          <w:rtl/>
        </w:rPr>
        <w:tab/>
        <w:t>הסנגור ציין בטיעוניו את עברו הפלילי הנקי של הנאשם שזו ל</w:t>
      </w:r>
      <w:r>
        <w:rPr>
          <w:rFonts w:hint="cs"/>
          <w:rtl/>
        </w:rPr>
        <w:t>ו</w:t>
      </w:r>
      <w:r>
        <w:rPr>
          <w:rtl/>
        </w:rPr>
        <w:t xml:space="preserve"> הסתבכותו הראשונה בפלילים. כמו כן, הודגשה הודאת הנאשם בעובדות כתב האישום המתוקן שהביאה לחיסכון בזמן שיפוטי יקר. לעניין זה, נטען כי הנאשם הודה בשלב מוקדם של הדיון, הביע חרטה וצער על מעשיו. עוד נטען</w:t>
      </w:r>
      <w:r>
        <w:rPr>
          <w:rFonts w:hint="cs"/>
          <w:rtl/>
        </w:rPr>
        <w:t xml:space="preserve"> </w:t>
      </w:r>
      <w:r>
        <w:rPr>
          <w:rtl/>
        </w:rPr>
        <w:t xml:space="preserve"> כי בין משפחת הנאשם לבין בעל תחנת הדלק והעובד-</w:t>
      </w:r>
      <w:r>
        <w:rPr>
          <w:rFonts w:hint="cs"/>
          <w:rtl/>
        </w:rPr>
        <w:t>המתלונן</w:t>
      </w:r>
      <w:r>
        <w:rPr>
          <w:rtl/>
        </w:rPr>
        <w:t>, נערכה סולחה, במסגרתה שולם פיצוי בסכום כולל של 28,000 ₪ עבור השנים הנ"ל. לתמיכה בטענה הנ"ל, הגיש הסנגור את מכתבו של השיח</w:t>
      </w:r>
      <w:r>
        <w:rPr>
          <w:rFonts w:hint="cs"/>
          <w:rtl/>
        </w:rPr>
        <w:t>'</w:t>
      </w:r>
      <w:r>
        <w:rPr>
          <w:rtl/>
        </w:rPr>
        <w:t xml:space="preserve"> מוחמד כיואן (</w:t>
      </w:r>
      <w:r w:rsidRPr="00821587">
        <w:rPr>
          <w:rFonts w:ascii="Miriam" w:hAnsi="Miriam" w:cs="Miriam"/>
          <w:rtl/>
        </w:rPr>
        <w:t>נ/2</w:t>
      </w:r>
      <w:r>
        <w:rPr>
          <w:rtl/>
        </w:rPr>
        <w:t>), ממנו עולה כי הנאשם הוא בן למשפחה מכובדת וכי נערך "שלום בית בין הצדדים". כמו כן, אחיו של הנאשם, מר סמיר מנסור, טען במהלך הדיון בפניי, כי אכן נערכה סולחה אצל השיח</w:t>
      </w:r>
      <w:r>
        <w:rPr>
          <w:rFonts w:hint="cs"/>
          <w:rtl/>
        </w:rPr>
        <w:t>'</w:t>
      </w:r>
      <w:r>
        <w:rPr>
          <w:rtl/>
        </w:rPr>
        <w:t xml:space="preserve"> כיואן עם בעל תחנת הדלק ועם העובד שאדי ובמסגרתה שולם עבור השניים סכום של 28,000 ₪ כפי שנקבע על ידי השיח</w:t>
      </w:r>
      <w:r>
        <w:rPr>
          <w:rFonts w:hint="cs"/>
          <w:rtl/>
        </w:rPr>
        <w:t>'</w:t>
      </w:r>
      <w:r>
        <w:rPr>
          <w:rtl/>
        </w:rPr>
        <w:t xml:space="preserve">. </w:t>
      </w:r>
      <w:r>
        <w:rPr>
          <w:rFonts w:hint="cs"/>
          <w:rtl/>
        </w:rPr>
        <w:t xml:space="preserve">מעבר לכך הגישה ההגנה לתיק בית המשפט ביום 8/2/21 מכתב בחתימתו של השיח' כיואן ובחתימתו של חאלד חטיב מבעלי תחנת הדלק, ולפיו במסגרת הסולחה שנערכה בין הנאשם ומשפחתו לבין בעליו הנ"ל של תחנת הדלק, אכן שולם לבעלי תחנת הדלק (משפחת חטיב) ולמתלונן סכום כולל של 28,000 ₪. את תגובת המתלונן לעניין זה לא הצליחה המאשימה להשיג אף שניסתה מספר פעמים ליצור עמו קשר טלפוני. </w:t>
      </w:r>
      <w:r>
        <w:rPr>
          <w:rtl/>
        </w:rPr>
        <w:t xml:space="preserve">הסנגור הוסיף </w:t>
      </w:r>
      <w:r>
        <w:rPr>
          <w:rFonts w:hint="cs"/>
          <w:rtl/>
        </w:rPr>
        <w:t>ו</w:t>
      </w:r>
      <w:r>
        <w:rPr>
          <w:rtl/>
        </w:rPr>
        <w:t>טען</w:t>
      </w:r>
      <w:r>
        <w:rPr>
          <w:rFonts w:hint="cs"/>
          <w:rtl/>
        </w:rPr>
        <w:t xml:space="preserve"> בדיון </w:t>
      </w:r>
      <w:r>
        <w:rPr>
          <w:rtl/>
        </w:rPr>
        <w:t xml:space="preserve">כי </w:t>
      </w:r>
      <w:r>
        <w:rPr>
          <w:rFonts w:hint="cs"/>
          <w:rtl/>
        </w:rPr>
        <w:t>סכום הפיצוי הנ"ל שולם אף ש</w:t>
      </w:r>
      <w:r>
        <w:rPr>
          <w:rtl/>
        </w:rPr>
        <w:t>לא נגרם נזק ממשי לתחנת הדלק ו</w:t>
      </w:r>
      <w:r>
        <w:rPr>
          <w:rFonts w:hint="cs"/>
          <w:rtl/>
        </w:rPr>
        <w:t>אף</w:t>
      </w:r>
      <w:r>
        <w:rPr>
          <w:rtl/>
        </w:rPr>
        <w:t xml:space="preserve"> </w:t>
      </w:r>
      <w:r>
        <w:rPr>
          <w:rFonts w:hint="cs"/>
          <w:rtl/>
        </w:rPr>
        <w:t>ש</w:t>
      </w:r>
      <w:r>
        <w:rPr>
          <w:rtl/>
        </w:rPr>
        <w:t xml:space="preserve">הנאשם אך ירה באוויר ולא השתמש באלימות. </w:t>
      </w:r>
    </w:p>
    <w:p w14:paraId="5962AC28" w14:textId="77777777" w:rsidR="00BD00DD" w:rsidRDefault="00BD00DD" w:rsidP="00BD00DD">
      <w:pPr>
        <w:jc w:val="both"/>
        <w:rPr>
          <w:rtl/>
        </w:rPr>
      </w:pPr>
    </w:p>
    <w:p w14:paraId="397366A7" w14:textId="77777777" w:rsidR="00BD00DD" w:rsidRDefault="00BD00DD" w:rsidP="00BD00DD">
      <w:pPr>
        <w:spacing w:line="360" w:lineRule="auto"/>
        <w:jc w:val="both"/>
        <w:rPr>
          <w:rtl/>
        </w:rPr>
      </w:pPr>
      <w:r>
        <w:rPr>
          <w:rtl/>
        </w:rPr>
        <w:t>9.</w:t>
      </w:r>
      <w:r>
        <w:rPr>
          <w:rtl/>
        </w:rPr>
        <w:tab/>
        <w:t>הסנגור ביקש שלא למצות את הדין עם הנאשם, תוך שטען כי הנאשם אינו המבצע העיקרי בפרשה, כי העבירות בוצעו ללא תחכום, ללא תכנון, כי מידת הפגיעה בערכים המוגנים היא בינונית עד נמוכה וכי עונש של מאסר ארוך יביא לקריסת חיי הנאשם, יפגע בעתידו ועלול לפגיעה פגיעה קשה בסיכוייו להשתקם. נטען כי מצבה הכלכלי של משפחת הנאשם נפגע כתוצאה ממעצרו של הנאשם וכי נגרם לנאשם גם נזק תדמיתי עקב ביצוע העבירות שלגביהן הוא מתחרט ולוקח אחריות מלאה.</w:t>
      </w:r>
    </w:p>
    <w:p w14:paraId="1B35F2A1" w14:textId="77777777" w:rsidR="00BD00DD" w:rsidRDefault="00BD00DD" w:rsidP="00BD00DD">
      <w:pPr>
        <w:jc w:val="both"/>
        <w:rPr>
          <w:rtl/>
        </w:rPr>
      </w:pPr>
    </w:p>
    <w:p w14:paraId="7FA9DBC8" w14:textId="77777777" w:rsidR="00BD00DD" w:rsidRDefault="00BD00DD" w:rsidP="00BD00DD">
      <w:pPr>
        <w:spacing w:line="360" w:lineRule="auto"/>
        <w:jc w:val="both"/>
        <w:rPr>
          <w:rtl/>
        </w:rPr>
      </w:pPr>
      <w:r>
        <w:rPr>
          <w:rtl/>
        </w:rPr>
        <w:t>10.</w:t>
      </w:r>
      <w:r>
        <w:rPr>
          <w:rtl/>
        </w:rPr>
        <w:tab/>
        <w:t>ב"כ הנאשם טען למתחם עונש הולם הנע בין 7- 14 חודשי מאסר בפועל, תוך שביקש</w:t>
      </w:r>
      <w:r>
        <w:rPr>
          <w:rFonts w:hint="cs"/>
          <w:rtl/>
        </w:rPr>
        <w:t>,</w:t>
      </w:r>
      <w:r>
        <w:rPr>
          <w:rtl/>
        </w:rPr>
        <w:t xml:space="preserve"> במידה ובית המשפט יקבע מתחם עונש הולם הגבוה מהמתחם הנ"ל, לסטות לקולה ממתחם העונש ההולם מטעמים הנעוצים בשיקולי צדק ורחמים ובשיקום משפחת</w:t>
      </w:r>
      <w:r>
        <w:rPr>
          <w:rFonts w:hint="cs"/>
          <w:rtl/>
        </w:rPr>
        <w:t xml:space="preserve"> </w:t>
      </w:r>
      <w:r>
        <w:rPr>
          <w:rtl/>
        </w:rPr>
        <w:t>הנאשם.</w:t>
      </w:r>
    </w:p>
    <w:p w14:paraId="32618AEF" w14:textId="77777777" w:rsidR="00BD00DD" w:rsidRDefault="00BD00DD" w:rsidP="00BD00DD">
      <w:pPr>
        <w:jc w:val="both"/>
        <w:rPr>
          <w:rtl/>
        </w:rPr>
      </w:pPr>
    </w:p>
    <w:p w14:paraId="631BAF4A" w14:textId="77777777" w:rsidR="00BD00DD" w:rsidRDefault="00BD00DD" w:rsidP="00BD00DD">
      <w:pPr>
        <w:spacing w:line="360" w:lineRule="auto"/>
        <w:jc w:val="both"/>
        <w:rPr>
          <w:rtl/>
        </w:rPr>
      </w:pPr>
      <w:r>
        <w:rPr>
          <w:rtl/>
        </w:rPr>
        <w:t>11.</w:t>
      </w:r>
      <w:r>
        <w:rPr>
          <w:rtl/>
        </w:rPr>
        <w:tab/>
        <w:t>בסיכומו של דבר, ביקש הסנגור להשית על הנאשם מאסר בפועל ברף הנמוך של מתחם העונש ההולם לו טוענת ההגנה.</w:t>
      </w:r>
    </w:p>
    <w:p w14:paraId="38209A20" w14:textId="77777777" w:rsidR="00BD00DD" w:rsidRDefault="00BD00DD" w:rsidP="00BD00DD">
      <w:pPr>
        <w:jc w:val="both"/>
        <w:rPr>
          <w:rtl/>
        </w:rPr>
      </w:pPr>
    </w:p>
    <w:p w14:paraId="55C59B36" w14:textId="77777777" w:rsidR="00BD00DD" w:rsidRDefault="00BD00DD" w:rsidP="00BD00DD">
      <w:pPr>
        <w:spacing w:line="360" w:lineRule="auto"/>
        <w:jc w:val="both"/>
        <w:rPr>
          <w:rtl/>
        </w:rPr>
      </w:pPr>
      <w:r>
        <w:rPr>
          <w:rtl/>
        </w:rPr>
        <w:t>12.</w:t>
      </w:r>
      <w:r>
        <w:rPr>
          <w:rtl/>
        </w:rPr>
        <w:tab/>
        <w:t xml:space="preserve">הנאשם בדבריו בפני בית המשפט הביע התנצלות וצער על מעשיו. </w:t>
      </w:r>
    </w:p>
    <w:p w14:paraId="18E03B70" w14:textId="77777777" w:rsidR="00BD00DD" w:rsidRDefault="00BD00DD" w:rsidP="00BD00DD">
      <w:pPr>
        <w:jc w:val="both"/>
        <w:rPr>
          <w:rFonts w:ascii="Miriam" w:hAnsi="Miriam" w:cs="Miriam"/>
          <w:rtl/>
        </w:rPr>
      </w:pPr>
    </w:p>
    <w:p w14:paraId="6D5502D7" w14:textId="77777777" w:rsidR="00BD00DD" w:rsidRPr="00313930" w:rsidRDefault="00BD00DD" w:rsidP="00BD00DD">
      <w:pPr>
        <w:spacing w:line="360" w:lineRule="auto"/>
        <w:jc w:val="both"/>
        <w:rPr>
          <w:rFonts w:ascii="Miriam" w:hAnsi="Miriam" w:cs="Miriam"/>
          <w:u w:val="single"/>
          <w:rtl/>
        </w:rPr>
      </w:pPr>
      <w:r w:rsidRPr="00313930">
        <w:rPr>
          <w:rFonts w:ascii="Miriam" w:hAnsi="Miriam" w:cs="Miriam"/>
          <w:u w:val="single"/>
          <w:rtl/>
        </w:rPr>
        <w:t xml:space="preserve">דיון והכרעה </w:t>
      </w:r>
    </w:p>
    <w:p w14:paraId="715AD30F" w14:textId="77777777" w:rsidR="00BD00DD" w:rsidRDefault="00BD00DD" w:rsidP="00BD00DD">
      <w:pPr>
        <w:spacing w:line="360" w:lineRule="auto"/>
        <w:jc w:val="both"/>
        <w:rPr>
          <w:rtl/>
        </w:rPr>
      </w:pPr>
    </w:p>
    <w:p w14:paraId="445FE873" w14:textId="77777777" w:rsidR="00BD00DD" w:rsidRDefault="00BD00DD" w:rsidP="00BD00DD">
      <w:pPr>
        <w:spacing w:line="360" w:lineRule="auto"/>
        <w:jc w:val="both"/>
        <w:rPr>
          <w:rtl/>
        </w:rPr>
      </w:pPr>
      <w:r>
        <w:rPr>
          <w:rtl/>
        </w:rPr>
        <w:t>13.</w:t>
      </w:r>
      <w:r>
        <w:rPr>
          <w:rtl/>
        </w:rPr>
        <w:tab/>
        <w:t xml:space="preserve"> תיקון מס' 113 ל</w:t>
      </w:r>
      <w:hyperlink r:id="rId30" w:history="1">
        <w:r w:rsidR="00C100A7" w:rsidRPr="00C100A7">
          <w:rPr>
            <w:color w:val="0000FF"/>
            <w:u w:val="single"/>
            <w:rtl/>
          </w:rPr>
          <w:t>חוק העונשין</w:t>
        </w:r>
      </w:hyperlink>
      <w:r>
        <w:rPr>
          <w:rtl/>
        </w:rPr>
        <w:t xml:space="preserve"> מתווה את העיקרון המנחה כיום את ביהמ"ש בבואו לגזור דינו של נאשם, שהינו, לפי </w:t>
      </w:r>
      <w:hyperlink r:id="rId31" w:history="1">
        <w:r w:rsidR="00385F1A" w:rsidRPr="00385F1A">
          <w:rPr>
            <w:rStyle w:val="Hyperlink"/>
            <w:rFonts w:hint="eastAsia"/>
            <w:rtl/>
          </w:rPr>
          <w:t>סעיף</w:t>
        </w:r>
        <w:r w:rsidR="00385F1A" w:rsidRPr="00385F1A">
          <w:rPr>
            <w:rStyle w:val="Hyperlink"/>
            <w:rtl/>
          </w:rPr>
          <w:t xml:space="preserve"> 40ב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2" w:history="1">
        <w:r w:rsidR="00C100A7" w:rsidRPr="00C100A7">
          <w:rPr>
            <w:color w:val="0000FF"/>
            <w:u w:val="single"/>
            <w:rtl/>
          </w:rPr>
          <w:t>ע.פ. 1523/10</w:t>
        </w:r>
      </w:hyperlink>
      <w:r>
        <w:rPr>
          <w:rtl/>
        </w:rPr>
        <w:t xml:space="preserve"> </w:t>
      </w:r>
      <w:r>
        <w:rPr>
          <w:rFonts w:ascii="Miriam" w:hAnsi="Miriam" w:cs="Miriam"/>
          <w:rtl/>
        </w:rPr>
        <w:t>פלוני נ' מדינת ישראל</w:t>
      </w:r>
      <w:r>
        <w:rPr>
          <w:rtl/>
        </w:rPr>
        <w:t xml:space="preserve">, 18/4/12). </w:t>
      </w:r>
      <w:hyperlink r:id="rId33" w:history="1">
        <w:r w:rsidR="00385F1A" w:rsidRPr="00385F1A">
          <w:rPr>
            <w:rStyle w:val="Hyperlink"/>
            <w:rtl/>
          </w:rPr>
          <w:t>סעיף 40ג</w:t>
        </w:r>
      </w:hyperlink>
      <w:r>
        <w:rPr>
          <w:rtl/>
        </w:rPr>
        <w:t xml:space="preserve"> ל</w:t>
      </w:r>
      <w:hyperlink r:id="rId34" w:history="1">
        <w:r w:rsidR="00C100A7" w:rsidRPr="00C100A7">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5" w:history="1">
        <w:r w:rsidR="00385F1A" w:rsidRPr="00385F1A">
          <w:rPr>
            <w:rStyle w:val="Hyperlink"/>
            <w:rtl/>
          </w:rPr>
          <w:t>בסעיף 40ט</w:t>
        </w:r>
      </w:hyperlink>
      <w:r>
        <w:rPr>
          <w:rtl/>
        </w:rPr>
        <w:t xml:space="preserve"> ל</w:t>
      </w:r>
      <w:hyperlink r:id="rId36" w:history="1">
        <w:r w:rsidR="00C100A7" w:rsidRPr="00C100A7">
          <w:rPr>
            <w:color w:val="0000FF"/>
            <w:u w:val="single"/>
            <w:rtl/>
          </w:rPr>
          <w:t>חוק העונשין</w:t>
        </w:r>
      </w:hyperlink>
      <w:r>
        <w:rPr>
          <w:rtl/>
        </w:rPr>
        <w:t>. על בית המשפט, בשלב הראשון של יישום תיקון 113 ל</w:t>
      </w:r>
      <w:hyperlink r:id="rId37" w:history="1">
        <w:r w:rsidR="00C100A7" w:rsidRPr="00C100A7">
          <w:rPr>
            <w:color w:val="0000FF"/>
            <w:u w:val="single"/>
            <w:rtl/>
          </w:rPr>
          <w:t>חוק העונשין</w:t>
        </w:r>
      </w:hyperlink>
      <w:r>
        <w:rPr>
          <w:rtl/>
        </w:rPr>
        <w:t xml:space="preserve">,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(סעיף </w:t>
      </w:r>
      <w:hyperlink r:id="rId38" w:history="1">
        <w:r w:rsidR="00385F1A" w:rsidRPr="00385F1A">
          <w:rPr>
            <w:rStyle w:val="Hyperlink"/>
            <w:rtl/>
          </w:rPr>
          <w:t>40י"ג (ב)</w:t>
        </w:r>
      </w:hyperlink>
      <w:r>
        <w:rPr>
          <w:rtl/>
        </w:rPr>
        <w:t xml:space="preserve"> לחוק העונשין) (ראו: </w:t>
      </w:r>
      <w:hyperlink r:id="rId39" w:history="1">
        <w:r w:rsidR="00C100A7" w:rsidRPr="00C100A7">
          <w:rPr>
            <w:color w:val="0000FF"/>
            <w:u w:val="single"/>
            <w:rtl/>
          </w:rPr>
          <w:t>ע"פ 8641-12</w:t>
        </w:r>
      </w:hyperlink>
      <w:r>
        <w:rPr>
          <w:rtl/>
        </w:rPr>
        <w:t xml:space="preserve"> </w:t>
      </w:r>
      <w:r>
        <w:rPr>
          <w:rFonts w:ascii="Miriam" w:hAnsi="Miriam" w:cs="Miriam"/>
          <w:rtl/>
        </w:rPr>
        <w:t>מוחמד סעד נ' מ"י,</w:t>
      </w:r>
      <w:r>
        <w:rPr>
          <w:rtl/>
        </w:rPr>
        <w:t xml:space="preserve"> ניתן ביום 5/8/13). במקרה דנן אין חולק, כאמור, כי העבירות בהן הורשע הנאשם מהוות אירוע אחד, ואכן עסקינן באותה מסכת עבריינית אותה ניתן לראות כאירוע אחד לצורך קביעת מתחם העונש ההולם. </w:t>
      </w:r>
    </w:p>
    <w:p w14:paraId="2E656350" w14:textId="77777777" w:rsidR="00BD00DD" w:rsidRDefault="00BD00DD" w:rsidP="00BD00DD">
      <w:pPr>
        <w:spacing w:line="360" w:lineRule="auto"/>
        <w:jc w:val="both"/>
        <w:rPr>
          <w:rtl/>
        </w:rPr>
      </w:pPr>
    </w:p>
    <w:p w14:paraId="029FBE3F" w14:textId="77777777" w:rsidR="00BD00DD" w:rsidRDefault="00BD00DD" w:rsidP="00BD00DD">
      <w:pPr>
        <w:spacing w:line="360" w:lineRule="auto"/>
        <w:jc w:val="both"/>
        <w:rPr>
          <w:rFonts w:ascii="Miriam" w:hAnsi="Miriam" w:cs="Miriam"/>
          <w:rtl/>
        </w:rPr>
      </w:pPr>
      <w:r>
        <w:rPr>
          <w:rtl/>
        </w:rPr>
        <w:t>14.</w:t>
      </w:r>
      <w:r>
        <w:rPr>
          <w:rtl/>
        </w:rPr>
        <w:tab/>
        <w:t>על חומרתה הרבה של עבירת השוד עמד</w:t>
      </w:r>
      <w:r>
        <w:rPr>
          <w:rFonts w:hint="cs"/>
          <w:rtl/>
        </w:rPr>
        <w:t xml:space="preserve">, לא אחת, </w:t>
      </w:r>
      <w:r>
        <w:rPr>
          <w:rtl/>
        </w:rPr>
        <w:t>בית משפט העליון. עבירות אלו מאיימות על הסדר החברתי התקין ועל שלום הציבור ובטחונו ולכן ראוי להטיל בגינן עונשי מאסר ממושכים, המבטאים את סלידת החברה ממבצעי העבירות ונותנים ביטוי הולם לעקרונות הגמול וההרתעה. קביעה זו חלה ביתר שאת על המקרה דנן בו לעבירת השוד בנסיבות מחמירות נלוות עבירה של נשיאת נשק שלא כדין ועבירה של ירי מנשק חם במקום בו יש בירי כדי לסכן חיי אדם. בתיק זה פגע הנאשם בעבירות שביצע, לצד הפגיעה בזכות הקניין, גם בביטחון הציבור בכלל ובביטחונו של המתלונן ובשלוות חייו, בפרט. לאמור לעיל יש להוסיף את הצורך להגן על נותני שרות, כדוגמת המתלונן, לבל יהפכו טרף קל וקרבנות למעשי שוד נפשעים. בענייננו יפים דבריו הבאים של בית המשפט העליון, כפי שנאמרו ב</w:t>
      </w:r>
      <w:hyperlink r:id="rId40" w:history="1">
        <w:r w:rsidR="00C100A7" w:rsidRPr="00C100A7">
          <w:rPr>
            <w:color w:val="0000FF"/>
            <w:u w:val="single"/>
            <w:rtl/>
          </w:rPr>
          <w:t>ע"פ 4442/19</w:t>
        </w:r>
      </w:hyperlink>
      <w:r>
        <w:rPr>
          <w:rtl/>
        </w:rPr>
        <w:t xml:space="preserve"> </w:t>
      </w:r>
      <w:r>
        <w:rPr>
          <w:rFonts w:ascii="Miriam" w:hAnsi="Miriam" w:cs="Miriam"/>
          <w:rtl/>
        </w:rPr>
        <w:t>מדינת ישראל נ' דניאל אלחנדרו שווץ</w:t>
      </w:r>
      <w:r>
        <w:rPr>
          <w:rFonts w:ascii="Miriam" w:hAnsi="Miriam" w:cs="Miriam" w:hint="cs"/>
          <w:rtl/>
        </w:rPr>
        <w:t xml:space="preserve"> </w:t>
      </w:r>
      <w:r w:rsidRPr="00AA10BC">
        <w:rPr>
          <w:rFonts w:ascii="David" w:hAnsi="David"/>
          <w:rtl/>
        </w:rPr>
        <w:t>(13/11/19):</w:t>
      </w:r>
    </w:p>
    <w:p w14:paraId="4552239E" w14:textId="77777777" w:rsidR="00BD00DD" w:rsidRDefault="00BD00DD" w:rsidP="00BD00DD">
      <w:pPr>
        <w:spacing w:line="360" w:lineRule="auto"/>
        <w:jc w:val="both"/>
        <w:rPr>
          <w:rFonts w:ascii="Miriam" w:hAnsi="Miriam" w:cs="Miriam"/>
          <w:rtl/>
        </w:rPr>
      </w:pPr>
    </w:p>
    <w:p w14:paraId="7B2D4F18" w14:textId="77777777" w:rsidR="00BD00DD" w:rsidRDefault="00BD00DD" w:rsidP="00BD00DD">
      <w:pPr>
        <w:spacing w:line="360" w:lineRule="auto"/>
        <w:ind w:left="720" w:firstLine="720"/>
        <w:jc w:val="both"/>
        <w:rPr>
          <w:rFonts w:ascii="Miriam" w:hAnsi="Miriam" w:cs="Miriam"/>
          <w:rtl/>
        </w:rPr>
      </w:pPr>
      <w:r>
        <w:rPr>
          <w:rFonts w:ascii="Miriam" w:hAnsi="Miriam" w:cs="Miriam"/>
          <w:rtl/>
        </w:rPr>
        <w:t>"בית משפט זה עמד לא פעם על חומרתה של עבירת השוד בנסיבות מחמירות, שיש בה כדי לפגוע הן בביטחונו האישי של קורבן העבירה וברכושו הן בתחושת הביטחון של הציבור בכללותו, בשלומו וברווחתו ... לא כל שכן כאשר היא מבוצעת נגד מי שנכון לשרת את הציבור גם בלילות, דוגמת עובדי פיצוציות ומתדלקים כבענייננו ...".</w:t>
      </w:r>
    </w:p>
    <w:p w14:paraId="144055BD" w14:textId="77777777" w:rsidR="00BD00DD" w:rsidRDefault="00BD00DD" w:rsidP="00BD00DD">
      <w:pPr>
        <w:spacing w:line="360" w:lineRule="auto"/>
        <w:ind w:left="720" w:firstLine="720"/>
        <w:jc w:val="both"/>
        <w:rPr>
          <w:rFonts w:ascii="Miriam" w:hAnsi="Miriam" w:cs="Miriam"/>
          <w:rtl/>
        </w:rPr>
      </w:pPr>
    </w:p>
    <w:p w14:paraId="0325FD9E" w14:textId="77777777" w:rsidR="00BD00DD" w:rsidRDefault="00BD00DD" w:rsidP="00BD00DD">
      <w:pPr>
        <w:spacing w:line="360" w:lineRule="auto"/>
        <w:jc w:val="both"/>
        <w:rPr>
          <w:rtl/>
        </w:rPr>
      </w:pPr>
      <w:r>
        <w:rPr>
          <w:rtl/>
        </w:rPr>
        <w:t>15.</w:t>
      </w:r>
      <w:r>
        <w:rPr>
          <w:rtl/>
        </w:rPr>
        <w:tab/>
        <w:t xml:space="preserve">במקרה שבפנינו הגיע הנאשם אל תחנת הדלק ברכב בו נהג האחר, ללא לוחיות זיהוי, כשהנאשם נושא עמו, כאמור, אקדח ובו מחסנית עם תחמושת תואמת. כל אלו מלמדים על תכנון מוקדם של עבירת השוד כמו גם </w:t>
      </w:r>
      <w:r>
        <w:rPr>
          <w:rFonts w:hint="cs"/>
          <w:rtl/>
        </w:rPr>
        <w:t>האמור ב</w:t>
      </w:r>
      <w:r>
        <w:rPr>
          <w:rtl/>
        </w:rPr>
        <w:t>סעיף 2 לעובדות כתב האישום, לפיו הנאשם הגיע ברכב הנ"ל אל מתחם תחנת הדלק במטרה לבצע שוד. למתלונן לא נגרם, אמנם, נזק פיזי. אולם, אין להתעלם מהאימה שלבטח אחזה במתלונן</w:t>
      </w:r>
      <w:r>
        <w:rPr>
          <w:rFonts w:hint="cs"/>
          <w:rtl/>
        </w:rPr>
        <w:t xml:space="preserve"> עת ש</w:t>
      </w:r>
      <w:r>
        <w:rPr>
          <w:rtl/>
        </w:rPr>
        <w:t xml:space="preserve">ניגש </w:t>
      </w:r>
      <w:r>
        <w:rPr>
          <w:rFonts w:hint="cs"/>
          <w:rtl/>
        </w:rPr>
        <w:t xml:space="preserve">אליו </w:t>
      </w:r>
      <w:r>
        <w:rPr>
          <w:rtl/>
        </w:rPr>
        <w:t xml:space="preserve">הנאשם מאחור כשהוא רעול פנים ובידו אקדח וכרך את זרוע ידו השנייה סביב צווארו ואז הורה לו לתת לו את כל מה שיש לו, ובהמשך </w:t>
      </w:r>
      <w:r>
        <w:rPr>
          <w:rFonts w:hint="cs"/>
          <w:rtl/>
        </w:rPr>
        <w:t xml:space="preserve">גם ירה הנאשם באוויר </w:t>
      </w:r>
      <w:r>
        <w:rPr>
          <w:rtl/>
        </w:rPr>
        <w:t>עת ש</w:t>
      </w:r>
      <w:r>
        <w:rPr>
          <w:rFonts w:hint="cs"/>
          <w:rtl/>
        </w:rPr>
        <w:t xml:space="preserve">המתלונן </w:t>
      </w:r>
      <w:r>
        <w:rPr>
          <w:rtl/>
        </w:rPr>
        <w:t xml:space="preserve">הפנה מבטו לכיוונו. אירוע זה יישאר לבטח חקוק בזיכרונו של המתלונן וחרוט בנפשו לעדי-עד כצלקת שלא תימחה לעולם. למרבה המזל נגרם כתוצאה מהירי נזק לגג תחנת הדלק בלבד ולא נגרמו נזקי גוף למתלונן ולאנשים אחרים שנכחו בקרבת מקום. עוד אציין לחומרה את חלקו הדומיננטי והמרכזי של הנאשם בביצוע העבירות, וכן  כי האקדח באמצעותו בוצע השוד לא נתפס עד </w:t>
      </w:r>
      <w:r>
        <w:rPr>
          <w:rFonts w:hint="cs"/>
          <w:rtl/>
        </w:rPr>
        <w:t>כה</w:t>
      </w:r>
      <w:r>
        <w:rPr>
          <w:rtl/>
        </w:rPr>
        <w:t xml:space="preserve">, כנטען ע"י המאשימה. עובדה זו ממחישה את המסוכנות הגלומה בעבירת הנשק שהרי </w:t>
      </w:r>
      <w:r>
        <w:rPr>
          <w:rFonts w:hint="cs"/>
          <w:rtl/>
        </w:rPr>
        <w:t>הוא</w:t>
      </w:r>
      <w:r>
        <w:rPr>
          <w:rtl/>
        </w:rPr>
        <w:t xml:space="preserve"> עלול להתגלגל לשימוש עברייני נוסף ואף חלילה לקפד חיי אדם.</w:t>
      </w:r>
    </w:p>
    <w:p w14:paraId="637F5496" w14:textId="77777777" w:rsidR="00BD00DD" w:rsidRDefault="00BD00DD" w:rsidP="00BD00DD">
      <w:pPr>
        <w:spacing w:line="360" w:lineRule="auto"/>
        <w:jc w:val="both"/>
        <w:rPr>
          <w:rtl/>
        </w:rPr>
      </w:pPr>
    </w:p>
    <w:p w14:paraId="26DCF58F" w14:textId="77777777" w:rsidR="00BD00DD" w:rsidRDefault="00BD00DD" w:rsidP="00BD00DD">
      <w:pPr>
        <w:spacing w:line="360" w:lineRule="auto"/>
        <w:jc w:val="both"/>
        <w:rPr>
          <w:rtl/>
        </w:rPr>
      </w:pPr>
      <w:r>
        <w:rPr>
          <w:rtl/>
        </w:rPr>
        <w:t>16.</w:t>
      </w:r>
      <w:r>
        <w:rPr>
          <w:rtl/>
        </w:rPr>
        <w:tab/>
        <w:t xml:space="preserve">על בתי המשפט להטיל על מבצעי העבירות בהן הורשע הנאשם עונשים משמעותיים המבטאים את סלידת החברה ממעשים אלו ומשמשים גורם של הרתעה הן לפרט והן לרבים. אין מקום בחברה מתוקנת לביצוע עבירות חמורות שנועדו לצורך הפקת רווח מהיר וקל  וזאת מבלי לתת את הדעת לנזקים הנגרמים והעלולים להיגרם לנפגעי העבירה (ראו: </w:t>
      </w:r>
      <w:hyperlink r:id="rId41" w:history="1">
        <w:r w:rsidR="00C100A7" w:rsidRPr="00C100A7">
          <w:rPr>
            <w:color w:val="0000FF"/>
            <w:u w:val="single"/>
            <w:rtl/>
          </w:rPr>
          <w:t>ע"פ 3907/10</w:t>
        </w:r>
      </w:hyperlink>
      <w:r>
        <w:rPr>
          <w:rtl/>
        </w:rPr>
        <w:t xml:space="preserve"> </w:t>
      </w:r>
      <w:r>
        <w:rPr>
          <w:rFonts w:ascii="Miriam" w:hAnsi="Miriam" w:cs="Miriam"/>
          <w:rtl/>
        </w:rPr>
        <w:t xml:space="preserve">נעאמנה נגד מדינת ישראל </w:t>
      </w:r>
      <w:r>
        <w:rPr>
          <w:rtl/>
        </w:rPr>
        <w:t>(23/03/2011)).  כאן יודגש  כי בגין העבירה של שוד בנסיבות מחמירות  קבוע עונש מרבי של 20 שנות מאסר ובגין העבירה של נשיאת נשק ותחמושת שלא כדין קבע המחוקק עונש מרבי של 10 שנות מאסר, וזאת כדי להמחיש את חומרתן של עבירות אלו להן כאמור נלוותה העבירה של ירי במקום בו היה כדי לסכן חיי אדם.</w:t>
      </w:r>
    </w:p>
    <w:p w14:paraId="05C52B1F" w14:textId="77777777" w:rsidR="00BD00DD" w:rsidRDefault="00BD00DD" w:rsidP="00BD00DD">
      <w:pPr>
        <w:spacing w:line="360" w:lineRule="auto"/>
        <w:jc w:val="both"/>
        <w:rPr>
          <w:rtl/>
        </w:rPr>
      </w:pPr>
    </w:p>
    <w:p w14:paraId="7813F244" w14:textId="77777777" w:rsidR="00BD00DD" w:rsidRDefault="00BD00DD" w:rsidP="00BD00DD">
      <w:pPr>
        <w:spacing w:line="360" w:lineRule="auto"/>
        <w:jc w:val="both"/>
        <w:rPr>
          <w:rtl/>
        </w:rPr>
      </w:pPr>
      <w:r>
        <w:rPr>
          <w:rtl/>
        </w:rPr>
        <w:t>17.</w:t>
      </w:r>
      <w:r>
        <w:rPr>
          <w:rtl/>
        </w:rPr>
        <w:tab/>
        <w:t>במסגרת בחינת מדיניות הענישה הנהוגה בעבירות הכוללות עבירת שוד בנסיבות מחמירות לה נלווה שימוש בנשק חם, תובא הפסיקה הבאה:</w:t>
      </w:r>
    </w:p>
    <w:p w14:paraId="304208C6" w14:textId="77777777" w:rsidR="00BD00DD" w:rsidRDefault="00BD00DD" w:rsidP="00BD00DD">
      <w:pPr>
        <w:spacing w:line="360" w:lineRule="auto"/>
        <w:jc w:val="both"/>
        <w:rPr>
          <w:rtl/>
        </w:rPr>
      </w:pPr>
    </w:p>
    <w:p w14:paraId="70576752" w14:textId="77777777" w:rsidR="00BD00DD" w:rsidRDefault="00C100A7" w:rsidP="00BD00DD">
      <w:pPr>
        <w:pStyle w:val="a9"/>
        <w:numPr>
          <w:ilvl w:val="0"/>
          <w:numId w:val="2"/>
        </w:numPr>
        <w:spacing w:line="360" w:lineRule="auto"/>
        <w:jc w:val="both"/>
        <w:rPr>
          <w:rFonts w:ascii="David" w:hAnsi="David"/>
        </w:rPr>
      </w:pPr>
      <w:hyperlink r:id="rId42" w:history="1">
        <w:r w:rsidRPr="00C100A7">
          <w:rPr>
            <w:rFonts w:ascii="David" w:hAnsi="David"/>
            <w:color w:val="0000FF"/>
            <w:u w:val="single"/>
            <w:rtl/>
          </w:rPr>
          <w:t>ע"פ 1312/16</w:t>
        </w:r>
      </w:hyperlink>
      <w:r w:rsidR="00BD00DD">
        <w:rPr>
          <w:rFonts w:ascii="David" w:hAnsi="David"/>
          <w:rtl/>
        </w:rPr>
        <w:t xml:space="preserve"> </w:t>
      </w:r>
      <w:r w:rsidR="00BD00DD">
        <w:rPr>
          <w:rFonts w:ascii="Miriam" w:hAnsi="Miriam" w:cs="Miriam"/>
          <w:rtl/>
        </w:rPr>
        <w:t>מדינת ישראל נ' ג'מאל מטר ואח'</w:t>
      </w:r>
      <w:r w:rsidR="00BD00DD">
        <w:rPr>
          <w:rFonts w:ascii="David" w:hAnsi="David"/>
          <w:rtl/>
        </w:rPr>
        <w:t xml:space="preserve"> (6/11/16) - המשיבים הורשעו בעבירת שוד מזוין, עבירות בנשק וחבלה ברכב, כאשר קשרו קשר לשדוד סניף בנק והצטיידו לצורך כך בשני אקדחים ורובה. במהלך השוד ירו באוויר ושדדו סך של כ-19,000 ₪. נקבע מתחם ענישה בין 3-7 שנות מאסר והושתו עליהם 4 שנות מאסר בפועל. ביהמ"ש העליון פסק כי המקרה נמנה עם המקרים החריגים בהם מתחייבת החמרת עונש המאסר בפועל שהושת על המשיבים, כך שירצו 5.5 שנות מאסר בפועל (חֶלֶף 4). זאת, נוכח החומרה היתרה של מעשיהם, הפגיעה בתחושת הביטחון הכללית, האחריות המוגבלת שלקחו על המעשים, אי שיתוף פעולה עם הרשויות, עברם הפלילי והצורך בהרתעה.</w:t>
      </w:r>
    </w:p>
    <w:p w14:paraId="6423BB5C" w14:textId="77777777" w:rsidR="00BD00DD" w:rsidRDefault="00BD00DD" w:rsidP="00BD00DD">
      <w:pPr>
        <w:pStyle w:val="a9"/>
        <w:spacing w:line="360" w:lineRule="auto"/>
        <w:jc w:val="both"/>
        <w:rPr>
          <w:rFonts w:ascii="David" w:hAnsi="David"/>
        </w:rPr>
      </w:pPr>
    </w:p>
    <w:p w14:paraId="49D79AF4" w14:textId="77777777" w:rsidR="00BD00DD" w:rsidRDefault="00C100A7" w:rsidP="00BD00DD">
      <w:pPr>
        <w:pStyle w:val="a9"/>
        <w:numPr>
          <w:ilvl w:val="0"/>
          <w:numId w:val="2"/>
        </w:numPr>
        <w:spacing w:line="360" w:lineRule="auto"/>
        <w:jc w:val="both"/>
        <w:rPr>
          <w:rFonts w:ascii="David" w:hAnsi="David"/>
        </w:rPr>
      </w:pPr>
      <w:hyperlink r:id="rId43" w:history="1">
        <w:r w:rsidRPr="00C100A7">
          <w:rPr>
            <w:rFonts w:ascii="David" w:hAnsi="David"/>
            <w:color w:val="0000FF"/>
            <w:u w:val="single"/>
            <w:rtl/>
          </w:rPr>
          <w:t>ע"פ 4322/19</w:t>
        </w:r>
      </w:hyperlink>
      <w:r w:rsidR="00BD00DD" w:rsidRPr="009752ED">
        <w:rPr>
          <w:rFonts w:ascii="David" w:hAnsi="David"/>
          <w:rtl/>
        </w:rPr>
        <w:t xml:space="preserve"> </w:t>
      </w:r>
      <w:r w:rsidR="00BD00DD" w:rsidRPr="009752ED">
        <w:rPr>
          <w:rFonts w:ascii="Miriam" w:hAnsi="Miriam" w:cs="Miriam"/>
          <w:rtl/>
        </w:rPr>
        <w:t>פלוני נ' מדינת ישראל</w:t>
      </w:r>
      <w:r w:rsidR="00BD00DD" w:rsidRPr="009752ED">
        <w:rPr>
          <w:rFonts w:ascii="David" w:hAnsi="David"/>
          <w:rtl/>
        </w:rPr>
        <w:t xml:space="preserve"> (להלן: </w:t>
      </w:r>
      <w:r w:rsidR="00BD00DD" w:rsidRPr="009752ED">
        <w:rPr>
          <w:rFonts w:ascii="Miriam" w:hAnsi="Miriam" w:cs="Miriam"/>
          <w:rtl/>
        </w:rPr>
        <w:t>פלוני</w:t>
      </w:r>
      <w:r w:rsidR="00BD00DD" w:rsidRPr="009752ED">
        <w:rPr>
          <w:rFonts w:ascii="David" w:hAnsi="David"/>
          <w:rtl/>
        </w:rPr>
        <w:t>)  ו</w:t>
      </w:r>
      <w:hyperlink r:id="rId44" w:history="1">
        <w:r w:rsidRPr="00C100A7">
          <w:rPr>
            <w:rFonts w:ascii="David" w:hAnsi="David"/>
            <w:color w:val="0000FF"/>
            <w:u w:val="single"/>
            <w:rtl/>
          </w:rPr>
          <w:t>ע"פ 6347/19</w:t>
        </w:r>
      </w:hyperlink>
      <w:r w:rsidR="00BD00DD" w:rsidRPr="009752ED">
        <w:rPr>
          <w:rFonts w:ascii="David" w:hAnsi="David"/>
          <w:rtl/>
        </w:rPr>
        <w:t xml:space="preserve"> </w:t>
      </w:r>
      <w:r w:rsidR="00BD00DD" w:rsidRPr="009752ED">
        <w:rPr>
          <w:rFonts w:ascii="Miriam" w:hAnsi="Miriam" w:cs="Miriam"/>
          <w:rtl/>
        </w:rPr>
        <w:t>יאסין נ' מדינת ישראל</w:t>
      </w:r>
      <w:r w:rsidR="00BD00DD" w:rsidRPr="009752ED">
        <w:rPr>
          <w:rFonts w:ascii="David" w:hAnsi="David"/>
          <w:rtl/>
        </w:rPr>
        <w:t xml:space="preserve"> (להלן: </w:t>
      </w:r>
      <w:r w:rsidR="00BD00DD" w:rsidRPr="009752ED">
        <w:rPr>
          <w:rFonts w:ascii="Miriam" w:hAnsi="Miriam" w:cs="Miriam"/>
          <w:rtl/>
        </w:rPr>
        <w:t>יאסין</w:t>
      </w:r>
      <w:r w:rsidR="00BD00DD" w:rsidRPr="009752ED">
        <w:rPr>
          <w:rFonts w:ascii="David" w:hAnsi="David"/>
          <w:rtl/>
        </w:rPr>
        <w:t xml:space="preserve">) (26/1/20) - כתב האישום גולל שני מעשי שוד בנסיבות מחמירות של חנויות נוחות. יאסין השתתף בביצוע השוד הראשון והורשע בביצוע עבירות של שוד בנסיבות מחמירות  ובעבירה של נשיאה והובלה של נשק. פלוני  שהיה קטין כבן 17 ו-9 חודשים בעת המעשים השתתף </w:t>
      </w:r>
      <w:r w:rsidR="00BD00DD" w:rsidRPr="006F1C27">
        <w:rPr>
          <w:rtl/>
        </w:rPr>
        <w:t xml:space="preserve">בשני מעשי השוד.  השוד הראשון בוצע בחבורה של ארבעה, שנכנסו רעולי פנים  לחנות הנוחות, כאשר פלוני הקטין אוחז בתת-מקלע מאולתר ושניים מהשודדים האחרים אוחזים באלות. עם כניסתם לחנות ירה פלוני הקטין לעבר הדלפק שמאחוריו ישב המוכר ולאחר מכן ירה לעבר המדפים. ארבעת השודדים התקרבו אל המוכר, נטלו את הקופה הרושמת ואת הטלפון הנייד של המוכר, נמלטו מהחנות ולאחר מכן נסעו ברכב (שלוחיות הזיהוי שלו הוחלפו מבעוד מועד), שם חלקו ביניהם את השלל. השוד השני של חנות הנוחות בוצע אף הוא בחבורה של ארבעה תוך שימוש בתת-מקלע מאולתר, כאשר השודדים האחרים אוחזים באלות. פלוני שימש הפעם כנהג של בני החבורה והורשע בהסדר הטיעון בסיוע לשוד בנסיבות מחמירות. על  יאסין הושתו 32 חודשי מאסר בפועל. ועל פלוני, שהיה שותף לשני מעשי השוד, הושתו 24 חודשי מאסר בפועל. שני האחרים שהשתתפו בשני מעשי השוד נדונו ל-24 ו-42 חודשי מאסר. בית המשפט העליון הותיר על כנו את עונשו של פלוני אך החליט להתערב בגזר דינו של </w:t>
      </w:r>
      <w:r w:rsidR="00BD00DD" w:rsidRPr="006F1C27">
        <w:rPr>
          <w:rFonts w:hint="cs"/>
          <w:rtl/>
        </w:rPr>
        <w:t xml:space="preserve">יאסין, באופן שהושתו עליו 24 חודשי מאסר בפועל במקום </w:t>
      </w:r>
      <w:r w:rsidR="00BD00DD">
        <w:rPr>
          <w:rtl/>
        </w:rPr>
        <w:t xml:space="preserve">32 </w:t>
      </w:r>
      <w:r w:rsidR="00BD00DD" w:rsidRPr="00AC41A2">
        <w:rPr>
          <w:rtl/>
        </w:rPr>
        <w:t>החודשים</w:t>
      </w:r>
      <w:r w:rsidR="00BD00DD">
        <w:rPr>
          <w:rFonts w:hint="cs"/>
          <w:rtl/>
        </w:rPr>
        <w:t xml:space="preserve"> </w:t>
      </w:r>
      <w:r w:rsidR="00BD00DD" w:rsidRPr="00AC41A2">
        <w:rPr>
          <w:rtl/>
        </w:rPr>
        <w:t>שהושתו</w:t>
      </w:r>
      <w:r w:rsidR="00BD00DD" w:rsidRPr="00AC41A2">
        <w:rPr>
          <w:rFonts w:hint="cs"/>
          <w:rtl/>
        </w:rPr>
        <w:t xml:space="preserve"> </w:t>
      </w:r>
      <w:r w:rsidR="00BD00DD" w:rsidRPr="00AC41A2">
        <w:rPr>
          <w:rtl/>
        </w:rPr>
        <w:t>עליו</w:t>
      </w:r>
      <w:r w:rsidR="00BD00DD" w:rsidRPr="00AC41A2">
        <w:rPr>
          <w:rFonts w:hint="cs"/>
          <w:rtl/>
        </w:rPr>
        <w:t xml:space="preserve"> </w:t>
      </w:r>
      <w:r w:rsidR="00BD00DD" w:rsidRPr="00AC41A2">
        <w:rPr>
          <w:rtl/>
        </w:rPr>
        <w:t>בגזר</w:t>
      </w:r>
      <w:r w:rsidR="00BD00DD" w:rsidRPr="00AC41A2">
        <w:rPr>
          <w:rFonts w:hint="cs"/>
          <w:rtl/>
        </w:rPr>
        <w:t xml:space="preserve"> </w:t>
      </w:r>
      <w:r w:rsidR="00BD00DD" w:rsidRPr="00AC41A2">
        <w:rPr>
          <w:rtl/>
        </w:rPr>
        <w:t>הדין.</w:t>
      </w:r>
      <w:r w:rsidR="00BD00DD" w:rsidRPr="006F1C27">
        <w:rPr>
          <w:rFonts w:hint="cs"/>
          <w:rtl/>
        </w:rPr>
        <w:t xml:space="preserve"> </w:t>
      </w:r>
      <w:r w:rsidR="00BD00DD" w:rsidRPr="006F1C27">
        <w:rPr>
          <w:rtl/>
        </w:rPr>
        <w:t xml:space="preserve"> </w:t>
      </w:r>
    </w:p>
    <w:p w14:paraId="6F605702" w14:textId="77777777" w:rsidR="00BD00DD" w:rsidRPr="009752ED" w:rsidRDefault="00BD00DD" w:rsidP="00BD00DD">
      <w:pPr>
        <w:pStyle w:val="a9"/>
        <w:spacing w:line="360" w:lineRule="auto"/>
        <w:jc w:val="both"/>
        <w:rPr>
          <w:rFonts w:ascii="David" w:hAnsi="David"/>
        </w:rPr>
      </w:pPr>
    </w:p>
    <w:p w14:paraId="5DF6D5CB" w14:textId="77777777" w:rsidR="00BD00DD" w:rsidRPr="009752ED" w:rsidRDefault="00C100A7" w:rsidP="00BD00DD">
      <w:pPr>
        <w:pStyle w:val="a9"/>
        <w:numPr>
          <w:ilvl w:val="0"/>
          <w:numId w:val="2"/>
        </w:numPr>
        <w:spacing w:line="360" w:lineRule="auto"/>
        <w:jc w:val="both"/>
        <w:rPr>
          <w:rFonts w:ascii="David" w:hAnsi="David"/>
        </w:rPr>
      </w:pPr>
      <w:hyperlink r:id="rId45" w:history="1">
        <w:r w:rsidRPr="00C100A7">
          <w:rPr>
            <w:rFonts w:ascii="David" w:hAnsi="David"/>
            <w:color w:val="0000FF"/>
            <w:u w:val="single"/>
            <w:rtl/>
          </w:rPr>
          <w:t>ת"פ (מחוזי חיפה) 67470-09-19</w:t>
        </w:r>
      </w:hyperlink>
      <w:r w:rsidR="00BD00DD" w:rsidRPr="009752ED">
        <w:rPr>
          <w:rFonts w:ascii="David" w:hAnsi="David"/>
          <w:rtl/>
        </w:rPr>
        <w:t xml:space="preserve"> </w:t>
      </w:r>
      <w:r w:rsidR="00BD00DD" w:rsidRPr="009752ED">
        <w:rPr>
          <w:rFonts w:ascii="Miriam" w:hAnsi="Miriam" w:cs="Miriam"/>
          <w:rtl/>
        </w:rPr>
        <w:t>מדינת ישראל נ' מג'דוב</w:t>
      </w:r>
      <w:r w:rsidR="00BD00DD" w:rsidRPr="009752ED">
        <w:rPr>
          <w:rFonts w:ascii="David" w:hAnsi="David"/>
          <w:rtl/>
        </w:rPr>
        <w:t xml:space="preserve"> (27/5/20)- בתיק הנ"ל שנדון בפניי ואוזכר בטיעוני המאשימה לעונש (</w:t>
      </w:r>
      <w:r w:rsidR="00BD00DD" w:rsidRPr="009752ED">
        <w:rPr>
          <w:rFonts w:ascii="Miriam" w:hAnsi="Miriam" w:cs="Miriam"/>
          <w:rtl/>
        </w:rPr>
        <w:t>ט/2</w:t>
      </w:r>
      <w:r w:rsidR="00BD00DD" w:rsidRPr="009752ED">
        <w:rPr>
          <w:rFonts w:ascii="David" w:hAnsi="David"/>
          <w:rtl/>
        </w:rPr>
        <w:t xml:space="preserve">), הורשע הנאשם על יסוד הודאתו בעובדות כתב אישום מתוקן במסגרת של הסדר טיעון, בביצוע העבירות כדלקמן: שוד בנסיבות מחמירות, עבירה לפי </w:t>
      </w:r>
      <w:hyperlink r:id="rId46" w:history="1">
        <w:r w:rsidR="00385F1A" w:rsidRPr="00385F1A">
          <w:rPr>
            <w:rStyle w:val="Hyperlink"/>
            <w:rFonts w:ascii="David" w:hAnsi="David"/>
            <w:rtl/>
          </w:rPr>
          <w:t>סעיף 402(ב)</w:t>
        </w:r>
      </w:hyperlink>
      <w:r w:rsidR="00BD00DD" w:rsidRPr="009752ED">
        <w:rPr>
          <w:rFonts w:ascii="David" w:hAnsi="David"/>
          <w:rtl/>
        </w:rPr>
        <w:t xml:space="preserve"> ל</w:t>
      </w:r>
      <w:hyperlink r:id="rId47" w:history="1">
        <w:r w:rsidRPr="00C100A7">
          <w:rPr>
            <w:rFonts w:ascii="David" w:hAnsi="David"/>
            <w:color w:val="0000FF"/>
            <w:u w:val="single"/>
            <w:rtl/>
          </w:rPr>
          <w:t>חוק העונשין</w:t>
        </w:r>
      </w:hyperlink>
      <w:r w:rsidR="00BD00DD" w:rsidRPr="009752ED">
        <w:rPr>
          <w:rFonts w:ascii="David" w:hAnsi="David"/>
          <w:rtl/>
        </w:rPr>
        <w:t xml:space="preserve">, התשל"ז 1977 (להלן: חוק העונשין); עבירות בנשק (נשיאה והובלה), עבירה לפי </w:t>
      </w:r>
      <w:hyperlink r:id="rId48" w:history="1">
        <w:r w:rsidR="00385F1A" w:rsidRPr="00385F1A">
          <w:rPr>
            <w:rStyle w:val="Hyperlink"/>
            <w:rFonts w:ascii="David" w:hAnsi="David"/>
            <w:rtl/>
          </w:rPr>
          <w:t>סעיפים 144(ב)</w:t>
        </w:r>
      </w:hyperlink>
      <w:r w:rsidR="00BD00DD" w:rsidRPr="009752ED">
        <w:rPr>
          <w:rFonts w:ascii="David" w:hAnsi="David"/>
          <w:rtl/>
        </w:rPr>
        <w:t xml:space="preserve"> רישא וסיפא לחוק העונשין; ירי באזור מגורים, עבירה לפי </w:t>
      </w:r>
      <w:hyperlink r:id="rId49" w:history="1">
        <w:r w:rsidR="00385F1A" w:rsidRPr="00385F1A">
          <w:rPr>
            <w:rStyle w:val="Hyperlink"/>
            <w:rFonts w:ascii="David" w:hAnsi="David"/>
            <w:rtl/>
          </w:rPr>
          <w:t>סעיף 340א(ב)(1)ו-(2)</w:t>
        </w:r>
      </w:hyperlink>
      <w:r w:rsidR="00BD00DD" w:rsidRPr="009752ED">
        <w:rPr>
          <w:rFonts w:ascii="David" w:hAnsi="David"/>
          <w:rtl/>
        </w:rPr>
        <w:t xml:space="preserve"> רישא לחוק העונשין; שימוש ברכב ללא רשות, עבירה לפי </w:t>
      </w:r>
      <w:hyperlink r:id="rId50" w:history="1">
        <w:r w:rsidR="00385F1A" w:rsidRPr="00385F1A">
          <w:rPr>
            <w:rStyle w:val="Hyperlink"/>
            <w:rFonts w:ascii="David" w:hAnsi="David"/>
            <w:rtl/>
          </w:rPr>
          <w:t>סעיף 413ג</w:t>
        </w:r>
      </w:hyperlink>
      <w:r w:rsidR="00BD00DD" w:rsidRPr="009752ED">
        <w:rPr>
          <w:rFonts w:ascii="David" w:hAnsi="David"/>
          <w:rtl/>
        </w:rPr>
        <w:t xml:space="preserve"> סיפא לחוק העונשין; נהיגה ללא רישיון נהיגה תקף, עבירה לפי </w:t>
      </w:r>
      <w:hyperlink r:id="rId51" w:history="1">
        <w:r w:rsidR="00385F1A" w:rsidRPr="00385F1A">
          <w:rPr>
            <w:rStyle w:val="Hyperlink"/>
            <w:rFonts w:ascii="David" w:hAnsi="David"/>
            <w:rtl/>
          </w:rPr>
          <w:t>סעיף 10(א)</w:t>
        </w:r>
      </w:hyperlink>
      <w:r w:rsidR="00BD00DD" w:rsidRPr="009752ED">
        <w:rPr>
          <w:rFonts w:ascii="David" w:hAnsi="David"/>
          <w:rtl/>
        </w:rPr>
        <w:t xml:space="preserve">, </w:t>
      </w:r>
      <w:hyperlink r:id="rId52" w:history="1">
        <w:r w:rsidR="00385F1A" w:rsidRPr="00385F1A">
          <w:rPr>
            <w:rStyle w:val="Hyperlink"/>
            <w:rFonts w:ascii="David" w:hAnsi="David"/>
            <w:rtl/>
          </w:rPr>
          <w:t>62(1)</w:t>
        </w:r>
      </w:hyperlink>
      <w:r w:rsidR="00BD00DD" w:rsidRPr="009752ED">
        <w:rPr>
          <w:rFonts w:ascii="David" w:hAnsi="David"/>
          <w:rtl/>
        </w:rPr>
        <w:t xml:space="preserve"> ו- </w:t>
      </w:r>
      <w:hyperlink r:id="rId53" w:history="1">
        <w:r w:rsidR="00385F1A" w:rsidRPr="00385F1A">
          <w:rPr>
            <w:rStyle w:val="Hyperlink"/>
            <w:rFonts w:ascii="David" w:hAnsi="David"/>
            <w:rtl/>
          </w:rPr>
          <w:t>38(1)</w:t>
        </w:r>
      </w:hyperlink>
      <w:r w:rsidR="00BD00DD" w:rsidRPr="009752ED">
        <w:rPr>
          <w:rFonts w:ascii="David" w:hAnsi="David"/>
          <w:rtl/>
        </w:rPr>
        <w:t xml:space="preserve"> ל</w:t>
      </w:r>
      <w:hyperlink r:id="rId54" w:history="1">
        <w:r w:rsidRPr="00C100A7">
          <w:rPr>
            <w:rFonts w:ascii="David" w:hAnsi="David"/>
            <w:color w:val="0000FF"/>
            <w:u w:val="single"/>
            <w:rtl/>
          </w:rPr>
          <w:t>פקודת התעבורה</w:t>
        </w:r>
      </w:hyperlink>
      <w:r w:rsidR="00BD00DD" w:rsidRPr="009752ED">
        <w:rPr>
          <w:rFonts w:ascii="David" w:hAnsi="David"/>
          <w:rtl/>
        </w:rPr>
        <w:t xml:space="preserve"> [נוסח חדש], התשכ"א-1961; נהיגה ללא פוליסת ביטוח תקפה, עבירה לפי </w:t>
      </w:r>
      <w:hyperlink r:id="rId55" w:history="1">
        <w:r w:rsidR="00385F1A" w:rsidRPr="00385F1A">
          <w:rPr>
            <w:rStyle w:val="Hyperlink"/>
            <w:rFonts w:ascii="David" w:hAnsi="David"/>
            <w:rtl/>
          </w:rPr>
          <w:t>סעיף 2(א)</w:t>
        </w:r>
      </w:hyperlink>
      <w:r w:rsidR="00BD00DD" w:rsidRPr="009752ED">
        <w:rPr>
          <w:rFonts w:ascii="David" w:hAnsi="David"/>
          <w:rtl/>
        </w:rPr>
        <w:t xml:space="preserve">  ו</w:t>
      </w:r>
      <w:hyperlink r:id="rId56" w:history="1">
        <w:r w:rsidR="00385F1A" w:rsidRPr="00385F1A">
          <w:rPr>
            <w:rStyle w:val="Hyperlink"/>
            <w:rFonts w:ascii="David" w:hAnsi="David"/>
            <w:rtl/>
          </w:rPr>
          <w:t>(ב)</w:t>
        </w:r>
      </w:hyperlink>
      <w:r w:rsidR="00BD00DD" w:rsidRPr="009752ED">
        <w:rPr>
          <w:rFonts w:ascii="David" w:hAnsi="David"/>
          <w:rtl/>
        </w:rPr>
        <w:t xml:space="preserve"> ל</w:t>
      </w:r>
      <w:hyperlink r:id="rId57" w:history="1">
        <w:r w:rsidRPr="00C100A7">
          <w:rPr>
            <w:rFonts w:ascii="David" w:hAnsi="David"/>
            <w:color w:val="0000FF"/>
            <w:u w:val="single"/>
            <w:rtl/>
          </w:rPr>
          <w:t>פקודת ביטוח רכב מנועי</w:t>
        </w:r>
      </w:hyperlink>
      <w:r w:rsidR="00BD00DD" w:rsidRPr="009752ED">
        <w:rPr>
          <w:rFonts w:ascii="David" w:hAnsi="David"/>
          <w:rtl/>
        </w:rPr>
        <w:t>[נוסח חדש], התש"ל-1970. במקרה הנ"ל דובר בשוד של חנות מכולת תוך שימוש באקדח אותו נשא והוביל הנאשם שלא כדין וממנו אף ירה באזור מגורים, וזאת לצד ביצוע עבירה של שימוש ברכב ללא רשות ועבירות תעבורה. על אותו נאשם שעל אף גילו הצעיר (19 שנה) היה בעל עבר פלילי, הטלתי  עונש של 40 חודשי מאסר בפועל תוך הפעלת מאסר מותנה בן 8 חודשים במצטבר, וזאת לאחר קביעת מתחם עונש הולם הנע בין 36 ל-72 חודשי מאסר בפועל.</w:t>
      </w:r>
    </w:p>
    <w:p w14:paraId="6174C681" w14:textId="77777777" w:rsidR="00BD00DD" w:rsidRDefault="00BD00DD" w:rsidP="00BD00DD">
      <w:pPr>
        <w:spacing w:line="360" w:lineRule="auto"/>
        <w:jc w:val="both"/>
      </w:pPr>
    </w:p>
    <w:p w14:paraId="57F02312" w14:textId="77777777" w:rsidR="00BD00DD" w:rsidRDefault="00BD00DD" w:rsidP="00BD00DD">
      <w:pPr>
        <w:spacing w:line="360" w:lineRule="auto"/>
        <w:jc w:val="both"/>
        <w:rPr>
          <w:rtl/>
        </w:rPr>
      </w:pPr>
      <w:r>
        <w:rPr>
          <w:rtl/>
        </w:rPr>
        <w:t>1</w:t>
      </w:r>
      <w:r>
        <w:rPr>
          <w:rFonts w:hint="cs"/>
          <w:rtl/>
        </w:rPr>
        <w:t>8</w:t>
      </w:r>
      <w:r>
        <w:rPr>
          <w:rtl/>
        </w:rPr>
        <w:t>.</w:t>
      </w:r>
      <w:r>
        <w:rPr>
          <w:rtl/>
        </w:rPr>
        <w:tab/>
        <w:t xml:space="preserve">לאחר שבחנתי את הערכים החברתיים שנפגעו כתוצאה מביצוע העבירות ע"י הנאשם, את נסיבות ביצוע העבירות ונתתי דעתי למדיניות הענישה הנהוגה כמו גם לפסיקה אליה הפנה כל אחד מהצדדים, הגעתי לכלל מסקנה כי מתחם העונש ההולם בתיק זה נע בין עונש של 36 חודשי מאסר בפועל עד לעונש של 60 חודשי מאסר בפועל. </w:t>
      </w:r>
    </w:p>
    <w:p w14:paraId="327E4C12" w14:textId="77777777" w:rsidR="00BD00DD" w:rsidRDefault="00BD00DD" w:rsidP="00BD00DD">
      <w:pPr>
        <w:spacing w:line="360" w:lineRule="auto"/>
        <w:jc w:val="both"/>
        <w:rPr>
          <w:rtl/>
        </w:rPr>
      </w:pPr>
    </w:p>
    <w:p w14:paraId="323922E9" w14:textId="77777777" w:rsidR="00BD00DD" w:rsidRDefault="00BD00DD" w:rsidP="00BD00DD">
      <w:pPr>
        <w:spacing w:line="360" w:lineRule="auto"/>
        <w:jc w:val="both"/>
        <w:rPr>
          <w:rtl/>
        </w:rPr>
      </w:pPr>
      <w:r>
        <w:rPr>
          <w:rFonts w:hint="cs"/>
          <w:rtl/>
        </w:rPr>
        <w:t>19</w:t>
      </w:r>
      <w:r>
        <w:rPr>
          <w:rtl/>
        </w:rPr>
        <w:t>.</w:t>
      </w:r>
      <w:r>
        <w:rPr>
          <w:rtl/>
        </w:rPr>
        <w:tab/>
        <w:t xml:space="preserve"> במסגרת בחינת הנסיבות שאינן קשורות בביצוע העבירות, אציין ראשית, לטובת הנאשם, את הודאתו בעובדות כתב האישום המתוקן בהזדמנות הראשונה, דבר שחסך הן מזמנו היקר של בית המשפט והן את העדת עדי התביעה ובעיקר המתלונן. עוד אציין לקולה את גילו הצעיר של הנאשם שהינו בן 23  וכן את עברו הנקי ללא רבב. כאן אוסיף את הסכם הסולחה שנערך</w:t>
      </w:r>
      <w:r>
        <w:rPr>
          <w:rFonts w:hint="cs"/>
          <w:rtl/>
        </w:rPr>
        <w:t xml:space="preserve"> </w:t>
      </w:r>
      <w:r>
        <w:rPr>
          <w:rtl/>
        </w:rPr>
        <w:t xml:space="preserve"> בין משפחת הנאשם לבין בעל תחנת הדלק, במסגרתו שולם </w:t>
      </w:r>
      <w:r>
        <w:rPr>
          <w:rFonts w:hint="cs"/>
          <w:rtl/>
        </w:rPr>
        <w:t xml:space="preserve">לכאורה </w:t>
      </w:r>
      <w:r>
        <w:rPr>
          <w:rtl/>
        </w:rPr>
        <w:t xml:space="preserve">פיצוי </w:t>
      </w:r>
      <w:r>
        <w:rPr>
          <w:rFonts w:hint="cs"/>
          <w:rtl/>
        </w:rPr>
        <w:t xml:space="preserve">עבור בעל תחנת הדלק והמתלונן </w:t>
      </w:r>
      <w:r>
        <w:rPr>
          <w:rtl/>
        </w:rPr>
        <w:t>בסכום כולל של 28,000 ₪. בעניין משקלו של הסכם סולחה בעת גזירת הדין, יפים דבריו הבאים של בית המשפט העליון שנאמרו ב</w:t>
      </w:r>
      <w:hyperlink r:id="rId58" w:history="1">
        <w:r w:rsidR="00C100A7" w:rsidRPr="00C100A7">
          <w:rPr>
            <w:color w:val="0000FF"/>
            <w:u w:val="single"/>
            <w:rtl/>
          </w:rPr>
          <w:t>ע"פ 3381/16</w:t>
        </w:r>
      </w:hyperlink>
      <w:r>
        <w:rPr>
          <w:rtl/>
        </w:rPr>
        <w:t xml:space="preserve"> </w:t>
      </w:r>
      <w:r>
        <w:rPr>
          <w:rFonts w:ascii="Miriam" w:hAnsi="Miriam" w:cs="Miriam"/>
          <w:rtl/>
        </w:rPr>
        <w:t>חליל אלקרינאוי נ' מדינת ישראל</w:t>
      </w:r>
      <w:r>
        <w:rPr>
          <w:rtl/>
        </w:rPr>
        <w:t xml:space="preserve"> (10.07.16): "</w:t>
      </w:r>
      <w:r>
        <w:rPr>
          <w:rFonts w:ascii="Miriam" w:hAnsi="Miriam" w:cs="Miriam"/>
          <w:rtl/>
        </w:rPr>
        <w:t xml:space="preserve"> ... בית משפט זה ציין לא אחת, כי קיומו של הליך או הסכם 'סולחה' יכול לשמש שיקול לקולה בגזירת עונשו של הנאשם בהתקיים תנאים מסוימים, ובכללם הצלחת ההליך בהבאת הסכסוך לסיום, אך מבלי להעניק ל'סולחה' משקל מכריע...".</w:t>
      </w:r>
      <w:r>
        <w:rPr>
          <w:rtl/>
        </w:rPr>
        <w:t xml:space="preserve"> הנה כי כן, ניתן לתת </w:t>
      </w:r>
      <w:r>
        <w:rPr>
          <w:rFonts w:hint="cs"/>
          <w:rtl/>
        </w:rPr>
        <w:t xml:space="preserve">לקולה, במסגרת גזירת הדין,  </w:t>
      </w:r>
      <w:r>
        <w:rPr>
          <w:rtl/>
        </w:rPr>
        <w:t>משקל מסוים</w:t>
      </w:r>
      <w:r>
        <w:rPr>
          <w:rFonts w:hint="cs"/>
          <w:rtl/>
        </w:rPr>
        <w:t xml:space="preserve">, אם כי לא מכריע, </w:t>
      </w:r>
      <w:r>
        <w:rPr>
          <w:rtl/>
        </w:rPr>
        <w:t xml:space="preserve"> להסכם סולחה ש</w:t>
      </w:r>
      <w:r>
        <w:rPr>
          <w:rFonts w:hint="cs"/>
          <w:rtl/>
        </w:rPr>
        <w:t xml:space="preserve">הרי </w:t>
      </w:r>
      <w:r>
        <w:rPr>
          <w:rtl/>
        </w:rPr>
        <w:t xml:space="preserve">הוא מלמד על חרטת הנאשם ונכונותו לפצות את נפגע העבירה. </w:t>
      </w:r>
    </w:p>
    <w:p w14:paraId="54FD0C5A" w14:textId="77777777" w:rsidR="00BD00DD" w:rsidRDefault="00BD00DD" w:rsidP="00BD00DD">
      <w:pPr>
        <w:spacing w:line="360" w:lineRule="auto"/>
        <w:jc w:val="both"/>
        <w:rPr>
          <w:rtl/>
        </w:rPr>
      </w:pPr>
    </w:p>
    <w:p w14:paraId="0ACFAC05" w14:textId="77777777" w:rsidR="00BD00DD" w:rsidRDefault="00BD00DD" w:rsidP="00BD00DD">
      <w:pPr>
        <w:spacing w:line="360" w:lineRule="auto"/>
        <w:jc w:val="both"/>
        <w:rPr>
          <w:rtl/>
        </w:rPr>
      </w:pPr>
      <w:r>
        <w:rPr>
          <w:rtl/>
        </w:rPr>
        <w:t>2</w:t>
      </w:r>
      <w:r>
        <w:rPr>
          <w:rFonts w:hint="cs"/>
          <w:rtl/>
        </w:rPr>
        <w:t>0</w:t>
      </w:r>
      <w:r>
        <w:rPr>
          <w:rtl/>
        </w:rPr>
        <w:t>.</w:t>
      </w:r>
      <w:r>
        <w:rPr>
          <w:rtl/>
        </w:rPr>
        <w:tab/>
        <w:t xml:space="preserve"> לאחר ששקלתי את מכלול הטעמים לקולה הנ"ל שאינם קשורים בביצוע העבירות, הגעתי לכלל מסקנה כי מן הראוי להטיל על הנאשם בתיק זה עונש המצוי ברף התחתון של מתחם העונש ההולם, קרי: מאסר בפועל לתקופה של </w:t>
      </w:r>
      <w:r>
        <w:rPr>
          <w:rFonts w:ascii="David" w:hAnsi="David"/>
          <w:rtl/>
        </w:rPr>
        <w:t xml:space="preserve">36 </w:t>
      </w:r>
      <w:r>
        <w:rPr>
          <w:rtl/>
        </w:rPr>
        <w:t xml:space="preserve">חודשים, לצד עונש של מאסר מותנה. יוער </w:t>
      </w:r>
      <w:r>
        <w:rPr>
          <w:rFonts w:hint="cs"/>
          <w:rtl/>
        </w:rPr>
        <w:t xml:space="preserve">בסעיף זה, </w:t>
      </w:r>
      <w:r>
        <w:rPr>
          <w:rtl/>
        </w:rPr>
        <w:t>בשולי הדברים</w:t>
      </w:r>
      <w:r>
        <w:rPr>
          <w:rFonts w:hint="cs"/>
          <w:rtl/>
        </w:rPr>
        <w:t>,</w:t>
      </w:r>
      <w:r>
        <w:rPr>
          <w:rtl/>
        </w:rPr>
        <w:t xml:space="preserve"> כי אין מקום לסטות לקולה בתיק זה ממתחם העונש ההולם, כנטען על-ידי הסנגור שכן  לא הובאה בפני בית המשפט ראיה כלשהי לכך שהנאשם השתקם או כי קיים יסוד סביר להניח שהנאשם ישתקם, כנדרש עפ"י </w:t>
      </w:r>
      <w:hyperlink r:id="rId59" w:history="1">
        <w:r w:rsidR="00385F1A" w:rsidRPr="00385F1A">
          <w:rPr>
            <w:rStyle w:val="Hyperlink"/>
            <w:rtl/>
          </w:rPr>
          <w:t>סעיף 40ד(א)</w:t>
        </w:r>
      </w:hyperlink>
      <w:r>
        <w:rPr>
          <w:rtl/>
        </w:rPr>
        <w:t xml:space="preserve"> ל</w:t>
      </w:r>
      <w:hyperlink r:id="rId60" w:history="1">
        <w:r w:rsidR="00C100A7" w:rsidRPr="00C100A7">
          <w:rPr>
            <w:color w:val="0000FF"/>
            <w:u w:val="single"/>
            <w:rtl/>
          </w:rPr>
          <w:t>חוק העונשין</w:t>
        </w:r>
      </w:hyperlink>
      <w:r>
        <w:rPr>
          <w:rtl/>
        </w:rPr>
        <w:t xml:space="preserve">. טענת ההגנה הנ"ל הועלתה כטענה בעלמא ללא ביסוס כלשהו ולפיכך דינה, כאמור, להידחות. </w:t>
      </w:r>
    </w:p>
    <w:p w14:paraId="5C06EEB1" w14:textId="77777777" w:rsidR="00BD00DD" w:rsidRDefault="00BD00DD" w:rsidP="00BD00DD">
      <w:pPr>
        <w:spacing w:line="360" w:lineRule="auto"/>
        <w:jc w:val="both"/>
        <w:rPr>
          <w:rtl/>
        </w:rPr>
      </w:pPr>
    </w:p>
    <w:p w14:paraId="10FFE2F5" w14:textId="77777777" w:rsidR="00BD00DD" w:rsidRDefault="00BD00DD" w:rsidP="00BD00DD">
      <w:pPr>
        <w:spacing w:line="360" w:lineRule="auto"/>
        <w:jc w:val="both"/>
        <w:rPr>
          <w:rtl/>
        </w:rPr>
      </w:pPr>
      <w:r>
        <w:rPr>
          <w:rtl/>
        </w:rPr>
        <w:t>2</w:t>
      </w:r>
      <w:r>
        <w:rPr>
          <w:rFonts w:hint="cs"/>
          <w:rtl/>
        </w:rPr>
        <w:t>1</w:t>
      </w:r>
      <w:r>
        <w:rPr>
          <w:rtl/>
        </w:rPr>
        <w:t xml:space="preserve">. </w:t>
      </w:r>
      <w:r>
        <w:rPr>
          <w:rtl/>
        </w:rPr>
        <w:tab/>
        <w:t xml:space="preserve">בסיכומו של דבר, אני דנה את הנאשם כדלקמן: </w:t>
      </w:r>
    </w:p>
    <w:p w14:paraId="43B27EA3" w14:textId="77777777" w:rsidR="00BD00DD" w:rsidRDefault="00BD00DD" w:rsidP="00BD00DD">
      <w:pPr>
        <w:spacing w:line="360" w:lineRule="auto"/>
        <w:jc w:val="both"/>
        <w:rPr>
          <w:rtl/>
        </w:rPr>
      </w:pPr>
    </w:p>
    <w:p w14:paraId="31B0FE72" w14:textId="77777777" w:rsidR="00BD00DD" w:rsidRDefault="00BD00DD" w:rsidP="00BD00DD">
      <w:pPr>
        <w:pStyle w:val="a9"/>
        <w:numPr>
          <w:ilvl w:val="0"/>
          <w:numId w:val="1"/>
        </w:numPr>
        <w:spacing w:line="360" w:lineRule="auto"/>
        <w:jc w:val="both"/>
      </w:pPr>
      <w:r>
        <w:rPr>
          <w:rtl/>
        </w:rPr>
        <w:t>למאסר בפועל לתקופה של 36 חודשים בניכוי ימי מעצרו (מיום 18/5/20 עד כה).</w:t>
      </w:r>
    </w:p>
    <w:p w14:paraId="6E1E1CF9" w14:textId="77777777" w:rsidR="00BD00DD" w:rsidRDefault="00BD00DD" w:rsidP="00BD00DD">
      <w:pPr>
        <w:pStyle w:val="a9"/>
        <w:spacing w:line="360" w:lineRule="auto"/>
        <w:jc w:val="both"/>
        <w:rPr>
          <w:rtl/>
        </w:rPr>
      </w:pPr>
    </w:p>
    <w:p w14:paraId="144A7A31" w14:textId="77777777" w:rsidR="00BD00DD" w:rsidRDefault="00BD00DD" w:rsidP="00BD00DD">
      <w:pPr>
        <w:pStyle w:val="a9"/>
        <w:numPr>
          <w:ilvl w:val="0"/>
          <w:numId w:val="1"/>
        </w:numPr>
        <w:spacing w:line="360" w:lineRule="auto"/>
        <w:jc w:val="both"/>
      </w:pPr>
      <w:r>
        <w:rPr>
          <w:rtl/>
        </w:rPr>
        <w:t>למאסר על תנאי לתקופה של 12 חודשים למשך 3 שנים,</w:t>
      </w:r>
      <w:r>
        <w:rPr>
          <w:rFonts w:hint="cs"/>
          <w:rtl/>
        </w:rPr>
        <w:t xml:space="preserve"> </w:t>
      </w:r>
      <w:r>
        <w:rPr>
          <w:rtl/>
        </w:rPr>
        <w:t xml:space="preserve">והתנאי הוא לבל יבצע הנאשם עבירת אלימות מסוג פשע , עבירת רכוש מסוג פשע או עבירה מסוג פשע לפי </w:t>
      </w:r>
      <w:hyperlink r:id="rId61" w:history="1">
        <w:r w:rsidR="00385F1A" w:rsidRPr="00385F1A">
          <w:rPr>
            <w:rStyle w:val="Hyperlink"/>
            <w:rtl/>
          </w:rPr>
          <w:t>סעיף 144</w:t>
        </w:r>
      </w:hyperlink>
      <w:r>
        <w:rPr>
          <w:rtl/>
        </w:rPr>
        <w:t xml:space="preserve"> ל</w:t>
      </w:r>
      <w:hyperlink r:id="rId62" w:history="1">
        <w:r w:rsidR="00C100A7" w:rsidRPr="00C100A7">
          <w:rPr>
            <w:color w:val="0000FF"/>
            <w:u w:val="single"/>
            <w:rtl/>
          </w:rPr>
          <w:t>חוק העונשין</w:t>
        </w:r>
      </w:hyperlink>
      <w:r>
        <w:rPr>
          <w:rtl/>
        </w:rPr>
        <w:t xml:space="preserve"> התשל"ז-1977. </w:t>
      </w:r>
    </w:p>
    <w:p w14:paraId="083E557D" w14:textId="77777777" w:rsidR="00BD00DD" w:rsidRDefault="00BD00DD" w:rsidP="00BD00DD">
      <w:pPr>
        <w:pStyle w:val="a9"/>
        <w:rPr>
          <w:rtl/>
        </w:rPr>
      </w:pPr>
    </w:p>
    <w:p w14:paraId="5A624BEA" w14:textId="77777777" w:rsidR="00BD00DD" w:rsidRDefault="00BD00DD" w:rsidP="00BD00DD">
      <w:pPr>
        <w:pStyle w:val="a9"/>
        <w:numPr>
          <w:ilvl w:val="0"/>
          <w:numId w:val="1"/>
        </w:numPr>
        <w:spacing w:line="360" w:lineRule="auto"/>
        <w:jc w:val="both"/>
      </w:pPr>
      <w:r>
        <w:rPr>
          <w:rtl/>
        </w:rPr>
        <w:t xml:space="preserve">למאסר על תנאי לתקופה של 6 חודשים למשך 3 שנים, והתנאי הוא לבל יבצע הנאשם עבירת אלימות מסוג עוון, עבירת רכוש מסוג עוון או עבירה מסוג עוון לפי </w:t>
      </w:r>
      <w:hyperlink r:id="rId63" w:history="1">
        <w:r w:rsidR="00385F1A" w:rsidRPr="00385F1A">
          <w:rPr>
            <w:rStyle w:val="Hyperlink"/>
            <w:rtl/>
          </w:rPr>
          <w:t>סעיף 144</w:t>
        </w:r>
      </w:hyperlink>
      <w:r>
        <w:rPr>
          <w:rtl/>
        </w:rPr>
        <w:t xml:space="preserve"> ל</w:t>
      </w:r>
      <w:hyperlink r:id="rId64" w:history="1">
        <w:r w:rsidR="00C100A7" w:rsidRPr="00C100A7">
          <w:rPr>
            <w:color w:val="0000FF"/>
            <w:u w:val="single"/>
            <w:rtl/>
          </w:rPr>
          <w:t>חוק העונשין</w:t>
        </w:r>
      </w:hyperlink>
      <w:r>
        <w:rPr>
          <w:rtl/>
        </w:rPr>
        <w:t xml:space="preserve"> התשל"ז-1977.</w:t>
      </w:r>
    </w:p>
    <w:p w14:paraId="08072FFF" w14:textId="77777777" w:rsidR="00BD00DD" w:rsidRDefault="00BD00DD" w:rsidP="00BD00DD">
      <w:pPr>
        <w:pStyle w:val="a9"/>
        <w:spacing w:line="360" w:lineRule="auto"/>
        <w:jc w:val="both"/>
      </w:pPr>
    </w:p>
    <w:p w14:paraId="16C8F0E7" w14:textId="77777777" w:rsidR="00BD00DD" w:rsidRDefault="00BD00DD" w:rsidP="00BD00DD">
      <w:pPr>
        <w:spacing w:line="360" w:lineRule="auto"/>
        <w:ind w:left="360"/>
        <w:jc w:val="both"/>
      </w:pPr>
      <w:r w:rsidRPr="00F37EC0">
        <w:rPr>
          <w:rtl/>
        </w:rPr>
        <w:t>בהינתן  העובדה ששולם</w:t>
      </w:r>
      <w:r>
        <w:rPr>
          <w:rFonts w:hint="cs"/>
          <w:rtl/>
        </w:rPr>
        <w:t xml:space="preserve"> לכאורה</w:t>
      </w:r>
      <w:r w:rsidRPr="00F37EC0">
        <w:rPr>
          <w:rtl/>
        </w:rPr>
        <w:t xml:space="preserve"> ע"י משפחת הנאשם סכום של 28,000 ₪  </w:t>
      </w:r>
      <w:r>
        <w:rPr>
          <w:rFonts w:hint="cs"/>
          <w:rtl/>
        </w:rPr>
        <w:t xml:space="preserve">עבור </w:t>
      </w:r>
      <w:r w:rsidRPr="00F37EC0">
        <w:rPr>
          <w:rtl/>
        </w:rPr>
        <w:t>בעל תחנת הדלק</w:t>
      </w:r>
      <w:r>
        <w:rPr>
          <w:rFonts w:hint="cs"/>
          <w:rtl/>
        </w:rPr>
        <w:t xml:space="preserve"> והמתלונן</w:t>
      </w:r>
      <w:r w:rsidRPr="00F37EC0">
        <w:rPr>
          <w:rtl/>
        </w:rPr>
        <w:t>, כפי שעולה מ</w:t>
      </w:r>
      <w:r w:rsidRPr="00F37EC0">
        <w:rPr>
          <w:rFonts w:hint="cs"/>
          <w:rtl/>
        </w:rPr>
        <w:t xml:space="preserve">המסמך הנ"ל החתום ע"י </w:t>
      </w:r>
      <w:r>
        <w:rPr>
          <w:rFonts w:hint="cs"/>
          <w:rtl/>
        </w:rPr>
        <w:t>ה</w:t>
      </w:r>
      <w:r w:rsidRPr="00F37EC0">
        <w:rPr>
          <w:rFonts w:hint="cs"/>
          <w:rtl/>
        </w:rPr>
        <w:t>שיח' כיואן ובעל תחנת הדלק</w:t>
      </w:r>
      <w:r w:rsidRPr="00F37EC0">
        <w:rPr>
          <w:rtl/>
        </w:rPr>
        <w:t>, אני</w:t>
      </w:r>
      <w:r>
        <w:rPr>
          <w:rtl/>
        </w:rPr>
        <w:t xml:space="preserve"> מבכרת שלא להוסיף </w:t>
      </w:r>
      <w:r>
        <w:rPr>
          <w:rFonts w:hint="cs"/>
          <w:rtl/>
        </w:rPr>
        <w:t xml:space="preserve">לרכיבי הענישה </w:t>
      </w:r>
      <w:r>
        <w:rPr>
          <w:rtl/>
        </w:rPr>
        <w:t>רכיב של פיצוי לטובת המתלונן</w:t>
      </w:r>
      <w:r>
        <w:rPr>
          <w:rFonts w:hint="cs"/>
          <w:rtl/>
        </w:rPr>
        <w:t>.</w:t>
      </w:r>
    </w:p>
    <w:p w14:paraId="35CE884A" w14:textId="77777777" w:rsidR="00BD00DD" w:rsidRDefault="00BD00DD" w:rsidP="00BD00DD">
      <w:pPr>
        <w:pStyle w:val="a9"/>
        <w:spacing w:line="360" w:lineRule="auto"/>
        <w:jc w:val="both"/>
        <w:rPr>
          <w:rtl/>
        </w:rPr>
      </w:pPr>
    </w:p>
    <w:p w14:paraId="4F4F4577" w14:textId="77777777" w:rsidR="00BD00DD" w:rsidRDefault="00BD00DD" w:rsidP="00BD00DD">
      <w:pPr>
        <w:pStyle w:val="a9"/>
        <w:ind w:left="141"/>
        <w:rPr>
          <w:b/>
          <w:bCs/>
          <w:rtl/>
        </w:rPr>
      </w:pPr>
      <w:r>
        <w:rPr>
          <w:b/>
          <w:bCs/>
          <w:rtl/>
        </w:rPr>
        <w:t>זכות ערעור לבית המשפט העליון תוך 45 יום מהיום.</w:t>
      </w:r>
    </w:p>
    <w:p w14:paraId="2F28C41E" w14:textId="77777777" w:rsidR="00BD00DD" w:rsidRPr="00B05847" w:rsidRDefault="00BD00DD" w:rsidP="00BD00DD">
      <w:pPr>
        <w:rPr>
          <w:rtl/>
        </w:rPr>
      </w:pPr>
    </w:p>
    <w:p w14:paraId="49F87D3A" w14:textId="77777777" w:rsidR="00BD00DD" w:rsidRPr="00B05847" w:rsidRDefault="00BD00DD" w:rsidP="00BD00DD">
      <w:pPr>
        <w:rPr>
          <w:rtl/>
        </w:rPr>
      </w:pPr>
    </w:p>
    <w:p w14:paraId="5CE8FB1A" w14:textId="77777777" w:rsidR="00BD00DD" w:rsidRDefault="00C100A7" w:rsidP="00BD00DD">
      <w:pPr>
        <w:spacing w:line="360" w:lineRule="auto"/>
        <w:jc w:val="both"/>
        <w:rPr>
          <w:rFonts w:ascii="Arial" w:hAnsi="Arial"/>
        </w:rPr>
      </w:pPr>
      <w:bookmarkStart w:id="7" w:name="Nitan"/>
      <w:r w:rsidRPr="00C100A7">
        <w:rPr>
          <w:rFonts w:ascii="Arial" w:hAnsi="Arial"/>
          <w:color w:val="FFFFFF"/>
          <w:sz w:val="2"/>
          <w:szCs w:val="2"/>
          <w:rtl/>
        </w:rPr>
        <w:t>5129371</w:t>
      </w:r>
      <w:r>
        <w:rPr>
          <w:rFonts w:ascii="Arial" w:hAnsi="Arial"/>
          <w:rtl/>
        </w:rPr>
        <w:t xml:space="preserve">ניתן היום,  ה' אדר תשפ"א, 17 פברואר 2021, במעמד ב"כ המאשימה, עו"ד אילנה פיקוס רויטבלט, </w:t>
      </w:r>
      <w:bookmarkEnd w:id="7"/>
      <w:r w:rsidR="00BD00DD" w:rsidRPr="00313930">
        <w:rPr>
          <w:rFonts w:ascii="Arial" w:hAnsi="Arial" w:hint="cs"/>
          <w:rtl/>
        </w:rPr>
        <w:t xml:space="preserve">ב"כ הנאשם, עו"ד עאדל דבאח והנאשם שהובא ע"י שב"ס באמצעות </w:t>
      </w:r>
      <w:r w:rsidR="00BD00DD" w:rsidRPr="00313930">
        <w:rPr>
          <w:rFonts w:ascii="Arial" w:hAnsi="Arial" w:hint="cs"/>
        </w:rPr>
        <w:t>VC</w:t>
      </w:r>
      <w:r w:rsidR="00BD00DD" w:rsidRPr="00313930">
        <w:rPr>
          <w:rFonts w:ascii="Arial" w:hAnsi="Arial" w:hint="cs"/>
          <w:rtl/>
        </w:rPr>
        <w:t>.</w:t>
      </w:r>
    </w:p>
    <w:p w14:paraId="70F5F6E6" w14:textId="77777777" w:rsidR="00BD00DD" w:rsidRPr="00C100A7" w:rsidRDefault="00C100A7" w:rsidP="00BD00DD">
      <w:pPr>
        <w:rPr>
          <w:rFonts w:cs="FrankRuehl"/>
          <w:color w:val="FFFFFF"/>
          <w:sz w:val="2"/>
          <w:szCs w:val="2"/>
          <w:rtl/>
        </w:rPr>
      </w:pPr>
      <w:r w:rsidRPr="00C100A7">
        <w:rPr>
          <w:rFonts w:cs="FrankRuehl"/>
          <w:color w:val="FFFFFF"/>
          <w:sz w:val="2"/>
          <w:szCs w:val="2"/>
          <w:rtl/>
        </w:rPr>
        <w:t>54678313</w:t>
      </w:r>
    </w:p>
    <w:p w14:paraId="270DC952" w14:textId="77777777" w:rsidR="00BD00DD" w:rsidRDefault="00BD00DD" w:rsidP="00C100A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F11AB1" w14:textId="77777777" w:rsidR="00BD00DD" w:rsidRDefault="00BD00DD" w:rsidP="00BD00DD">
      <w:pPr>
        <w:jc w:val="center"/>
        <w:rPr>
          <w:rFonts w:ascii="Arial" w:hAnsi="Arial" w:cs="FrankRuehl"/>
          <w:sz w:val="28"/>
          <w:szCs w:val="28"/>
          <w:rtl/>
        </w:rPr>
      </w:pPr>
    </w:p>
    <w:p w14:paraId="7A99D236" w14:textId="77777777" w:rsidR="00BD00DD" w:rsidRDefault="00BD00DD" w:rsidP="00BD00DD">
      <w:pPr>
        <w:rPr>
          <w:rFonts w:cs="FrankRuehl"/>
          <w:sz w:val="28"/>
          <w:szCs w:val="28"/>
          <w:rtl/>
        </w:rPr>
      </w:pPr>
    </w:p>
    <w:p w14:paraId="7A22609E" w14:textId="77777777" w:rsidR="00BD00DD" w:rsidRDefault="00BD00DD" w:rsidP="00BD00DD">
      <w:pPr>
        <w:pStyle w:val="a3"/>
        <w:jc w:val="center"/>
        <w:rPr>
          <w:rtl/>
        </w:rPr>
      </w:pPr>
    </w:p>
    <w:p w14:paraId="13E1891C" w14:textId="77777777" w:rsidR="005016FB" w:rsidRPr="00C100A7" w:rsidRDefault="005016FB" w:rsidP="00C100A7">
      <w:pPr>
        <w:keepNext/>
        <w:rPr>
          <w:rFonts w:ascii="David" w:hAnsi="David"/>
          <w:color w:val="000000"/>
          <w:sz w:val="22"/>
          <w:szCs w:val="22"/>
          <w:rtl/>
        </w:rPr>
      </w:pPr>
    </w:p>
    <w:p w14:paraId="4E55A673" w14:textId="77777777" w:rsidR="00C100A7" w:rsidRPr="00C100A7" w:rsidRDefault="00C100A7" w:rsidP="00C100A7">
      <w:pPr>
        <w:keepNext/>
        <w:rPr>
          <w:rFonts w:ascii="David" w:hAnsi="David"/>
          <w:color w:val="000000"/>
          <w:sz w:val="22"/>
          <w:szCs w:val="22"/>
          <w:rtl/>
        </w:rPr>
      </w:pPr>
      <w:r w:rsidRPr="00C100A7">
        <w:rPr>
          <w:rFonts w:ascii="David" w:hAnsi="David"/>
          <w:color w:val="000000"/>
          <w:sz w:val="22"/>
          <w:szCs w:val="22"/>
          <w:rtl/>
        </w:rPr>
        <w:t>רונית בש 54678313</w:t>
      </w:r>
    </w:p>
    <w:p w14:paraId="46DF7B38" w14:textId="77777777" w:rsidR="00C100A7" w:rsidRDefault="00C100A7" w:rsidP="00C100A7">
      <w:r w:rsidRPr="00C100A7">
        <w:rPr>
          <w:color w:val="000000"/>
          <w:rtl/>
        </w:rPr>
        <w:t>נוסח מסמך זה כפוף לשינויי ניסוח ועריכה</w:t>
      </w:r>
    </w:p>
    <w:p w14:paraId="0686ED56" w14:textId="77777777" w:rsidR="00C100A7" w:rsidRDefault="00C100A7" w:rsidP="00C100A7">
      <w:pPr>
        <w:rPr>
          <w:rtl/>
        </w:rPr>
      </w:pPr>
    </w:p>
    <w:p w14:paraId="014BB57E" w14:textId="77777777" w:rsidR="00C100A7" w:rsidRDefault="00C100A7" w:rsidP="00C100A7">
      <w:pPr>
        <w:jc w:val="center"/>
        <w:rPr>
          <w:rFonts w:hint="cs"/>
          <w:color w:val="0000FF"/>
          <w:u w:val="single"/>
        </w:rPr>
      </w:pPr>
      <w:hyperlink r:id="rId65" w:history="1">
        <w:r>
          <w:rPr>
            <w:color w:val="0000FF"/>
            <w:u w:val="single"/>
            <w:rtl/>
          </w:rPr>
          <w:t>בעניין עריכה ושינויים במסמכי פסיקה, חקיקה ועוד באתר נבו – הקש כאן</w:t>
        </w:r>
      </w:hyperlink>
      <w:r w:rsidR="00F87D11">
        <w:rPr>
          <w:rFonts w:hint="cs"/>
          <w:color w:val="0000FF"/>
          <w:u w:val="single"/>
          <w:rtl/>
        </w:rPr>
        <w:t xml:space="preserve"> </w:t>
      </w:r>
    </w:p>
    <w:p w14:paraId="507E4D8F" w14:textId="77777777" w:rsidR="00C100A7" w:rsidRPr="00C100A7" w:rsidRDefault="00C100A7" w:rsidP="00C100A7">
      <w:pPr>
        <w:jc w:val="center"/>
        <w:rPr>
          <w:color w:val="0000FF"/>
          <w:u w:val="single"/>
        </w:rPr>
      </w:pPr>
    </w:p>
    <w:sectPr w:rsidR="00C100A7" w:rsidRPr="00C100A7" w:rsidSect="00C100A7">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D83EE" w14:textId="77777777" w:rsidR="0082694E" w:rsidRDefault="0082694E" w:rsidP="008971BA">
      <w:r>
        <w:separator/>
      </w:r>
    </w:p>
  </w:endnote>
  <w:endnote w:type="continuationSeparator" w:id="0">
    <w:p w14:paraId="6E749120" w14:textId="77777777" w:rsidR="0082694E" w:rsidRDefault="0082694E" w:rsidP="0089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0AA2" w14:textId="77777777" w:rsidR="00C100A7" w:rsidRDefault="00C100A7" w:rsidP="00C100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3FB009" w14:textId="77777777" w:rsidR="009E6283" w:rsidRPr="00C100A7" w:rsidRDefault="00C100A7" w:rsidP="00C100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31812" w14:textId="77777777" w:rsidR="00C100A7" w:rsidRDefault="00C100A7" w:rsidP="00C100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13BD">
      <w:rPr>
        <w:rFonts w:ascii="FrankRuehl" w:hAnsi="FrankRuehl" w:cs="FrankRuehl"/>
        <w:noProof/>
        <w:rtl/>
      </w:rPr>
      <w:t>1</w:t>
    </w:r>
    <w:r>
      <w:rPr>
        <w:rFonts w:ascii="FrankRuehl" w:hAnsi="FrankRuehl" w:cs="FrankRuehl"/>
        <w:rtl/>
      </w:rPr>
      <w:fldChar w:fldCharType="end"/>
    </w:r>
  </w:p>
  <w:p w14:paraId="5D2F4E91" w14:textId="77777777" w:rsidR="009E6283" w:rsidRPr="00C100A7" w:rsidRDefault="00C100A7" w:rsidP="00C100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E02F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B9545" w14:textId="77777777" w:rsidR="0082694E" w:rsidRDefault="0082694E" w:rsidP="008971BA">
      <w:r>
        <w:separator/>
      </w:r>
    </w:p>
  </w:footnote>
  <w:footnote w:type="continuationSeparator" w:id="0">
    <w:p w14:paraId="7B602B7D" w14:textId="77777777" w:rsidR="0082694E" w:rsidRDefault="0082694E" w:rsidP="00897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92D9A" w14:textId="77777777" w:rsidR="00C100A7" w:rsidRPr="00C100A7" w:rsidRDefault="00C100A7" w:rsidP="00C100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962-06-20</w:t>
    </w:r>
    <w:r>
      <w:rPr>
        <w:rFonts w:ascii="David" w:hAnsi="David"/>
        <w:color w:val="000000"/>
        <w:sz w:val="22"/>
        <w:szCs w:val="22"/>
        <w:rtl/>
      </w:rPr>
      <w:tab/>
      <w:t xml:space="preserve"> מדינת ישראל נ' מוחמד מנסור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5747" w14:textId="77777777" w:rsidR="00C100A7" w:rsidRPr="00C100A7" w:rsidRDefault="00C100A7" w:rsidP="00C100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962-06-20</w:t>
    </w:r>
    <w:r>
      <w:rPr>
        <w:rFonts w:ascii="David" w:hAnsi="David"/>
        <w:color w:val="000000"/>
        <w:sz w:val="22"/>
        <w:szCs w:val="22"/>
        <w:rtl/>
      </w:rPr>
      <w:tab/>
      <w:t xml:space="preserve"> מדינת ישראל נ' מוחמד מנסור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754E"/>
    <w:multiLevelType w:val="hybridMultilevel"/>
    <w:tmpl w:val="5B7AF0E0"/>
    <w:lvl w:ilvl="0" w:tplc="AC98CAF2">
      <w:start w:val="2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014228"/>
    <w:multiLevelType w:val="hybridMultilevel"/>
    <w:tmpl w:val="0A34A9B2"/>
    <w:lvl w:ilvl="0" w:tplc="6B1CA22A">
      <w:start w:val="1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424150">
    <w:abstractNumId w:val="0"/>
  </w:num>
  <w:num w:numId="2" w16cid:durableId="112882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00DD"/>
    <w:rsid w:val="000674E9"/>
    <w:rsid w:val="00075425"/>
    <w:rsid w:val="000E3D7F"/>
    <w:rsid w:val="00253B2A"/>
    <w:rsid w:val="00385F1A"/>
    <w:rsid w:val="00463467"/>
    <w:rsid w:val="005016FB"/>
    <w:rsid w:val="007213BD"/>
    <w:rsid w:val="0082694E"/>
    <w:rsid w:val="008971BA"/>
    <w:rsid w:val="009E6283"/>
    <w:rsid w:val="00AE60AF"/>
    <w:rsid w:val="00BD00DD"/>
    <w:rsid w:val="00C100A7"/>
    <w:rsid w:val="00F87D11"/>
    <w:rsid w:val="00FE1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DD73F9"/>
  <w15:chartTrackingRefBased/>
  <w15:docId w15:val="{CD5C6DCE-BD04-4D54-B18D-08462AD7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00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00DD"/>
    <w:pPr>
      <w:tabs>
        <w:tab w:val="center" w:pos="4153"/>
        <w:tab w:val="right" w:pos="8306"/>
      </w:tabs>
    </w:pPr>
  </w:style>
  <w:style w:type="character" w:customStyle="1" w:styleId="a4">
    <w:name w:val="כותרת עליונה תו"/>
    <w:link w:val="a3"/>
    <w:rsid w:val="00BD00DD"/>
    <w:rPr>
      <w:rFonts w:ascii="Times New Roman" w:eastAsia="Times New Roman" w:hAnsi="Times New Roman" w:cs="David"/>
      <w:sz w:val="24"/>
      <w:szCs w:val="24"/>
    </w:rPr>
  </w:style>
  <w:style w:type="paragraph" w:styleId="a5">
    <w:name w:val="footer"/>
    <w:basedOn w:val="a"/>
    <w:link w:val="a6"/>
    <w:rsid w:val="00BD00DD"/>
    <w:pPr>
      <w:tabs>
        <w:tab w:val="center" w:pos="4153"/>
        <w:tab w:val="right" w:pos="8306"/>
      </w:tabs>
    </w:pPr>
  </w:style>
  <w:style w:type="character" w:customStyle="1" w:styleId="a6">
    <w:name w:val="כותרת תחתונה תו"/>
    <w:link w:val="a5"/>
    <w:rsid w:val="00BD00DD"/>
    <w:rPr>
      <w:rFonts w:ascii="Times New Roman" w:eastAsia="Times New Roman" w:hAnsi="Times New Roman" w:cs="David"/>
      <w:sz w:val="24"/>
      <w:szCs w:val="24"/>
    </w:rPr>
  </w:style>
  <w:style w:type="table" w:styleId="a7">
    <w:name w:val="Table Grid"/>
    <w:basedOn w:val="a1"/>
    <w:rsid w:val="00BD00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00DD"/>
  </w:style>
  <w:style w:type="paragraph" w:styleId="a9">
    <w:name w:val="List Paragraph"/>
    <w:basedOn w:val="a"/>
    <w:qFormat/>
    <w:rsid w:val="00BD00DD"/>
    <w:pPr>
      <w:ind w:left="720"/>
      <w:contextualSpacing/>
    </w:pPr>
  </w:style>
  <w:style w:type="character" w:styleId="Hyperlink">
    <w:name w:val="Hyperlink"/>
    <w:rsid w:val="00C100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2.b" TargetMode="External"/><Relationship Id="rId21" Type="http://schemas.openxmlformats.org/officeDocument/2006/relationships/hyperlink" Target="http://www.nevo.co.il/law/5227/38.1" TargetMode="External"/><Relationship Id="rId42" Type="http://schemas.openxmlformats.org/officeDocument/2006/relationships/hyperlink" Target="http://www.nevo.co.il/case/21472799"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144"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2.b" TargetMode="External"/><Relationship Id="rId29" Type="http://schemas.openxmlformats.org/officeDocument/2006/relationships/hyperlink" Target="http://www.nevo.co.il/law/70301/340a.b.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4501/2.a" TargetMode="External"/><Relationship Id="rId32" Type="http://schemas.openxmlformats.org/officeDocument/2006/relationships/hyperlink" Target="http://www.nevo.co.il/case/624362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5824898" TargetMode="External"/><Relationship Id="rId45" Type="http://schemas.openxmlformats.org/officeDocument/2006/relationships/hyperlink" Target="http://www.nevo.co.il/case/26077242" TargetMode="External"/><Relationship Id="rId53" Type="http://schemas.openxmlformats.org/officeDocument/2006/relationships/hyperlink" Target="http://www.nevo.co.il/law/5227/38.1" TargetMode="External"/><Relationship Id="rId58" Type="http://schemas.openxmlformats.org/officeDocument/2006/relationships/hyperlink" Target="http://www.nevo.co.il/case/21473565"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144"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5227/62.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25812356"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law/74501/2.b" TargetMode="External"/><Relationship Id="rId64" Type="http://schemas.openxmlformats.org/officeDocument/2006/relationships/hyperlink" Target="http://www.nevo.co.il/law/70301" TargetMode="External"/><Relationship Id="rId69"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law/5227/10.a"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4501/2.b" TargetMode="External"/><Relationship Id="rId33" Type="http://schemas.openxmlformats.org/officeDocument/2006/relationships/hyperlink" Target="http://www.nevo.co.il/law/70301/40c" TargetMode="External"/><Relationship Id="rId38" Type="http://schemas.openxmlformats.org/officeDocument/2006/relationships/hyperlink" Target="http://www.nevo.co.il/law/70301/40jc.b" TargetMode="External"/><Relationship Id="rId46" Type="http://schemas.openxmlformats.org/officeDocument/2006/relationships/hyperlink" Target="http://www.nevo.co.il/law/70301/402.b" TargetMode="External"/><Relationship Id="rId59" Type="http://schemas.openxmlformats.org/officeDocument/2006/relationships/hyperlink" Target="http://www.nevo.co.il/law/70301/40d.a" TargetMode="External"/><Relationship Id="rId67" Type="http://schemas.openxmlformats.org/officeDocument/2006/relationships/header" Target="header2.xml"/><Relationship Id="rId20" Type="http://schemas.openxmlformats.org/officeDocument/2006/relationships/hyperlink" Target="http://www.nevo.co.il/law/5227/10.a" TargetMode="External"/><Relationship Id="rId41" Type="http://schemas.openxmlformats.org/officeDocument/2006/relationships/hyperlink" Target="http://www.nevo.co.il/case/5906249" TargetMode="External"/><Relationship Id="rId54" Type="http://schemas.openxmlformats.org/officeDocument/2006/relationships/hyperlink" Target="http://www.nevo.co.il/law/5227" TargetMode="External"/><Relationship Id="rId62" Type="http://schemas.openxmlformats.org/officeDocument/2006/relationships/hyperlink" Target="http://www.nevo.co.il/law/703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340a.b.1.;340a.b.2" TargetMode="External"/><Relationship Id="rId57" Type="http://schemas.openxmlformats.org/officeDocument/2006/relationships/hyperlink" Target="http://www.nevo.co.il/law/74501" TargetMode="External"/><Relationship Id="rId10" Type="http://schemas.openxmlformats.org/officeDocument/2006/relationships/hyperlink" Target="http://www.nevo.co.il/law/70301/40d.a" TargetMode="External"/><Relationship Id="rId31" Type="http://schemas.openxmlformats.org/officeDocument/2006/relationships/hyperlink" Target="http://www.nevo.co.il/law/70301/40b" TargetMode="External"/><Relationship Id="rId44" Type="http://schemas.openxmlformats.org/officeDocument/2006/relationships/hyperlink" Target="http://www.nevo.co.il/case/26071069" TargetMode="External"/><Relationship Id="rId52" Type="http://schemas.openxmlformats.org/officeDocument/2006/relationships/hyperlink" Target="http://www.nevo.co.il/law/5227/62.1" TargetMode="External"/><Relationship Id="rId60"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13c" TargetMode="External"/><Relationship Id="rId39" Type="http://schemas.openxmlformats.org/officeDocument/2006/relationships/hyperlink" Target="http://www.nevo.co.il/case/5573417"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413c" TargetMode="External"/><Relationship Id="rId55" Type="http://schemas.openxmlformats.org/officeDocument/2006/relationships/hyperlink" Target="http://www.nevo.co.il/law/74501/2.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3205</Words>
  <Characters>16029</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19196</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6357092</vt:i4>
      </vt:variant>
      <vt:variant>
        <vt:i4>168</vt:i4>
      </vt:variant>
      <vt:variant>
        <vt:i4>0</vt:i4>
      </vt:variant>
      <vt:variant>
        <vt:i4>5</vt:i4>
      </vt:variant>
      <vt:variant>
        <vt:lpwstr>http://www.nevo.co.il/law/70301/144</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6357092</vt:i4>
      </vt:variant>
      <vt:variant>
        <vt:i4>162</vt:i4>
      </vt:variant>
      <vt:variant>
        <vt:i4>0</vt:i4>
      </vt:variant>
      <vt:variant>
        <vt:i4>5</vt:i4>
      </vt:variant>
      <vt:variant>
        <vt:lpwstr>http://www.nevo.co.il/law/70301/144</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4915205</vt:i4>
      </vt:variant>
      <vt:variant>
        <vt:i4>156</vt:i4>
      </vt:variant>
      <vt:variant>
        <vt:i4>0</vt:i4>
      </vt:variant>
      <vt:variant>
        <vt:i4>5</vt:i4>
      </vt:variant>
      <vt:variant>
        <vt:lpwstr>http://www.nevo.co.il/law/70301/40d.a</vt:lpwstr>
      </vt:variant>
      <vt:variant>
        <vt:lpwstr/>
      </vt:variant>
      <vt:variant>
        <vt:i4>3342455</vt:i4>
      </vt:variant>
      <vt:variant>
        <vt:i4>153</vt:i4>
      </vt:variant>
      <vt:variant>
        <vt:i4>0</vt:i4>
      </vt:variant>
      <vt:variant>
        <vt:i4>5</vt:i4>
      </vt:variant>
      <vt:variant>
        <vt:lpwstr>http://www.nevo.co.il/case/21473565</vt:lpwstr>
      </vt:variant>
      <vt:variant>
        <vt:lpwstr/>
      </vt:variant>
      <vt:variant>
        <vt:i4>8257634</vt:i4>
      </vt:variant>
      <vt:variant>
        <vt:i4>150</vt:i4>
      </vt:variant>
      <vt:variant>
        <vt:i4>0</vt:i4>
      </vt:variant>
      <vt:variant>
        <vt:i4>5</vt:i4>
      </vt:variant>
      <vt:variant>
        <vt:lpwstr>http://www.nevo.co.il/law/74501</vt:lpwstr>
      </vt:variant>
      <vt:variant>
        <vt:lpwstr/>
      </vt:variant>
      <vt:variant>
        <vt:i4>8323169</vt:i4>
      </vt:variant>
      <vt:variant>
        <vt:i4>147</vt:i4>
      </vt:variant>
      <vt:variant>
        <vt:i4>0</vt:i4>
      </vt:variant>
      <vt:variant>
        <vt:i4>5</vt:i4>
      </vt:variant>
      <vt:variant>
        <vt:lpwstr>http://www.nevo.co.il/law/74501/2.b</vt:lpwstr>
      </vt:variant>
      <vt:variant>
        <vt:lpwstr/>
      </vt:variant>
      <vt:variant>
        <vt:i4>8323169</vt:i4>
      </vt:variant>
      <vt:variant>
        <vt:i4>144</vt:i4>
      </vt:variant>
      <vt:variant>
        <vt:i4>0</vt:i4>
      </vt:variant>
      <vt:variant>
        <vt:i4>5</vt:i4>
      </vt:variant>
      <vt:variant>
        <vt:lpwstr>http://www.nevo.co.il/law/74501/2.a</vt:lpwstr>
      </vt:variant>
      <vt:variant>
        <vt:lpwstr/>
      </vt:variant>
      <vt:variant>
        <vt:i4>8323175</vt:i4>
      </vt:variant>
      <vt:variant>
        <vt:i4>141</vt:i4>
      </vt:variant>
      <vt:variant>
        <vt:i4>0</vt:i4>
      </vt:variant>
      <vt:variant>
        <vt:i4>5</vt:i4>
      </vt:variant>
      <vt:variant>
        <vt:lpwstr>http://www.nevo.co.il/law/5227</vt:lpwstr>
      </vt:variant>
      <vt:variant>
        <vt:lpwstr/>
      </vt:variant>
      <vt:variant>
        <vt:i4>6422640</vt:i4>
      </vt:variant>
      <vt:variant>
        <vt:i4>138</vt:i4>
      </vt:variant>
      <vt:variant>
        <vt:i4>0</vt:i4>
      </vt:variant>
      <vt:variant>
        <vt:i4>5</vt:i4>
      </vt:variant>
      <vt:variant>
        <vt:lpwstr>http://www.nevo.co.il/law/5227/38.1</vt:lpwstr>
      </vt:variant>
      <vt:variant>
        <vt:lpwstr/>
      </vt:variant>
      <vt:variant>
        <vt:i4>6750330</vt:i4>
      </vt:variant>
      <vt:variant>
        <vt:i4>135</vt:i4>
      </vt:variant>
      <vt:variant>
        <vt:i4>0</vt:i4>
      </vt:variant>
      <vt:variant>
        <vt:i4>5</vt:i4>
      </vt:variant>
      <vt:variant>
        <vt:lpwstr>http://www.nevo.co.il/law/5227/62.1</vt:lpwstr>
      </vt:variant>
      <vt:variant>
        <vt:lpwstr/>
      </vt:variant>
      <vt:variant>
        <vt:i4>6291576</vt:i4>
      </vt:variant>
      <vt:variant>
        <vt:i4>132</vt:i4>
      </vt:variant>
      <vt:variant>
        <vt:i4>0</vt:i4>
      </vt:variant>
      <vt:variant>
        <vt:i4>5</vt:i4>
      </vt:variant>
      <vt:variant>
        <vt:lpwstr>http://www.nevo.co.il/law/5227/10.a</vt:lpwstr>
      </vt:variant>
      <vt:variant>
        <vt:lpwstr/>
      </vt:variant>
      <vt:variant>
        <vt:i4>458834</vt:i4>
      </vt:variant>
      <vt:variant>
        <vt:i4>129</vt:i4>
      </vt:variant>
      <vt:variant>
        <vt:i4>0</vt:i4>
      </vt:variant>
      <vt:variant>
        <vt:i4>5</vt:i4>
      </vt:variant>
      <vt:variant>
        <vt:lpwstr>http://www.nevo.co.il/law/70301/413c</vt:lpwstr>
      </vt:variant>
      <vt:variant>
        <vt:lpwstr/>
      </vt:variant>
      <vt:variant>
        <vt:i4>7143547</vt:i4>
      </vt:variant>
      <vt:variant>
        <vt:i4>126</vt:i4>
      </vt:variant>
      <vt:variant>
        <vt:i4>0</vt:i4>
      </vt:variant>
      <vt:variant>
        <vt:i4>5</vt:i4>
      </vt:variant>
      <vt:variant>
        <vt:lpwstr>http://www.nevo.co.il/law/70301/340a.b.1.;340a.b.2</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4915283</vt:i4>
      </vt:variant>
      <vt:variant>
        <vt:i4>117</vt:i4>
      </vt:variant>
      <vt:variant>
        <vt:i4>0</vt:i4>
      </vt:variant>
      <vt:variant>
        <vt:i4>5</vt:i4>
      </vt:variant>
      <vt:variant>
        <vt:lpwstr>http://www.nevo.co.il/law/70301/402.b</vt:lpwstr>
      </vt:variant>
      <vt:variant>
        <vt:lpwstr/>
      </vt:variant>
      <vt:variant>
        <vt:i4>3211383</vt:i4>
      </vt:variant>
      <vt:variant>
        <vt:i4>114</vt:i4>
      </vt:variant>
      <vt:variant>
        <vt:i4>0</vt:i4>
      </vt:variant>
      <vt:variant>
        <vt:i4>5</vt:i4>
      </vt:variant>
      <vt:variant>
        <vt:lpwstr>http://www.nevo.co.il/case/26077242</vt:lpwstr>
      </vt:variant>
      <vt:variant>
        <vt:lpwstr/>
      </vt:variant>
      <vt:variant>
        <vt:i4>3473525</vt:i4>
      </vt:variant>
      <vt:variant>
        <vt:i4>111</vt:i4>
      </vt:variant>
      <vt:variant>
        <vt:i4>0</vt:i4>
      </vt:variant>
      <vt:variant>
        <vt:i4>5</vt:i4>
      </vt:variant>
      <vt:variant>
        <vt:lpwstr>http://www.nevo.co.il/case/26071069</vt:lpwstr>
      </vt:variant>
      <vt:variant>
        <vt:lpwstr/>
      </vt:variant>
      <vt:variant>
        <vt:i4>3997811</vt:i4>
      </vt:variant>
      <vt:variant>
        <vt:i4>108</vt:i4>
      </vt:variant>
      <vt:variant>
        <vt:i4>0</vt:i4>
      </vt:variant>
      <vt:variant>
        <vt:i4>5</vt:i4>
      </vt:variant>
      <vt:variant>
        <vt:lpwstr>http://www.nevo.co.il/case/25812356</vt:lpwstr>
      </vt:variant>
      <vt:variant>
        <vt:lpwstr/>
      </vt:variant>
      <vt:variant>
        <vt:i4>3997813</vt:i4>
      </vt:variant>
      <vt:variant>
        <vt:i4>105</vt:i4>
      </vt:variant>
      <vt:variant>
        <vt:i4>0</vt:i4>
      </vt:variant>
      <vt:variant>
        <vt:i4>5</vt:i4>
      </vt:variant>
      <vt:variant>
        <vt:lpwstr>http://www.nevo.co.il/case/21472799</vt:lpwstr>
      </vt:variant>
      <vt:variant>
        <vt:lpwstr/>
      </vt:variant>
      <vt:variant>
        <vt:i4>4063359</vt:i4>
      </vt:variant>
      <vt:variant>
        <vt:i4>102</vt:i4>
      </vt:variant>
      <vt:variant>
        <vt:i4>0</vt:i4>
      </vt:variant>
      <vt:variant>
        <vt:i4>5</vt:i4>
      </vt:variant>
      <vt:variant>
        <vt:lpwstr>http://www.nevo.co.il/case/5906249</vt:lpwstr>
      </vt:variant>
      <vt:variant>
        <vt:lpwstr/>
      </vt:variant>
      <vt:variant>
        <vt:i4>3604603</vt:i4>
      </vt:variant>
      <vt:variant>
        <vt:i4>99</vt:i4>
      </vt:variant>
      <vt:variant>
        <vt:i4>0</vt:i4>
      </vt:variant>
      <vt:variant>
        <vt:i4>5</vt:i4>
      </vt:variant>
      <vt:variant>
        <vt:lpwstr>http://www.nevo.co.il/case/25824898</vt:lpwstr>
      </vt:variant>
      <vt:variant>
        <vt:lpwstr/>
      </vt:variant>
      <vt:variant>
        <vt:i4>3211379</vt:i4>
      </vt:variant>
      <vt:variant>
        <vt:i4>96</vt:i4>
      </vt:variant>
      <vt:variant>
        <vt:i4>0</vt:i4>
      </vt:variant>
      <vt:variant>
        <vt:i4>5</vt:i4>
      </vt:variant>
      <vt:variant>
        <vt:lpwstr>http://www.nevo.co.il/case/5573417</vt:lpwstr>
      </vt:variant>
      <vt:variant>
        <vt:lpwstr/>
      </vt:variant>
      <vt:variant>
        <vt:i4>6553637</vt:i4>
      </vt:variant>
      <vt:variant>
        <vt:i4>93</vt:i4>
      </vt:variant>
      <vt:variant>
        <vt:i4>0</vt:i4>
      </vt:variant>
      <vt:variant>
        <vt:i4>5</vt:i4>
      </vt:variant>
      <vt:variant>
        <vt:lpwstr>http://www.nevo.co.il/law/70301/40jc.b</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3342455</vt:i4>
      </vt:variant>
      <vt:variant>
        <vt:i4>75</vt:i4>
      </vt:variant>
      <vt:variant>
        <vt:i4>0</vt:i4>
      </vt:variant>
      <vt:variant>
        <vt:i4>5</vt:i4>
      </vt:variant>
      <vt:variant>
        <vt:lpwstr>http://www.nevo.co.il/case/6243627</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7995492</vt:i4>
      </vt:variant>
      <vt:variant>
        <vt:i4>69</vt:i4>
      </vt:variant>
      <vt:variant>
        <vt:i4>0</vt:i4>
      </vt:variant>
      <vt:variant>
        <vt:i4>5</vt:i4>
      </vt:variant>
      <vt:variant>
        <vt:lpwstr>http://www.nevo.co.il/law/70301</vt:lpwstr>
      </vt:variant>
      <vt:variant>
        <vt:lpwstr/>
      </vt:variant>
      <vt:variant>
        <vt:i4>5439574</vt:i4>
      </vt:variant>
      <vt:variant>
        <vt:i4>66</vt:i4>
      </vt:variant>
      <vt:variant>
        <vt:i4>0</vt:i4>
      </vt:variant>
      <vt:variant>
        <vt:i4>5</vt:i4>
      </vt:variant>
      <vt:variant>
        <vt:lpwstr>http://www.nevo.co.il/law/70301/340a.b.1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4915283</vt:i4>
      </vt:variant>
      <vt:variant>
        <vt:i4>57</vt:i4>
      </vt:variant>
      <vt:variant>
        <vt:i4>0</vt:i4>
      </vt:variant>
      <vt:variant>
        <vt:i4>5</vt:i4>
      </vt:variant>
      <vt:variant>
        <vt:lpwstr>http://www.nevo.co.il/law/70301/402.b</vt:lpwstr>
      </vt:variant>
      <vt:variant>
        <vt:lpwstr/>
      </vt:variant>
      <vt:variant>
        <vt:i4>8323169</vt:i4>
      </vt:variant>
      <vt:variant>
        <vt:i4>54</vt:i4>
      </vt:variant>
      <vt:variant>
        <vt:i4>0</vt:i4>
      </vt:variant>
      <vt:variant>
        <vt:i4>5</vt:i4>
      </vt:variant>
      <vt:variant>
        <vt:lpwstr>http://www.nevo.co.il/law/74501/2.b</vt:lpwstr>
      </vt:variant>
      <vt:variant>
        <vt:lpwstr/>
      </vt:variant>
      <vt:variant>
        <vt:i4>8323169</vt:i4>
      </vt:variant>
      <vt:variant>
        <vt:i4>51</vt:i4>
      </vt:variant>
      <vt:variant>
        <vt:i4>0</vt:i4>
      </vt:variant>
      <vt:variant>
        <vt:i4>5</vt:i4>
      </vt:variant>
      <vt:variant>
        <vt:lpwstr>http://www.nevo.co.il/law/74501/2.a</vt:lpwstr>
      </vt:variant>
      <vt:variant>
        <vt:lpwstr/>
      </vt:variant>
      <vt:variant>
        <vt:i4>8257634</vt:i4>
      </vt:variant>
      <vt:variant>
        <vt:i4>48</vt:i4>
      </vt:variant>
      <vt:variant>
        <vt:i4>0</vt:i4>
      </vt:variant>
      <vt:variant>
        <vt:i4>5</vt:i4>
      </vt:variant>
      <vt:variant>
        <vt:lpwstr>http://www.nevo.co.il/law/74501</vt:lpwstr>
      </vt:variant>
      <vt:variant>
        <vt:lpwstr/>
      </vt:variant>
      <vt:variant>
        <vt:i4>6750330</vt:i4>
      </vt:variant>
      <vt:variant>
        <vt:i4>45</vt:i4>
      </vt:variant>
      <vt:variant>
        <vt:i4>0</vt:i4>
      </vt:variant>
      <vt:variant>
        <vt:i4>5</vt:i4>
      </vt:variant>
      <vt:variant>
        <vt:lpwstr>http://www.nevo.co.il/law/5227/62.1</vt:lpwstr>
      </vt:variant>
      <vt:variant>
        <vt:lpwstr/>
      </vt:variant>
      <vt:variant>
        <vt:i4>6422640</vt:i4>
      </vt:variant>
      <vt:variant>
        <vt:i4>42</vt:i4>
      </vt:variant>
      <vt:variant>
        <vt:i4>0</vt:i4>
      </vt:variant>
      <vt:variant>
        <vt:i4>5</vt:i4>
      </vt:variant>
      <vt:variant>
        <vt:lpwstr>http://www.nevo.co.il/law/5227/38.1</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8323175</vt:i4>
      </vt:variant>
      <vt:variant>
        <vt:i4>36</vt:i4>
      </vt:variant>
      <vt:variant>
        <vt:i4>0</vt:i4>
      </vt:variant>
      <vt:variant>
        <vt:i4>5</vt:i4>
      </vt:variant>
      <vt:variant>
        <vt:lpwstr>http://www.nevo.co.il/law/5227</vt:lpwstr>
      </vt:variant>
      <vt:variant>
        <vt:lpwstr/>
      </vt:variant>
      <vt:variant>
        <vt:i4>458834</vt:i4>
      </vt:variant>
      <vt:variant>
        <vt:i4>33</vt:i4>
      </vt:variant>
      <vt:variant>
        <vt:i4>0</vt:i4>
      </vt:variant>
      <vt:variant>
        <vt:i4>5</vt:i4>
      </vt:variant>
      <vt:variant>
        <vt:lpwstr>http://www.nevo.co.il/law/70301/413c</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מנסור</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20210217</vt:lpwstr>
  </property>
  <property fmtid="{D5CDD505-2E9C-101B-9397-08002B2CF9AE}" pid="13" name="TYPE_N_DATE">
    <vt:lpwstr>39020210217</vt:lpwstr>
  </property>
  <property fmtid="{D5CDD505-2E9C-101B-9397-08002B2CF9AE}" pid="14" name="WORDNUMPAGES">
    <vt:lpwstr>8</vt:lpwstr>
  </property>
  <property fmtid="{D5CDD505-2E9C-101B-9397-08002B2CF9AE}" pid="15" name="TYPE_ABS_DATE">
    <vt:lpwstr>390020210217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6243627;5573417;25824898;5906249;21472799;25812356;26071069;26077242;21473565</vt:lpwstr>
  </property>
  <property fmtid="{D5CDD505-2E9C-101B-9397-08002B2CF9AE}" pid="36" name="LAWLISTTMP1">
    <vt:lpwstr>70301/402.b:2;144.b:2;340a.b.1:2;040b;040c;040i;40jc.b;340a.b.2;413c;040d.a;144:2</vt:lpwstr>
  </property>
  <property fmtid="{D5CDD505-2E9C-101B-9397-08002B2CF9AE}" pid="37" name="LAWLISTTMP2">
    <vt:lpwstr>5227/010.a;062.1;038.1</vt:lpwstr>
  </property>
  <property fmtid="{D5CDD505-2E9C-101B-9397-08002B2CF9AE}" pid="38" name="LAWLISTTMP3">
    <vt:lpwstr>74501/002.a;002.b</vt:lpwstr>
  </property>
</Properties>
</file>