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3456"/>
        <w:gridCol w:w="315"/>
      </w:tblGrid>
      <w:tr w:rsidR="00E03000" w:rsidRPr="009B06B2" w14:paraId="2F16F601" w14:textId="77777777" w:rsidTr="001C5437">
        <w:trPr>
          <w:gridAfter w:val="1"/>
          <w:wAfter w:w="315" w:type="dxa"/>
          <w:trHeight w:hRule="exact" w:val="418"/>
          <w:jc w:val="center"/>
        </w:trPr>
        <w:tc>
          <w:tcPr>
            <w:tcW w:w="8505" w:type="dxa"/>
            <w:gridSpan w:val="3"/>
          </w:tcPr>
          <w:p w14:paraId="255E5606" w14:textId="77777777" w:rsidR="00E03000" w:rsidRPr="009B06B2" w:rsidRDefault="00E03000" w:rsidP="00C76E8B">
            <w:pPr>
              <w:pStyle w:val="a3"/>
              <w:jc w:val="center"/>
              <w:rPr>
                <w:rFonts w:ascii="Tahoma" w:hAnsi="Tahoma" w:cs="Tahoma"/>
                <w:color w:val="000080"/>
                <w:rtl/>
              </w:rPr>
            </w:pPr>
            <w:bookmarkStart w:id="0" w:name="LastJudge"/>
            <w:r w:rsidRPr="009B06B2">
              <w:rPr>
                <w:rFonts w:ascii="Tahoma" w:hAnsi="Tahoma" w:cs="Tahoma"/>
                <w:b/>
                <w:bCs/>
                <w:color w:val="000080"/>
                <w:rtl/>
              </w:rPr>
              <w:t>בית המשפט המחוזי בחיפה</w:t>
            </w:r>
          </w:p>
        </w:tc>
      </w:tr>
      <w:tr w:rsidR="00E03000" w:rsidRPr="009B06B2" w14:paraId="4FB86D7F" w14:textId="77777777" w:rsidTr="001C5437">
        <w:trPr>
          <w:gridAfter w:val="1"/>
          <w:wAfter w:w="315" w:type="dxa"/>
          <w:trHeight w:val="337"/>
          <w:jc w:val="center"/>
        </w:trPr>
        <w:tc>
          <w:tcPr>
            <w:tcW w:w="8505" w:type="dxa"/>
            <w:gridSpan w:val="3"/>
          </w:tcPr>
          <w:p w14:paraId="1EE84554" w14:textId="77777777" w:rsidR="00E03000" w:rsidRPr="009B06B2" w:rsidRDefault="00E03000" w:rsidP="00C76E8B">
            <w:pPr>
              <w:rPr>
                <w:rFonts w:ascii="David" w:hAnsi="David"/>
                <w:b/>
                <w:bCs/>
                <w:sz w:val="28"/>
                <w:szCs w:val="28"/>
                <w:rtl/>
              </w:rPr>
            </w:pPr>
            <w:r w:rsidRPr="009B06B2">
              <w:rPr>
                <w:rFonts w:ascii="David" w:hAnsi="David"/>
                <w:b/>
                <w:bCs/>
                <w:sz w:val="28"/>
                <w:szCs w:val="28"/>
                <w:rtl/>
              </w:rPr>
              <w:t>ת"פ 3429-07-20 מדינת ישראל נ' אגבאריה(עציר)</w:t>
            </w:r>
          </w:p>
        </w:tc>
      </w:tr>
      <w:tr w:rsidR="00E03000" w:rsidRPr="009B06B2" w14:paraId="76629634" w14:textId="77777777" w:rsidTr="001C54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4"/>
            <w:tcBorders>
              <w:top w:val="nil"/>
              <w:left w:val="nil"/>
              <w:bottom w:val="nil"/>
              <w:right w:val="nil"/>
            </w:tcBorders>
            <w:shd w:val="clear" w:color="auto" w:fill="auto"/>
          </w:tcPr>
          <w:p w14:paraId="714D9400" w14:textId="77777777" w:rsidR="00E03000" w:rsidRPr="009B06B2" w:rsidRDefault="00E03000" w:rsidP="00E03000">
            <w:pPr>
              <w:jc w:val="both"/>
              <w:rPr>
                <w:rFonts w:ascii="David" w:hAnsi="David"/>
                <w:b/>
                <w:bCs/>
                <w:sz w:val="26"/>
                <w:szCs w:val="26"/>
                <w:rtl/>
              </w:rPr>
            </w:pPr>
            <w:r w:rsidRPr="009B06B2">
              <w:rPr>
                <w:rFonts w:hint="cs"/>
                <w:rtl/>
              </w:rPr>
              <w:t xml:space="preserve"> </w:t>
            </w:r>
            <w:r w:rsidRPr="009B06B2">
              <w:rPr>
                <w:rFonts w:ascii="David" w:hAnsi="David"/>
                <w:b/>
                <w:bCs/>
                <w:sz w:val="26"/>
                <w:szCs w:val="26"/>
                <w:rtl/>
              </w:rPr>
              <w:t>בפני כבוד השופטת  גלית ציגלר</w:t>
            </w:r>
          </w:p>
          <w:p w14:paraId="4833AF4C" w14:textId="77777777" w:rsidR="00E03000" w:rsidRPr="009B06B2" w:rsidRDefault="00E03000" w:rsidP="00C76E8B">
            <w:pPr>
              <w:rPr>
                <w:rFonts w:ascii="David" w:hAnsi="David"/>
                <w:b/>
                <w:bCs/>
                <w:sz w:val="26"/>
                <w:szCs w:val="26"/>
                <w:rtl/>
              </w:rPr>
            </w:pPr>
          </w:p>
          <w:p w14:paraId="01D8D4A6" w14:textId="77777777" w:rsidR="00E03000" w:rsidRPr="009B06B2" w:rsidRDefault="00E03000" w:rsidP="00E03000">
            <w:pPr>
              <w:jc w:val="both"/>
              <w:rPr>
                <w:rFonts w:ascii="David" w:hAnsi="David"/>
                <w:b/>
                <w:bCs/>
                <w:sz w:val="26"/>
                <w:szCs w:val="26"/>
              </w:rPr>
            </w:pPr>
          </w:p>
        </w:tc>
      </w:tr>
      <w:tr w:rsidR="00E03000" w:rsidRPr="009B06B2" w14:paraId="6BDCDDD0" w14:textId="77777777" w:rsidTr="001C54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29480C" w14:textId="77777777" w:rsidR="00E03000" w:rsidRPr="009B06B2" w:rsidRDefault="00E03000" w:rsidP="00E03000">
            <w:pPr>
              <w:jc w:val="both"/>
              <w:rPr>
                <w:rFonts w:ascii="David" w:hAnsi="David"/>
                <w:b/>
                <w:bCs/>
                <w:sz w:val="26"/>
                <w:szCs w:val="26"/>
              </w:rPr>
            </w:pPr>
            <w:bookmarkStart w:id="1" w:name="FirstAppellant"/>
            <w:bookmarkStart w:id="2" w:name="FirstLawyer"/>
            <w:r w:rsidRPr="009B06B2">
              <w:rPr>
                <w:rFonts w:ascii="David" w:hAnsi="David"/>
                <w:b/>
                <w:bCs/>
                <w:sz w:val="26"/>
                <w:szCs w:val="26"/>
                <w:rtl/>
              </w:rPr>
              <w:t>בעניין:</w:t>
            </w:r>
          </w:p>
        </w:tc>
        <w:tc>
          <w:tcPr>
            <w:tcW w:w="4126" w:type="dxa"/>
            <w:tcBorders>
              <w:top w:val="nil"/>
              <w:left w:val="nil"/>
              <w:bottom w:val="nil"/>
              <w:right w:val="nil"/>
            </w:tcBorders>
            <w:shd w:val="clear" w:color="auto" w:fill="auto"/>
          </w:tcPr>
          <w:p w14:paraId="2DBDC835" w14:textId="77777777" w:rsidR="00E03000" w:rsidRPr="009B06B2" w:rsidRDefault="00E03000" w:rsidP="00C76E8B">
            <w:pPr>
              <w:rPr>
                <w:rFonts w:ascii="David" w:hAnsi="David"/>
                <w:b/>
                <w:bCs/>
                <w:sz w:val="26"/>
                <w:szCs w:val="26"/>
                <w:rtl/>
              </w:rPr>
            </w:pPr>
            <w:r w:rsidRPr="009B06B2">
              <w:rPr>
                <w:rFonts w:ascii="David" w:hAnsi="David"/>
                <w:b/>
                <w:bCs/>
                <w:sz w:val="26"/>
                <w:szCs w:val="26"/>
                <w:rtl/>
              </w:rPr>
              <w:t>מדינת ישראל</w:t>
            </w:r>
          </w:p>
          <w:p w14:paraId="64B6568B" w14:textId="77777777" w:rsidR="00E03000" w:rsidRPr="009B06B2" w:rsidRDefault="00E03000" w:rsidP="00C76E8B">
            <w:pPr>
              <w:rPr>
                <w:rFonts w:ascii="David" w:hAnsi="David"/>
                <w:rtl/>
              </w:rPr>
            </w:pPr>
            <w:r w:rsidRPr="009B06B2">
              <w:rPr>
                <w:rFonts w:ascii="David" w:hAnsi="David" w:hint="cs"/>
                <w:rtl/>
              </w:rPr>
              <w:t xml:space="preserve">באמצעות פרקליטות מחוז חיפה </w:t>
            </w:r>
            <w:r w:rsidRPr="009B06B2">
              <w:rPr>
                <w:rFonts w:ascii="David" w:hAnsi="David"/>
                <w:rtl/>
              </w:rPr>
              <w:t>–</w:t>
            </w:r>
            <w:r w:rsidRPr="009B06B2">
              <w:rPr>
                <w:rFonts w:ascii="David" w:hAnsi="David" w:hint="cs"/>
                <w:rtl/>
              </w:rPr>
              <w:t xml:space="preserve"> פלילי</w:t>
            </w:r>
          </w:p>
          <w:p w14:paraId="422302AA" w14:textId="77777777" w:rsidR="00E03000" w:rsidRPr="009B06B2" w:rsidRDefault="00E03000" w:rsidP="00C76E8B">
            <w:pPr>
              <w:rPr>
                <w:rFonts w:ascii="David" w:hAnsi="David"/>
                <w:sz w:val="26"/>
                <w:szCs w:val="26"/>
              </w:rPr>
            </w:pPr>
            <w:r w:rsidRPr="009B06B2">
              <w:rPr>
                <w:rFonts w:ascii="David" w:hAnsi="David" w:hint="cs"/>
                <w:rtl/>
              </w:rPr>
              <w:t>ע"י ב"כ עוה"ד סיוון קוסטר</w:t>
            </w:r>
          </w:p>
        </w:tc>
        <w:tc>
          <w:tcPr>
            <w:tcW w:w="3771" w:type="dxa"/>
            <w:gridSpan w:val="2"/>
            <w:tcBorders>
              <w:top w:val="nil"/>
              <w:left w:val="nil"/>
              <w:bottom w:val="nil"/>
              <w:right w:val="nil"/>
            </w:tcBorders>
            <w:shd w:val="clear" w:color="auto" w:fill="auto"/>
          </w:tcPr>
          <w:p w14:paraId="542A0A60" w14:textId="77777777" w:rsidR="00E03000" w:rsidRPr="009B06B2" w:rsidRDefault="00E03000" w:rsidP="00E03000">
            <w:pPr>
              <w:jc w:val="both"/>
              <w:rPr>
                <w:rFonts w:ascii="David" w:hAnsi="David"/>
                <w:b/>
                <w:bCs/>
                <w:sz w:val="26"/>
                <w:szCs w:val="26"/>
              </w:rPr>
            </w:pPr>
          </w:p>
        </w:tc>
      </w:tr>
      <w:bookmarkEnd w:id="1"/>
      <w:bookmarkEnd w:id="2"/>
      <w:tr w:rsidR="00E03000" w:rsidRPr="009B06B2" w14:paraId="74A47E73" w14:textId="77777777" w:rsidTr="001C54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3665B5" w14:textId="77777777" w:rsidR="00E03000" w:rsidRPr="009B06B2" w:rsidRDefault="00E03000" w:rsidP="00E03000">
            <w:pPr>
              <w:jc w:val="both"/>
              <w:rPr>
                <w:rFonts w:ascii="David" w:hAnsi="David"/>
                <w:b/>
                <w:bCs/>
                <w:sz w:val="26"/>
                <w:szCs w:val="26"/>
                <w:rtl/>
              </w:rPr>
            </w:pPr>
          </w:p>
        </w:tc>
        <w:tc>
          <w:tcPr>
            <w:tcW w:w="4126" w:type="dxa"/>
            <w:tcBorders>
              <w:top w:val="nil"/>
              <w:left w:val="nil"/>
              <w:bottom w:val="nil"/>
              <w:right w:val="nil"/>
            </w:tcBorders>
            <w:shd w:val="clear" w:color="auto" w:fill="auto"/>
          </w:tcPr>
          <w:p w14:paraId="28E88F05" w14:textId="77777777" w:rsidR="00E03000" w:rsidRPr="009B06B2" w:rsidRDefault="00E03000" w:rsidP="00E03000">
            <w:pPr>
              <w:jc w:val="both"/>
              <w:rPr>
                <w:rFonts w:ascii="David" w:hAnsi="David"/>
                <w:b/>
                <w:bCs/>
                <w:sz w:val="26"/>
                <w:szCs w:val="26"/>
                <w:rtl/>
              </w:rPr>
            </w:pPr>
          </w:p>
        </w:tc>
        <w:tc>
          <w:tcPr>
            <w:tcW w:w="3771" w:type="dxa"/>
            <w:gridSpan w:val="2"/>
            <w:tcBorders>
              <w:top w:val="nil"/>
              <w:left w:val="nil"/>
              <w:bottom w:val="nil"/>
              <w:right w:val="nil"/>
            </w:tcBorders>
            <w:shd w:val="clear" w:color="auto" w:fill="auto"/>
          </w:tcPr>
          <w:p w14:paraId="7CC38A7B" w14:textId="77777777" w:rsidR="00E03000" w:rsidRPr="009B06B2" w:rsidRDefault="00E03000" w:rsidP="00E03000">
            <w:pPr>
              <w:jc w:val="right"/>
              <w:rPr>
                <w:rFonts w:ascii="David" w:hAnsi="David"/>
                <w:b/>
                <w:bCs/>
                <w:sz w:val="26"/>
                <w:szCs w:val="26"/>
                <w:rtl/>
              </w:rPr>
            </w:pPr>
            <w:r w:rsidRPr="009B06B2">
              <w:rPr>
                <w:rFonts w:ascii="David" w:hAnsi="David"/>
                <w:b/>
                <w:bCs/>
                <w:sz w:val="26"/>
                <w:szCs w:val="26"/>
                <w:rtl/>
              </w:rPr>
              <w:t>המאשימה</w:t>
            </w:r>
          </w:p>
        </w:tc>
      </w:tr>
      <w:tr w:rsidR="00E03000" w:rsidRPr="009B06B2" w14:paraId="490FA7BF" w14:textId="77777777" w:rsidTr="001C54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940606" w14:textId="77777777" w:rsidR="00E03000" w:rsidRPr="009B06B2" w:rsidRDefault="00E03000" w:rsidP="00E03000">
            <w:pPr>
              <w:jc w:val="both"/>
              <w:rPr>
                <w:rFonts w:ascii="David" w:hAnsi="David"/>
                <w:b/>
                <w:bCs/>
                <w:sz w:val="26"/>
                <w:szCs w:val="26"/>
                <w:rtl/>
              </w:rPr>
            </w:pPr>
          </w:p>
        </w:tc>
        <w:tc>
          <w:tcPr>
            <w:tcW w:w="7897" w:type="dxa"/>
            <w:gridSpan w:val="3"/>
            <w:tcBorders>
              <w:top w:val="nil"/>
              <w:left w:val="nil"/>
              <w:bottom w:val="nil"/>
              <w:right w:val="nil"/>
            </w:tcBorders>
            <w:shd w:val="clear" w:color="auto" w:fill="auto"/>
          </w:tcPr>
          <w:p w14:paraId="7AB804F2" w14:textId="77777777" w:rsidR="00E03000" w:rsidRPr="009B06B2" w:rsidRDefault="00E03000" w:rsidP="00E03000">
            <w:pPr>
              <w:jc w:val="center"/>
              <w:rPr>
                <w:rFonts w:ascii="David" w:hAnsi="David"/>
                <w:b/>
                <w:bCs/>
                <w:sz w:val="26"/>
                <w:szCs w:val="26"/>
                <w:rtl/>
              </w:rPr>
            </w:pPr>
          </w:p>
          <w:p w14:paraId="00A29FEB" w14:textId="77777777" w:rsidR="00E03000" w:rsidRPr="009B06B2" w:rsidRDefault="00E03000" w:rsidP="00E03000">
            <w:pPr>
              <w:jc w:val="center"/>
              <w:rPr>
                <w:rFonts w:ascii="David" w:hAnsi="David"/>
                <w:b/>
                <w:bCs/>
                <w:sz w:val="26"/>
                <w:szCs w:val="26"/>
                <w:rtl/>
              </w:rPr>
            </w:pPr>
            <w:r w:rsidRPr="009B06B2">
              <w:rPr>
                <w:rFonts w:ascii="David" w:hAnsi="David"/>
                <w:b/>
                <w:bCs/>
                <w:sz w:val="26"/>
                <w:szCs w:val="26"/>
                <w:rtl/>
              </w:rPr>
              <w:t>נגד</w:t>
            </w:r>
          </w:p>
          <w:p w14:paraId="79DDB257" w14:textId="77777777" w:rsidR="00E03000" w:rsidRPr="009B06B2" w:rsidRDefault="00E03000" w:rsidP="00E03000">
            <w:pPr>
              <w:jc w:val="both"/>
              <w:rPr>
                <w:rFonts w:ascii="David" w:hAnsi="David"/>
                <w:b/>
                <w:bCs/>
                <w:sz w:val="26"/>
                <w:szCs w:val="26"/>
              </w:rPr>
            </w:pPr>
          </w:p>
        </w:tc>
      </w:tr>
      <w:tr w:rsidR="00E03000" w:rsidRPr="009B06B2" w14:paraId="1FA1BE50" w14:textId="77777777" w:rsidTr="001C54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A31E3A" w14:textId="77777777" w:rsidR="00E03000" w:rsidRPr="009B06B2" w:rsidRDefault="00E03000" w:rsidP="00C76E8B">
            <w:pPr>
              <w:rPr>
                <w:rFonts w:ascii="David" w:hAnsi="David"/>
                <w:b/>
                <w:bCs/>
                <w:sz w:val="26"/>
                <w:szCs w:val="26"/>
                <w:rtl/>
              </w:rPr>
            </w:pPr>
          </w:p>
        </w:tc>
        <w:tc>
          <w:tcPr>
            <w:tcW w:w="4126" w:type="dxa"/>
            <w:tcBorders>
              <w:top w:val="nil"/>
              <w:left w:val="nil"/>
              <w:bottom w:val="nil"/>
              <w:right w:val="nil"/>
            </w:tcBorders>
            <w:shd w:val="clear" w:color="auto" w:fill="auto"/>
          </w:tcPr>
          <w:p w14:paraId="24CBA117" w14:textId="77777777" w:rsidR="00E03000" w:rsidRPr="009B06B2" w:rsidRDefault="00E03000" w:rsidP="00C76E8B">
            <w:pPr>
              <w:rPr>
                <w:rFonts w:ascii="David" w:hAnsi="David"/>
                <w:b/>
                <w:bCs/>
                <w:sz w:val="26"/>
                <w:szCs w:val="26"/>
                <w:rtl/>
              </w:rPr>
            </w:pPr>
            <w:r w:rsidRPr="009B06B2">
              <w:rPr>
                <w:rFonts w:ascii="David" w:hAnsi="David"/>
                <w:b/>
                <w:bCs/>
                <w:sz w:val="26"/>
                <w:szCs w:val="26"/>
                <w:rtl/>
              </w:rPr>
              <w:t>קיס אגבאריה (עציר)</w:t>
            </w:r>
          </w:p>
          <w:p w14:paraId="32EFB950" w14:textId="77777777" w:rsidR="00E03000" w:rsidRPr="009B06B2" w:rsidRDefault="00E03000" w:rsidP="00C76E8B">
            <w:pPr>
              <w:rPr>
                <w:rFonts w:ascii="David" w:hAnsi="David"/>
                <w:sz w:val="26"/>
                <w:szCs w:val="26"/>
                <w:rtl/>
              </w:rPr>
            </w:pPr>
            <w:r w:rsidRPr="009B06B2">
              <w:rPr>
                <w:rFonts w:ascii="David" w:hAnsi="David" w:hint="cs"/>
                <w:rtl/>
              </w:rPr>
              <w:t>ע"י ב"כ עוה"ד יוסף סלימאן</w:t>
            </w:r>
          </w:p>
        </w:tc>
        <w:tc>
          <w:tcPr>
            <w:tcW w:w="3771" w:type="dxa"/>
            <w:gridSpan w:val="2"/>
            <w:tcBorders>
              <w:top w:val="nil"/>
              <w:left w:val="nil"/>
              <w:bottom w:val="nil"/>
              <w:right w:val="nil"/>
            </w:tcBorders>
            <w:shd w:val="clear" w:color="auto" w:fill="auto"/>
          </w:tcPr>
          <w:p w14:paraId="31A4F041" w14:textId="77777777" w:rsidR="00E03000" w:rsidRPr="009B06B2" w:rsidRDefault="00E03000" w:rsidP="00E03000">
            <w:pPr>
              <w:jc w:val="right"/>
              <w:rPr>
                <w:rFonts w:ascii="David" w:hAnsi="David"/>
                <w:b/>
                <w:bCs/>
                <w:sz w:val="26"/>
                <w:szCs w:val="26"/>
              </w:rPr>
            </w:pPr>
          </w:p>
        </w:tc>
      </w:tr>
      <w:tr w:rsidR="00E03000" w:rsidRPr="009B06B2" w14:paraId="6A812D62" w14:textId="77777777" w:rsidTr="001C54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0ECE98" w14:textId="77777777" w:rsidR="00E03000" w:rsidRPr="009B06B2" w:rsidRDefault="00E03000" w:rsidP="00E03000">
            <w:pPr>
              <w:jc w:val="both"/>
              <w:rPr>
                <w:rFonts w:ascii="David" w:hAnsi="David"/>
                <w:b/>
                <w:bCs/>
                <w:sz w:val="26"/>
                <w:szCs w:val="26"/>
                <w:rtl/>
              </w:rPr>
            </w:pPr>
          </w:p>
        </w:tc>
        <w:tc>
          <w:tcPr>
            <w:tcW w:w="4126" w:type="dxa"/>
            <w:tcBorders>
              <w:top w:val="nil"/>
              <w:left w:val="nil"/>
              <w:bottom w:val="nil"/>
              <w:right w:val="nil"/>
            </w:tcBorders>
            <w:shd w:val="clear" w:color="auto" w:fill="auto"/>
          </w:tcPr>
          <w:p w14:paraId="2218544B" w14:textId="77777777" w:rsidR="00E03000" w:rsidRPr="009B06B2" w:rsidRDefault="00E03000" w:rsidP="00E03000">
            <w:pPr>
              <w:jc w:val="both"/>
              <w:rPr>
                <w:rFonts w:ascii="David" w:hAnsi="David"/>
                <w:b/>
                <w:bCs/>
                <w:sz w:val="26"/>
                <w:szCs w:val="26"/>
                <w:rtl/>
              </w:rPr>
            </w:pPr>
          </w:p>
        </w:tc>
        <w:tc>
          <w:tcPr>
            <w:tcW w:w="3771" w:type="dxa"/>
            <w:gridSpan w:val="2"/>
            <w:tcBorders>
              <w:top w:val="nil"/>
              <w:left w:val="nil"/>
              <w:bottom w:val="nil"/>
              <w:right w:val="nil"/>
            </w:tcBorders>
            <w:shd w:val="clear" w:color="auto" w:fill="auto"/>
          </w:tcPr>
          <w:p w14:paraId="1A668822" w14:textId="77777777" w:rsidR="00E03000" w:rsidRPr="009B06B2" w:rsidRDefault="00E03000" w:rsidP="00E03000">
            <w:pPr>
              <w:jc w:val="right"/>
              <w:rPr>
                <w:rFonts w:ascii="David" w:hAnsi="David"/>
                <w:b/>
                <w:bCs/>
                <w:sz w:val="26"/>
                <w:szCs w:val="26"/>
              </w:rPr>
            </w:pPr>
            <w:r w:rsidRPr="009B06B2">
              <w:rPr>
                <w:rFonts w:ascii="David" w:hAnsi="David"/>
                <w:b/>
                <w:bCs/>
                <w:sz w:val="26"/>
                <w:szCs w:val="26"/>
                <w:rtl/>
              </w:rPr>
              <w:t>הנאשם</w:t>
            </w:r>
          </w:p>
        </w:tc>
      </w:tr>
    </w:tbl>
    <w:p w14:paraId="78B6E8CE" w14:textId="77777777" w:rsidR="001C5437" w:rsidRDefault="001C5437" w:rsidP="009B06B2">
      <w:pPr>
        <w:rPr>
          <w:rFonts w:ascii="David" w:hAnsi="David"/>
          <w:sz w:val="26"/>
          <w:szCs w:val="26"/>
          <w:rtl/>
        </w:rPr>
      </w:pPr>
    </w:p>
    <w:p w14:paraId="1C0E2FBC" w14:textId="77777777" w:rsidR="001C5437" w:rsidRPr="001C5437" w:rsidRDefault="001C5437" w:rsidP="001C5437">
      <w:pPr>
        <w:spacing w:after="120" w:line="240" w:lineRule="exact"/>
        <w:ind w:left="283" w:hanging="283"/>
        <w:jc w:val="both"/>
        <w:rPr>
          <w:rFonts w:ascii="FrankRuehl" w:hAnsi="FrankRuehl" w:cs="FrankRuehl"/>
          <w:rtl/>
        </w:rPr>
      </w:pPr>
    </w:p>
    <w:p w14:paraId="6749ED60" w14:textId="77777777" w:rsidR="00CA0C9C" w:rsidRDefault="00CA0C9C" w:rsidP="00CA0C9C">
      <w:pPr>
        <w:rPr>
          <w:rFonts w:ascii="David" w:hAnsi="David"/>
          <w:sz w:val="26"/>
          <w:szCs w:val="26"/>
          <w:rtl/>
        </w:rPr>
      </w:pPr>
      <w:bookmarkStart w:id="3" w:name="LawTable"/>
      <w:bookmarkEnd w:id="3"/>
    </w:p>
    <w:p w14:paraId="1A2470EA" w14:textId="77777777" w:rsidR="00CA0C9C" w:rsidRPr="00CA0C9C" w:rsidRDefault="00CA0C9C" w:rsidP="00CA0C9C">
      <w:pPr>
        <w:spacing w:before="120" w:after="120" w:line="240" w:lineRule="exact"/>
        <w:ind w:left="283" w:hanging="283"/>
        <w:jc w:val="both"/>
        <w:rPr>
          <w:rFonts w:ascii="FrankRuehl" w:hAnsi="FrankRuehl" w:cs="FrankRuehl"/>
          <w:rtl/>
        </w:rPr>
      </w:pPr>
    </w:p>
    <w:p w14:paraId="030C9036" w14:textId="77777777" w:rsidR="00CA0C9C" w:rsidRPr="00CA0C9C" w:rsidRDefault="00CA0C9C" w:rsidP="00CA0C9C">
      <w:pPr>
        <w:spacing w:before="120" w:after="120" w:line="240" w:lineRule="exact"/>
        <w:ind w:left="283" w:hanging="283"/>
        <w:jc w:val="both"/>
        <w:rPr>
          <w:rFonts w:ascii="FrankRuehl" w:hAnsi="FrankRuehl" w:cs="FrankRuehl"/>
          <w:rtl/>
        </w:rPr>
      </w:pPr>
    </w:p>
    <w:p w14:paraId="14051ADF" w14:textId="77777777" w:rsidR="00CA0C9C" w:rsidRPr="00CA0C9C" w:rsidRDefault="00CA0C9C" w:rsidP="00CA0C9C">
      <w:pPr>
        <w:spacing w:before="120" w:after="120" w:line="240" w:lineRule="exact"/>
        <w:ind w:left="283" w:hanging="283"/>
        <w:jc w:val="both"/>
        <w:rPr>
          <w:rFonts w:ascii="FrankRuehl" w:hAnsi="FrankRuehl" w:cs="FrankRuehl"/>
          <w:rtl/>
        </w:rPr>
      </w:pPr>
      <w:r w:rsidRPr="00CA0C9C">
        <w:rPr>
          <w:rFonts w:ascii="FrankRuehl" w:hAnsi="FrankRuehl" w:cs="FrankRuehl"/>
          <w:rtl/>
        </w:rPr>
        <w:t xml:space="preserve">חקיקה שאוזכרה: </w:t>
      </w:r>
    </w:p>
    <w:p w14:paraId="22E499C8" w14:textId="77777777" w:rsidR="00CA0C9C" w:rsidRPr="00CA0C9C" w:rsidRDefault="00CA0C9C" w:rsidP="00CA0C9C">
      <w:pPr>
        <w:spacing w:before="120" w:after="120" w:line="240" w:lineRule="exact"/>
        <w:ind w:left="283" w:hanging="283"/>
        <w:jc w:val="both"/>
        <w:rPr>
          <w:rFonts w:ascii="FrankRuehl" w:hAnsi="FrankRuehl" w:cs="FrankRuehl"/>
          <w:rtl/>
        </w:rPr>
      </w:pPr>
      <w:hyperlink r:id="rId7" w:history="1">
        <w:r w:rsidRPr="00CA0C9C">
          <w:rPr>
            <w:rFonts w:ascii="FrankRuehl" w:hAnsi="FrankRuehl" w:cs="FrankRuehl"/>
            <w:color w:val="0000FF"/>
            <w:rtl/>
          </w:rPr>
          <w:t>חוק העונשין, תשל"ז-1977</w:t>
        </w:r>
      </w:hyperlink>
      <w:r w:rsidRPr="00CA0C9C">
        <w:rPr>
          <w:rFonts w:ascii="FrankRuehl" w:hAnsi="FrankRuehl" w:cs="FrankRuehl"/>
          <w:rtl/>
        </w:rPr>
        <w:t xml:space="preserve">: סע'  </w:t>
      </w:r>
      <w:hyperlink r:id="rId8" w:history="1">
        <w:r w:rsidRPr="00CA0C9C">
          <w:rPr>
            <w:rFonts w:ascii="FrankRuehl" w:hAnsi="FrankRuehl" w:cs="FrankRuehl"/>
            <w:color w:val="0000FF"/>
            <w:rtl/>
          </w:rPr>
          <w:t>40ד'</w:t>
        </w:r>
      </w:hyperlink>
      <w:r w:rsidRPr="00CA0C9C">
        <w:rPr>
          <w:rFonts w:ascii="FrankRuehl" w:hAnsi="FrankRuehl" w:cs="FrankRuehl"/>
          <w:rtl/>
        </w:rPr>
        <w:t xml:space="preserve">, </w:t>
      </w:r>
      <w:hyperlink r:id="rId9" w:history="1">
        <w:r w:rsidRPr="00CA0C9C">
          <w:rPr>
            <w:rFonts w:ascii="FrankRuehl" w:hAnsi="FrankRuehl" w:cs="FrankRuehl"/>
            <w:color w:val="0000FF"/>
            <w:rtl/>
          </w:rPr>
          <w:t>40ט'</w:t>
        </w:r>
      </w:hyperlink>
      <w:r w:rsidRPr="00CA0C9C">
        <w:rPr>
          <w:rFonts w:ascii="FrankRuehl" w:hAnsi="FrankRuehl" w:cs="FrankRuehl"/>
          <w:rtl/>
        </w:rPr>
        <w:t xml:space="preserve">, </w:t>
      </w:r>
      <w:hyperlink r:id="rId10" w:history="1">
        <w:r w:rsidRPr="00CA0C9C">
          <w:rPr>
            <w:rFonts w:ascii="FrankRuehl" w:hAnsi="FrankRuehl" w:cs="FrankRuehl"/>
            <w:color w:val="0000FF"/>
            <w:rtl/>
          </w:rPr>
          <w:t>144(א)</w:t>
        </w:r>
      </w:hyperlink>
      <w:r w:rsidRPr="00CA0C9C">
        <w:rPr>
          <w:rFonts w:ascii="FrankRuehl" w:hAnsi="FrankRuehl" w:cs="FrankRuehl"/>
          <w:rtl/>
        </w:rPr>
        <w:t xml:space="preserve">, </w:t>
      </w:r>
      <w:hyperlink r:id="rId11" w:history="1">
        <w:r w:rsidRPr="00CA0C9C">
          <w:rPr>
            <w:rFonts w:ascii="FrankRuehl" w:hAnsi="FrankRuehl" w:cs="FrankRuehl"/>
            <w:color w:val="0000FF"/>
            <w:rtl/>
          </w:rPr>
          <w:t>144(ב)</w:t>
        </w:r>
      </w:hyperlink>
      <w:r w:rsidRPr="00CA0C9C">
        <w:rPr>
          <w:rFonts w:ascii="FrankRuehl" w:hAnsi="FrankRuehl" w:cs="FrankRuehl"/>
          <w:rtl/>
        </w:rPr>
        <w:t xml:space="preserve">, </w:t>
      </w:r>
      <w:hyperlink r:id="rId12" w:history="1">
        <w:r w:rsidRPr="00CA0C9C">
          <w:rPr>
            <w:rFonts w:ascii="FrankRuehl" w:hAnsi="FrankRuehl" w:cs="FrankRuehl"/>
            <w:color w:val="0000FF"/>
            <w:rtl/>
          </w:rPr>
          <w:t>144(ג)</w:t>
        </w:r>
      </w:hyperlink>
      <w:r w:rsidRPr="00CA0C9C">
        <w:rPr>
          <w:rFonts w:ascii="FrankRuehl" w:hAnsi="FrankRuehl" w:cs="FrankRuehl"/>
          <w:rtl/>
        </w:rPr>
        <w:t xml:space="preserve">, </w:t>
      </w:r>
      <w:hyperlink r:id="rId13" w:history="1">
        <w:r w:rsidRPr="00CA0C9C">
          <w:rPr>
            <w:rFonts w:ascii="FrankRuehl" w:hAnsi="FrankRuehl" w:cs="FrankRuehl"/>
            <w:color w:val="0000FF"/>
            <w:rtl/>
          </w:rPr>
          <w:t>186 (א)</w:t>
        </w:r>
      </w:hyperlink>
      <w:r w:rsidRPr="00CA0C9C">
        <w:rPr>
          <w:rFonts w:ascii="FrankRuehl" w:hAnsi="FrankRuehl" w:cs="FrankRuehl"/>
          <w:rtl/>
        </w:rPr>
        <w:t xml:space="preserve">, </w:t>
      </w:r>
      <w:hyperlink r:id="rId14" w:history="1">
        <w:r w:rsidRPr="00CA0C9C">
          <w:rPr>
            <w:rFonts w:ascii="FrankRuehl" w:hAnsi="FrankRuehl" w:cs="FrankRuehl"/>
            <w:color w:val="0000FF"/>
            <w:rtl/>
          </w:rPr>
          <w:t>192</w:t>
        </w:r>
      </w:hyperlink>
      <w:r w:rsidRPr="00CA0C9C">
        <w:rPr>
          <w:rFonts w:ascii="FrankRuehl" w:hAnsi="FrankRuehl" w:cs="FrankRuehl"/>
          <w:rtl/>
        </w:rPr>
        <w:t xml:space="preserve">, </w:t>
      </w:r>
      <w:hyperlink r:id="rId15" w:history="1">
        <w:r w:rsidRPr="00CA0C9C">
          <w:rPr>
            <w:rFonts w:ascii="FrankRuehl" w:hAnsi="FrankRuehl" w:cs="FrankRuehl"/>
            <w:color w:val="0000FF"/>
            <w:rtl/>
          </w:rPr>
          <w:t>329</w:t>
        </w:r>
      </w:hyperlink>
      <w:r w:rsidRPr="00CA0C9C">
        <w:rPr>
          <w:rFonts w:ascii="FrankRuehl" w:hAnsi="FrankRuehl" w:cs="FrankRuehl"/>
          <w:rtl/>
        </w:rPr>
        <w:t xml:space="preserve">, </w:t>
      </w:r>
      <w:hyperlink r:id="rId16" w:history="1">
        <w:r w:rsidRPr="00CA0C9C">
          <w:rPr>
            <w:rFonts w:ascii="FrankRuehl" w:hAnsi="FrankRuehl" w:cs="FrankRuehl"/>
            <w:color w:val="0000FF"/>
            <w:rtl/>
          </w:rPr>
          <w:t>329(א)</w:t>
        </w:r>
      </w:hyperlink>
      <w:r w:rsidRPr="00CA0C9C">
        <w:rPr>
          <w:rFonts w:ascii="FrankRuehl" w:hAnsi="FrankRuehl" w:cs="FrankRuehl"/>
          <w:rtl/>
        </w:rPr>
        <w:t xml:space="preserve">, </w:t>
      </w:r>
      <w:hyperlink r:id="rId17" w:history="1">
        <w:r w:rsidRPr="00CA0C9C">
          <w:rPr>
            <w:rFonts w:ascii="FrankRuehl" w:hAnsi="FrankRuehl" w:cs="FrankRuehl"/>
            <w:color w:val="0000FF"/>
            <w:rtl/>
          </w:rPr>
          <w:t>333</w:t>
        </w:r>
      </w:hyperlink>
      <w:r w:rsidRPr="00CA0C9C">
        <w:rPr>
          <w:rFonts w:ascii="FrankRuehl" w:hAnsi="FrankRuehl" w:cs="FrankRuehl"/>
          <w:rtl/>
        </w:rPr>
        <w:t xml:space="preserve">, </w:t>
      </w:r>
      <w:hyperlink r:id="rId18" w:history="1">
        <w:r w:rsidRPr="00CA0C9C">
          <w:rPr>
            <w:rFonts w:ascii="FrankRuehl" w:hAnsi="FrankRuehl" w:cs="FrankRuehl"/>
            <w:color w:val="0000FF"/>
            <w:rtl/>
          </w:rPr>
          <w:t>334</w:t>
        </w:r>
      </w:hyperlink>
      <w:r w:rsidRPr="00CA0C9C">
        <w:rPr>
          <w:rFonts w:ascii="FrankRuehl" w:hAnsi="FrankRuehl" w:cs="FrankRuehl"/>
          <w:rtl/>
        </w:rPr>
        <w:t xml:space="preserve">, </w:t>
      </w:r>
      <w:hyperlink r:id="rId19" w:history="1">
        <w:r w:rsidRPr="00CA0C9C">
          <w:rPr>
            <w:rFonts w:ascii="FrankRuehl" w:hAnsi="FrankRuehl" w:cs="FrankRuehl"/>
            <w:color w:val="0000FF"/>
            <w:rtl/>
          </w:rPr>
          <w:t>335(א)(1)</w:t>
        </w:r>
      </w:hyperlink>
      <w:r w:rsidRPr="00CA0C9C">
        <w:rPr>
          <w:rFonts w:ascii="FrankRuehl" w:hAnsi="FrankRuehl" w:cs="FrankRuehl"/>
          <w:rtl/>
        </w:rPr>
        <w:t xml:space="preserve">, </w:t>
      </w:r>
      <w:hyperlink r:id="rId20" w:history="1">
        <w:r w:rsidRPr="00CA0C9C">
          <w:rPr>
            <w:rFonts w:ascii="FrankRuehl" w:hAnsi="FrankRuehl" w:cs="FrankRuehl"/>
            <w:color w:val="0000FF"/>
            <w:rtl/>
          </w:rPr>
          <w:t>340.א.ב.2</w:t>
        </w:r>
      </w:hyperlink>
      <w:r w:rsidRPr="00CA0C9C">
        <w:rPr>
          <w:rFonts w:ascii="FrankRuehl" w:hAnsi="FrankRuehl" w:cs="FrankRuehl"/>
          <w:rtl/>
        </w:rPr>
        <w:t xml:space="preserve">, </w:t>
      </w:r>
      <w:hyperlink r:id="rId21" w:history="1">
        <w:r w:rsidRPr="00CA0C9C">
          <w:rPr>
            <w:rFonts w:ascii="FrankRuehl" w:hAnsi="FrankRuehl" w:cs="FrankRuehl"/>
            <w:color w:val="0000FF"/>
            <w:rtl/>
          </w:rPr>
          <w:t>340א.ב.1.</w:t>
        </w:r>
      </w:hyperlink>
      <w:r w:rsidRPr="00CA0C9C">
        <w:rPr>
          <w:rFonts w:ascii="FrankRuehl" w:hAnsi="FrankRuehl" w:cs="FrankRuehl"/>
          <w:rtl/>
        </w:rPr>
        <w:t xml:space="preserve">, </w:t>
      </w:r>
      <w:hyperlink r:id="rId22" w:history="1">
        <w:r w:rsidRPr="00CA0C9C">
          <w:rPr>
            <w:rFonts w:ascii="FrankRuehl" w:hAnsi="FrankRuehl" w:cs="FrankRuehl"/>
            <w:color w:val="0000FF"/>
            <w:rtl/>
          </w:rPr>
          <w:t>40יא'</w:t>
        </w:r>
      </w:hyperlink>
    </w:p>
    <w:p w14:paraId="36EC640D" w14:textId="77777777" w:rsidR="00CA0C9C" w:rsidRPr="00CA0C9C" w:rsidRDefault="00CA0C9C" w:rsidP="00CA0C9C">
      <w:pPr>
        <w:rPr>
          <w:rFonts w:ascii="David" w:hAnsi="David"/>
          <w:sz w:val="26"/>
          <w:szCs w:val="26"/>
          <w:rtl/>
        </w:rPr>
      </w:pPr>
      <w:bookmarkStart w:id="4" w:name="LawTable_End"/>
      <w:bookmarkEnd w:id="4"/>
    </w:p>
    <w:p w14:paraId="25C70AC2" w14:textId="77777777" w:rsidR="00E03000" w:rsidRPr="009B06B2" w:rsidRDefault="00E03000" w:rsidP="00E03000">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3000" w:rsidRPr="004E0A41" w14:paraId="7B723368" w14:textId="77777777" w:rsidTr="00E03000">
        <w:trPr>
          <w:trHeight w:val="355"/>
          <w:jc w:val="center"/>
        </w:trPr>
        <w:tc>
          <w:tcPr>
            <w:tcW w:w="8820" w:type="dxa"/>
            <w:tcBorders>
              <w:top w:val="nil"/>
              <w:left w:val="nil"/>
              <w:bottom w:val="nil"/>
              <w:right w:val="nil"/>
            </w:tcBorders>
            <w:shd w:val="clear" w:color="auto" w:fill="auto"/>
          </w:tcPr>
          <w:p w14:paraId="5FF48B9E" w14:textId="77777777" w:rsidR="009B06B2" w:rsidRPr="009B06B2" w:rsidRDefault="009B06B2" w:rsidP="009B06B2">
            <w:pPr>
              <w:jc w:val="center"/>
              <w:rPr>
                <w:rFonts w:ascii="David" w:hAnsi="David"/>
                <w:b/>
                <w:bCs/>
                <w:sz w:val="32"/>
                <w:szCs w:val="32"/>
                <w:u w:val="single"/>
                <w:rtl/>
              </w:rPr>
            </w:pPr>
            <w:bookmarkStart w:id="5" w:name="PsakDin" w:colFirst="0" w:colLast="0"/>
            <w:bookmarkEnd w:id="0"/>
            <w:r w:rsidRPr="009B06B2">
              <w:rPr>
                <w:rFonts w:ascii="David" w:hAnsi="David"/>
                <w:b/>
                <w:bCs/>
                <w:sz w:val="32"/>
                <w:szCs w:val="32"/>
                <w:u w:val="single"/>
                <w:rtl/>
              </w:rPr>
              <w:t>גזר דין</w:t>
            </w:r>
          </w:p>
          <w:p w14:paraId="439D0FC1" w14:textId="77777777" w:rsidR="00E03000" w:rsidRPr="009B06B2" w:rsidRDefault="00E03000" w:rsidP="009B06B2">
            <w:pPr>
              <w:jc w:val="center"/>
              <w:rPr>
                <w:rFonts w:ascii="David" w:hAnsi="David"/>
                <w:bCs/>
                <w:sz w:val="32"/>
                <w:szCs w:val="32"/>
                <w:u w:val="single"/>
                <w:rtl/>
              </w:rPr>
            </w:pPr>
          </w:p>
        </w:tc>
      </w:tr>
      <w:bookmarkEnd w:id="5"/>
    </w:tbl>
    <w:p w14:paraId="672B03E1" w14:textId="77777777" w:rsidR="00E03000" w:rsidRPr="004E0A41" w:rsidRDefault="00E03000" w:rsidP="00E03000">
      <w:pPr>
        <w:rPr>
          <w:rFonts w:ascii="David" w:hAnsi="David"/>
          <w:sz w:val="26"/>
          <w:szCs w:val="26"/>
          <w:rtl/>
        </w:rPr>
      </w:pPr>
    </w:p>
    <w:p w14:paraId="7840CC8A" w14:textId="77777777" w:rsidR="00E03000" w:rsidRPr="004E0A41" w:rsidRDefault="00E03000" w:rsidP="00E03000">
      <w:pPr>
        <w:spacing w:line="360" w:lineRule="auto"/>
        <w:ind w:firstLine="720"/>
        <w:jc w:val="both"/>
        <w:rPr>
          <w:rFonts w:ascii="David" w:hAnsi="David"/>
          <w:b/>
          <w:bCs/>
          <w:u w:val="single"/>
        </w:rPr>
      </w:pPr>
      <w:r w:rsidRPr="004E0A41">
        <w:rPr>
          <w:rFonts w:ascii="David" w:hAnsi="David"/>
          <w:b/>
          <w:bCs/>
          <w:u w:val="single"/>
          <w:rtl/>
        </w:rPr>
        <w:t>כללי</w:t>
      </w:r>
    </w:p>
    <w:p w14:paraId="68F3C95C" w14:textId="77777777" w:rsidR="00E03000" w:rsidRPr="004E0A41" w:rsidRDefault="00E03000" w:rsidP="00E03000">
      <w:pPr>
        <w:pStyle w:val="a9"/>
        <w:numPr>
          <w:ilvl w:val="0"/>
          <w:numId w:val="1"/>
        </w:numPr>
        <w:spacing w:line="360" w:lineRule="auto"/>
        <w:jc w:val="both"/>
        <w:rPr>
          <w:rFonts w:ascii="David" w:hAnsi="David" w:cs="David"/>
          <w:sz w:val="24"/>
          <w:szCs w:val="24"/>
          <w:rtl/>
        </w:rPr>
      </w:pPr>
      <w:bookmarkStart w:id="6" w:name="ABSTRACT_START"/>
      <w:bookmarkEnd w:id="6"/>
      <w:r w:rsidRPr="004E0A41">
        <w:rPr>
          <w:rFonts w:ascii="David" w:hAnsi="David" w:cs="David"/>
          <w:sz w:val="24"/>
          <w:szCs w:val="24"/>
          <w:rtl/>
        </w:rPr>
        <w:t xml:space="preserve">הנאשם יליד 1995, הורשע על פי הודאתו, בעובדות כתב אישום מתוקן בעבירות של חבלה חמורה בנסיבות מחמירות, לפי </w:t>
      </w:r>
      <w:hyperlink r:id="rId23" w:history="1">
        <w:r w:rsidR="001C5437" w:rsidRPr="001C5437">
          <w:rPr>
            <w:rStyle w:val="Hyperlink"/>
            <w:rFonts w:ascii="David" w:hAnsi="David" w:cs="David"/>
            <w:sz w:val="24"/>
            <w:szCs w:val="24"/>
            <w:rtl/>
          </w:rPr>
          <w:t>סעיפים 333</w:t>
        </w:r>
      </w:hyperlink>
      <w:r w:rsidRPr="004E0A41">
        <w:rPr>
          <w:rFonts w:ascii="David" w:hAnsi="David" w:cs="David"/>
          <w:sz w:val="24"/>
          <w:szCs w:val="24"/>
          <w:rtl/>
        </w:rPr>
        <w:t xml:space="preserve"> ו- </w:t>
      </w:r>
      <w:hyperlink r:id="rId24" w:history="1">
        <w:r w:rsidR="001C5437" w:rsidRPr="001C5437">
          <w:rPr>
            <w:rStyle w:val="Hyperlink"/>
            <w:rFonts w:ascii="David" w:hAnsi="David" w:cs="David"/>
            <w:sz w:val="24"/>
            <w:szCs w:val="24"/>
            <w:rtl/>
          </w:rPr>
          <w:t>335(א)(1)</w:t>
        </w:r>
      </w:hyperlink>
      <w:r w:rsidRPr="004E0A41">
        <w:rPr>
          <w:rFonts w:ascii="David" w:hAnsi="David" w:cs="David"/>
          <w:sz w:val="24"/>
          <w:szCs w:val="24"/>
          <w:rtl/>
        </w:rPr>
        <w:t xml:space="preserve"> ל</w:t>
      </w:r>
      <w:hyperlink r:id="rId25" w:history="1">
        <w:r w:rsidR="009B06B2" w:rsidRPr="009B06B2">
          <w:rPr>
            <w:rFonts w:ascii="David" w:hAnsi="David" w:cs="David"/>
            <w:color w:val="0000FF"/>
            <w:sz w:val="24"/>
            <w:szCs w:val="24"/>
            <w:u w:val="single"/>
            <w:rtl/>
          </w:rPr>
          <w:t>חוק העונשין</w:t>
        </w:r>
      </w:hyperlink>
      <w:r w:rsidRPr="004E0A41">
        <w:rPr>
          <w:rFonts w:ascii="David" w:hAnsi="David" w:cs="David"/>
          <w:sz w:val="24"/>
          <w:szCs w:val="24"/>
          <w:rtl/>
        </w:rPr>
        <w:t>, התשל"ז-1977 (להלן: "</w:t>
      </w:r>
      <w:r w:rsidRPr="00563C2A">
        <w:rPr>
          <w:rFonts w:ascii="David" w:hAnsi="David" w:cs="David"/>
          <w:b/>
          <w:bCs/>
          <w:sz w:val="24"/>
          <w:szCs w:val="24"/>
          <w:rtl/>
        </w:rPr>
        <w:t>החוק</w:t>
      </w:r>
      <w:r w:rsidRPr="004E0A41">
        <w:rPr>
          <w:rFonts w:ascii="David" w:hAnsi="David" w:cs="David"/>
          <w:sz w:val="24"/>
          <w:szCs w:val="24"/>
          <w:rtl/>
        </w:rPr>
        <w:t xml:space="preserve">"), עבירות בנשק (נשיאה והובלה) לפי </w:t>
      </w:r>
      <w:hyperlink r:id="rId26" w:history="1">
        <w:r w:rsidR="001C5437" w:rsidRPr="001C5437">
          <w:rPr>
            <w:rStyle w:val="Hyperlink"/>
            <w:rFonts w:ascii="David" w:hAnsi="David" w:cs="David"/>
            <w:sz w:val="24"/>
            <w:szCs w:val="24"/>
            <w:rtl/>
          </w:rPr>
          <w:t>סעיפים 144(ב)</w:t>
        </w:r>
      </w:hyperlink>
      <w:r w:rsidRPr="004E0A41">
        <w:rPr>
          <w:rFonts w:ascii="David" w:hAnsi="David" w:cs="David"/>
          <w:sz w:val="24"/>
          <w:szCs w:val="24"/>
          <w:rtl/>
        </w:rPr>
        <w:t xml:space="preserve"> רישא וסיפא +</w:t>
      </w:r>
      <w:r>
        <w:rPr>
          <w:rFonts w:ascii="David" w:hAnsi="David" w:cs="David" w:hint="cs"/>
          <w:sz w:val="24"/>
          <w:szCs w:val="24"/>
          <w:rtl/>
        </w:rPr>
        <w:t xml:space="preserve"> </w:t>
      </w:r>
      <w:hyperlink r:id="rId27" w:history="1">
        <w:r w:rsidR="001C5437" w:rsidRPr="001C5437">
          <w:rPr>
            <w:rStyle w:val="Hyperlink"/>
            <w:rFonts w:ascii="David" w:hAnsi="David" w:cs="David"/>
            <w:sz w:val="24"/>
            <w:szCs w:val="24"/>
            <w:rtl/>
          </w:rPr>
          <w:t>סעיף 144(ג)</w:t>
        </w:r>
      </w:hyperlink>
      <w:r w:rsidRPr="004E0A41">
        <w:rPr>
          <w:rFonts w:ascii="David" w:hAnsi="David" w:cs="David"/>
          <w:sz w:val="24"/>
          <w:szCs w:val="24"/>
          <w:rtl/>
        </w:rPr>
        <w:t xml:space="preserve"> לחוק ועבירה של ירי מנשק חם באזור מגורים לפי </w:t>
      </w:r>
      <w:hyperlink r:id="rId28" w:history="1">
        <w:r w:rsidR="001C5437" w:rsidRPr="001C5437">
          <w:rPr>
            <w:rStyle w:val="Hyperlink"/>
            <w:rFonts w:ascii="David" w:hAnsi="David" w:cs="David"/>
            <w:sz w:val="24"/>
            <w:szCs w:val="24"/>
            <w:rtl/>
          </w:rPr>
          <w:t>סעיף 340א(ב)(1)+(2)</w:t>
        </w:r>
      </w:hyperlink>
      <w:r w:rsidRPr="004E0A41">
        <w:rPr>
          <w:rFonts w:ascii="David" w:hAnsi="David" w:cs="David"/>
          <w:sz w:val="24"/>
          <w:szCs w:val="24"/>
          <w:rtl/>
        </w:rPr>
        <w:t xml:space="preserve"> לחוק.  </w:t>
      </w:r>
    </w:p>
    <w:p w14:paraId="6B80B8BE" w14:textId="77777777" w:rsidR="00E03000" w:rsidRPr="004E0A41" w:rsidRDefault="00E03000" w:rsidP="00E03000">
      <w:pPr>
        <w:pStyle w:val="a9"/>
        <w:spacing w:line="360" w:lineRule="auto"/>
        <w:jc w:val="both"/>
        <w:rPr>
          <w:rFonts w:ascii="David" w:hAnsi="David" w:cs="David"/>
          <w:sz w:val="24"/>
          <w:szCs w:val="24"/>
        </w:rPr>
      </w:pPr>
    </w:p>
    <w:p w14:paraId="443C478F" w14:textId="77777777" w:rsidR="00E03000" w:rsidRPr="004E0A41" w:rsidRDefault="00E03000" w:rsidP="00E03000">
      <w:pPr>
        <w:pStyle w:val="a9"/>
        <w:numPr>
          <w:ilvl w:val="0"/>
          <w:numId w:val="1"/>
        </w:numPr>
        <w:spacing w:line="360" w:lineRule="auto"/>
        <w:jc w:val="both"/>
        <w:rPr>
          <w:rFonts w:ascii="David" w:hAnsi="David" w:cs="David"/>
          <w:sz w:val="24"/>
          <w:szCs w:val="24"/>
          <w:rtl/>
        </w:rPr>
      </w:pPr>
      <w:bookmarkStart w:id="7" w:name="ABSTRACT_END"/>
      <w:bookmarkEnd w:id="7"/>
      <w:r w:rsidRPr="004E0A41">
        <w:rPr>
          <w:rFonts w:ascii="David" w:hAnsi="David" w:cs="David"/>
          <w:sz w:val="24"/>
          <w:szCs w:val="24"/>
          <w:rtl/>
        </w:rPr>
        <w:t xml:space="preserve">הודאת הנאשם באה במסגרת הסדר טיעון אליו הגיעו הצדדים ביום 13.07.21, לאחר שנשמעו עדי תביעה רבים ובהם המתלונן. הסדר הטיעון כלל תיקון בעובדות כתב האישום ובסעיפי החיקוק ולא כלל הסכמות לעניין העונש. </w:t>
      </w:r>
    </w:p>
    <w:p w14:paraId="57922093" w14:textId="77777777" w:rsidR="00E03000" w:rsidRPr="004E0A41" w:rsidRDefault="00E03000" w:rsidP="00E03000">
      <w:pPr>
        <w:pStyle w:val="a9"/>
        <w:spacing w:line="360" w:lineRule="auto"/>
        <w:jc w:val="both"/>
        <w:rPr>
          <w:rFonts w:ascii="David" w:hAnsi="David" w:cs="David"/>
          <w:sz w:val="24"/>
          <w:szCs w:val="24"/>
        </w:rPr>
      </w:pPr>
    </w:p>
    <w:p w14:paraId="1BF88943" w14:textId="77777777" w:rsidR="00E03000" w:rsidRDefault="00E03000" w:rsidP="00E03000">
      <w:pPr>
        <w:spacing w:line="360" w:lineRule="auto"/>
        <w:ind w:firstLine="720"/>
        <w:jc w:val="both"/>
        <w:rPr>
          <w:rFonts w:ascii="David" w:hAnsi="David"/>
          <w:b/>
          <w:bCs/>
          <w:u w:val="single"/>
          <w:rtl/>
        </w:rPr>
      </w:pPr>
      <w:r w:rsidRPr="004E0A41">
        <w:rPr>
          <w:rFonts w:ascii="David" w:hAnsi="David"/>
          <w:b/>
          <w:bCs/>
          <w:u w:val="single"/>
          <w:rtl/>
        </w:rPr>
        <w:t>כתב האישום המתוקן</w:t>
      </w:r>
    </w:p>
    <w:p w14:paraId="28B68B5C" w14:textId="77777777" w:rsidR="00E03000" w:rsidRDefault="00E03000" w:rsidP="00E03000">
      <w:pPr>
        <w:spacing w:line="360" w:lineRule="auto"/>
        <w:ind w:firstLine="720"/>
        <w:jc w:val="both"/>
        <w:rPr>
          <w:rFonts w:ascii="David" w:hAnsi="David"/>
          <w:b/>
          <w:bCs/>
          <w:u w:val="single"/>
          <w:rtl/>
        </w:rPr>
      </w:pPr>
    </w:p>
    <w:p w14:paraId="7E0D0EDA" w14:textId="77777777" w:rsidR="00E03000" w:rsidRPr="004E0A41" w:rsidRDefault="00E03000" w:rsidP="00E03000">
      <w:pPr>
        <w:pStyle w:val="a9"/>
        <w:numPr>
          <w:ilvl w:val="0"/>
          <w:numId w:val="1"/>
        </w:numPr>
        <w:spacing w:line="360" w:lineRule="auto"/>
        <w:jc w:val="both"/>
        <w:rPr>
          <w:rFonts w:ascii="David" w:hAnsi="David" w:cs="David"/>
          <w:b/>
          <w:bCs/>
          <w:sz w:val="24"/>
          <w:szCs w:val="24"/>
          <w:rtl/>
        </w:rPr>
      </w:pPr>
      <w:r w:rsidRPr="004E0A41">
        <w:rPr>
          <w:rFonts w:ascii="David" w:hAnsi="David" w:cs="David"/>
          <w:sz w:val="24"/>
          <w:szCs w:val="24"/>
          <w:rtl/>
        </w:rPr>
        <w:lastRenderedPageBreak/>
        <w:t xml:space="preserve">על פי המתואר בכתב האישום המתוקן הנאשם והמתלונן הם קרובי משפחה, ובמועדים הרלוונטיים לביצוע העבירות שררו ביניהם יחסי חברות. ביום 14.06.20 סמוך לשעה 20:00 נפגשו השניים בביתו של הנאשם בשכונת אלמידאן באום אלפחם (להלן: </w:t>
      </w:r>
      <w:r w:rsidRPr="004E0A41">
        <w:rPr>
          <w:rFonts w:ascii="David" w:hAnsi="David" w:cs="David"/>
          <w:b/>
          <w:bCs/>
          <w:sz w:val="24"/>
          <w:szCs w:val="24"/>
          <w:rtl/>
        </w:rPr>
        <w:t>"הבית"</w:t>
      </w:r>
      <w:r w:rsidRPr="004E0A41">
        <w:rPr>
          <w:rFonts w:ascii="David" w:hAnsi="David" w:cs="David"/>
          <w:sz w:val="24"/>
          <w:szCs w:val="24"/>
          <w:rtl/>
        </w:rPr>
        <w:t xml:space="preserve">), לאחר שהנאשם ביקש מהמתלונן להגיע לשם. בשלב מסוים במהלך המפגש עברו השניים לשבת ולשוחח בפינת ישיבה הנמצאת בחצר הבית. באותו מועד החזיק ונשא הנאשם, ללא רישיון כדין, אקדח חצי אוטומטי מסוג סיג סאוור טעון בתחמושת (או נשק אחר המטביע סימנים סוגיים דומים), שיש ביכולתו לירות כדור ולהמית אדם (להלן: </w:t>
      </w:r>
      <w:r w:rsidRPr="004E0A41">
        <w:rPr>
          <w:rFonts w:ascii="David" w:hAnsi="David" w:cs="David"/>
          <w:b/>
          <w:bCs/>
          <w:sz w:val="24"/>
          <w:szCs w:val="24"/>
          <w:rtl/>
        </w:rPr>
        <w:t xml:space="preserve">"הנשק"). </w:t>
      </w:r>
    </w:p>
    <w:p w14:paraId="55FFB782" w14:textId="77777777" w:rsidR="00E03000" w:rsidRPr="004E0A41" w:rsidRDefault="00E03000" w:rsidP="00E03000">
      <w:pPr>
        <w:pStyle w:val="a9"/>
        <w:spacing w:line="360" w:lineRule="auto"/>
        <w:jc w:val="both"/>
        <w:rPr>
          <w:rFonts w:ascii="David" w:hAnsi="David" w:cs="David"/>
          <w:sz w:val="24"/>
          <w:szCs w:val="24"/>
          <w:rtl/>
        </w:rPr>
      </w:pPr>
      <w:r w:rsidRPr="004E0A41">
        <w:rPr>
          <w:rFonts w:ascii="David" w:hAnsi="David" w:cs="David"/>
          <w:sz w:val="24"/>
          <w:szCs w:val="24"/>
          <w:rtl/>
        </w:rPr>
        <w:t xml:space="preserve">במהלך המפגש, עובר לשעה 21:16, התגלע ויכוח בין הנאשם והמתלונן על רקע חשדו של הנאשם שהמתלונן מתרחק ממנו. בנסיבות אלו כשהנאשם במרחק של כמטר מהמתלונן, הוא שלף את הנשק ממותנו הימנית וירה לעבר כף רגלו השמאלית של המתלונן ופגע בה. המתלונן תפס בידו הימנית של הנאשם שבה אחז את הנשק, ואז ירה הנאשם בשנית ירייה נוספת שפגעה בידו השמאלית של המתלונן, והכל בזמן שהנאשם נמצא באזור מגורים במצב היכול לסכן חיי אדם. כתוצאה ממעשי הנאשם פונה המתלונן למוקד הרפואי "אלנור אלטבי" ומשם הועבר לבית חולים "העמק" בעפולה, שם אובחנו פצע כניסה ויציאה של קליע בעקב רגל שמאל, פצע כניסה ויציאה של קליע על פני בסיס הגליל המקורב של אגודל יד שמאל עם נפיחות והגבלה בהנעת האגודל, ושבר מרוסק של הגליל המקורב לאגודל. </w:t>
      </w:r>
    </w:p>
    <w:p w14:paraId="4E2FC8DF" w14:textId="77777777" w:rsidR="00E03000" w:rsidRPr="004E0A41" w:rsidRDefault="00E03000" w:rsidP="00E03000">
      <w:pPr>
        <w:pStyle w:val="a9"/>
        <w:spacing w:line="360" w:lineRule="auto"/>
        <w:jc w:val="both"/>
        <w:rPr>
          <w:rFonts w:ascii="David" w:eastAsia="Times New Roman" w:hAnsi="David" w:cs="David"/>
          <w:sz w:val="24"/>
          <w:szCs w:val="24"/>
          <w:rtl/>
        </w:rPr>
      </w:pPr>
      <w:r w:rsidRPr="004E0A41">
        <w:rPr>
          <w:rFonts w:ascii="David" w:hAnsi="David" w:cs="David"/>
          <w:sz w:val="24"/>
          <w:szCs w:val="24"/>
          <w:rtl/>
        </w:rPr>
        <w:t>בשל מצבו עבר המתלונן ניתוח בכף ידו השמאלית והיה מאושפז בבית חולים "העמק" עד ליום 21.06.20.</w:t>
      </w:r>
    </w:p>
    <w:p w14:paraId="1A39FA44" w14:textId="77777777" w:rsidR="00E03000" w:rsidRPr="004E0A41" w:rsidRDefault="00E03000" w:rsidP="00E03000">
      <w:pPr>
        <w:pStyle w:val="a9"/>
        <w:spacing w:line="360" w:lineRule="auto"/>
        <w:rPr>
          <w:rFonts w:ascii="David" w:hAnsi="David" w:cs="David"/>
          <w:b/>
          <w:bCs/>
          <w:sz w:val="24"/>
          <w:szCs w:val="24"/>
          <w:u w:val="single"/>
        </w:rPr>
      </w:pPr>
    </w:p>
    <w:p w14:paraId="3D42C1B8" w14:textId="77777777" w:rsidR="00E03000" w:rsidRPr="004E0A41" w:rsidRDefault="00E03000" w:rsidP="00E03000">
      <w:pPr>
        <w:pStyle w:val="a9"/>
        <w:spacing w:line="360" w:lineRule="auto"/>
        <w:rPr>
          <w:rFonts w:ascii="David" w:hAnsi="David" w:cs="David"/>
          <w:sz w:val="24"/>
          <w:szCs w:val="24"/>
          <w:rtl/>
        </w:rPr>
      </w:pPr>
      <w:r w:rsidRPr="004E0A41">
        <w:rPr>
          <w:rFonts w:ascii="David" w:hAnsi="David" w:cs="David"/>
          <w:sz w:val="24"/>
          <w:szCs w:val="24"/>
          <w:rtl/>
        </w:rPr>
        <w:t xml:space="preserve">כאמור, הנאשם הודה בעובדות אלו והורשע בעבירות שלעיל. </w:t>
      </w:r>
    </w:p>
    <w:p w14:paraId="450E8077" w14:textId="77777777" w:rsidR="00E03000" w:rsidRPr="004E0A41" w:rsidRDefault="00E03000" w:rsidP="00E03000">
      <w:pPr>
        <w:pStyle w:val="a9"/>
        <w:spacing w:line="360" w:lineRule="auto"/>
        <w:jc w:val="both"/>
        <w:rPr>
          <w:rFonts w:ascii="David" w:hAnsi="David" w:cs="David"/>
          <w:b/>
          <w:bCs/>
          <w:sz w:val="24"/>
          <w:szCs w:val="24"/>
          <w:u w:val="single"/>
          <w:rtl/>
        </w:rPr>
      </w:pPr>
    </w:p>
    <w:p w14:paraId="58634027" w14:textId="77777777" w:rsidR="00E03000" w:rsidRPr="004E0A41" w:rsidRDefault="00E03000" w:rsidP="00E03000">
      <w:pPr>
        <w:pStyle w:val="a9"/>
        <w:spacing w:line="360" w:lineRule="auto"/>
        <w:jc w:val="both"/>
        <w:rPr>
          <w:rFonts w:ascii="David" w:hAnsi="David" w:cs="David"/>
          <w:sz w:val="24"/>
          <w:szCs w:val="24"/>
          <w:rtl/>
        </w:rPr>
      </w:pPr>
      <w:r w:rsidRPr="004E0A41">
        <w:rPr>
          <w:rFonts w:ascii="David" w:hAnsi="David" w:cs="David"/>
          <w:b/>
          <w:bCs/>
          <w:sz w:val="24"/>
          <w:szCs w:val="24"/>
          <w:u w:val="single"/>
          <w:rtl/>
        </w:rPr>
        <w:t>ראיות וטיעוני הצדדים לעונש</w:t>
      </w:r>
    </w:p>
    <w:p w14:paraId="72A0F9B9" w14:textId="77777777" w:rsidR="00E03000" w:rsidRPr="004E0A41" w:rsidRDefault="00E03000" w:rsidP="00E03000">
      <w:pPr>
        <w:spacing w:line="360" w:lineRule="auto"/>
        <w:ind w:left="720" w:hanging="720"/>
        <w:jc w:val="both"/>
        <w:rPr>
          <w:rFonts w:ascii="David" w:hAnsi="David"/>
          <w:rtl/>
        </w:rPr>
      </w:pPr>
      <w:r w:rsidRPr="004E0A41">
        <w:rPr>
          <w:rFonts w:ascii="David" w:hAnsi="David"/>
          <w:rtl/>
        </w:rPr>
        <w:t>4.</w:t>
      </w:r>
      <w:r w:rsidRPr="004E0A41">
        <w:rPr>
          <w:rFonts w:ascii="David" w:hAnsi="David"/>
          <w:rtl/>
        </w:rPr>
        <w:tab/>
        <w:t xml:space="preserve">מטעם המאשימה הוגש גיליון הרישום הפלילי של הנאשם (במ/1), ממנו עולה כי לחובתו שלוש הרשעות בעבירות שונות של אלימות, הכוללות החזקה ושימוש בנשק וסכין. גזר הדין האחרון בעניינו של הנאשם ניתן ביום 13.10.16, לאחר שהודה בעבירות של  פציעה בנסיבות מחמירות לפי </w:t>
      </w:r>
      <w:hyperlink r:id="rId29" w:history="1">
        <w:r w:rsidR="001C5437" w:rsidRPr="001C5437">
          <w:rPr>
            <w:rStyle w:val="Hyperlink"/>
            <w:rFonts w:ascii="David" w:hAnsi="David"/>
            <w:rtl/>
          </w:rPr>
          <w:t>סעיפים 334</w:t>
        </w:r>
      </w:hyperlink>
      <w:r w:rsidRPr="004E0A41">
        <w:rPr>
          <w:rFonts w:ascii="David" w:hAnsi="David"/>
          <w:rtl/>
        </w:rPr>
        <w:t xml:space="preserve"> +</w:t>
      </w:r>
      <w:hyperlink r:id="rId30" w:history="1">
        <w:r w:rsidR="001C5437" w:rsidRPr="001C5437">
          <w:rPr>
            <w:rStyle w:val="Hyperlink"/>
            <w:rFonts w:ascii="David" w:hAnsi="David"/>
            <w:rtl/>
          </w:rPr>
          <w:t>335(א)(1)</w:t>
        </w:r>
      </w:hyperlink>
      <w:r w:rsidRPr="004E0A41">
        <w:rPr>
          <w:rFonts w:ascii="David" w:hAnsi="David"/>
          <w:rtl/>
        </w:rPr>
        <w:t xml:space="preserve"> לחוק; עבירות בנשק (החזקה ונשיאה) לפי </w:t>
      </w:r>
      <w:hyperlink r:id="rId31" w:history="1">
        <w:r w:rsidR="001C5437" w:rsidRPr="001C5437">
          <w:rPr>
            <w:rStyle w:val="Hyperlink"/>
            <w:rFonts w:ascii="David" w:hAnsi="David"/>
            <w:rtl/>
          </w:rPr>
          <w:t>סעיפים 144(א)</w:t>
        </w:r>
      </w:hyperlink>
      <w:r w:rsidRPr="004E0A41">
        <w:rPr>
          <w:rFonts w:ascii="David" w:hAnsi="David"/>
          <w:rtl/>
        </w:rPr>
        <w:t xml:space="preserve"> רישא וסיפא+ </w:t>
      </w:r>
      <w:hyperlink r:id="rId32" w:history="1">
        <w:r w:rsidR="001C5437" w:rsidRPr="001C5437">
          <w:rPr>
            <w:rStyle w:val="Hyperlink"/>
            <w:rFonts w:ascii="David" w:hAnsi="David"/>
            <w:rtl/>
          </w:rPr>
          <w:t>144(ב)</w:t>
        </w:r>
      </w:hyperlink>
      <w:r w:rsidRPr="004E0A41">
        <w:rPr>
          <w:rFonts w:ascii="David" w:hAnsi="David"/>
          <w:rtl/>
        </w:rPr>
        <w:t xml:space="preserve"> רישא וסיפא; </w:t>
      </w:r>
      <w:r>
        <w:rPr>
          <w:rFonts w:ascii="David" w:hAnsi="David" w:hint="cs"/>
          <w:rtl/>
        </w:rPr>
        <w:t>ו</w:t>
      </w:r>
      <w:r w:rsidRPr="004E0A41">
        <w:rPr>
          <w:rFonts w:ascii="David" w:hAnsi="David"/>
          <w:rtl/>
        </w:rPr>
        <w:t xml:space="preserve">איומים לפי סעיף </w:t>
      </w:r>
      <w:hyperlink r:id="rId33" w:history="1">
        <w:r w:rsidR="001C5437" w:rsidRPr="001C5437">
          <w:rPr>
            <w:rStyle w:val="Hyperlink"/>
            <w:rFonts w:ascii="David" w:hAnsi="David"/>
            <w:rtl/>
          </w:rPr>
          <w:t>192</w:t>
        </w:r>
      </w:hyperlink>
      <w:r w:rsidRPr="004E0A41">
        <w:rPr>
          <w:rFonts w:ascii="David" w:hAnsi="David"/>
          <w:rtl/>
        </w:rPr>
        <w:t xml:space="preserve"> ל</w:t>
      </w:r>
      <w:hyperlink r:id="rId34" w:history="1">
        <w:r w:rsidR="009B06B2" w:rsidRPr="009B06B2">
          <w:rPr>
            <w:rFonts w:ascii="David" w:hAnsi="David"/>
            <w:color w:val="0000FF"/>
            <w:u w:val="single"/>
            <w:rtl/>
          </w:rPr>
          <w:t>חוק העונשין</w:t>
        </w:r>
      </w:hyperlink>
      <w:r w:rsidRPr="004E0A41">
        <w:rPr>
          <w:rFonts w:ascii="David" w:hAnsi="David"/>
          <w:rtl/>
        </w:rPr>
        <w:t>. באירוע אחרון זה הגיע הנאשם להסדר טיעון שכלל גם הסכמה עונשית, ובהתאם הוטלו עליו שלוש שנות מאסר בפועל - אותן ריצה, ומאסר מותנה למשך 18 חודשים לתקופה של  3 שנים לבל יעבור את העבירות בהן הורשע (למעט עבירת האיומים בגינה הוטל מאסר מותנה של 6 בלבד). (</w:t>
      </w:r>
      <w:hyperlink r:id="rId35" w:history="1">
        <w:r w:rsidR="009B06B2" w:rsidRPr="009B06B2">
          <w:rPr>
            <w:rFonts w:ascii="David" w:hAnsi="David"/>
            <w:color w:val="0000FF"/>
            <w:u w:val="single"/>
            <w:rtl/>
          </w:rPr>
          <w:t>ת"פ (מחוזי חיפה) 611-05-16</w:t>
        </w:r>
      </w:hyperlink>
      <w:r w:rsidRPr="004E0A41">
        <w:rPr>
          <w:rFonts w:ascii="David" w:hAnsi="David"/>
        </w:rPr>
        <w:t xml:space="preserve"> </w:t>
      </w:r>
      <w:r w:rsidRPr="004E0A41">
        <w:rPr>
          <w:rFonts w:ascii="David" w:hAnsi="David"/>
          <w:b/>
          <w:bCs/>
          <w:rtl/>
        </w:rPr>
        <w:t>מדינת ישראל נ' אגבאריה</w:t>
      </w:r>
      <w:r w:rsidRPr="004E0A41">
        <w:rPr>
          <w:rFonts w:ascii="David" w:hAnsi="David"/>
          <w:rtl/>
        </w:rPr>
        <w:t xml:space="preserve">). המאשימה הגישה את כתב האישום המתוקן, פרוטוקול הדיון וגזר הדין מיום 13.10.16 (במ/2). </w:t>
      </w:r>
    </w:p>
    <w:p w14:paraId="24991B14" w14:textId="77777777" w:rsidR="00E03000" w:rsidRPr="004E0A41" w:rsidRDefault="00E03000" w:rsidP="00E03000">
      <w:pPr>
        <w:spacing w:line="360" w:lineRule="auto"/>
        <w:ind w:left="720" w:hanging="720"/>
        <w:jc w:val="both"/>
        <w:rPr>
          <w:rFonts w:ascii="David" w:hAnsi="David"/>
          <w:rtl/>
        </w:rPr>
      </w:pPr>
      <w:r w:rsidRPr="004E0A41">
        <w:rPr>
          <w:rFonts w:ascii="David" w:hAnsi="David"/>
          <w:rtl/>
        </w:rPr>
        <w:tab/>
        <w:t xml:space="preserve">הרישום הפלילי של הנאשם כולל שתי הרשעות נוספות, האחת מיום 13.9.16 על החזקת סכין שלא כדין לפי סעיף </w:t>
      </w:r>
      <w:hyperlink r:id="rId36" w:history="1">
        <w:r w:rsidR="001C5437" w:rsidRPr="001C5437">
          <w:rPr>
            <w:rStyle w:val="Hyperlink"/>
            <w:rFonts w:ascii="David" w:hAnsi="David"/>
            <w:rtl/>
          </w:rPr>
          <w:t>186 (א)</w:t>
        </w:r>
      </w:hyperlink>
      <w:r w:rsidRPr="004E0A41">
        <w:rPr>
          <w:rFonts w:ascii="David" w:hAnsi="David"/>
          <w:rtl/>
        </w:rPr>
        <w:t xml:space="preserve"> לחוק, והשניה מבית המשפט לנוער מיום 14.7.11, אף היא בעבירות אלימות – אולם עבירות אחרונות אלו</w:t>
      </w:r>
      <w:r w:rsidRPr="004E0A41">
        <w:rPr>
          <w:rFonts w:ascii="David" w:hAnsi="David"/>
          <w:b/>
          <w:bCs/>
          <w:rtl/>
        </w:rPr>
        <w:t xml:space="preserve"> </w:t>
      </w:r>
      <w:r w:rsidRPr="004E0A41">
        <w:rPr>
          <w:rFonts w:ascii="David" w:hAnsi="David"/>
          <w:rtl/>
        </w:rPr>
        <w:t xml:space="preserve">התיישנו.   </w:t>
      </w:r>
    </w:p>
    <w:p w14:paraId="20B0A542" w14:textId="77777777" w:rsidR="00E03000" w:rsidRPr="004E0A41" w:rsidRDefault="00E03000" w:rsidP="00E03000">
      <w:pPr>
        <w:pStyle w:val="a9"/>
        <w:spacing w:line="360" w:lineRule="auto"/>
        <w:jc w:val="both"/>
        <w:rPr>
          <w:rFonts w:ascii="David" w:hAnsi="David" w:cs="David"/>
          <w:sz w:val="24"/>
          <w:szCs w:val="24"/>
          <w:rtl/>
        </w:rPr>
      </w:pPr>
      <w:r w:rsidRPr="004E0A41">
        <w:rPr>
          <w:rFonts w:ascii="David" w:hAnsi="David" w:cs="David"/>
          <w:sz w:val="24"/>
          <w:szCs w:val="24"/>
          <w:rtl/>
        </w:rPr>
        <w:lastRenderedPageBreak/>
        <w:t xml:space="preserve">עוד הגישה המאשימה מסמכים רפואיים של המתלונן המתארים את החבלות שנגרמו לו כתוצאה מהירי של הנאשם (במ/3). </w:t>
      </w:r>
    </w:p>
    <w:p w14:paraId="33C0AA65" w14:textId="77777777" w:rsidR="00E03000" w:rsidRPr="004E0A41" w:rsidRDefault="00E03000" w:rsidP="00E03000">
      <w:pPr>
        <w:pStyle w:val="a9"/>
        <w:spacing w:line="360" w:lineRule="auto"/>
        <w:jc w:val="both"/>
        <w:rPr>
          <w:rFonts w:ascii="David" w:hAnsi="David" w:cs="David"/>
          <w:sz w:val="24"/>
          <w:szCs w:val="24"/>
          <w:rtl/>
        </w:rPr>
      </w:pPr>
    </w:p>
    <w:p w14:paraId="0155C13B" w14:textId="77777777" w:rsidR="00E03000" w:rsidRPr="004E0A41" w:rsidRDefault="00E03000" w:rsidP="00E03000">
      <w:pPr>
        <w:spacing w:line="360" w:lineRule="auto"/>
        <w:ind w:left="644" w:hanging="644"/>
        <w:jc w:val="both"/>
        <w:rPr>
          <w:rFonts w:ascii="David" w:hAnsi="David"/>
          <w:rtl/>
        </w:rPr>
      </w:pPr>
      <w:r w:rsidRPr="004E0A41">
        <w:rPr>
          <w:rFonts w:ascii="David" w:hAnsi="David"/>
          <w:rtl/>
        </w:rPr>
        <w:t>5.</w:t>
      </w:r>
      <w:r w:rsidRPr="004E0A41">
        <w:rPr>
          <w:rFonts w:ascii="David" w:hAnsi="David"/>
          <w:rtl/>
        </w:rPr>
        <w:tab/>
        <w:t xml:space="preserve">מטעם הנאשם העיד המתלונן, הייתם אגבאריה, שמסר כי הנאשם הוא בן דודו "כמו אח", וכי הוא </w:t>
      </w:r>
      <w:r w:rsidRPr="004E0A41">
        <w:rPr>
          <w:rFonts w:ascii="David" w:hAnsi="David"/>
          <w:b/>
          <w:bCs/>
          <w:rtl/>
        </w:rPr>
        <w:t>"אחלה בן אדם, מגיע לו כל טוב".</w:t>
      </w:r>
      <w:r w:rsidRPr="004E0A41">
        <w:rPr>
          <w:rFonts w:ascii="David" w:hAnsi="David"/>
          <w:rtl/>
        </w:rPr>
        <w:t xml:space="preserve"> עוד מסר לגבי היחסים ביניהם ש</w:t>
      </w:r>
      <w:r w:rsidRPr="004E0A41">
        <w:rPr>
          <w:rFonts w:ascii="David" w:hAnsi="David"/>
          <w:b/>
          <w:bCs/>
          <w:rtl/>
        </w:rPr>
        <w:t>"הכל בסדר, אין בינינו שום דבר",</w:t>
      </w:r>
      <w:r w:rsidRPr="004E0A41">
        <w:rPr>
          <w:rFonts w:ascii="David" w:hAnsi="David"/>
          <w:rtl/>
        </w:rPr>
        <w:t xml:space="preserve"> ולשאלות פרקליטת המאשימה השיב כי אין מצדו צורך בסולחה, הוא לא קיבל כסף בתמורה לעדותו לטובת הנאשם, ומבחינת מצבו הרפואי הוא מרגיש טוב והכל בסדר. </w:t>
      </w:r>
    </w:p>
    <w:p w14:paraId="51E2B46C" w14:textId="77777777" w:rsidR="00E03000" w:rsidRDefault="00E03000" w:rsidP="00E03000">
      <w:pPr>
        <w:pStyle w:val="a9"/>
        <w:spacing w:line="360" w:lineRule="auto"/>
        <w:jc w:val="both"/>
        <w:rPr>
          <w:rFonts w:ascii="David" w:hAnsi="David" w:cs="David"/>
          <w:sz w:val="24"/>
          <w:szCs w:val="24"/>
          <w:rtl/>
        </w:rPr>
      </w:pPr>
      <w:r w:rsidRPr="004E0A41">
        <w:rPr>
          <w:rFonts w:ascii="David" w:hAnsi="David" w:cs="David"/>
          <w:sz w:val="24"/>
          <w:szCs w:val="24"/>
          <w:rtl/>
        </w:rPr>
        <w:t xml:space="preserve"> </w:t>
      </w:r>
    </w:p>
    <w:p w14:paraId="013071B9" w14:textId="77777777" w:rsidR="00E03000" w:rsidRPr="004E0A41" w:rsidRDefault="00E03000" w:rsidP="00E03000">
      <w:pPr>
        <w:pStyle w:val="a9"/>
        <w:spacing w:line="360" w:lineRule="auto"/>
        <w:jc w:val="both"/>
        <w:rPr>
          <w:rFonts w:ascii="David" w:hAnsi="David" w:cs="David"/>
          <w:sz w:val="24"/>
          <w:szCs w:val="24"/>
          <w:rtl/>
        </w:rPr>
      </w:pPr>
    </w:p>
    <w:p w14:paraId="3A878705" w14:textId="77777777" w:rsidR="00E03000" w:rsidRPr="004E0A41" w:rsidRDefault="00E03000" w:rsidP="00E03000">
      <w:pPr>
        <w:pStyle w:val="a9"/>
        <w:spacing w:line="360" w:lineRule="auto"/>
        <w:ind w:left="644"/>
        <w:jc w:val="both"/>
        <w:rPr>
          <w:rFonts w:ascii="David" w:hAnsi="David" w:cs="David"/>
          <w:b/>
          <w:bCs/>
          <w:sz w:val="24"/>
          <w:szCs w:val="24"/>
          <w:u w:val="single"/>
          <w:rtl/>
        </w:rPr>
      </w:pPr>
      <w:r w:rsidRPr="004E0A41">
        <w:rPr>
          <w:rFonts w:ascii="David" w:hAnsi="David" w:cs="David"/>
          <w:b/>
          <w:bCs/>
          <w:sz w:val="24"/>
          <w:szCs w:val="24"/>
          <w:u w:val="single"/>
          <w:rtl/>
        </w:rPr>
        <w:t>תמצית טיעוני המאשימה לעונש</w:t>
      </w:r>
    </w:p>
    <w:p w14:paraId="7C53A939" w14:textId="77777777" w:rsidR="00E03000" w:rsidRPr="004E0A41" w:rsidRDefault="00E03000" w:rsidP="00E03000">
      <w:pPr>
        <w:spacing w:line="360" w:lineRule="auto"/>
        <w:jc w:val="both"/>
        <w:rPr>
          <w:rFonts w:ascii="David" w:hAnsi="David"/>
          <w:rtl/>
        </w:rPr>
      </w:pPr>
      <w:r w:rsidRPr="004E0A41">
        <w:rPr>
          <w:rFonts w:ascii="David" w:hAnsi="David"/>
          <w:rtl/>
        </w:rPr>
        <w:t>6.</w:t>
      </w:r>
      <w:r w:rsidRPr="004E0A41">
        <w:rPr>
          <w:rFonts w:ascii="David" w:hAnsi="David"/>
          <w:rtl/>
        </w:rPr>
        <w:tab/>
        <w:t>המאשימה הגישה את עיקר טיעוניה בכתב (במ/4) וחזרה בקצרה על חלק מהם גם בעל פה;</w:t>
      </w:r>
    </w:p>
    <w:p w14:paraId="308FF648"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המאשימה ציינה את הערכים החברתיים שנפגעו כתוצאה מהעבירות שביצע הנאשם, ובהם הפגיעה בזכות האדם לשמירה על חייו ובריאותו, זכות ההגנה על הציבור והשמירה על שלטון החוק.</w:t>
      </w:r>
      <w:r w:rsidRPr="004E0A41">
        <w:rPr>
          <w:rFonts w:ascii="David" w:hAnsi="David" w:cs="David"/>
          <w:sz w:val="24"/>
          <w:szCs w:val="24"/>
          <w:rtl/>
        </w:rPr>
        <w:br/>
        <w:t xml:space="preserve">המאשימה עמדה על החומרה בביצוע עבירות הנשק ופוטנציאל הסיכון הגלום בהן, והדגישה את הצורך לשמור על חיי האדם ולמגר את התופעה ההולכת ומתגברת של שימוש בנשק חם במדינה בכלל ובמגזר הערבי בפרט, במיוחד כשהשימוש בנשק נעשה כדרך לפתרון סכסוכים וגורם לפגיעה באזרחים תמימים אשר נקלעו למקום שלא בטובתם. </w:t>
      </w:r>
    </w:p>
    <w:p w14:paraId="1DE7E453" w14:textId="77777777" w:rsidR="00E03000" w:rsidRPr="004E0A41" w:rsidRDefault="00E03000" w:rsidP="00E03000">
      <w:pPr>
        <w:pStyle w:val="a9"/>
        <w:spacing w:line="360" w:lineRule="auto"/>
        <w:ind w:left="644"/>
        <w:jc w:val="both"/>
        <w:rPr>
          <w:rFonts w:ascii="David" w:hAnsi="David" w:cs="David"/>
          <w:sz w:val="24"/>
          <w:szCs w:val="24"/>
          <w:rtl/>
        </w:rPr>
      </w:pPr>
    </w:p>
    <w:p w14:paraId="642F1885"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המאשימה הפנתה למדיניות הענישה המחמירה בעבירות הללו, השמה דגש על שיקולי גמול והרתעה ומחייבת הטלת ענישה כבדה מאחורי סורג ובריח, והפנתה לפסיקה התומכת בטענותיה.  </w:t>
      </w:r>
    </w:p>
    <w:p w14:paraId="7DCC9462" w14:textId="77777777" w:rsidR="00E03000" w:rsidRPr="004E0A41" w:rsidRDefault="00E03000" w:rsidP="00E03000">
      <w:pPr>
        <w:pStyle w:val="a9"/>
        <w:spacing w:line="360" w:lineRule="auto"/>
        <w:ind w:left="644"/>
        <w:jc w:val="both"/>
        <w:rPr>
          <w:rFonts w:ascii="David" w:hAnsi="David" w:cs="David"/>
          <w:sz w:val="24"/>
          <w:szCs w:val="24"/>
          <w:rtl/>
        </w:rPr>
      </w:pPr>
    </w:p>
    <w:p w14:paraId="2C656D49"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לעניין הנסיבות הקשורות בביצוע העבירות טענה המאשימה, כי בקשת הנאשם מהמתלונן להגיע לביתו שם "קיבל את פניו" כשהוא מצויד מראש בנשק חצי אוטומטי טעון, מעידים על התכנון ועל כוונתו של הנאשם להשתמש בנשק. עוד ציינה המאשימה את חלקו הבלעדי של הנאשם בביצוע העבירות והבנתו את חומרת מעשיו והשלכותיהם.  </w:t>
      </w:r>
    </w:p>
    <w:p w14:paraId="4A1E62C2"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המאשימה הפנתה גם לפגיעה שנגרמה למתלונן כמתואר בכתב האישום המתוקן, והדגישה כי על אף שהפגיעה לא הייתה קשה, יש לתת משקל לפוטנציאל הנזק שטמון במעשי הנאשם כשהחזיק בנשק ללא רישיון, וכשירה במתלונן ממרחק של כמטר, ויכול היה לגרום לו פגיעה חמורה יותר וקיפוח חיים.    </w:t>
      </w:r>
    </w:p>
    <w:p w14:paraId="0ABF9322" w14:textId="77777777" w:rsidR="00E03000" w:rsidRPr="004E0A41" w:rsidRDefault="00E03000" w:rsidP="00E03000">
      <w:pPr>
        <w:spacing w:line="360" w:lineRule="auto"/>
        <w:ind w:left="644" w:hanging="644"/>
        <w:jc w:val="both"/>
        <w:rPr>
          <w:rFonts w:ascii="David" w:hAnsi="David"/>
          <w:rtl/>
        </w:rPr>
      </w:pPr>
      <w:r w:rsidRPr="004E0A41">
        <w:rPr>
          <w:rFonts w:ascii="David" w:hAnsi="David"/>
          <w:rtl/>
        </w:rPr>
        <w:tab/>
        <w:t>המאשימה התייחסה לכלל העבירות בהן הורשע הנאשם כאל אירוע אחד, ובהתאם לפסיקה אליה הפנתה עתרה לקביעת מתחם ענישה הנע בין 4 ל- 6 שנות מאסר בפועל, בצירוף מאסר על תנאי מרתיע, תשלום קנס ופיצוי למתלונן.</w:t>
      </w:r>
    </w:p>
    <w:p w14:paraId="727C2CFB" w14:textId="77777777" w:rsidR="00E03000" w:rsidRDefault="00E03000" w:rsidP="00E03000">
      <w:pPr>
        <w:spacing w:line="360" w:lineRule="auto"/>
        <w:ind w:left="644"/>
        <w:jc w:val="both"/>
        <w:rPr>
          <w:rFonts w:ascii="David" w:hAnsi="David"/>
          <w:rtl/>
        </w:rPr>
      </w:pPr>
      <w:r w:rsidRPr="004E0A41">
        <w:rPr>
          <w:rFonts w:ascii="David" w:hAnsi="David"/>
          <w:rtl/>
        </w:rPr>
        <w:t xml:space="preserve">אשר לקביעת העונש בתוך המתחם, מצד אחד ציינה המאשימה את הודאתו של הנאשם בכתב האישום המתוקן, ומנגד הדגישה את עברו הפלילי הכולל הרשעה בעבירות אלימות ונשק אשר בגינן תלוי כנגדו מאסר מותנה בר הפעלה, כשלטענתה בנסיבות העניין יש לתת ביטוי הולם לשיקולי הגמול והרתעת הנאשם (היחיד) כמו גם הרתעת הרבים. </w:t>
      </w:r>
    </w:p>
    <w:p w14:paraId="20D68AC7" w14:textId="77777777" w:rsidR="00E03000" w:rsidRPr="004E0A41" w:rsidRDefault="00E03000" w:rsidP="00E03000">
      <w:pPr>
        <w:spacing w:line="360" w:lineRule="auto"/>
        <w:ind w:left="644"/>
        <w:jc w:val="both"/>
        <w:rPr>
          <w:rFonts w:ascii="David" w:hAnsi="David"/>
          <w:rtl/>
        </w:rPr>
      </w:pPr>
    </w:p>
    <w:p w14:paraId="6196B5DA" w14:textId="77777777" w:rsidR="00E03000" w:rsidRPr="004E0A41" w:rsidRDefault="00E03000" w:rsidP="00E03000">
      <w:pPr>
        <w:spacing w:line="360" w:lineRule="auto"/>
        <w:ind w:left="644" w:hanging="644"/>
        <w:jc w:val="both"/>
        <w:rPr>
          <w:rFonts w:ascii="David" w:hAnsi="David"/>
          <w:rtl/>
        </w:rPr>
      </w:pPr>
      <w:r>
        <w:rPr>
          <w:rFonts w:ascii="David" w:hAnsi="David" w:hint="cs"/>
          <w:rtl/>
        </w:rPr>
        <w:t>7</w:t>
      </w:r>
      <w:r w:rsidRPr="004E0A41">
        <w:rPr>
          <w:rFonts w:ascii="David" w:hAnsi="David"/>
          <w:rtl/>
        </w:rPr>
        <w:t>.</w:t>
      </w:r>
      <w:r w:rsidRPr="004E0A41">
        <w:rPr>
          <w:rFonts w:ascii="David" w:hAnsi="David"/>
          <w:rtl/>
        </w:rPr>
        <w:tab/>
        <w:t xml:space="preserve">לאור כל האמור, עתרה המאשימה להטיל על הנאשם עונש של מאסר בפועל ברף הבינוני גבוה של המתחם המבוקש, מאסר על תנאי ממושך, פיצוי משמעותי למתלונן ותשלום קנס, ובנוסף להפעיל את עונש המאסר המותנה התלוי ועומד כנגד הנאשם במצטבר לכל ענישה שתיקבע. </w:t>
      </w:r>
    </w:p>
    <w:p w14:paraId="6DCB69EC" w14:textId="77777777" w:rsidR="00E03000" w:rsidRDefault="00E03000" w:rsidP="00E03000">
      <w:pPr>
        <w:pStyle w:val="a9"/>
        <w:spacing w:line="360" w:lineRule="auto"/>
        <w:ind w:left="644"/>
        <w:jc w:val="both"/>
        <w:rPr>
          <w:rFonts w:ascii="David" w:hAnsi="David" w:cs="David"/>
          <w:sz w:val="24"/>
          <w:szCs w:val="24"/>
          <w:rtl/>
        </w:rPr>
      </w:pPr>
    </w:p>
    <w:p w14:paraId="2FAB7AFF" w14:textId="77777777" w:rsidR="00E03000" w:rsidRPr="004E0A41" w:rsidRDefault="00E03000" w:rsidP="00E03000">
      <w:pPr>
        <w:pStyle w:val="a9"/>
        <w:spacing w:line="360" w:lineRule="auto"/>
        <w:ind w:left="644"/>
        <w:jc w:val="both"/>
        <w:rPr>
          <w:rFonts w:ascii="David" w:hAnsi="David" w:cs="David"/>
          <w:sz w:val="24"/>
          <w:szCs w:val="24"/>
          <w:rtl/>
        </w:rPr>
      </w:pPr>
    </w:p>
    <w:p w14:paraId="609A50A4"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b/>
          <w:bCs/>
          <w:sz w:val="24"/>
          <w:szCs w:val="24"/>
          <w:u w:val="single"/>
          <w:rtl/>
        </w:rPr>
        <w:t>תמצית טיעוני ההגנה לעונש ודבר הנאשם</w:t>
      </w:r>
    </w:p>
    <w:p w14:paraId="1B1492C6" w14:textId="77777777" w:rsidR="00E03000" w:rsidRPr="004E0A41" w:rsidRDefault="00E03000" w:rsidP="00E03000">
      <w:pPr>
        <w:spacing w:line="360" w:lineRule="auto"/>
        <w:jc w:val="both"/>
        <w:rPr>
          <w:rFonts w:ascii="David" w:hAnsi="David"/>
          <w:rtl/>
        </w:rPr>
      </w:pPr>
      <w:r>
        <w:rPr>
          <w:rFonts w:ascii="David" w:hAnsi="David" w:hint="cs"/>
          <w:rtl/>
        </w:rPr>
        <w:t>8</w:t>
      </w:r>
      <w:r w:rsidRPr="004E0A41">
        <w:rPr>
          <w:rFonts w:ascii="David" w:hAnsi="David"/>
          <w:rtl/>
        </w:rPr>
        <w:t>.</w:t>
      </w:r>
      <w:r w:rsidRPr="004E0A41">
        <w:rPr>
          <w:rFonts w:ascii="David" w:hAnsi="David"/>
          <w:rtl/>
        </w:rPr>
        <w:tab/>
        <w:t xml:space="preserve">ב"כ הנאשם הגיש אף הוא טיעונים בכתב והוסיף והשלים טיעונים בעל פה; </w:t>
      </w:r>
    </w:p>
    <w:p w14:paraId="7F4F7EAE"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לטענת ב"כ הנאשם טיעוני המאשימה מחמירים ורלוונטיים לעבירה שיוחסה לנאשם לפני תיקון כתב האישום (לפי </w:t>
      </w:r>
      <w:hyperlink r:id="rId37" w:history="1">
        <w:r w:rsidR="001C5437" w:rsidRPr="001C5437">
          <w:rPr>
            <w:rStyle w:val="Hyperlink"/>
            <w:rFonts w:ascii="David" w:hAnsi="David" w:cs="David"/>
            <w:sz w:val="24"/>
            <w:szCs w:val="24"/>
            <w:rtl/>
          </w:rPr>
          <w:t>סעיף  329</w:t>
        </w:r>
      </w:hyperlink>
      <w:r w:rsidRPr="004E0A41">
        <w:rPr>
          <w:rFonts w:ascii="David" w:hAnsi="David" w:cs="David"/>
          <w:sz w:val="24"/>
          <w:szCs w:val="24"/>
          <w:rtl/>
        </w:rPr>
        <w:t xml:space="preserve"> לחוק), ולא לעבירה בה הורשע בפועל לפי סעיפים </w:t>
      </w:r>
      <w:hyperlink r:id="rId38" w:history="1">
        <w:r w:rsidR="001C5437" w:rsidRPr="001C5437">
          <w:rPr>
            <w:rStyle w:val="Hyperlink"/>
            <w:rFonts w:ascii="David" w:hAnsi="David" w:cs="David"/>
            <w:sz w:val="24"/>
            <w:szCs w:val="24"/>
            <w:rtl/>
          </w:rPr>
          <w:t>333</w:t>
        </w:r>
      </w:hyperlink>
      <w:r w:rsidRPr="004E0A41">
        <w:rPr>
          <w:rFonts w:ascii="David" w:hAnsi="David" w:cs="David"/>
          <w:sz w:val="24"/>
          <w:szCs w:val="24"/>
          <w:rtl/>
        </w:rPr>
        <w:t xml:space="preserve">+ </w:t>
      </w:r>
      <w:hyperlink r:id="rId39" w:history="1">
        <w:r w:rsidR="001C5437" w:rsidRPr="001C5437">
          <w:rPr>
            <w:rStyle w:val="Hyperlink"/>
            <w:rFonts w:ascii="David" w:hAnsi="David" w:cs="David"/>
            <w:sz w:val="24"/>
            <w:szCs w:val="24"/>
            <w:rtl/>
          </w:rPr>
          <w:t>335 (א)(1)</w:t>
        </w:r>
      </w:hyperlink>
      <w:r w:rsidRPr="004E0A41">
        <w:rPr>
          <w:rFonts w:ascii="David" w:hAnsi="David" w:cs="David"/>
          <w:sz w:val="24"/>
          <w:szCs w:val="24"/>
          <w:rtl/>
        </w:rPr>
        <w:t xml:space="preserve"> לחוק, וכך גם הפסיקה אליה הפנתה המאשימה העוסקת בעבירות ובנסיבות חמורות יותר. </w:t>
      </w:r>
    </w:p>
    <w:p w14:paraId="27BBE7BA"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ב"כ הנאשם הפנה לפסיקה מטעמו שלטענתו עוסקת במקרים דומים, והדגיש כי מדיניות הענישה בעבירות בהן הורשע הנאשם משתנה בהתאם לנסיבות כל מקרה לגופו, ומבלי להקל מחומרת העבירות הרי שבפסיקה ישנם מקרים דומים ואף חמורים יותר בהם הסתפק בית המשפט בענישה מקלה.</w:t>
      </w:r>
    </w:p>
    <w:p w14:paraId="6EB590A0" w14:textId="77777777" w:rsidR="00E03000" w:rsidRPr="004E0A41" w:rsidRDefault="00E03000" w:rsidP="00E03000">
      <w:pPr>
        <w:pStyle w:val="a9"/>
        <w:spacing w:line="360" w:lineRule="auto"/>
        <w:ind w:left="644"/>
        <w:jc w:val="both"/>
        <w:rPr>
          <w:rFonts w:ascii="David" w:hAnsi="David" w:cs="David"/>
          <w:sz w:val="24"/>
          <w:szCs w:val="24"/>
          <w:rtl/>
        </w:rPr>
      </w:pPr>
    </w:p>
    <w:p w14:paraId="467A43F5"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ב"כ הנאשם הוסיף, כי המעשים בהם הודה הנאשם אינם במדרג הגבוה של החומרה והם מצויים ברף הנמוך של עבירות הנשק – כך שהנאשם פעל בלהט הרגע; השתמש בנשק חצי אוטומטי ולא נשק ארוך; ולא נגרמו למתלונן פגיעות קשות אלא פציעות קלות וחולפות כעולה מהמסמכים הרפואיים. בנסיבות אלו ביקש לקבוע מתחם הנע בין 15 ל- 25 חודשי מאסר בפועל בצירוף מאסר מותנה ארוך.</w:t>
      </w:r>
    </w:p>
    <w:p w14:paraId="5B8DF554"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לעניין הנסיבות שאינן קשורות בביצוע העבירות, הפנה ב"כ הנאשם לשיקולים הפועלים לטובת הנאשם ובהם הודאתו בכתב האישום המתוקן והחיסכון בזמן השיפוטי, קבלת אחריות על מעשיו, הבנתו את חומרתם והחרטה עליהם. כמו כן, הודגשו נסיבות חייו האישיות והמיוחדות של הנאשם - גילו הצעיר, היותו אדם נורמטיבי ובן למשפחה נורמטיבית; שהייתו במעצר במשך תקופה ארוכה במהלכה לא היה לו קשר עם משפחתו בשל מצב החירום והקורונה ששררו במדינה. עוד ציין הסניגור את מצבו הנפשי הקשה של הנאשם, לאור העובדה שבתקופת מעצרו נרצחו שלושה מאחיו ועוד שלושה מקרובי משפחתו (שהאחרון בהם נרצח ביום בו נשמעו הטיעונים לעונש), ובשל הנסיבות לא התאפשר לנאשם להיפרד מהם ולחוות את האובדן עם משפחתו.  </w:t>
      </w:r>
    </w:p>
    <w:p w14:paraId="700983DC" w14:textId="77777777" w:rsidR="00E03000" w:rsidRPr="004E0A41" w:rsidRDefault="00E03000" w:rsidP="00E03000">
      <w:pPr>
        <w:pStyle w:val="a9"/>
        <w:spacing w:line="360" w:lineRule="auto"/>
        <w:ind w:left="644"/>
        <w:jc w:val="both"/>
        <w:rPr>
          <w:rFonts w:ascii="David" w:hAnsi="David" w:cs="David"/>
          <w:sz w:val="24"/>
          <w:szCs w:val="24"/>
          <w:rtl/>
        </w:rPr>
      </w:pPr>
    </w:p>
    <w:p w14:paraId="381481CA"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ב"כ הנאשם הוסיף כי הנאשם פועל כיום בסיוע משפחתו לשיקום חייו, וכי עונש של מאסר ארוך מאחורי סורג ובריח יפגע בסיכויי שיקומו ויביא להתדרדרות במצבו ובאפשרויות השיקומיות העומדות בפניו. לכן, בהתחשב בקרבת המשפחה בין הנאשם למתלונן והיחסים הטובים ביניהם כיום, ביקש לפעול ע"פ </w:t>
      </w:r>
      <w:hyperlink r:id="rId40" w:history="1">
        <w:r w:rsidR="001C5437" w:rsidRPr="001C5437">
          <w:rPr>
            <w:rStyle w:val="Hyperlink"/>
            <w:rFonts w:ascii="David" w:hAnsi="David" w:cs="David"/>
            <w:sz w:val="24"/>
            <w:szCs w:val="24"/>
            <w:rtl/>
          </w:rPr>
          <w:t>סעיף 40ד'</w:t>
        </w:r>
      </w:hyperlink>
      <w:r w:rsidRPr="004E0A41">
        <w:rPr>
          <w:rFonts w:ascii="David" w:hAnsi="David" w:cs="David"/>
          <w:sz w:val="24"/>
          <w:szCs w:val="24"/>
          <w:rtl/>
        </w:rPr>
        <w:t xml:space="preserve"> ל</w:t>
      </w:r>
      <w:hyperlink r:id="rId41" w:history="1">
        <w:r w:rsidR="009B06B2" w:rsidRPr="009B06B2">
          <w:rPr>
            <w:rFonts w:ascii="David" w:hAnsi="David" w:cs="David"/>
            <w:color w:val="0000FF"/>
            <w:sz w:val="24"/>
            <w:szCs w:val="24"/>
            <w:u w:val="single"/>
            <w:rtl/>
          </w:rPr>
          <w:t>חוק העונשין</w:t>
        </w:r>
      </w:hyperlink>
      <w:r w:rsidRPr="004E0A41">
        <w:rPr>
          <w:rFonts w:ascii="David" w:hAnsi="David" w:cs="David"/>
          <w:sz w:val="24"/>
          <w:szCs w:val="24"/>
          <w:rtl/>
        </w:rPr>
        <w:t xml:space="preserve"> ולסטות ממתחם הענישה מטעמי שיקום, או משיקולי צדק, או מטעמי חסד ורחמים, ולהימנע מענישה בדמות מאסר בפועל. לחילופין, ביקש להטיל על הנאשם מאסר בפועל לא ארוך הנמצא בגדר המתחם המבוקש לצד מאסר מותנה ממושך. </w:t>
      </w:r>
    </w:p>
    <w:p w14:paraId="05C3E765" w14:textId="77777777" w:rsidR="00E03000" w:rsidRPr="004E0A41" w:rsidRDefault="00E03000" w:rsidP="00E03000">
      <w:pPr>
        <w:pStyle w:val="a9"/>
        <w:spacing w:line="360" w:lineRule="auto"/>
        <w:ind w:left="644"/>
        <w:jc w:val="both"/>
        <w:rPr>
          <w:rFonts w:ascii="David" w:hAnsi="David" w:cs="David"/>
          <w:sz w:val="24"/>
          <w:szCs w:val="24"/>
          <w:rtl/>
        </w:rPr>
      </w:pPr>
    </w:p>
    <w:p w14:paraId="4790CC55"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בסיום דבריו טען ב"כ הנאשם שהמאסר המותנה שהוטל על הנאשם בגין הרשעתו בעבר אינו בר הפעלה שכן יש לחשבו ממועד בו ניתן גזר הדין ולא מעת שחרורו של הנאשם. אף אם יסתבר שהמאסר המותנה עומד בתוקפו, ביקש הסניגור להתחשב בנסיבותיו האישיות של הנאשם, ולהפעילו בחופף לעונש המאסר שייגזר עליו או בהצטברות מינימלית. הסניגור הפנה למצבה הכלכלי הקשה של משפחת הנאשם, ביקש להימנע מהטלת קנס ופיצוי למתלונן, ולחלופין פיצוי בסכום סמלי. </w:t>
      </w:r>
    </w:p>
    <w:p w14:paraId="18FBAD07" w14:textId="77777777" w:rsidR="00E03000" w:rsidRPr="004E0A41" w:rsidRDefault="00E03000" w:rsidP="00E03000">
      <w:pPr>
        <w:pStyle w:val="a9"/>
        <w:spacing w:line="360" w:lineRule="auto"/>
        <w:ind w:left="644"/>
        <w:jc w:val="both"/>
        <w:rPr>
          <w:rFonts w:ascii="David" w:hAnsi="David" w:cs="David"/>
          <w:sz w:val="24"/>
          <w:szCs w:val="24"/>
          <w:rtl/>
        </w:rPr>
      </w:pPr>
    </w:p>
    <w:p w14:paraId="0A299859" w14:textId="77777777" w:rsidR="00E03000" w:rsidRPr="004E0A41" w:rsidRDefault="00E03000" w:rsidP="00E03000">
      <w:pPr>
        <w:spacing w:line="360" w:lineRule="auto"/>
        <w:ind w:left="644" w:hanging="644"/>
        <w:jc w:val="both"/>
        <w:rPr>
          <w:rFonts w:ascii="David" w:hAnsi="David"/>
          <w:b/>
          <w:bCs/>
          <w:rtl/>
        </w:rPr>
      </w:pPr>
      <w:r>
        <w:rPr>
          <w:rFonts w:ascii="David" w:hAnsi="David" w:hint="cs"/>
          <w:rtl/>
        </w:rPr>
        <w:t>9</w:t>
      </w:r>
      <w:r w:rsidRPr="004E0A41">
        <w:rPr>
          <w:rFonts w:ascii="David" w:hAnsi="David"/>
          <w:rtl/>
        </w:rPr>
        <w:t>.</w:t>
      </w:r>
      <w:r w:rsidRPr="004E0A41">
        <w:rPr>
          <w:rFonts w:ascii="David" w:hAnsi="David"/>
          <w:rtl/>
        </w:rPr>
        <w:tab/>
        <w:t xml:space="preserve">בדברו האחרון מסר הנאשם שהוא מקווה שיהיה טוב, שהוא מבקש לחזור למשפחתו וסיכם: </w:t>
      </w:r>
      <w:r w:rsidRPr="004E0A41">
        <w:rPr>
          <w:rFonts w:ascii="David" w:hAnsi="David"/>
          <w:b/>
          <w:bCs/>
          <w:rtl/>
        </w:rPr>
        <w:t xml:space="preserve">"נקווה שישתנה לטוב". </w:t>
      </w:r>
    </w:p>
    <w:p w14:paraId="78C647A6" w14:textId="77777777" w:rsidR="00E03000" w:rsidRPr="004E0A41" w:rsidRDefault="00E03000" w:rsidP="00E03000">
      <w:pPr>
        <w:pStyle w:val="a9"/>
        <w:spacing w:line="360" w:lineRule="auto"/>
        <w:ind w:left="644"/>
        <w:jc w:val="both"/>
        <w:rPr>
          <w:rFonts w:ascii="David" w:hAnsi="David" w:cs="David"/>
          <w:b/>
          <w:bCs/>
          <w:sz w:val="24"/>
          <w:szCs w:val="24"/>
          <w:u w:val="single"/>
          <w:rtl/>
        </w:rPr>
      </w:pPr>
    </w:p>
    <w:p w14:paraId="69B7A9C8" w14:textId="77777777" w:rsidR="00E03000" w:rsidRPr="004E0A41" w:rsidRDefault="00E03000" w:rsidP="00E03000">
      <w:pPr>
        <w:pStyle w:val="a9"/>
        <w:spacing w:line="360" w:lineRule="auto"/>
        <w:ind w:left="644"/>
        <w:rPr>
          <w:rFonts w:ascii="David" w:hAnsi="David" w:cs="David"/>
          <w:b/>
          <w:bCs/>
          <w:sz w:val="24"/>
          <w:szCs w:val="24"/>
          <w:u w:val="single"/>
          <w:rtl/>
        </w:rPr>
      </w:pPr>
      <w:r w:rsidRPr="004E0A41">
        <w:rPr>
          <w:rFonts w:ascii="David" w:hAnsi="David" w:cs="David"/>
          <w:b/>
          <w:bCs/>
          <w:sz w:val="24"/>
          <w:szCs w:val="24"/>
          <w:u w:val="single"/>
          <w:rtl/>
        </w:rPr>
        <w:t>דיון ומסקנות</w:t>
      </w:r>
    </w:p>
    <w:p w14:paraId="45F94EDF" w14:textId="77777777" w:rsidR="00E03000" w:rsidRPr="004E0A41" w:rsidRDefault="00E03000" w:rsidP="00E03000">
      <w:pPr>
        <w:pStyle w:val="a9"/>
        <w:spacing w:line="360" w:lineRule="auto"/>
        <w:ind w:left="644"/>
        <w:rPr>
          <w:rFonts w:ascii="David" w:hAnsi="David" w:cs="David"/>
          <w:sz w:val="24"/>
          <w:szCs w:val="24"/>
          <w:rtl/>
        </w:rPr>
      </w:pPr>
    </w:p>
    <w:p w14:paraId="0853AC76" w14:textId="77777777" w:rsidR="00E03000" w:rsidRPr="004E0A41" w:rsidRDefault="00E03000" w:rsidP="00E03000">
      <w:pPr>
        <w:pStyle w:val="a9"/>
        <w:spacing w:line="360" w:lineRule="auto"/>
        <w:ind w:left="644"/>
        <w:rPr>
          <w:rFonts w:ascii="David" w:hAnsi="David" w:cs="David"/>
          <w:b/>
          <w:bCs/>
          <w:sz w:val="24"/>
          <w:szCs w:val="24"/>
          <w:u w:val="single"/>
          <w:rtl/>
        </w:rPr>
      </w:pPr>
      <w:r w:rsidRPr="004E0A41">
        <w:rPr>
          <w:rFonts w:ascii="David" w:hAnsi="David" w:cs="David"/>
          <w:b/>
          <w:bCs/>
          <w:sz w:val="24"/>
          <w:szCs w:val="24"/>
          <w:u w:val="single"/>
          <w:rtl/>
        </w:rPr>
        <w:t>מתחם העונש ההולם</w:t>
      </w:r>
    </w:p>
    <w:p w14:paraId="0D0BF07B" w14:textId="77777777" w:rsidR="00E03000" w:rsidRDefault="00E03000" w:rsidP="00E03000">
      <w:pPr>
        <w:spacing w:line="360" w:lineRule="auto"/>
        <w:ind w:left="644" w:hanging="644"/>
        <w:jc w:val="both"/>
        <w:rPr>
          <w:rFonts w:ascii="David" w:hAnsi="David"/>
          <w:rtl/>
        </w:rPr>
      </w:pPr>
      <w:r w:rsidRPr="004E0A41">
        <w:rPr>
          <w:rFonts w:ascii="David" w:hAnsi="David"/>
          <w:rtl/>
        </w:rPr>
        <w:t>1</w:t>
      </w:r>
      <w:r>
        <w:rPr>
          <w:rFonts w:ascii="David" w:hAnsi="David" w:hint="cs"/>
          <w:rtl/>
        </w:rPr>
        <w:t>0</w:t>
      </w:r>
      <w:r w:rsidRPr="004E0A41">
        <w:rPr>
          <w:rFonts w:ascii="David" w:hAnsi="David"/>
          <w:rtl/>
        </w:rPr>
        <w:t>.</w:t>
      </w:r>
      <w:r w:rsidRPr="004E0A41">
        <w:rPr>
          <w:rFonts w:ascii="David" w:hAnsi="David"/>
          <w:rtl/>
        </w:rPr>
        <w:tab/>
        <w:t xml:space="preserve">אין מחלוקת שכלל העבירות שביצע הנאשם מהוות אירוע אחד שבגינו ייקבע מתחם עונש אחד, ובהתאם </w:t>
      </w:r>
      <w:hyperlink r:id="rId42" w:history="1">
        <w:r w:rsidR="001C5437" w:rsidRPr="001C5437">
          <w:rPr>
            <w:rStyle w:val="Hyperlink"/>
            <w:rFonts w:ascii="David" w:hAnsi="David"/>
            <w:rtl/>
          </w:rPr>
          <w:t>לסעיף 40ט'</w:t>
        </w:r>
      </w:hyperlink>
      <w:r w:rsidRPr="004E0A41">
        <w:rPr>
          <w:rFonts w:ascii="David" w:hAnsi="David"/>
          <w:rtl/>
        </w:rPr>
        <w:t xml:space="preserve"> ל</w:t>
      </w:r>
      <w:hyperlink r:id="rId43" w:history="1">
        <w:r w:rsidR="009B06B2" w:rsidRPr="009B06B2">
          <w:rPr>
            <w:rFonts w:ascii="David" w:hAnsi="David"/>
            <w:color w:val="0000FF"/>
            <w:u w:val="single"/>
            <w:rtl/>
          </w:rPr>
          <w:t>חוק העונשין</w:t>
        </w:r>
      </w:hyperlink>
      <w:r w:rsidRPr="004E0A41">
        <w:rPr>
          <w:rFonts w:ascii="David" w:hAnsi="David"/>
          <w:rtl/>
        </w:rPr>
        <w:t xml:space="preserve"> ייקבע המתחם ההולם ע"פ הערכים החברתיים שנפגעו מביצוע העבירות, מידת הפגיעה בהם, הנסיבות הקשורות</w:t>
      </w:r>
      <w:r>
        <w:rPr>
          <w:rFonts w:ascii="David" w:hAnsi="David"/>
          <w:rtl/>
        </w:rPr>
        <w:t xml:space="preserve"> בביצוען ומדיניות הענישה הנוהגת</w:t>
      </w:r>
      <w:r>
        <w:rPr>
          <w:rFonts w:ascii="David" w:hAnsi="David" w:hint="cs"/>
          <w:rtl/>
        </w:rPr>
        <w:t>.</w:t>
      </w:r>
      <w:r w:rsidRPr="004E0A41">
        <w:rPr>
          <w:rFonts w:ascii="David" w:hAnsi="David"/>
          <w:rtl/>
        </w:rPr>
        <w:t xml:space="preserve"> </w:t>
      </w:r>
    </w:p>
    <w:p w14:paraId="1E154859" w14:textId="77777777" w:rsidR="00E03000" w:rsidRPr="004E0A41" w:rsidRDefault="00E03000" w:rsidP="00E03000">
      <w:pPr>
        <w:spacing w:line="360" w:lineRule="auto"/>
        <w:ind w:left="644" w:hanging="644"/>
        <w:jc w:val="both"/>
        <w:rPr>
          <w:rFonts w:ascii="David" w:hAnsi="David"/>
          <w:rtl/>
        </w:rPr>
      </w:pPr>
    </w:p>
    <w:p w14:paraId="31853182" w14:textId="77777777" w:rsidR="00E03000" w:rsidRPr="004E0A41" w:rsidRDefault="00E03000" w:rsidP="00E03000">
      <w:pPr>
        <w:spacing w:line="360" w:lineRule="auto"/>
        <w:ind w:left="644" w:hanging="644"/>
        <w:jc w:val="both"/>
        <w:rPr>
          <w:rFonts w:ascii="David" w:hAnsi="David"/>
          <w:rtl/>
        </w:rPr>
      </w:pPr>
      <w:r w:rsidRPr="004E0A41">
        <w:rPr>
          <w:rFonts w:ascii="David" w:hAnsi="David"/>
          <w:rtl/>
        </w:rPr>
        <w:t>1</w:t>
      </w:r>
      <w:r>
        <w:rPr>
          <w:rFonts w:ascii="David" w:hAnsi="David" w:hint="cs"/>
          <w:rtl/>
        </w:rPr>
        <w:t>1</w:t>
      </w:r>
      <w:r w:rsidRPr="004E0A41">
        <w:rPr>
          <w:rFonts w:ascii="David" w:hAnsi="David"/>
          <w:rtl/>
        </w:rPr>
        <w:t>.</w:t>
      </w:r>
      <w:r w:rsidRPr="004E0A41">
        <w:rPr>
          <w:rFonts w:ascii="David" w:hAnsi="David"/>
          <w:rtl/>
        </w:rPr>
        <w:tab/>
        <w:t xml:space="preserve">במעשיו פגע הנאשם במידה רבה בזכותו של המתלונן לכבוד ולשלמות גופו, בזכותו לביטחון אישי ושלוות נפש, וכן בעיקרון הבסיסי של שמירה על ערך החיים ועל שלום הציבור וביטחונו.  </w:t>
      </w:r>
    </w:p>
    <w:p w14:paraId="5DC92463" w14:textId="77777777" w:rsidR="00E03000"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התנהלותו של הנאשם חמורה במיוחד משום שהוא התנהג כלפי המתלונן בקור רוח וגילה אדישות מוחלטת לתוצאות האפשריות של מעשיו, ולמרות קרבת המשפחה ויחסי החברות ביניהם, הוא לא היסס לשלוף את נשקו ולירות במתלונן </w:t>
      </w:r>
      <w:r w:rsidRPr="004E0A41">
        <w:rPr>
          <w:rFonts w:ascii="David" w:hAnsi="David" w:cs="David"/>
          <w:sz w:val="24"/>
          <w:szCs w:val="24"/>
          <w:u w:val="single"/>
          <w:rtl/>
        </w:rPr>
        <w:t>מטווח קרוב מאד</w:t>
      </w:r>
      <w:r w:rsidRPr="004E0A41">
        <w:rPr>
          <w:rFonts w:ascii="David" w:hAnsi="David" w:cs="David"/>
          <w:sz w:val="24"/>
          <w:szCs w:val="24"/>
          <w:rtl/>
        </w:rPr>
        <w:t xml:space="preserve"> </w:t>
      </w:r>
      <w:r w:rsidRPr="004E0A41">
        <w:rPr>
          <w:rFonts w:ascii="David" w:hAnsi="David" w:cs="David"/>
          <w:sz w:val="24"/>
          <w:szCs w:val="24"/>
          <w:u w:val="single"/>
          <w:rtl/>
        </w:rPr>
        <w:t xml:space="preserve"> פעמיים</w:t>
      </w:r>
      <w:r w:rsidRPr="004E0A41">
        <w:rPr>
          <w:rFonts w:ascii="David" w:hAnsi="David" w:cs="David"/>
          <w:sz w:val="24"/>
          <w:szCs w:val="24"/>
          <w:rtl/>
        </w:rPr>
        <w:t xml:space="preserve">, והכל רק משום שסבר שהמתלונן "מתרחק" ממנו ואינו שומר על קשר. </w:t>
      </w:r>
    </w:p>
    <w:p w14:paraId="0885D3D8" w14:textId="77777777" w:rsidR="00E03000" w:rsidRPr="004E0A41" w:rsidRDefault="00E03000" w:rsidP="00E03000">
      <w:pPr>
        <w:pStyle w:val="a9"/>
        <w:spacing w:line="360" w:lineRule="auto"/>
        <w:ind w:left="644"/>
        <w:jc w:val="both"/>
        <w:rPr>
          <w:rFonts w:ascii="David" w:hAnsi="David" w:cs="David"/>
          <w:sz w:val="24"/>
          <w:szCs w:val="24"/>
          <w:rtl/>
        </w:rPr>
      </w:pPr>
    </w:p>
    <w:p w14:paraId="111CABD6"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המתואר בכתב האישום המתוקן מקשה על הגדרת האירוע כ"ספונטני", שכן הנאשם יזם את הגעת המתלונן לביתו, הוא הצטייד מראש בנשק חם וטעון, וכשהתפתח ביניהם וויכוח מילולי הוא לא היסס לשלוף את נשקו ולירות במתלונן מטווח קצר מאד, ירייה שפגעה בכף רגלו השמאלית של האחרון. הנאשם לא חדל ממעשיו גם לאחר הפגיעה במתלונן, ומשזה תפס בידו של הנאשם שאחזה בנשק, ירה הנאשם בשנית ופגע שוב - הפעם בכף ידו השמאלית של המתלונן. התנהלות זו לצד המניע שבמעשי הנאשם - אותו חשד "להתרחקות" המתלונן וצמצום הקשר ביניהם  - מצביעים יותר על רצונו של הנאשם לפגוע במתלונן ולא על פרץ כעס רגעי. </w:t>
      </w:r>
    </w:p>
    <w:p w14:paraId="13F8E439" w14:textId="77777777" w:rsidR="00E03000" w:rsidRPr="004E0A41" w:rsidRDefault="00E03000" w:rsidP="00E03000">
      <w:pPr>
        <w:pStyle w:val="a9"/>
        <w:spacing w:line="360" w:lineRule="auto"/>
        <w:ind w:left="644"/>
        <w:rPr>
          <w:rFonts w:ascii="David" w:hAnsi="David" w:cs="David"/>
          <w:sz w:val="24"/>
          <w:szCs w:val="24"/>
          <w:rtl/>
        </w:rPr>
      </w:pPr>
    </w:p>
    <w:p w14:paraId="4E580A04"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חומרה נוספת טמונה בעצם נשיאת נשק חם וטעון  ע"י הנאשם ללא שיש בידו היתר כדין לכך, כמו גם השימוש שעשה בו המגלם פוטנציאל גבוה לגרימת נזק ניכר ומוחשי, בעיקר כלפי המתלונן שנורה ממרחק קרוב ויכול היה להיפגע בצורה חמורה יותר. אך לא רק כלפיו. כיון שהירי בוצע באזור מגורים טמונה בו סכנה גם לאחרים המתגוררים או עוברים בקרבת מקום, שהיו עלולים להיפגע בשוגג רק בשל היותם בסביבה, והמציאות מלמדת שלא אחת כבר אירעו מקרים כאלו. </w:t>
      </w:r>
    </w:p>
    <w:p w14:paraId="228514D8"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  </w:t>
      </w:r>
    </w:p>
    <w:p w14:paraId="667D70B1"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אחריות הנאשם על מעשיו הייתה בלעדית, הוא הבין היטב את פעולותיו ויכול היה לחדול מהן, אך הוא התעלם מהפגיעות שגרם למתלונן ובחר להמשיך לפגוע בו. </w:t>
      </w:r>
    </w:p>
    <w:p w14:paraId="7559286A" w14:textId="77777777" w:rsidR="00E03000" w:rsidRPr="004E0A41" w:rsidRDefault="00E03000" w:rsidP="00E03000">
      <w:pPr>
        <w:pStyle w:val="a9"/>
        <w:spacing w:line="360" w:lineRule="auto"/>
        <w:ind w:left="644"/>
        <w:jc w:val="both"/>
        <w:rPr>
          <w:rFonts w:ascii="David" w:hAnsi="David" w:cs="David"/>
          <w:sz w:val="24"/>
          <w:szCs w:val="24"/>
          <w:rtl/>
        </w:rPr>
      </w:pPr>
    </w:p>
    <w:p w14:paraId="78705CD8"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אין ספק כי מעשי הנאשם גרמו למתלונן פגיעה גופנית לא פשוטה, כמתואר בכתב האישום המתוקן וכעולה מהתיעוד הרפואי שהוגש בעניינו (ת/67 ו- ת/68; במ/3), כשבעקבות הירי נזקק המתלונן לניתוח בכף ידו ולאשפוז של כשבוע ימים בבית החולים. </w:t>
      </w:r>
    </w:p>
    <w:p w14:paraId="09A6D1DE" w14:textId="77777777" w:rsidR="00E03000" w:rsidRPr="004E0A41" w:rsidRDefault="00E03000" w:rsidP="00E03000">
      <w:pPr>
        <w:pStyle w:val="a9"/>
        <w:spacing w:line="360" w:lineRule="auto"/>
        <w:ind w:left="644"/>
        <w:rPr>
          <w:rFonts w:ascii="David" w:hAnsi="David" w:cs="David"/>
          <w:sz w:val="24"/>
          <w:szCs w:val="24"/>
          <w:rtl/>
        </w:rPr>
      </w:pPr>
    </w:p>
    <w:p w14:paraId="5FCDEDD0"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לטעמי, תיאור השתלשלות מעשי הנאשם והנזקים שגרם למתלונן מלמדים על פגיעה משמעותית בערכים החברתיים המוגנים.</w:t>
      </w:r>
    </w:p>
    <w:p w14:paraId="7A293F4B" w14:textId="77777777" w:rsidR="00E03000" w:rsidRPr="004E0A41" w:rsidRDefault="00E03000" w:rsidP="00E03000">
      <w:pPr>
        <w:pStyle w:val="a9"/>
        <w:spacing w:line="360" w:lineRule="auto"/>
        <w:ind w:left="644"/>
        <w:rPr>
          <w:rFonts w:ascii="David" w:hAnsi="David" w:cs="David"/>
          <w:sz w:val="24"/>
          <w:szCs w:val="24"/>
          <w:rtl/>
        </w:rPr>
      </w:pPr>
    </w:p>
    <w:p w14:paraId="1B6E0E51" w14:textId="77777777" w:rsidR="00E03000" w:rsidRPr="004E0A41" w:rsidRDefault="00E03000" w:rsidP="00E03000">
      <w:pPr>
        <w:pStyle w:val="a9"/>
        <w:spacing w:line="360" w:lineRule="auto"/>
        <w:ind w:left="644"/>
        <w:rPr>
          <w:rFonts w:ascii="David" w:hAnsi="David" w:cs="David"/>
          <w:b/>
          <w:bCs/>
          <w:sz w:val="24"/>
          <w:szCs w:val="24"/>
          <w:u w:val="single"/>
          <w:rtl/>
        </w:rPr>
      </w:pPr>
      <w:r w:rsidRPr="004E0A41">
        <w:rPr>
          <w:rFonts w:ascii="David" w:hAnsi="David" w:cs="David"/>
          <w:b/>
          <w:bCs/>
          <w:sz w:val="24"/>
          <w:szCs w:val="24"/>
          <w:u w:val="single"/>
          <w:rtl/>
        </w:rPr>
        <w:t>מדיניות הענישה הנוהגת</w:t>
      </w:r>
    </w:p>
    <w:p w14:paraId="68280CD2" w14:textId="77777777" w:rsidR="00E03000" w:rsidRPr="004E0A41" w:rsidRDefault="00E03000" w:rsidP="00E03000">
      <w:pPr>
        <w:spacing w:line="360" w:lineRule="auto"/>
        <w:ind w:left="646" w:hanging="644"/>
        <w:jc w:val="both"/>
        <w:rPr>
          <w:rFonts w:ascii="David" w:hAnsi="David"/>
          <w:rtl/>
        </w:rPr>
      </w:pPr>
      <w:r w:rsidRPr="004E0A41">
        <w:rPr>
          <w:rFonts w:ascii="David" w:hAnsi="David"/>
          <w:rtl/>
        </w:rPr>
        <w:t>1</w:t>
      </w:r>
      <w:r>
        <w:rPr>
          <w:rFonts w:ascii="David" w:hAnsi="David" w:hint="cs"/>
          <w:rtl/>
        </w:rPr>
        <w:t>2</w:t>
      </w:r>
      <w:r w:rsidRPr="004E0A41">
        <w:rPr>
          <w:rFonts w:ascii="David" w:hAnsi="David"/>
          <w:rtl/>
        </w:rPr>
        <w:t>.</w:t>
      </w:r>
      <w:r w:rsidRPr="004E0A41">
        <w:rPr>
          <w:rFonts w:ascii="David" w:hAnsi="David"/>
          <w:rtl/>
        </w:rPr>
        <w:tab/>
        <w:t>לעניין מדיניות הענישה הנוהגת בעבירות אלו;</w:t>
      </w:r>
    </w:p>
    <w:p w14:paraId="6380B47F" w14:textId="77777777" w:rsidR="00E03000" w:rsidRPr="004E0A41" w:rsidRDefault="00E03000" w:rsidP="00E03000">
      <w:pPr>
        <w:spacing w:line="360" w:lineRule="auto"/>
        <w:ind w:left="646"/>
        <w:jc w:val="both"/>
        <w:rPr>
          <w:rFonts w:ascii="David" w:hAnsi="David"/>
          <w:rtl/>
        </w:rPr>
      </w:pPr>
      <w:r w:rsidRPr="004E0A41">
        <w:rPr>
          <w:rFonts w:ascii="David" w:hAnsi="David"/>
          <w:rtl/>
        </w:rPr>
        <w:t>אין ספור פעמים עמד בית המשפט על החומרה הרבה הטמונה בעבירות אלימות בכלל, ובעבירות בהן מעורב נשק בפרט, ומדיניות הענישה שנקבעה היא מחמירה ושמה דגש על היבטי ההרתעה והגמול, בעיקר כשעבירות האלימות והנשק מבוצעות כאמצעי לפתרון סכסוכים.</w:t>
      </w:r>
    </w:p>
    <w:p w14:paraId="5B994EAB" w14:textId="77777777" w:rsidR="00E03000" w:rsidRPr="004E0A41" w:rsidRDefault="00E03000" w:rsidP="00E03000">
      <w:pPr>
        <w:spacing w:line="360" w:lineRule="auto"/>
        <w:ind w:left="646"/>
        <w:jc w:val="both"/>
        <w:rPr>
          <w:rFonts w:ascii="David" w:hAnsi="David"/>
          <w:rtl/>
        </w:rPr>
      </w:pPr>
      <w:r w:rsidRPr="004E0A41">
        <w:rPr>
          <w:rFonts w:ascii="David" w:hAnsi="David"/>
          <w:rtl/>
        </w:rPr>
        <w:t>ב</w:t>
      </w:r>
      <w:hyperlink r:id="rId44" w:history="1">
        <w:r w:rsidR="009B06B2" w:rsidRPr="009B06B2">
          <w:rPr>
            <w:rFonts w:ascii="David" w:hAnsi="David"/>
            <w:color w:val="0000FF"/>
            <w:u w:val="single"/>
            <w:rtl/>
          </w:rPr>
          <w:t>ע"פ 5717/14</w:t>
        </w:r>
      </w:hyperlink>
      <w:r w:rsidRPr="004E0A41">
        <w:rPr>
          <w:rFonts w:ascii="David" w:hAnsi="David"/>
          <w:rtl/>
        </w:rPr>
        <w:t xml:space="preserve"> </w:t>
      </w:r>
      <w:r w:rsidRPr="004E0A41">
        <w:rPr>
          <w:rFonts w:ascii="David" w:hAnsi="David"/>
          <w:b/>
          <w:bCs/>
          <w:rtl/>
        </w:rPr>
        <w:t>מדינת ישראל נ' מוסא גדבאן</w:t>
      </w:r>
      <w:r w:rsidRPr="004E0A41">
        <w:rPr>
          <w:rFonts w:ascii="David" w:hAnsi="David"/>
          <w:rtl/>
        </w:rPr>
        <w:t xml:space="preserve"> (02.12.14), נקבע: </w:t>
      </w:r>
    </w:p>
    <w:p w14:paraId="236BCA7E" w14:textId="77777777" w:rsidR="00E03000" w:rsidRPr="004E0A41" w:rsidRDefault="00E03000" w:rsidP="00E03000">
      <w:pPr>
        <w:pStyle w:val="a9"/>
        <w:spacing w:line="360" w:lineRule="auto"/>
        <w:ind w:left="646"/>
        <w:jc w:val="both"/>
        <w:rPr>
          <w:rFonts w:ascii="David" w:hAnsi="David" w:cs="David"/>
          <w:sz w:val="24"/>
          <w:szCs w:val="24"/>
          <w:rtl/>
        </w:rPr>
      </w:pPr>
      <w:r w:rsidRPr="004E0A41">
        <w:rPr>
          <w:rFonts w:ascii="David" w:hAnsi="David" w:cs="David"/>
          <w:b/>
          <w:bCs/>
          <w:sz w:val="24"/>
          <w:szCs w:val="24"/>
          <w:rtl/>
        </w:rPr>
        <w:t>"לנוכח חומרת העבירות מסוג זה, ההשלכות הרות האסון ופוטנציאל הסכנה הגלום לשלמות החיים, הגוף והנפש ולביטחון הציבור ופוטנציאל הפגיעה הגלום בהם, בית משפט זה קבע פעם אחר פעם כי יש לשדר מסר עונשי אשר ירתיע מפני ביצוע עבירות אלו, וזאת בדרך של נקיטה בענישה מחמירה אשר תרחיק את מבצע העבירה מן החברה לתקופת מאסר ממשית...עוד נקבע כי הדרישה להחמרה בעבירות אלה מועצמת כאשר עסקינן בנשק חם שרק צד אחד מחזיק בו...חומרתן של החזקת ונשיאת נשק ללא היתר כדין אינה תחומה אך לעבירות עצמן ולהיותן מנוגדות לחוק החרות. לא אחת, עבירות אלה מובילות- ולמצער רב החשש שיובילו- לעבירות נוספות של שימוש בנשק תוך פגיעה בזולת..."  (</w:t>
      </w:r>
      <w:r w:rsidRPr="004E0A41">
        <w:rPr>
          <w:rFonts w:ascii="David" w:hAnsi="David" w:cs="David"/>
          <w:sz w:val="24"/>
          <w:szCs w:val="24"/>
          <w:rtl/>
        </w:rPr>
        <w:t>פסקה 9).</w:t>
      </w:r>
    </w:p>
    <w:p w14:paraId="79440B7A" w14:textId="77777777" w:rsidR="00E03000" w:rsidRPr="004E0A41" w:rsidRDefault="00E03000" w:rsidP="00E03000">
      <w:pPr>
        <w:pStyle w:val="a9"/>
        <w:spacing w:line="360" w:lineRule="auto"/>
        <w:ind w:left="644"/>
        <w:rPr>
          <w:rFonts w:ascii="David" w:hAnsi="David" w:cs="David"/>
          <w:sz w:val="24"/>
          <w:szCs w:val="24"/>
          <w:rtl/>
        </w:rPr>
      </w:pPr>
    </w:p>
    <w:p w14:paraId="42794101" w14:textId="77777777" w:rsidR="00E03000" w:rsidRPr="004E0A41" w:rsidRDefault="00E03000" w:rsidP="00E03000">
      <w:pPr>
        <w:pStyle w:val="a9"/>
        <w:spacing w:line="360" w:lineRule="auto"/>
        <w:ind w:left="644"/>
        <w:rPr>
          <w:rFonts w:ascii="David" w:hAnsi="David" w:cs="David"/>
          <w:sz w:val="24"/>
          <w:szCs w:val="24"/>
          <w:rtl/>
        </w:rPr>
      </w:pPr>
      <w:r w:rsidRPr="004E0A41">
        <w:rPr>
          <w:rFonts w:ascii="David" w:hAnsi="David" w:cs="David"/>
          <w:sz w:val="24"/>
          <w:szCs w:val="24"/>
          <w:rtl/>
        </w:rPr>
        <w:t>ב</w:t>
      </w:r>
      <w:hyperlink r:id="rId45" w:history="1">
        <w:r w:rsidR="009B06B2" w:rsidRPr="009B06B2">
          <w:rPr>
            <w:rFonts w:ascii="David" w:hAnsi="David" w:cs="David"/>
            <w:color w:val="0000FF"/>
            <w:sz w:val="24"/>
            <w:szCs w:val="24"/>
            <w:u w:val="single"/>
            <w:rtl/>
          </w:rPr>
          <w:t>ע"פ 8381/17</w:t>
        </w:r>
      </w:hyperlink>
      <w:r w:rsidRPr="004E0A41">
        <w:rPr>
          <w:rFonts w:ascii="David" w:hAnsi="David" w:cs="David"/>
          <w:sz w:val="24"/>
          <w:szCs w:val="24"/>
          <w:rtl/>
        </w:rPr>
        <w:t xml:space="preserve"> </w:t>
      </w:r>
      <w:r w:rsidRPr="004E0A41">
        <w:rPr>
          <w:rFonts w:ascii="David" w:hAnsi="David" w:cs="David"/>
          <w:b/>
          <w:bCs/>
          <w:sz w:val="24"/>
          <w:szCs w:val="24"/>
          <w:rtl/>
        </w:rPr>
        <w:t>מדינת ישראל נ' טל איכילוב</w:t>
      </w:r>
      <w:r w:rsidRPr="004E0A41">
        <w:rPr>
          <w:rFonts w:ascii="David" w:hAnsi="David" w:cs="David"/>
          <w:sz w:val="24"/>
          <w:szCs w:val="24"/>
          <w:rtl/>
        </w:rPr>
        <w:t xml:space="preserve"> (24.04.18), נאמר: </w:t>
      </w:r>
    </w:p>
    <w:p w14:paraId="40BF9C9A" w14:textId="77777777" w:rsidR="00E03000" w:rsidRPr="004E0A41" w:rsidRDefault="00E03000" w:rsidP="00E03000">
      <w:pPr>
        <w:pStyle w:val="a9"/>
        <w:spacing w:line="360" w:lineRule="auto"/>
        <w:ind w:left="644"/>
        <w:rPr>
          <w:rFonts w:ascii="David" w:hAnsi="David" w:cs="David"/>
          <w:b/>
          <w:bCs/>
          <w:sz w:val="24"/>
          <w:szCs w:val="24"/>
          <w:rtl/>
        </w:rPr>
      </w:pPr>
    </w:p>
    <w:p w14:paraId="11E7A69A" w14:textId="77777777" w:rsidR="00E03000" w:rsidRPr="004E0A41" w:rsidRDefault="00E03000" w:rsidP="00E03000">
      <w:pPr>
        <w:pStyle w:val="a9"/>
        <w:spacing w:line="360" w:lineRule="auto"/>
        <w:ind w:left="644"/>
        <w:rPr>
          <w:rFonts w:ascii="David" w:hAnsi="David" w:cs="David"/>
          <w:b/>
          <w:bCs/>
          <w:sz w:val="24"/>
          <w:szCs w:val="24"/>
          <w:rtl/>
        </w:rPr>
      </w:pPr>
      <w:r w:rsidRPr="004E0A41">
        <w:rPr>
          <w:rFonts w:ascii="David" w:hAnsi="David" w:cs="David"/>
          <w:b/>
          <w:bCs/>
          <w:sz w:val="24"/>
          <w:szCs w:val="24"/>
          <w:rtl/>
        </w:rPr>
        <w:t xml:space="preserve">"הפסיקה הדגישה לא אחת את החומרה הטמונה בנקיטת אלימות לצורך פתרון סכסוכים, תוך עשיית דין עצמי והתעלמות מהוראות החוק (ראו, למשל, </w:t>
      </w:r>
      <w:hyperlink r:id="rId46" w:history="1">
        <w:r w:rsidR="009B06B2" w:rsidRPr="009B06B2">
          <w:rPr>
            <w:rFonts w:ascii="David" w:hAnsi="David" w:cs="David"/>
            <w:b/>
            <w:bCs/>
            <w:color w:val="0000FF"/>
            <w:sz w:val="24"/>
            <w:szCs w:val="24"/>
            <w:u w:val="single"/>
            <w:rtl/>
          </w:rPr>
          <w:t>ע"פ 6557/17</w:t>
        </w:r>
      </w:hyperlink>
      <w:r w:rsidRPr="004E0A41">
        <w:rPr>
          <w:rFonts w:ascii="David" w:hAnsi="David" w:cs="David"/>
          <w:b/>
          <w:bCs/>
          <w:sz w:val="24"/>
          <w:szCs w:val="24"/>
          <w:rtl/>
        </w:rPr>
        <w:t xml:space="preserve"> יהודה אוחיון נ' מדינת ישראל, [פורסם בנבו] פסקה 21 (10.1.2018)). התנהגות אלימה זו מובילה פעמים רבות לפגיעה בגוף ובנפש, עלולה לגרום לאובדן חיי אדם, ומשכך מסכנת את שלום הציבור וביטחונו.</w:t>
      </w:r>
    </w:p>
    <w:p w14:paraId="7EEF0F93" w14:textId="77777777" w:rsidR="00E03000" w:rsidRPr="004E0A41" w:rsidRDefault="00E03000" w:rsidP="00E03000">
      <w:pPr>
        <w:pStyle w:val="a9"/>
        <w:spacing w:line="360" w:lineRule="auto"/>
        <w:ind w:left="644"/>
        <w:rPr>
          <w:rFonts w:ascii="David" w:hAnsi="David" w:cs="David"/>
          <w:sz w:val="24"/>
          <w:szCs w:val="24"/>
          <w:rtl/>
        </w:rPr>
      </w:pPr>
      <w:r w:rsidRPr="004E0A41">
        <w:rPr>
          <w:rFonts w:ascii="David" w:hAnsi="David" w:cs="David"/>
          <w:b/>
          <w:bCs/>
          <w:sz w:val="24"/>
          <w:szCs w:val="24"/>
          <w:rtl/>
        </w:rPr>
        <w:t xml:space="preserve">על מדיניות הענישה לשקף חומרה זו, שמא עבריינים ימשיכו לעשות דין לעצמם ולנקוט באלימות כמענה לפתרון סכסוכיהם. באופן זה, על העונש שנגזר לבטא את הסלידה שיש ממעשי אלימות ואכזריות כמתואר בכתב האישום שבפנינו." </w:t>
      </w:r>
      <w:r w:rsidRPr="004E0A41">
        <w:rPr>
          <w:rFonts w:ascii="David" w:hAnsi="David" w:cs="David"/>
          <w:sz w:val="24"/>
          <w:szCs w:val="24"/>
          <w:rtl/>
        </w:rPr>
        <w:t>(פסקה 16).</w:t>
      </w:r>
    </w:p>
    <w:p w14:paraId="34356BFF" w14:textId="77777777" w:rsidR="00E03000" w:rsidRPr="004E0A41" w:rsidRDefault="00E03000" w:rsidP="00E03000">
      <w:pPr>
        <w:pStyle w:val="a9"/>
        <w:spacing w:line="360" w:lineRule="auto"/>
        <w:ind w:left="644"/>
        <w:rPr>
          <w:rFonts w:ascii="David" w:hAnsi="David" w:cs="David"/>
          <w:sz w:val="24"/>
          <w:szCs w:val="24"/>
          <w:rtl/>
        </w:rPr>
      </w:pPr>
    </w:p>
    <w:p w14:paraId="007CD734" w14:textId="77777777" w:rsidR="00E03000" w:rsidRPr="004E0A41" w:rsidRDefault="00E03000" w:rsidP="00E03000">
      <w:pPr>
        <w:pStyle w:val="a9"/>
        <w:spacing w:line="360" w:lineRule="auto"/>
        <w:ind w:left="644"/>
        <w:rPr>
          <w:rFonts w:ascii="David" w:hAnsi="David" w:cs="David"/>
          <w:sz w:val="24"/>
          <w:szCs w:val="24"/>
          <w:rtl/>
        </w:rPr>
      </w:pPr>
      <w:r w:rsidRPr="004E0A41">
        <w:rPr>
          <w:rFonts w:ascii="David" w:hAnsi="David" w:cs="David"/>
          <w:sz w:val="24"/>
          <w:szCs w:val="24"/>
          <w:rtl/>
        </w:rPr>
        <w:t>ב</w:t>
      </w:r>
      <w:hyperlink r:id="rId47" w:history="1">
        <w:r w:rsidR="009B06B2" w:rsidRPr="009B06B2">
          <w:rPr>
            <w:rFonts w:ascii="David" w:hAnsi="David" w:cs="David"/>
            <w:color w:val="0000FF"/>
            <w:sz w:val="24"/>
            <w:szCs w:val="24"/>
            <w:u w:val="single"/>
            <w:rtl/>
          </w:rPr>
          <w:t>ע"פ 4406/19</w:t>
        </w:r>
      </w:hyperlink>
      <w:r w:rsidRPr="004E0A41">
        <w:rPr>
          <w:rFonts w:ascii="David" w:hAnsi="David" w:cs="David"/>
          <w:sz w:val="24"/>
          <w:szCs w:val="24"/>
          <w:rtl/>
        </w:rPr>
        <w:t xml:space="preserve"> </w:t>
      </w:r>
      <w:r w:rsidRPr="004E0A41">
        <w:rPr>
          <w:rFonts w:ascii="David" w:hAnsi="David" w:cs="David"/>
          <w:b/>
          <w:bCs/>
          <w:sz w:val="24"/>
          <w:szCs w:val="24"/>
          <w:rtl/>
        </w:rPr>
        <w:t>מדינת ישראל נ' סובח</w:t>
      </w:r>
      <w:r w:rsidRPr="004E0A41">
        <w:rPr>
          <w:rFonts w:ascii="David" w:hAnsi="David" w:cs="David"/>
          <w:sz w:val="24"/>
          <w:szCs w:val="24"/>
          <w:rtl/>
        </w:rPr>
        <w:t xml:space="preserve"> (05.11.19) חזר בית המשפט העליון על מדיניות הענישה המחמירה בה יש לנקוט כלפי מי שעושה שימוש בנשק חם כדרך ליישוב סכסוכים:</w:t>
      </w:r>
    </w:p>
    <w:p w14:paraId="505896E5" w14:textId="77777777" w:rsidR="00E03000" w:rsidRPr="004E0A41" w:rsidRDefault="00E03000" w:rsidP="00E03000">
      <w:pPr>
        <w:pStyle w:val="a9"/>
        <w:spacing w:line="360" w:lineRule="auto"/>
        <w:ind w:left="644"/>
        <w:rPr>
          <w:rFonts w:ascii="David" w:hAnsi="David" w:cs="David"/>
          <w:sz w:val="24"/>
          <w:szCs w:val="24"/>
          <w:rtl/>
        </w:rPr>
      </w:pPr>
    </w:p>
    <w:p w14:paraId="71A1A116" w14:textId="77777777" w:rsidR="00E03000" w:rsidRPr="004E0A41" w:rsidRDefault="00E03000" w:rsidP="00E03000">
      <w:pPr>
        <w:pStyle w:val="a9"/>
        <w:spacing w:line="360" w:lineRule="auto"/>
        <w:ind w:left="644"/>
        <w:jc w:val="both"/>
        <w:rPr>
          <w:rFonts w:ascii="David" w:hAnsi="David" w:cs="David"/>
          <w:b/>
          <w:bCs/>
          <w:sz w:val="24"/>
          <w:szCs w:val="24"/>
          <w:rtl/>
        </w:rPr>
      </w:pPr>
      <w:r w:rsidRPr="004E0A41">
        <w:rPr>
          <w:rFonts w:ascii="David" w:hAnsi="David" w:cs="David"/>
          <w:b/>
          <w:bCs/>
          <w:sz w:val="24"/>
          <w:szCs w:val="24"/>
          <w:rtl/>
        </w:rPr>
        <w:t>"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w:t>
      </w:r>
    </w:p>
    <w:p w14:paraId="60ADC2C0" w14:textId="77777777" w:rsidR="00E03000" w:rsidRPr="004E0A41" w:rsidRDefault="00E03000" w:rsidP="00E03000">
      <w:pPr>
        <w:pStyle w:val="a9"/>
        <w:spacing w:line="360" w:lineRule="auto"/>
        <w:ind w:left="644"/>
        <w:jc w:val="both"/>
        <w:rPr>
          <w:rFonts w:ascii="David" w:hAnsi="David" w:cs="David"/>
          <w:b/>
          <w:bCs/>
          <w:sz w:val="24"/>
          <w:szCs w:val="24"/>
          <w:rtl/>
        </w:rPr>
      </w:pPr>
      <w:r w:rsidRPr="004E0A41">
        <w:rPr>
          <w:rFonts w:ascii="David" w:hAnsi="David" w:cs="David"/>
          <w:b/>
          <w:bCs/>
          <w:sz w:val="24"/>
          <w:szCs w:val="24"/>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05152009" w14:textId="77777777" w:rsidR="00E03000" w:rsidRPr="004E0A41" w:rsidRDefault="00E03000" w:rsidP="00E03000">
      <w:pPr>
        <w:pStyle w:val="a9"/>
        <w:spacing w:line="360" w:lineRule="auto"/>
        <w:ind w:left="644"/>
        <w:jc w:val="both"/>
        <w:rPr>
          <w:rFonts w:ascii="David" w:hAnsi="David" w:cs="David"/>
          <w:b/>
          <w:bCs/>
          <w:sz w:val="24"/>
          <w:szCs w:val="24"/>
          <w:rtl/>
        </w:rPr>
      </w:pPr>
      <w:r w:rsidRPr="004E0A41">
        <w:rPr>
          <w:rFonts w:ascii="David" w:hAnsi="David" w:cs="David"/>
          <w:b/>
          <w:bCs/>
          <w:sz w:val="24"/>
          <w:szCs w:val="24"/>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167ABC68" w14:textId="77777777" w:rsidR="00E03000" w:rsidRPr="004E0A41" w:rsidRDefault="00E03000" w:rsidP="00E03000">
      <w:pPr>
        <w:pStyle w:val="a9"/>
        <w:spacing w:line="360" w:lineRule="auto"/>
        <w:ind w:left="644"/>
        <w:jc w:val="both"/>
        <w:rPr>
          <w:rFonts w:ascii="David" w:hAnsi="David" w:cs="David"/>
          <w:b/>
          <w:bCs/>
          <w:sz w:val="24"/>
          <w:szCs w:val="24"/>
          <w:rtl/>
        </w:rPr>
      </w:pPr>
      <w:r w:rsidRPr="004E0A41">
        <w:rPr>
          <w:rFonts w:ascii="David" w:hAnsi="David" w:cs="David"/>
          <w:b/>
          <w:bCs/>
          <w:sz w:val="24"/>
          <w:szCs w:val="24"/>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7D9AB207"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b/>
          <w:bCs/>
          <w:sz w:val="24"/>
          <w:szCs w:val="24"/>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r w:rsidRPr="004E0A41">
        <w:rPr>
          <w:rFonts w:ascii="David" w:hAnsi="David" w:cs="David"/>
          <w:sz w:val="24"/>
          <w:szCs w:val="24"/>
          <w:rtl/>
        </w:rPr>
        <w:t xml:space="preserve"> (עמוד</w:t>
      </w:r>
      <w:r>
        <w:rPr>
          <w:rFonts w:ascii="David" w:hAnsi="David" w:cs="David" w:hint="cs"/>
          <w:sz w:val="24"/>
          <w:szCs w:val="24"/>
          <w:rtl/>
        </w:rPr>
        <w:t>ים</w:t>
      </w:r>
      <w:r w:rsidRPr="004E0A41">
        <w:rPr>
          <w:rFonts w:ascii="David" w:hAnsi="David" w:cs="David"/>
          <w:sz w:val="24"/>
          <w:szCs w:val="24"/>
          <w:rtl/>
        </w:rPr>
        <w:t xml:space="preserve"> 10 ו- 11 לפסק הדין)</w:t>
      </w:r>
    </w:p>
    <w:p w14:paraId="32ACA4FD" w14:textId="77777777" w:rsidR="00E03000" w:rsidRPr="004E0A41" w:rsidRDefault="00E03000" w:rsidP="00E03000">
      <w:pPr>
        <w:pStyle w:val="a9"/>
        <w:spacing w:line="360" w:lineRule="auto"/>
        <w:ind w:left="644"/>
        <w:rPr>
          <w:rFonts w:ascii="David" w:hAnsi="David" w:cs="David"/>
          <w:sz w:val="24"/>
          <w:szCs w:val="24"/>
          <w:rtl/>
        </w:rPr>
      </w:pPr>
    </w:p>
    <w:p w14:paraId="24424DDC" w14:textId="77777777" w:rsidR="00E03000" w:rsidRPr="004E0A41" w:rsidRDefault="00E03000" w:rsidP="00E03000">
      <w:pPr>
        <w:pStyle w:val="a9"/>
        <w:spacing w:line="360" w:lineRule="auto"/>
        <w:ind w:left="644"/>
        <w:rPr>
          <w:rFonts w:ascii="David" w:hAnsi="David" w:cs="David"/>
          <w:b/>
          <w:bCs/>
          <w:sz w:val="24"/>
          <w:szCs w:val="24"/>
          <w:rtl/>
        </w:rPr>
      </w:pPr>
      <w:r w:rsidRPr="004E0A41">
        <w:rPr>
          <w:rFonts w:ascii="David" w:hAnsi="David" w:cs="David"/>
          <w:sz w:val="24"/>
          <w:szCs w:val="24"/>
          <w:rtl/>
        </w:rPr>
        <w:t xml:space="preserve">(ראו גם </w:t>
      </w:r>
      <w:hyperlink r:id="rId48" w:history="1">
        <w:r w:rsidR="009B06B2" w:rsidRPr="009B06B2">
          <w:rPr>
            <w:rFonts w:ascii="David" w:hAnsi="David" w:cs="David"/>
            <w:color w:val="0000FF"/>
            <w:sz w:val="24"/>
            <w:szCs w:val="24"/>
            <w:u w:val="single"/>
            <w:rtl/>
          </w:rPr>
          <w:t>ע"פ 6989/13</w:t>
        </w:r>
      </w:hyperlink>
      <w:r w:rsidRPr="004E0A41">
        <w:rPr>
          <w:rFonts w:ascii="David" w:hAnsi="David" w:cs="David"/>
          <w:b/>
          <w:bCs/>
          <w:sz w:val="24"/>
          <w:szCs w:val="24"/>
          <w:rtl/>
        </w:rPr>
        <w:t xml:space="preserve"> פרח נ' מדינת ישראל (</w:t>
      </w:r>
      <w:r w:rsidRPr="004E0A41">
        <w:rPr>
          <w:rFonts w:ascii="David" w:hAnsi="David" w:cs="David"/>
          <w:sz w:val="24"/>
          <w:szCs w:val="24"/>
          <w:rtl/>
        </w:rPr>
        <w:t xml:space="preserve">25.2.14)). </w:t>
      </w:r>
      <w:r w:rsidRPr="004E0A41">
        <w:rPr>
          <w:rFonts w:ascii="David" w:hAnsi="David" w:cs="David"/>
          <w:b/>
          <w:bCs/>
          <w:sz w:val="24"/>
          <w:szCs w:val="24"/>
          <w:rtl/>
        </w:rPr>
        <w:t xml:space="preserve"> </w:t>
      </w:r>
    </w:p>
    <w:p w14:paraId="1EB1C37F" w14:textId="77777777" w:rsidR="00E03000" w:rsidRPr="004E0A41" w:rsidRDefault="00E03000" w:rsidP="00E03000">
      <w:pPr>
        <w:pStyle w:val="a9"/>
        <w:spacing w:line="360" w:lineRule="auto"/>
        <w:ind w:left="644"/>
        <w:rPr>
          <w:rFonts w:ascii="David" w:hAnsi="David" w:cs="David"/>
          <w:sz w:val="24"/>
          <w:szCs w:val="24"/>
          <w:rtl/>
        </w:rPr>
      </w:pPr>
    </w:p>
    <w:p w14:paraId="24A5990F"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עם זאת אציין, שלמרות מגמת ההחמרה הקיימת בעבירות הללו על רקע האלימות הגוברת והשימוש התדיר בנשק חם, ניתן למצוא בהקשר זה ענישה מגוונת, המשתנה בהתאם לנסיבותיו של כל מקרה. כך ישנה חשיבות למספר היריות שנורו, למספר הנפגעים, לאופי וחומרת הפגיעות, סוג הנשק בו נעשה שימוש, פוטנציאל הנזק הסביבתי וגורמים נוספים. </w:t>
      </w:r>
    </w:p>
    <w:p w14:paraId="7FED9795" w14:textId="77777777" w:rsidR="00E03000" w:rsidRPr="004E0A41" w:rsidRDefault="00E03000" w:rsidP="00E03000">
      <w:pPr>
        <w:pStyle w:val="a9"/>
        <w:spacing w:line="360" w:lineRule="auto"/>
        <w:ind w:left="644"/>
        <w:rPr>
          <w:rFonts w:ascii="David" w:hAnsi="David" w:cs="David"/>
          <w:sz w:val="24"/>
          <w:szCs w:val="24"/>
          <w:rtl/>
        </w:rPr>
      </w:pPr>
    </w:p>
    <w:p w14:paraId="58DD25BD" w14:textId="77777777" w:rsidR="00E03000" w:rsidRPr="004E0A41" w:rsidRDefault="00E03000" w:rsidP="00E03000">
      <w:pPr>
        <w:spacing w:line="360" w:lineRule="auto"/>
        <w:rPr>
          <w:rFonts w:ascii="David" w:hAnsi="David"/>
          <w:rtl/>
        </w:rPr>
      </w:pPr>
      <w:r w:rsidRPr="004E0A41">
        <w:rPr>
          <w:rFonts w:ascii="David" w:hAnsi="David"/>
          <w:rtl/>
        </w:rPr>
        <w:t>1</w:t>
      </w:r>
      <w:r>
        <w:rPr>
          <w:rFonts w:ascii="David" w:hAnsi="David" w:hint="cs"/>
          <w:rtl/>
        </w:rPr>
        <w:t>3</w:t>
      </w:r>
      <w:r w:rsidRPr="004E0A41">
        <w:rPr>
          <w:rFonts w:ascii="David" w:hAnsi="David"/>
          <w:rtl/>
        </w:rPr>
        <w:t>.</w:t>
      </w:r>
      <w:r w:rsidRPr="004E0A41">
        <w:rPr>
          <w:rFonts w:ascii="David" w:hAnsi="David"/>
          <w:rtl/>
        </w:rPr>
        <w:tab/>
        <w:t>כדי ללמוד על מדיניות הענישה הציגו בפני הצדדים פסיקה התומכת בטיעוניהם;</w:t>
      </w:r>
    </w:p>
    <w:p w14:paraId="36FDB22E"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מרבית הפסיקה אליה הפנתה המאשימה עוסקת בעבירות נשק לצד עבירה של חבלה בכוונה מחמירה לפי </w:t>
      </w:r>
      <w:hyperlink r:id="rId49" w:history="1">
        <w:r w:rsidR="001C5437" w:rsidRPr="001C5437">
          <w:rPr>
            <w:rStyle w:val="Hyperlink"/>
            <w:rFonts w:ascii="David" w:hAnsi="David" w:cs="David"/>
            <w:sz w:val="24"/>
            <w:szCs w:val="24"/>
            <w:rtl/>
          </w:rPr>
          <w:t>סעיף 329(א)</w:t>
        </w:r>
      </w:hyperlink>
      <w:r w:rsidRPr="004E0A41">
        <w:rPr>
          <w:rFonts w:ascii="David" w:hAnsi="David" w:cs="David"/>
          <w:sz w:val="24"/>
          <w:szCs w:val="24"/>
          <w:rtl/>
        </w:rPr>
        <w:t xml:space="preserve"> לחוק, שהעונש בגינה חמור יותר מהעונש בגין עבירה של חבלה חמורה בנסיבות מחמירות לפי </w:t>
      </w:r>
      <w:hyperlink r:id="rId50" w:history="1">
        <w:r w:rsidR="001C5437" w:rsidRPr="001C5437">
          <w:rPr>
            <w:rStyle w:val="Hyperlink"/>
            <w:rFonts w:ascii="David" w:hAnsi="David" w:cs="David"/>
            <w:sz w:val="24"/>
            <w:szCs w:val="24"/>
            <w:rtl/>
          </w:rPr>
          <w:t>סעיפים 333+</w:t>
        </w:r>
      </w:hyperlink>
      <w:r w:rsidRPr="004E0A41">
        <w:rPr>
          <w:rFonts w:ascii="David" w:hAnsi="David" w:cs="David"/>
          <w:sz w:val="24"/>
          <w:szCs w:val="24"/>
          <w:rtl/>
        </w:rPr>
        <w:t xml:space="preserve"> </w:t>
      </w:r>
      <w:hyperlink r:id="rId51" w:history="1">
        <w:r w:rsidR="001C5437" w:rsidRPr="001C5437">
          <w:rPr>
            <w:rStyle w:val="Hyperlink"/>
            <w:rFonts w:ascii="David" w:hAnsi="David" w:cs="David"/>
            <w:sz w:val="24"/>
            <w:szCs w:val="24"/>
            <w:rtl/>
          </w:rPr>
          <w:t>335(א)(1)</w:t>
        </w:r>
      </w:hyperlink>
      <w:r w:rsidRPr="004E0A41">
        <w:rPr>
          <w:rFonts w:ascii="David" w:hAnsi="David" w:cs="David"/>
          <w:sz w:val="24"/>
          <w:szCs w:val="24"/>
          <w:rtl/>
        </w:rPr>
        <w:t xml:space="preserve"> בהם הורשע הנאשם, הגם שבחלק מאותם מקרים קיים דמיון מסוים בנסיבות ביצוע העבירות למעשי הנאשם (ראו למשל: </w:t>
      </w:r>
      <w:hyperlink r:id="rId52" w:history="1">
        <w:r w:rsidR="009B06B2" w:rsidRPr="009B06B2">
          <w:rPr>
            <w:rFonts w:ascii="David" w:hAnsi="David" w:cs="David"/>
            <w:color w:val="0000FF"/>
            <w:sz w:val="24"/>
            <w:szCs w:val="24"/>
            <w:u w:val="single"/>
            <w:rtl/>
          </w:rPr>
          <w:t>ע"פ 6359/18</w:t>
        </w:r>
      </w:hyperlink>
      <w:r w:rsidRPr="004E0A41">
        <w:rPr>
          <w:rFonts w:ascii="David" w:hAnsi="David" w:cs="David"/>
          <w:sz w:val="24"/>
          <w:szCs w:val="24"/>
          <w:rtl/>
        </w:rPr>
        <w:t xml:space="preserve"> </w:t>
      </w:r>
      <w:r w:rsidRPr="004E0A41">
        <w:rPr>
          <w:rFonts w:ascii="David" w:hAnsi="David" w:cs="David"/>
          <w:b/>
          <w:bCs/>
          <w:sz w:val="24"/>
          <w:szCs w:val="24"/>
          <w:rtl/>
        </w:rPr>
        <w:t>מדינת ישראל נ' מחאמיד</w:t>
      </w:r>
      <w:r w:rsidRPr="004E0A41">
        <w:rPr>
          <w:rFonts w:ascii="David" w:hAnsi="David" w:cs="David"/>
          <w:sz w:val="24"/>
          <w:szCs w:val="24"/>
          <w:rtl/>
        </w:rPr>
        <w:t xml:space="preserve"> (11.04.19); </w:t>
      </w:r>
      <w:hyperlink r:id="rId53" w:history="1">
        <w:r w:rsidR="009B06B2" w:rsidRPr="009B06B2">
          <w:rPr>
            <w:rFonts w:ascii="David" w:hAnsi="David" w:cs="David"/>
            <w:color w:val="0000FF"/>
            <w:sz w:val="24"/>
            <w:szCs w:val="24"/>
            <w:u w:val="single"/>
            <w:rtl/>
          </w:rPr>
          <w:t>ע"פ 9104/20</w:t>
        </w:r>
      </w:hyperlink>
      <w:r w:rsidRPr="004E0A41">
        <w:rPr>
          <w:rFonts w:ascii="David" w:hAnsi="David" w:cs="David"/>
          <w:sz w:val="24"/>
          <w:szCs w:val="24"/>
          <w:rtl/>
        </w:rPr>
        <w:t xml:space="preserve"> </w:t>
      </w:r>
      <w:r w:rsidRPr="004E0A41">
        <w:rPr>
          <w:rFonts w:ascii="David" w:hAnsi="David" w:cs="David"/>
          <w:b/>
          <w:bCs/>
          <w:sz w:val="24"/>
          <w:szCs w:val="24"/>
          <w:rtl/>
        </w:rPr>
        <w:t xml:space="preserve">מדינת ישראל נ' דוד טבצ'ניקוב </w:t>
      </w:r>
      <w:r w:rsidRPr="004E0A41">
        <w:rPr>
          <w:rFonts w:ascii="David" w:hAnsi="David" w:cs="David"/>
          <w:sz w:val="24"/>
          <w:szCs w:val="24"/>
          <w:rtl/>
        </w:rPr>
        <w:t xml:space="preserve">(04.03.21)).  </w:t>
      </w:r>
    </w:p>
    <w:p w14:paraId="3DA9657A" w14:textId="77777777" w:rsidR="00E03000" w:rsidRPr="004E0A41" w:rsidRDefault="00E03000" w:rsidP="00E03000">
      <w:pPr>
        <w:pStyle w:val="a9"/>
        <w:spacing w:line="360" w:lineRule="auto"/>
        <w:ind w:left="644"/>
        <w:rPr>
          <w:rFonts w:ascii="David" w:hAnsi="David" w:cs="David"/>
          <w:sz w:val="24"/>
          <w:szCs w:val="24"/>
          <w:rtl/>
        </w:rPr>
      </w:pPr>
    </w:p>
    <w:p w14:paraId="26A6E033" w14:textId="77777777" w:rsidR="00E03000" w:rsidRPr="004E0A41" w:rsidRDefault="00E03000" w:rsidP="00E03000">
      <w:pPr>
        <w:pStyle w:val="a9"/>
        <w:spacing w:line="360" w:lineRule="auto"/>
        <w:ind w:left="644"/>
        <w:jc w:val="both"/>
        <w:rPr>
          <w:rFonts w:ascii="David" w:hAnsi="David" w:cs="David"/>
          <w:b/>
          <w:bCs/>
          <w:sz w:val="24"/>
          <w:szCs w:val="24"/>
          <w:rtl/>
        </w:rPr>
      </w:pPr>
      <w:r w:rsidRPr="004E0A41">
        <w:rPr>
          <w:rFonts w:ascii="David" w:hAnsi="David" w:cs="David"/>
          <w:sz w:val="24"/>
          <w:szCs w:val="24"/>
          <w:rtl/>
        </w:rPr>
        <w:t>מנגד, רוב המקרים אליהם הפנה ב"כ הנאשם עוסקים בעבירות שונות בנשק שלחלקן נלוו עבירות של ירי באזור מגורים, אך בפסיקה שהציג לא נכללה הרשעה גם בעבירה של חבלה חמורה בנסיבות מחמירות שיש בה נופך משמעותי של חומרה. גם הנסיבות באותם מקרים שונות מאלו של הנאשם, בין משום שמדובר בעבירות קלות יותר, או נסיבות קלות יותר כמו ירי באוויר, או ירי ללא גרימת פגיעה גופנית למתלוננים, ובין משום שחלק מהמקרים הם לפני תיקון 113 ל</w:t>
      </w:r>
      <w:hyperlink r:id="rId54" w:history="1">
        <w:r w:rsidR="009B06B2" w:rsidRPr="009B06B2">
          <w:rPr>
            <w:rFonts w:ascii="David" w:hAnsi="David" w:cs="David"/>
            <w:color w:val="0000FF"/>
            <w:sz w:val="24"/>
            <w:szCs w:val="24"/>
            <w:u w:val="single"/>
            <w:rtl/>
          </w:rPr>
          <w:t>חוק העונשין</w:t>
        </w:r>
      </w:hyperlink>
      <w:r w:rsidRPr="004E0A41">
        <w:rPr>
          <w:rFonts w:ascii="David" w:hAnsi="David" w:cs="David"/>
          <w:sz w:val="24"/>
          <w:szCs w:val="24"/>
          <w:rtl/>
        </w:rPr>
        <w:t xml:space="preserve"> וחלקם כלל הסכמות לעניין העונש. (ראו לדוגמה: </w:t>
      </w:r>
      <w:hyperlink r:id="rId55" w:history="1">
        <w:r w:rsidR="009B06B2" w:rsidRPr="009B06B2">
          <w:rPr>
            <w:rFonts w:ascii="David" w:hAnsi="David" w:cs="David"/>
            <w:color w:val="0000FF"/>
            <w:sz w:val="24"/>
            <w:szCs w:val="24"/>
            <w:u w:val="single"/>
            <w:rtl/>
          </w:rPr>
          <w:t>ע"פ 1357/12</w:t>
        </w:r>
      </w:hyperlink>
      <w:r w:rsidRPr="004E0A41">
        <w:rPr>
          <w:rFonts w:ascii="David" w:hAnsi="David" w:cs="David"/>
          <w:sz w:val="24"/>
          <w:szCs w:val="24"/>
          <w:rtl/>
        </w:rPr>
        <w:t xml:space="preserve"> </w:t>
      </w:r>
      <w:r w:rsidRPr="004E0A41">
        <w:rPr>
          <w:rFonts w:ascii="David" w:hAnsi="David" w:cs="David"/>
          <w:b/>
          <w:bCs/>
          <w:sz w:val="24"/>
          <w:szCs w:val="24"/>
          <w:rtl/>
        </w:rPr>
        <w:t xml:space="preserve">דבאח סאלח נ' מדינת ישראל </w:t>
      </w:r>
      <w:r w:rsidRPr="004E0A41">
        <w:rPr>
          <w:rFonts w:ascii="David" w:hAnsi="David" w:cs="David"/>
          <w:sz w:val="24"/>
          <w:szCs w:val="24"/>
          <w:rtl/>
        </w:rPr>
        <w:t xml:space="preserve">(07.03.13); ת"פ 42697-05-18 </w:t>
      </w:r>
      <w:r w:rsidRPr="004E0A41">
        <w:rPr>
          <w:rFonts w:ascii="David" w:hAnsi="David" w:cs="David"/>
          <w:b/>
          <w:bCs/>
          <w:sz w:val="24"/>
          <w:szCs w:val="24"/>
          <w:rtl/>
        </w:rPr>
        <w:t xml:space="preserve">מדינת ישראל נ' בוקאעי </w:t>
      </w:r>
      <w:r w:rsidRPr="004E0A41">
        <w:rPr>
          <w:rFonts w:ascii="David" w:hAnsi="David" w:cs="David"/>
          <w:sz w:val="24"/>
          <w:szCs w:val="24"/>
          <w:rtl/>
        </w:rPr>
        <w:t xml:space="preserve">(01.11.18); ת"פ 34526-06-18 </w:t>
      </w:r>
      <w:r w:rsidRPr="004E0A41">
        <w:rPr>
          <w:rFonts w:ascii="David" w:hAnsi="David" w:cs="David"/>
          <w:b/>
          <w:bCs/>
          <w:sz w:val="24"/>
          <w:szCs w:val="24"/>
          <w:rtl/>
        </w:rPr>
        <w:t>מדינת</w:t>
      </w:r>
      <w:r w:rsidRPr="004E0A41">
        <w:rPr>
          <w:rFonts w:ascii="David" w:hAnsi="David" w:cs="David"/>
          <w:sz w:val="24"/>
          <w:szCs w:val="24"/>
          <w:rtl/>
        </w:rPr>
        <w:t xml:space="preserve"> </w:t>
      </w:r>
      <w:r w:rsidRPr="004E0A41">
        <w:rPr>
          <w:rFonts w:ascii="David" w:hAnsi="David" w:cs="David"/>
          <w:b/>
          <w:bCs/>
          <w:sz w:val="24"/>
          <w:szCs w:val="24"/>
          <w:rtl/>
        </w:rPr>
        <w:t>ישראל נ' כמיל</w:t>
      </w:r>
      <w:r w:rsidRPr="004E0A41">
        <w:rPr>
          <w:rFonts w:ascii="David" w:hAnsi="David" w:cs="David"/>
          <w:sz w:val="24"/>
          <w:szCs w:val="24"/>
          <w:rtl/>
        </w:rPr>
        <w:t xml:space="preserve"> </w:t>
      </w:r>
      <w:r w:rsidRPr="004E0A41">
        <w:rPr>
          <w:rFonts w:ascii="David" w:hAnsi="David" w:cs="David"/>
          <w:b/>
          <w:bCs/>
          <w:sz w:val="24"/>
          <w:szCs w:val="24"/>
          <w:rtl/>
        </w:rPr>
        <w:t>ואח'</w:t>
      </w:r>
      <w:r w:rsidRPr="004E0A41">
        <w:rPr>
          <w:rFonts w:ascii="David" w:hAnsi="David" w:cs="David"/>
          <w:sz w:val="24"/>
          <w:szCs w:val="24"/>
          <w:rtl/>
        </w:rPr>
        <w:t xml:space="preserve"> (28.11.11); </w:t>
      </w:r>
      <w:hyperlink r:id="rId56" w:history="1">
        <w:r w:rsidR="009B06B2" w:rsidRPr="009B06B2">
          <w:rPr>
            <w:rFonts w:ascii="David" w:hAnsi="David" w:cs="David"/>
            <w:color w:val="0000FF"/>
            <w:sz w:val="24"/>
            <w:szCs w:val="24"/>
            <w:u w:val="single"/>
            <w:rtl/>
          </w:rPr>
          <w:t>ע"פ 4460/11</w:t>
        </w:r>
      </w:hyperlink>
      <w:r w:rsidRPr="004E0A41">
        <w:rPr>
          <w:rFonts w:ascii="David" w:hAnsi="David" w:cs="David"/>
          <w:sz w:val="24"/>
          <w:szCs w:val="24"/>
          <w:rtl/>
        </w:rPr>
        <w:t xml:space="preserve"> </w:t>
      </w:r>
      <w:r w:rsidRPr="004E0A41">
        <w:rPr>
          <w:rFonts w:ascii="David" w:hAnsi="David" w:cs="David"/>
          <w:b/>
          <w:bCs/>
          <w:sz w:val="24"/>
          <w:szCs w:val="24"/>
          <w:rtl/>
        </w:rPr>
        <w:t>מדינת ישראל נ' אחמד פאיד</w:t>
      </w:r>
      <w:r w:rsidRPr="004E0A41">
        <w:rPr>
          <w:rFonts w:ascii="David" w:hAnsi="David" w:cs="David"/>
          <w:sz w:val="24"/>
          <w:szCs w:val="24"/>
          <w:rtl/>
        </w:rPr>
        <w:t xml:space="preserve"> (28.11.11) </w:t>
      </w:r>
      <w:hyperlink r:id="rId57" w:history="1">
        <w:r w:rsidR="007D622C" w:rsidRPr="007D622C">
          <w:rPr>
            <w:rFonts w:ascii="David" w:hAnsi="David" w:cs="David"/>
            <w:color w:val="0000FF"/>
            <w:sz w:val="24"/>
            <w:szCs w:val="24"/>
            <w:u w:val="single"/>
            <w:rtl/>
          </w:rPr>
          <w:t xml:space="preserve">ותפ"ח 18300-11-18 </w:t>
        </w:r>
      </w:hyperlink>
      <w:r w:rsidRPr="004E0A41">
        <w:rPr>
          <w:rFonts w:ascii="David" w:hAnsi="David" w:cs="David"/>
          <w:sz w:val="24"/>
          <w:szCs w:val="24"/>
          <w:rtl/>
        </w:rPr>
        <w:t xml:space="preserve"> </w:t>
      </w:r>
      <w:r w:rsidRPr="004E0A41">
        <w:rPr>
          <w:rFonts w:ascii="David" w:hAnsi="David" w:cs="David"/>
          <w:b/>
          <w:bCs/>
          <w:sz w:val="24"/>
          <w:szCs w:val="24"/>
          <w:rtl/>
        </w:rPr>
        <w:t xml:space="preserve">מדינת ישראל נ' נאשף </w:t>
      </w:r>
      <w:r w:rsidRPr="004E0A41">
        <w:rPr>
          <w:rFonts w:ascii="David" w:hAnsi="David" w:cs="David"/>
          <w:sz w:val="24"/>
          <w:szCs w:val="24"/>
          <w:rtl/>
        </w:rPr>
        <w:t>(07.05.19)</w:t>
      </w:r>
      <w:r w:rsidRPr="004E0A41">
        <w:rPr>
          <w:rFonts w:ascii="David" w:hAnsi="David" w:cs="David"/>
          <w:b/>
          <w:bCs/>
          <w:sz w:val="24"/>
          <w:szCs w:val="24"/>
          <w:rtl/>
        </w:rPr>
        <w:t xml:space="preserve">). </w:t>
      </w:r>
    </w:p>
    <w:p w14:paraId="6AF3C710" w14:textId="77777777" w:rsidR="00E03000" w:rsidRDefault="00E03000" w:rsidP="00E03000">
      <w:pPr>
        <w:pStyle w:val="a9"/>
        <w:spacing w:line="360" w:lineRule="auto"/>
        <w:ind w:left="644"/>
        <w:rPr>
          <w:rFonts w:ascii="David" w:hAnsi="David" w:cs="David"/>
          <w:sz w:val="24"/>
          <w:szCs w:val="24"/>
          <w:rtl/>
        </w:rPr>
      </w:pPr>
    </w:p>
    <w:p w14:paraId="2528960B" w14:textId="77777777" w:rsidR="00E03000" w:rsidRPr="004E0A41" w:rsidRDefault="00E03000" w:rsidP="00E03000">
      <w:pPr>
        <w:pStyle w:val="a9"/>
        <w:spacing w:line="360" w:lineRule="auto"/>
        <w:ind w:left="644"/>
        <w:rPr>
          <w:rFonts w:ascii="David" w:hAnsi="David" w:cs="David"/>
          <w:sz w:val="24"/>
          <w:szCs w:val="24"/>
          <w:rtl/>
        </w:rPr>
      </w:pPr>
      <w:r w:rsidRPr="004E0A41">
        <w:rPr>
          <w:rFonts w:ascii="David" w:hAnsi="David" w:cs="David"/>
          <w:sz w:val="24"/>
          <w:szCs w:val="24"/>
          <w:rtl/>
        </w:rPr>
        <w:t>למרות האמור, גם מהפסיקה אליה הפנה ב"כ הנאשם ניכרת החמרה בענישה שהוטלה על מבצעי עבירות נשק, גם במקרים בהם לא הי</w:t>
      </w:r>
      <w:r>
        <w:rPr>
          <w:rFonts w:ascii="David" w:hAnsi="David" w:cs="David" w:hint="cs"/>
          <w:sz w:val="24"/>
          <w:szCs w:val="24"/>
          <w:rtl/>
        </w:rPr>
        <w:t>י</w:t>
      </w:r>
      <w:r w:rsidRPr="004E0A41">
        <w:rPr>
          <w:rFonts w:ascii="David" w:hAnsi="David" w:cs="David"/>
          <w:sz w:val="24"/>
          <w:szCs w:val="24"/>
          <w:rtl/>
        </w:rPr>
        <w:t xml:space="preserve">תה הרשעה בעבירות נוספות.  </w:t>
      </w:r>
    </w:p>
    <w:p w14:paraId="2110E6C2" w14:textId="77777777" w:rsidR="00E03000" w:rsidRPr="004E0A41" w:rsidRDefault="00E03000" w:rsidP="00E03000">
      <w:pPr>
        <w:pStyle w:val="a9"/>
        <w:spacing w:line="360" w:lineRule="auto"/>
        <w:ind w:left="644"/>
        <w:rPr>
          <w:rFonts w:ascii="David" w:hAnsi="David" w:cs="David"/>
          <w:sz w:val="24"/>
          <w:szCs w:val="24"/>
          <w:rtl/>
        </w:rPr>
      </w:pPr>
    </w:p>
    <w:p w14:paraId="20717440" w14:textId="77777777" w:rsidR="00E03000" w:rsidRDefault="00E03000" w:rsidP="00E03000">
      <w:pPr>
        <w:spacing w:line="360" w:lineRule="auto"/>
        <w:ind w:left="644" w:hanging="644"/>
        <w:jc w:val="both"/>
        <w:rPr>
          <w:rFonts w:ascii="David" w:hAnsi="David"/>
          <w:rtl/>
        </w:rPr>
      </w:pPr>
      <w:r w:rsidRPr="004E0A41">
        <w:rPr>
          <w:rFonts w:ascii="David" w:hAnsi="David"/>
          <w:rtl/>
        </w:rPr>
        <w:t>1</w:t>
      </w:r>
      <w:r>
        <w:rPr>
          <w:rFonts w:ascii="David" w:hAnsi="David" w:hint="cs"/>
          <w:rtl/>
        </w:rPr>
        <w:t>4</w:t>
      </w:r>
      <w:r w:rsidRPr="004E0A41">
        <w:rPr>
          <w:rFonts w:ascii="David" w:hAnsi="David"/>
          <w:rtl/>
        </w:rPr>
        <w:t>.</w:t>
      </w:r>
      <w:r w:rsidRPr="004E0A41">
        <w:rPr>
          <w:rFonts w:ascii="David" w:hAnsi="David"/>
          <w:rtl/>
        </w:rPr>
        <w:tab/>
        <w:t>עוד בהקשר זה, אסקור מספר מקרים רלוונטיים אשר עוסקים בעבירות או נסיבות דומות לאלו שבהן הורשע הנאשם, ואשר עשויים לסייע בקביעת מתחם העונש;</w:t>
      </w:r>
    </w:p>
    <w:p w14:paraId="3B857193" w14:textId="77777777" w:rsidR="00E03000" w:rsidRPr="004E0A41" w:rsidRDefault="00E03000" w:rsidP="00E03000">
      <w:pPr>
        <w:spacing w:line="360" w:lineRule="auto"/>
        <w:ind w:left="644" w:hanging="644"/>
        <w:jc w:val="both"/>
        <w:rPr>
          <w:rFonts w:ascii="David" w:hAnsi="David"/>
        </w:rPr>
      </w:pPr>
    </w:p>
    <w:p w14:paraId="0962E255" w14:textId="77777777" w:rsidR="00E03000" w:rsidRDefault="00E03000" w:rsidP="00E03000">
      <w:pPr>
        <w:spacing w:line="360" w:lineRule="auto"/>
        <w:ind w:left="644"/>
        <w:jc w:val="both"/>
        <w:rPr>
          <w:rFonts w:ascii="David" w:hAnsi="David"/>
          <w:rtl/>
        </w:rPr>
      </w:pPr>
      <w:r w:rsidRPr="004E0A41">
        <w:rPr>
          <w:rFonts w:ascii="David" w:hAnsi="David"/>
          <w:rtl/>
        </w:rPr>
        <w:t>ב</w:t>
      </w:r>
      <w:hyperlink r:id="rId58" w:history="1">
        <w:r w:rsidR="009B06B2" w:rsidRPr="009B06B2">
          <w:rPr>
            <w:rFonts w:ascii="David" w:hAnsi="David"/>
            <w:color w:val="0000FF"/>
            <w:u w:val="single"/>
            <w:rtl/>
          </w:rPr>
          <w:t>ע"פ 1244/15</w:t>
        </w:r>
      </w:hyperlink>
      <w:r w:rsidRPr="004E0A41">
        <w:rPr>
          <w:rFonts w:ascii="David" w:hAnsi="David"/>
          <w:rtl/>
        </w:rPr>
        <w:t xml:space="preserve"> </w:t>
      </w:r>
      <w:r w:rsidRPr="004E0A41">
        <w:rPr>
          <w:rFonts w:ascii="David" w:hAnsi="David"/>
          <w:b/>
          <w:bCs/>
          <w:rtl/>
        </w:rPr>
        <w:t>אבו עאמר נ' מדינת ישראל</w:t>
      </w:r>
      <w:r w:rsidRPr="004E0A41">
        <w:rPr>
          <w:rFonts w:ascii="David" w:hAnsi="David"/>
          <w:rtl/>
        </w:rPr>
        <w:t xml:space="preserve"> (18.04.16), מדובר בנסיבות חמורות פחות מאלו  שבענייננו; המערער והמתלונן שכנים, שהיה ביניהם סכסוך לגבי שימוש בספסל בטון הנמצא סמוך לבית המתלונן. המתלונן ניסה למנוע מהמערער את השימוש בספסל, ובתגובה  ירה הנאשם מספר כדורים לעבר דלת הרכב בו ישבו המתלונן ובנו, אך איש מהם לא נפגע. המערער הורשע, על פי הודאתו, בעבירה של ניסיון לחבלה חמורה בנסיבות מחמירות ועבירה של החזקת נשק. בית המשפט המחוזי קבע מתחם ענישה שנע בין 3-6 שנות מאסר בפועל. הנאשם ללא עבר פלילי, נערכה סולחה בין הצדדים ושירות המבחן המליץ על הטלת צו מבחן ומאסר שירוצה בעבודות שירות. בית המשפט המחוזי גזר על המערער 4 שנות מאסר בפועל, ובית המשפט העליון קיבל את הערעור על חומרת העונש והפחית מהעונש והעמידו על 44 חודשי מאסר.</w:t>
      </w:r>
    </w:p>
    <w:p w14:paraId="319186C2" w14:textId="77777777" w:rsidR="00E03000" w:rsidRPr="004E0A41" w:rsidRDefault="00E03000" w:rsidP="00E03000">
      <w:pPr>
        <w:spacing w:line="360" w:lineRule="auto"/>
        <w:ind w:left="644"/>
        <w:jc w:val="both"/>
        <w:rPr>
          <w:rFonts w:ascii="David" w:hAnsi="David"/>
          <w:rtl/>
        </w:rPr>
      </w:pPr>
      <w:r w:rsidRPr="004E0A41">
        <w:rPr>
          <w:rFonts w:ascii="David" w:hAnsi="David"/>
          <w:rtl/>
        </w:rPr>
        <w:t xml:space="preserve"> </w:t>
      </w:r>
    </w:p>
    <w:p w14:paraId="36EB9CF0"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w:t>
      </w:r>
      <w:hyperlink r:id="rId59" w:history="1">
        <w:r w:rsidR="009B06B2" w:rsidRPr="009B06B2">
          <w:rPr>
            <w:rFonts w:ascii="David" w:hAnsi="David" w:cs="David"/>
            <w:color w:val="0000FF"/>
            <w:sz w:val="24"/>
            <w:szCs w:val="24"/>
            <w:u w:val="single"/>
            <w:rtl/>
          </w:rPr>
          <w:t>ת"פ (חי') 35364-01-18</w:t>
        </w:r>
      </w:hyperlink>
      <w:r w:rsidRPr="004E0A41">
        <w:rPr>
          <w:rFonts w:ascii="David" w:hAnsi="David" w:cs="David"/>
          <w:sz w:val="24"/>
          <w:szCs w:val="24"/>
          <w:rtl/>
        </w:rPr>
        <w:t xml:space="preserve"> </w:t>
      </w:r>
      <w:r w:rsidRPr="004E0A41">
        <w:rPr>
          <w:rFonts w:ascii="David" w:hAnsi="David" w:cs="David"/>
          <w:b/>
          <w:bCs/>
          <w:sz w:val="24"/>
          <w:szCs w:val="24"/>
          <w:rtl/>
        </w:rPr>
        <w:t>מדינת ישראל נ' מאלק אבו חוסין</w:t>
      </w:r>
      <w:r w:rsidRPr="004E0A41">
        <w:rPr>
          <w:rFonts w:ascii="David" w:hAnsi="David" w:cs="David"/>
          <w:sz w:val="24"/>
          <w:szCs w:val="24"/>
          <w:rtl/>
        </w:rPr>
        <w:t xml:space="preserve"> (31.01.19) הורשע הנאשם על פי הודאתו, בעבירות של חבלה חמורה בנסיבות מחמירות ונשיאת נשק והובלתו שלא כדין; בעקבות סכסוך כספי בין המתלונן ואחיו של הנאשם, הגיע הנאשם אל המתלונן ביחד עם אחרים. אחיו של הנאשם תקף את המתלונן במקל ובזמן שהמתלונן נאבק בו, הנאשם יצא מרכבו וירה מספר קליעים לעבר המתלונן, פגע בו בירך וגרם לו לחתך מדמם בקרקפת ופצע מדמם באיבר המין, אשר חייבו את אשפוזו של המתלונן בבית חולים. בית המשפט קבע מתחם הנע בין 3.5-6 שנות מאסר והטיל על הנאשם 42 חודשי מאסר בפועל. הנאשם ללא עבר פלילי, הגיש ערעור לבית המשפט העליון אשר נמחק לבקשתו (</w:t>
      </w:r>
      <w:hyperlink r:id="rId60" w:history="1">
        <w:r w:rsidR="009B06B2" w:rsidRPr="009B06B2">
          <w:rPr>
            <w:rFonts w:ascii="David" w:hAnsi="David" w:cs="David"/>
            <w:color w:val="0000FF"/>
            <w:sz w:val="24"/>
            <w:szCs w:val="24"/>
            <w:u w:val="single"/>
            <w:rtl/>
          </w:rPr>
          <w:t>ע"פ 1971/19</w:t>
        </w:r>
      </w:hyperlink>
      <w:r w:rsidRPr="004E0A41">
        <w:rPr>
          <w:rFonts w:ascii="David" w:hAnsi="David" w:cs="David"/>
          <w:sz w:val="24"/>
          <w:szCs w:val="24"/>
          <w:rtl/>
        </w:rPr>
        <w:t xml:space="preserve">) </w:t>
      </w:r>
    </w:p>
    <w:p w14:paraId="07F08293" w14:textId="77777777" w:rsidR="00E03000" w:rsidRPr="004E0A41" w:rsidRDefault="00E03000" w:rsidP="00E03000">
      <w:pPr>
        <w:pStyle w:val="a9"/>
        <w:spacing w:line="360" w:lineRule="auto"/>
        <w:ind w:left="644"/>
        <w:jc w:val="both"/>
        <w:rPr>
          <w:rFonts w:ascii="David" w:hAnsi="David" w:cs="David"/>
          <w:sz w:val="24"/>
          <w:szCs w:val="24"/>
          <w:rtl/>
        </w:rPr>
      </w:pPr>
    </w:p>
    <w:p w14:paraId="30CDFDA5"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w:t>
      </w:r>
      <w:hyperlink r:id="rId61" w:history="1">
        <w:r w:rsidR="009B06B2" w:rsidRPr="009B06B2">
          <w:rPr>
            <w:rFonts w:ascii="David" w:hAnsi="David" w:cs="David"/>
            <w:color w:val="0000FF"/>
            <w:sz w:val="24"/>
            <w:szCs w:val="24"/>
            <w:u w:val="single"/>
            <w:rtl/>
          </w:rPr>
          <w:t>ת"פ (חי') 69905-11-17</w:t>
        </w:r>
      </w:hyperlink>
      <w:r w:rsidRPr="004E0A41">
        <w:rPr>
          <w:rFonts w:ascii="David" w:hAnsi="David" w:cs="David"/>
          <w:sz w:val="24"/>
          <w:szCs w:val="24"/>
          <w:rtl/>
        </w:rPr>
        <w:t xml:space="preserve"> </w:t>
      </w:r>
      <w:r w:rsidRPr="004E0A41">
        <w:rPr>
          <w:rFonts w:ascii="David" w:hAnsi="David" w:cs="David"/>
          <w:b/>
          <w:bCs/>
          <w:sz w:val="24"/>
          <w:szCs w:val="24"/>
          <w:rtl/>
        </w:rPr>
        <w:t>מדינת ישראל נ' נעים עמאש</w:t>
      </w:r>
      <w:r w:rsidRPr="004E0A41">
        <w:rPr>
          <w:rFonts w:ascii="David" w:hAnsi="David" w:cs="David"/>
          <w:sz w:val="24"/>
          <w:szCs w:val="24"/>
          <w:rtl/>
        </w:rPr>
        <w:t xml:space="preserve"> (04.02.19) הורשע הנאשם על פי הוד</w:t>
      </w:r>
      <w:r>
        <w:rPr>
          <w:rFonts w:ascii="David" w:hAnsi="David" w:cs="David" w:hint="cs"/>
          <w:sz w:val="24"/>
          <w:szCs w:val="24"/>
          <w:rtl/>
        </w:rPr>
        <w:t>א</w:t>
      </w:r>
      <w:r w:rsidRPr="004E0A41">
        <w:rPr>
          <w:rFonts w:ascii="David" w:hAnsi="David" w:cs="David"/>
          <w:sz w:val="24"/>
          <w:szCs w:val="24"/>
          <w:rtl/>
        </w:rPr>
        <w:t>תו בעבירות של חבלה חמורה בנסיבות מחמירות ועבירות בנשק (החזקה, נשיאה והובלה), לאחר שירה לכיוון אדם אחר על רקע עימות ביניהם. במקום הירי שהו באותה עת המתלונן ואנשים נוספים שיצאו מחתונה שהסתיימה. אחד הכדורים פגע בידו של המתלונן. הנאשם ללא עבר פלילי והוגש הסכם סולחה. בית המשפט קבע מתחם ענישה הנע בין 4-6 שנות מאסר וגזר על הנאשם 4.5 שנות מאסר בפועל. (הנאשם חזר בו מהערעור בעליון ב</w:t>
      </w:r>
      <w:hyperlink r:id="rId62" w:history="1">
        <w:r w:rsidR="009B06B2" w:rsidRPr="009B06B2">
          <w:rPr>
            <w:rFonts w:ascii="David" w:hAnsi="David" w:cs="David"/>
            <w:color w:val="0000FF"/>
            <w:sz w:val="24"/>
            <w:szCs w:val="24"/>
            <w:u w:val="single"/>
            <w:rtl/>
          </w:rPr>
          <w:t>ע"פ 1843/19</w:t>
        </w:r>
      </w:hyperlink>
      <w:r w:rsidRPr="004E0A41">
        <w:rPr>
          <w:rFonts w:ascii="David" w:hAnsi="David" w:cs="David"/>
          <w:sz w:val="24"/>
          <w:szCs w:val="24"/>
          <w:rtl/>
        </w:rPr>
        <w:t>).</w:t>
      </w:r>
    </w:p>
    <w:p w14:paraId="69887E47" w14:textId="77777777" w:rsidR="00E03000" w:rsidRPr="004E0A41" w:rsidRDefault="00E03000" w:rsidP="00E03000">
      <w:pPr>
        <w:pStyle w:val="a9"/>
        <w:spacing w:line="360" w:lineRule="auto"/>
        <w:ind w:left="644"/>
        <w:jc w:val="both"/>
        <w:rPr>
          <w:rFonts w:ascii="David" w:hAnsi="David" w:cs="David"/>
          <w:sz w:val="24"/>
          <w:szCs w:val="24"/>
          <w:rtl/>
        </w:rPr>
      </w:pPr>
    </w:p>
    <w:p w14:paraId="346153BE"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בת"פ (מרכז) 22030-04-19 </w:t>
      </w:r>
      <w:r w:rsidRPr="004E0A41">
        <w:rPr>
          <w:rFonts w:ascii="David" w:hAnsi="David" w:cs="David"/>
          <w:b/>
          <w:bCs/>
          <w:sz w:val="24"/>
          <w:szCs w:val="24"/>
          <w:rtl/>
        </w:rPr>
        <w:t>מדינת ישראל נ' סלח בן יעקב אבו סאלימן</w:t>
      </w:r>
      <w:r w:rsidRPr="004E0A41">
        <w:rPr>
          <w:rFonts w:ascii="David" w:hAnsi="David" w:cs="David"/>
          <w:sz w:val="24"/>
          <w:szCs w:val="24"/>
          <w:rtl/>
        </w:rPr>
        <w:t xml:space="preserve"> (02.07.20) הנאשם הורשע על פי הודאתו בעבירות של חבלה חמורה בנסיבות מחמירות, נשיאת נשק ותחמושת והחזקת סכין; הנאשם נסע עם אחרים נוספים ברכב למקום בו נמצא המתלונן יחד עם אחר. הם קראו למתלונן לצאת מהרכב והנאשם ירה לעברו באמצעות נשק כשהוא עומד במרחק של כמטר ממנו. כדור אחד פגע בירך השמאלית של המתלונן ויצא מהצד השני, וכדור נוסף פצע את המתלונן באזור הברך הימנית. בית המשפט קבע מתחם הנע בין 4.5 ל- 7.5 שנות מאסר. לנאשם עבר פלילי ונערכה סולחה ועל הנאשם נגזרו 5 שנות מאסר בפועל</w:t>
      </w:r>
      <w:r>
        <w:rPr>
          <w:rFonts w:ascii="David" w:hAnsi="David" w:cs="David" w:hint="cs"/>
          <w:sz w:val="24"/>
          <w:szCs w:val="24"/>
          <w:rtl/>
        </w:rPr>
        <w:t xml:space="preserve"> (טרם הסתיים עניינם של נאשמים נוספים בהליך)</w:t>
      </w:r>
      <w:r w:rsidRPr="004E0A41">
        <w:rPr>
          <w:rFonts w:ascii="David" w:hAnsi="David" w:cs="David"/>
          <w:sz w:val="24"/>
          <w:szCs w:val="24"/>
          <w:rtl/>
        </w:rPr>
        <w:t>.</w:t>
      </w:r>
    </w:p>
    <w:p w14:paraId="14D673B9"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 </w:t>
      </w:r>
    </w:p>
    <w:p w14:paraId="02222F91"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w:t>
      </w:r>
      <w:hyperlink r:id="rId63" w:history="1">
        <w:r w:rsidR="009B06B2" w:rsidRPr="009B06B2">
          <w:rPr>
            <w:rFonts w:ascii="David" w:hAnsi="David" w:cs="David"/>
            <w:color w:val="0000FF"/>
            <w:sz w:val="24"/>
            <w:szCs w:val="24"/>
            <w:u w:val="single"/>
            <w:rtl/>
          </w:rPr>
          <w:t>ע"פ 4119/14</w:t>
        </w:r>
      </w:hyperlink>
      <w:r w:rsidRPr="004E0A41">
        <w:rPr>
          <w:rFonts w:ascii="David" w:hAnsi="David" w:cs="David"/>
          <w:sz w:val="24"/>
          <w:szCs w:val="24"/>
          <w:rtl/>
        </w:rPr>
        <w:t xml:space="preserve"> </w:t>
      </w:r>
      <w:r w:rsidRPr="004E0A41">
        <w:rPr>
          <w:rFonts w:ascii="David" w:hAnsi="David" w:cs="David"/>
          <w:b/>
          <w:bCs/>
          <w:sz w:val="24"/>
          <w:szCs w:val="24"/>
          <w:rtl/>
        </w:rPr>
        <w:t>אחמד הנבוזי נ' מדינת ישראל</w:t>
      </w:r>
      <w:r w:rsidRPr="004E0A41">
        <w:rPr>
          <w:rFonts w:ascii="David" w:hAnsi="David" w:cs="David"/>
          <w:sz w:val="24"/>
          <w:szCs w:val="24"/>
          <w:rtl/>
        </w:rPr>
        <w:t xml:space="preserve"> (21.09.14) המערער הורשע על פי הודאתו בעבירות של חבלה חמורה בנסיבות מחמירות, נשיאת והובלת נשק וירי באזור מגורים. הרקע לירי הוא סכסוך בין משפחת המערער למשפחה אחרת וסכסוך אישי בין המערער לאחד מבני המשפחה היריבה.  לאחר תיאום נפגשו המערער ודודו עם שניים מהמשפחה האחרת, ובמהלך הפגישה התפתח ביניהם דין ודברים והמערער שלף נשק בו החזיק והתחיל לרוץ עמו באזור מגורים, וכאשר בני המשפחה האחרת רצו אחריו ירה המערער מספר יריות באוויר. לאחר מכן, הגיע המערער למקום אחר אליו הגיעו עוד שלושה ברכב - שניים מהם מהמשפחה היריבה, השלושה יצאו מהרכב והתקרבו למערער ואחד מהם החזיק בידו חפץ הנחזה כנשק. בנסיבות אלו ירה שוב הנאשם מספר יריות לעבר שניים מהם שעמדו במרחק של כמה מטרים ממנו ואחד נפגע ברגלו. קליע נוסף שירה המערער פגע בשני אנשים אחרים, שלא היו קשורים לאירוע ואשר שהו בביתם שהיה בקרבת המקום.</w:t>
      </w:r>
      <w:r w:rsidRPr="004E0A41">
        <w:rPr>
          <w:rFonts w:ascii="David" w:hAnsi="David" w:cs="David"/>
          <w:b/>
          <w:bCs/>
          <w:sz w:val="24"/>
          <w:szCs w:val="24"/>
          <w:rtl/>
        </w:rPr>
        <w:t xml:space="preserve"> </w:t>
      </w:r>
      <w:r w:rsidRPr="004E0A41">
        <w:rPr>
          <w:rFonts w:ascii="David" w:hAnsi="David" w:cs="David"/>
          <w:sz w:val="24"/>
          <w:szCs w:val="24"/>
          <w:rtl/>
        </w:rPr>
        <w:t xml:space="preserve">המערער היה כבן 19, ובמקביל לתיק זה נגזר דינו בתיק נוסף שהתנהל בבית המשפט לנוער על עבירה בנשק, שבגינה נדון  ל- 5 חודשי מאסר בפועל. בית המשפט המחוזי קבע מתחם ענישה הנע בין 2-5 שנות מאסר, וגזר על המערער 36 חודשי מאסר בפועל, תוך שדחה את בקשה המאשימה להפעיל במצטבר את העונש שהוטל בבית המשפט לנוער. במסגרת העונש בית המשפט התחשב, בין היתר, בנסיבות הבאות - הירי נעשה כתוצאה מאיום ופחד שחש המערער על חייו מהאחרים, ונסיבותיו האישיות והמשפחתיות של המערער שאחיו נרצח במסגרת הסכסוך בין המשפחות. </w:t>
      </w:r>
    </w:p>
    <w:p w14:paraId="7487795B"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בית המשפט העליון דחה את ערעור המערער על חומרת העונש, ולאחר התלבטות דחה גם את ערעור המדינה על קולת העונש תוך שקבע כי אין להתעלם מהרקע ומהאירועים הקודמים שהתרחשו במסגרת הסכסוך, וכי </w:t>
      </w:r>
      <w:r w:rsidRPr="004E0A41">
        <w:rPr>
          <w:rFonts w:ascii="David" w:hAnsi="David" w:cs="David"/>
          <w:b/>
          <w:bCs/>
          <w:sz w:val="24"/>
          <w:szCs w:val="24"/>
          <w:rtl/>
        </w:rPr>
        <w:t>"...גם אם העונש נוטה לקולה אין מקום להתערב בו, משום שאין מדובר, בנסיבות המיוחדות של המקרה, בסטייה קיצונית מרמת הענישה הראויה במקרים דומים"</w:t>
      </w:r>
      <w:r w:rsidRPr="004E0A41">
        <w:rPr>
          <w:rFonts w:ascii="David" w:hAnsi="David" w:cs="David"/>
          <w:sz w:val="24"/>
          <w:szCs w:val="24"/>
          <w:rtl/>
        </w:rPr>
        <w:t xml:space="preserve">. (שם, בעמוד 9). </w:t>
      </w:r>
    </w:p>
    <w:p w14:paraId="0C47944C" w14:textId="77777777" w:rsidR="00E03000" w:rsidRPr="004E0A41" w:rsidRDefault="00E03000" w:rsidP="00E03000">
      <w:pPr>
        <w:pStyle w:val="a9"/>
        <w:spacing w:line="360" w:lineRule="auto"/>
        <w:ind w:left="644"/>
        <w:rPr>
          <w:rFonts w:ascii="David" w:hAnsi="David" w:cs="David"/>
          <w:sz w:val="24"/>
          <w:szCs w:val="24"/>
          <w:rtl/>
        </w:rPr>
      </w:pPr>
    </w:p>
    <w:p w14:paraId="3110D1F2"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w:t>
      </w:r>
      <w:hyperlink r:id="rId64" w:history="1">
        <w:r w:rsidR="009B06B2" w:rsidRPr="009B06B2">
          <w:rPr>
            <w:rFonts w:ascii="David" w:hAnsi="David" w:cs="David"/>
            <w:color w:val="0000FF"/>
            <w:sz w:val="24"/>
            <w:szCs w:val="24"/>
            <w:u w:val="single"/>
            <w:rtl/>
          </w:rPr>
          <w:t>ע"פ 4406/19</w:t>
        </w:r>
      </w:hyperlink>
      <w:r w:rsidRPr="004E0A41">
        <w:rPr>
          <w:rFonts w:ascii="David" w:hAnsi="David" w:cs="David"/>
          <w:sz w:val="24"/>
          <w:szCs w:val="24"/>
          <w:rtl/>
        </w:rPr>
        <w:t xml:space="preserve"> </w:t>
      </w:r>
      <w:r w:rsidRPr="004E0A41">
        <w:rPr>
          <w:rFonts w:ascii="David" w:hAnsi="David" w:cs="David"/>
          <w:b/>
          <w:bCs/>
          <w:sz w:val="24"/>
          <w:szCs w:val="24"/>
          <w:rtl/>
        </w:rPr>
        <w:t>מדינת ישראל נ' סובח ואח'</w:t>
      </w:r>
      <w:r w:rsidRPr="004E0A41">
        <w:rPr>
          <w:rFonts w:ascii="David" w:hAnsi="David" w:cs="David"/>
          <w:sz w:val="24"/>
          <w:szCs w:val="24"/>
          <w:rtl/>
        </w:rPr>
        <w:t xml:space="preserve"> (05.11.19) מדובר בשלושה משיבים שהורשעו על פי הודאתם בביצוע עבירות אלימות ונשק על רקע סכסוך משפחות, כאשר היו שני אירועי ירי.  </w:t>
      </w:r>
    </w:p>
    <w:p w14:paraId="6D52FC70"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האירוע הראשון בו היו מעורבים המשיבים 1 ו- 2 התרחש כשהם נסעו ברכב וירו מספר פעמים לעבר אדם מהמשפחה היריבה שהיה ליד ביתו. לאחר מכן התרחקו בנסיעה, אולם שבו על עקבותיהם וירו שוב - פעם באוויר ופעם לעברו של אותו אדם, שהפעם נפגע  בבטנו. בגין מעשים אלה הורשעו בעבירה של חבלה חמורה בנסיבות מחמירות ונשיאת והובלת נשק. בעקבות אותו מקרה, החליט המשיב 3 לירות אף הוא בבן משפחה יריבה ופגע בירכו, והוסיף וירה לעבר שניים אחרים אך לא פגע בהם.</w:t>
      </w:r>
    </w:p>
    <w:p w14:paraId="23AB587D"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בגין מעשיו הורשע משיב זה באותן עבירות בהן הורשעו המשיבים 1-2 ובעבירה נוספת של ירי מנשק חם. בכל הנוגע לעניינם של המשיבים  1 ו- 2 קבע בית המשפט המחוזי מתחם שנע  3.5 -7 שנות מאסר, ולמשיב 3 מתחם הנע בין 2-4 שנות מאסר, תוך שצוין כי ניתן משקל למספר מקרי הירי באירוע הראשון לעומת האירוע השני, כמו גם לסולחה שנערכה בין הצדדים. על המשיב 1, נעדר עבר פלילי נגזר עונש של 3.5 שנות מאסר; על המשיב 2 בעל עבר פלילי בעבירות סמים נגזרו 50 חודשי מאסר בפועל; ועל המשיב 3, בעל עבר פלילי בעבירות אלימות (שבוצעו בהיותו קטין), נגזרו שנתיים מאסר בפועל. בית המשפט העליון דחה את ערעור המשיבים על חומרת העונש, וקיבל את ערעור המדינה על קולתו והחמיר בעונשים כך שהמשיב 1  נדון ל- 5  שנות מאסר בפועל; המשיב 2 ל-  6 שנות מאסר בפועל; והמשיב 3 ל 3.5 שנות מאסר בפועל; תוך שציין כי יש להחמיר בענישה ולתת לסולחה שנערכה בין הצדדים משקל מוגבל.  </w:t>
      </w:r>
    </w:p>
    <w:p w14:paraId="7F6E7A5D" w14:textId="77777777" w:rsidR="00E03000" w:rsidRPr="004E0A41" w:rsidRDefault="00E03000" w:rsidP="00E03000">
      <w:pPr>
        <w:pStyle w:val="a9"/>
        <w:spacing w:line="360" w:lineRule="auto"/>
        <w:ind w:left="644"/>
        <w:rPr>
          <w:rFonts w:ascii="David" w:hAnsi="David" w:cs="David"/>
          <w:sz w:val="24"/>
          <w:szCs w:val="24"/>
          <w:rtl/>
        </w:rPr>
      </w:pPr>
    </w:p>
    <w:p w14:paraId="4C594283"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w:t>
      </w:r>
      <w:hyperlink r:id="rId65" w:history="1">
        <w:r w:rsidR="009B06B2" w:rsidRPr="009B06B2">
          <w:rPr>
            <w:rFonts w:ascii="David" w:hAnsi="David" w:cs="David"/>
            <w:color w:val="0000FF"/>
            <w:sz w:val="24"/>
            <w:szCs w:val="24"/>
            <w:u w:val="single"/>
            <w:rtl/>
          </w:rPr>
          <w:t>ת"פ 17304-12-17</w:t>
        </w:r>
      </w:hyperlink>
      <w:r w:rsidRPr="004E0A41">
        <w:rPr>
          <w:rFonts w:ascii="David" w:hAnsi="David" w:cs="David"/>
          <w:sz w:val="24"/>
          <w:szCs w:val="24"/>
          <w:rtl/>
        </w:rPr>
        <w:t xml:space="preserve"> (מרכז) </w:t>
      </w:r>
      <w:r w:rsidRPr="004E0A41">
        <w:rPr>
          <w:rFonts w:ascii="David" w:hAnsi="David" w:cs="David"/>
          <w:b/>
          <w:bCs/>
          <w:sz w:val="24"/>
          <w:szCs w:val="24"/>
          <w:rtl/>
        </w:rPr>
        <w:t xml:space="preserve">מדינת ישראל נ' אבו מוסה </w:t>
      </w:r>
      <w:r w:rsidRPr="004E0A41">
        <w:rPr>
          <w:rFonts w:ascii="David" w:hAnsi="David" w:cs="David"/>
          <w:sz w:val="24"/>
          <w:szCs w:val="24"/>
          <w:rtl/>
        </w:rPr>
        <w:t>(30.05.19) הנאשם הורשע הנאשם על יסוד הודאתו בהסדר טיעון בעבירה של חבלה חמורה בנסיבות מחמירות, פציעה בנסיבות מחמירות ונשיאת נשק. במסגרת ההסדר עתרה המאשימה להטיל על הנאשם עונש מאסר של 5 שנים ו- 10 חודשים; בין הנאשם ובין מספר אנשים ממשפחתו התפתח דין ודברים בעקבותיו עזב הנאשם את המקום והלך לביתו שנמצא בסמוך, נטל כלי נשק וירה לכל עבר ולעבר 5 אנשים ממשפחתו ופגע בשניים מהם, אחד נפגע בבטן והשני בצוואר.  בית המשפט קבע מתחם הנע בין 54 חודשי מאסר ועד 7 שנות מאסר בפועל והטיל על הנאשם 54 חודשי מאסר. בהמלצת בית המשפט העליון, חזר בו הנאשם מערעור שהגיש על חומרת העונש ב</w:t>
      </w:r>
      <w:hyperlink r:id="rId66" w:history="1">
        <w:r w:rsidR="009B06B2" w:rsidRPr="009B06B2">
          <w:rPr>
            <w:rFonts w:ascii="David" w:hAnsi="David" w:cs="David"/>
            <w:color w:val="0000FF"/>
            <w:sz w:val="24"/>
            <w:szCs w:val="24"/>
            <w:u w:val="single"/>
            <w:rtl/>
          </w:rPr>
          <w:t>ע"פ 4761/19</w:t>
        </w:r>
      </w:hyperlink>
      <w:r w:rsidRPr="004E0A41">
        <w:rPr>
          <w:rFonts w:ascii="David" w:hAnsi="David" w:cs="David"/>
          <w:sz w:val="24"/>
          <w:szCs w:val="24"/>
          <w:rtl/>
        </w:rPr>
        <w:t xml:space="preserve">. . </w:t>
      </w:r>
    </w:p>
    <w:p w14:paraId="175977D4" w14:textId="77777777" w:rsidR="00E03000" w:rsidRPr="004E0A41" w:rsidRDefault="00E03000" w:rsidP="00E03000">
      <w:pPr>
        <w:pStyle w:val="a9"/>
        <w:spacing w:line="360" w:lineRule="auto"/>
        <w:ind w:left="644"/>
        <w:rPr>
          <w:rFonts w:ascii="David" w:hAnsi="David" w:cs="David"/>
          <w:sz w:val="24"/>
          <w:szCs w:val="24"/>
          <w:rtl/>
        </w:rPr>
      </w:pPr>
    </w:p>
    <w:p w14:paraId="5E56CA7E" w14:textId="77777777" w:rsidR="00E03000" w:rsidRPr="004E0A41" w:rsidRDefault="00E03000" w:rsidP="00E03000">
      <w:pPr>
        <w:spacing w:line="360" w:lineRule="auto"/>
        <w:ind w:left="644" w:hanging="644"/>
        <w:jc w:val="both"/>
        <w:rPr>
          <w:rFonts w:ascii="David" w:hAnsi="David"/>
          <w:rtl/>
        </w:rPr>
      </w:pPr>
      <w:r w:rsidRPr="004E0A41">
        <w:rPr>
          <w:rFonts w:ascii="David" w:hAnsi="David"/>
          <w:rtl/>
        </w:rPr>
        <w:t>1</w:t>
      </w:r>
      <w:r>
        <w:rPr>
          <w:rFonts w:ascii="David" w:hAnsi="David" w:hint="cs"/>
          <w:rtl/>
        </w:rPr>
        <w:t>5</w:t>
      </w:r>
      <w:r w:rsidRPr="004E0A41">
        <w:rPr>
          <w:rFonts w:ascii="David" w:hAnsi="David"/>
          <w:rtl/>
        </w:rPr>
        <w:t>.</w:t>
      </w:r>
      <w:r w:rsidRPr="004E0A41">
        <w:rPr>
          <w:rFonts w:ascii="David" w:hAnsi="David"/>
          <w:rtl/>
        </w:rPr>
        <w:tab/>
        <w:t xml:space="preserve">בשים לב לנסיבות ביצוע העבירות כמפורט לעיל, הערכים החברתיים שנפגעו ומידת הפגיעה  בהם, טיב ואופי מעשי הנאשם, כמו גם מדיניות הענישה הנוהגת במקרים דומים, אני מקבלת את עתירת המאשימה וקובעת כי מתחם הענישה ההולם בנסיבות העניין נע בין  4 ועד 6 שנות מאסר, בצירוף ענישה נלווית. </w:t>
      </w:r>
    </w:p>
    <w:p w14:paraId="42A332BE" w14:textId="77777777" w:rsidR="00E03000" w:rsidRPr="004E0A41" w:rsidRDefault="00E03000" w:rsidP="00E03000">
      <w:pPr>
        <w:spacing w:line="360" w:lineRule="auto"/>
        <w:ind w:left="644" w:hanging="644"/>
        <w:rPr>
          <w:rFonts w:ascii="David" w:hAnsi="David"/>
          <w:rtl/>
        </w:rPr>
      </w:pPr>
      <w:r w:rsidRPr="004E0A41">
        <w:rPr>
          <w:rFonts w:ascii="David" w:hAnsi="David"/>
          <w:rtl/>
        </w:rPr>
        <w:tab/>
        <w:t xml:space="preserve">לא מצאתי כי נסיבות העניין מצדיקות חריגה מהמתחם לעיל. </w:t>
      </w:r>
    </w:p>
    <w:p w14:paraId="09DE7D3E" w14:textId="77777777" w:rsidR="00E03000" w:rsidRPr="004E0A41" w:rsidRDefault="00E03000" w:rsidP="00E03000">
      <w:pPr>
        <w:pStyle w:val="a9"/>
        <w:spacing w:line="360" w:lineRule="auto"/>
        <w:ind w:left="644"/>
        <w:rPr>
          <w:rFonts w:ascii="David" w:hAnsi="David" w:cs="David"/>
          <w:sz w:val="24"/>
          <w:szCs w:val="24"/>
          <w:rtl/>
        </w:rPr>
      </w:pPr>
    </w:p>
    <w:p w14:paraId="37775B50" w14:textId="77777777" w:rsidR="00E03000" w:rsidRPr="004E0A41" w:rsidRDefault="00E03000" w:rsidP="00E03000">
      <w:pPr>
        <w:pStyle w:val="a9"/>
        <w:spacing w:line="360" w:lineRule="auto"/>
        <w:ind w:left="644"/>
        <w:rPr>
          <w:rFonts w:ascii="David" w:hAnsi="David" w:cs="David"/>
          <w:b/>
          <w:bCs/>
          <w:sz w:val="24"/>
          <w:szCs w:val="24"/>
          <w:u w:val="single"/>
          <w:rtl/>
        </w:rPr>
      </w:pPr>
      <w:r w:rsidRPr="004E0A41">
        <w:rPr>
          <w:rFonts w:ascii="David" w:hAnsi="David" w:cs="David"/>
          <w:b/>
          <w:bCs/>
          <w:sz w:val="24"/>
          <w:szCs w:val="24"/>
          <w:u w:val="single"/>
          <w:rtl/>
        </w:rPr>
        <w:t>העונש הראוי לנאשם</w:t>
      </w:r>
    </w:p>
    <w:p w14:paraId="78F6D0D8" w14:textId="77777777" w:rsidR="00E03000" w:rsidRPr="004E0A41" w:rsidRDefault="00E03000" w:rsidP="00E03000">
      <w:pPr>
        <w:spacing w:line="360" w:lineRule="auto"/>
        <w:ind w:left="644" w:hanging="644"/>
        <w:jc w:val="both"/>
        <w:rPr>
          <w:rFonts w:ascii="David" w:hAnsi="David"/>
          <w:rtl/>
        </w:rPr>
      </w:pPr>
      <w:r w:rsidRPr="004E0A41">
        <w:rPr>
          <w:rFonts w:ascii="David" w:hAnsi="David"/>
          <w:rtl/>
        </w:rPr>
        <w:t>1</w:t>
      </w:r>
      <w:r>
        <w:rPr>
          <w:rFonts w:ascii="David" w:hAnsi="David" w:hint="cs"/>
          <w:rtl/>
        </w:rPr>
        <w:t>6</w:t>
      </w:r>
      <w:r w:rsidRPr="004E0A41">
        <w:rPr>
          <w:rFonts w:ascii="David" w:hAnsi="David"/>
          <w:rtl/>
        </w:rPr>
        <w:t>.</w:t>
      </w:r>
      <w:r w:rsidRPr="004E0A41">
        <w:rPr>
          <w:rFonts w:ascii="David" w:hAnsi="David"/>
          <w:rtl/>
        </w:rPr>
        <w:tab/>
        <w:t xml:space="preserve">לצורך קביעת העונש בתוך המתחם הענישה, בהתאם </w:t>
      </w:r>
      <w:hyperlink r:id="rId67" w:history="1">
        <w:r w:rsidR="001C5437" w:rsidRPr="001C5437">
          <w:rPr>
            <w:rStyle w:val="Hyperlink"/>
            <w:rFonts w:ascii="David" w:hAnsi="David"/>
            <w:rtl/>
          </w:rPr>
          <w:t>לסעיף 40יא'</w:t>
        </w:r>
      </w:hyperlink>
      <w:r w:rsidRPr="004E0A41">
        <w:rPr>
          <w:rFonts w:ascii="David" w:hAnsi="David"/>
          <w:rtl/>
        </w:rPr>
        <w:t xml:space="preserve"> ל</w:t>
      </w:r>
      <w:hyperlink r:id="rId68" w:history="1">
        <w:r w:rsidR="009B06B2" w:rsidRPr="009B06B2">
          <w:rPr>
            <w:rFonts w:ascii="David" w:hAnsi="David"/>
            <w:color w:val="0000FF"/>
            <w:u w:val="single"/>
            <w:rtl/>
          </w:rPr>
          <w:t>חוק העונשין</w:t>
        </w:r>
      </w:hyperlink>
      <w:r w:rsidRPr="004E0A41">
        <w:rPr>
          <w:rFonts w:ascii="David" w:hAnsi="David"/>
          <w:rtl/>
        </w:rPr>
        <w:t xml:space="preserve">, יש להתחשב בנסיבות שאינן קשורות בביצוע העבירות; </w:t>
      </w:r>
    </w:p>
    <w:p w14:paraId="2FB6E4EF"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לנאשם עבר פלילי עוד מהיותו נער, ואך כארבע שנים קודם לאירוע הנוכחי, הוא נדון ע"י בית המשפט המחוזי לשלוש שנות מאסר בפועל בגין עבירות דומות מאד ובין היתר שימוש בנשק, והוטל עליו גם מאסר על תנאי ממושך של 18 חודשים.</w:t>
      </w:r>
    </w:p>
    <w:p w14:paraId="16795F0C"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לא חלף אלא זמן קצר מאז גזר הדין ומעת שחרורו של הנאשם, וכבר היה מעורב שוב בנשיאת נשק ובירי לעבר חברו ובפציעתו, באופן שככל הנראה לא המאסר בפועל ולא המאסר המותנה הרתיעו אותו מלשוב על מעשיו, והדבר פועל לחובתו. </w:t>
      </w:r>
      <w:r>
        <w:rPr>
          <w:rFonts w:ascii="David" w:hAnsi="David" w:cs="David" w:hint="cs"/>
          <w:sz w:val="24"/>
          <w:szCs w:val="24"/>
          <w:rtl/>
        </w:rPr>
        <w:t xml:space="preserve">(בהקשר זה אציין בקצרה כי בהתאם לגזר הדין במ/2 המאסר המותנה חל מעת שחרורו של הנאשם ולא כפי שטען הסניגור). </w:t>
      </w:r>
      <w:r w:rsidRPr="004E0A41">
        <w:rPr>
          <w:rFonts w:ascii="David" w:hAnsi="David" w:cs="David"/>
          <w:sz w:val="24"/>
          <w:szCs w:val="24"/>
          <w:rtl/>
        </w:rPr>
        <w:t xml:space="preserve"> </w:t>
      </w:r>
    </w:p>
    <w:p w14:paraId="49400801" w14:textId="77777777" w:rsidR="00E03000" w:rsidRPr="004E0A41" w:rsidRDefault="00E03000" w:rsidP="00E03000">
      <w:pPr>
        <w:pStyle w:val="a9"/>
        <w:spacing w:line="360" w:lineRule="auto"/>
        <w:ind w:left="644"/>
        <w:jc w:val="both"/>
        <w:rPr>
          <w:rFonts w:ascii="David" w:hAnsi="David" w:cs="David"/>
          <w:sz w:val="24"/>
          <w:szCs w:val="24"/>
          <w:rtl/>
        </w:rPr>
      </w:pPr>
    </w:p>
    <w:p w14:paraId="387FF47E"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הבאתי בחשבון את הודיית הנאשם ולקיחת האחריות על מעשיו. עם זאת ההודיה ניתנה בשלב מאוחר בהליך, לאחר שמיעת עדי תביעה רבים, לרבות המתלונן וכל בני משפחתו הקרובים, באופן שנפרשה לפני כמעט מלוא מסכת הראיות. הנאשם בדבריו גם לא הביע חרטה של ממש על מעשיו ועל הפציעה שגרם.  </w:t>
      </w:r>
    </w:p>
    <w:p w14:paraId="1FD34F5B" w14:textId="77777777" w:rsidR="00E03000" w:rsidRPr="004E0A41" w:rsidRDefault="00E03000" w:rsidP="00E03000">
      <w:pPr>
        <w:pStyle w:val="a9"/>
        <w:spacing w:line="360" w:lineRule="auto"/>
        <w:ind w:left="644"/>
        <w:jc w:val="both"/>
        <w:rPr>
          <w:rFonts w:ascii="David" w:hAnsi="David" w:cs="David"/>
          <w:sz w:val="24"/>
          <w:szCs w:val="24"/>
          <w:rtl/>
        </w:rPr>
      </w:pPr>
    </w:p>
    <w:p w14:paraId="089817C6"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עם זאת ולזכותו של הנאשם אזקוף את דברי המתלונן על כך שנזקו לא היה חמור מאד והוא החלים מתוצאות המעשים, וכיום הוא רוצה בטובתו של הנאשם כיון שהיחסים ביניהם טובים.</w:t>
      </w:r>
    </w:p>
    <w:p w14:paraId="4DD4C5DE"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 </w:t>
      </w:r>
    </w:p>
    <w:p w14:paraId="76B7C5AA"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לא אתעלם  גם מנסיבותיו המשפחתיות וממצבו האישי הלא פשוט של הנאשם, אשר שלושה מאחיו נרצחו בעת היותו במעצר, ואין ספק שהדבר פגע בו ובמשפחתו בצורה קשה וגרם להם סבל ניכר.</w:t>
      </w:r>
    </w:p>
    <w:p w14:paraId="0326F9CE"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 </w:t>
      </w:r>
    </w:p>
    <w:p w14:paraId="094A0ECF" w14:textId="77777777" w:rsidR="00E03000" w:rsidRPr="004E0A41" w:rsidRDefault="00E03000" w:rsidP="00E03000">
      <w:pPr>
        <w:pStyle w:val="a9"/>
        <w:spacing w:line="360" w:lineRule="auto"/>
        <w:ind w:left="644"/>
        <w:rPr>
          <w:rFonts w:ascii="David" w:hAnsi="David" w:cs="David"/>
          <w:sz w:val="24"/>
          <w:szCs w:val="24"/>
          <w:rtl/>
        </w:rPr>
      </w:pPr>
      <w:r w:rsidRPr="004E0A41">
        <w:rPr>
          <w:rFonts w:ascii="David" w:hAnsi="David" w:cs="David"/>
          <w:sz w:val="24"/>
          <w:szCs w:val="24"/>
          <w:rtl/>
        </w:rPr>
        <w:t>לאור כל האמור, ובהתחשב במכלול הנסיבות והנתונים שציינתי, אני גוזרת על הנאשם את העונשים הבאים:</w:t>
      </w:r>
    </w:p>
    <w:p w14:paraId="7926CCCD" w14:textId="77777777" w:rsidR="00E03000" w:rsidRPr="004E0A41" w:rsidRDefault="00E03000" w:rsidP="00E03000">
      <w:pPr>
        <w:pStyle w:val="a9"/>
        <w:spacing w:line="360" w:lineRule="auto"/>
        <w:ind w:left="644"/>
        <w:jc w:val="both"/>
        <w:rPr>
          <w:rFonts w:ascii="David" w:hAnsi="David" w:cs="David"/>
          <w:sz w:val="24"/>
          <w:szCs w:val="24"/>
          <w:rtl/>
        </w:rPr>
      </w:pPr>
    </w:p>
    <w:p w14:paraId="608BCEBF"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א. 5 שנות מאסר בפועל. </w:t>
      </w:r>
    </w:p>
    <w:p w14:paraId="6E8750DF"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ab/>
        <w:t xml:space="preserve">    תקופת המאסר תחושב מיום מעצרו של הנאשם 14.6.20.</w:t>
      </w:r>
    </w:p>
    <w:p w14:paraId="583672E5" w14:textId="77777777" w:rsidR="00E03000" w:rsidRPr="004E0A41" w:rsidRDefault="00E03000" w:rsidP="00E03000">
      <w:pPr>
        <w:pStyle w:val="a9"/>
        <w:spacing w:line="360" w:lineRule="auto"/>
        <w:ind w:left="644"/>
        <w:jc w:val="both"/>
        <w:rPr>
          <w:rFonts w:ascii="David" w:hAnsi="David" w:cs="David"/>
          <w:sz w:val="24"/>
          <w:szCs w:val="24"/>
          <w:rtl/>
        </w:rPr>
      </w:pPr>
    </w:p>
    <w:p w14:paraId="3BE2AD02"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ב. אני מפעילה את עונש המאסר המותנה שהוטל על הנאשם ב</w:t>
      </w:r>
      <w:hyperlink r:id="rId69" w:history="1">
        <w:r w:rsidR="009B06B2" w:rsidRPr="009B06B2">
          <w:rPr>
            <w:rFonts w:ascii="David" w:hAnsi="David" w:cs="David"/>
            <w:color w:val="0000FF"/>
            <w:sz w:val="24"/>
            <w:szCs w:val="24"/>
            <w:u w:val="single"/>
            <w:rtl/>
          </w:rPr>
          <w:t>ת"פ 611-05-16</w:t>
        </w:r>
      </w:hyperlink>
      <w:r w:rsidRPr="004E0A41">
        <w:rPr>
          <w:rFonts w:ascii="David" w:hAnsi="David" w:cs="David"/>
          <w:sz w:val="24"/>
          <w:szCs w:val="24"/>
          <w:rtl/>
        </w:rPr>
        <w:t xml:space="preserve"> לתקופה של 18   </w:t>
      </w:r>
    </w:p>
    <w:p w14:paraId="0213FC33" w14:textId="77777777" w:rsidR="00E03000" w:rsidRPr="004E0A41"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    חודשים, כאשר 12 חודשים ירוצו במצטבר לעונש לעיל, ו-6 חודשים בחופף לו.</w:t>
      </w:r>
    </w:p>
    <w:p w14:paraId="53BED52B" w14:textId="77777777" w:rsidR="00E03000" w:rsidRPr="004E0A41" w:rsidRDefault="00E03000" w:rsidP="00E03000">
      <w:pPr>
        <w:pStyle w:val="a9"/>
        <w:spacing w:line="360" w:lineRule="auto"/>
        <w:ind w:left="644" w:firstLine="76"/>
        <w:jc w:val="both"/>
        <w:rPr>
          <w:rFonts w:ascii="David" w:hAnsi="David" w:cs="David"/>
          <w:sz w:val="24"/>
          <w:szCs w:val="24"/>
          <w:rtl/>
        </w:rPr>
      </w:pPr>
      <w:r w:rsidRPr="004E0A41">
        <w:rPr>
          <w:rFonts w:ascii="David" w:hAnsi="David" w:cs="David"/>
          <w:sz w:val="24"/>
          <w:szCs w:val="24"/>
          <w:rtl/>
        </w:rPr>
        <w:t xml:space="preserve">   סה"כ ירצה הנאשם 6 שנות מאסר.  </w:t>
      </w:r>
    </w:p>
    <w:p w14:paraId="5B04A5A5" w14:textId="77777777" w:rsidR="00E03000" w:rsidRPr="004E0A41" w:rsidRDefault="00E03000" w:rsidP="00E03000">
      <w:pPr>
        <w:pStyle w:val="a9"/>
        <w:spacing w:line="360" w:lineRule="auto"/>
        <w:ind w:left="644"/>
        <w:jc w:val="both"/>
        <w:rPr>
          <w:rFonts w:ascii="David" w:hAnsi="David" w:cs="David"/>
          <w:sz w:val="24"/>
          <w:szCs w:val="24"/>
          <w:rtl/>
        </w:rPr>
      </w:pPr>
    </w:p>
    <w:p w14:paraId="5C537F4F" w14:textId="77777777" w:rsidR="00E03000" w:rsidRDefault="00E03000" w:rsidP="00E03000">
      <w:pPr>
        <w:pStyle w:val="a9"/>
        <w:spacing w:line="360" w:lineRule="auto"/>
        <w:jc w:val="both"/>
        <w:rPr>
          <w:rFonts w:ascii="David" w:hAnsi="David" w:cs="David"/>
          <w:sz w:val="24"/>
          <w:szCs w:val="24"/>
          <w:rtl/>
        </w:rPr>
      </w:pPr>
      <w:r w:rsidRPr="004E0A41">
        <w:rPr>
          <w:rFonts w:ascii="David" w:hAnsi="David" w:cs="David"/>
          <w:sz w:val="24"/>
          <w:szCs w:val="24"/>
          <w:rtl/>
        </w:rPr>
        <w:t xml:space="preserve">ג. 12 חודשי מאסר על תנאי לתקופה של 3 שנים, והתנאי הוא שהנאשם לא יעבור  כל עבירת </w:t>
      </w:r>
    </w:p>
    <w:p w14:paraId="0A47E7C6" w14:textId="77777777" w:rsidR="00E03000" w:rsidRPr="004E0A41" w:rsidRDefault="00E03000" w:rsidP="00E03000">
      <w:pPr>
        <w:pStyle w:val="a9"/>
        <w:spacing w:line="360" w:lineRule="auto"/>
        <w:jc w:val="both"/>
        <w:rPr>
          <w:rFonts w:ascii="David" w:hAnsi="David" w:cs="David"/>
          <w:sz w:val="24"/>
          <w:szCs w:val="24"/>
          <w:rtl/>
        </w:rPr>
      </w:pPr>
      <w:r>
        <w:rPr>
          <w:rFonts w:ascii="David" w:hAnsi="David" w:cs="David" w:hint="cs"/>
          <w:sz w:val="24"/>
          <w:szCs w:val="24"/>
          <w:rtl/>
        </w:rPr>
        <w:t xml:space="preserve">    </w:t>
      </w:r>
      <w:r w:rsidRPr="004E0A41">
        <w:rPr>
          <w:rFonts w:ascii="David" w:hAnsi="David" w:cs="David"/>
          <w:sz w:val="24"/>
          <w:szCs w:val="24"/>
          <w:rtl/>
        </w:rPr>
        <w:t xml:space="preserve">נשק או אלימות מסוג פשע. </w:t>
      </w:r>
    </w:p>
    <w:p w14:paraId="039343E4" w14:textId="77777777" w:rsidR="00E03000" w:rsidRPr="004E0A41" w:rsidRDefault="00E03000" w:rsidP="00E03000">
      <w:pPr>
        <w:pStyle w:val="a9"/>
        <w:spacing w:line="360" w:lineRule="auto"/>
        <w:ind w:left="644"/>
        <w:jc w:val="both"/>
        <w:rPr>
          <w:rFonts w:ascii="David" w:hAnsi="David" w:cs="David"/>
          <w:sz w:val="24"/>
          <w:szCs w:val="24"/>
          <w:rtl/>
        </w:rPr>
      </w:pPr>
    </w:p>
    <w:p w14:paraId="43A034B4" w14:textId="77777777" w:rsidR="00E03000" w:rsidRDefault="00E03000" w:rsidP="00E03000">
      <w:pPr>
        <w:pStyle w:val="a9"/>
        <w:spacing w:line="360" w:lineRule="auto"/>
        <w:ind w:left="644"/>
        <w:jc w:val="both"/>
        <w:rPr>
          <w:rFonts w:ascii="David" w:hAnsi="David" w:cs="David"/>
          <w:sz w:val="24"/>
          <w:szCs w:val="24"/>
          <w:rtl/>
        </w:rPr>
      </w:pPr>
      <w:r w:rsidRPr="004E0A41">
        <w:rPr>
          <w:rFonts w:ascii="David" w:hAnsi="David" w:cs="David"/>
          <w:sz w:val="24"/>
          <w:szCs w:val="24"/>
          <w:rtl/>
        </w:rPr>
        <w:t xml:space="preserve">ד. 7 חודשי מאסר על תנאי לתקופה של 3 שנים, והתנאי הוא שהנאשם לא יעבור כל עבירת </w:t>
      </w:r>
    </w:p>
    <w:p w14:paraId="7412C40A" w14:textId="77777777" w:rsidR="00E03000" w:rsidRPr="004E0A41" w:rsidRDefault="00E03000" w:rsidP="00E03000">
      <w:pPr>
        <w:pStyle w:val="a9"/>
        <w:spacing w:line="360" w:lineRule="auto"/>
        <w:ind w:left="644"/>
        <w:jc w:val="both"/>
        <w:rPr>
          <w:rFonts w:ascii="David" w:hAnsi="David" w:cs="David"/>
          <w:sz w:val="24"/>
          <w:szCs w:val="24"/>
          <w:rtl/>
        </w:rPr>
      </w:pPr>
      <w:r>
        <w:rPr>
          <w:rFonts w:ascii="David" w:hAnsi="David" w:cs="David" w:hint="cs"/>
          <w:sz w:val="24"/>
          <w:szCs w:val="24"/>
          <w:rtl/>
        </w:rPr>
        <w:t xml:space="preserve">     </w:t>
      </w:r>
      <w:r w:rsidRPr="004E0A41">
        <w:rPr>
          <w:rFonts w:ascii="David" w:hAnsi="David" w:cs="David"/>
          <w:sz w:val="24"/>
          <w:szCs w:val="24"/>
          <w:rtl/>
        </w:rPr>
        <w:t xml:space="preserve">נשק או אלימות מסוג עוון.  </w:t>
      </w:r>
    </w:p>
    <w:p w14:paraId="0EF7ADFE" w14:textId="77777777" w:rsidR="00E03000" w:rsidRDefault="00E03000" w:rsidP="00E03000">
      <w:pPr>
        <w:pStyle w:val="a9"/>
        <w:spacing w:line="360" w:lineRule="auto"/>
        <w:ind w:left="644"/>
        <w:jc w:val="both"/>
        <w:rPr>
          <w:rFonts w:ascii="David" w:hAnsi="David" w:cs="David"/>
          <w:sz w:val="24"/>
          <w:szCs w:val="24"/>
          <w:rtl/>
        </w:rPr>
      </w:pPr>
    </w:p>
    <w:p w14:paraId="4EDAB493" w14:textId="77777777" w:rsidR="00E03000" w:rsidRPr="004E0A41" w:rsidRDefault="00E03000" w:rsidP="00E03000">
      <w:pPr>
        <w:pStyle w:val="a9"/>
        <w:spacing w:line="360" w:lineRule="auto"/>
        <w:ind w:left="644"/>
        <w:jc w:val="both"/>
        <w:rPr>
          <w:rFonts w:ascii="David" w:hAnsi="David" w:cs="David"/>
          <w:sz w:val="24"/>
          <w:szCs w:val="24"/>
          <w:rtl/>
        </w:rPr>
      </w:pPr>
      <w:r>
        <w:rPr>
          <w:rFonts w:ascii="David" w:hAnsi="David" w:cs="David" w:hint="cs"/>
          <w:sz w:val="24"/>
          <w:szCs w:val="24"/>
          <w:rtl/>
        </w:rPr>
        <w:t xml:space="preserve">ה. בנסיבות העניין  ולאור עמדת המתלונן, לא  אפסוק לו פיצוי. </w:t>
      </w:r>
    </w:p>
    <w:p w14:paraId="374E5A4C" w14:textId="77777777" w:rsidR="00E03000" w:rsidRDefault="00E03000" w:rsidP="00E03000">
      <w:pPr>
        <w:spacing w:line="360" w:lineRule="auto"/>
        <w:jc w:val="both"/>
        <w:rPr>
          <w:rFonts w:ascii="David" w:hAnsi="David"/>
          <w:rtl/>
        </w:rPr>
      </w:pPr>
    </w:p>
    <w:p w14:paraId="53EAE8DB" w14:textId="77777777" w:rsidR="00E03000" w:rsidRPr="009B06B2" w:rsidRDefault="009B06B2" w:rsidP="00E03000">
      <w:pPr>
        <w:spacing w:line="360" w:lineRule="auto"/>
        <w:jc w:val="both"/>
        <w:rPr>
          <w:rFonts w:ascii="David" w:hAnsi="David"/>
          <w:color w:val="FFFFFF"/>
          <w:sz w:val="2"/>
          <w:szCs w:val="2"/>
          <w:rtl/>
        </w:rPr>
      </w:pPr>
      <w:r w:rsidRPr="009B06B2">
        <w:rPr>
          <w:rFonts w:ascii="David" w:hAnsi="David"/>
          <w:color w:val="FFFFFF"/>
          <w:sz w:val="2"/>
          <w:szCs w:val="2"/>
          <w:rtl/>
        </w:rPr>
        <w:t>5129371</w:t>
      </w:r>
    </w:p>
    <w:p w14:paraId="75F3EBD4" w14:textId="77777777" w:rsidR="00E03000" w:rsidRPr="00093AF0" w:rsidRDefault="009B06B2" w:rsidP="00E03000">
      <w:pPr>
        <w:spacing w:line="360" w:lineRule="auto"/>
        <w:jc w:val="both"/>
        <w:rPr>
          <w:rFonts w:ascii="David" w:hAnsi="David"/>
          <w:b/>
          <w:bCs/>
          <w:rtl/>
        </w:rPr>
      </w:pPr>
      <w:r w:rsidRPr="009B06B2">
        <w:rPr>
          <w:rFonts w:ascii="David" w:hAnsi="David"/>
          <w:b/>
          <w:bCs/>
          <w:color w:val="FFFFFF"/>
          <w:sz w:val="2"/>
          <w:szCs w:val="2"/>
          <w:rtl/>
        </w:rPr>
        <w:t>54678313</w:t>
      </w:r>
      <w:r w:rsidR="00E03000" w:rsidRPr="00093AF0">
        <w:rPr>
          <w:rFonts w:ascii="David" w:hAnsi="David" w:hint="cs"/>
          <w:b/>
          <w:bCs/>
          <w:rtl/>
        </w:rPr>
        <w:t xml:space="preserve">זכות ערעור 45 יום </w:t>
      </w:r>
    </w:p>
    <w:p w14:paraId="29AB0ECA" w14:textId="77777777" w:rsidR="00E03000" w:rsidRPr="004E0A41" w:rsidRDefault="00E03000" w:rsidP="00E03000">
      <w:pPr>
        <w:rPr>
          <w:rFonts w:ascii="David" w:hAnsi="David"/>
          <w:sz w:val="26"/>
          <w:szCs w:val="26"/>
          <w:rtl/>
        </w:rPr>
      </w:pPr>
    </w:p>
    <w:p w14:paraId="22632F14" w14:textId="77777777" w:rsidR="00E03000" w:rsidRPr="004E0A41" w:rsidRDefault="009B06B2" w:rsidP="00E03000">
      <w:pPr>
        <w:rPr>
          <w:rFonts w:ascii="David" w:hAnsi="David"/>
          <w:sz w:val="26"/>
          <w:szCs w:val="26"/>
          <w:rtl/>
        </w:rPr>
      </w:pPr>
      <w:bookmarkStart w:id="8" w:name="Nitan"/>
      <w:r>
        <w:rPr>
          <w:rFonts w:ascii="David" w:hAnsi="David"/>
          <w:sz w:val="26"/>
          <w:szCs w:val="26"/>
          <w:rtl/>
        </w:rPr>
        <w:t xml:space="preserve">ניתן היום,  י"ז כסלו תשפ"ב, 21 נובמבר 2021, במעמד הצדדים. </w:t>
      </w:r>
      <w:bookmarkEnd w:id="8"/>
    </w:p>
    <w:p w14:paraId="5211E7FC" w14:textId="77777777" w:rsidR="00E03000" w:rsidRPr="004E0A41" w:rsidRDefault="00E03000" w:rsidP="009B06B2">
      <w:pPr>
        <w:jc w:val="center"/>
      </w:pPr>
      <w:r w:rsidRPr="004E0A41">
        <w:rPr>
          <w:rFonts w:ascii="David" w:hAnsi="David"/>
          <w:sz w:val="26"/>
          <w:szCs w:val="26"/>
          <w:rtl/>
        </w:rPr>
        <w:t xml:space="preserve">   </w:t>
      </w:r>
      <w:r w:rsidRPr="004E0A41">
        <w:rPr>
          <w:rFonts w:ascii="David" w:hAnsi="David"/>
          <w:sz w:val="26"/>
          <w:szCs w:val="26"/>
          <w:rtl/>
        </w:rPr>
        <w:tab/>
      </w:r>
      <w:r w:rsidRPr="004E0A41">
        <w:rPr>
          <w:rFonts w:ascii="David" w:hAnsi="David"/>
          <w:sz w:val="26"/>
          <w:szCs w:val="26"/>
          <w:rtl/>
        </w:rPr>
        <w:tab/>
      </w:r>
      <w:r w:rsidRPr="004E0A41">
        <w:rPr>
          <w:rFonts w:ascii="David" w:hAnsi="David"/>
          <w:sz w:val="26"/>
          <w:szCs w:val="26"/>
          <w:rtl/>
        </w:rPr>
        <w:tab/>
      </w:r>
      <w:r w:rsidRPr="004E0A41">
        <w:rPr>
          <w:rFonts w:ascii="David" w:hAnsi="David"/>
          <w:sz w:val="26"/>
          <w:szCs w:val="26"/>
          <w:rtl/>
        </w:rPr>
        <w:tab/>
      </w:r>
      <w:r w:rsidRPr="004E0A41">
        <w:rPr>
          <w:rFonts w:ascii="David" w:hAnsi="David"/>
          <w:sz w:val="26"/>
          <w:szCs w:val="26"/>
          <w:rtl/>
        </w:rPr>
        <w:tab/>
      </w:r>
    </w:p>
    <w:p w14:paraId="13FD8099" w14:textId="77777777" w:rsidR="00E03000" w:rsidRPr="001C5437" w:rsidRDefault="001C5437" w:rsidP="00E03000">
      <w:pPr>
        <w:jc w:val="center"/>
        <w:rPr>
          <w:rFonts w:ascii="David" w:hAnsi="David"/>
          <w:color w:val="FFFFFF"/>
          <w:sz w:val="2"/>
          <w:szCs w:val="2"/>
          <w:rtl/>
        </w:rPr>
      </w:pPr>
      <w:r w:rsidRPr="001C5437">
        <w:rPr>
          <w:rFonts w:ascii="David" w:hAnsi="David"/>
          <w:color w:val="FFFFFF"/>
          <w:sz w:val="2"/>
          <w:szCs w:val="2"/>
          <w:rtl/>
        </w:rPr>
        <w:t>5129371</w:t>
      </w:r>
    </w:p>
    <w:p w14:paraId="7F3B1D15" w14:textId="77777777" w:rsidR="002A2A86" w:rsidRPr="001C5437" w:rsidRDefault="001C5437" w:rsidP="009B06B2">
      <w:pPr>
        <w:keepNext/>
        <w:rPr>
          <w:rFonts w:ascii="David" w:hAnsi="David"/>
          <w:color w:val="FFFFFF"/>
          <w:sz w:val="2"/>
          <w:szCs w:val="2"/>
          <w:rtl/>
        </w:rPr>
      </w:pPr>
      <w:r w:rsidRPr="001C5437">
        <w:rPr>
          <w:rFonts w:ascii="David" w:hAnsi="David"/>
          <w:color w:val="FFFFFF"/>
          <w:sz w:val="2"/>
          <w:szCs w:val="2"/>
          <w:rtl/>
        </w:rPr>
        <w:t>54678313</w:t>
      </w:r>
    </w:p>
    <w:p w14:paraId="19D7B4FA" w14:textId="77777777" w:rsidR="009B06B2" w:rsidRDefault="009B06B2" w:rsidP="009B06B2">
      <w:pPr>
        <w:rPr>
          <w:rtl/>
        </w:rPr>
      </w:pPr>
    </w:p>
    <w:p w14:paraId="0346A886" w14:textId="77777777" w:rsidR="009B06B2" w:rsidRDefault="009B06B2" w:rsidP="009B06B2">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48BBDE04" w14:textId="77777777" w:rsidR="001C5437" w:rsidRPr="001C5437" w:rsidRDefault="001C5437" w:rsidP="001C5437">
      <w:pPr>
        <w:keepNext/>
        <w:rPr>
          <w:rFonts w:ascii="David" w:hAnsi="David"/>
          <w:color w:val="000000"/>
          <w:sz w:val="22"/>
          <w:szCs w:val="22"/>
          <w:rtl/>
        </w:rPr>
      </w:pPr>
    </w:p>
    <w:p w14:paraId="6A412847" w14:textId="77777777" w:rsidR="001C5437" w:rsidRPr="001C5437" w:rsidRDefault="001C5437" w:rsidP="001C5437">
      <w:pPr>
        <w:keepNext/>
        <w:rPr>
          <w:rFonts w:ascii="David" w:hAnsi="David"/>
          <w:color w:val="000000"/>
          <w:sz w:val="22"/>
          <w:szCs w:val="22"/>
          <w:rtl/>
        </w:rPr>
      </w:pPr>
      <w:r w:rsidRPr="001C5437">
        <w:rPr>
          <w:rFonts w:ascii="David" w:hAnsi="David"/>
          <w:color w:val="000000"/>
          <w:sz w:val="22"/>
          <w:szCs w:val="22"/>
          <w:rtl/>
        </w:rPr>
        <w:t>גלית ציגלר 54678313-/</w:t>
      </w:r>
    </w:p>
    <w:p w14:paraId="60B3210E" w14:textId="77777777" w:rsidR="009B06B2" w:rsidRPr="009B06B2" w:rsidRDefault="001C5437" w:rsidP="001C5437">
      <w:pPr>
        <w:rPr>
          <w:rFonts w:hint="cs"/>
          <w:color w:val="0000FF"/>
          <w:u w:val="single"/>
        </w:rPr>
      </w:pPr>
      <w:r w:rsidRPr="001C5437">
        <w:rPr>
          <w:color w:val="000000"/>
          <w:u w:val="single"/>
          <w:rtl/>
        </w:rPr>
        <w:t>נוסח מסמך זה כפוף לשינויי ניסוח ועריכה</w:t>
      </w:r>
      <w:r w:rsidR="007D622C">
        <w:rPr>
          <w:rFonts w:hint="cs"/>
          <w:color w:val="0000FF"/>
          <w:u w:val="single"/>
          <w:rtl/>
        </w:rPr>
        <w:t xml:space="preserve"> </w:t>
      </w:r>
    </w:p>
    <w:sectPr w:rsidR="009B06B2" w:rsidRPr="009B06B2" w:rsidSect="001C5437">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3C160" w14:textId="77777777" w:rsidR="006F6F1E" w:rsidRDefault="006F6F1E" w:rsidP="001331B9">
      <w:r>
        <w:separator/>
      </w:r>
    </w:p>
  </w:endnote>
  <w:endnote w:type="continuationSeparator" w:id="0">
    <w:p w14:paraId="40C6380D" w14:textId="77777777" w:rsidR="006F6F1E" w:rsidRDefault="006F6F1E" w:rsidP="0013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8B446" w14:textId="77777777" w:rsidR="001C5437" w:rsidRDefault="001C5437" w:rsidP="001C54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88D21F" w14:textId="77777777" w:rsidR="00C76E8B" w:rsidRPr="001C5437" w:rsidRDefault="001C5437" w:rsidP="001C5437">
    <w:pPr>
      <w:pStyle w:val="a5"/>
      <w:pBdr>
        <w:top w:val="single" w:sz="4" w:space="1" w:color="auto"/>
        <w:between w:val="single" w:sz="4" w:space="0" w:color="auto"/>
      </w:pBdr>
      <w:spacing w:after="60"/>
      <w:jc w:val="center"/>
      <w:rPr>
        <w:rFonts w:ascii="FrankRuehl" w:hAnsi="FrankRuehl" w:cs="FrankRuehl"/>
        <w:color w:val="000000"/>
      </w:rPr>
    </w:pPr>
    <w:r w:rsidRPr="001C54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AFB4" w14:textId="77777777" w:rsidR="001C5437" w:rsidRDefault="001C5437" w:rsidP="001C54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1E0B">
      <w:rPr>
        <w:rFonts w:ascii="FrankRuehl" w:hAnsi="FrankRuehl" w:cs="FrankRuehl"/>
        <w:noProof/>
        <w:rtl/>
      </w:rPr>
      <w:t>1</w:t>
    </w:r>
    <w:r>
      <w:rPr>
        <w:rFonts w:ascii="FrankRuehl" w:hAnsi="FrankRuehl" w:cs="FrankRuehl"/>
        <w:rtl/>
      </w:rPr>
      <w:fldChar w:fldCharType="end"/>
    </w:r>
  </w:p>
  <w:p w14:paraId="7FF159CA" w14:textId="77777777" w:rsidR="00C76E8B" w:rsidRPr="001C5437" w:rsidRDefault="001C5437" w:rsidP="001C5437">
    <w:pPr>
      <w:pStyle w:val="a5"/>
      <w:pBdr>
        <w:top w:val="single" w:sz="4" w:space="1" w:color="auto"/>
        <w:between w:val="single" w:sz="4" w:space="0" w:color="auto"/>
      </w:pBdr>
      <w:spacing w:after="60"/>
      <w:jc w:val="center"/>
      <w:rPr>
        <w:rFonts w:ascii="FrankRuehl" w:hAnsi="FrankRuehl" w:cs="FrankRuehl"/>
        <w:color w:val="000000"/>
      </w:rPr>
    </w:pPr>
    <w:r w:rsidRPr="001C5437">
      <w:rPr>
        <w:rFonts w:ascii="FrankRuehl" w:hAnsi="FrankRuehl" w:cs="FrankRuehl"/>
        <w:color w:val="000000"/>
      </w:rPr>
      <w:pict w14:anchorId="50E75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5F70D" w14:textId="77777777" w:rsidR="006F6F1E" w:rsidRDefault="006F6F1E" w:rsidP="001331B9">
      <w:r>
        <w:separator/>
      </w:r>
    </w:p>
  </w:footnote>
  <w:footnote w:type="continuationSeparator" w:id="0">
    <w:p w14:paraId="48F3FF28" w14:textId="77777777" w:rsidR="006F6F1E" w:rsidRDefault="006F6F1E" w:rsidP="00133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C20D7" w14:textId="77777777" w:rsidR="009B06B2" w:rsidRPr="001C5437" w:rsidRDefault="001C5437" w:rsidP="001C54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3429-07-20</w:t>
    </w:r>
    <w:r>
      <w:rPr>
        <w:rFonts w:ascii="David" w:hAnsi="David"/>
        <w:color w:val="000000"/>
        <w:sz w:val="22"/>
        <w:szCs w:val="22"/>
        <w:rtl/>
      </w:rPr>
      <w:tab/>
      <w:t xml:space="preserve"> מדינת ישראל נ' קיס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6D7AB" w14:textId="77777777" w:rsidR="009B06B2" w:rsidRPr="001C5437" w:rsidRDefault="001C5437" w:rsidP="001C54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3429-07-20</w:t>
    </w:r>
    <w:r>
      <w:rPr>
        <w:rFonts w:ascii="David" w:hAnsi="David"/>
        <w:color w:val="000000"/>
        <w:sz w:val="22"/>
        <w:szCs w:val="22"/>
        <w:rtl/>
      </w:rPr>
      <w:tab/>
      <w:t xml:space="preserve"> מדינת ישראל נ' קיס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154"/>
    <w:multiLevelType w:val="hybridMultilevel"/>
    <w:tmpl w:val="C262CBD2"/>
    <w:lvl w:ilvl="0" w:tplc="BAC6E44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8795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3000"/>
    <w:rsid w:val="00002102"/>
    <w:rsid w:val="000715EE"/>
    <w:rsid w:val="001331B9"/>
    <w:rsid w:val="001C5437"/>
    <w:rsid w:val="00241E0B"/>
    <w:rsid w:val="002A2A86"/>
    <w:rsid w:val="00502815"/>
    <w:rsid w:val="006F6F1E"/>
    <w:rsid w:val="00766461"/>
    <w:rsid w:val="007D622C"/>
    <w:rsid w:val="009A4E4C"/>
    <w:rsid w:val="009B06B2"/>
    <w:rsid w:val="00C76E8B"/>
    <w:rsid w:val="00CA0C9C"/>
    <w:rsid w:val="00E03000"/>
    <w:rsid w:val="00EC44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BB4AE7"/>
  <w15:chartTrackingRefBased/>
  <w15:docId w15:val="{DE83FCDD-55FB-4DB3-9984-B05BA2CE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30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3000"/>
    <w:pPr>
      <w:tabs>
        <w:tab w:val="center" w:pos="4153"/>
        <w:tab w:val="right" w:pos="8306"/>
      </w:tabs>
    </w:pPr>
  </w:style>
  <w:style w:type="character" w:customStyle="1" w:styleId="a4">
    <w:name w:val="כותרת עליונה תו"/>
    <w:link w:val="a3"/>
    <w:rsid w:val="00E03000"/>
    <w:rPr>
      <w:rFonts w:ascii="Times New Roman" w:eastAsia="Times New Roman" w:hAnsi="Times New Roman" w:cs="David"/>
      <w:sz w:val="24"/>
      <w:szCs w:val="24"/>
    </w:rPr>
  </w:style>
  <w:style w:type="paragraph" w:styleId="a5">
    <w:name w:val="footer"/>
    <w:basedOn w:val="a"/>
    <w:link w:val="a6"/>
    <w:rsid w:val="00E03000"/>
    <w:pPr>
      <w:tabs>
        <w:tab w:val="center" w:pos="4153"/>
        <w:tab w:val="right" w:pos="8306"/>
      </w:tabs>
    </w:pPr>
  </w:style>
  <w:style w:type="character" w:customStyle="1" w:styleId="a6">
    <w:name w:val="כותרת תחתונה תו"/>
    <w:link w:val="a5"/>
    <w:rsid w:val="00E03000"/>
    <w:rPr>
      <w:rFonts w:ascii="Times New Roman" w:eastAsia="Times New Roman" w:hAnsi="Times New Roman" w:cs="David"/>
      <w:sz w:val="24"/>
      <w:szCs w:val="24"/>
    </w:rPr>
  </w:style>
  <w:style w:type="table" w:styleId="a7">
    <w:name w:val="Table Grid"/>
    <w:basedOn w:val="a1"/>
    <w:rsid w:val="00E030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3000"/>
  </w:style>
  <w:style w:type="paragraph" w:styleId="a9">
    <w:name w:val="List Paragraph"/>
    <w:basedOn w:val="a"/>
    <w:qFormat/>
    <w:rsid w:val="00E03000"/>
    <w:pPr>
      <w:spacing w:after="160" w:line="256" w:lineRule="auto"/>
      <w:ind w:left="720"/>
      <w:contextualSpacing/>
    </w:pPr>
    <w:rPr>
      <w:rFonts w:ascii="Calibri" w:eastAsia="Calibri" w:hAnsi="Calibri" w:cs="Arial"/>
      <w:sz w:val="22"/>
      <w:szCs w:val="22"/>
    </w:rPr>
  </w:style>
  <w:style w:type="character" w:styleId="Hyperlink">
    <w:name w:val="Hyperlink"/>
    <w:rsid w:val="009B0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340a.b.1." TargetMode="External"/><Relationship Id="rId42" Type="http://schemas.openxmlformats.org/officeDocument/2006/relationships/hyperlink" Target="http://www.nevo.co.il/law/70301/40i" TargetMode="External"/><Relationship Id="rId47" Type="http://schemas.openxmlformats.org/officeDocument/2006/relationships/hyperlink" Target="http://www.nevo.co.il/case/25824863" TargetMode="External"/><Relationship Id="rId63" Type="http://schemas.openxmlformats.org/officeDocument/2006/relationships/hyperlink" Target="http://www.nevo.co.il/case/16987369" TargetMode="External"/><Relationship Id="rId68"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 TargetMode="External"/><Relationship Id="rId29" Type="http://schemas.openxmlformats.org/officeDocument/2006/relationships/hyperlink" Target="http://www.nevo.co.il/law/70301/334"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35.a.1"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329"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3833066" TargetMode="External"/><Relationship Id="rId53" Type="http://schemas.openxmlformats.org/officeDocument/2006/relationships/hyperlink" Target="http://www.nevo.co.il/case/27272576" TargetMode="External"/><Relationship Id="rId58" Type="http://schemas.openxmlformats.org/officeDocument/2006/relationships/hyperlink" Target="http://www.nevo.co.il/case/20033653" TargetMode="External"/><Relationship Id="rId66" Type="http://schemas.openxmlformats.org/officeDocument/2006/relationships/hyperlink" Target="http://www.nevo.co.il/case/25860719"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3300124" TargetMode="External"/><Relationship Id="rId19" Type="http://schemas.openxmlformats.org/officeDocument/2006/relationships/hyperlink" Target="http://www.nevo.co.il/law/70301/335.a.1"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144.c" TargetMode="External"/><Relationship Id="rId30" Type="http://schemas.openxmlformats.org/officeDocument/2006/relationships/hyperlink" Target="http://www.nevo.co.il/law/70301/335.a.1" TargetMode="External"/><Relationship Id="rId35" Type="http://schemas.openxmlformats.org/officeDocument/2006/relationships/hyperlink" Target="http://www.nevo.co.il/case/21894895"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8291683" TargetMode="External"/><Relationship Id="rId56" Type="http://schemas.openxmlformats.org/officeDocument/2006/relationships/hyperlink" Target="http://www.nevo.co.il/case/5958231" TargetMode="External"/><Relationship Id="rId64" Type="http://schemas.openxmlformats.org/officeDocument/2006/relationships/hyperlink" Target="http://www.nevo.co.il/case/25824863" TargetMode="External"/><Relationship Id="rId69" Type="http://schemas.openxmlformats.org/officeDocument/2006/relationships/hyperlink" Target="http://www.nevo.co.il/case/21894895" TargetMode="External"/><Relationship Id="rId8" Type="http://schemas.openxmlformats.org/officeDocument/2006/relationships/hyperlink" Target="http://www.nevo.co.il/law/70301/40d" TargetMode="External"/><Relationship Id="rId51" Type="http://schemas.openxmlformats.org/officeDocument/2006/relationships/hyperlink" Target="http://www.nevo.co.il/law/70301/335.a.1"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33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333" TargetMode="External"/><Relationship Id="rId46" Type="http://schemas.openxmlformats.org/officeDocument/2006/relationships/hyperlink" Target="http://www.nevo.co.il/case/22932896" TargetMode="External"/><Relationship Id="rId59" Type="http://schemas.openxmlformats.org/officeDocument/2006/relationships/hyperlink" Target="http://www.nevo.co.il/case/23551091"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70301/340.a.b.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5528733"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 TargetMode="External"/><Relationship Id="rId23" Type="http://schemas.openxmlformats.org/officeDocument/2006/relationships/hyperlink" Target="http://www.nevo.co.il/law/70301/333" TargetMode="External"/><Relationship Id="rId28" Type="http://schemas.openxmlformats.org/officeDocument/2006/relationships/hyperlink" Target="http://www.nevo.co.il/law/70301/340a.b.1.;340.a.b.2" TargetMode="External"/><Relationship Id="rId36" Type="http://schemas.openxmlformats.org/officeDocument/2006/relationships/hyperlink" Target="http://www.nevo.co.il/law/70301/186.a" TargetMode="External"/><Relationship Id="rId49" Type="http://schemas.openxmlformats.org/officeDocument/2006/relationships/hyperlink" Target="http://www.nevo.co.il/law/70301/329.a" TargetMode="External"/><Relationship Id="rId57" Type="http://schemas.openxmlformats.org/officeDocument/2006/relationships/hyperlink" Target="http://www.nevo.co.il/case/25127246"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17948201" TargetMode="External"/><Relationship Id="rId52" Type="http://schemas.openxmlformats.org/officeDocument/2006/relationships/hyperlink" Target="http://www.nevo.co.il/case/24966889" TargetMode="External"/><Relationship Id="rId60" Type="http://schemas.openxmlformats.org/officeDocument/2006/relationships/hyperlink" Target="http://www.nevo.co.il/case/25546727" TargetMode="External"/><Relationship Id="rId65" Type="http://schemas.openxmlformats.org/officeDocument/2006/relationships/hyperlink" Target="http://www.nevo.co.il/case/23386870"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law/70301/334" TargetMode="External"/><Relationship Id="rId39" Type="http://schemas.openxmlformats.org/officeDocument/2006/relationships/hyperlink" Target="http://www.nevo.co.il/law/70301/335.a.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333" TargetMode="External"/><Relationship Id="rId55" Type="http://schemas.openxmlformats.org/officeDocument/2006/relationships/hyperlink" Target="http://www.nevo.co.il/case/5575978"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4495</Words>
  <Characters>22476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26918</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3604596</vt:i4>
      </vt:variant>
      <vt:variant>
        <vt:i4>186</vt:i4>
      </vt:variant>
      <vt:variant>
        <vt:i4>0</vt:i4>
      </vt:variant>
      <vt:variant>
        <vt:i4>5</vt:i4>
      </vt:variant>
      <vt:variant>
        <vt:lpwstr>http://www.nevo.co.il/case/21894895</vt:lpwstr>
      </vt:variant>
      <vt:variant>
        <vt:lpwstr/>
      </vt:variant>
      <vt:variant>
        <vt:i4>7995492</vt:i4>
      </vt:variant>
      <vt:variant>
        <vt:i4>183</vt:i4>
      </vt:variant>
      <vt:variant>
        <vt:i4>0</vt:i4>
      </vt:variant>
      <vt:variant>
        <vt:i4>5</vt:i4>
      </vt:variant>
      <vt:variant>
        <vt:lpwstr>http://www.nevo.co.il/law/70301</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3866736</vt:i4>
      </vt:variant>
      <vt:variant>
        <vt:i4>177</vt:i4>
      </vt:variant>
      <vt:variant>
        <vt:i4>0</vt:i4>
      </vt:variant>
      <vt:variant>
        <vt:i4>5</vt:i4>
      </vt:variant>
      <vt:variant>
        <vt:lpwstr>http://www.nevo.co.il/case/25860719</vt:lpwstr>
      </vt:variant>
      <vt:variant>
        <vt:lpwstr/>
      </vt:variant>
      <vt:variant>
        <vt:i4>3145847</vt:i4>
      </vt:variant>
      <vt:variant>
        <vt:i4>174</vt:i4>
      </vt:variant>
      <vt:variant>
        <vt:i4>0</vt:i4>
      </vt:variant>
      <vt:variant>
        <vt:i4>5</vt:i4>
      </vt:variant>
      <vt:variant>
        <vt:lpwstr>http://www.nevo.co.il/case/23386870</vt:lpwstr>
      </vt:variant>
      <vt:variant>
        <vt:lpwstr/>
      </vt:variant>
      <vt:variant>
        <vt:i4>3670139</vt:i4>
      </vt:variant>
      <vt:variant>
        <vt:i4>171</vt:i4>
      </vt:variant>
      <vt:variant>
        <vt:i4>0</vt:i4>
      </vt:variant>
      <vt:variant>
        <vt:i4>5</vt:i4>
      </vt:variant>
      <vt:variant>
        <vt:lpwstr>http://www.nevo.co.il/case/25824863</vt:lpwstr>
      </vt:variant>
      <vt:variant>
        <vt:lpwstr/>
      </vt:variant>
      <vt:variant>
        <vt:i4>3735673</vt:i4>
      </vt:variant>
      <vt:variant>
        <vt:i4>168</vt:i4>
      </vt:variant>
      <vt:variant>
        <vt:i4>0</vt:i4>
      </vt:variant>
      <vt:variant>
        <vt:i4>5</vt:i4>
      </vt:variant>
      <vt:variant>
        <vt:lpwstr>http://www.nevo.co.il/case/16987369</vt:lpwstr>
      </vt:variant>
      <vt:variant>
        <vt:lpwstr/>
      </vt:variant>
      <vt:variant>
        <vt:i4>3932276</vt:i4>
      </vt:variant>
      <vt:variant>
        <vt:i4>165</vt:i4>
      </vt:variant>
      <vt:variant>
        <vt:i4>0</vt:i4>
      </vt:variant>
      <vt:variant>
        <vt:i4>5</vt:i4>
      </vt:variant>
      <vt:variant>
        <vt:lpwstr>http://www.nevo.co.il/case/25528733</vt:lpwstr>
      </vt:variant>
      <vt:variant>
        <vt:lpwstr/>
      </vt:variant>
      <vt:variant>
        <vt:i4>3342454</vt:i4>
      </vt:variant>
      <vt:variant>
        <vt:i4>162</vt:i4>
      </vt:variant>
      <vt:variant>
        <vt:i4>0</vt:i4>
      </vt:variant>
      <vt:variant>
        <vt:i4>5</vt:i4>
      </vt:variant>
      <vt:variant>
        <vt:lpwstr>http://www.nevo.co.il/case/23300124</vt:lpwstr>
      </vt:variant>
      <vt:variant>
        <vt:lpwstr/>
      </vt:variant>
      <vt:variant>
        <vt:i4>3342450</vt:i4>
      </vt:variant>
      <vt:variant>
        <vt:i4>159</vt:i4>
      </vt:variant>
      <vt:variant>
        <vt:i4>0</vt:i4>
      </vt:variant>
      <vt:variant>
        <vt:i4>5</vt:i4>
      </vt:variant>
      <vt:variant>
        <vt:lpwstr>http://www.nevo.co.il/case/25546727</vt:lpwstr>
      </vt:variant>
      <vt:variant>
        <vt:lpwstr/>
      </vt:variant>
      <vt:variant>
        <vt:i4>4128882</vt:i4>
      </vt:variant>
      <vt:variant>
        <vt:i4>156</vt:i4>
      </vt:variant>
      <vt:variant>
        <vt:i4>0</vt:i4>
      </vt:variant>
      <vt:variant>
        <vt:i4>5</vt:i4>
      </vt:variant>
      <vt:variant>
        <vt:lpwstr>http://www.nevo.co.il/case/23551091</vt:lpwstr>
      </vt:variant>
      <vt:variant>
        <vt:lpwstr/>
      </vt:variant>
      <vt:variant>
        <vt:i4>3407985</vt:i4>
      </vt:variant>
      <vt:variant>
        <vt:i4>153</vt:i4>
      </vt:variant>
      <vt:variant>
        <vt:i4>0</vt:i4>
      </vt:variant>
      <vt:variant>
        <vt:i4>5</vt:i4>
      </vt:variant>
      <vt:variant>
        <vt:lpwstr>http://www.nevo.co.il/case/20033653</vt:lpwstr>
      </vt:variant>
      <vt:variant>
        <vt:lpwstr/>
      </vt:variant>
      <vt:variant>
        <vt:i4>3145841</vt:i4>
      </vt:variant>
      <vt:variant>
        <vt:i4>150</vt:i4>
      </vt:variant>
      <vt:variant>
        <vt:i4>0</vt:i4>
      </vt:variant>
      <vt:variant>
        <vt:i4>5</vt:i4>
      </vt:variant>
      <vt:variant>
        <vt:lpwstr>http://www.nevo.co.il/case/25127246</vt:lpwstr>
      </vt:variant>
      <vt:variant>
        <vt:lpwstr/>
      </vt:variant>
      <vt:variant>
        <vt:i4>3342454</vt:i4>
      </vt:variant>
      <vt:variant>
        <vt:i4>147</vt:i4>
      </vt:variant>
      <vt:variant>
        <vt:i4>0</vt:i4>
      </vt:variant>
      <vt:variant>
        <vt:i4>5</vt:i4>
      </vt:variant>
      <vt:variant>
        <vt:lpwstr>http://www.nevo.co.il/case/5958231</vt:lpwstr>
      </vt:variant>
      <vt:variant>
        <vt:lpwstr/>
      </vt:variant>
      <vt:variant>
        <vt:i4>3342451</vt:i4>
      </vt:variant>
      <vt:variant>
        <vt:i4>144</vt:i4>
      </vt:variant>
      <vt:variant>
        <vt:i4>0</vt:i4>
      </vt:variant>
      <vt:variant>
        <vt:i4>5</vt:i4>
      </vt:variant>
      <vt:variant>
        <vt:lpwstr>http://www.nevo.co.il/case/5575978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3473521</vt:i4>
      </vt:variant>
      <vt:variant>
        <vt:i4>138</vt:i4>
      </vt:variant>
      <vt:variant>
        <vt:i4>0</vt:i4>
      </vt:variant>
      <vt:variant>
        <vt:i4>5</vt:i4>
      </vt:variant>
      <vt:variant>
        <vt:lpwstr>http://www.nevo.co.il/case/27272576</vt:lpwstr>
      </vt:variant>
      <vt:variant>
        <vt:lpwstr/>
      </vt:variant>
      <vt:variant>
        <vt:i4>3473534</vt:i4>
      </vt:variant>
      <vt:variant>
        <vt:i4>135</vt:i4>
      </vt:variant>
      <vt:variant>
        <vt:i4>0</vt:i4>
      </vt:variant>
      <vt:variant>
        <vt:i4>5</vt:i4>
      </vt:variant>
      <vt:variant>
        <vt:lpwstr>http://www.nevo.co.il/case/24966889</vt:lpwstr>
      </vt:variant>
      <vt:variant>
        <vt:lpwstr/>
      </vt:variant>
      <vt:variant>
        <vt:i4>6684722</vt:i4>
      </vt:variant>
      <vt:variant>
        <vt:i4>132</vt:i4>
      </vt:variant>
      <vt:variant>
        <vt:i4>0</vt:i4>
      </vt:variant>
      <vt:variant>
        <vt:i4>5</vt:i4>
      </vt:variant>
      <vt:variant>
        <vt:lpwstr>http://www.nevo.co.il/law/70301/335.a.1</vt:lpwstr>
      </vt:variant>
      <vt:variant>
        <vt:lpwstr/>
      </vt:variant>
      <vt:variant>
        <vt:i4>6684774</vt:i4>
      </vt:variant>
      <vt:variant>
        <vt:i4>129</vt:i4>
      </vt:variant>
      <vt:variant>
        <vt:i4>0</vt:i4>
      </vt:variant>
      <vt:variant>
        <vt:i4>5</vt:i4>
      </vt:variant>
      <vt:variant>
        <vt:lpwstr>http://www.nevo.co.il/law/70301/333</vt:lpwstr>
      </vt:variant>
      <vt:variant>
        <vt:lpwstr/>
      </vt:variant>
      <vt:variant>
        <vt:i4>4784223</vt:i4>
      </vt:variant>
      <vt:variant>
        <vt:i4>126</vt:i4>
      </vt:variant>
      <vt:variant>
        <vt:i4>0</vt:i4>
      </vt:variant>
      <vt:variant>
        <vt:i4>5</vt:i4>
      </vt:variant>
      <vt:variant>
        <vt:lpwstr>http://www.nevo.co.il/law/70301/329.a</vt:lpwstr>
      </vt:variant>
      <vt:variant>
        <vt:lpwstr/>
      </vt:variant>
      <vt:variant>
        <vt:i4>3407999</vt:i4>
      </vt:variant>
      <vt:variant>
        <vt:i4>123</vt:i4>
      </vt:variant>
      <vt:variant>
        <vt:i4>0</vt:i4>
      </vt:variant>
      <vt:variant>
        <vt:i4>5</vt:i4>
      </vt:variant>
      <vt:variant>
        <vt:lpwstr>http://www.nevo.co.il/case/8291683</vt:lpwstr>
      </vt:variant>
      <vt:variant>
        <vt:lpwstr/>
      </vt:variant>
      <vt:variant>
        <vt:i4>3670139</vt:i4>
      </vt:variant>
      <vt:variant>
        <vt:i4>120</vt:i4>
      </vt:variant>
      <vt:variant>
        <vt:i4>0</vt:i4>
      </vt:variant>
      <vt:variant>
        <vt:i4>5</vt:i4>
      </vt:variant>
      <vt:variant>
        <vt:lpwstr>http://www.nevo.co.il/case/25824863</vt:lpwstr>
      </vt:variant>
      <vt:variant>
        <vt:lpwstr/>
      </vt:variant>
      <vt:variant>
        <vt:i4>3145853</vt:i4>
      </vt:variant>
      <vt:variant>
        <vt:i4>117</vt:i4>
      </vt:variant>
      <vt:variant>
        <vt:i4>0</vt:i4>
      </vt:variant>
      <vt:variant>
        <vt:i4>5</vt:i4>
      </vt:variant>
      <vt:variant>
        <vt:lpwstr>http://www.nevo.co.il/case/22932896</vt:lpwstr>
      </vt:variant>
      <vt:variant>
        <vt:lpwstr/>
      </vt:variant>
      <vt:variant>
        <vt:i4>4128884</vt:i4>
      </vt:variant>
      <vt:variant>
        <vt:i4>114</vt:i4>
      </vt:variant>
      <vt:variant>
        <vt:i4>0</vt:i4>
      </vt:variant>
      <vt:variant>
        <vt:i4>5</vt:i4>
      </vt:variant>
      <vt:variant>
        <vt:lpwstr>http://www.nevo.co.il/case/23833066</vt:lpwstr>
      </vt:variant>
      <vt:variant>
        <vt:lpwstr/>
      </vt:variant>
      <vt:variant>
        <vt:i4>3145845</vt:i4>
      </vt:variant>
      <vt:variant>
        <vt:i4>111</vt:i4>
      </vt:variant>
      <vt:variant>
        <vt:i4>0</vt:i4>
      </vt:variant>
      <vt:variant>
        <vt:i4>5</vt:i4>
      </vt:variant>
      <vt:variant>
        <vt:lpwstr>http://www.nevo.co.il/case/17948201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6684722</vt:i4>
      </vt:variant>
      <vt:variant>
        <vt:i4>96</vt:i4>
      </vt:variant>
      <vt:variant>
        <vt:i4>0</vt:i4>
      </vt:variant>
      <vt:variant>
        <vt:i4>5</vt:i4>
      </vt:variant>
      <vt:variant>
        <vt:lpwstr>http://www.nevo.co.il/law/70301/335.a.1</vt:lpwstr>
      </vt:variant>
      <vt:variant>
        <vt:lpwstr/>
      </vt:variant>
      <vt:variant>
        <vt:i4>6684774</vt:i4>
      </vt:variant>
      <vt:variant>
        <vt:i4>93</vt:i4>
      </vt:variant>
      <vt:variant>
        <vt:i4>0</vt:i4>
      </vt:variant>
      <vt:variant>
        <vt:i4>5</vt:i4>
      </vt:variant>
      <vt:variant>
        <vt:lpwstr>http://www.nevo.co.il/law/70301/333</vt:lpwstr>
      </vt:variant>
      <vt:variant>
        <vt:lpwstr/>
      </vt:variant>
      <vt:variant>
        <vt:i4>6750310</vt:i4>
      </vt:variant>
      <vt:variant>
        <vt:i4>90</vt:i4>
      </vt:variant>
      <vt:variant>
        <vt:i4>0</vt:i4>
      </vt:variant>
      <vt:variant>
        <vt:i4>5</vt:i4>
      </vt:variant>
      <vt:variant>
        <vt:lpwstr>http://www.nevo.co.il/law/70301/329</vt:lpwstr>
      </vt:variant>
      <vt:variant>
        <vt:lpwstr/>
      </vt:variant>
      <vt:variant>
        <vt:i4>4390994</vt:i4>
      </vt:variant>
      <vt:variant>
        <vt:i4>87</vt:i4>
      </vt:variant>
      <vt:variant>
        <vt:i4>0</vt:i4>
      </vt:variant>
      <vt:variant>
        <vt:i4>5</vt:i4>
      </vt:variant>
      <vt:variant>
        <vt:lpwstr>http://www.nevo.co.il/law/70301/186.a</vt:lpwstr>
      </vt:variant>
      <vt:variant>
        <vt:lpwstr/>
      </vt:variant>
      <vt:variant>
        <vt:i4>3604596</vt:i4>
      </vt:variant>
      <vt:variant>
        <vt:i4>84</vt:i4>
      </vt:variant>
      <vt:variant>
        <vt:i4>0</vt:i4>
      </vt:variant>
      <vt:variant>
        <vt:i4>5</vt:i4>
      </vt:variant>
      <vt:variant>
        <vt:lpwstr>http://www.nevo.co.il/case/21894895</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6684722</vt:i4>
      </vt:variant>
      <vt:variant>
        <vt:i4>69</vt:i4>
      </vt:variant>
      <vt:variant>
        <vt:i4>0</vt:i4>
      </vt:variant>
      <vt:variant>
        <vt:i4>5</vt:i4>
      </vt:variant>
      <vt:variant>
        <vt:lpwstr>http://www.nevo.co.il/law/70301/335.a.1</vt:lpwstr>
      </vt:variant>
      <vt:variant>
        <vt:lpwstr/>
      </vt:variant>
      <vt:variant>
        <vt:i4>6684774</vt:i4>
      </vt:variant>
      <vt:variant>
        <vt:i4>66</vt:i4>
      </vt:variant>
      <vt:variant>
        <vt:i4>0</vt:i4>
      </vt:variant>
      <vt:variant>
        <vt:i4>5</vt:i4>
      </vt:variant>
      <vt:variant>
        <vt:lpwstr>http://www.nevo.co.il/law/70301/334</vt:lpwstr>
      </vt:variant>
      <vt:variant>
        <vt:lpwstr/>
      </vt:variant>
      <vt:variant>
        <vt:i4>7471224</vt:i4>
      </vt:variant>
      <vt:variant>
        <vt:i4>63</vt:i4>
      </vt:variant>
      <vt:variant>
        <vt:i4>0</vt:i4>
      </vt:variant>
      <vt:variant>
        <vt:i4>5</vt:i4>
      </vt:variant>
      <vt:variant>
        <vt:lpwstr>http://www.nevo.co.il/law/70301/340a.b.1.;340.a.b.2</vt:lpwstr>
      </vt:variant>
      <vt:variant>
        <vt:lpwstr/>
      </vt:variant>
      <vt:variant>
        <vt:i4>5177424</vt:i4>
      </vt:variant>
      <vt:variant>
        <vt:i4>60</vt:i4>
      </vt:variant>
      <vt:variant>
        <vt:i4>0</vt:i4>
      </vt:variant>
      <vt:variant>
        <vt:i4>5</vt:i4>
      </vt:variant>
      <vt:variant>
        <vt:lpwstr>http://www.nevo.co.il/law/70301/144.c</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6684722</vt:i4>
      </vt:variant>
      <vt:variant>
        <vt:i4>51</vt:i4>
      </vt:variant>
      <vt:variant>
        <vt:i4>0</vt:i4>
      </vt:variant>
      <vt:variant>
        <vt:i4>5</vt:i4>
      </vt:variant>
      <vt:variant>
        <vt:lpwstr>http://www.nevo.co.il/law/70301/335.a.1</vt:lpwstr>
      </vt:variant>
      <vt:variant>
        <vt:lpwstr/>
      </vt:variant>
      <vt:variant>
        <vt:i4>6684774</vt:i4>
      </vt:variant>
      <vt:variant>
        <vt:i4>48</vt:i4>
      </vt:variant>
      <vt:variant>
        <vt:i4>0</vt:i4>
      </vt:variant>
      <vt:variant>
        <vt:i4>5</vt:i4>
      </vt:variant>
      <vt:variant>
        <vt:lpwstr>http://www.nevo.co.il/law/70301/333</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5177429</vt:i4>
      </vt:variant>
      <vt:variant>
        <vt:i4>39</vt:i4>
      </vt:variant>
      <vt:variant>
        <vt:i4>0</vt:i4>
      </vt:variant>
      <vt:variant>
        <vt:i4>5</vt:i4>
      </vt:variant>
      <vt:variant>
        <vt:lpwstr>http://www.nevo.co.il/law/70301/340.a.b.2</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4784223</vt:i4>
      </vt:variant>
      <vt:variant>
        <vt:i4>27</vt:i4>
      </vt:variant>
      <vt:variant>
        <vt:i4>0</vt:i4>
      </vt:variant>
      <vt:variant>
        <vt:i4>5</vt:i4>
      </vt:variant>
      <vt:variant>
        <vt:lpwstr>http://www.nevo.co.il/law/70301/329.a</vt:lpwstr>
      </vt:variant>
      <vt:variant>
        <vt:lpwstr/>
      </vt:variant>
      <vt:variant>
        <vt:i4>6750310</vt:i4>
      </vt:variant>
      <vt:variant>
        <vt:i4>24</vt:i4>
      </vt:variant>
      <vt:variant>
        <vt:i4>0</vt:i4>
      </vt:variant>
      <vt:variant>
        <vt:i4>5</vt:i4>
      </vt:variant>
      <vt:variant>
        <vt:lpwstr>http://www.nevo.co.il/law/70301/329</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3429</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קיס אגבאריה</vt:lpwstr>
  </property>
  <property fmtid="{D5CDD505-2E9C-101B-9397-08002B2CF9AE}" pid="10" name="LAWYER">
    <vt:lpwstr>סיוון קוסטר;יוסף סלימאן</vt:lpwstr>
  </property>
  <property fmtid="{D5CDD505-2E9C-101B-9397-08002B2CF9AE}" pid="11" name="JUDGE">
    <vt:lpwstr>גלית ציגלר</vt:lpwstr>
  </property>
  <property fmtid="{D5CDD505-2E9C-101B-9397-08002B2CF9AE}" pid="12" name="CITY">
    <vt:lpwstr>חי'</vt:lpwstr>
  </property>
  <property fmtid="{D5CDD505-2E9C-101B-9397-08002B2CF9AE}" pid="13" name="DATE">
    <vt:lpwstr>20211121</vt:lpwstr>
  </property>
  <property fmtid="{D5CDD505-2E9C-101B-9397-08002B2CF9AE}" pid="14" name="TYPE_N_DATE">
    <vt:lpwstr>39020211121</vt:lpwstr>
  </property>
  <property fmtid="{D5CDD505-2E9C-101B-9397-08002B2CF9AE}" pid="15" name="WORDNUMPAGES">
    <vt:lpwstr>13</vt:lpwstr>
  </property>
  <property fmtid="{D5CDD505-2E9C-101B-9397-08002B2CF9AE}" pid="16" name="TYPE_ABS_DATE">
    <vt:lpwstr>390020211121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21894895:2;17948201;23833066;22932896;25824863:2;8291683;24966889;27272576;5575978;5958231;25127246;20033653;23551091;25546727;23300124;25528733;16987369;23386870;25860719</vt:lpwstr>
  </property>
  <property fmtid="{D5CDD505-2E9C-101B-9397-08002B2CF9AE}" pid="36" name="LAWLISTTMP1">
    <vt:lpwstr>70301/333:3;335.a.1:4;144.b:2;144.c;340a.b.1;340.a.b.2;334;144.a;192;186.a;329;040d;040i;329.a;40ja</vt:lpwstr>
  </property>
</Properties>
</file>