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2"/>
        <w:gridCol w:w="3679"/>
      </w:tblGrid>
      <w:tr w:rsidR="002B3ED9" w:rsidRPr="00E46492" w14:paraId="6B2F4CA5" w14:textId="77777777" w:rsidTr="00F854BA">
        <w:trPr>
          <w:trHeight w:hRule="exact" w:val="709"/>
          <w:jc w:val="center"/>
        </w:trPr>
        <w:tc>
          <w:tcPr>
            <w:tcW w:w="8721" w:type="dxa"/>
            <w:gridSpan w:val="2"/>
          </w:tcPr>
          <w:p w14:paraId="6C6BD163" w14:textId="77777777" w:rsidR="002B3ED9" w:rsidRPr="00E46492" w:rsidRDefault="002B3ED9" w:rsidP="00D70724">
            <w:pPr>
              <w:pStyle w:val="a3"/>
              <w:jc w:val="center"/>
              <w:rPr>
                <w:rtl/>
              </w:rPr>
            </w:pPr>
            <w:r w:rsidRPr="00E46492">
              <w:rPr>
                <w:rFonts w:ascii="Tahoma" w:hAnsi="Tahoma" w:cs="Tahoma"/>
                <w:b/>
                <w:bCs/>
                <w:color w:val="000080"/>
                <w:rtl/>
              </w:rPr>
              <w:t>בית המשפט המחוזי בירושלים</w:t>
            </w:r>
          </w:p>
          <w:p w14:paraId="7F4CC5DC" w14:textId="77777777" w:rsidR="002B3ED9" w:rsidRPr="00E46492" w:rsidRDefault="002B3ED9" w:rsidP="00D70724">
            <w:pPr>
              <w:jc w:val="center"/>
              <w:rPr>
                <w:rFonts w:ascii="Tahoma" w:hAnsi="Tahoma" w:cs="Tahoma"/>
                <w:b/>
                <w:bCs/>
                <w:color w:val="000080"/>
              </w:rPr>
            </w:pPr>
            <w:r w:rsidRPr="00E46492">
              <w:rPr>
                <w:rFonts w:ascii="Tahoma" w:hAnsi="Tahoma" w:cs="Tahoma"/>
                <w:b/>
                <w:bCs/>
                <w:color w:val="000080"/>
                <w:rtl/>
              </w:rPr>
              <w:t>לפני כב' השופט רפי כרמל, סגן נשיא</w:t>
            </w:r>
          </w:p>
          <w:p w14:paraId="3F4F95B6" w14:textId="77777777" w:rsidR="002B3ED9" w:rsidRPr="00E46492" w:rsidRDefault="002B3ED9" w:rsidP="00D70724">
            <w:pPr>
              <w:pStyle w:val="a3"/>
              <w:jc w:val="center"/>
              <w:rPr>
                <w:rFonts w:ascii="Tahoma" w:hAnsi="Tahoma" w:cs="Tahoma"/>
                <w:color w:val="000080"/>
                <w:rtl/>
              </w:rPr>
            </w:pPr>
          </w:p>
        </w:tc>
      </w:tr>
      <w:tr w:rsidR="002B3ED9" w:rsidRPr="00E46492" w14:paraId="614E87C2" w14:textId="77777777" w:rsidTr="00F854BA">
        <w:trPr>
          <w:trHeight w:val="337"/>
          <w:jc w:val="center"/>
        </w:trPr>
        <w:tc>
          <w:tcPr>
            <w:tcW w:w="5042" w:type="dxa"/>
          </w:tcPr>
          <w:p w14:paraId="109C3481" w14:textId="77777777" w:rsidR="002B3ED9" w:rsidRPr="00E46492" w:rsidRDefault="002B3ED9" w:rsidP="00D70724">
            <w:pPr>
              <w:rPr>
                <w:rFonts w:cs="FrankRuehl"/>
                <w:sz w:val="28"/>
                <w:szCs w:val="28"/>
                <w:rtl/>
              </w:rPr>
            </w:pPr>
            <w:bookmarkStart w:id="0" w:name="LastJudge"/>
            <w:bookmarkEnd w:id="0"/>
          </w:p>
        </w:tc>
        <w:tc>
          <w:tcPr>
            <w:tcW w:w="3679" w:type="dxa"/>
          </w:tcPr>
          <w:p w14:paraId="5396F554" w14:textId="77777777" w:rsidR="002B3ED9" w:rsidRPr="00E46492" w:rsidRDefault="002B3ED9" w:rsidP="00D70724">
            <w:pPr>
              <w:pStyle w:val="a3"/>
              <w:jc w:val="right"/>
              <w:rPr>
                <w:rFonts w:cs="FrankRuehl"/>
                <w:b/>
                <w:bCs/>
                <w:sz w:val="30"/>
                <w:szCs w:val="30"/>
                <w:rtl/>
              </w:rPr>
            </w:pPr>
            <w:r w:rsidRPr="00E46492">
              <w:rPr>
                <w:rFonts w:cs="FrankRuehl"/>
                <w:b/>
                <w:bCs/>
                <w:sz w:val="30"/>
                <w:szCs w:val="30"/>
                <w:rtl/>
              </w:rPr>
              <w:t>ת"פ</w:t>
            </w:r>
            <w:r w:rsidRPr="00E46492">
              <w:rPr>
                <w:rFonts w:cs="FrankRuehl" w:hint="cs"/>
                <w:b/>
                <w:bCs/>
                <w:sz w:val="30"/>
                <w:szCs w:val="30"/>
                <w:rtl/>
              </w:rPr>
              <w:t xml:space="preserve"> </w:t>
            </w:r>
            <w:r w:rsidRPr="00E46492">
              <w:rPr>
                <w:rFonts w:cs="FrankRuehl"/>
                <w:b/>
                <w:bCs/>
                <w:sz w:val="30"/>
                <w:szCs w:val="30"/>
                <w:rtl/>
              </w:rPr>
              <w:t>36909-07-20</w:t>
            </w:r>
          </w:p>
        </w:tc>
      </w:tr>
    </w:tbl>
    <w:p w14:paraId="1CBAFB11" w14:textId="77777777" w:rsidR="002B3ED9" w:rsidRPr="00E46492" w:rsidRDefault="002B3ED9" w:rsidP="002B3ED9">
      <w:pPr>
        <w:pStyle w:val="a3"/>
        <w:rPr>
          <w:rtl/>
        </w:rPr>
      </w:pPr>
      <w:r w:rsidRPr="00E46492">
        <w:rPr>
          <w:rFonts w:hint="cs"/>
          <w:rtl/>
        </w:rPr>
        <w:t xml:space="preserve"> </w:t>
      </w:r>
    </w:p>
    <w:p w14:paraId="4C3E69A2" w14:textId="77777777" w:rsidR="002B3ED9" w:rsidRPr="00E46492" w:rsidRDefault="002B3ED9" w:rsidP="002B3ED9">
      <w:pPr>
        <w:rPr>
          <w:spacing w:val="22"/>
          <w:rtl/>
        </w:rPr>
      </w:pPr>
    </w:p>
    <w:p w14:paraId="11673702" w14:textId="77777777" w:rsidR="002B3ED9" w:rsidRPr="00E46492" w:rsidRDefault="002B3ED9" w:rsidP="002B3ED9">
      <w:pPr>
        <w:rPr>
          <w:spacing w:val="2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3887"/>
        <w:gridCol w:w="3771"/>
      </w:tblGrid>
      <w:tr w:rsidR="002B3ED9" w:rsidRPr="00E46492" w14:paraId="762986E0" w14:textId="77777777" w:rsidTr="002B3ED9">
        <w:trPr>
          <w:trHeight w:val="355"/>
          <w:jc w:val="center"/>
        </w:trPr>
        <w:tc>
          <w:tcPr>
            <w:tcW w:w="1162" w:type="dxa"/>
            <w:tcBorders>
              <w:top w:val="nil"/>
              <w:left w:val="nil"/>
              <w:bottom w:val="nil"/>
              <w:right w:val="nil"/>
            </w:tcBorders>
            <w:shd w:val="clear" w:color="auto" w:fill="auto"/>
          </w:tcPr>
          <w:p w14:paraId="3FB60252" w14:textId="77777777" w:rsidR="002B3ED9" w:rsidRPr="00E46492" w:rsidRDefault="002B3ED9" w:rsidP="002B3ED9">
            <w:pPr>
              <w:spacing w:line="480" w:lineRule="auto"/>
              <w:jc w:val="both"/>
              <w:rPr>
                <w:rFonts w:ascii="David" w:hAnsi="David"/>
                <w:b/>
                <w:bCs/>
                <w:sz w:val="26"/>
                <w:szCs w:val="26"/>
              </w:rPr>
            </w:pPr>
            <w:bookmarkStart w:id="1" w:name="FirstAppellant"/>
            <w:r w:rsidRPr="00E46492">
              <w:rPr>
                <w:rFonts w:ascii="David" w:hAnsi="David"/>
                <w:b/>
                <w:bCs/>
                <w:sz w:val="26"/>
                <w:szCs w:val="26"/>
                <w:rtl/>
              </w:rPr>
              <w:t>בעניין</w:t>
            </w:r>
          </w:p>
        </w:tc>
        <w:tc>
          <w:tcPr>
            <w:tcW w:w="3887" w:type="dxa"/>
            <w:tcBorders>
              <w:top w:val="nil"/>
              <w:left w:val="nil"/>
              <w:bottom w:val="nil"/>
              <w:right w:val="nil"/>
            </w:tcBorders>
            <w:shd w:val="clear" w:color="auto" w:fill="auto"/>
          </w:tcPr>
          <w:p w14:paraId="4483DF47" w14:textId="77777777" w:rsidR="002B3ED9" w:rsidRPr="00E46492" w:rsidRDefault="002B3ED9" w:rsidP="002B3ED9">
            <w:pPr>
              <w:spacing w:line="480" w:lineRule="auto"/>
              <w:rPr>
                <w:rFonts w:ascii="David" w:hAnsi="David"/>
                <w:b/>
                <w:bCs/>
                <w:sz w:val="26"/>
                <w:szCs w:val="26"/>
              </w:rPr>
            </w:pPr>
            <w:r w:rsidRPr="00E46492">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12197851" w14:textId="77777777" w:rsidR="002B3ED9" w:rsidRPr="00E46492" w:rsidRDefault="002B3ED9" w:rsidP="002B3ED9">
            <w:pPr>
              <w:spacing w:line="480" w:lineRule="auto"/>
              <w:jc w:val="both"/>
              <w:rPr>
                <w:rFonts w:ascii="David" w:hAnsi="David"/>
                <w:b/>
                <w:bCs/>
                <w:sz w:val="26"/>
                <w:szCs w:val="26"/>
              </w:rPr>
            </w:pPr>
          </w:p>
        </w:tc>
      </w:tr>
      <w:bookmarkEnd w:id="1"/>
      <w:tr w:rsidR="002B3ED9" w:rsidRPr="00E46492" w14:paraId="61C0D425" w14:textId="77777777" w:rsidTr="002B3ED9">
        <w:trPr>
          <w:trHeight w:val="355"/>
          <w:jc w:val="center"/>
        </w:trPr>
        <w:tc>
          <w:tcPr>
            <w:tcW w:w="1162" w:type="dxa"/>
            <w:tcBorders>
              <w:top w:val="nil"/>
              <w:left w:val="nil"/>
              <w:bottom w:val="nil"/>
              <w:right w:val="nil"/>
            </w:tcBorders>
            <w:shd w:val="clear" w:color="auto" w:fill="auto"/>
          </w:tcPr>
          <w:p w14:paraId="32283C35" w14:textId="77777777" w:rsidR="002B3ED9" w:rsidRPr="00E46492" w:rsidRDefault="002B3ED9" w:rsidP="002B3ED9">
            <w:pPr>
              <w:spacing w:line="480" w:lineRule="auto"/>
              <w:jc w:val="both"/>
              <w:rPr>
                <w:rFonts w:ascii="David" w:hAnsi="David"/>
                <w:b/>
                <w:bCs/>
                <w:sz w:val="26"/>
                <w:szCs w:val="26"/>
                <w:rtl/>
              </w:rPr>
            </w:pPr>
          </w:p>
        </w:tc>
        <w:tc>
          <w:tcPr>
            <w:tcW w:w="3887" w:type="dxa"/>
            <w:tcBorders>
              <w:top w:val="nil"/>
              <w:left w:val="nil"/>
              <w:bottom w:val="nil"/>
              <w:right w:val="nil"/>
            </w:tcBorders>
            <w:shd w:val="clear" w:color="auto" w:fill="auto"/>
          </w:tcPr>
          <w:p w14:paraId="4C9A8868" w14:textId="77777777" w:rsidR="002B3ED9" w:rsidRPr="00E46492" w:rsidRDefault="002B3ED9" w:rsidP="002B3ED9">
            <w:pPr>
              <w:spacing w:line="480" w:lineRule="auto"/>
              <w:jc w:val="both"/>
              <w:rPr>
                <w:rFonts w:ascii="David" w:hAnsi="David"/>
                <w:b/>
                <w:bCs/>
                <w:sz w:val="26"/>
                <w:szCs w:val="26"/>
                <w:rtl/>
              </w:rPr>
            </w:pPr>
            <w:r w:rsidRPr="00E46492">
              <w:rPr>
                <w:rFonts w:ascii="David" w:hAnsi="David" w:hint="cs"/>
                <w:b/>
                <w:bCs/>
                <w:sz w:val="26"/>
                <w:szCs w:val="26"/>
                <w:rtl/>
              </w:rPr>
              <w:t>באמצעות פרקליטות מחוז ירושלים</w:t>
            </w:r>
          </w:p>
        </w:tc>
        <w:tc>
          <w:tcPr>
            <w:tcW w:w="3771" w:type="dxa"/>
            <w:tcBorders>
              <w:top w:val="nil"/>
              <w:left w:val="nil"/>
              <w:bottom w:val="nil"/>
              <w:right w:val="nil"/>
            </w:tcBorders>
            <w:shd w:val="clear" w:color="auto" w:fill="auto"/>
          </w:tcPr>
          <w:p w14:paraId="5F6FDEBD" w14:textId="77777777" w:rsidR="002B3ED9" w:rsidRPr="00E46492" w:rsidRDefault="002B3ED9" w:rsidP="002B3ED9">
            <w:pPr>
              <w:spacing w:line="480" w:lineRule="auto"/>
              <w:jc w:val="right"/>
              <w:rPr>
                <w:rFonts w:ascii="David" w:hAnsi="David"/>
                <w:b/>
                <w:bCs/>
                <w:sz w:val="26"/>
                <w:szCs w:val="26"/>
                <w:rtl/>
              </w:rPr>
            </w:pPr>
            <w:r w:rsidRPr="00E46492">
              <w:rPr>
                <w:rFonts w:ascii="David" w:hAnsi="David"/>
                <w:b/>
                <w:bCs/>
                <w:sz w:val="26"/>
                <w:szCs w:val="26"/>
                <w:rtl/>
              </w:rPr>
              <w:t>המאשימה</w:t>
            </w:r>
          </w:p>
        </w:tc>
      </w:tr>
      <w:tr w:rsidR="002B3ED9" w:rsidRPr="00E46492" w14:paraId="4D1C47EE" w14:textId="77777777" w:rsidTr="002B3ED9">
        <w:trPr>
          <w:trHeight w:val="355"/>
          <w:jc w:val="center"/>
        </w:trPr>
        <w:tc>
          <w:tcPr>
            <w:tcW w:w="1162" w:type="dxa"/>
            <w:tcBorders>
              <w:top w:val="nil"/>
              <w:left w:val="nil"/>
              <w:bottom w:val="nil"/>
              <w:right w:val="nil"/>
            </w:tcBorders>
            <w:shd w:val="clear" w:color="auto" w:fill="auto"/>
          </w:tcPr>
          <w:p w14:paraId="3D978754" w14:textId="77777777" w:rsidR="002B3ED9" w:rsidRPr="00E46492" w:rsidRDefault="002B3ED9" w:rsidP="002B3ED9">
            <w:pPr>
              <w:spacing w:line="480" w:lineRule="auto"/>
              <w:jc w:val="both"/>
              <w:rPr>
                <w:rFonts w:ascii="David" w:hAnsi="David"/>
                <w:b/>
                <w:bCs/>
                <w:sz w:val="26"/>
                <w:szCs w:val="26"/>
                <w:rtl/>
              </w:rPr>
            </w:pPr>
          </w:p>
          <w:p w14:paraId="792F6CF7" w14:textId="77777777" w:rsidR="002B3ED9" w:rsidRPr="00E46492" w:rsidRDefault="002B3ED9" w:rsidP="002B3ED9">
            <w:pPr>
              <w:spacing w:line="480" w:lineRule="auto"/>
              <w:jc w:val="both"/>
              <w:rPr>
                <w:rFonts w:ascii="David" w:hAnsi="David"/>
                <w:b/>
                <w:bCs/>
                <w:sz w:val="26"/>
                <w:szCs w:val="26"/>
                <w:rtl/>
              </w:rPr>
            </w:pPr>
          </w:p>
          <w:p w14:paraId="2B743C90" w14:textId="77777777" w:rsidR="002B3ED9" w:rsidRPr="00E46492" w:rsidRDefault="002B3ED9" w:rsidP="002B3ED9">
            <w:pPr>
              <w:spacing w:line="480" w:lineRule="auto"/>
              <w:jc w:val="both"/>
              <w:rPr>
                <w:rFonts w:ascii="David" w:hAnsi="David"/>
                <w:b/>
                <w:bCs/>
                <w:sz w:val="26"/>
                <w:szCs w:val="26"/>
                <w:rtl/>
              </w:rPr>
            </w:pPr>
          </w:p>
          <w:p w14:paraId="25442B78" w14:textId="77777777" w:rsidR="002B3ED9" w:rsidRPr="00E46492" w:rsidRDefault="002B3ED9" w:rsidP="002B3ED9">
            <w:pPr>
              <w:spacing w:line="480" w:lineRule="auto"/>
              <w:jc w:val="both"/>
              <w:rPr>
                <w:rFonts w:ascii="David" w:hAnsi="David"/>
                <w:b/>
                <w:bCs/>
                <w:sz w:val="26"/>
                <w:szCs w:val="26"/>
                <w:rtl/>
              </w:rPr>
            </w:pPr>
          </w:p>
          <w:p w14:paraId="43445530" w14:textId="77777777" w:rsidR="002B3ED9" w:rsidRPr="00E46492" w:rsidRDefault="002B3ED9" w:rsidP="002B3ED9">
            <w:pPr>
              <w:spacing w:line="480" w:lineRule="auto"/>
              <w:jc w:val="both"/>
              <w:rPr>
                <w:rFonts w:ascii="David" w:hAnsi="David"/>
                <w:b/>
                <w:bCs/>
                <w:sz w:val="26"/>
                <w:szCs w:val="26"/>
                <w:rtl/>
              </w:rPr>
            </w:pPr>
          </w:p>
        </w:tc>
        <w:tc>
          <w:tcPr>
            <w:tcW w:w="7658" w:type="dxa"/>
            <w:gridSpan w:val="2"/>
            <w:tcBorders>
              <w:top w:val="nil"/>
              <w:left w:val="nil"/>
              <w:bottom w:val="nil"/>
              <w:right w:val="nil"/>
            </w:tcBorders>
            <w:shd w:val="clear" w:color="auto" w:fill="auto"/>
          </w:tcPr>
          <w:p w14:paraId="2F84EDED" w14:textId="77777777" w:rsidR="002B3ED9" w:rsidRPr="00E46492" w:rsidRDefault="002B3ED9" w:rsidP="002B3ED9">
            <w:pPr>
              <w:spacing w:line="480" w:lineRule="auto"/>
              <w:jc w:val="center"/>
              <w:rPr>
                <w:rFonts w:ascii="David" w:hAnsi="David"/>
                <w:b/>
                <w:bCs/>
                <w:sz w:val="26"/>
                <w:szCs w:val="26"/>
                <w:rtl/>
              </w:rPr>
            </w:pPr>
          </w:p>
          <w:p w14:paraId="19A86E9F" w14:textId="77777777" w:rsidR="002B3ED9" w:rsidRPr="00E46492" w:rsidRDefault="002B3ED9" w:rsidP="002B3ED9">
            <w:pPr>
              <w:spacing w:line="480" w:lineRule="auto"/>
              <w:jc w:val="center"/>
              <w:rPr>
                <w:rFonts w:ascii="David" w:hAnsi="David"/>
                <w:b/>
                <w:bCs/>
                <w:sz w:val="26"/>
                <w:szCs w:val="26"/>
                <w:rtl/>
              </w:rPr>
            </w:pPr>
          </w:p>
          <w:p w14:paraId="6DA89536" w14:textId="77777777" w:rsidR="002B3ED9" w:rsidRPr="00E46492" w:rsidRDefault="002B3ED9" w:rsidP="002B3ED9">
            <w:pPr>
              <w:spacing w:line="480" w:lineRule="auto"/>
              <w:jc w:val="center"/>
              <w:rPr>
                <w:rFonts w:ascii="David" w:hAnsi="David"/>
                <w:b/>
                <w:bCs/>
                <w:sz w:val="26"/>
                <w:szCs w:val="26"/>
                <w:rtl/>
              </w:rPr>
            </w:pPr>
            <w:r w:rsidRPr="00E46492">
              <w:rPr>
                <w:rFonts w:ascii="David" w:hAnsi="David"/>
                <w:b/>
                <w:bCs/>
                <w:sz w:val="26"/>
                <w:szCs w:val="26"/>
                <w:rtl/>
              </w:rPr>
              <w:t>נגד</w:t>
            </w:r>
          </w:p>
          <w:p w14:paraId="77713572" w14:textId="77777777" w:rsidR="002B3ED9" w:rsidRPr="00E46492" w:rsidRDefault="002B3ED9" w:rsidP="002B3ED9">
            <w:pPr>
              <w:spacing w:line="480" w:lineRule="auto"/>
              <w:jc w:val="both"/>
              <w:rPr>
                <w:rFonts w:ascii="David" w:hAnsi="David"/>
                <w:b/>
                <w:bCs/>
                <w:sz w:val="26"/>
                <w:szCs w:val="26"/>
              </w:rPr>
            </w:pPr>
          </w:p>
        </w:tc>
      </w:tr>
      <w:tr w:rsidR="002B3ED9" w:rsidRPr="00E46492" w14:paraId="5E380391" w14:textId="77777777" w:rsidTr="002B3ED9">
        <w:trPr>
          <w:trHeight w:val="355"/>
          <w:jc w:val="center"/>
        </w:trPr>
        <w:tc>
          <w:tcPr>
            <w:tcW w:w="1162" w:type="dxa"/>
            <w:tcBorders>
              <w:top w:val="nil"/>
              <w:left w:val="nil"/>
              <w:bottom w:val="nil"/>
              <w:right w:val="nil"/>
            </w:tcBorders>
            <w:shd w:val="clear" w:color="auto" w:fill="auto"/>
          </w:tcPr>
          <w:p w14:paraId="5100567E" w14:textId="77777777" w:rsidR="002B3ED9" w:rsidRPr="00E46492" w:rsidRDefault="002B3ED9" w:rsidP="002B3ED9">
            <w:pPr>
              <w:spacing w:line="480" w:lineRule="auto"/>
              <w:rPr>
                <w:rFonts w:ascii="David" w:hAnsi="David"/>
                <w:b/>
                <w:bCs/>
                <w:sz w:val="26"/>
                <w:szCs w:val="26"/>
                <w:rtl/>
              </w:rPr>
            </w:pPr>
          </w:p>
        </w:tc>
        <w:tc>
          <w:tcPr>
            <w:tcW w:w="3887" w:type="dxa"/>
            <w:tcBorders>
              <w:top w:val="nil"/>
              <w:left w:val="nil"/>
              <w:bottom w:val="nil"/>
              <w:right w:val="nil"/>
            </w:tcBorders>
            <w:shd w:val="clear" w:color="auto" w:fill="auto"/>
          </w:tcPr>
          <w:p w14:paraId="1503023B" w14:textId="77777777" w:rsidR="002B3ED9" w:rsidRPr="00E46492" w:rsidRDefault="002B3ED9" w:rsidP="002B3ED9">
            <w:pPr>
              <w:spacing w:line="480" w:lineRule="auto"/>
              <w:rPr>
                <w:rFonts w:ascii="David" w:hAnsi="David"/>
                <w:b/>
                <w:bCs/>
                <w:sz w:val="26"/>
                <w:szCs w:val="26"/>
                <w:rtl/>
              </w:rPr>
            </w:pPr>
            <w:r w:rsidRPr="00E46492">
              <w:rPr>
                <w:rFonts w:ascii="David" w:hAnsi="David"/>
                <w:b/>
                <w:bCs/>
                <w:sz w:val="26"/>
                <w:szCs w:val="26"/>
                <w:rtl/>
              </w:rPr>
              <w:t xml:space="preserve">עמאר בעראני נורי </w:t>
            </w:r>
          </w:p>
        </w:tc>
        <w:tc>
          <w:tcPr>
            <w:tcW w:w="3771" w:type="dxa"/>
            <w:tcBorders>
              <w:top w:val="nil"/>
              <w:left w:val="nil"/>
              <w:bottom w:val="nil"/>
              <w:right w:val="nil"/>
            </w:tcBorders>
            <w:shd w:val="clear" w:color="auto" w:fill="auto"/>
          </w:tcPr>
          <w:p w14:paraId="2F795ED6" w14:textId="77777777" w:rsidR="002B3ED9" w:rsidRPr="00E46492" w:rsidRDefault="002B3ED9" w:rsidP="002B3ED9">
            <w:pPr>
              <w:spacing w:line="480" w:lineRule="auto"/>
              <w:jc w:val="right"/>
              <w:rPr>
                <w:rFonts w:ascii="David" w:hAnsi="David"/>
                <w:b/>
                <w:bCs/>
                <w:sz w:val="26"/>
                <w:szCs w:val="26"/>
              </w:rPr>
            </w:pPr>
          </w:p>
        </w:tc>
      </w:tr>
      <w:tr w:rsidR="002B3ED9" w:rsidRPr="00E46492" w14:paraId="38D04A57" w14:textId="77777777" w:rsidTr="002B3ED9">
        <w:trPr>
          <w:trHeight w:val="355"/>
          <w:jc w:val="center"/>
        </w:trPr>
        <w:tc>
          <w:tcPr>
            <w:tcW w:w="1162" w:type="dxa"/>
            <w:tcBorders>
              <w:top w:val="nil"/>
              <w:left w:val="nil"/>
              <w:bottom w:val="nil"/>
              <w:right w:val="nil"/>
            </w:tcBorders>
            <w:shd w:val="clear" w:color="auto" w:fill="auto"/>
          </w:tcPr>
          <w:p w14:paraId="25EDCAFD" w14:textId="77777777" w:rsidR="002B3ED9" w:rsidRPr="00E46492" w:rsidRDefault="002B3ED9" w:rsidP="002B3ED9">
            <w:pPr>
              <w:spacing w:line="480" w:lineRule="auto"/>
              <w:jc w:val="both"/>
              <w:rPr>
                <w:rFonts w:ascii="David" w:hAnsi="David"/>
                <w:b/>
                <w:bCs/>
                <w:sz w:val="26"/>
                <w:szCs w:val="26"/>
                <w:rtl/>
              </w:rPr>
            </w:pPr>
            <w:bookmarkStart w:id="2" w:name="FirstLawyer"/>
          </w:p>
        </w:tc>
        <w:tc>
          <w:tcPr>
            <w:tcW w:w="3887" w:type="dxa"/>
            <w:tcBorders>
              <w:top w:val="nil"/>
              <w:left w:val="nil"/>
              <w:bottom w:val="nil"/>
              <w:right w:val="nil"/>
            </w:tcBorders>
            <w:shd w:val="clear" w:color="auto" w:fill="auto"/>
          </w:tcPr>
          <w:p w14:paraId="2E91024F" w14:textId="77777777" w:rsidR="002B3ED9" w:rsidRPr="00E46492" w:rsidRDefault="002B3ED9" w:rsidP="002B3ED9">
            <w:pPr>
              <w:spacing w:line="480" w:lineRule="auto"/>
              <w:jc w:val="both"/>
              <w:rPr>
                <w:rFonts w:ascii="David" w:hAnsi="David"/>
                <w:b/>
                <w:bCs/>
                <w:sz w:val="26"/>
                <w:szCs w:val="26"/>
                <w:rtl/>
              </w:rPr>
            </w:pPr>
            <w:r w:rsidRPr="00E46492">
              <w:rPr>
                <w:rFonts w:ascii="David" w:hAnsi="David" w:hint="cs"/>
                <w:b/>
                <w:bCs/>
                <w:sz w:val="26"/>
                <w:szCs w:val="26"/>
                <w:rtl/>
              </w:rPr>
              <w:t>ע"י ב"כ עו"ד רמי עותמאן</w:t>
            </w:r>
          </w:p>
        </w:tc>
        <w:tc>
          <w:tcPr>
            <w:tcW w:w="3771" w:type="dxa"/>
            <w:tcBorders>
              <w:top w:val="nil"/>
              <w:left w:val="nil"/>
              <w:bottom w:val="nil"/>
              <w:right w:val="nil"/>
            </w:tcBorders>
            <w:shd w:val="clear" w:color="auto" w:fill="auto"/>
          </w:tcPr>
          <w:p w14:paraId="0C126599" w14:textId="77777777" w:rsidR="002B3ED9" w:rsidRPr="00E46492" w:rsidRDefault="002B3ED9" w:rsidP="002B3ED9">
            <w:pPr>
              <w:spacing w:line="480" w:lineRule="auto"/>
              <w:jc w:val="right"/>
              <w:rPr>
                <w:rFonts w:ascii="David" w:hAnsi="David"/>
                <w:b/>
                <w:bCs/>
                <w:sz w:val="26"/>
                <w:szCs w:val="26"/>
              </w:rPr>
            </w:pPr>
            <w:r w:rsidRPr="00E46492">
              <w:rPr>
                <w:rFonts w:ascii="David" w:hAnsi="David"/>
                <w:b/>
                <w:bCs/>
                <w:sz w:val="26"/>
                <w:szCs w:val="26"/>
                <w:rtl/>
              </w:rPr>
              <w:t>הנאשם</w:t>
            </w:r>
          </w:p>
        </w:tc>
      </w:tr>
      <w:bookmarkEnd w:id="2"/>
    </w:tbl>
    <w:p w14:paraId="29C0C871" w14:textId="77777777" w:rsidR="002B3ED9" w:rsidRPr="00E46492" w:rsidRDefault="002B3ED9" w:rsidP="002B3ED9">
      <w:pPr>
        <w:rPr>
          <w:spacing w:val="22"/>
          <w:rtl/>
        </w:rPr>
      </w:pPr>
    </w:p>
    <w:p w14:paraId="63D672E9" w14:textId="77777777" w:rsidR="00C540BE" w:rsidRDefault="00C540BE" w:rsidP="00C540BE">
      <w:pPr>
        <w:rPr>
          <w:rFonts w:ascii="Arial" w:hAnsi="Arial"/>
          <w:spacing w:val="22"/>
          <w:sz w:val="26"/>
          <w:szCs w:val="26"/>
          <w:rtl/>
        </w:rPr>
      </w:pPr>
      <w:bookmarkStart w:id="3" w:name="LawTable"/>
      <w:bookmarkEnd w:id="3"/>
    </w:p>
    <w:p w14:paraId="35034902" w14:textId="77777777" w:rsidR="00C540BE" w:rsidRPr="00C540BE" w:rsidRDefault="00C540BE" w:rsidP="00C540BE">
      <w:pPr>
        <w:spacing w:before="120" w:after="120" w:line="240" w:lineRule="exact"/>
        <w:ind w:left="283" w:hanging="283"/>
        <w:jc w:val="both"/>
        <w:rPr>
          <w:rFonts w:ascii="FrankRuehl" w:hAnsi="FrankRuehl" w:cs="FrankRuehl"/>
          <w:rtl/>
        </w:rPr>
      </w:pPr>
    </w:p>
    <w:p w14:paraId="5A14AEF0" w14:textId="77777777" w:rsidR="00C540BE" w:rsidRPr="00C540BE" w:rsidRDefault="00C540BE" w:rsidP="00C540BE">
      <w:pPr>
        <w:spacing w:before="120" w:after="120" w:line="240" w:lineRule="exact"/>
        <w:ind w:left="283" w:hanging="283"/>
        <w:jc w:val="both"/>
        <w:rPr>
          <w:rFonts w:ascii="FrankRuehl" w:hAnsi="FrankRuehl" w:cs="FrankRuehl"/>
          <w:rtl/>
        </w:rPr>
      </w:pPr>
    </w:p>
    <w:p w14:paraId="66880587" w14:textId="77777777" w:rsidR="00C540BE" w:rsidRPr="00C540BE" w:rsidRDefault="00C540BE" w:rsidP="00C540BE">
      <w:pPr>
        <w:spacing w:before="120" w:after="120" w:line="240" w:lineRule="exact"/>
        <w:ind w:left="283" w:hanging="283"/>
        <w:jc w:val="both"/>
        <w:rPr>
          <w:rFonts w:ascii="FrankRuehl" w:hAnsi="FrankRuehl" w:cs="FrankRuehl"/>
          <w:rtl/>
        </w:rPr>
      </w:pPr>
      <w:r w:rsidRPr="00C540BE">
        <w:rPr>
          <w:rFonts w:ascii="FrankRuehl" w:hAnsi="FrankRuehl" w:cs="FrankRuehl"/>
          <w:rtl/>
        </w:rPr>
        <w:t xml:space="preserve">חקיקה שאוזכרה: </w:t>
      </w:r>
    </w:p>
    <w:p w14:paraId="0B48EBCE" w14:textId="77777777" w:rsidR="00C540BE" w:rsidRPr="00C540BE" w:rsidRDefault="00C540BE" w:rsidP="00C540BE">
      <w:pPr>
        <w:spacing w:before="120" w:after="120" w:line="240" w:lineRule="exact"/>
        <w:ind w:left="283" w:hanging="283"/>
        <w:jc w:val="both"/>
        <w:rPr>
          <w:rFonts w:ascii="FrankRuehl" w:hAnsi="FrankRuehl" w:cs="FrankRuehl"/>
          <w:rtl/>
        </w:rPr>
      </w:pPr>
      <w:hyperlink r:id="rId6" w:history="1">
        <w:r w:rsidRPr="00C540BE">
          <w:rPr>
            <w:rFonts w:ascii="FrankRuehl" w:hAnsi="FrankRuehl" w:cs="FrankRuehl"/>
            <w:color w:val="0000FF"/>
            <w:rtl/>
          </w:rPr>
          <w:t>חוק העונשין, תשל"ז-1977</w:t>
        </w:r>
      </w:hyperlink>
      <w:r w:rsidRPr="00C540BE">
        <w:rPr>
          <w:rFonts w:ascii="FrankRuehl" w:hAnsi="FrankRuehl" w:cs="FrankRuehl"/>
          <w:rtl/>
        </w:rPr>
        <w:t xml:space="preserve">: סע'  </w:t>
      </w:r>
      <w:hyperlink r:id="rId7" w:history="1">
        <w:r w:rsidRPr="00C540BE">
          <w:rPr>
            <w:rFonts w:ascii="FrankRuehl" w:hAnsi="FrankRuehl" w:cs="FrankRuehl"/>
            <w:color w:val="0000FF"/>
            <w:rtl/>
          </w:rPr>
          <w:t>25</w:t>
        </w:r>
      </w:hyperlink>
      <w:r w:rsidRPr="00C540BE">
        <w:rPr>
          <w:rFonts w:ascii="FrankRuehl" w:hAnsi="FrankRuehl" w:cs="FrankRuehl"/>
          <w:rtl/>
        </w:rPr>
        <w:t xml:space="preserve">, </w:t>
      </w:r>
      <w:hyperlink r:id="rId8" w:history="1">
        <w:r w:rsidRPr="00C540BE">
          <w:rPr>
            <w:rFonts w:ascii="FrankRuehl" w:hAnsi="FrankRuehl" w:cs="FrankRuehl"/>
            <w:color w:val="0000FF"/>
            <w:rtl/>
          </w:rPr>
          <w:t>144(א)</w:t>
        </w:r>
      </w:hyperlink>
      <w:r w:rsidRPr="00C540BE">
        <w:rPr>
          <w:rFonts w:ascii="FrankRuehl" w:hAnsi="FrankRuehl" w:cs="FrankRuehl"/>
          <w:rtl/>
        </w:rPr>
        <w:t xml:space="preserve">, </w:t>
      </w:r>
      <w:hyperlink r:id="rId9" w:history="1">
        <w:r w:rsidRPr="00C540BE">
          <w:rPr>
            <w:rFonts w:ascii="FrankRuehl" w:hAnsi="FrankRuehl" w:cs="FrankRuehl"/>
            <w:color w:val="0000FF"/>
            <w:rtl/>
          </w:rPr>
          <w:t>144 (ב2)</w:t>
        </w:r>
      </w:hyperlink>
    </w:p>
    <w:p w14:paraId="078AF68F" w14:textId="77777777" w:rsidR="00C540BE" w:rsidRPr="00C540BE" w:rsidRDefault="00C540BE" w:rsidP="00C540BE">
      <w:pPr>
        <w:rPr>
          <w:rFonts w:ascii="Arial" w:hAnsi="Arial"/>
          <w:spacing w:val="22"/>
          <w:sz w:val="26"/>
          <w:szCs w:val="26"/>
          <w:rtl/>
        </w:rPr>
      </w:pPr>
      <w:bookmarkStart w:id="4" w:name="LawTable_End"/>
      <w:bookmarkEnd w:id="4"/>
    </w:p>
    <w:p w14:paraId="792192AE" w14:textId="77777777" w:rsidR="002B3ED9" w:rsidRPr="00F854BA" w:rsidRDefault="002B3ED9" w:rsidP="00F854BA">
      <w:pPr>
        <w:rPr>
          <w:rFonts w:ascii="Arial" w:hAnsi="Arial"/>
          <w:spacing w:val="22"/>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B3ED9" w:rsidRPr="0076606F" w14:paraId="51D844B6" w14:textId="77777777" w:rsidTr="002B3ED9">
        <w:trPr>
          <w:trHeight w:val="355"/>
          <w:jc w:val="center"/>
        </w:trPr>
        <w:tc>
          <w:tcPr>
            <w:tcW w:w="8820" w:type="dxa"/>
            <w:tcBorders>
              <w:top w:val="nil"/>
              <w:left w:val="nil"/>
              <w:bottom w:val="nil"/>
              <w:right w:val="nil"/>
            </w:tcBorders>
            <w:shd w:val="clear" w:color="auto" w:fill="auto"/>
          </w:tcPr>
          <w:p w14:paraId="18050909" w14:textId="77777777" w:rsidR="00E46492" w:rsidRPr="00E46492" w:rsidRDefault="00E46492" w:rsidP="00E46492">
            <w:pPr>
              <w:jc w:val="center"/>
              <w:rPr>
                <w:rFonts w:ascii="David" w:hAnsi="David"/>
                <w:b/>
                <w:bCs/>
                <w:spacing w:val="22"/>
                <w:sz w:val="32"/>
                <w:szCs w:val="32"/>
                <w:u w:val="single"/>
                <w:rtl/>
              </w:rPr>
            </w:pPr>
            <w:bookmarkStart w:id="5" w:name="PsakDin" w:colFirst="0" w:colLast="0"/>
            <w:r w:rsidRPr="00E46492">
              <w:rPr>
                <w:rFonts w:ascii="David" w:hAnsi="David"/>
                <w:b/>
                <w:bCs/>
                <w:spacing w:val="22"/>
                <w:sz w:val="32"/>
                <w:szCs w:val="32"/>
                <w:u w:val="single"/>
                <w:rtl/>
              </w:rPr>
              <w:t>גזר דין</w:t>
            </w:r>
          </w:p>
          <w:p w14:paraId="1438606F" w14:textId="77777777" w:rsidR="002B3ED9" w:rsidRPr="00E46492" w:rsidRDefault="002B3ED9" w:rsidP="00E46492">
            <w:pPr>
              <w:jc w:val="center"/>
              <w:rPr>
                <w:rFonts w:ascii="David" w:hAnsi="David"/>
                <w:bCs/>
                <w:spacing w:val="22"/>
                <w:sz w:val="32"/>
                <w:szCs w:val="32"/>
                <w:u w:val="single"/>
                <w:rtl/>
              </w:rPr>
            </w:pPr>
          </w:p>
        </w:tc>
      </w:tr>
      <w:bookmarkEnd w:id="5"/>
    </w:tbl>
    <w:p w14:paraId="70D0D168" w14:textId="77777777" w:rsidR="002B3ED9" w:rsidRPr="0076606F" w:rsidRDefault="002B3ED9" w:rsidP="002B3ED9">
      <w:pPr>
        <w:rPr>
          <w:rFonts w:ascii="Arial" w:hAnsi="Arial"/>
          <w:spacing w:val="22"/>
          <w:sz w:val="26"/>
          <w:szCs w:val="26"/>
          <w:rtl/>
        </w:rPr>
      </w:pPr>
    </w:p>
    <w:p w14:paraId="15FE7413" w14:textId="77777777" w:rsidR="002B3ED9" w:rsidRDefault="002B3ED9" w:rsidP="002B3ED9">
      <w:pPr>
        <w:spacing w:line="360" w:lineRule="auto"/>
        <w:jc w:val="both"/>
        <w:rPr>
          <w:spacing w:val="22"/>
          <w:rtl/>
        </w:rPr>
      </w:pPr>
    </w:p>
    <w:p w14:paraId="5DB7C8F4" w14:textId="77777777" w:rsidR="002B3ED9" w:rsidRPr="0076606F" w:rsidRDefault="002B3ED9" w:rsidP="002B3ED9">
      <w:pPr>
        <w:spacing w:line="360" w:lineRule="auto"/>
        <w:jc w:val="both"/>
        <w:rPr>
          <w:spacing w:val="22"/>
          <w:rtl/>
        </w:rPr>
      </w:pPr>
    </w:p>
    <w:p w14:paraId="6EA5207D" w14:textId="77777777" w:rsidR="002B3ED9" w:rsidRPr="0076606F" w:rsidRDefault="002B3ED9" w:rsidP="002B3ED9">
      <w:pPr>
        <w:spacing w:line="360" w:lineRule="auto"/>
        <w:jc w:val="both"/>
        <w:rPr>
          <w:spacing w:val="22"/>
          <w:rtl/>
        </w:rPr>
      </w:pPr>
      <w:r w:rsidRPr="0076606F">
        <w:rPr>
          <w:spacing w:val="22"/>
          <w:rtl/>
        </w:rPr>
        <w:t>1.</w:t>
      </w:r>
      <w:r w:rsidRPr="0076606F">
        <w:rPr>
          <w:spacing w:val="22"/>
          <w:rtl/>
        </w:rPr>
        <w:tab/>
      </w:r>
      <w:bookmarkStart w:id="6" w:name="ABSTRACT_START"/>
      <w:bookmarkEnd w:id="6"/>
      <w:r w:rsidRPr="0076606F">
        <w:rPr>
          <w:spacing w:val="22"/>
          <w:rtl/>
        </w:rPr>
        <w:t>הנאשם הורשע</w:t>
      </w:r>
      <w:r w:rsidRPr="0076606F">
        <w:rPr>
          <w:rFonts w:hint="cs"/>
          <w:spacing w:val="22"/>
          <w:rtl/>
        </w:rPr>
        <w:t xml:space="preserve">, </w:t>
      </w:r>
      <w:r w:rsidRPr="0076606F">
        <w:rPr>
          <w:spacing w:val="22"/>
          <w:rtl/>
        </w:rPr>
        <w:t>על פי הודאתו בכתב אישום מתוקן</w:t>
      </w:r>
      <w:r w:rsidRPr="0076606F">
        <w:rPr>
          <w:rFonts w:hint="cs"/>
          <w:spacing w:val="22"/>
          <w:rtl/>
        </w:rPr>
        <w:t>,</w:t>
      </w:r>
      <w:r w:rsidRPr="0076606F">
        <w:rPr>
          <w:spacing w:val="22"/>
          <w:rtl/>
        </w:rPr>
        <w:t xml:space="preserve"> בעבירה של החזקת נשק לפי </w:t>
      </w:r>
      <w:hyperlink r:id="rId10" w:history="1">
        <w:r w:rsidR="00F854BA" w:rsidRPr="00F854BA">
          <w:rPr>
            <w:rStyle w:val="Hyperlink"/>
            <w:spacing w:val="22"/>
            <w:rtl/>
          </w:rPr>
          <w:t>סעיף 144(א)</w:t>
        </w:r>
      </w:hyperlink>
      <w:r w:rsidRPr="0076606F">
        <w:rPr>
          <w:spacing w:val="22"/>
          <w:rtl/>
        </w:rPr>
        <w:t xml:space="preserve"> רישא, ל</w:t>
      </w:r>
      <w:hyperlink r:id="rId11" w:history="1">
        <w:r w:rsidR="00E46492" w:rsidRPr="00E46492">
          <w:rPr>
            <w:color w:val="0000FF"/>
            <w:spacing w:val="22"/>
            <w:u w:val="single"/>
            <w:rtl/>
          </w:rPr>
          <w:t>חוק העונשין</w:t>
        </w:r>
      </w:hyperlink>
      <w:r w:rsidRPr="0076606F">
        <w:rPr>
          <w:spacing w:val="22"/>
          <w:rtl/>
        </w:rPr>
        <w:t>, התשל"ז-1977 (להלן: "</w:t>
      </w:r>
      <w:r w:rsidRPr="0076606F">
        <w:rPr>
          <w:b/>
          <w:bCs/>
          <w:spacing w:val="22"/>
          <w:rtl/>
        </w:rPr>
        <w:t>החוק</w:t>
      </w:r>
      <w:r w:rsidRPr="0076606F">
        <w:rPr>
          <w:spacing w:val="22"/>
          <w:rtl/>
        </w:rPr>
        <w:t xml:space="preserve">"), עבירת ניסיון רכישת נשק, לפי </w:t>
      </w:r>
      <w:hyperlink r:id="rId12" w:history="1">
        <w:r w:rsidR="00F854BA" w:rsidRPr="00F854BA">
          <w:rPr>
            <w:rStyle w:val="Hyperlink"/>
            <w:spacing w:val="22"/>
            <w:rtl/>
          </w:rPr>
          <w:t>סעיף 144(א)</w:t>
        </w:r>
      </w:hyperlink>
      <w:r w:rsidRPr="0076606F">
        <w:rPr>
          <w:spacing w:val="22"/>
          <w:rtl/>
        </w:rPr>
        <w:t xml:space="preserve"> רישא + סיפא </w:t>
      </w:r>
      <w:hyperlink r:id="rId13" w:history="1">
        <w:r w:rsidR="00F854BA" w:rsidRPr="00F854BA">
          <w:rPr>
            <w:rStyle w:val="Hyperlink"/>
            <w:spacing w:val="22"/>
            <w:rtl/>
          </w:rPr>
          <w:t>וסעיף 25</w:t>
        </w:r>
      </w:hyperlink>
      <w:r w:rsidRPr="0076606F">
        <w:rPr>
          <w:spacing w:val="22"/>
          <w:rtl/>
        </w:rPr>
        <w:t xml:space="preserve"> לחוק, עבירת ניסיון סחר בתחמושת, לפי סעיף </w:t>
      </w:r>
      <w:hyperlink r:id="rId14" w:history="1">
        <w:r w:rsidR="00F854BA" w:rsidRPr="00F854BA">
          <w:rPr>
            <w:rStyle w:val="Hyperlink"/>
            <w:spacing w:val="22"/>
            <w:rtl/>
          </w:rPr>
          <w:t>144 (ב2)</w:t>
        </w:r>
      </w:hyperlink>
      <w:r w:rsidRPr="0076606F">
        <w:rPr>
          <w:spacing w:val="22"/>
          <w:rtl/>
        </w:rPr>
        <w:t xml:space="preserve"> </w:t>
      </w:r>
      <w:hyperlink r:id="rId15" w:history="1">
        <w:r w:rsidR="00F854BA" w:rsidRPr="00F854BA">
          <w:rPr>
            <w:rStyle w:val="Hyperlink"/>
            <w:spacing w:val="22"/>
            <w:rtl/>
          </w:rPr>
          <w:t>וסעיף 25</w:t>
        </w:r>
      </w:hyperlink>
      <w:r w:rsidRPr="0076606F">
        <w:rPr>
          <w:spacing w:val="22"/>
          <w:rtl/>
        </w:rPr>
        <w:t xml:space="preserve"> לחוק, ועבירת ניסיון ורכישת נשק, לפי </w:t>
      </w:r>
      <w:hyperlink r:id="rId16" w:history="1">
        <w:r w:rsidR="00F854BA" w:rsidRPr="00F854BA">
          <w:rPr>
            <w:rStyle w:val="Hyperlink"/>
            <w:spacing w:val="22"/>
            <w:rtl/>
          </w:rPr>
          <w:t>סעיף 144(א)</w:t>
        </w:r>
      </w:hyperlink>
      <w:r w:rsidRPr="0076606F">
        <w:rPr>
          <w:spacing w:val="22"/>
          <w:rtl/>
        </w:rPr>
        <w:t xml:space="preserve"> רישא + סיפא לחוק </w:t>
      </w:r>
      <w:hyperlink r:id="rId17" w:history="1">
        <w:r w:rsidR="00F854BA" w:rsidRPr="00F854BA">
          <w:rPr>
            <w:rStyle w:val="Hyperlink"/>
            <w:spacing w:val="22"/>
            <w:rtl/>
          </w:rPr>
          <w:t>וסעיף 25</w:t>
        </w:r>
      </w:hyperlink>
      <w:r w:rsidRPr="0076606F">
        <w:rPr>
          <w:spacing w:val="22"/>
          <w:rtl/>
        </w:rPr>
        <w:t xml:space="preserve"> לחוק. </w:t>
      </w:r>
    </w:p>
    <w:p w14:paraId="4FDC522C" w14:textId="77777777" w:rsidR="002B3ED9" w:rsidRPr="0076606F" w:rsidRDefault="002B3ED9" w:rsidP="002B3ED9">
      <w:pPr>
        <w:spacing w:line="360" w:lineRule="auto"/>
        <w:jc w:val="both"/>
        <w:rPr>
          <w:spacing w:val="22"/>
        </w:rPr>
      </w:pPr>
      <w:bookmarkStart w:id="7" w:name="ABSTRACT_END"/>
      <w:bookmarkEnd w:id="7"/>
    </w:p>
    <w:p w14:paraId="52493814" w14:textId="77777777" w:rsidR="002B3ED9" w:rsidRPr="0076606F" w:rsidRDefault="002B3ED9" w:rsidP="002B3ED9">
      <w:pPr>
        <w:spacing w:line="360" w:lineRule="auto"/>
        <w:jc w:val="both"/>
        <w:rPr>
          <w:spacing w:val="22"/>
          <w:rtl/>
        </w:rPr>
      </w:pPr>
      <w:r w:rsidRPr="0076606F">
        <w:rPr>
          <w:spacing w:val="22"/>
          <w:rtl/>
        </w:rPr>
        <w:lastRenderedPageBreak/>
        <w:t>2.</w:t>
      </w:r>
      <w:r w:rsidRPr="0076606F">
        <w:rPr>
          <w:spacing w:val="22"/>
          <w:rtl/>
        </w:rPr>
        <w:tab/>
        <w:t xml:space="preserve">הצדדים הסכימו על נוסח מתוקן לכתב האישום, בו הודה הנאשם ועל פיו הורשע. אין הסכמה בין הצדדים בנוגע לעונש. ואלה המעשים על פי כתב האישום המתוקן: </w:t>
      </w:r>
    </w:p>
    <w:p w14:paraId="5DF925CA" w14:textId="77777777" w:rsidR="002B3ED9" w:rsidRPr="0076606F" w:rsidRDefault="002B3ED9" w:rsidP="002B3ED9">
      <w:pPr>
        <w:spacing w:line="360" w:lineRule="auto"/>
        <w:jc w:val="both"/>
        <w:rPr>
          <w:spacing w:val="22"/>
          <w:rtl/>
        </w:rPr>
      </w:pPr>
    </w:p>
    <w:p w14:paraId="3A2B9E02" w14:textId="77777777" w:rsidR="002B3ED9" w:rsidRPr="0076606F" w:rsidRDefault="002B3ED9" w:rsidP="002B3ED9">
      <w:pPr>
        <w:spacing w:line="360" w:lineRule="auto"/>
        <w:ind w:firstLine="720"/>
        <w:jc w:val="both"/>
        <w:rPr>
          <w:spacing w:val="22"/>
          <w:rtl/>
        </w:rPr>
      </w:pPr>
      <w:r w:rsidRPr="0076606F">
        <w:rPr>
          <w:spacing w:val="22"/>
          <w:rtl/>
        </w:rPr>
        <w:t>על פי המבוא לכתב האישום, בין הנאשם לאדם אחר קיימת היכרות סביב עיסוק בסחר בכלי נשק ואמצעי לחימה. בתקופה הרלבנטית לכתב האישום, נהגו השניים לשוחח בטלפון בנוגע לכלי נשק ואמצעי לחימה כשהם משתמשים בשמות קוד או ברמיזות על מנת להסוות את תוכן השיחה.</w:t>
      </w:r>
    </w:p>
    <w:p w14:paraId="36599495" w14:textId="77777777" w:rsidR="002B3ED9" w:rsidRPr="0076606F" w:rsidRDefault="002B3ED9" w:rsidP="002B3ED9">
      <w:pPr>
        <w:spacing w:line="360" w:lineRule="auto"/>
        <w:ind w:firstLine="720"/>
        <w:jc w:val="both"/>
        <w:rPr>
          <w:spacing w:val="22"/>
          <w:rtl/>
        </w:rPr>
      </w:pPr>
      <w:r w:rsidRPr="0076606F">
        <w:rPr>
          <w:spacing w:val="22"/>
          <w:rtl/>
        </w:rPr>
        <w:t xml:space="preserve">על פי </w:t>
      </w:r>
      <w:r w:rsidRPr="0076606F">
        <w:rPr>
          <w:b/>
          <w:bCs/>
          <w:spacing w:val="22"/>
          <w:rtl/>
        </w:rPr>
        <w:t>האישום הראשון</w:t>
      </w:r>
      <w:r w:rsidRPr="0076606F">
        <w:rPr>
          <w:spacing w:val="22"/>
          <w:rtl/>
        </w:rPr>
        <w:t xml:space="preserve">, עובר ליום 21.5.20 החזיק הנאשם ברובה מסוג </w:t>
      </w:r>
      <w:r w:rsidRPr="0076606F">
        <w:rPr>
          <w:spacing w:val="22"/>
          <w:szCs w:val="22"/>
        </w:rPr>
        <w:t>M</w:t>
      </w:r>
      <w:r w:rsidRPr="0076606F">
        <w:rPr>
          <w:spacing w:val="22"/>
          <w:rtl/>
        </w:rPr>
        <w:t>-16 שלא היה תקין לשימוש בשל שבר באזור בית ההדק. ביום 21.5.20 התקשר הנאשם לאחר וביקש לרכוש ממנו בית הדק לנשק זה ושלח לו תמונת בית הדק ביישום הווטסאפ. בין השניים התקיימו מספר שיחות בנושא זה</w:t>
      </w:r>
      <w:r w:rsidRPr="0076606F">
        <w:rPr>
          <w:rFonts w:hint="cs"/>
          <w:spacing w:val="22"/>
          <w:rtl/>
        </w:rPr>
        <w:t>,</w:t>
      </w:r>
      <w:r w:rsidRPr="0076606F">
        <w:rPr>
          <w:spacing w:val="22"/>
          <w:rtl/>
        </w:rPr>
        <w:t xml:space="preserve"> והוצעו לנאשם שלוש אפשרויות לתיקון, הכוללות רכישת חלקי נשקים או תיקון באמצעות חלקים מאולתרים בחריטה. לבסוף, הוסכם כי הנאשם ימסור לאחר את הנשק לצורך ביצוע תיקון מאולתר בעלות של 1,100 ₪, תוך שהנאשם ציין כי בכוונתו למכור את הנשק. בגין אישום זה הורשע הנאשם בהחזקת נשק</w:t>
      </w:r>
      <w:r w:rsidRPr="0076606F">
        <w:rPr>
          <w:rFonts w:hint="cs"/>
          <w:spacing w:val="22"/>
          <w:rtl/>
        </w:rPr>
        <w:t xml:space="preserve"> ו</w:t>
      </w:r>
      <w:r w:rsidRPr="0076606F">
        <w:rPr>
          <w:spacing w:val="22"/>
          <w:rtl/>
        </w:rPr>
        <w:t>ניסיון לרכישת נשק.</w:t>
      </w:r>
    </w:p>
    <w:p w14:paraId="25A5FA83" w14:textId="77777777" w:rsidR="002B3ED9" w:rsidRPr="0076606F" w:rsidRDefault="002B3ED9" w:rsidP="002B3ED9">
      <w:pPr>
        <w:spacing w:line="360" w:lineRule="auto"/>
        <w:ind w:firstLine="720"/>
        <w:jc w:val="both"/>
        <w:rPr>
          <w:spacing w:val="22"/>
          <w:rtl/>
        </w:rPr>
      </w:pPr>
      <w:r w:rsidRPr="0076606F">
        <w:rPr>
          <w:spacing w:val="22"/>
          <w:rtl/>
        </w:rPr>
        <w:t xml:space="preserve">על פי </w:t>
      </w:r>
      <w:r w:rsidRPr="0076606F">
        <w:rPr>
          <w:b/>
          <w:bCs/>
          <w:spacing w:val="22"/>
          <w:rtl/>
        </w:rPr>
        <w:t>האישום השני</w:t>
      </w:r>
      <w:r w:rsidRPr="0076606F">
        <w:rPr>
          <w:spacing w:val="22"/>
          <w:rtl/>
        </w:rPr>
        <w:t xml:space="preserve">, ביום 12.6.20 התקשר הנאשם לאחר והציע לו לרכוש 80 או 30 כדורי תחמושת. האחר השיב כי אינו זקוק להם כעת. בגין אישום זה הורשע הנאשם בניסיון לסחר בתחמושת. </w:t>
      </w:r>
    </w:p>
    <w:p w14:paraId="6B883A05" w14:textId="77777777" w:rsidR="002B3ED9" w:rsidRPr="0076606F" w:rsidRDefault="002B3ED9" w:rsidP="002B3ED9">
      <w:pPr>
        <w:spacing w:line="360" w:lineRule="auto"/>
        <w:ind w:firstLine="720"/>
        <w:jc w:val="both"/>
        <w:rPr>
          <w:spacing w:val="22"/>
          <w:rtl/>
        </w:rPr>
      </w:pPr>
      <w:r w:rsidRPr="0076606F">
        <w:rPr>
          <w:spacing w:val="22"/>
          <w:rtl/>
        </w:rPr>
        <w:t xml:space="preserve">על פי </w:t>
      </w:r>
      <w:r w:rsidRPr="0076606F">
        <w:rPr>
          <w:b/>
          <w:bCs/>
          <w:spacing w:val="22"/>
          <w:rtl/>
        </w:rPr>
        <w:t>האישום ה</w:t>
      </w:r>
      <w:r w:rsidRPr="0076606F">
        <w:rPr>
          <w:rFonts w:hint="cs"/>
          <w:b/>
          <w:bCs/>
          <w:spacing w:val="22"/>
          <w:rtl/>
        </w:rPr>
        <w:t>שלישי</w:t>
      </w:r>
      <w:r w:rsidRPr="0076606F">
        <w:rPr>
          <w:spacing w:val="22"/>
          <w:rtl/>
        </w:rPr>
        <w:t xml:space="preserve">, עובר ליום 14.6.20 הציע האחר לנאשם לרכוש ממנו אקדח תמורת סכום כולל של כ – 30,000 ₪ והציג לו תמונה של האקדח. ביום האמור, ביקש הנאשם להגיע לרכוש את האקדח ואמר כי יביא עמו מחצית ממחיר האקדח. האחר השיבו כי  הוא דורש עבור הנשק סך של 37,000 ₪ והנאשם השיבו כי סכום זה גבוה עבורו. בהמשך השיחה, שאל הנאשם את האחר אם יש ברשותו תחמושת לאקדח 9 מ"מ והלה הציע לו לרכוש קרטון תמורת 1,000 ₪, אך הנאשם אמר כי שזהו מחיר יקר. ביום 15.6.20 פנה הנאשם אל האחר ושאלו בשנית על האפשרות לרכישת אקדח, אך האחר השיבו כי אין לו אפשרות למכור אקדח כעת. הנאשם ביקש להשכיר ממנו אקדח והאחר השיב כי ברשותו רק אקדח אחד. כחצי שעה לאחר מכן התקשר הנאשם לאחר וניסה לברר שוב אם יש לו אקדח או נשק ארוך, והלה השיבו כי כלי הנשק שהיו ברשותו נמכרו. בגין מעשים אלה הורשע הנאשם בניסיון רכישת נשק. </w:t>
      </w:r>
    </w:p>
    <w:p w14:paraId="6426C820" w14:textId="77777777" w:rsidR="002B3ED9" w:rsidRPr="0076606F" w:rsidRDefault="002B3ED9" w:rsidP="002B3ED9">
      <w:pPr>
        <w:spacing w:line="360" w:lineRule="auto"/>
        <w:jc w:val="both"/>
        <w:rPr>
          <w:spacing w:val="22"/>
          <w:rtl/>
        </w:rPr>
      </w:pPr>
    </w:p>
    <w:p w14:paraId="3ED86CA2" w14:textId="77777777" w:rsidR="002B3ED9" w:rsidRPr="0076606F" w:rsidRDefault="002B3ED9" w:rsidP="002B3ED9">
      <w:pPr>
        <w:spacing w:line="360" w:lineRule="auto"/>
        <w:ind w:firstLine="720"/>
        <w:jc w:val="both"/>
        <w:rPr>
          <w:rFonts w:ascii="Miriam" w:hAnsi="Miriam"/>
          <w:b/>
          <w:bCs/>
          <w:spacing w:val="22"/>
          <w:rtl/>
        </w:rPr>
      </w:pPr>
      <w:r w:rsidRPr="0076606F">
        <w:rPr>
          <w:rFonts w:ascii="Miriam" w:hAnsi="Miriam"/>
          <w:b/>
          <w:bCs/>
          <w:spacing w:val="22"/>
          <w:rtl/>
        </w:rPr>
        <w:t>טענות הצדדים</w:t>
      </w:r>
      <w:r w:rsidRPr="0076606F">
        <w:rPr>
          <w:rFonts w:ascii="Miriam" w:hAnsi="Miriam"/>
          <w:b/>
          <w:bCs/>
          <w:spacing w:val="22"/>
          <w:rtl/>
        </w:rPr>
        <w:tab/>
      </w:r>
    </w:p>
    <w:p w14:paraId="0FCC6A1B" w14:textId="77777777" w:rsidR="002B3ED9" w:rsidRPr="0076606F" w:rsidRDefault="002B3ED9" w:rsidP="002B3ED9">
      <w:pPr>
        <w:spacing w:line="360" w:lineRule="auto"/>
        <w:ind w:firstLine="720"/>
        <w:jc w:val="both"/>
        <w:rPr>
          <w:rFonts w:ascii="Miriam" w:hAnsi="Miriam"/>
          <w:b/>
          <w:bCs/>
          <w:spacing w:val="22"/>
          <w:rtl/>
        </w:rPr>
      </w:pPr>
      <w:r w:rsidRPr="0076606F">
        <w:rPr>
          <w:rFonts w:ascii="Miriam" w:hAnsi="Miriam"/>
          <w:b/>
          <w:bCs/>
          <w:spacing w:val="22"/>
          <w:rtl/>
        </w:rPr>
        <w:t>טענות המאשימה</w:t>
      </w:r>
    </w:p>
    <w:p w14:paraId="300F4CD3" w14:textId="77777777" w:rsidR="002B3ED9" w:rsidRPr="0076606F" w:rsidRDefault="002B3ED9" w:rsidP="002B3ED9">
      <w:pPr>
        <w:pStyle w:val="David"/>
        <w:rPr>
          <w:spacing w:val="22"/>
          <w:rtl/>
        </w:rPr>
      </w:pPr>
      <w:r w:rsidRPr="0076606F">
        <w:rPr>
          <w:spacing w:val="22"/>
          <w:rtl/>
        </w:rPr>
        <w:lastRenderedPageBreak/>
        <w:t>3.</w:t>
      </w:r>
      <w:r w:rsidRPr="0076606F">
        <w:rPr>
          <w:spacing w:val="22"/>
          <w:rtl/>
        </w:rPr>
        <w:tab/>
        <w:t xml:space="preserve"> המאשימה הפנתה לכך שהנאשם הורשע בשלושה אישומים שעניינם עבירות נשק שונות, וטענה כי העבירות בוצעו כחלק מפעילות ביחד עם האחר ומעורבים נוספים, והמעשים בוצעו בצורה מאורגנת, תוך שימוש בשמות קוד. המאשימה טוענת כי יש להתייחס לכל אירוע בנפרד, שכן כל אירוע מתייחס לרכישה או לניסיון רכישה או החזקה של נשק אחר בזמנים שונים ובימים שונים ולכן מדובר באירועים שונים. </w:t>
      </w:r>
    </w:p>
    <w:p w14:paraId="56030B46" w14:textId="77777777" w:rsidR="002B3ED9" w:rsidRPr="0076606F" w:rsidRDefault="002B3ED9" w:rsidP="002B3ED9">
      <w:pPr>
        <w:pStyle w:val="David"/>
        <w:rPr>
          <w:spacing w:val="22"/>
        </w:rPr>
      </w:pPr>
    </w:p>
    <w:p w14:paraId="4DD4675A" w14:textId="77777777" w:rsidR="002B3ED9" w:rsidRPr="0076606F" w:rsidRDefault="002B3ED9" w:rsidP="002B3ED9">
      <w:pPr>
        <w:pStyle w:val="David"/>
        <w:rPr>
          <w:spacing w:val="22"/>
          <w:rtl/>
        </w:rPr>
      </w:pPr>
      <w:r w:rsidRPr="0076606F">
        <w:rPr>
          <w:spacing w:val="22"/>
          <w:rtl/>
        </w:rPr>
        <w:t>4.</w:t>
      </w:r>
      <w:r w:rsidRPr="0076606F">
        <w:rPr>
          <w:spacing w:val="22"/>
          <w:rtl/>
        </w:rPr>
        <w:tab/>
        <w:t xml:space="preserve">המאשימה טוענת </w:t>
      </w:r>
      <w:r w:rsidRPr="0076606F">
        <w:rPr>
          <w:rFonts w:hint="cs"/>
          <w:spacing w:val="22"/>
          <w:rtl/>
        </w:rPr>
        <w:t xml:space="preserve">עוד </w:t>
      </w:r>
      <w:r w:rsidRPr="0076606F">
        <w:rPr>
          <w:spacing w:val="22"/>
          <w:rtl/>
        </w:rPr>
        <w:t>כי הפסיקה לאורך השנים ובפרט בעת האחרונה</w:t>
      </w:r>
      <w:r w:rsidRPr="0076606F">
        <w:rPr>
          <w:rFonts w:hint="cs"/>
          <w:spacing w:val="22"/>
          <w:rtl/>
        </w:rPr>
        <w:t>,</w:t>
      </w:r>
      <w:r w:rsidRPr="0076606F">
        <w:rPr>
          <w:spacing w:val="22"/>
          <w:rtl/>
        </w:rPr>
        <w:t xml:space="preserve"> קוראת למלחמה  בעניין הנשק הלא חוקי באמצעות ענישה מרתיעה. אמנם במעשיו של הנאשם אין ראיות לנזק שנגרם, אך הנזק הפוטנציאלי במעשים של סחר בנשק והחזקתו הם חמורים יותר כפי שניתן לראות חדשות ובקרים במחוזותינו. </w:t>
      </w:r>
    </w:p>
    <w:p w14:paraId="688DC940" w14:textId="77777777" w:rsidR="002B3ED9" w:rsidRPr="0076606F" w:rsidRDefault="002B3ED9" w:rsidP="002B3ED9">
      <w:pPr>
        <w:pStyle w:val="David"/>
        <w:rPr>
          <w:spacing w:val="22"/>
          <w:rtl/>
        </w:rPr>
      </w:pPr>
    </w:p>
    <w:p w14:paraId="226E891F" w14:textId="77777777" w:rsidR="002B3ED9" w:rsidRPr="0076606F" w:rsidRDefault="002B3ED9" w:rsidP="002B3ED9">
      <w:pPr>
        <w:pStyle w:val="David"/>
        <w:rPr>
          <w:spacing w:val="22"/>
          <w:rtl/>
        </w:rPr>
      </w:pPr>
      <w:r w:rsidRPr="0076606F">
        <w:rPr>
          <w:spacing w:val="22"/>
          <w:rtl/>
        </w:rPr>
        <w:t>5.</w:t>
      </w:r>
      <w:r w:rsidRPr="0076606F">
        <w:rPr>
          <w:spacing w:val="22"/>
          <w:rtl/>
        </w:rPr>
        <w:tab/>
        <w:t xml:space="preserve">באשר לנסיבות ביצוע העבירה לגבי האישום הראשון, מדובר בהחזקה של תת מקלע, ובעובדות כמפורט בכתב האישום, נסיבות העבירה הן בצע כסף ותו לא, דבר המהווה נסיבה לחומרה. </w:t>
      </w:r>
    </w:p>
    <w:p w14:paraId="058F412F" w14:textId="77777777" w:rsidR="002B3ED9" w:rsidRPr="0076606F" w:rsidRDefault="002B3ED9" w:rsidP="002B3ED9">
      <w:pPr>
        <w:pStyle w:val="David"/>
        <w:rPr>
          <w:spacing w:val="22"/>
          <w:rtl/>
        </w:rPr>
      </w:pPr>
    </w:p>
    <w:p w14:paraId="63C45029" w14:textId="77777777" w:rsidR="002B3ED9" w:rsidRPr="0076606F" w:rsidRDefault="002B3ED9" w:rsidP="002B3ED9">
      <w:pPr>
        <w:pStyle w:val="David"/>
        <w:rPr>
          <w:spacing w:val="22"/>
          <w:rtl/>
        </w:rPr>
      </w:pPr>
      <w:r w:rsidRPr="0076606F">
        <w:rPr>
          <w:spacing w:val="22"/>
          <w:rtl/>
        </w:rPr>
        <w:t>6.</w:t>
      </w:r>
      <w:r w:rsidRPr="0076606F">
        <w:rPr>
          <w:spacing w:val="22"/>
          <w:rtl/>
        </w:rPr>
        <w:tab/>
        <w:t xml:space="preserve">המאשימה סבורה כי מתחם העונש ההולם ביחס לעבירות שבאישום הראשון, החמור ביותר, הוא 3 – 5 שנות מאסר. באישום השני, מתחם העונש ההולם הוא 6 - 12 חודשי מאסר. באישום השלישי, שעניינו ניסיון לרכישת אקדח והתעניינות לרכישת תת מקלע, המתחם ההולם הנו 1 – 3 שנות מאסר. המאשימה טוענת כי </w:t>
      </w:r>
      <w:r w:rsidRPr="0076606F">
        <w:rPr>
          <w:rFonts w:hint="cs"/>
          <w:spacing w:val="22"/>
          <w:rtl/>
        </w:rPr>
        <w:t>ב</w:t>
      </w:r>
      <w:r w:rsidRPr="0076606F">
        <w:rPr>
          <w:spacing w:val="22"/>
          <w:rtl/>
        </w:rPr>
        <w:t>סה"כ, תוך חפיפה חלקית בין המתחמים, מתחם העונש ההולם הנו 4 – 8 שנות מאסר</w:t>
      </w:r>
      <w:r w:rsidRPr="0076606F">
        <w:rPr>
          <w:rFonts w:hint="cs"/>
          <w:spacing w:val="22"/>
          <w:rtl/>
        </w:rPr>
        <w:t>, (זאת תוך הפניה להחלטות שנטען כי יש בהן לתמוך בכך)</w:t>
      </w:r>
      <w:r w:rsidRPr="0076606F">
        <w:rPr>
          <w:spacing w:val="22"/>
          <w:rtl/>
        </w:rPr>
        <w:t xml:space="preserve">. </w:t>
      </w:r>
    </w:p>
    <w:p w14:paraId="7D44158C" w14:textId="77777777" w:rsidR="002B3ED9" w:rsidRPr="0076606F" w:rsidRDefault="002B3ED9" w:rsidP="002B3ED9">
      <w:pPr>
        <w:pStyle w:val="David"/>
        <w:rPr>
          <w:spacing w:val="22"/>
          <w:rtl/>
        </w:rPr>
      </w:pPr>
    </w:p>
    <w:p w14:paraId="37FBA833" w14:textId="77777777" w:rsidR="002B3ED9" w:rsidRPr="0076606F" w:rsidRDefault="002B3ED9" w:rsidP="002B3ED9">
      <w:pPr>
        <w:pStyle w:val="David"/>
        <w:rPr>
          <w:spacing w:val="22"/>
          <w:rtl/>
        </w:rPr>
      </w:pPr>
      <w:r w:rsidRPr="0076606F">
        <w:rPr>
          <w:spacing w:val="22"/>
          <w:rtl/>
        </w:rPr>
        <w:t>7.</w:t>
      </w:r>
      <w:r w:rsidRPr="0076606F">
        <w:rPr>
          <w:spacing w:val="22"/>
          <w:rtl/>
        </w:rPr>
        <w:tab/>
        <w:t>באשר לגזירת עונשו של הנאשם בתוך המתחם, טוענת המאשימה כי אמנם הנאשם לקח אחריות, הודה במסגרת הסדר טיעון וחסך ניהול הוכחות, אך, מנגד, מעיון בעברו הפלילי של הנאשם עולה כי הנאשם ריצה בגין עבירות נשק 43 חודשי מאסר ולא הורתע מביצוע עבירות אלה. מתסקיר שירות המבחן עולה כי הוא לא לקח אחריות, מחזיק בעמדה קורבנית ואינו מתייחס באופן עקרוני לעבירות. לפיכך,  סבורה המאשימה כי יש לגזור עליו 6 שנות מאסר, בנוסף למאסר על  תנאי וקנס.</w:t>
      </w:r>
    </w:p>
    <w:p w14:paraId="4C708E9C" w14:textId="77777777" w:rsidR="002B3ED9" w:rsidRPr="0076606F" w:rsidRDefault="002B3ED9" w:rsidP="002B3ED9">
      <w:pPr>
        <w:spacing w:line="360" w:lineRule="auto"/>
        <w:jc w:val="both"/>
        <w:rPr>
          <w:spacing w:val="22"/>
          <w:rtl/>
        </w:rPr>
      </w:pPr>
    </w:p>
    <w:p w14:paraId="151BC799" w14:textId="77777777" w:rsidR="002B3ED9" w:rsidRPr="0076606F" w:rsidRDefault="002B3ED9" w:rsidP="002B3ED9">
      <w:pPr>
        <w:spacing w:line="360" w:lineRule="auto"/>
        <w:ind w:firstLine="720"/>
        <w:jc w:val="both"/>
        <w:rPr>
          <w:b/>
          <w:bCs/>
          <w:spacing w:val="22"/>
          <w:rtl/>
        </w:rPr>
      </w:pPr>
      <w:r w:rsidRPr="0076606F">
        <w:rPr>
          <w:b/>
          <w:bCs/>
          <w:spacing w:val="22"/>
          <w:rtl/>
        </w:rPr>
        <w:t>טענות ההגנה</w:t>
      </w:r>
    </w:p>
    <w:p w14:paraId="65C4F2A6" w14:textId="77777777" w:rsidR="002B3ED9" w:rsidRPr="0076606F" w:rsidRDefault="002B3ED9" w:rsidP="002B3ED9">
      <w:pPr>
        <w:pStyle w:val="David"/>
        <w:rPr>
          <w:spacing w:val="22"/>
          <w:rtl/>
        </w:rPr>
      </w:pPr>
      <w:r w:rsidRPr="0076606F">
        <w:rPr>
          <w:spacing w:val="22"/>
          <w:rtl/>
        </w:rPr>
        <w:t>8.</w:t>
      </w:r>
      <w:r w:rsidRPr="0076606F">
        <w:rPr>
          <w:spacing w:val="22"/>
          <w:rtl/>
        </w:rPr>
        <w:tab/>
        <w:t xml:space="preserve">הסנגור סבור כי יש לראות בכל האישומים אירוע אחד. הנאשם דיבר עם אדם אחד בלבד, השיחות נעשו בימים צמודים אחד לשני, בטווח קרוב, עסקו בשאלות שהפנה לאחר באותו נושא, מדובר באירוע אחד מתמשך ולכן אי אפשר להפריד את האירועים ולקבוע מתחמים נפרדים. הפסיקה הנהוגה היא שיש להתייחס לכך כמתחם אחד. </w:t>
      </w:r>
    </w:p>
    <w:p w14:paraId="4F9DC1BD" w14:textId="77777777" w:rsidR="002B3ED9" w:rsidRPr="0076606F" w:rsidRDefault="002B3ED9" w:rsidP="002B3ED9">
      <w:pPr>
        <w:pStyle w:val="David"/>
        <w:rPr>
          <w:spacing w:val="22"/>
        </w:rPr>
      </w:pPr>
    </w:p>
    <w:p w14:paraId="721E5E07" w14:textId="77777777" w:rsidR="002B3ED9" w:rsidRPr="0076606F" w:rsidRDefault="002B3ED9" w:rsidP="002B3ED9">
      <w:pPr>
        <w:pStyle w:val="David"/>
        <w:rPr>
          <w:spacing w:val="22"/>
          <w:rtl/>
        </w:rPr>
      </w:pPr>
      <w:r w:rsidRPr="0076606F">
        <w:rPr>
          <w:spacing w:val="22"/>
          <w:rtl/>
        </w:rPr>
        <w:t>9.</w:t>
      </w:r>
      <w:r w:rsidRPr="0076606F">
        <w:rPr>
          <w:spacing w:val="22"/>
          <w:rtl/>
        </w:rPr>
        <w:tab/>
        <w:t xml:space="preserve">לגופו של כתב האישום, מדובר בדיבורים בלבד. התיק מתבסס אך ורק על שיחות טלפון בין הנאשם עם האחר, שום דבר מהאירועים האלה לא יצאו לפועל ומדובר בהתעניינות בלבד. באישום הראשון נעשה חיפוש בבית הנאשם ולא נמצא כל נשק. הנאשם הועמד לדין בגין שתי עבירות של החזקת נשק שלא נמצא כלל. באשר לעבירות האחרות של ניסיון לרכישת תחמושת וסחר, בסופו של דבר, לעמדת ההגנה, ניתן לייחס קשירת קשר בגין אירועים האלה, בבחינת גישושים ששום דבר מהם לא יצא לפועל. בענייננו, מדובר בשלוש עבירות שהן אירוע אחד והמתחם ההולם נע  בין 10 </w:t>
      </w:r>
      <w:r w:rsidRPr="0076606F">
        <w:rPr>
          <w:rFonts w:hint="cs"/>
          <w:spacing w:val="22"/>
          <w:rtl/>
        </w:rPr>
        <w:t>עד</w:t>
      </w:r>
      <w:r w:rsidRPr="0076606F">
        <w:rPr>
          <w:spacing w:val="22"/>
          <w:rtl/>
        </w:rPr>
        <w:t xml:space="preserve"> 18 חודשי</w:t>
      </w:r>
      <w:r w:rsidRPr="0076606F">
        <w:rPr>
          <w:rFonts w:hint="cs"/>
          <w:spacing w:val="22"/>
          <w:rtl/>
        </w:rPr>
        <w:t xml:space="preserve"> מאסר (באה הפניה להחלטות בעניינים דומי</w:t>
      </w:r>
      <w:r w:rsidRPr="0076606F">
        <w:rPr>
          <w:spacing w:val="22"/>
          <w:rtl/>
        </w:rPr>
        <w:t>ם</w:t>
      </w:r>
      <w:r w:rsidRPr="0076606F">
        <w:rPr>
          <w:rFonts w:hint="cs"/>
          <w:spacing w:val="22"/>
          <w:rtl/>
        </w:rPr>
        <w:t>).</w:t>
      </w:r>
    </w:p>
    <w:p w14:paraId="120A21BD" w14:textId="77777777" w:rsidR="002B3ED9" w:rsidRPr="0076606F" w:rsidRDefault="002B3ED9" w:rsidP="002B3ED9">
      <w:pPr>
        <w:pStyle w:val="David"/>
        <w:rPr>
          <w:spacing w:val="22"/>
          <w:rtl/>
        </w:rPr>
      </w:pPr>
    </w:p>
    <w:p w14:paraId="29BD186B" w14:textId="77777777" w:rsidR="002B3ED9" w:rsidRPr="0076606F" w:rsidRDefault="002B3ED9" w:rsidP="002B3ED9">
      <w:pPr>
        <w:pStyle w:val="David"/>
        <w:rPr>
          <w:spacing w:val="22"/>
          <w:rtl/>
        </w:rPr>
      </w:pPr>
      <w:r w:rsidRPr="0076606F">
        <w:rPr>
          <w:spacing w:val="22"/>
          <w:rtl/>
        </w:rPr>
        <w:t>10.</w:t>
      </w:r>
      <w:r w:rsidRPr="0076606F">
        <w:rPr>
          <w:spacing w:val="22"/>
          <w:rtl/>
        </w:rPr>
        <w:tab/>
        <w:t xml:space="preserve">באשר לעונש הראוי לנאשם, נטען כי מדובר בבחור צעיר, כבן 40, אב לשבעה ילדים, המשמש מפרנס יחיד למשפחתו. עברו הפלילי רחוק. מאז שנת 2011, עת הסתיים התיק האחרון שלו, ועד 2021, לא נפתח נגדו תיקים נוספים, הוא לא היה מעורב בפלילים, התחיל לעבוד בבתי ספר במזנונים והתפרנס בכבוד. מתסקיר שירות המבחן עולה כי הוא בא מרקע כלכלי קשה ביותר והצליח לצאת משם. הנאשם לקח אחריות, הודה במיוחס לו וחסך זמן שיפוטי יקר. לעמדת ההגנה, אין הצדקה לקביעת שירות המבחן, לפיה, אינו לוקח אחריות, שכן קשה לאדם שלא דובר את השפה העברית להתבטא כהלכה באמצעות מתורגמן באפליקציית הזום. עוד נטען כי מדובר בפרשייה בה נעצרו עוד עשרה אנשים בתיק הזה. לפיכך, לעמדת ההגנה, יש למקם את הנאשם בתחתית המתחם ולגזור עליו 12 חודשי מאסר. </w:t>
      </w:r>
    </w:p>
    <w:p w14:paraId="565E82A8" w14:textId="77777777" w:rsidR="002B3ED9" w:rsidRPr="0076606F" w:rsidRDefault="002B3ED9" w:rsidP="002B3ED9">
      <w:pPr>
        <w:pStyle w:val="David"/>
        <w:rPr>
          <w:spacing w:val="22"/>
          <w:rtl/>
        </w:rPr>
      </w:pPr>
    </w:p>
    <w:p w14:paraId="02C7534F" w14:textId="77777777" w:rsidR="002B3ED9" w:rsidRPr="0076606F" w:rsidRDefault="002B3ED9" w:rsidP="002B3ED9">
      <w:pPr>
        <w:spacing w:line="360" w:lineRule="auto"/>
        <w:jc w:val="both"/>
        <w:rPr>
          <w:spacing w:val="22"/>
          <w:rtl/>
        </w:rPr>
      </w:pPr>
      <w:r w:rsidRPr="0076606F">
        <w:rPr>
          <w:spacing w:val="22"/>
          <w:rtl/>
        </w:rPr>
        <w:t>11.</w:t>
      </w:r>
      <w:r w:rsidRPr="0076606F">
        <w:rPr>
          <w:spacing w:val="22"/>
          <w:rtl/>
        </w:rPr>
        <w:tab/>
        <w:t xml:space="preserve">הנאשם פנה לבית המשפט, אמר כי הוא מבקש סליחה, מצטער על מעשיו, למד את הלקח וימנע ממעשים אלו בעתיד. הוא ביקש כי יתחשבו בכך שמצבה הכלכלי של משפחתו קשה מאוד מאז שהוא במעצר. </w:t>
      </w:r>
    </w:p>
    <w:p w14:paraId="33D39CDF" w14:textId="77777777" w:rsidR="002B3ED9" w:rsidRPr="0076606F" w:rsidRDefault="002B3ED9" w:rsidP="002B3ED9">
      <w:pPr>
        <w:spacing w:line="360" w:lineRule="auto"/>
        <w:ind w:firstLine="720"/>
        <w:jc w:val="both"/>
        <w:rPr>
          <w:spacing w:val="22"/>
          <w:rtl/>
        </w:rPr>
      </w:pPr>
    </w:p>
    <w:p w14:paraId="5835E011" w14:textId="77777777" w:rsidR="002B3ED9" w:rsidRPr="0076606F" w:rsidRDefault="002B3ED9" w:rsidP="002B3ED9">
      <w:pPr>
        <w:spacing w:line="360" w:lineRule="auto"/>
        <w:ind w:firstLine="720"/>
        <w:jc w:val="both"/>
        <w:rPr>
          <w:b/>
          <w:bCs/>
          <w:spacing w:val="22"/>
          <w:rtl/>
        </w:rPr>
      </w:pPr>
      <w:r w:rsidRPr="0076606F">
        <w:rPr>
          <w:b/>
          <w:bCs/>
          <w:spacing w:val="22"/>
          <w:rtl/>
        </w:rPr>
        <w:t>תסקיר שירות המבחן</w:t>
      </w:r>
    </w:p>
    <w:p w14:paraId="25E1E0D7" w14:textId="77777777" w:rsidR="002B3ED9" w:rsidRPr="0076606F" w:rsidRDefault="002B3ED9" w:rsidP="002B3ED9">
      <w:pPr>
        <w:spacing w:line="360" w:lineRule="auto"/>
        <w:jc w:val="both"/>
        <w:rPr>
          <w:spacing w:val="22"/>
          <w:rtl/>
        </w:rPr>
      </w:pPr>
      <w:r w:rsidRPr="0076606F">
        <w:rPr>
          <w:spacing w:val="22"/>
          <w:rtl/>
        </w:rPr>
        <w:t>12.</w:t>
      </w:r>
      <w:r w:rsidRPr="0076606F">
        <w:rPr>
          <w:spacing w:val="22"/>
          <w:rtl/>
        </w:rPr>
        <w:tab/>
        <w:t>מתסקיר שירות המבחן שנערך בעניינו של הנאשם עולה כי הינו כבן 41 שנים, נשוי ואב לשבעה ילדים בגילאים 11-23, שוהה במעצר מיום 2.7.20. עד למעצרו עבד בשירותי ניקיון. בעברו הרשעה משנת 2004 בעבירת תקיפה סתם והרשעה בהחזקת אגרופן/סכין. בשנת 2012 הורשע בעבירות נשיאת נשק שלא כדין, פציעה והחזקת סכין, ונדון ל – 42 חודשי מאסר, מאסר על תנאי ופיצוי. כמו כן, בשנה זו הורשע בעבירות הסעה ברכב של שוהה בלתי חוקי והפרעה לשוטר במילוי תפקידו. בהתייחסו לכלל העבירות בלטה עמדה קורבנית וגישה מטשטשת. ביחס לעבירות נשוא כתב האישום דנן, התקשה הנאשם לקחת אחריות, נטה לצמצם ולמזער את חומרת מעשיו והתקשה לבחון את משמעותם והמניעים להם. כמו כן, נטה לעמדה קו</w:t>
      </w:r>
      <w:r w:rsidRPr="0076606F">
        <w:rPr>
          <w:rFonts w:hint="cs"/>
          <w:spacing w:val="22"/>
          <w:rtl/>
        </w:rPr>
        <w:t>ר</w:t>
      </w:r>
      <w:r w:rsidRPr="0076606F">
        <w:rPr>
          <w:spacing w:val="22"/>
          <w:rtl/>
        </w:rPr>
        <w:t xml:space="preserve">בנית. וכן הכחיש כוונה לסחור בנשק. הנאשם שלל נזקקות טיפולית. לפיכך, המליץ שירות המבחן על ענישה במסגרת מאסר בפועל. </w:t>
      </w:r>
    </w:p>
    <w:p w14:paraId="657B6AD3" w14:textId="77777777" w:rsidR="002B3ED9" w:rsidRPr="0076606F" w:rsidRDefault="002B3ED9" w:rsidP="002B3ED9">
      <w:pPr>
        <w:spacing w:line="360" w:lineRule="auto"/>
        <w:jc w:val="both"/>
        <w:rPr>
          <w:spacing w:val="22"/>
          <w:rtl/>
        </w:rPr>
      </w:pPr>
    </w:p>
    <w:p w14:paraId="4ABE0EDF" w14:textId="77777777" w:rsidR="002B3ED9" w:rsidRPr="0076606F" w:rsidRDefault="002B3ED9" w:rsidP="002B3ED9">
      <w:pPr>
        <w:spacing w:line="360" w:lineRule="auto"/>
        <w:ind w:firstLine="720"/>
        <w:jc w:val="both"/>
        <w:rPr>
          <w:rFonts w:ascii="Miriam" w:hAnsi="Miriam"/>
          <w:b/>
          <w:bCs/>
          <w:spacing w:val="22"/>
          <w:rtl/>
        </w:rPr>
      </w:pPr>
      <w:r w:rsidRPr="0076606F">
        <w:rPr>
          <w:rFonts w:ascii="Miriam" w:hAnsi="Miriam"/>
          <w:b/>
          <w:bCs/>
          <w:spacing w:val="22"/>
          <w:rtl/>
        </w:rPr>
        <w:t>דיון</w:t>
      </w:r>
    </w:p>
    <w:p w14:paraId="784D6244" w14:textId="77777777" w:rsidR="002B3ED9" w:rsidRPr="0076606F" w:rsidRDefault="002B3ED9" w:rsidP="002B3ED9">
      <w:pPr>
        <w:spacing w:line="360" w:lineRule="auto"/>
        <w:jc w:val="both"/>
        <w:rPr>
          <w:rFonts w:ascii="Arial" w:hAnsi="Arial"/>
          <w:strike/>
          <w:spacing w:val="22"/>
          <w:rtl/>
        </w:rPr>
      </w:pPr>
      <w:r w:rsidRPr="0076606F">
        <w:rPr>
          <w:spacing w:val="22"/>
          <w:rtl/>
        </w:rPr>
        <w:t>13.</w:t>
      </w:r>
      <w:r w:rsidRPr="0076606F">
        <w:rPr>
          <w:spacing w:val="22"/>
          <w:rtl/>
        </w:rPr>
        <w:tab/>
        <w:t xml:space="preserve">בענייננו, הנאשם החזיק בנשק שבכוחו להמית ללא רשות כדין להחזיקו, ניסה לרכוש כלי נשק שבכוחו להמית אדם, ניסה לסחור בנשק או לעשות בו עסקה אחרת שיש עמה מסירת החזקה בנשק לזולתו, וניסה לרכוש תחמושת. האישומים בוצעו בטווח של כשלושה שבועות, הם עוסקים באירועים שיש ביניהם דמיון רב, ישנה זהות בצדדים לכל אחת מהעסקאות ועל כן ניתן לראות בהם אירוע אחד ולקבוע מתחם ענישה אחד. </w:t>
      </w:r>
    </w:p>
    <w:p w14:paraId="4BBFC210" w14:textId="77777777" w:rsidR="002B3ED9" w:rsidRPr="0076606F" w:rsidRDefault="002B3ED9" w:rsidP="002B3ED9">
      <w:pPr>
        <w:spacing w:line="360" w:lineRule="auto"/>
        <w:jc w:val="both"/>
        <w:rPr>
          <w:strike/>
          <w:spacing w:val="22"/>
          <w:rtl/>
        </w:rPr>
      </w:pPr>
    </w:p>
    <w:p w14:paraId="1684C74B" w14:textId="77777777" w:rsidR="002B3ED9" w:rsidRPr="0076606F" w:rsidRDefault="002B3ED9" w:rsidP="002B3ED9">
      <w:pPr>
        <w:spacing w:line="360" w:lineRule="auto"/>
        <w:jc w:val="both"/>
        <w:rPr>
          <w:rFonts w:cs="FrankRuehl"/>
          <w:spacing w:val="22"/>
          <w:sz w:val="22"/>
          <w:szCs w:val="28"/>
          <w:rtl/>
        </w:rPr>
      </w:pPr>
      <w:r w:rsidRPr="0076606F">
        <w:rPr>
          <w:spacing w:val="22"/>
          <w:rtl/>
        </w:rPr>
        <w:t>14.</w:t>
      </w:r>
      <w:r w:rsidRPr="0076606F">
        <w:rPr>
          <w:spacing w:val="22"/>
          <w:rtl/>
        </w:rPr>
        <w:tab/>
        <w:t>באשר לערכים המוגנים, עבירות נשק טומנות בחובן סכנה ממשית הפוגעת בערכים החברתיים של בטחון הציבור, שלום הציבור ושלטון החוק. נשק בלתי חוקי המצוי בידיים בלתי מורשות מסכן את הציבור כולו. יפים לענייננו הדברים שנאמרו ב</w:t>
      </w:r>
      <w:hyperlink r:id="rId18" w:history="1">
        <w:r w:rsidR="00E46492" w:rsidRPr="00E46492">
          <w:rPr>
            <w:color w:val="0000FF"/>
            <w:spacing w:val="22"/>
            <w:u w:val="single"/>
            <w:rtl/>
          </w:rPr>
          <w:t>ע"פ 2251/11</w:t>
        </w:r>
      </w:hyperlink>
      <w:r w:rsidRPr="0076606F">
        <w:rPr>
          <w:spacing w:val="22"/>
          <w:rtl/>
        </w:rPr>
        <w:t xml:space="preserve"> </w:t>
      </w:r>
      <w:r w:rsidRPr="0076606F">
        <w:rPr>
          <w:b/>
          <w:bCs/>
          <w:spacing w:val="22"/>
          <w:rtl/>
        </w:rPr>
        <w:t>ג'מאל נפאע נ' מדינת ישראל</w:t>
      </w:r>
      <w:r w:rsidRPr="0076606F">
        <w:rPr>
          <w:spacing w:val="22"/>
          <w:rtl/>
        </w:rPr>
        <w:t xml:space="preserve"> (2011): "</w:t>
      </w:r>
      <w:r w:rsidRPr="0076606F">
        <w:rPr>
          <w:b/>
          <w:bCs/>
          <w:spacing w:val="22"/>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r w:rsidRPr="0076606F">
        <w:rPr>
          <w:spacing w:val="22"/>
          <w:rtl/>
        </w:rPr>
        <w:t>".</w:t>
      </w:r>
    </w:p>
    <w:p w14:paraId="7EDE35CD" w14:textId="77777777" w:rsidR="002B3ED9" w:rsidRPr="0076606F" w:rsidRDefault="002B3ED9" w:rsidP="002B3ED9">
      <w:pPr>
        <w:spacing w:line="360" w:lineRule="auto"/>
        <w:jc w:val="both"/>
        <w:rPr>
          <w:strike/>
          <w:spacing w:val="22"/>
          <w:rtl/>
        </w:rPr>
      </w:pPr>
    </w:p>
    <w:p w14:paraId="2DC2E419" w14:textId="77777777" w:rsidR="002B3ED9" w:rsidRPr="0076606F" w:rsidRDefault="002B3ED9" w:rsidP="002B3ED9">
      <w:pPr>
        <w:spacing w:line="360" w:lineRule="auto"/>
        <w:jc w:val="both"/>
        <w:rPr>
          <w:spacing w:val="22"/>
          <w:rtl/>
        </w:rPr>
      </w:pPr>
      <w:r w:rsidRPr="0076606F">
        <w:rPr>
          <w:spacing w:val="22"/>
          <w:rtl/>
        </w:rPr>
        <w:t>15.</w:t>
      </w:r>
      <w:r w:rsidRPr="0076606F">
        <w:rPr>
          <w:spacing w:val="22"/>
          <w:rtl/>
        </w:rPr>
        <w:tab/>
        <w:t>הנסיבות הקשורות בביצוע העבירות דנן מלמדות כי מידת הפגיעה בערכים המוגנים הנה בינונית. הנאשם עמד בקשר עם האחר בנוגע לסחר בנשקים ואמצעי לחימה, תוך שהם משוחחים ביניהם באופן שמסווה תוכן זה ומעיד על כך שהנאשם היה מודע היטב לטיב מעשיו. האישומים עוסקים בהחזקת נשק מסוג תת מקלע, בניסיון לתקנו ולהשמישו על מנת למוכרו, ניסיון למכור עשרות כדורי תחמושת, ניסיון לרכוש אקדח בסכום של עשרות אלפי שקלים וניהול משא ומתן לשם השלמת העבירה, וכן ניסיון להשכיר אקדח או נשק ארוך. הנאשם פעל שוב ושוב להשלמת העסקאות, הבין היטב את מעשיו ויכול היה לחדול מביצועם בכל רגע. פועלו של הנאשם מלמד על היכרותו עם תחום הנשקים ועולם הסחר. הנזק הצפוי מהימצאות כלי נשק בידיים עברייניות אינו מצריך הסבר. במקרה דנן הנזק שנגרם הינו מינימלי שכן הנאשם החזיק בנשק תקול ועבירות הניסיון לא הושלמו. בחינת מדיניות הענישה הנוהגת בעבירות בה הורשע הנאשם, חומרתן, נסיבות ביצוען ותוצאותיה מובילות למסקנה כי מתחם הענישה הראוי</w:t>
      </w:r>
      <w:r w:rsidRPr="0076606F">
        <w:rPr>
          <w:rFonts w:hint="cs"/>
          <w:spacing w:val="22"/>
          <w:rtl/>
        </w:rPr>
        <w:t>,</w:t>
      </w:r>
      <w:r w:rsidRPr="0076606F">
        <w:rPr>
          <w:spacing w:val="22"/>
          <w:rtl/>
        </w:rPr>
        <w:t xml:space="preserve"> בנסיבות דנן</w:t>
      </w:r>
      <w:r w:rsidRPr="0076606F">
        <w:rPr>
          <w:rFonts w:hint="cs"/>
          <w:spacing w:val="22"/>
          <w:rtl/>
        </w:rPr>
        <w:t xml:space="preserve">, </w:t>
      </w:r>
      <w:r w:rsidRPr="0076606F">
        <w:rPr>
          <w:spacing w:val="22"/>
          <w:rtl/>
        </w:rPr>
        <w:t xml:space="preserve">הנו </w:t>
      </w:r>
      <w:r w:rsidRPr="0076606F">
        <w:rPr>
          <w:rFonts w:hint="cs"/>
          <w:spacing w:val="22"/>
          <w:rtl/>
        </w:rPr>
        <w:t>4.5</w:t>
      </w:r>
      <w:r w:rsidRPr="0076606F">
        <w:rPr>
          <w:spacing w:val="22"/>
          <w:rtl/>
        </w:rPr>
        <w:t xml:space="preserve"> עד </w:t>
      </w:r>
      <w:r w:rsidRPr="0076606F">
        <w:rPr>
          <w:rFonts w:hint="cs"/>
          <w:spacing w:val="22"/>
          <w:rtl/>
        </w:rPr>
        <w:t>5 שנות</w:t>
      </w:r>
      <w:r w:rsidRPr="0076606F">
        <w:rPr>
          <w:spacing w:val="22"/>
          <w:rtl/>
        </w:rPr>
        <w:t xml:space="preserve"> מאסר.</w:t>
      </w:r>
    </w:p>
    <w:p w14:paraId="28B558D8" w14:textId="77777777" w:rsidR="002B3ED9" w:rsidRPr="0076606F" w:rsidRDefault="002B3ED9" w:rsidP="002B3ED9">
      <w:pPr>
        <w:spacing w:line="360" w:lineRule="auto"/>
        <w:ind w:left="720" w:hanging="720"/>
        <w:jc w:val="both"/>
        <w:rPr>
          <w:spacing w:val="22"/>
          <w:rtl/>
        </w:rPr>
      </w:pPr>
    </w:p>
    <w:p w14:paraId="501E0E11" w14:textId="77777777" w:rsidR="002B3ED9" w:rsidRPr="0076606F" w:rsidRDefault="002B3ED9" w:rsidP="002B3ED9">
      <w:pPr>
        <w:spacing w:line="360" w:lineRule="auto"/>
        <w:jc w:val="both"/>
        <w:rPr>
          <w:spacing w:val="22"/>
          <w:rtl/>
        </w:rPr>
      </w:pPr>
      <w:r w:rsidRPr="0076606F">
        <w:rPr>
          <w:spacing w:val="22"/>
          <w:rtl/>
        </w:rPr>
        <w:t>16.</w:t>
      </w:r>
      <w:r w:rsidRPr="0076606F">
        <w:rPr>
          <w:spacing w:val="22"/>
          <w:rtl/>
        </w:rPr>
        <w:tab/>
        <w:t xml:space="preserve">באשר לעונש הראוי לנאשם, הנאשם הודה בביצוע העבירות, תרם לייעול ההליך ולחיסכון בזמן שיפוטי והביע חרטה. עם זאת, מתסקיר שירות המבחן עולה כי בצד הודאתו בביצוע העבירות, מתקשה הנאשם לקחת אחריות, עמדתו מצמצמת מחומרת מעשיו וקורבנית. הוא אף הכחיש בפני שירות המבחן אישום אחד וכוונה מצדו לסחור בנשק. כמו כן, הנאשם שלל נזקקות טיפולית. בנוסף, בעברו הרשעות קודמות הכוללות הרשעות בעבירות נשק משנת 2012 בגינן נדון למאסר ממושך שלא היה בו כדי להרתיעו מלשוב לבצע עבירות נשק. </w:t>
      </w:r>
    </w:p>
    <w:p w14:paraId="2C0E7379" w14:textId="77777777" w:rsidR="002B3ED9" w:rsidRPr="0076606F" w:rsidRDefault="002B3ED9" w:rsidP="002B3ED9">
      <w:pPr>
        <w:spacing w:line="360" w:lineRule="auto"/>
        <w:jc w:val="both"/>
        <w:rPr>
          <w:spacing w:val="22"/>
          <w:rtl/>
        </w:rPr>
      </w:pPr>
    </w:p>
    <w:p w14:paraId="4170C5DE" w14:textId="77777777" w:rsidR="002B3ED9" w:rsidRPr="0076606F" w:rsidRDefault="002B3ED9" w:rsidP="002B3ED9">
      <w:pPr>
        <w:spacing w:line="360" w:lineRule="auto"/>
        <w:jc w:val="both"/>
        <w:rPr>
          <w:spacing w:val="22"/>
          <w:rtl/>
        </w:rPr>
      </w:pPr>
      <w:r w:rsidRPr="0076606F">
        <w:rPr>
          <w:rFonts w:hint="cs"/>
          <w:spacing w:val="22"/>
          <w:rtl/>
        </w:rPr>
        <w:t>17.</w:t>
      </w:r>
      <w:r w:rsidRPr="0076606F">
        <w:rPr>
          <w:rFonts w:hint="cs"/>
          <w:spacing w:val="22"/>
          <w:rtl/>
        </w:rPr>
        <w:tab/>
      </w:r>
      <w:r w:rsidRPr="0076606F">
        <w:rPr>
          <w:spacing w:val="22"/>
          <w:rtl/>
        </w:rPr>
        <w:t>לאור האמור, אני גוזר על הנאשם</w:t>
      </w:r>
      <w:r w:rsidRPr="0076606F">
        <w:rPr>
          <w:rFonts w:hint="cs"/>
          <w:spacing w:val="22"/>
          <w:rtl/>
        </w:rPr>
        <w:t xml:space="preserve"> כלהלן:</w:t>
      </w:r>
    </w:p>
    <w:p w14:paraId="1E63B87B" w14:textId="77777777" w:rsidR="002B3ED9" w:rsidRPr="0076606F" w:rsidRDefault="002B3ED9" w:rsidP="002B3ED9">
      <w:pPr>
        <w:spacing w:line="360" w:lineRule="auto"/>
        <w:jc w:val="both"/>
        <w:rPr>
          <w:spacing w:val="22"/>
          <w:rtl/>
        </w:rPr>
      </w:pPr>
    </w:p>
    <w:p w14:paraId="72A9108F" w14:textId="77777777" w:rsidR="002B3ED9" w:rsidRPr="0076606F" w:rsidRDefault="002B3ED9" w:rsidP="002B3ED9">
      <w:pPr>
        <w:spacing w:line="360" w:lineRule="auto"/>
        <w:jc w:val="both"/>
        <w:rPr>
          <w:spacing w:val="22"/>
          <w:rtl/>
        </w:rPr>
      </w:pPr>
      <w:r w:rsidRPr="0076606F">
        <w:rPr>
          <w:spacing w:val="22"/>
          <w:rtl/>
        </w:rPr>
        <w:tab/>
      </w:r>
      <w:r w:rsidRPr="0076606F">
        <w:rPr>
          <w:rFonts w:hint="cs"/>
          <w:spacing w:val="22"/>
          <w:rtl/>
        </w:rPr>
        <w:t>א.</w:t>
      </w:r>
      <w:r w:rsidRPr="0076606F">
        <w:rPr>
          <w:rFonts w:hint="cs"/>
          <w:spacing w:val="22"/>
          <w:rtl/>
        </w:rPr>
        <w:tab/>
        <w:t xml:space="preserve">מאסר בפועל לתקופת 28 חודשים, תחילת מאסרו מיום מעצרו. </w:t>
      </w:r>
    </w:p>
    <w:p w14:paraId="5AED41E6" w14:textId="77777777" w:rsidR="002B3ED9" w:rsidRPr="0076606F" w:rsidRDefault="002B3ED9" w:rsidP="002B3ED9">
      <w:pPr>
        <w:spacing w:line="360" w:lineRule="auto"/>
        <w:jc w:val="both"/>
        <w:rPr>
          <w:spacing w:val="22"/>
          <w:rtl/>
        </w:rPr>
      </w:pPr>
    </w:p>
    <w:p w14:paraId="5B05E972" w14:textId="77777777" w:rsidR="002B3ED9" w:rsidRPr="0076606F" w:rsidRDefault="002B3ED9" w:rsidP="002B3ED9">
      <w:pPr>
        <w:spacing w:line="360" w:lineRule="auto"/>
        <w:ind w:left="1440" w:hanging="720"/>
        <w:jc w:val="both"/>
        <w:rPr>
          <w:spacing w:val="22"/>
          <w:rtl/>
        </w:rPr>
      </w:pPr>
      <w:r w:rsidRPr="0076606F">
        <w:rPr>
          <w:rFonts w:hint="cs"/>
          <w:spacing w:val="22"/>
          <w:rtl/>
        </w:rPr>
        <w:t>ב.</w:t>
      </w:r>
      <w:r w:rsidRPr="0076606F">
        <w:rPr>
          <w:rFonts w:hint="cs"/>
          <w:spacing w:val="22"/>
          <w:rtl/>
        </w:rPr>
        <w:tab/>
        <w:t xml:space="preserve">מאסר מותנה לתקופת 8 חודשים והתנאי הוא שהנאשם לא יורשע בעבירה מהעבירות בהן הורשע בתיק זה בתוך 3 שנים מיום שחרורו. </w:t>
      </w:r>
    </w:p>
    <w:p w14:paraId="0CD9B2E7" w14:textId="77777777" w:rsidR="002B3ED9" w:rsidRPr="0076606F" w:rsidRDefault="002B3ED9" w:rsidP="002B3ED9">
      <w:pPr>
        <w:spacing w:line="360" w:lineRule="auto"/>
        <w:jc w:val="both"/>
        <w:rPr>
          <w:rFonts w:ascii="Arial" w:hAnsi="Arial"/>
          <w:spacing w:val="22"/>
          <w:sz w:val="16"/>
          <w:szCs w:val="16"/>
          <w:rtl/>
        </w:rPr>
      </w:pPr>
    </w:p>
    <w:p w14:paraId="16B0FE65" w14:textId="77777777" w:rsidR="002B3ED9" w:rsidRPr="0076606F" w:rsidRDefault="00E46492" w:rsidP="002B3ED9">
      <w:pPr>
        <w:spacing w:line="360" w:lineRule="auto"/>
        <w:ind w:firstLine="720"/>
        <w:jc w:val="both"/>
        <w:rPr>
          <w:rFonts w:ascii="Arial" w:hAnsi="Arial"/>
          <w:spacing w:val="22"/>
        </w:rPr>
      </w:pPr>
      <w:bookmarkStart w:id="8" w:name="Nitan"/>
      <w:r>
        <w:rPr>
          <w:rFonts w:ascii="Arial" w:hAnsi="Arial"/>
          <w:spacing w:val="22"/>
          <w:rtl/>
        </w:rPr>
        <w:t xml:space="preserve">ניתן היום,  כ"ח אייר תשפ"א, 10 מאי 2021, במעמד ב"כ המאשימה, ב"כ </w:t>
      </w:r>
      <w:bookmarkEnd w:id="8"/>
      <w:r w:rsidR="002B3ED9" w:rsidRPr="0076606F">
        <w:rPr>
          <w:rFonts w:ascii="Arial" w:hAnsi="Arial" w:hint="cs"/>
          <w:spacing w:val="22"/>
          <w:rtl/>
        </w:rPr>
        <w:t xml:space="preserve">הנאשם והנאשם בעצמו. </w:t>
      </w:r>
      <w:r w:rsidR="002B3ED9" w:rsidRPr="0076606F">
        <w:rPr>
          <w:rFonts w:ascii="Arial" w:hAnsi="Arial"/>
          <w:spacing w:val="22"/>
          <w:rtl/>
        </w:rPr>
        <w:t>העדר הצדדים.</w:t>
      </w:r>
    </w:p>
    <w:p w14:paraId="1F1C1E31" w14:textId="77777777" w:rsidR="002B3ED9" w:rsidRPr="0076606F" w:rsidRDefault="002B3ED9" w:rsidP="002B3ED9">
      <w:pPr>
        <w:spacing w:line="360" w:lineRule="auto"/>
        <w:ind w:left="1440" w:hanging="720"/>
        <w:jc w:val="both"/>
        <w:rPr>
          <w:spacing w:val="22"/>
          <w:sz w:val="16"/>
          <w:szCs w:val="16"/>
          <w:rtl/>
        </w:rPr>
      </w:pPr>
    </w:p>
    <w:p w14:paraId="14BF0BCE" w14:textId="77777777" w:rsidR="002B3ED9" w:rsidRPr="0076606F" w:rsidRDefault="00E46492" w:rsidP="002B3ED9">
      <w:pPr>
        <w:spacing w:line="360" w:lineRule="auto"/>
        <w:ind w:left="1440" w:hanging="720"/>
        <w:jc w:val="both"/>
        <w:rPr>
          <w:spacing w:val="22"/>
          <w:rtl/>
        </w:rPr>
      </w:pPr>
      <w:r>
        <w:rPr>
          <w:spacing w:val="22"/>
          <w:rtl/>
        </w:rPr>
        <w:t xml:space="preserve">זכות ערעור לבית משפט העליון בתוך 45 יום מהיום.  </w:t>
      </w:r>
    </w:p>
    <w:tbl>
      <w:tblPr>
        <w:bidiVisual/>
        <w:tblW w:w="0" w:type="auto"/>
        <w:tblInd w:w="5444" w:type="dxa"/>
        <w:tblLook w:val="01E0" w:firstRow="1" w:lastRow="1" w:firstColumn="1" w:lastColumn="1" w:noHBand="0" w:noVBand="0"/>
      </w:tblPr>
      <w:tblGrid>
        <w:gridCol w:w="2775"/>
      </w:tblGrid>
      <w:tr w:rsidR="002B3ED9" w14:paraId="7C38D5E9" w14:textId="77777777" w:rsidTr="002B3ED9">
        <w:tc>
          <w:tcPr>
            <w:tcW w:w="2775" w:type="dxa"/>
            <w:tcBorders>
              <w:top w:val="nil"/>
              <w:left w:val="nil"/>
              <w:bottom w:val="single" w:sz="4" w:space="0" w:color="auto"/>
              <w:right w:val="nil"/>
            </w:tcBorders>
            <w:shd w:val="clear" w:color="auto" w:fill="auto"/>
            <w:vAlign w:val="center"/>
          </w:tcPr>
          <w:p w14:paraId="003494B0" w14:textId="77777777" w:rsidR="002B3ED9" w:rsidRPr="002B3ED9" w:rsidRDefault="002B3ED9" w:rsidP="002B3ED9">
            <w:pPr>
              <w:jc w:val="center"/>
              <w:rPr>
                <w:rFonts w:ascii="Courier New" w:hAnsi="Courier New"/>
                <w:b/>
                <w:bCs/>
              </w:rPr>
            </w:pPr>
          </w:p>
        </w:tc>
      </w:tr>
      <w:tr w:rsidR="002B3ED9" w14:paraId="0214B9AD" w14:textId="77777777" w:rsidTr="002B3ED9">
        <w:tc>
          <w:tcPr>
            <w:tcW w:w="2775" w:type="dxa"/>
            <w:tcBorders>
              <w:top w:val="single" w:sz="4" w:space="0" w:color="auto"/>
              <w:left w:val="nil"/>
              <w:bottom w:val="nil"/>
              <w:right w:val="nil"/>
            </w:tcBorders>
            <w:shd w:val="clear" w:color="auto" w:fill="auto"/>
            <w:vAlign w:val="center"/>
          </w:tcPr>
          <w:p w14:paraId="2B7351C5" w14:textId="77777777" w:rsidR="002B3ED9" w:rsidRPr="002B3ED9" w:rsidRDefault="002B3ED9" w:rsidP="002B3ED9">
            <w:pPr>
              <w:spacing w:line="360" w:lineRule="auto"/>
              <w:jc w:val="center"/>
              <w:rPr>
                <w:b/>
                <w:bCs/>
                <w:noProof/>
              </w:rPr>
            </w:pPr>
            <w:r w:rsidRPr="002B3ED9">
              <w:rPr>
                <w:b/>
                <w:bCs/>
                <w:rtl/>
              </w:rPr>
              <w:t>השופט רפי כרמל, סגן נשיא</w:t>
            </w:r>
          </w:p>
        </w:tc>
      </w:tr>
    </w:tbl>
    <w:p w14:paraId="7023E3C8" w14:textId="77777777" w:rsidR="002B3ED9" w:rsidRDefault="002B3ED9" w:rsidP="002B3ED9"/>
    <w:p w14:paraId="2BE669DE" w14:textId="77777777" w:rsidR="002B3ED9" w:rsidRPr="00C503AA" w:rsidRDefault="002B3ED9" w:rsidP="002B3ED9"/>
    <w:p w14:paraId="41783DF1" w14:textId="77777777" w:rsidR="002B3ED9" w:rsidRDefault="002B3ED9" w:rsidP="002B3ED9">
      <w:pPr>
        <w:spacing w:line="360" w:lineRule="auto"/>
        <w:ind w:left="1440" w:hanging="720"/>
        <w:jc w:val="both"/>
        <w:rPr>
          <w:rtl/>
        </w:rPr>
      </w:pPr>
    </w:p>
    <w:p w14:paraId="3CED2DA7" w14:textId="77777777" w:rsidR="002B3ED9" w:rsidRPr="00E46492" w:rsidRDefault="00E46492" w:rsidP="002B3ED9">
      <w:pPr>
        <w:spacing w:line="360" w:lineRule="auto"/>
        <w:jc w:val="both"/>
        <w:rPr>
          <w:color w:val="FFFFFF"/>
          <w:sz w:val="2"/>
          <w:szCs w:val="2"/>
          <w:rtl/>
        </w:rPr>
      </w:pPr>
      <w:r w:rsidRPr="00E46492">
        <w:rPr>
          <w:color w:val="FFFFFF"/>
          <w:sz w:val="2"/>
          <w:szCs w:val="2"/>
          <w:rtl/>
        </w:rPr>
        <w:t>5129371</w:t>
      </w:r>
    </w:p>
    <w:p w14:paraId="71FD371B" w14:textId="77777777" w:rsidR="00E46492" w:rsidRDefault="00E46492" w:rsidP="00E46492">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1A38060A" w14:textId="77777777" w:rsidR="00F854BA" w:rsidRPr="00F854BA" w:rsidRDefault="00F854BA" w:rsidP="00F854BA">
      <w:pPr>
        <w:keepNext/>
        <w:rPr>
          <w:rFonts w:ascii="David" w:hAnsi="David"/>
          <w:color w:val="000000"/>
          <w:sz w:val="22"/>
          <w:szCs w:val="22"/>
          <w:rtl/>
        </w:rPr>
      </w:pPr>
    </w:p>
    <w:p w14:paraId="724C7197" w14:textId="77777777" w:rsidR="00F854BA" w:rsidRPr="00F854BA" w:rsidRDefault="00F854BA" w:rsidP="00F854BA">
      <w:pPr>
        <w:keepNext/>
        <w:rPr>
          <w:rFonts w:ascii="David" w:hAnsi="David"/>
          <w:color w:val="000000"/>
          <w:sz w:val="22"/>
          <w:szCs w:val="22"/>
          <w:rtl/>
        </w:rPr>
      </w:pPr>
      <w:r w:rsidRPr="00F854BA">
        <w:rPr>
          <w:rFonts w:ascii="David" w:hAnsi="David"/>
          <w:color w:val="000000"/>
          <w:sz w:val="22"/>
          <w:szCs w:val="22"/>
          <w:rtl/>
        </w:rPr>
        <w:t>רפי כרמל 54678313-/</w:t>
      </w:r>
    </w:p>
    <w:p w14:paraId="79AEA464" w14:textId="77777777" w:rsidR="00E46492" w:rsidRPr="00E46492" w:rsidRDefault="00F854BA" w:rsidP="00F854BA">
      <w:pPr>
        <w:rPr>
          <w:rFonts w:hint="cs"/>
          <w:color w:val="0000FF"/>
          <w:u w:val="single"/>
        </w:rPr>
      </w:pPr>
      <w:r w:rsidRPr="00F854BA">
        <w:rPr>
          <w:color w:val="000000"/>
          <w:u w:val="single"/>
          <w:rtl/>
        </w:rPr>
        <w:t>נוסח מסמך זה כפוף לשינויי ניסוח ועריכה</w:t>
      </w:r>
      <w:r w:rsidR="00AE6402">
        <w:rPr>
          <w:rFonts w:hint="cs"/>
          <w:color w:val="0000FF"/>
          <w:u w:val="single"/>
          <w:rtl/>
        </w:rPr>
        <w:t xml:space="preserve"> </w:t>
      </w:r>
    </w:p>
    <w:sectPr w:rsidR="00E46492" w:rsidRPr="00E46492" w:rsidSect="00F854BA">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E94C0" w14:textId="77777777" w:rsidR="00EA4ED9" w:rsidRDefault="00EA4ED9" w:rsidP="00154761">
      <w:r>
        <w:separator/>
      </w:r>
    </w:p>
  </w:endnote>
  <w:endnote w:type="continuationSeparator" w:id="0">
    <w:p w14:paraId="03A2C08D" w14:textId="77777777" w:rsidR="00EA4ED9" w:rsidRDefault="00EA4ED9" w:rsidP="00154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EB57C" w14:textId="77777777" w:rsidR="00F854BA" w:rsidRDefault="00F854BA" w:rsidP="00F854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150686" w14:textId="77777777" w:rsidR="00D70724" w:rsidRPr="00F854BA" w:rsidRDefault="00F854BA" w:rsidP="00F854BA">
    <w:pPr>
      <w:pStyle w:val="a5"/>
      <w:pBdr>
        <w:top w:val="single" w:sz="4" w:space="1" w:color="auto"/>
        <w:between w:val="single" w:sz="4" w:space="0" w:color="auto"/>
      </w:pBdr>
      <w:spacing w:after="60"/>
      <w:jc w:val="center"/>
      <w:rPr>
        <w:rFonts w:ascii="FrankRuehl" w:hAnsi="FrankRuehl" w:cs="FrankRuehl"/>
        <w:color w:val="000000"/>
      </w:rPr>
    </w:pPr>
    <w:r w:rsidRPr="00F854B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A6976" w14:textId="77777777" w:rsidR="00F854BA" w:rsidRDefault="00F854BA" w:rsidP="00F854B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4F75">
      <w:rPr>
        <w:rFonts w:ascii="FrankRuehl" w:hAnsi="FrankRuehl" w:cs="FrankRuehl"/>
        <w:noProof/>
        <w:rtl/>
      </w:rPr>
      <w:t>1</w:t>
    </w:r>
    <w:r>
      <w:rPr>
        <w:rFonts w:ascii="FrankRuehl" w:hAnsi="FrankRuehl" w:cs="FrankRuehl"/>
        <w:rtl/>
      </w:rPr>
      <w:fldChar w:fldCharType="end"/>
    </w:r>
  </w:p>
  <w:p w14:paraId="618C931B" w14:textId="77777777" w:rsidR="00D70724" w:rsidRPr="00F854BA" w:rsidRDefault="00F854BA" w:rsidP="00F854BA">
    <w:pPr>
      <w:pStyle w:val="a5"/>
      <w:pBdr>
        <w:top w:val="single" w:sz="4" w:space="1" w:color="auto"/>
        <w:between w:val="single" w:sz="4" w:space="0" w:color="auto"/>
      </w:pBdr>
      <w:spacing w:after="60"/>
      <w:jc w:val="center"/>
      <w:rPr>
        <w:rFonts w:ascii="FrankRuehl" w:hAnsi="FrankRuehl" w:cs="FrankRuehl"/>
        <w:color w:val="000000"/>
      </w:rPr>
    </w:pPr>
    <w:r w:rsidRPr="00F854BA">
      <w:rPr>
        <w:rFonts w:ascii="FrankRuehl" w:hAnsi="FrankRuehl" w:cs="FrankRuehl"/>
        <w:color w:val="000000"/>
      </w:rPr>
      <w:pict w14:anchorId="3E704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7AD92" w14:textId="77777777" w:rsidR="00EA4ED9" w:rsidRDefault="00EA4ED9" w:rsidP="00154761">
      <w:r>
        <w:separator/>
      </w:r>
    </w:p>
  </w:footnote>
  <w:footnote w:type="continuationSeparator" w:id="0">
    <w:p w14:paraId="0F2AF5CB" w14:textId="77777777" w:rsidR="00EA4ED9" w:rsidRDefault="00EA4ED9" w:rsidP="00154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36175" w14:textId="77777777" w:rsidR="00E46492" w:rsidRPr="00F854BA" w:rsidRDefault="00F854BA" w:rsidP="00F854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36909-07-20</w:t>
    </w:r>
    <w:r>
      <w:rPr>
        <w:rFonts w:ascii="David" w:hAnsi="David"/>
        <w:color w:val="000000"/>
        <w:sz w:val="22"/>
        <w:szCs w:val="22"/>
        <w:rtl/>
      </w:rPr>
      <w:tab/>
      <w:t xml:space="preserve"> מדינת ישראל נ' עמאר בעראני נורי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B8674" w14:textId="77777777" w:rsidR="00E46492" w:rsidRPr="00F854BA" w:rsidRDefault="00F854BA" w:rsidP="00F854B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36909-07-20</w:t>
    </w:r>
    <w:r>
      <w:rPr>
        <w:rFonts w:ascii="David" w:hAnsi="David"/>
        <w:color w:val="000000"/>
        <w:sz w:val="22"/>
        <w:szCs w:val="22"/>
        <w:rtl/>
      </w:rPr>
      <w:tab/>
      <w:t xml:space="preserve"> מדינת ישראל נ' עמאר בעראני נורי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B3ED9"/>
    <w:rsid w:val="00154761"/>
    <w:rsid w:val="001B5A3B"/>
    <w:rsid w:val="002B3ED9"/>
    <w:rsid w:val="002F7498"/>
    <w:rsid w:val="00354F75"/>
    <w:rsid w:val="003564FB"/>
    <w:rsid w:val="00736456"/>
    <w:rsid w:val="007E60F4"/>
    <w:rsid w:val="00AE6402"/>
    <w:rsid w:val="00B96AD9"/>
    <w:rsid w:val="00C540BE"/>
    <w:rsid w:val="00D135F5"/>
    <w:rsid w:val="00D70724"/>
    <w:rsid w:val="00E46492"/>
    <w:rsid w:val="00EA4ED9"/>
    <w:rsid w:val="00F6138C"/>
    <w:rsid w:val="00F854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E52380"/>
  <w15:chartTrackingRefBased/>
  <w15:docId w15:val="{7D381D70-A454-4500-AA32-A2F35633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B3E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B3ED9"/>
    <w:pPr>
      <w:tabs>
        <w:tab w:val="center" w:pos="4153"/>
        <w:tab w:val="right" w:pos="8306"/>
      </w:tabs>
    </w:pPr>
  </w:style>
  <w:style w:type="character" w:customStyle="1" w:styleId="a4">
    <w:name w:val="כותרת עליונה תו"/>
    <w:link w:val="a3"/>
    <w:rsid w:val="002B3ED9"/>
    <w:rPr>
      <w:rFonts w:ascii="Times New Roman" w:eastAsia="Times New Roman" w:hAnsi="Times New Roman" w:cs="David"/>
      <w:sz w:val="24"/>
      <w:szCs w:val="24"/>
    </w:rPr>
  </w:style>
  <w:style w:type="paragraph" w:styleId="a5">
    <w:name w:val="footer"/>
    <w:basedOn w:val="a"/>
    <w:link w:val="a6"/>
    <w:rsid w:val="002B3ED9"/>
    <w:pPr>
      <w:tabs>
        <w:tab w:val="center" w:pos="4153"/>
        <w:tab w:val="right" w:pos="8306"/>
      </w:tabs>
    </w:pPr>
  </w:style>
  <w:style w:type="character" w:customStyle="1" w:styleId="a6">
    <w:name w:val="כותרת תחתונה תו"/>
    <w:link w:val="a5"/>
    <w:rsid w:val="002B3ED9"/>
    <w:rPr>
      <w:rFonts w:ascii="Times New Roman" w:eastAsia="Times New Roman" w:hAnsi="Times New Roman" w:cs="David"/>
      <w:sz w:val="24"/>
      <w:szCs w:val="24"/>
    </w:rPr>
  </w:style>
  <w:style w:type="table" w:styleId="a7">
    <w:name w:val="Table Grid"/>
    <w:basedOn w:val="a1"/>
    <w:rsid w:val="002B3E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B3ED9"/>
  </w:style>
  <w:style w:type="paragraph" w:customStyle="1" w:styleId="David">
    <w:name w:val="סגנון (עברית ושפות אחרות) David מיושר לשני הצדדים מרווח בין שורות..."/>
    <w:basedOn w:val="a"/>
    <w:rsid w:val="002B3ED9"/>
    <w:pPr>
      <w:spacing w:line="360" w:lineRule="auto"/>
      <w:jc w:val="both"/>
    </w:pPr>
  </w:style>
  <w:style w:type="character" w:styleId="Hyperlink">
    <w:name w:val="Hyperlink"/>
    <w:rsid w:val="00E46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25" TargetMode="External"/><Relationship Id="rId18" Type="http://schemas.openxmlformats.org/officeDocument/2006/relationships/hyperlink" Target="http://www.nevo.co.il/case/582132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25"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2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144.a"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b2"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1690</Words>
  <Characters>8452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10122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6291559</vt:i4>
      </vt:variant>
      <vt:variant>
        <vt:i4>33</vt:i4>
      </vt:variant>
      <vt:variant>
        <vt:i4>0</vt:i4>
      </vt:variant>
      <vt:variant>
        <vt:i4>5</vt:i4>
      </vt:variant>
      <vt:variant>
        <vt:lpwstr>http://www.nevo.co.il/law/70301/25</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36909</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עמאר בעראני נורי</vt:lpwstr>
  </property>
  <property fmtid="{D5CDD505-2E9C-101B-9397-08002B2CF9AE}" pid="10" name="LAWYER">
    <vt:lpwstr>רמי עותמאן</vt:lpwstr>
  </property>
  <property fmtid="{D5CDD505-2E9C-101B-9397-08002B2CF9AE}" pid="11" name="JUDGE">
    <vt:lpwstr>רפי כרמל</vt:lpwstr>
  </property>
  <property fmtid="{D5CDD505-2E9C-101B-9397-08002B2CF9AE}" pid="12" name="CITY">
    <vt:lpwstr>י-ם</vt:lpwstr>
  </property>
  <property fmtid="{D5CDD505-2E9C-101B-9397-08002B2CF9AE}" pid="13" name="DATE">
    <vt:lpwstr>20210510</vt:lpwstr>
  </property>
  <property fmtid="{D5CDD505-2E9C-101B-9397-08002B2CF9AE}" pid="14" name="TYPE_N_DATE">
    <vt:lpwstr>39020210510</vt:lpwstr>
  </property>
  <property fmtid="{D5CDD505-2E9C-101B-9397-08002B2CF9AE}" pid="15" name="WORDNUMPAGES">
    <vt:lpwstr>6</vt:lpwstr>
  </property>
  <property fmtid="{D5CDD505-2E9C-101B-9397-08002B2CF9AE}" pid="16" name="TYPE_ABS_DATE">
    <vt:lpwstr>390020210510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5821327</vt:lpwstr>
  </property>
  <property fmtid="{D5CDD505-2E9C-101B-9397-08002B2CF9AE}" pid="36" name="LAWLISTTMP1">
    <vt:lpwstr>70301/144.a:3;025:3;144.b2</vt:lpwstr>
  </property>
</Properties>
</file>