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73207" w:rsidRPr="00CA38AD" w14:paraId="615ED5EC" w14:textId="77777777" w:rsidTr="007F458B">
        <w:trPr>
          <w:trHeight w:hRule="exact" w:val="418"/>
          <w:jc w:val="center"/>
        </w:trPr>
        <w:tc>
          <w:tcPr>
            <w:tcW w:w="8721" w:type="dxa"/>
            <w:gridSpan w:val="2"/>
          </w:tcPr>
          <w:p w14:paraId="191F5078" w14:textId="77777777" w:rsidR="00C73207" w:rsidRPr="00CA38AD" w:rsidRDefault="00C73207" w:rsidP="001F1248">
            <w:pPr>
              <w:pStyle w:val="a3"/>
              <w:jc w:val="center"/>
              <w:rPr>
                <w:rFonts w:ascii="Tahoma" w:hAnsi="Tahoma" w:cs="Tahoma"/>
                <w:color w:val="000080"/>
                <w:rtl/>
              </w:rPr>
            </w:pPr>
            <w:bookmarkStart w:id="0" w:name="FirstLawyer"/>
            <w:bookmarkStart w:id="1" w:name="LastJudge"/>
            <w:r w:rsidRPr="00CA38AD">
              <w:rPr>
                <w:rFonts w:ascii="Tahoma" w:hAnsi="Tahoma" w:cs="Tahoma"/>
                <w:b/>
                <w:bCs/>
                <w:color w:val="000080"/>
                <w:rtl/>
              </w:rPr>
              <w:t>בית המשפט המחוזי בירושלים</w:t>
            </w:r>
          </w:p>
        </w:tc>
      </w:tr>
      <w:tr w:rsidR="00C73207" w:rsidRPr="00CA38AD" w14:paraId="3E6F21F0" w14:textId="77777777" w:rsidTr="007F458B">
        <w:trPr>
          <w:trHeight w:val="337"/>
          <w:jc w:val="center"/>
        </w:trPr>
        <w:tc>
          <w:tcPr>
            <w:tcW w:w="5058" w:type="dxa"/>
          </w:tcPr>
          <w:p w14:paraId="0E419FC5" w14:textId="77777777" w:rsidR="00C73207" w:rsidRPr="00CA38AD" w:rsidRDefault="00C73207" w:rsidP="001F1248">
            <w:pPr>
              <w:rPr>
                <w:rFonts w:cs="FrankRuehl"/>
                <w:sz w:val="28"/>
                <w:szCs w:val="28"/>
                <w:rtl/>
              </w:rPr>
            </w:pPr>
            <w:r w:rsidRPr="00CA38AD">
              <w:rPr>
                <w:rFonts w:cs="FrankRuehl"/>
                <w:sz w:val="28"/>
                <w:szCs w:val="28"/>
                <w:rtl/>
              </w:rPr>
              <w:t>ת"פ</w:t>
            </w:r>
            <w:r w:rsidRPr="00CA38AD">
              <w:rPr>
                <w:rFonts w:cs="FrankRuehl" w:hint="cs"/>
                <w:sz w:val="28"/>
                <w:szCs w:val="28"/>
                <w:rtl/>
              </w:rPr>
              <w:t xml:space="preserve"> </w:t>
            </w:r>
            <w:r w:rsidRPr="00CA38AD">
              <w:rPr>
                <w:rFonts w:cs="FrankRuehl"/>
                <w:sz w:val="28"/>
                <w:szCs w:val="28"/>
                <w:rtl/>
              </w:rPr>
              <w:t>37047-07-20</w:t>
            </w:r>
            <w:r w:rsidRPr="00CA38AD">
              <w:rPr>
                <w:rFonts w:cs="FrankRuehl" w:hint="cs"/>
                <w:sz w:val="28"/>
                <w:szCs w:val="28"/>
                <w:rtl/>
              </w:rPr>
              <w:t xml:space="preserve"> </w:t>
            </w:r>
            <w:r w:rsidRPr="00CA38AD">
              <w:rPr>
                <w:rFonts w:cs="FrankRuehl"/>
                <w:sz w:val="28"/>
                <w:szCs w:val="28"/>
                <w:rtl/>
              </w:rPr>
              <w:t>מדינת ישראל נ' אטרש(עציר) ואח'</w:t>
            </w:r>
          </w:p>
          <w:p w14:paraId="069B04AA" w14:textId="77777777" w:rsidR="00C73207" w:rsidRPr="00CA38AD" w:rsidRDefault="00C73207" w:rsidP="001F1248">
            <w:pPr>
              <w:pStyle w:val="a3"/>
              <w:rPr>
                <w:rFonts w:cs="FrankRuehl"/>
                <w:sz w:val="28"/>
                <w:szCs w:val="28"/>
                <w:rtl/>
              </w:rPr>
            </w:pPr>
          </w:p>
        </w:tc>
        <w:tc>
          <w:tcPr>
            <w:tcW w:w="3663" w:type="dxa"/>
          </w:tcPr>
          <w:p w14:paraId="040E94CD" w14:textId="77777777" w:rsidR="00C73207" w:rsidRPr="00CA38AD" w:rsidRDefault="00C73207" w:rsidP="001F1248">
            <w:pPr>
              <w:pStyle w:val="a3"/>
              <w:jc w:val="right"/>
              <w:rPr>
                <w:rFonts w:cs="FrankRuehl"/>
                <w:sz w:val="28"/>
                <w:szCs w:val="28"/>
                <w:rtl/>
              </w:rPr>
            </w:pPr>
          </w:p>
        </w:tc>
      </w:tr>
    </w:tbl>
    <w:p w14:paraId="4875C722" w14:textId="77777777" w:rsidR="00C73207" w:rsidRPr="00CA38AD" w:rsidRDefault="00C73207" w:rsidP="00C73207">
      <w:pPr>
        <w:pStyle w:val="a3"/>
        <w:rPr>
          <w:rtl/>
        </w:rPr>
      </w:pPr>
      <w:r w:rsidRPr="00CA38AD">
        <w:rPr>
          <w:rFonts w:hint="cs"/>
          <w:rtl/>
        </w:rPr>
        <w:t xml:space="preserve"> </w:t>
      </w:r>
    </w:p>
    <w:p w14:paraId="6965401C" w14:textId="77777777" w:rsidR="00C73207" w:rsidRPr="00CA38AD" w:rsidRDefault="00C73207" w:rsidP="00C73207">
      <w:pPr>
        <w:rPr>
          <w:rtl/>
        </w:rPr>
      </w:pPr>
    </w:p>
    <w:p w14:paraId="6C596D6D" w14:textId="77777777" w:rsidR="00C73207" w:rsidRPr="00CA38AD" w:rsidRDefault="00C73207" w:rsidP="00C732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3207" w:rsidRPr="00CA38AD" w14:paraId="4F0C180E" w14:textId="77777777" w:rsidTr="00C73207">
        <w:trPr>
          <w:trHeight w:val="295"/>
          <w:jc w:val="center"/>
        </w:trPr>
        <w:tc>
          <w:tcPr>
            <w:tcW w:w="923" w:type="dxa"/>
            <w:tcBorders>
              <w:top w:val="nil"/>
              <w:left w:val="nil"/>
              <w:bottom w:val="nil"/>
              <w:right w:val="nil"/>
            </w:tcBorders>
            <w:shd w:val="clear" w:color="auto" w:fill="auto"/>
          </w:tcPr>
          <w:p w14:paraId="3DC7E715" w14:textId="77777777" w:rsidR="00C73207" w:rsidRPr="00CA38AD" w:rsidRDefault="00C73207" w:rsidP="00C73207">
            <w:pPr>
              <w:jc w:val="both"/>
              <w:rPr>
                <w:rFonts w:ascii="David" w:hAnsi="David"/>
                <w:b/>
                <w:bCs/>
                <w:sz w:val="26"/>
                <w:szCs w:val="26"/>
              </w:rPr>
            </w:pPr>
            <w:r w:rsidRPr="00CA38A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8F8ED77" w14:textId="77777777" w:rsidR="00C73207" w:rsidRPr="00CA38AD" w:rsidRDefault="00C73207" w:rsidP="001F1248">
            <w:pPr>
              <w:rPr>
                <w:rFonts w:ascii="David" w:hAnsi="David"/>
                <w:b/>
                <w:bCs/>
                <w:sz w:val="26"/>
                <w:szCs w:val="26"/>
                <w:rtl/>
              </w:rPr>
            </w:pPr>
            <w:r w:rsidRPr="00CA38AD">
              <w:rPr>
                <w:rFonts w:ascii="David" w:hAnsi="David"/>
                <w:b/>
                <w:bCs/>
                <w:sz w:val="26"/>
                <w:szCs w:val="26"/>
                <w:rtl/>
              </w:rPr>
              <w:t>כבוד השופטת  חגית מאק-קלמנוביץ</w:t>
            </w:r>
          </w:p>
          <w:p w14:paraId="40BACA18" w14:textId="77777777" w:rsidR="00C73207" w:rsidRPr="00CA38AD" w:rsidRDefault="00C73207" w:rsidP="001F1248">
            <w:pPr>
              <w:rPr>
                <w:rFonts w:ascii="David" w:hAnsi="David"/>
                <w:b/>
                <w:bCs/>
                <w:sz w:val="26"/>
                <w:szCs w:val="26"/>
                <w:rtl/>
              </w:rPr>
            </w:pPr>
          </w:p>
          <w:p w14:paraId="58E7C8B8" w14:textId="77777777" w:rsidR="00C73207" w:rsidRPr="00CA38AD" w:rsidRDefault="00C73207" w:rsidP="00C73207">
            <w:pPr>
              <w:jc w:val="both"/>
              <w:rPr>
                <w:rFonts w:ascii="David" w:hAnsi="David"/>
                <w:b/>
                <w:bCs/>
                <w:sz w:val="26"/>
                <w:szCs w:val="26"/>
              </w:rPr>
            </w:pPr>
          </w:p>
        </w:tc>
      </w:tr>
      <w:tr w:rsidR="00C73207" w:rsidRPr="00CA38AD" w14:paraId="0529762D" w14:textId="77777777" w:rsidTr="00C73207">
        <w:trPr>
          <w:trHeight w:val="355"/>
          <w:jc w:val="center"/>
        </w:trPr>
        <w:tc>
          <w:tcPr>
            <w:tcW w:w="923" w:type="dxa"/>
            <w:tcBorders>
              <w:top w:val="nil"/>
              <w:left w:val="nil"/>
              <w:bottom w:val="nil"/>
              <w:right w:val="nil"/>
            </w:tcBorders>
            <w:shd w:val="clear" w:color="auto" w:fill="auto"/>
          </w:tcPr>
          <w:p w14:paraId="1E03A96E" w14:textId="77777777" w:rsidR="00C73207" w:rsidRPr="00CA38AD" w:rsidRDefault="00C73207" w:rsidP="00C73207">
            <w:pPr>
              <w:jc w:val="both"/>
              <w:rPr>
                <w:rFonts w:ascii="David" w:hAnsi="David"/>
                <w:b/>
                <w:bCs/>
                <w:sz w:val="26"/>
                <w:szCs w:val="26"/>
              </w:rPr>
            </w:pPr>
            <w:bookmarkStart w:id="2" w:name="FirstAppellant"/>
            <w:r w:rsidRPr="00CA38AD">
              <w:rPr>
                <w:rFonts w:ascii="David" w:hAnsi="David"/>
                <w:b/>
                <w:bCs/>
                <w:sz w:val="26"/>
                <w:szCs w:val="26"/>
                <w:rtl/>
              </w:rPr>
              <w:t>בעניין:</w:t>
            </w:r>
          </w:p>
        </w:tc>
        <w:tc>
          <w:tcPr>
            <w:tcW w:w="4126" w:type="dxa"/>
            <w:tcBorders>
              <w:top w:val="nil"/>
              <w:left w:val="nil"/>
              <w:bottom w:val="nil"/>
              <w:right w:val="nil"/>
            </w:tcBorders>
            <w:shd w:val="clear" w:color="auto" w:fill="auto"/>
          </w:tcPr>
          <w:p w14:paraId="0D879A5C" w14:textId="77777777" w:rsidR="00C73207" w:rsidRPr="00CA38AD" w:rsidRDefault="00C73207" w:rsidP="001F1248">
            <w:pPr>
              <w:rPr>
                <w:rFonts w:ascii="David" w:hAnsi="David"/>
                <w:b/>
                <w:bCs/>
                <w:sz w:val="26"/>
                <w:szCs w:val="26"/>
              </w:rPr>
            </w:pPr>
            <w:r w:rsidRPr="00CA38AD">
              <w:rPr>
                <w:rFonts w:ascii="David" w:hAnsi="David"/>
                <w:b/>
                <w:bCs/>
                <w:sz w:val="26"/>
                <w:szCs w:val="26"/>
                <w:rtl/>
              </w:rPr>
              <w:t>מדינת ישראל</w:t>
            </w:r>
            <w:r w:rsidRPr="00CA38AD">
              <w:rPr>
                <w:rFonts w:ascii="David" w:hAnsi="David"/>
                <w:b/>
                <w:bCs/>
                <w:sz w:val="26"/>
                <w:szCs w:val="26"/>
                <w:rtl/>
              </w:rPr>
              <w:br/>
            </w:r>
            <w:r w:rsidRPr="00CA38AD">
              <w:rPr>
                <w:rFonts w:ascii="David" w:hAnsi="David" w:hint="cs"/>
                <w:b/>
                <w:bCs/>
                <w:sz w:val="26"/>
                <w:szCs w:val="26"/>
                <w:rtl/>
              </w:rPr>
              <w:t>ע"י פרקליטות מחוז ירושלים (פלילי)</w:t>
            </w:r>
          </w:p>
        </w:tc>
        <w:tc>
          <w:tcPr>
            <w:tcW w:w="3771" w:type="dxa"/>
            <w:tcBorders>
              <w:top w:val="nil"/>
              <w:left w:val="nil"/>
              <w:bottom w:val="nil"/>
              <w:right w:val="nil"/>
            </w:tcBorders>
            <w:shd w:val="clear" w:color="auto" w:fill="auto"/>
          </w:tcPr>
          <w:p w14:paraId="26397425" w14:textId="77777777" w:rsidR="00C73207" w:rsidRPr="00CA38AD" w:rsidRDefault="00C73207" w:rsidP="00C73207">
            <w:pPr>
              <w:jc w:val="both"/>
              <w:rPr>
                <w:rFonts w:ascii="David" w:hAnsi="David"/>
                <w:b/>
                <w:bCs/>
                <w:sz w:val="26"/>
                <w:szCs w:val="26"/>
              </w:rPr>
            </w:pPr>
          </w:p>
        </w:tc>
      </w:tr>
      <w:bookmarkEnd w:id="2"/>
      <w:tr w:rsidR="00C73207" w:rsidRPr="00CA38AD" w14:paraId="0042D364" w14:textId="77777777" w:rsidTr="00C73207">
        <w:trPr>
          <w:trHeight w:val="355"/>
          <w:jc w:val="center"/>
        </w:trPr>
        <w:tc>
          <w:tcPr>
            <w:tcW w:w="923" w:type="dxa"/>
            <w:tcBorders>
              <w:top w:val="nil"/>
              <w:left w:val="nil"/>
              <w:bottom w:val="nil"/>
              <w:right w:val="nil"/>
            </w:tcBorders>
            <w:shd w:val="clear" w:color="auto" w:fill="auto"/>
          </w:tcPr>
          <w:p w14:paraId="22A761CF" w14:textId="77777777" w:rsidR="00C73207" w:rsidRPr="00CA38AD" w:rsidRDefault="00C73207" w:rsidP="00C73207">
            <w:pPr>
              <w:jc w:val="both"/>
              <w:rPr>
                <w:rFonts w:ascii="David" w:hAnsi="David"/>
                <w:b/>
                <w:bCs/>
                <w:sz w:val="26"/>
                <w:szCs w:val="26"/>
                <w:rtl/>
              </w:rPr>
            </w:pPr>
          </w:p>
        </w:tc>
        <w:tc>
          <w:tcPr>
            <w:tcW w:w="4126" w:type="dxa"/>
            <w:tcBorders>
              <w:top w:val="nil"/>
              <w:left w:val="nil"/>
              <w:bottom w:val="nil"/>
              <w:right w:val="nil"/>
            </w:tcBorders>
            <w:shd w:val="clear" w:color="auto" w:fill="auto"/>
          </w:tcPr>
          <w:p w14:paraId="0A60044A" w14:textId="77777777" w:rsidR="00C73207" w:rsidRPr="00CA38AD" w:rsidRDefault="00C73207" w:rsidP="00C73207">
            <w:pPr>
              <w:jc w:val="both"/>
              <w:rPr>
                <w:rFonts w:ascii="David" w:hAnsi="David"/>
                <w:b/>
                <w:bCs/>
                <w:sz w:val="26"/>
                <w:szCs w:val="26"/>
                <w:rtl/>
              </w:rPr>
            </w:pPr>
          </w:p>
        </w:tc>
        <w:tc>
          <w:tcPr>
            <w:tcW w:w="3771" w:type="dxa"/>
            <w:tcBorders>
              <w:top w:val="nil"/>
              <w:left w:val="nil"/>
              <w:bottom w:val="nil"/>
              <w:right w:val="nil"/>
            </w:tcBorders>
            <w:shd w:val="clear" w:color="auto" w:fill="auto"/>
          </w:tcPr>
          <w:p w14:paraId="2091464E" w14:textId="77777777" w:rsidR="00C73207" w:rsidRPr="00CA38AD" w:rsidRDefault="00C73207" w:rsidP="00C73207">
            <w:pPr>
              <w:jc w:val="right"/>
              <w:rPr>
                <w:rFonts w:ascii="David" w:hAnsi="David"/>
                <w:b/>
                <w:bCs/>
                <w:sz w:val="26"/>
                <w:szCs w:val="26"/>
                <w:rtl/>
              </w:rPr>
            </w:pPr>
            <w:r w:rsidRPr="00CA38AD">
              <w:rPr>
                <w:rFonts w:ascii="David" w:hAnsi="David"/>
                <w:b/>
                <w:bCs/>
                <w:sz w:val="26"/>
                <w:szCs w:val="26"/>
                <w:rtl/>
              </w:rPr>
              <w:t>המאשימה</w:t>
            </w:r>
          </w:p>
        </w:tc>
      </w:tr>
      <w:tr w:rsidR="00C73207" w:rsidRPr="00CA38AD" w14:paraId="3DDFDA9C" w14:textId="77777777" w:rsidTr="00C73207">
        <w:trPr>
          <w:trHeight w:val="355"/>
          <w:jc w:val="center"/>
        </w:trPr>
        <w:tc>
          <w:tcPr>
            <w:tcW w:w="923" w:type="dxa"/>
            <w:tcBorders>
              <w:top w:val="nil"/>
              <w:left w:val="nil"/>
              <w:bottom w:val="nil"/>
              <w:right w:val="nil"/>
            </w:tcBorders>
            <w:shd w:val="clear" w:color="auto" w:fill="auto"/>
          </w:tcPr>
          <w:p w14:paraId="1EB44785" w14:textId="77777777" w:rsidR="00C73207" w:rsidRPr="00CA38AD" w:rsidRDefault="00C73207" w:rsidP="00C73207">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52888E5" w14:textId="77777777" w:rsidR="00C73207" w:rsidRPr="00CA38AD" w:rsidRDefault="00C73207" w:rsidP="00C73207">
            <w:pPr>
              <w:jc w:val="center"/>
              <w:rPr>
                <w:rFonts w:ascii="David" w:hAnsi="David"/>
                <w:b/>
                <w:bCs/>
                <w:sz w:val="26"/>
                <w:szCs w:val="26"/>
                <w:rtl/>
              </w:rPr>
            </w:pPr>
          </w:p>
          <w:p w14:paraId="7F18774E" w14:textId="77777777" w:rsidR="00C73207" w:rsidRPr="00CA38AD" w:rsidRDefault="00C73207" w:rsidP="00C73207">
            <w:pPr>
              <w:jc w:val="center"/>
              <w:rPr>
                <w:rFonts w:ascii="David" w:hAnsi="David"/>
                <w:b/>
                <w:bCs/>
                <w:sz w:val="26"/>
                <w:szCs w:val="26"/>
                <w:rtl/>
              </w:rPr>
            </w:pPr>
            <w:r w:rsidRPr="00CA38AD">
              <w:rPr>
                <w:rFonts w:ascii="David" w:hAnsi="David"/>
                <w:b/>
                <w:bCs/>
                <w:sz w:val="26"/>
                <w:szCs w:val="26"/>
                <w:rtl/>
              </w:rPr>
              <w:t>נגד</w:t>
            </w:r>
          </w:p>
          <w:p w14:paraId="68A5DB6D" w14:textId="77777777" w:rsidR="00C73207" w:rsidRPr="00CA38AD" w:rsidRDefault="00C73207" w:rsidP="00C73207">
            <w:pPr>
              <w:jc w:val="both"/>
              <w:rPr>
                <w:rFonts w:ascii="David" w:hAnsi="David"/>
                <w:b/>
                <w:bCs/>
                <w:sz w:val="26"/>
                <w:szCs w:val="26"/>
              </w:rPr>
            </w:pPr>
          </w:p>
        </w:tc>
      </w:tr>
      <w:tr w:rsidR="00C73207" w:rsidRPr="00CA38AD" w14:paraId="2BABC784" w14:textId="77777777" w:rsidTr="00C73207">
        <w:trPr>
          <w:trHeight w:val="355"/>
          <w:jc w:val="center"/>
        </w:trPr>
        <w:tc>
          <w:tcPr>
            <w:tcW w:w="923" w:type="dxa"/>
            <w:tcBorders>
              <w:top w:val="nil"/>
              <w:left w:val="nil"/>
              <w:bottom w:val="nil"/>
              <w:right w:val="nil"/>
            </w:tcBorders>
            <w:shd w:val="clear" w:color="auto" w:fill="auto"/>
          </w:tcPr>
          <w:p w14:paraId="4FD26FBB" w14:textId="77777777" w:rsidR="00C73207" w:rsidRPr="00CA38AD" w:rsidRDefault="00C73207" w:rsidP="001F1248">
            <w:pPr>
              <w:rPr>
                <w:rFonts w:ascii="David" w:hAnsi="David"/>
                <w:b/>
                <w:bCs/>
                <w:sz w:val="26"/>
                <w:szCs w:val="26"/>
                <w:rtl/>
              </w:rPr>
            </w:pPr>
          </w:p>
        </w:tc>
        <w:tc>
          <w:tcPr>
            <w:tcW w:w="4126" w:type="dxa"/>
            <w:tcBorders>
              <w:top w:val="nil"/>
              <w:left w:val="nil"/>
              <w:bottom w:val="nil"/>
              <w:right w:val="nil"/>
            </w:tcBorders>
            <w:shd w:val="clear" w:color="auto" w:fill="auto"/>
          </w:tcPr>
          <w:p w14:paraId="571549B3" w14:textId="77777777" w:rsidR="00C73207" w:rsidRPr="00CA38AD" w:rsidRDefault="00C73207" w:rsidP="001F1248">
            <w:pPr>
              <w:rPr>
                <w:rFonts w:ascii="David" w:hAnsi="David"/>
                <w:b/>
                <w:bCs/>
                <w:sz w:val="26"/>
                <w:szCs w:val="26"/>
                <w:rtl/>
              </w:rPr>
            </w:pPr>
            <w:r w:rsidRPr="00CA38AD">
              <w:rPr>
                <w:rFonts w:ascii="David" w:hAnsi="David"/>
                <w:b/>
                <w:bCs/>
                <w:sz w:val="26"/>
                <w:szCs w:val="26"/>
                <w:rtl/>
              </w:rPr>
              <w:t>1.רמזי אטרש (עציר)</w:t>
            </w:r>
            <w:r w:rsidRPr="00CA38AD">
              <w:rPr>
                <w:rFonts w:ascii="David" w:hAnsi="David"/>
                <w:b/>
                <w:bCs/>
                <w:sz w:val="26"/>
                <w:szCs w:val="26"/>
                <w:rtl/>
              </w:rPr>
              <w:br/>
            </w:r>
            <w:r w:rsidRPr="00CA38AD">
              <w:rPr>
                <w:rFonts w:ascii="David" w:hAnsi="David" w:hint="cs"/>
                <w:b/>
                <w:bCs/>
                <w:sz w:val="26"/>
                <w:szCs w:val="26"/>
                <w:rtl/>
              </w:rPr>
              <w:t>ע"י ב"כ עו"ד עומייר מריד</w:t>
            </w:r>
          </w:p>
          <w:p w14:paraId="66B94007" w14:textId="77777777" w:rsidR="00C73207" w:rsidRPr="00CA38AD" w:rsidRDefault="00C73207" w:rsidP="001F1248">
            <w:pPr>
              <w:rPr>
                <w:rFonts w:ascii="David" w:hAnsi="David"/>
                <w:b/>
                <w:bCs/>
                <w:sz w:val="26"/>
                <w:szCs w:val="26"/>
                <w:rtl/>
              </w:rPr>
            </w:pPr>
            <w:r w:rsidRPr="00CA38AD">
              <w:rPr>
                <w:rFonts w:ascii="David" w:hAnsi="David"/>
                <w:b/>
                <w:bCs/>
                <w:sz w:val="26"/>
                <w:szCs w:val="26"/>
                <w:rtl/>
              </w:rPr>
              <w:t>2.מוחמדאטרש (עציר)</w:t>
            </w:r>
            <w:r w:rsidRPr="00CA38AD">
              <w:rPr>
                <w:rFonts w:ascii="David" w:hAnsi="David" w:hint="cs"/>
                <w:b/>
                <w:bCs/>
                <w:sz w:val="26"/>
                <w:szCs w:val="26"/>
                <w:rtl/>
              </w:rPr>
              <w:t xml:space="preserve"> (עניינו הסתיים)</w:t>
            </w:r>
          </w:p>
        </w:tc>
        <w:tc>
          <w:tcPr>
            <w:tcW w:w="3771" w:type="dxa"/>
            <w:tcBorders>
              <w:top w:val="nil"/>
              <w:left w:val="nil"/>
              <w:bottom w:val="nil"/>
              <w:right w:val="nil"/>
            </w:tcBorders>
            <w:shd w:val="clear" w:color="auto" w:fill="auto"/>
          </w:tcPr>
          <w:p w14:paraId="6BDA2AE0" w14:textId="77777777" w:rsidR="00C73207" w:rsidRPr="00CA38AD" w:rsidRDefault="00C73207" w:rsidP="00C73207">
            <w:pPr>
              <w:jc w:val="right"/>
              <w:rPr>
                <w:rFonts w:ascii="David" w:hAnsi="David"/>
                <w:b/>
                <w:bCs/>
                <w:sz w:val="26"/>
                <w:szCs w:val="26"/>
              </w:rPr>
            </w:pPr>
          </w:p>
        </w:tc>
      </w:tr>
      <w:tr w:rsidR="00C73207" w:rsidRPr="00CA38AD" w14:paraId="61B38443" w14:textId="77777777" w:rsidTr="00C73207">
        <w:trPr>
          <w:trHeight w:val="355"/>
          <w:jc w:val="center"/>
        </w:trPr>
        <w:tc>
          <w:tcPr>
            <w:tcW w:w="923" w:type="dxa"/>
            <w:tcBorders>
              <w:top w:val="nil"/>
              <w:left w:val="nil"/>
              <w:bottom w:val="nil"/>
              <w:right w:val="nil"/>
            </w:tcBorders>
            <w:shd w:val="clear" w:color="auto" w:fill="auto"/>
          </w:tcPr>
          <w:p w14:paraId="7811DB68" w14:textId="77777777" w:rsidR="00C73207" w:rsidRPr="00CA38AD" w:rsidRDefault="00C73207" w:rsidP="00C73207">
            <w:pPr>
              <w:jc w:val="both"/>
              <w:rPr>
                <w:rFonts w:ascii="David" w:hAnsi="David"/>
                <w:b/>
                <w:bCs/>
                <w:sz w:val="26"/>
                <w:szCs w:val="26"/>
                <w:rtl/>
              </w:rPr>
            </w:pPr>
          </w:p>
        </w:tc>
        <w:tc>
          <w:tcPr>
            <w:tcW w:w="4126" w:type="dxa"/>
            <w:tcBorders>
              <w:top w:val="nil"/>
              <w:left w:val="nil"/>
              <w:bottom w:val="nil"/>
              <w:right w:val="nil"/>
            </w:tcBorders>
            <w:shd w:val="clear" w:color="auto" w:fill="auto"/>
          </w:tcPr>
          <w:p w14:paraId="601B176B" w14:textId="77777777" w:rsidR="00C73207" w:rsidRPr="00CA38AD" w:rsidRDefault="00C73207" w:rsidP="00C73207">
            <w:pPr>
              <w:jc w:val="both"/>
              <w:rPr>
                <w:rFonts w:ascii="David" w:hAnsi="David"/>
                <w:b/>
                <w:bCs/>
                <w:sz w:val="26"/>
                <w:szCs w:val="26"/>
                <w:rtl/>
              </w:rPr>
            </w:pPr>
          </w:p>
        </w:tc>
        <w:tc>
          <w:tcPr>
            <w:tcW w:w="3771" w:type="dxa"/>
            <w:tcBorders>
              <w:top w:val="nil"/>
              <w:left w:val="nil"/>
              <w:bottom w:val="nil"/>
              <w:right w:val="nil"/>
            </w:tcBorders>
            <w:shd w:val="clear" w:color="auto" w:fill="auto"/>
          </w:tcPr>
          <w:p w14:paraId="0A5E60C8" w14:textId="77777777" w:rsidR="00C73207" w:rsidRPr="00CA38AD" w:rsidRDefault="00C73207" w:rsidP="00C73207">
            <w:pPr>
              <w:jc w:val="right"/>
              <w:rPr>
                <w:rFonts w:ascii="David" w:hAnsi="David"/>
                <w:b/>
                <w:bCs/>
                <w:sz w:val="26"/>
                <w:szCs w:val="26"/>
              </w:rPr>
            </w:pPr>
            <w:r w:rsidRPr="00CA38AD">
              <w:rPr>
                <w:rFonts w:ascii="David" w:hAnsi="David"/>
                <w:b/>
                <w:bCs/>
                <w:sz w:val="26"/>
                <w:szCs w:val="26"/>
                <w:rtl/>
              </w:rPr>
              <w:t>הנאשמים</w:t>
            </w:r>
          </w:p>
        </w:tc>
      </w:tr>
    </w:tbl>
    <w:p w14:paraId="3EE5F39A" w14:textId="77777777" w:rsidR="00C73207" w:rsidRPr="00CA38AD" w:rsidRDefault="00C73207" w:rsidP="00C73207">
      <w:pPr>
        <w:rPr>
          <w:b/>
          <w:bCs/>
          <w:sz w:val="26"/>
          <w:szCs w:val="26"/>
          <w:rtl/>
        </w:rPr>
      </w:pPr>
    </w:p>
    <w:p w14:paraId="16BF3F0D" w14:textId="77777777" w:rsidR="00C95522" w:rsidRDefault="00C95522" w:rsidP="00C95522">
      <w:pPr>
        <w:rPr>
          <w:sz w:val="26"/>
          <w:szCs w:val="26"/>
          <w:rtl/>
        </w:rPr>
      </w:pPr>
      <w:bookmarkStart w:id="3" w:name="LawTable"/>
      <w:bookmarkEnd w:id="3"/>
    </w:p>
    <w:p w14:paraId="41E2A2F9" w14:textId="77777777" w:rsidR="00C95522" w:rsidRPr="00C95522" w:rsidRDefault="00C95522" w:rsidP="00C95522">
      <w:pPr>
        <w:spacing w:before="120" w:after="120" w:line="240" w:lineRule="exact"/>
        <w:ind w:left="283" w:hanging="283"/>
        <w:jc w:val="both"/>
        <w:rPr>
          <w:rFonts w:ascii="FrankRuehl" w:hAnsi="FrankRuehl" w:cs="FrankRuehl"/>
          <w:rtl/>
        </w:rPr>
      </w:pPr>
    </w:p>
    <w:p w14:paraId="2E930EB6" w14:textId="77777777" w:rsidR="00C95522" w:rsidRPr="00C95522" w:rsidRDefault="00C95522" w:rsidP="00C95522">
      <w:pPr>
        <w:spacing w:before="120" w:after="120" w:line="240" w:lineRule="exact"/>
        <w:ind w:left="283" w:hanging="283"/>
        <w:jc w:val="both"/>
        <w:rPr>
          <w:rFonts w:ascii="FrankRuehl" w:hAnsi="FrankRuehl" w:cs="FrankRuehl"/>
          <w:rtl/>
        </w:rPr>
      </w:pPr>
    </w:p>
    <w:p w14:paraId="5AA8374E" w14:textId="77777777" w:rsidR="00C95522" w:rsidRPr="00C95522" w:rsidRDefault="00C95522" w:rsidP="00C95522">
      <w:pPr>
        <w:spacing w:before="120" w:after="120" w:line="240" w:lineRule="exact"/>
        <w:ind w:left="283" w:hanging="283"/>
        <w:jc w:val="both"/>
        <w:rPr>
          <w:rFonts w:ascii="FrankRuehl" w:hAnsi="FrankRuehl" w:cs="FrankRuehl"/>
          <w:rtl/>
        </w:rPr>
      </w:pPr>
      <w:r w:rsidRPr="00C95522">
        <w:rPr>
          <w:rFonts w:ascii="FrankRuehl" w:hAnsi="FrankRuehl" w:cs="FrankRuehl"/>
          <w:rtl/>
        </w:rPr>
        <w:t xml:space="preserve">חקיקה שאוזכרה: </w:t>
      </w:r>
    </w:p>
    <w:p w14:paraId="025E875A" w14:textId="77777777" w:rsidR="00C95522" w:rsidRPr="00C95522" w:rsidRDefault="00C95522" w:rsidP="00C95522">
      <w:pPr>
        <w:spacing w:before="120" w:after="120" w:line="240" w:lineRule="exact"/>
        <w:ind w:left="283" w:hanging="283"/>
        <w:jc w:val="both"/>
        <w:rPr>
          <w:rFonts w:ascii="FrankRuehl" w:hAnsi="FrankRuehl" w:cs="FrankRuehl"/>
          <w:rtl/>
        </w:rPr>
      </w:pPr>
      <w:hyperlink r:id="rId7" w:history="1">
        <w:r w:rsidRPr="00C95522">
          <w:rPr>
            <w:rFonts w:ascii="FrankRuehl" w:hAnsi="FrankRuehl" w:cs="FrankRuehl"/>
            <w:color w:val="0000FF"/>
            <w:rtl/>
          </w:rPr>
          <w:t>חוק העונשין, תשל"ז-1977</w:t>
        </w:r>
      </w:hyperlink>
      <w:r w:rsidRPr="00C95522">
        <w:rPr>
          <w:rFonts w:ascii="FrankRuehl" w:hAnsi="FrankRuehl" w:cs="FrankRuehl"/>
          <w:rtl/>
        </w:rPr>
        <w:t xml:space="preserve">: סע'  </w:t>
      </w:r>
      <w:hyperlink r:id="rId8" w:history="1">
        <w:r w:rsidRPr="00C95522">
          <w:rPr>
            <w:rFonts w:ascii="FrankRuehl" w:hAnsi="FrankRuehl" w:cs="FrankRuehl"/>
            <w:color w:val="0000FF"/>
            <w:rtl/>
          </w:rPr>
          <w:t>25</w:t>
        </w:r>
      </w:hyperlink>
      <w:r w:rsidRPr="00C95522">
        <w:rPr>
          <w:rFonts w:ascii="FrankRuehl" w:hAnsi="FrankRuehl" w:cs="FrankRuehl"/>
          <w:rtl/>
        </w:rPr>
        <w:t xml:space="preserve">, </w:t>
      </w:r>
      <w:hyperlink r:id="rId9" w:history="1">
        <w:r w:rsidRPr="00C95522">
          <w:rPr>
            <w:rFonts w:ascii="FrankRuehl" w:hAnsi="FrankRuehl" w:cs="FrankRuehl"/>
            <w:color w:val="0000FF"/>
            <w:rtl/>
          </w:rPr>
          <w:t>144(א)</w:t>
        </w:r>
      </w:hyperlink>
      <w:r w:rsidRPr="00C95522">
        <w:rPr>
          <w:rFonts w:ascii="FrankRuehl" w:hAnsi="FrankRuehl" w:cs="FrankRuehl"/>
          <w:rtl/>
        </w:rPr>
        <w:t xml:space="preserve">, </w:t>
      </w:r>
      <w:hyperlink r:id="rId10" w:history="1">
        <w:r w:rsidRPr="00C95522">
          <w:rPr>
            <w:rFonts w:ascii="FrankRuehl" w:hAnsi="FrankRuehl" w:cs="FrankRuehl"/>
            <w:color w:val="0000FF"/>
            <w:rtl/>
          </w:rPr>
          <w:t>144(ב2)</w:t>
        </w:r>
      </w:hyperlink>
    </w:p>
    <w:p w14:paraId="7F7B3D44" w14:textId="77777777" w:rsidR="00C95522" w:rsidRPr="00C95522" w:rsidRDefault="00C95522" w:rsidP="00C95522">
      <w:pPr>
        <w:rPr>
          <w:sz w:val="26"/>
          <w:szCs w:val="26"/>
          <w:rtl/>
        </w:rPr>
      </w:pPr>
      <w:bookmarkStart w:id="4" w:name="LawTable_End"/>
      <w:bookmarkEnd w:id="4"/>
    </w:p>
    <w:p w14:paraId="35EA550A" w14:textId="77777777" w:rsidR="00C73207" w:rsidRPr="007F458B" w:rsidRDefault="00C73207" w:rsidP="007F458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3207" w:rsidRPr="008545E3" w14:paraId="4A8D4647" w14:textId="77777777" w:rsidTr="00C73207">
        <w:trPr>
          <w:trHeight w:val="355"/>
          <w:jc w:val="center"/>
        </w:trPr>
        <w:tc>
          <w:tcPr>
            <w:tcW w:w="8820" w:type="dxa"/>
            <w:tcBorders>
              <w:top w:val="nil"/>
              <w:left w:val="nil"/>
              <w:bottom w:val="nil"/>
              <w:right w:val="nil"/>
            </w:tcBorders>
            <w:shd w:val="clear" w:color="auto" w:fill="auto"/>
          </w:tcPr>
          <w:p w14:paraId="79CD2A6F" w14:textId="77777777" w:rsidR="00CA38AD" w:rsidRPr="00CA38AD" w:rsidRDefault="00CA38AD" w:rsidP="00CA38AD">
            <w:pPr>
              <w:jc w:val="center"/>
              <w:rPr>
                <w:rFonts w:ascii="David" w:hAnsi="David"/>
                <w:b/>
                <w:bCs/>
                <w:sz w:val="32"/>
                <w:szCs w:val="32"/>
                <w:u w:val="single"/>
                <w:rtl/>
              </w:rPr>
            </w:pPr>
            <w:bookmarkStart w:id="5" w:name="PsakDin"/>
            <w:bookmarkEnd w:id="0"/>
            <w:bookmarkEnd w:id="1"/>
            <w:r w:rsidRPr="00CA38AD">
              <w:rPr>
                <w:rFonts w:ascii="David" w:hAnsi="David"/>
                <w:b/>
                <w:bCs/>
                <w:sz w:val="32"/>
                <w:szCs w:val="32"/>
                <w:u w:val="single"/>
                <w:rtl/>
              </w:rPr>
              <w:t>גזר דין לנאשם 1</w:t>
            </w:r>
          </w:p>
          <w:bookmarkEnd w:id="5"/>
          <w:p w14:paraId="4EE1E14E" w14:textId="77777777" w:rsidR="00C73207" w:rsidRPr="00CA38AD" w:rsidRDefault="00C73207" w:rsidP="00CA38AD">
            <w:pPr>
              <w:jc w:val="center"/>
              <w:rPr>
                <w:rFonts w:ascii="David" w:hAnsi="David"/>
                <w:bCs/>
                <w:sz w:val="32"/>
                <w:szCs w:val="32"/>
                <w:u w:val="single"/>
                <w:rtl/>
              </w:rPr>
            </w:pPr>
          </w:p>
        </w:tc>
      </w:tr>
    </w:tbl>
    <w:p w14:paraId="28CDDC93" w14:textId="77777777" w:rsidR="00C73207" w:rsidRPr="00950943" w:rsidRDefault="00C73207" w:rsidP="00C73207">
      <w:pPr>
        <w:rPr>
          <w:rFonts w:ascii="David" w:hAnsi="David"/>
          <w:sz w:val="26"/>
          <w:szCs w:val="26"/>
          <w:rtl/>
        </w:rPr>
      </w:pPr>
    </w:p>
    <w:p w14:paraId="7C93B184" w14:textId="77777777" w:rsidR="00C73207" w:rsidRPr="00950943" w:rsidRDefault="00C73207" w:rsidP="00C73207">
      <w:pPr>
        <w:rPr>
          <w:rFonts w:ascii="David" w:hAnsi="David"/>
          <w:sz w:val="26"/>
          <w:szCs w:val="26"/>
          <w:rtl/>
        </w:rPr>
      </w:pPr>
    </w:p>
    <w:p w14:paraId="490E050C" w14:textId="77777777" w:rsidR="00C73207" w:rsidRPr="008545E3" w:rsidRDefault="00C73207" w:rsidP="00C73207">
      <w:pPr>
        <w:spacing w:after="240" w:line="360" w:lineRule="auto"/>
        <w:jc w:val="both"/>
        <w:rPr>
          <w:rFonts w:ascii="Arial" w:hAnsi="Arial"/>
          <w:b/>
          <w:bCs/>
          <w:u w:val="single"/>
          <w:rtl/>
        </w:rPr>
      </w:pPr>
      <w:r w:rsidRPr="008545E3">
        <w:rPr>
          <w:rFonts w:ascii="Arial" w:hAnsi="Arial" w:hint="cs"/>
          <w:b/>
          <w:bCs/>
          <w:u w:val="single"/>
          <w:rtl/>
        </w:rPr>
        <w:t xml:space="preserve">העובדות </w:t>
      </w:r>
    </w:p>
    <w:p w14:paraId="39E46D02" w14:textId="77777777" w:rsidR="00C73207" w:rsidRPr="00950943" w:rsidRDefault="00C73207" w:rsidP="00C73207">
      <w:pPr>
        <w:spacing w:after="240" w:line="360" w:lineRule="auto"/>
        <w:jc w:val="both"/>
        <w:rPr>
          <w:rFonts w:ascii="Arial" w:hAnsi="Arial"/>
          <w:rtl/>
        </w:rPr>
      </w:pPr>
      <w:r w:rsidRPr="008545E3">
        <w:rPr>
          <w:rFonts w:ascii="Arial" w:hAnsi="Arial" w:hint="cs"/>
          <w:rtl/>
        </w:rPr>
        <w:t>1.</w:t>
      </w:r>
      <w:r w:rsidRPr="008545E3">
        <w:rPr>
          <w:rFonts w:ascii="Arial" w:hAnsi="Arial" w:hint="cs"/>
          <w:rtl/>
        </w:rPr>
        <w:tab/>
      </w:r>
      <w:bookmarkStart w:id="6" w:name="ABSTRACT_START"/>
      <w:bookmarkEnd w:id="6"/>
      <w:r w:rsidRPr="00950943">
        <w:rPr>
          <w:rFonts w:ascii="Arial" w:hAnsi="Arial"/>
          <w:rtl/>
        </w:rPr>
        <w:t>הנאשם, יליד 1988</w:t>
      </w:r>
      <w:r w:rsidRPr="008545E3">
        <w:rPr>
          <w:rFonts w:ascii="Arial" w:hAnsi="Arial" w:hint="cs"/>
          <w:rtl/>
        </w:rPr>
        <w:t>,</w:t>
      </w:r>
      <w:r w:rsidRPr="00950943">
        <w:rPr>
          <w:rFonts w:ascii="Arial" w:hAnsi="Arial"/>
          <w:rtl/>
        </w:rPr>
        <w:t xml:space="preserve"> הודה והורשע בכתב אישום שתוקן במסגרת הסדר טיעון בעבירות של נסיון סחר בנשק, עבירה לפי </w:t>
      </w:r>
      <w:hyperlink r:id="rId11" w:history="1">
        <w:r w:rsidR="007F458B" w:rsidRPr="007F458B">
          <w:rPr>
            <w:rStyle w:val="Hyperlink"/>
            <w:rFonts w:ascii="Arial" w:hAnsi="Arial"/>
            <w:rtl/>
          </w:rPr>
          <w:t>סעיף 144(ב2)</w:t>
        </w:r>
      </w:hyperlink>
      <w:r w:rsidRPr="00950943">
        <w:rPr>
          <w:rFonts w:ascii="Arial" w:hAnsi="Arial"/>
          <w:rtl/>
        </w:rPr>
        <w:t xml:space="preserve"> ל</w:t>
      </w:r>
      <w:hyperlink r:id="rId12" w:history="1">
        <w:r w:rsidR="00CA38AD" w:rsidRPr="00CA38AD">
          <w:rPr>
            <w:rFonts w:ascii="Arial" w:hAnsi="Arial"/>
            <w:color w:val="0000FF"/>
            <w:u w:val="single"/>
            <w:rtl/>
          </w:rPr>
          <w:t>חוק העונשין</w:t>
        </w:r>
      </w:hyperlink>
      <w:r w:rsidRPr="00950943">
        <w:rPr>
          <w:rFonts w:ascii="Arial" w:hAnsi="Arial"/>
          <w:rtl/>
        </w:rPr>
        <w:t xml:space="preserve"> תשל"ז-1977 (להלן: החוק) בצירוף </w:t>
      </w:r>
      <w:hyperlink r:id="rId13" w:history="1">
        <w:r w:rsidR="007F458B" w:rsidRPr="007F458B">
          <w:rPr>
            <w:rStyle w:val="Hyperlink"/>
            <w:rFonts w:ascii="Arial" w:hAnsi="Arial"/>
            <w:rtl/>
          </w:rPr>
          <w:t>סעיף 25</w:t>
        </w:r>
      </w:hyperlink>
      <w:r w:rsidRPr="00950943">
        <w:rPr>
          <w:rFonts w:ascii="Arial" w:hAnsi="Arial"/>
          <w:rtl/>
        </w:rPr>
        <w:t xml:space="preserve"> לחוק; סחר בנשר לפי </w:t>
      </w:r>
      <w:hyperlink r:id="rId14" w:history="1">
        <w:r w:rsidR="007F458B" w:rsidRPr="007F458B">
          <w:rPr>
            <w:rStyle w:val="Hyperlink"/>
            <w:rFonts w:ascii="Arial" w:hAnsi="Arial"/>
            <w:rtl/>
          </w:rPr>
          <w:t>סעיף 144(ב2)</w:t>
        </w:r>
      </w:hyperlink>
      <w:r w:rsidRPr="00950943">
        <w:rPr>
          <w:rFonts w:ascii="Arial" w:hAnsi="Arial"/>
          <w:rtl/>
        </w:rPr>
        <w:t xml:space="preserve"> לחוק והחזקת נשק לפי </w:t>
      </w:r>
      <w:hyperlink r:id="rId15" w:history="1">
        <w:r w:rsidR="007F458B" w:rsidRPr="007F458B">
          <w:rPr>
            <w:rStyle w:val="Hyperlink"/>
            <w:rFonts w:ascii="Arial" w:hAnsi="Arial"/>
            <w:rtl/>
          </w:rPr>
          <w:t>סעיף 144(א)</w:t>
        </w:r>
      </w:hyperlink>
      <w:r w:rsidRPr="00950943">
        <w:rPr>
          <w:rFonts w:ascii="Arial" w:hAnsi="Arial"/>
          <w:rtl/>
        </w:rPr>
        <w:t xml:space="preserve"> רישא לחוק. ההסדר לא כלל הסכמה בעניין העונש</w:t>
      </w:r>
      <w:bookmarkStart w:id="7" w:name="ABSTRACT_END"/>
      <w:bookmarkEnd w:id="7"/>
      <w:r w:rsidRPr="00950943">
        <w:rPr>
          <w:rFonts w:ascii="Arial" w:hAnsi="Arial"/>
          <w:rtl/>
        </w:rPr>
        <w:t xml:space="preserve">. </w:t>
      </w:r>
    </w:p>
    <w:p w14:paraId="0B36C2CB" w14:textId="77777777" w:rsidR="00C73207" w:rsidRPr="00950943" w:rsidRDefault="00C73207" w:rsidP="00C73207">
      <w:pPr>
        <w:spacing w:after="240" w:line="360" w:lineRule="auto"/>
        <w:jc w:val="both"/>
        <w:rPr>
          <w:rFonts w:ascii="Arial" w:hAnsi="Arial"/>
        </w:rPr>
      </w:pPr>
      <w:r w:rsidRPr="00950943">
        <w:rPr>
          <w:rFonts w:ascii="Arial" w:hAnsi="Arial"/>
          <w:rtl/>
        </w:rPr>
        <w:tab/>
        <w:t xml:space="preserve">על פי עובדות החלק הכללי של כתב האישום המתוקן, הנאשם היה חלק מחבורת צעירים שהתגוררו באזור מחנה פליטים שועפאט וענאתא החדשה, אשר שכרו יחד דירה במחנה הפליטים לצורך פגישות משותפות,  והתחלקו בעלות השכירות.  במסגרת קשריהם עם אחרים נהגו בני החבורה להחזיק או לסחור בכלי נשק, חלקי נשק ותחמושת, ושמשו כתובת לרכישת נשק ואף לסיוע </w:t>
      </w:r>
      <w:r w:rsidRPr="00950943">
        <w:rPr>
          <w:rFonts w:ascii="Arial" w:hAnsi="Arial"/>
          <w:rtl/>
        </w:rPr>
        <w:lastRenderedPageBreak/>
        <w:t xml:space="preserve">אלים בפתרון סכסוכים. בני החבורה השתמשו או תכננו להשתמש בנשק שצברו לאיום או פגיעה במי שפגע או שתכנן לפגוע בהם. בשיחות טלפון ביניהם ניסו בני החבורה להסוות את ההחזקה והסחר בנשק ובאמל"ח באמצעות שימוש בשמות קוד. </w:t>
      </w:r>
    </w:p>
    <w:p w14:paraId="4EDB89C9" w14:textId="77777777" w:rsidR="00C73207" w:rsidRPr="00950943" w:rsidRDefault="00C73207" w:rsidP="00C73207">
      <w:pPr>
        <w:spacing w:after="240" w:line="360" w:lineRule="auto"/>
        <w:jc w:val="both"/>
        <w:rPr>
          <w:rFonts w:ascii="Arial" w:hAnsi="Arial"/>
          <w:rtl/>
        </w:rPr>
      </w:pPr>
      <w:r w:rsidRPr="008545E3">
        <w:rPr>
          <w:rFonts w:ascii="Arial" w:hAnsi="Arial" w:hint="cs"/>
          <w:rtl/>
        </w:rPr>
        <w:t>2.</w:t>
      </w:r>
      <w:r w:rsidRPr="008545E3">
        <w:rPr>
          <w:rFonts w:ascii="Arial" w:hAnsi="Arial" w:hint="cs"/>
          <w:rtl/>
        </w:rPr>
        <w:tab/>
      </w:r>
      <w:r w:rsidRPr="00950943">
        <w:rPr>
          <w:rFonts w:ascii="Arial" w:hAnsi="Arial"/>
          <w:rtl/>
        </w:rPr>
        <w:t xml:space="preserve">באישום הראשון נטען כי ביום 23.5.20 פנה הנאשם אל מוחמד אבו עבסה וסיפר לו שפנה אליו אדם המעוניין לרכוש נשק ארוך. הנאשם ואבו עבסה ניהלו שיחות באשר למקום המפגש עם הקונה, בדירה או במקום אחר, ובסופו של דבר הודיע אבו עבסה לנאשם כי יצא עם הנשק להיפגש איתו. בהמשך הודיע הנאשם לאבו עבסה כי הקונים הגיעו לענתה אך אינם יודעים כיצד להגיע לדירה. הנאשם ואבו עבסה סיכמו כי הנאשם ילך לאסוף את הקונים. על כך הואשם הנאשם בעבירה של נסיון לסחר בנשק. </w:t>
      </w:r>
    </w:p>
    <w:p w14:paraId="5741CC05" w14:textId="77777777" w:rsidR="00C73207" w:rsidRPr="008545E3" w:rsidRDefault="00C73207" w:rsidP="00C73207">
      <w:pPr>
        <w:spacing w:after="240" w:line="360" w:lineRule="auto"/>
        <w:ind w:firstLine="720"/>
        <w:jc w:val="both"/>
        <w:rPr>
          <w:rFonts w:ascii="Arial" w:hAnsi="Arial"/>
          <w:rtl/>
        </w:rPr>
      </w:pPr>
      <w:r w:rsidRPr="00950943">
        <w:rPr>
          <w:rFonts w:ascii="Arial" w:hAnsi="Arial"/>
          <w:rtl/>
        </w:rPr>
        <w:t xml:space="preserve">באישום השני נטען כי ביום 10.6.20 החזיק הנאשם נשק ארוך. הוא בדק אותו בעצמו או באמצעות אחר, הטעין אותו בכדורים וירה כדי לוודא את תקינותו, ובמהלך הירי נוצר מעצור שהצריך תפעול הנשק. בסמוך לכך מכר הנאשם את הנשק לקונה שזהותו אינה ידועה, ואף סיכם איתו שיוכל להחזירו אם הנשק לא יפעל. </w:t>
      </w:r>
    </w:p>
    <w:p w14:paraId="123CBA27" w14:textId="77777777" w:rsidR="00C73207" w:rsidRPr="00950943" w:rsidRDefault="00C73207" w:rsidP="00C73207">
      <w:pPr>
        <w:spacing w:after="240" w:line="360" w:lineRule="auto"/>
        <w:jc w:val="both"/>
        <w:rPr>
          <w:rFonts w:ascii="Arial" w:hAnsi="Arial"/>
          <w:rtl/>
        </w:rPr>
      </w:pPr>
      <w:r w:rsidRPr="008545E3">
        <w:rPr>
          <w:rFonts w:ascii="Arial" w:hAnsi="Arial" w:hint="cs"/>
          <w:rtl/>
        </w:rPr>
        <w:t>3.</w:t>
      </w:r>
      <w:r w:rsidRPr="008545E3">
        <w:rPr>
          <w:rFonts w:ascii="Arial" w:hAnsi="Arial" w:hint="cs"/>
          <w:rtl/>
        </w:rPr>
        <w:tab/>
      </w:r>
      <w:r w:rsidRPr="00950943">
        <w:rPr>
          <w:rFonts w:ascii="Arial" w:hAnsi="Arial"/>
          <w:rtl/>
        </w:rPr>
        <w:t>באישום השלישי תואר כי ביום 17.6.20 או ימים ספורים לפני כן התגלע סכסוך בין משפחת ט' למשפחתם של הנאשמים. בשל חשש מנקמה החלו בני החבורה להצטייד בנשק ותחמושת ולהתאסף בבית משפחת אטרש. במסגרת זו פנה הנאשם אל אבו עבסה וביקש ממנו להביא את הנשק הארו</w:t>
      </w:r>
      <w:r w:rsidRPr="008545E3">
        <w:rPr>
          <w:rFonts w:ascii="Arial" w:hAnsi="Arial" w:hint="cs"/>
          <w:rtl/>
        </w:rPr>
        <w:t>ך</w:t>
      </w:r>
      <w:r w:rsidRPr="00950943">
        <w:rPr>
          <w:rFonts w:ascii="Arial" w:hAnsi="Arial"/>
          <w:rtl/>
        </w:rPr>
        <w:t xml:space="preserve">שמכר לאחרונה. הוא ציין כי הנשק נדרש בדחיפות כיוון שעומדת לפרוץ "מלחמה", וכי בכוונתו להביא ארגז תחמושת. בעקבות זאת פנה מחמד אבו עבסה לספק נשק שעמו עבד בשם מוחמד וביקש ממנו להביא את הנשק שברשותו לאחיו, יאזן אבו עבסה, לצורך "מלחמה" שעתידה להתקיים במחנה הפליטים שועפאט. במועד זה מסר אחד מבני החבורה אקדח לנאשם 2, על מנת שיחזיק בו לצורך הסכסוך. אבו עבסה עדכן את נאשם 2 כי נשק נוסף יגיע בהמשך, והוא החזיק באקדח בבית משפחתו על מנת לעשות בו שימוש במסגרת הסכסוך. לאחר השעה 22:00 התקשר אבו עבסה ששהה עם בני החבורה בבית משפחת אטרש, כשהם מחזיקים בנשק רב ובתחמושת, וביקש להיעזר בנאשם 2 לצורך הכנסת נשק נוסף אל בית המשפחה. בסופו של דבר הגיעו נציגי משפחות אטרש ושעבאן בתיווך שיח להסדר שמנע את השימוש בנשק. על כך הורשע הנאשם בעבירה של החזקת בנשק.  </w:t>
      </w:r>
    </w:p>
    <w:p w14:paraId="3EBE37F2" w14:textId="77777777" w:rsidR="00C73207" w:rsidRPr="00950943" w:rsidRDefault="00C73207" w:rsidP="00C73207">
      <w:pPr>
        <w:spacing w:after="240" w:line="360" w:lineRule="auto"/>
        <w:jc w:val="both"/>
        <w:rPr>
          <w:rFonts w:ascii="Arial" w:hAnsi="Arial"/>
          <w:b/>
          <w:bCs/>
          <w:u w:val="single"/>
          <w:rtl/>
        </w:rPr>
      </w:pPr>
      <w:r w:rsidRPr="00950943">
        <w:rPr>
          <w:rFonts w:ascii="Arial" w:hAnsi="Arial"/>
          <w:b/>
          <w:bCs/>
          <w:u w:val="single"/>
          <w:rtl/>
        </w:rPr>
        <w:t>ראיות לעונש</w:t>
      </w:r>
    </w:p>
    <w:p w14:paraId="22750739" w14:textId="77777777" w:rsidR="00C73207" w:rsidRPr="00950943" w:rsidRDefault="00C73207" w:rsidP="00C73207">
      <w:pPr>
        <w:spacing w:after="240" w:line="360" w:lineRule="auto"/>
        <w:jc w:val="both"/>
        <w:rPr>
          <w:rFonts w:ascii="Arial" w:hAnsi="Arial"/>
          <w:rtl/>
        </w:rPr>
      </w:pPr>
      <w:r w:rsidRPr="008545E3">
        <w:rPr>
          <w:rFonts w:ascii="Arial" w:hAnsi="Arial" w:hint="cs"/>
          <w:rtl/>
        </w:rPr>
        <w:t>4.</w:t>
      </w:r>
      <w:r w:rsidRPr="008545E3">
        <w:rPr>
          <w:rFonts w:ascii="Arial" w:hAnsi="Arial" w:hint="cs"/>
          <w:rtl/>
        </w:rPr>
        <w:tab/>
      </w:r>
      <w:r w:rsidRPr="00950943">
        <w:rPr>
          <w:rFonts w:ascii="Arial" w:hAnsi="Arial"/>
          <w:rtl/>
        </w:rPr>
        <w:t>ב"כ המאשימה הגישה א</w:t>
      </w:r>
      <w:r w:rsidRPr="008545E3">
        <w:rPr>
          <w:rFonts w:ascii="Arial" w:hAnsi="Arial"/>
          <w:rtl/>
        </w:rPr>
        <w:t>ת רישומו הפלילי של הנאשם, הכולל</w:t>
      </w:r>
      <w:r w:rsidRPr="008545E3">
        <w:rPr>
          <w:rFonts w:ascii="Arial" w:hAnsi="Arial" w:hint="cs"/>
          <w:rtl/>
        </w:rPr>
        <w:t xml:space="preserve"> מספר הרשעות בעבירות שונות, בעיקר עבירות רכוש אך גם עבירת תקיפה, בגינן ריצה הנאשם מספר עונשי מאסר קצרים</w:t>
      </w:r>
      <w:r w:rsidRPr="00950943">
        <w:rPr>
          <w:rFonts w:ascii="Arial" w:hAnsi="Arial"/>
          <w:rtl/>
        </w:rPr>
        <w:t xml:space="preserve">. מטעם הנאשם העיד אביו שתיאר את הקושי שנגרם לכל בני המשפחה כתוצאה ממעצרו של הנאשם. כמו כן הוגשו מסמכים המעידים על חובות בסכומים גדולים, וכן על מעמדה של אשת הנאשם, אשר היתר השהיה שלה בישראל עומד לפוג. הסניגור ביקש להגיש מסמכים הנוגעים לשחרורם של </w:t>
      </w:r>
      <w:r w:rsidRPr="00950943">
        <w:rPr>
          <w:rFonts w:ascii="Arial" w:hAnsi="Arial"/>
          <w:rtl/>
        </w:rPr>
        <w:lastRenderedPageBreak/>
        <w:t xml:space="preserve">מעורבים אחרים בפרשה, אשר לטענתו לא הועמדו לדין על אף חלקם במעשים דומים. לאחר שלא אפשרתי לו להגישם במועד הדיון הגיש הסניגור את המסמכים בהודעה לבית המשפט. ב"כ המאשימה התנגדה וטענה שבהתאם להסדר הטיעון בין הצדדים הסניגור מנוע מהגשת מסמכים וטענת עובדות החורגות מעובדות כתב האישום. אינני מקבלת את המסמכים ולא אדרש להם, הן מאחר שהם חורגים מעובדות כתב האישום, הן משום שלא ניתן לקבל מסמכים חלקיים מבלי שיהיה בהם כדי להציג תשתית עובדתית מלאה, כולל הנימוקים הערכת קשיים ראייתיים ונימוקם לשחרורים של מעורבים אחרים. </w:t>
      </w:r>
    </w:p>
    <w:p w14:paraId="7EA2D40B" w14:textId="77777777" w:rsidR="00C73207" w:rsidRPr="00950943" w:rsidRDefault="00C73207" w:rsidP="00C73207">
      <w:pPr>
        <w:spacing w:after="240" w:line="360" w:lineRule="auto"/>
        <w:ind w:firstLine="720"/>
        <w:jc w:val="both"/>
        <w:rPr>
          <w:rFonts w:ascii="Arial" w:hAnsi="Arial"/>
          <w:rtl/>
        </w:rPr>
      </w:pPr>
      <w:r w:rsidRPr="00950943">
        <w:rPr>
          <w:rFonts w:ascii="Arial" w:hAnsi="Arial"/>
          <w:rtl/>
        </w:rPr>
        <w:t xml:space="preserve">עם זאת, עומד בפני כתב האישום המתוקן בעניינו של נאשם 2 בתיק, שאת דינו גזרתי. </w:t>
      </w:r>
    </w:p>
    <w:p w14:paraId="47ADAEFE" w14:textId="77777777" w:rsidR="00C73207" w:rsidRPr="00950943" w:rsidRDefault="00C73207" w:rsidP="00C73207">
      <w:pPr>
        <w:spacing w:after="240" w:line="360" w:lineRule="auto"/>
        <w:jc w:val="both"/>
        <w:rPr>
          <w:rFonts w:ascii="Arial" w:hAnsi="Arial"/>
          <w:b/>
          <w:bCs/>
          <w:u w:val="single"/>
          <w:rtl/>
        </w:rPr>
      </w:pPr>
      <w:r w:rsidRPr="00950943">
        <w:rPr>
          <w:rFonts w:ascii="Arial" w:hAnsi="Arial"/>
          <w:b/>
          <w:bCs/>
          <w:u w:val="single"/>
          <w:rtl/>
        </w:rPr>
        <w:t>טענות הצדדים</w:t>
      </w:r>
    </w:p>
    <w:p w14:paraId="6D1F2FFF" w14:textId="77777777" w:rsidR="00C73207" w:rsidRPr="00950943" w:rsidRDefault="00C73207" w:rsidP="00C73207">
      <w:pPr>
        <w:spacing w:after="240" w:line="360" w:lineRule="auto"/>
        <w:jc w:val="both"/>
        <w:rPr>
          <w:rFonts w:ascii="Arial" w:hAnsi="Arial"/>
          <w:rtl/>
        </w:rPr>
      </w:pPr>
      <w:r w:rsidRPr="008545E3">
        <w:rPr>
          <w:rFonts w:ascii="Arial" w:hAnsi="Arial" w:hint="cs"/>
          <w:rtl/>
        </w:rPr>
        <w:t>5.</w:t>
      </w:r>
      <w:r w:rsidRPr="008545E3">
        <w:rPr>
          <w:rFonts w:ascii="Arial" w:hAnsi="Arial" w:hint="cs"/>
          <w:rtl/>
        </w:rPr>
        <w:tab/>
      </w:r>
      <w:r w:rsidRPr="00950943">
        <w:rPr>
          <w:rFonts w:ascii="Arial" w:hAnsi="Arial"/>
          <w:rtl/>
        </w:rPr>
        <w:t>ב"כ המאשימה טענה כי הנאשם פעל ממוטיבציה כספית וכן סייע להתחמשות לצורך עימות מזויין עם חבורה יריבה, כאשר למלחמה כזו פוטנציאל פגיעה בחפים מפשע. בכך נפגעו הערכים של שמירה על בטחון הציבור.</w:t>
      </w:r>
      <w:r w:rsidRPr="008545E3">
        <w:rPr>
          <w:rFonts w:ascii="Arial" w:hAnsi="Arial" w:hint="cs"/>
          <w:rtl/>
        </w:rPr>
        <w:t xml:space="preserve"> </w:t>
      </w:r>
      <w:r w:rsidRPr="00950943">
        <w:rPr>
          <w:rFonts w:ascii="Arial" w:hAnsi="Arial"/>
          <w:rtl/>
        </w:rPr>
        <w:t xml:space="preserve">התובעת הפנתה לפסיקה.  היא טענה כי לו היה הנאשם נדון בנפרד על כל אחד מהאישומים היה מקום לקבוע לאישום הראשון מתחם שבין 2.5-5 שנות מאסר, לאישום השני 3-7 שנים ולאישום השלישי 18-40 חודי מאסר בפועל. עם זאת, היא ביקשה לקבוע מתחם אחד לכל האישומים ולהעמידו על טווח של 5-8 שנות מאסר בפועל. </w:t>
      </w:r>
    </w:p>
    <w:p w14:paraId="60812ECA" w14:textId="77777777" w:rsidR="00C73207" w:rsidRPr="00950943" w:rsidRDefault="00C73207" w:rsidP="00C73207">
      <w:pPr>
        <w:spacing w:after="240" w:line="360" w:lineRule="auto"/>
        <w:ind w:firstLine="720"/>
        <w:jc w:val="both"/>
        <w:rPr>
          <w:rFonts w:ascii="Arial" w:hAnsi="Arial"/>
          <w:rtl/>
        </w:rPr>
      </w:pPr>
      <w:r w:rsidRPr="00950943">
        <w:rPr>
          <w:rFonts w:ascii="Arial" w:hAnsi="Arial"/>
          <w:rtl/>
        </w:rPr>
        <w:t xml:space="preserve">באשר לעונשו של הנאשם ציינה ב"כ המאשימה את העובדה שהודה, נטל אחריות וחסך זמן, ומאידך את האחריות החלקית והנטיה לאימפולסיביות העולות מתסקיר שירות המבחן . היא הוסיפה כי לנאשם עבר פלילי וכי אין לנאשם נסיבות אישיות יוצאות דופן המצדיקות חריגה מהמתחם או התחשבות מיוחדת. לפיכך ביקשה לגזור על הנאשם עונש של 6 שנות מאסר, המצוי בשליש התחתון של מתחם הענישה. </w:t>
      </w:r>
    </w:p>
    <w:p w14:paraId="56ECDD9D" w14:textId="77777777" w:rsidR="00C73207" w:rsidRPr="00950943" w:rsidRDefault="00C73207" w:rsidP="00C73207">
      <w:pPr>
        <w:spacing w:after="240" w:line="360" w:lineRule="auto"/>
        <w:jc w:val="both"/>
        <w:rPr>
          <w:rFonts w:ascii="Arial" w:hAnsi="Arial"/>
          <w:rtl/>
        </w:rPr>
      </w:pPr>
      <w:r w:rsidRPr="008545E3">
        <w:rPr>
          <w:rFonts w:ascii="Arial" w:hAnsi="Arial" w:hint="cs"/>
          <w:rtl/>
        </w:rPr>
        <w:t>6.</w:t>
      </w:r>
      <w:r w:rsidRPr="008545E3">
        <w:rPr>
          <w:rFonts w:ascii="Arial" w:hAnsi="Arial" w:hint="cs"/>
          <w:rtl/>
        </w:rPr>
        <w:tab/>
      </w:r>
      <w:r w:rsidRPr="00950943">
        <w:rPr>
          <w:rFonts w:ascii="Arial" w:hAnsi="Arial"/>
          <w:rtl/>
        </w:rPr>
        <w:t>ב"כ הנאשם תיאר כי הנאשם נשוי ואב לחמישה ילדים, אחד מהם מאובחן כבעל צרכים מיוחדים. אשתו תושבת האיזור החזיקה אשרה שתוקפה פג, ולא יכלה לחדשה מאחר שהנאשם לא יכול היה להיות נוכח בראיון. נטען כי מצבו הכלכלי של הנאשם קשה, לפני הקורונה עבד כנהג, הוא לקח הלוואות שלא עמד בהן והוא צפוי להליכי הוצאה לפועל. הנאשם גדל במחנה הפליטים שועפאט במשפחה בת שמונה נפשות, הוא נשר מלימודיו ופנה לעבודה בגיל צעיר, הושפע מסביבתו וחבר לחברה שולית. הנאשם הודה, הבין את הפסול במעשיו והוא מביע צער ומעוניין לסגור פרק זה בחייו ולהשתלב בהליך טיפולי ולחזור לאורח חיים נורמטיבי.</w:t>
      </w:r>
    </w:p>
    <w:p w14:paraId="57FEAEE5" w14:textId="77777777" w:rsidR="00C73207" w:rsidRPr="00950943" w:rsidRDefault="00C73207" w:rsidP="00C73207">
      <w:pPr>
        <w:spacing w:after="240" w:line="360" w:lineRule="auto"/>
        <w:jc w:val="both"/>
        <w:rPr>
          <w:rFonts w:ascii="Arial" w:hAnsi="Arial"/>
          <w:rtl/>
        </w:rPr>
      </w:pPr>
      <w:r w:rsidRPr="008545E3">
        <w:rPr>
          <w:rFonts w:ascii="Arial" w:hAnsi="Arial" w:hint="cs"/>
          <w:rtl/>
        </w:rPr>
        <w:t>7.</w:t>
      </w:r>
      <w:r w:rsidRPr="008545E3">
        <w:rPr>
          <w:rFonts w:ascii="Arial" w:hAnsi="Arial" w:hint="cs"/>
          <w:rtl/>
        </w:rPr>
        <w:tab/>
      </w:r>
      <w:r w:rsidRPr="00950943">
        <w:rPr>
          <w:rFonts w:ascii="Arial" w:hAnsi="Arial"/>
          <w:rtl/>
        </w:rPr>
        <w:t>ב</w:t>
      </w:r>
      <w:r w:rsidRPr="008545E3">
        <w:rPr>
          <w:rFonts w:ascii="Arial" w:hAnsi="Arial" w:hint="cs"/>
          <w:rtl/>
        </w:rPr>
        <w:t>נוגע</w:t>
      </w:r>
      <w:r w:rsidRPr="00950943">
        <w:rPr>
          <w:rFonts w:ascii="Arial" w:hAnsi="Arial"/>
          <w:rtl/>
        </w:rPr>
        <w:t xml:space="preserve"> לכתב האישום בו הורשע הנאשם טען הסניגור כי הוא מבוסס על האזנות סתר שיעדיהן היו אחרים, דומיננטיים יותר, ולא הנאשם שבפני. לא נתפסו אצל הנאשם נשק או חלקי נשק או ראיות כלשהן לביצוע העבירות. עוד ציין הסניגור כי כתב האישום מתייחס לתקופה קצרה ומתוחמת, כאשר המטרה העיקרית של שכירת הדירה היתה לצרכים חברתיים ולבילוי משותף. הסניגור הוסיף כי באישומים הראשונים אין תיאור של כלי הנשק בהם מדובר והם לא נתפסו. לא ברור אם מדובר בנשק תקני או מאולתר, לא נטען לתמורה או לרווח כלכלי. באישום השלישי חלקו של הנאשם שבפני מינורי. נטען כי הוא הודיע שבכוונתו להביא ארגז תחמושת, אך לא פורט סוג התחמושת ולא ברור אם הדבר בוצע ואם הוא מחזיק אצלו ארגז תחמושת. לטענתו אף לא נתפס ארגז תחמושת. </w:t>
      </w:r>
    </w:p>
    <w:p w14:paraId="60885F61" w14:textId="77777777" w:rsidR="00C73207" w:rsidRPr="00950943" w:rsidRDefault="00C73207" w:rsidP="00C73207">
      <w:pPr>
        <w:spacing w:after="240" w:line="360" w:lineRule="auto"/>
        <w:ind w:firstLine="720"/>
        <w:jc w:val="both"/>
        <w:rPr>
          <w:rFonts w:ascii="Arial" w:hAnsi="Arial"/>
          <w:rtl/>
        </w:rPr>
      </w:pPr>
      <w:r w:rsidRPr="00950943">
        <w:rPr>
          <w:rFonts w:ascii="Arial" w:hAnsi="Arial"/>
          <w:rtl/>
        </w:rPr>
        <w:t xml:space="preserve">עוד טען הסניגור כי הנאשם נעצר לפני כשנה. בהחלטה שניתנה בעניינו התאפשר לו להציג חלופת מעצר בפיקוח אלקטרוני, אולם בשל הקושי הכלכלי לשכור דירה בירושלים וההכבדה על המפקחים הנאשם ויתר על אפשרות זו. </w:t>
      </w:r>
    </w:p>
    <w:p w14:paraId="6AC0046C" w14:textId="77777777" w:rsidR="00C73207" w:rsidRPr="008545E3" w:rsidRDefault="00C73207" w:rsidP="00C73207">
      <w:pPr>
        <w:spacing w:after="240" w:line="360" w:lineRule="auto"/>
        <w:jc w:val="both"/>
        <w:rPr>
          <w:rFonts w:ascii="Arial" w:hAnsi="Arial"/>
          <w:rtl/>
        </w:rPr>
      </w:pPr>
      <w:r w:rsidRPr="008545E3">
        <w:rPr>
          <w:rFonts w:ascii="Arial" w:hAnsi="Arial" w:hint="cs"/>
          <w:rtl/>
        </w:rPr>
        <w:t>8.</w:t>
      </w:r>
      <w:r w:rsidRPr="008545E3">
        <w:rPr>
          <w:rFonts w:ascii="Arial" w:hAnsi="Arial" w:hint="cs"/>
          <w:rtl/>
        </w:rPr>
        <w:tab/>
      </w:r>
      <w:r w:rsidRPr="00950943">
        <w:rPr>
          <w:rFonts w:ascii="Arial" w:hAnsi="Arial"/>
          <w:rtl/>
        </w:rPr>
        <w:t xml:space="preserve">ב"כ הנאשם התייחס גם לתסקיר שירות המבחן. להודאתו המלאה של הנאשם ולקיחת האחריות, ההכרה בקווים בעייתיים בהתנהגותו. הסניגור ציין כי הנאשם לא הצדיק את מעשיו ולא גימד את חלקו, ולא ברור מדוע נכתב בתסקיר שגילה אחריות חלקית. </w:t>
      </w:r>
      <w:r w:rsidRPr="008545E3">
        <w:rPr>
          <w:rFonts w:ascii="Arial" w:hAnsi="Arial" w:hint="cs"/>
          <w:rtl/>
        </w:rPr>
        <w:t>הוא הוסיף וטען</w:t>
      </w:r>
      <w:r w:rsidRPr="00950943">
        <w:rPr>
          <w:rFonts w:ascii="Arial" w:hAnsi="Arial"/>
          <w:rtl/>
        </w:rPr>
        <w:t xml:space="preserve"> כי הנאשם לא קיבל תמורה על מעשיו, כי המעשים לא גרמו נזק של ממש וכי הם נובעים מחוסר ביטחון במקום מגוריו של הנאשם כלפי כוחות הביטחון. </w:t>
      </w:r>
    </w:p>
    <w:p w14:paraId="63768A8F" w14:textId="77777777" w:rsidR="00C73207" w:rsidRPr="008545E3" w:rsidRDefault="00C73207" w:rsidP="00C73207">
      <w:pPr>
        <w:spacing w:after="240" w:line="360" w:lineRule="auto"/>
        <w:ind w:firstLine="720"/>
        <w:jc w:val="both"/>
        <w:rPr>
          <w:rFonts w:ascii="Arial" w:hAnsi="Arial"/>
        </w:rPr>
      </w:pPr>
      <w:r w:rsidRPr="008545E3">
        <w:rPr>
          <w:rFonts w:ascii="Arial" w:hAnsi="Arial"/>
          <w:rtl/>
        </w:rPr>
        <w:t xml:space="preserve">הסניגור הפנה לפסקי דין בעבירות דומות, והוסיף כי בפסיקה התפתחה מגמה לפיה העונש על עבירות ניסיון עומד על כמחצית העונש לעבירה המושלמת. לטענתו מתחם הענישה נע בין 8-24 חודשי מאסר בפועל. </w:t>
      </w:r>
    </w:p>
    <w:p w14:paraId="55AE7C4B" w14:textId="77777777" w:rsidR="00C73207" w:rsidRPr="008545E3" w:rsidRDefault="00C73207" w:rsidP="00C73207">
      <w:pPr>
        <w:spacing w:after="240" w:line="360" w:lineRule="auto"/>
        <w:ind w:firstLine="720"/>
        <w:jc w:val="both"/>
        <w:rPr>
          <w:rFonts w:ascii="Arial" w:hAnsi="Arial"/>
          <w:rtl/>
        </w:rPr>
      </w:pPr>
      <w:r w:rsidRPr="008545E3">
        <w:rPr>
          <w:rFonts w:ascii="Arial" w:hAnsi="Arial"/>
          <w:rtl/>
        </w:rPr>
        <w:t xml:space="preserve">באשר לנסיבות שאינן קשורות בביצוע העבירה טען הסניגור כי לנאשם עבר בעבירות שאינן ממין העניין, האחרונה לפני למעלה מ-6 שנים, ומאסר ממושך יקשה עליו לחזור לשגרה ולאורח חיים תקין. הוא ציין את הפגיעה באשת הנאשם, את ההכרה באחריות על אף קשיים ראייתיים בתיק ואת היעדרם של רווח או תמורה כספית, וביקש לגזור עונש ברף הנמוך של המתחם. </w:t>
      </w:r>
    </w:p>
    <w:p w14:paraId="21E33C1D" w14:textId="77777777" w:rsidR="00C73207" w:rsidRPr="008545E3" w:rsidRDefault="00C73207" w:rsidP="00C73207">
      <w:pPr>
        <w:spacing w:after="240" w:line="360" w:lineRule="auto"/>
        <w:jc w:val="both"/>
        <w:rPr>
          <w:rFonts w:ascii="Arial" w:hAnsi="Arial"/>
          <w:rtl/>
        </w:rPr>
      </w:pPr>
      <w:r w:rsidRPr="008545E3">
        <w:rPr>
          <w:rFonts w:ascii="Arial" w:hAnsi="Arial" w:hint="cs"/>
          <w:rtl/>
        </w:rPr>
        <w:t>9.</w:t>
      </w:r>
      <w:r w:rsidRPr="008545E3">
        <w:rPr>
          <w:rFonts w:ascii="Arial" w:hAnsi="Arial" w:hint="cs"/>
          <w:rtl/>
        </w:rPr>
        <w:tab/>
      </w:r>
      <w:r w:rsidRPr="008545E3">
        <w:rPr>
          <w:rFonts w:ascii="Arial" w:hAnsi="Arial"/>
          <w:rtl/>
        </w:rPr>
        <w:t>הנאשם עצמו הביע צער והכיר בטעותו</w:t>
      </w:r>
      <w:r w:rsidRPr="008545E3">
        <w:rPr>
          <w:rFonts w:ascii="Arial" w:hAnsi="Arial" w:hint="cs"/>
          <w:rtl/>
        </w:rPr>
        <w:t>.</w:t>
      </w:r>
    </w:p>
    <w:p w14:paraId="2585E979" w14:textId="77777777" w:rsidR="00C73207" w:rsidRPr="00950943" w:rsidRDefault="00C73207" w:rsidP="00C73207">
      <w:pPr>
        <w:spacing w:after="240" w:line="360" w:lineRule="auto"/>
        <w:jc w:val="both"/>
        <w:rPr>
          <w:rFonts w:ascii="Arial" w:hAnsi="Arial"/>
          <w:b/>
          <w:bCs/>
          <w:u w:val="single"/>
          <w:rtl/>
        </w:rPr>
      </w:pPr>
      <w:r w:rsidRPr="00950943">
        <w:rPr>
          <w:rFonts w:ascii="Arial" w:hAnsi="Arial"/>
          <w:b/>
          <w:bCs/>
          <w:u w:val="single"/>
          <w:rtl/>
        </w:rPr>
        <w:t>תסקיר שירות המבחן</w:t>
      </w:r>
    </w:p>
    <w:p w14:paraId="1D5A7EA2" w14:textId="77777777" w:rsidR="00C73207" w:rsidRPr="008545E3" w:rsidRDefault="00C73207" w:rsidP="00C73207">
      <w:pPr>
        <w:spacing w:after="240" w:line="360" w:lineRule="auto"/>
        <w:jc w:val="both"/>
        <w:rPr>
          <w:rFonts w:ascii="Arial" w:hAnsi="Arial"/>
          <w:rtl/>
        </w:rPr>
      </w:pPr>
      <w:r w:rsidRPr="008545E3">
        <w:rPr>
          <w:rFonts w:ascii="Arial" w:hAnsi="Arial" w:hint="cs"/>
          <w:rtl/>
        </w:rPr>
        <w:t>10.</w:t>
      </w:r>
      <w:r w:rsidRPr="008545E3">
        <w:rPr>
          <w:rFonts w:ascii="Arial" w:hAnsi="Arial" w:hint="cs"/>
          <w:rtl/>
        </w:rPr>
        <w:tab/>
        <w:t xml:space="preserve">על פי התסקיר הנאשם כבן 32, נשוי ואב ל-5 ילדים, מתגורר בענתא החדשה. טרם מעצרו היה בחל"ת לאחר שפוטר מעבודתו כנהג טרקטור בשל משבר הקורונה. הוא השלים 10 שנות לימוד. לחובתו מספר הרשעות קודמות. </w:t>
      </w:r>
    </w:p>
    <w:p w14:paraId="33B8BEC1" w14:textId="77777777" w:rsidR="00C73207" w:rsidRPr="00950943" w:rsidRDefault="00C73207" w:rsidP="00C73207">
      <w:pPr>
        <w:spacing w:after="240" w:line="360" w:lineRule="auto"/>
        <w:ind w:firstLine="720"/>
        <w:jc w:val="both"/>
        <w:rPr>
          <w:rFonts w:ascii="Arial" w:hAnsi="Arial"/>
          <w:rtl/>
        </w:rPr>
      </w:pPr>
      <w:r w:rsidRPr="008545E3">
        <w:rPr>
          <w:rFonts w:ascii="Arial" w:hAnsi="Arial" w:hint="cs"/>
          <w:rtl/>
        </w:rPr>
        <w:t xml:space="preserve">בפניות קודמות לשירות המבחן עורר הנאשם רושם של אדם נורמטיבי המתמודד עם קשיים במישור הלימודי והרגשי. קצינת המבחן סבורה כי קיימת בעיה כללית במעורבות חוזרת בעבירות על החוק וביכולת לווסת דחפים. מפיו של הנאשם נמסר כי הוא ביצע את העבירות על רקע הצורך הכלכלי להרוויח כסף, וכי ביצע עסקה אחת בלבד, כאשר אותה עסקה מתוארת הן באישום הראשון והן בשני. עוד נכתב בתסקיר כי הנאשם הביע חרטה מילולית וכי קיום ההליך מרתיע אותו, ועם זאת הוא מגלה נטיה לאימפולסיביות, ונראה כי הגדילה בסביבה של התנהגות שולית ועבריינית הביאה להפנמת נורמות אלו. קצינת המבחן המליצה להתחשב בשאיפותיו של הנאשם לשיקום ולהתנהגות חיובית שומרת חוק, וציינה כי הוא יוכל להיתרם מהליך טיפולי במסגרת מאסרו. </w:t>
      </w:r>
    </w:p>
    <w:p w14:paraId="517ACAE7" w14:textId="77777777" w:rsidR="00C73207" w:rsidRPr="00950943" w:rsidRDefault="00C73207" w:rsidP="00C73207">
      <w:pPr>
        <w:spacing w:after="240" w:line="360" w:lineRule="auto"/>
        <w:jc w:val="both"/>
        <w:rPr>
          <w:rFonts w:ascii="Arial" w:hAnsi="Arial"/>
          <w:b/>
          <w:bCs/>
          <w:u w:val="single"/>
          <w:rtl/>
        </w:rPr>
      </w:pPr>
      <w:r w:rsidRPr="00950943">
        <w:rPr>
          <w:rFonts w:ascii="Arial" w:hAnsi="Arial"/>
          <w:b/>
          <w:bCs/>
          <w:u w:val="single"/>
          <w:rtl/>
        </w:rPr>
        <w:t>מתחם העונש ההולם</w:t>
      </w:r>
    </w:p>
    <w:p w14:paraId="6EC6E31F" w14:textId="77777777" w:rsidR="00C73207" w:rsidRPr="00950943" w:rsidRDefault="00C73207" w:rsidP="00C73207">
      <w:pPr>
        <w:spacing w:after="240" w:line="360" w:lineRule="auto"/>
        <w:jc w:val="both"/>
        <w:rPr>
          <w:rFonts w:ascii="Arial" w:hAnsi="Arial"/>
          <w:rtl/>
        </w:rPr>
      </w:pPr>
      <w:r w:rsidRPr="00950943">
        <w:rPr>
          <w:rFonts w:ascii="Arial" w:hAnsi="Arial"/>
          <w:rtl/>
        </w:rPr>
        <w:t>1</w:t>
      </w:r>
      <w:r w:rsidRPr="008545E3">
        <w:rPr>
          <w:rFonts w:ascii="Arial" w:hAnsi="Arial" w:hint="cs"/>
          <w:rtl/>
        </w:rPr>
        <w:t>1</w:t>
      </w:r>
      <w:r w:rsidRPr="00950943">
        <w:rPr>
          <w:rFonts w:ascii="Arial" w:hAnsi="Arial"/>
          <w:rtl/>
        </w:rPr>
        <w:t>.</w:t>
      </w:r>
      <w:r w:rsidRPr="00950943">
        <w:rPr>
          <w:rFonts w:ascii="Arial" w:hAnsi="Arial"/>
          <w:rtl/>
        </w:rPr>
        <w:tab/>
        <w:t>כלי נשק הוא חפץ מסוכן, שהשימוש העיקרי בו הוא לצורך המתת אדם, גרימת פגיעה גופנית חמורה לאדם או איום בפגיעה כזו. אין צורך להכביר מילים באשר לסכנה הנשקפת מסחר והחזקה של כלי נשק הנעשית על ידי מי שאינ</w:t>
      </w:r>
      <w:r w:rsidRPr="008545E3">
        <w:rPr>
          <w:rFonts w:ascii="Arial" w:hAnsi="Arial"/>
          <w:rtl/>
        </w:rPr>
        <w:t>ם מורשים לכך, שלא למטרות ראויות</w:t>
      </w:r>
      <w:r w:rsidRPr="00950943">
        <w:rPr>
          <w:rFonts w:ascii="Arial" w:hAnsi="Arial"/>
          <w:rtl/>
        </w:rPr>
        <w:t xml:space="preserve"> כגון הגנה על בטחון המדינה או על שלום אזרחיה. </w:t>
      </w:r>
    </w:p>
    <w:p w14:paraId="5F0408FB" w14:textId="77777777" w:rsidR="00C73207" w:rsidRPr="00950943" w:rsidRDefault="00C73207" w:rsidP="00C73207">
      <w:pPr>
        <w:spacing w:after="240" w:line="360" w:lineRule="auto"/>
        <w:jc w:val="both"/>
        <w:rPr>
          <w:rFonts w:ascii="Arial" w:hAnsi="Arial"/>
          <w:rtl/>
        </w:rPr>
      </w:pPr>
      <w:r w:rsidRPr="00950943">
        <w:rPr>
          <w:rFonts w:ascii="Arial" w:hAnsi="Arial"/>
          <w:rtl/>
        </w:rPr>
        <w:t>1</w:t>
      </w:r>
      <w:r w:rsidRPr="008545E3">
        <w:rPr>
          <w:rFonts w:ascii="Arial" w:hAnsi="Arial" w:hint="cs"/>
          <w:rtl/>
        </w:rPr>
        <w:t>2</w:t>
      </w:r>
      <w:r w:rsidRPr="00950943">
        <w:rPr>
          <w:rFonts w:ascii="Arial" w:hAnsi="Arial"/>
          <w:rtl/>
        </w:rPr>
        <w:t>.</w:t>
      </w:r>
      <w:r w:rsidRPr="00950943">
        <w:rPr>
          <w:rFonts w:ascii="Arial" w:hAnsi="Arial"/>
          <w:rtl/>
        </w:rPr>
        <w:tab/>
        <w:t>מזה שנים שפסיקת בית המשפט העליון, ויתר הערכאות בעקבותיה, עומדת על הצורך בענישה מחמירה בעבירות נשק, כאשר הכלל הוא שבגין עבירות אלו העונש הראוי הוא בדרך כלל מאסר בפועל.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 כך, לדוגמא, נקבע ב</w:t>
      </w:r>
      <w:hyperlink r:id="rId16" w:history="1">
        <w:r w:rsidR="00CA38AD" w:rsidRPr="00CA38AD">
          <w:rPr>
            <w:rFonts w:ascii="Arial" w:hAnsi="Arial"/>
            <w:color w:val="0000FF"/>
            <w:u w:val="single"/>
            <w:rtl/>
          </w:rPr>
          <w:t>ע"פ 4406/19</w:t>
        </w:r>
      </w:hyperlink>
      <w:r w:rsidRPr="00950943">
        <w:rPr>
          <w:rFonts w:ascii="Arial" w:hAnsi="Arial"/>
          <w:rtl/>
        </w:rPr>
        <w:t xml:space="preserve"> </w:t>
      </w:r>
      <w:r w:rsidRPr="00950943">
        <w:rPr>
          <w:rFonts w:ascii="Arial" w:hAnsi="Arial"/>
          <w:b/>
          <w:bCs/>
          <w:rtl/>
        </w:rPr>
        <w:t>מדינת ישראל נ' יונס סובח</w:t>
      </w:r>
      <w:r w:rsidRPr="00950943">
        <w:rPr>
          <w:rFonts w:ascii="Arial" w:hAnsi="Arial"/>
          <w:rtl/>
        </w:rPr>
        <w:t xml:space="preserve"> (5.11.19) כי</w:t>
      </w:r>
    </w:p>
    <w:p w14:paraId="38D9749A" w14:textId="77777777" w:rsidR="00C73207" w:rsidRPr="00950943" w:rsidRDefault="00C73207" w:rsidP="00C73207">
      <w:pPr>
        <w:spacing w:after="240" w:line="360" w:lineRule="auto"/>
        <w:ind w:left="708" w:right="993"/>
        <w:jc w:val="both"/>
        <w:rPr>
          <w:rFonts w:ascii="Arial" w:hAnsi="Arial"/>
          <w:rtl/>
        </w:rPr>
      </w:pPr>
      <w:r w:rsidRPr="00950943">
        <w:rPr>
          <w:rFonts w:ascii="Arial" w:hAnsi="Arial"/>
          <w:b/>
          <w:bCs/>
        </w:rPr>
        <w:t xml:space="preserve"> </w:t>
      </w:r>
      <w:r w:rsidRPr="00950943">
        <w:rPr>
          <w:rFonts w:ascii="Arial" w:hAnsi="Arial"/>
          <w:b/>
          <w:bCs/>
          <w:rtl/>
        </w:rPr>
        <w:t>"...לעיתים</w:t>
      </w:r>
      <w:r w:rsidRPr="00950943">
        <w:rPr>
          <w:rFonts w:ascii="Arial" w:hAnsi="Arial"/>
          <w:b/>
          <w:bCs/>
        </w:rPr>
        <w:t xml:space="preserve"> </w:t>
      </w:r>
      <w:r w:rsidRPr="00950943">
        <w:rPr>
          <w:rFonts w:ascii="Arial" w:hAnsi="Arial"/>
          <w:b/>
          <w:bCs/>
          <w:rtl/>
        </w:rPr>
        <w:t>מדיניות</w:t>
      </w:r>
      <w:r w:rsidRPr="00950943">
        <w:rPr>
          <w:rFonts w:ascii="Arial" w:hAnsi="Arial"/>
          <w:b/>
          <w:bCs/>
        </w:rPr>
        <w:t xml:space="preserve"> </w:t>
      </w:r>
      <w:r w:rsidRPr="00950943">
        <w:rPr>
          <w:rFonts w:ascii="Arial" w:hAnsi="Arial"/>
          <w:b/>
          <w:bCs/>
          <w:rtl/>
        </w:rPr>
        <w:t>הענישה</w:t>
      </w:r>
      <w:r w:rsidRPr="00950943">
        <w:rPr>
          <w:rFonts w:ascii="Arial" w:hAnsi="Arial"/>
          <w:b/>
          <w:bCs/>
        </w:rPr>
        <w:t xml:space="preserve"> </w:t>
      </w:r>
      <w:r w:rsidRPr="00950943">
        <w:rPr>
          <w:rFonts w:ascii="Arial" w:hAnsi="Arial"/>
          <w:b/>
          <w:bCs/>
          <w:rtl/>
        </w:rPr>
        <w:t>הנוהגת</w:t>
      </w:r>
      <w:r w:rsidRPr="00950943">
        <w:rPr>
          <w:rFonts w:ascii="Arial" w:hAnsi="Arial"/>
          <w:b/>
          <w:bCs/>
        </w:rPr>
        <w:t xml:space="preserve"> </w:t>
      </w:r>
      <w:r w:rsidRPr="00950943">
        <w:rPr>
          <w:rFonts w:ascii="Arial" w:hAnsi="Arial"/>
          <w:b/>
          <w:bCs/>
          <w:rtl/>
        </w:rPr>
        <w:t>ביחס</w:t>
      </w:r>
      <w:r w:rsidRPr="00950943">
        <w:rPr>
          <w:rFonts w:ascii="Arial" w:hAnsi="Arial"/>
          <w:b/>
          <w:bCs/>
        </w:rPr>
        <w:t xml:space="preserve"> </w:t>
      </w:r>
      <w:r w:rsidRPr="00950943">
        <w:rPr>
          <w:rFonts w:ascii="Arial" w:hAnsi="Arial"/>
          <w:b/>
          <w:bCs/>
          <w:rtl/>
        </w:rPr>
        <w:t>לעבירה</w:t>
      </w:r>
      <w:r w:rsidRPr="00950943">
        <w:rPr>
          <w:rFonts w:ascii="Arial" w:hAnsi="Arial"/>
          <w:b/>
          <w:bCs/>
        </w:rPr>
        <w:t xml:space="preserve"> </w:t>
      </w:r>
      <w:r w:rsidRPr="00950943">
        <w:rPr>
          <w:rFonts w:ascii="Arial" w:hAnsi="Arial"/>
          <w:b/>
          <w:bCs/>
          <w:rtl/>
        </w:rPr>
        <w:t>מסוימת</w:t>
      </w:r>
      <w:r w:rsidRPr="00950943">
        <w:rPr>
          <w:rFonts w:ascii="Arial" w:hAnsi="Arial"/>
          <w:b/>
          <w:bCs/>
        </w:rPr>
        <w:t xml:space="preserve"> </w:t>
      </w:r>
      <w:r w:rsidRPr="00950943">
        <w:rPr>
          <w:rFonts w:ascii="Arial" w:hAnsi="Arial"/>
          <w:b/>
          <w:bCs/>
          <w:rtl/>
        </w:rPr>
        <w:t>אינה</w:t>
      </w:r>
      <w:r w:rsidRPr="00950943">
        <w:rPr>
          <w:rFonts w:ascii="Arial" w:hAnsi="Arial"/>
          <w:b/>
          <w:bCs/>
        </w:rPr>
        <w:t xml:space="preserve"> </w:t>
      </w:r>
      <w:r w:rsidRPr="00950943">
        <w:rPr>
          <w:rFonts w:ascii="Arial" w:hAnsi="Arial"/>
          <w:b/>
          <w:bCs/>
          <w:rtl/>
        </w:rPr>
        <w:t>מספקת, ועל</w:t>
      </w:r>
      <w:r w:rsidRPr="00950943">
        <w:rPr>
          <w:rFonts w:ascii="Arial" w:hAnsi="Arial"/>
          <w:b/>
          <w:bCs/>
        </w:rPr>
        <w:t xml:space="preserve"> </w:t>
      </w:r>
      <w:r w:rsidRPr="00950943">
        <w:rPr>
          <w:rFonts w:ascii="Arial" w:hAnsi="Arial"/>
          <w:b/>
          <w:bCs/>
          <w:rtl/>
        </w:rPr>
        <w:t>בית</w:t>
      </w:r>
      <w:r w:rsidRPr="00950943">
        <w:rPr>
          <w:rFonts w:ascii="Arial" w:hAnsi="Arial"/>
          <w:b/>
          <w:bCs/>
        </w:rPr>
        <w:t xml:space="preserve"> </w:t>
      </w:r>
      <w:r w:rsidRPr="00950943">
        <w:rPr>
          <w:rFonts w:ascii="Arial" w:hAnsi="Arial"/>
          <w:b/>
          <w:bCs/>
          <w:rtl/>
        </w:rPr>
        <w:t>המשפט</w:t>
      </w:r>
      <w:r w:rsidRPr="00950943">
        <w:rPr>
          <w:rFonts w:ascii="Arial" w:hAnsi="Arial"/>
          <w:b/>
          <w:bCs/>
        </w:rPr>
        <w:t xml:space="preserve"> </w:t>
      </w:r>
      <w:r w:rsidRPr="00950943">
        <w:rPr>
          <w:rFonts w:ascii="Arial" w:hAnsi="Arial"/>
          <w:b/>
          <w:bCs/>
          <w:rtl/>
        </w:rPr>
        <w:t>להורות</w:t>
      </w:r>
      <w:r w:rsidRPr="00950943">
        <w:rPr>
          <w:rFonts w:ascii="Arial" w:hAnsi="Arial"/>
          <w:b/>
          <w:bCs/>
        </w:rPr>
        <w:t xml:space="preserve"> </w:t>
      </w:r>
      <w:r w:rsidRPr="00950943">
        <w:rPr>
          <w:rFonts w:ascii="Arial" w:hAnsi="Arial"/>
          <w:b/>
          <w:bCs/>
          <w:rtl/>
        </w:rPr>
        <w:t>על</w:t>
      </w:r>
      <w:r w:rsidRPr="00950943">
        <w:rPr>
          <w:rFonts w:ascii="Arial" w:hAnsi="Arial"/>
          <w:b/>
          <w:bCs/>
        </w:rPr>
        <w:t xml:space="preserve"> </w:t>
      </w:r>
      <w:r w:rsidRPr="00950943">
        <w:rPr>
          <w:rFonts w:ascii="Arial" w:hAnsi="Arial"/>
          <w:b/>
          <w:bCs/>
          <w:rtl/>
        </w:rPr>
        <w:t>החמרה</w:t>
      </w:r>
      <w:r w:rsidRPr="00950943">
        <w:rPr>
          <w:rFonts w:ascii="Arial" w:hAnsi="Arial"/>
          <w:b/>
          <w:bCs/>
        </w:rPr>
        <w:t xml:space="preserve"> </w:t>
      </w:r>
      <w:r w:rsidRPr="00950943">
        <w:rPr>
          <w:rFonts w:ascii="Arial" w:hAnsi="Arial"/>
          <w:b/>
          <w:bCs/>
          <w:rtl/>
        </w:rPr>
        <w:t>בענישה</w:t>
      </w:r>
      <w:r w:rsidRPr="00950943">
        <w:rPr>
          <w:rFonts w:ascii="Arial" w:hAnsi="Arial"/>
          <w:b/>
          <w:bCs/>
        </w:rPr>
        <w:t xml:space="preserve"> </w:t>
      </w:r>
      <w:r w:rsidRPr="00950943">
        <w:rPr>
          <w:rFonts w:ascii="Arial" w:hAnsi="Arial"/>
          <w:b/>
          <w:bCs/>
          <w:rtl/>
        </w:rPr>
        <w:t>על</w:t>
      </w:r>
      <w:r w:rsidRPr="00950943">
        <w:rPr>
          <w:rFonts w:ascii="Arial" w:hAnsi="Arial"/>
          <w:b/>
          <w:bCs/>
        </w:rPr>
        <w:t xml:space="preserve"> </w:t>
      </w:r>
      <w:r w:rsidRPr="00950943">
        <w:rPr>
          <w:rFonts w:ascii="Arial" w:hAnsi="Arial"/>
          <w:b/>
          <w:bCs/>
          <w:rtl/>
        </w:rPr>
        <w:t>מנת</w:t>
      </w:r>
      <w:r w:rsidRPr="00950943">
        <w:rPr>
          <w:rFonts w:ascii="Arial" w:hAnsi="Arial"/>
          <w:b/>
          <w:bCs/>
        </w:rPr>
        <w:t xml:space="preserve"> </w:t>
      </w:r>
      <w:r w:rsidRPr="00950943">
        <w:rPr>
          <w:rFonts w:ascii="Arial" w:hAnsi="Arial"/>
          <w:b/>
          <w:bCs/>
          <w:rtl/>
        </w:rPr>
        <w:t>לקדם</w:t>
      </w:r>
      <w:r w:rsidRPr="00950943">
        <w:rPr>
          <w:rFonts w:ascii="Arial" w:hAnsi="Arial"/>
          <w:b/>
          <w:bCs/>
        </w:rPr>
        <w:t xml:space="preserve"> </w:t>
      </w:r>
      <w:r w:rsidRPr="00950943">
        <w:rPr>
          <w:rFonts w:ascii="Arial" w:hAnsi="Arial"/>
          <w:b/>
          <w:bCs/>
          <w:rtl/>
        </w:rPr>
        <w:t>ולהגן</w:t>
      </w:r>
      <w:r w:rsidRPr="00950943">
        <w:rPr>
          <w:rFonts w:ascii="Arial" w:hAnsi="Arial"/>
          <w:b/>
          <w:bCs/>
        </w:rPr>
        <w:t xml:space="preserve"> </w:t>
      </w:r>
      <w:r w:rsidRPr="00950943">
        <w:rPr>
          <w:rFonts w:ascii="Arial" w:hAnsi="Arial"/>
          <w:b/>
          <w:bCs/>
          <w:rtl/>
        </w:rPr>
        <w:t>על</w:t>
      </w:r>
      <w:r w:rsidRPr="00950943">
        <w:rPr>
          <w:rFonts w:ascii="Arial" w:hAnsi="Arial"/>
          <w:b/>
          <w:bCs/>
        </w:rPr>
        <w:t xml:space="preserve"> </w:t>
      </w:r>
      <w:r w:rsidRPr="00950943">
        <w:rPr>
          <w:rFonts w:ascii="Arial" w:hAnsi="Arial"/>
          <w:b/>
          <w:bCs/>
          <w:rtl/>
        </w:rPr>
        <w:t>הערכים</w:t>
      </w:r>
      <w:r w:rsidRPr="00950943">
        <w:rPr>
          <w:rFonts w:ascii="Arial" w:hAnsi="Arial"/>
          <w:b/>
          <w:bCs/>
        </w:rPr>
        <w:t xml:space="preserve"> </w:t>
      </w:r>
      <w:r w:rsidRPr="00950943">
        <w:rPr>
          <w:rFonts w:ascii="Arial" w:hAnsi="Arial"/>
          <w:b/>
          <w:bCs/>
          <w:rtl/>
        </w:rPr>
        <w:t>אשר</w:t>
      </w:r>
      <w:r w:rsidRPr="00950943">
        <w:rPr>
          <w:rFonts w:ascii="Arial" w:hAnsi="Arial"/>
          <w:b/>
          <w:bCs/>
        </w:rPr>
        <w:t xml:space="preserve"> </w:t>
      </w:r>
      <w:r w:rsidRPr="00950943">
        <w:rPr>
          <w:rFonts w:ascii="Arial" w:hAnsi="Arial"/>
          <w:b/>
          <w:bCs/>
          <w:rtl/>
        </w:rPr>
        <w:t>ביסודה, ובכך</w:t>
      </w:r>
      <w:r w:rsidRPr="00950943">
        <w:rPr>
          <w:rFonts w:ascii="Arial" w:hAnsi="Arial"/>
          <w:b/>
          <w:bCs/>
        </w:rPr>
        <w:t xml:space="preserve"> </w:t>
      </w:r>
      <w:r w:rsidRPr="00950943">
        <w:rPr>
          <w:rFonts w:ascii="Arial" w:hAnsi="Arial"/>
          <w:b/>
          <w:bCs/>
          <w:rtl/>
        </w:rPr>
        <w:t>לבלום</w:t>
      </w:r>
      <w:r w:rsidRPr="00950943">
        <w:rPr>
          <w:rFonts w:ascii="Arial" w:hAnsi="Arial"/>
          <w:b/>
          <w:bCs/>
        </w:rPr>
        <w:t xml:space="preserve"> </w:t>
      </w:r>
      <w:r w:rsidRPr="00950943">
        <w:rPr>
          <w:rFonts w:ascii="Arial" w:hAnsi="Arial"/>
          <w:b/>
          <w:bCs/>
          <w:rtl/>
        </w:rPr>
        <w:t>את</w:t>
      </w:r>
      <w:r w:rsidRPr="00950943">
        <w:rPr>
          <w:rFonts w:ascii="Arial" w:hAnsi="Arial"/>
          <w:b/>
          <w:bCs/>
        </w:rPr>
        <w:t xml:space="preserve"> </w:t>
      </w:r>
      <w:r w:rsidRPr="00950943">
        <w:rPr>
          <w:rFonts w:ascii="Arial" w:hAnsi="Arial"/>
          <w:b/>
          <w:bCs/>
          <w:rtl/>
        </w:rPr>
        <w:t>נפיצותן</w:t>
      </w:r>
      <w:r w:rsidRPr="00950943">
        <w:rPr>
          <w:rFonts w:ascii="Arial" w:hAnsi="Arial"/>
          <w:b/>
          <w:bCs/>
        </w:rPr>
        <w:t xml:space="preserve"> </w:t>
      </w:r>
      <w:r w:rsidRPr="00950943">
        <w:rPr>
          <w:rFonts w:ascii="Arial" w:hAnsi="Arial"/>
          <w:b/>
          <w:bCs/>
          <w:rtl/>
        </w:rPr>
        <w:t>של</w:t>
      </w:r>
      <w:r w:rsidRPr="00950943">
        <w:rPr>
          <w:rFonts w:ascii="Arial" w:hAnsi="Arial"/>
          <w:b/>
          <w:bCs/>
        </w:rPr>
        <w:t xml:space="preserve"> </w:t>
      </w:r>
      <w:r w:rsidRPr="00950943">
        <w:rPr>
          <w:rFonts w:ascii="Arial" w:hAnsi="Arial"/>
          <w:b/>
          <w:bCs/>
          <w:rtl/>
        </w:rPr>
        <w:t>עבירות</w:t>
      </w:r>
      <w:r w:rsidRPr="00950943">
        <w:rPr>
          <w:rFonts w:ascii="Arial" w:hAnsi="Arial"/>
          <w:b/>
          <w:bCs/>
        </w:rPr>
        <w:t xml:space="preserve"> </w:t>
      </w:r>
      <w:r w:rsidRPr="00950943">
        <w:rPr>
          <w:rFonts w:ascii="Arial" w:hAnsi="Arial"/>
          <w:b/>
          <w:bCs/>
          <w:rtl/>
        </w:rPr>
        <w:t>מסוימות</w:t>
      </w:r>
      <w:r w:rsidRPr="00950943">
        <w:rPr>
          <w:rFonts w:ascii="Arial" w:hAnsi="Arial"/>
          <w:b/>
          <w:bCs/>
        </w:rPr>
        <w:t xml:space="preserve"> </w:t>
      </w:r>
      <w:r w:rsidRPr="00950943">
        <w:rPr>
          <w:rFonts w:ascii="Arial" w:hAnsi="Arial"/>
          <w:b/>
          <w:bCs/>
          <w:rtl/>
        </w:rPr>
        <w:t>ההופכות</w:t>
      </w:r>
      <w:r w:rsidRPr="00950943">
        <w:rPr>
          <w:rFonts w:ascii="Arial" w:hAnsi="Arial"/>
          <w:b/>
          <w:bCs/>
        </w:rPr>
        <w:t xml:space="preserve"> </w:t>
      </w:r>
      <w:r w:rsidRPr="00950943">
        <w:rPr>
          <w:rFonts w:ascii="Arial" w:hAnsi="Arial"/>
          <w:b/>
          <w:bCs/>
          <w:rtl/>
        </w:rPr>
        <w:t>ל'מכת</w:t>
      </w:r>
      <w:r w:rsidRPr="00950943">
        <w:rPr>
          <w:rFonts w:ascii="Arial" w:hAnsi="Arial"/>
          <w:b/>
          <w:bCs/>
        </w:rPr>
        <w:t xml:space="preserve"> </w:t>
      </w:r>
      <w:r w:rsidRPr="00950943">
        <w:rPr>
          <w:rFonts w:ascii="Arial" w:hAnsi="Arial"/>
          <w:b/>
          <w:bCs/>
          <w:rtl/>
        </w:rPr>
        <w:t>מדינה', ולתת</w:t>
      </w:r>
      <w:r w:rsidRPr="00950943">
        <w:rPr>
          <w:rFonts w:ascii="Arial" w:hAnsi="Arial"/>
          <w:b/>
          <w:bCs/>
        </w:rPr>
        <w:t xml:space="preserve"> </w:t>
      </w:r>
      <w:r w:rsidRPr="00950943">
        <w:rPr>
          <w:rFonts w:ascii="Arial" w:hAnsi="Arial"/>
          <w:b/>
          <w:bCs/>
          <w:rtl/>
        </w:rPr>
        <w:t>ביטוי</w:t>
      </w:r>
      <w:r w:rsidRPr="00950943">
        <w:rPr>
          <w:rFonts w:ascii="Arial" w:hAnsi="Arial"/>
          <w:b/>
          <w:bCs/>
        </w:rPr>
        <w:t xml:space="preserve"> </w:t>
      </w:r>
      <w:r w:rsidRPr="00950943">
        <w:rPr>
          <w:rFonts w:ascii="Arial" w:hAnsi="Arial"/>
          <w:b/>
          <w:bCs/>
          <w:rtl/>
        </w:rPr>
        <w:t>לחומרה</w:t>
      </w:r>
      <w:r w:rsidRPr="00950943">
        <w:rPr>
          <w:rFonts w:ascii="Arial" w:hAnsi="Arial"/>
          <w:b/>
          <w:bCs/>
        </w:rPr>
        <w:t xml:space="preserve"> </w:t>
      </w:r>
      <w:r w:rsidRPr="00950943">
        <w:rPr>
          <w:rFonts w:ascii="Arial" w:hAnsi="Arial"/>
          <w:b/>
          <w:bCs/>
          <w:rtl/>
        </w:rPr>
        <w:t>שיש</w:t>
      </w:r>
      <w:r w:rsidRPr="00950943">
        <w:rPr>
          <w:rFonts w:ascii="Arial" w:hAnsi="Arial"/>
          <w:b/>
          <w:bCs/>
        </w:rPr>
        <w:t xml:space="preserve"> </w:t>
      </w:r>
      <w:r w:rsidRPr="00950943">
        <w:rPr>
          <w:rFonts w:ascii="Arial" w:hAnsi="Arial"/>
          <w:b/>
          <w:bCs/>
          <w:rtl/>
        </w:rPr>
        <w:t>לייחס</w:t>
      </w:r>
      <w:r w:rsidRPr="00950943">
        <w:rPr>
          <w:rFonts w:ascii="Arial" w:hAnsi="Arial"/>
          <w:b/>
          <w:bCs/>
        </w:rPr>
        <w:t xml:space="preserve"> </w:t>
      </w:r>
      <w:r w:rsidRPr="00950943">
        <w:rPr>
          <w:rFonts w:ascii="Arial" w:hAnsi="Arial"/>
          <w:b/>
          <w:bCs/>
          <w:rtl/>
        </w:rPr>
        <w:t xml:space="preserve">להן" </w:t>
      </w:r>
      <w:r w:rsidRPr="00950943">
        <w:rPr>
          <w:rFonts w:ascii="Arial" w:hAnsi="Arial"/>
          <w:rtl/>
        </w:rPr>
        <w:t>(פסקה 15 לפסק הדין).</w:t>
      </w:r>
    </w:p>
    <w:p w14:paraId="095B159C" w14:textId="77777777" w:rsidR="00C73207" w:rsidRPr="00950943" w:rsidRDefault="00C73207" w:rsidP="00C73207">
      <w:pPr>
        <w:spacing w:after="240" w:line="360" w:lineRule="auto"/>
        <w:ind w:left="708" w:right="993"/>
        <w:jc w:val="both"/>
        <w:rPr>
          <w:rFonts w:ascii="Arial" w:hAnsi="Arial"/>
          <w:b/>
          <w:bCs/>
          <w:rtl/>
        </w:rPr>
      </w:pPr>
      <w:r w:rsidRPr="00950943">
        <w:rPr>
          <w:rFonts w:ascii="Arial" w:hAnsi="Arial"/>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0658B719" w14:textId="77777777" w:rsidR="00C73207" w:rsidRPr="00950943" w:rsidRDefault="00C73207" w:rsidP="00C73207">
      <w:pPr>
        <w:spacing w:after="240" w:line="360" w:lineRule="auto"/>
        <w:ind w:left="708" w:right="993"/>
        <w:jc w:val="both"/>
        <w:rPr>
          <w:rFonts w:ascii="Arial" w:hAnsi="Arial"/>
          <w:rtl/>
        </w:rPr>
      </w:pPr>
      <w:r w:rsidRPr="00950943">
        <w:rPr>
          <w:rFonts w:ascii="Arial" w:hAnsi="Arial"/>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r w:rsidRPr="00950943">
        <w:rPr>
          <w:rFonts w:ascii="Arial" w:hAnsi="Arial"/>
          <w:rtl/>
        </w:rPr>
        <w:t xml:space="preserve"> (פסקה 16 לפסק הדין).</w:t>
      </w:r>
    </w:p>
    <w:p w14:paraId="1475011E" w14:textId="77777777" w:rsidR="00C73207" w:rsidRPr="00950943" w:rsidRDefault="00C73207" w:rsidP="00C73207">
      <w:pPr>
        <w:spacing w:after="240" w:line="360" w:lineRule="auto"/>
        <w:jc w:val="both"/>
        <w:rPr>
          <w:rFonts w:ascii="Arial" w:hAnsi="Arial"/>
          <w:rtl/>
        </w:rPr>
      </w:pPr>
      <w:r w:rsidRPr="00950943">
        <w:rPr>
          <w:rFonts w:ascii="Arial" w:hAnsi="Arial"/>
          <w:rtl/>
        </w:rPr>
        <w:t xml:space="preserve"> וכן: </w:t>
      </w:r>
    </w:p>
    <w:p w14:paraId="67B896DD" w14:textId="77777777" w:rsidR="00C73207" w:rsidRPr="00950943" w:rsidRDefault="00C73207" w:rsidP="00C73207">
      <w:pPr>
        <w:spacing w:after="240" w:line="360" w:lineRule="auto"/>
        <w:ind w:left="708" w:right="851"/>
        <w:jc w:val="both"/>
        <w:rPr>
          <w:rFonts w:ascii="Arial" w:hAnsi="Arial"/>
          <w:rtl/>
        </w:rPr>
      </w:pPr>
      <w:r w:rsidRPr="00950943">
        <w:rPr>
          <w:rFonts w:ascii="Arial" w:hAnsi="Arial"/>
          <w:b/>
          <w:bCs/>
          <w:rtl/>
        </w:rPr>
        <w:t>"בהתאם</w:t>
      </w:r>
      <w:r w:rsidRPr="00950943">
        <w:rPr>
          <w:rFonts w:ascii="Arial" w:hAnsi="Arial"/>
          <w:b/>
          <w:bCs/>
        </w:rPr>
        <w:t xml:space="preserve"> </w:t>
      </w:r>
      <w:r w:rsidRPr="00950943">
        <w:rPr>
          <w:rFonts w:ascii="Arial" w:hAnsi="Arial"/>
          <w:b/>
          <w:bCs/>
          <w:rtl/>
        </w:rPr>
        <w:t>לכך</w:t>
      </w:r>
      <w:r w:rsidRPr="00950943">
        <w:rPr>
          <w:rFonts w:ascii="Arial" w:hAnsi="Arial"/>
          <w:b/>
          <w:bCs/>
        </w:rPr>
        <w:t xml:space="preserve"> </w:t>
      </w:r>
      <w:r w:rsidRPr="00950943">
        <w:rPr>
          <w:rFonts w:ascii="Arial" w:hAnsi="Arial"/>
          <w:b/>
          <w:bCs/>
          <w:rtl/>
        </w:rPr>
        <w:t>ולנוכח</w:t>
      </w:r>
      <w:r w:rsidRPr="00950943">
        <w:rPr>
          <w:rFonts w:ascii="Arial" w:hAnsi="Arial"/>
          <w:b/>
          <w:bCs/>
        </w:rPr>
        <w:t xml:space="preserve"> </w:t>
      </w:r>
      <w:r w:rsidRPr="00950943">
        <w:rPr>
          <w:rFonts w:ascii="Arial" w:hAnsi="Arial"/>
          <w:b/>
          <w:bCs/>
          <w:rtl/>
        </w:rPr>
        <w:t>ריבוי</w:t>
      </w:r>
      <w:r w:rsidRPr="00950943">
        <w:rPr>
          <w:rFonts w:ascii="Arial" w:hAnsi="Arial"/>
          <w:b/>
          <w:bCs/>
        </w:rPr>
        <w:t xml:space="preserve"> </w:t>
      </w:r>
      <w:r w:rsidRPr="00950943">
        <w:rPr>
          <w:rFonts w:ascii="Arial" w:hAnsi="Arial"/>
          <w:b/>
          <w:bCs/>
          <w:rtl/>
        </w:rPr>
        <w:t>מקרי</w:t>
      </w:r>
      <w:r w:rsidRPr="00950943">
        <w:rPr>
          <w:rFonts w:ascii="Arial" w:hAnsi="Arial"/>
          <w:b/>
          <w:bCs/>
        </w:rPr>
        <w:t xml:space="preserve"> </w:t>
      </w:r>
      <w:r w:rsidRPr="00950943">
        <w:rPr>
          <w:rFonts w:ascii="Arial" w:hAnsi="Arial"/>
          <w:b/>
          <w:bCs/>
          <w:rtl/>
        </w:rPr>
        <w:t>הירי, יש</w:t>
      </w:r>
      <w:r w:rsidRPr="00950943">
        <w:rPr>
          <w:rFonts w:ascii="Arial" w:hAnsi="Arial"/>
          <w:b/>
          <w:bCs/>
        </w:rPr>
        <w:t xml:space="preserve"> </w:t>
      </w:r>
      <w:r w:rsidRPr="00950943">
        <w:rPr>
          <w:rFonts w:ascii="Arial" w:hAnsi="Arial"/>
          <w:b/>
          <w:bCs/>
          <w:rtl/>
        </w:rPr>
        <w:t>לנקוט</w:t>
      </w:r>
      <w:r w:rsidRPr="00950943">
        <w:rPr>
          <w:rFonts w:ascii="Arial" w:hAnsi="Arial"/>
          <w:b/>
          <w:bCs/>
        </w:rPr>
        <w:t xml:space="preserve"> </w:t>
      </w:r>
      <w:r w:rsidRPr="00950943">
        <w:rPr>
          <w:rFonts w:ascii="Arial" w:hAnsi="Arial"/>
          <w:b/>
          <w:bCs/>
          <w:rtl/>
        </w:rPr>
        <w:t>במדיניות</w:t>
      </w:r>
      <w:r w:rsidRPr="00950943">
        <w:rPr>
          <w:rFonts w:ascii="Arial" w:hAnsi="Arial"/>
          <w:b/>
          <w:bCs/>
        </w:rPr>
        <w:t xml:space="preserve"> </w:t>
      </w:r>
      <w:r w:rsidRPr="00950943">
        <w:rPr>
          <w:rFonts w:ascii="Arial" w:hAnsi="Arial"/>
          <w:b/>
          <w:bCs/>
          <w:rtl/>
        </w:rPr>
        <w:t>ענישה</w:t>
      </w:r>
      <w:r w:rsidRPr="00950943">
        <w:rPr>
          <w:rFonts w:ascii="Arial" w:hAnsi="Arial"/>
          <w:b/>
          <w:bCs/>
        </w:rPr>
        <w:t xml:space="preserve"> </w:t>
      </w:r>
      <w:r w:rsidRPr="00950943">
        <w:rPr>
          <w:rFonts w:ascii="Arial" w:hAnsi="Arial"/>
          <w:b/>
          <w:bCs/>
          <w:rtl/>
        </w:rPr>
        <w:t>מחמירה</w:t>
      </w:r>
      <w:r w:rsidRPr="00950943">
        <w:rPr>
          <w:rFonts w:ascii="Arial" w:hAnsi="Arial"/>
          <w:b/>
          <w:bCs/>
        </w:rPr>
        <w:t xml:space="preserve"> </w:t>
      </w:r>
      <w:r w:rsidRPr="00950943">
        <w:rPr>
          <w:rFonts w:ascii="Arial" w:hAnsi="Arial"/>
          <w:b/>
          <w:bCs/>
          <w:rtl/>
        </w:rPr>
        <w:t>כלפי</w:t>
      </w:r>
      <w:r w:rsidRPr="00950943">
        <w:rPr>
          <w:rFonts w:ascii="Arial" w:hAnsi="Arial"/>
          <w:b/>
          <w:bCs/>
        </w:rPr>
        <w:t xml:space="preserve"> </w:t>
      </w:r>
      <w:r w:rsidRPr="00950943">
        <w:rPr>
          <w:rFonts w:ascii="Arial" w:hAnsi="Arial"/>
          <w:b/>
          <w:bCs/>
          <w:rtl/>
        </w:rPr>
        <w:t>ביצוע</w:t>
      </w:r>
      <w:r w:rsidRPr="00950943">
        <w:rPr>
          <w:rFonts w:ascii="Arial" w:hAnsi="Arial"/>
          <w:b/>
          <w:bCs/>
        </w:rPr>
        <w:t xml:space="preserve"> </w:t>
      </w:r>
      <w:r w:rsidRPr="00950943">
        <w:rPr>
          <w:rFonts w:ascii="Arial" w:hAnsi="Arial"/>
          <w:b/>
          <w:bCs/>
          <w:rtl/>
        </w:rPr>
        <w:t>עבירות</w:t>
      </w:r>
      <w:r w:rsidRPr="00950943">
        <w:rPr>
          <w:rFonts w:ascii="Arial" w:hAnsi="Arial"/>
          <w:b/>
          <w:bCs/>
        </w:rPr>
        <w:t xml:space="preserve"> </w:t>
      </w:r>
      <w:r w:rsidRPr="00950943">
        <w:rPr>
          <w:rFonts w:ascii="Arial" w:hAnsi="Arial"/>
          <w:b/>
          <w:bCs/>
          <w:rtl/>
        </w:rPr>
        <w:t>החזקת</w:t>
      </w:r>
      <w:r w:rsidRPr="00950943">
        <w:rPr>
          <w:rFonts w:ascii="Arial" w:hAnsi="Arial"/>
          <w:b/>
          <w:bCs/>
        </w:rPr>
        <w:t xml:space="preserve"> </w:t>
      </w:r>
      <w:r w:rsidRPr="00950943">
        <w:rPr>
          <w:rFonts w:ascii="Arial" w:hAnsi="Arial"/>
          <w:b/>
          <w:bCs/>
          <w:rtl/>
        </w:rPr>
        <w:t>נשק</w:t>
      </w:r>
      <w:r w:rsidRPr="00950943">
        <w:rPr>
          <w:rFonts w:ascii="Arial" w:hAnsi="Arial"/>
          <w:b/>
          <w:bCs/>
        </w:rPr>
        <w:t xml:space="preserve"> </w:t>
      </w:r>
      <w:r w:rsidRPr="00950943">
        <w:rPr>
          <w:rFonts w:ascii="Arial" w:hAnsi="Arial"/>
          <w:b/>
          <w:bCs/>
          <w:rtl/>
        </w:rPr>
        <w:t>שלא</w:t>
      </w:r>
      <w:r w:rsidRPr="00950943">
        <w:rPr>
          <w:rFonts w:ascii="Arial" w:hAnsi="Arial"/>
          <w:b/>
          <w:bCs/>
        </w:rPr>
        <w:t xml:space="preserve"> </w:t>
      </w:r>
      <w:r w:rsidRPr="00950943">
        <w:rPr>
          <w:rFonts w:ascii="Arial" w:hAnsi="Arial"/>
          <w:b/>
          <w:bCs/>
          <w:rtl/>
        </w:rPr>
        <w:t>כדין, ועל</w:t>
      </w:r>
      <w:r w:rsidRPr="00950943">
        <w:rPr>
          <w:rFonts w:ascii="Arial" w:hAnsi="Arial"/>
          <w:b/>
          <w:bCs/>
        </w:rPr>
        <w:t xml:space="preserve"> </w:t>
      </w:r>
      <w:r w:rsidRPr="00950943">
        <w:rPr>
          <w:rFonts w:ascii="Arial" w:hAnsi="Arial"/>
          <w:b/>
          <w:bCs/>
          <w:rtl/>
        </w:rPr>
        <w:t>אחת</w:t>
      </w:r>
      <w:r w:rsidRPr="00950943">
        <w:rPr>
          <w:rFonts w:ascii="Arial" w:hAnsi="Arial"/>
          <w:b/>
          <w:bCs/>
        </w:rPr>
        <w:t xml:space="preserve"> </w:t>
      </w:r>
      <w:r w:rsidRPr="00950943">
        <w:rPr>
          <w:rFonts w:ascii="Arial" w:hAnsi="Arial"/>
          <w:b/>
          <w:bCs/>
          <w:rtl/>
        </w:rPr>
        <w:t>כמה</w:t>
      </w:r>
      <w:r w:rsidRPr="00950943">
        <w:rPr>
          <w:rFonts w:ascii="Arial" w:hAnsi="Arial"/>
          <w:b/>
          <w:bCs/>
        </w:rPr>
        <w:t xml:space="preserve"> </w:t>
      </w:r>
      <w:r w:rsidRPr="00950943">
        <w:rPr>
          <w:rFonts w:ascii="Arial" w:hAnsi="Arial"/>
          <w:b/>
          <w:bCs/>
          <w:rtl/>
        </w:rPr>
        <w:t>וכמה</w:t>
      </w:r>
      <w:r w:rsidRPr="00950943">
        <w:rPr>
          <w:rFonts w:ascii="Arial" w:hAnsi="Arial"/>
          <w:b/>
          <w:bCs/>
        </w:rPr>
        <w:t xml:space="preserve"> </w:t>
      </w:r>
      <w:r w:rsidRPr="00950943">
        <w:rPr>
          <w:rFonts w:ascii="Arial" w:hAnsi="Arial"/>
          <w:b/>
          <w:bCs/>
          <w:rtl/>
        </w:rPr>
        <w:t>שימוש</w:t>
      </w:r>
      <w:r w:rsidRPr="00950943">
        <w:rPr>
          <w:rFonts w:ascii="Arial" w:hAnsi="Arial"/>
          <w:b/>
          <w:bCs/>
        </w:rPr>
        <w:t xml:space="preserve"> </w:t>
      </w:r>
      <w:r w:rsidRPr="00950943">
        <w:rPr>
          <w:rFonts w:ascii="Arial" w:hAnsi="Arial"/>
          <w:b/>
          <w:bCs/>
          <w:rtl/>
        </w:rPr>
        <w:t>בנשק</w:t>
      </w:r>
      <w:r w:rsidRPr="00950943">
        <w:rPr>
          <w:rFonts w:ascii="Arial" w:hAnsi="Arial"/>
          <w:b/>
          <w:bCs/>
        </w:rPr>
        <w:t xml:space="preserve"> </w:t>
      </w:r>
      <w:r w:rsidRPr="00950943">
        <w:rPr>
          <w:rFonts w:ascii="Arial" w:hAnsi="Arial"/>
          <w:b/>
          <w:bCs/>
          <w:rtl/>
        </w:rPr>
        <w:t>חם</w:t>
      </w:r>
      <w:r w:rsidRPr="00950943">
        <w:rPr>
          <w:rFonts w:ascii="Arial" w:hAnsi="Arial"/>
          <w:b/>
          <w:bCs/>
        </w:rPr>
        <w:t xml:space="preserve"> </w:t>
      </w:r>
      <w:r w:rsidRPr="00950943">
        <w:rPr>
          <w:rFonts w:ascii="Arial" w:hAnsi="Arial"/>
          <w:b/>
          <w:bCs/>
          <w:rtl/>
        </w:rPr>
        <w:t>ופציעתם</w:t>
      </w:r>
      <w:r w:rsidRPr="00950943">
        <w:rPr>
          <w:rFonts w:ascii="Arial" w:hAnsi="Arial"/>
          <w:b/>
          <w:bCs/>
        </w:rPr>
        <w:t xml:space="preserve"> </w:t>
      </w:r>
      <w:r w:rsidRPr="00950943">
        <w:rPr>
          <w:rFonts w:ascii="Arial" w:hAnsi="Arial"/>
          <w:b/>
          <w:bCs/>
          <w:rtl/>
        </w:rPr>
        <w:t>של</w:t>
      </w:r>
      <w:r w:rsidRPr="00950943">
        <w:rPr>
          <w:rFonts w:ascii="Arial" w:hAnsi="Arial"/>
          <w:b/>
          <w:bCs/>
        </w:rPr>
        <w:t xml:space="preserve"> </w:t>
      </w:r>
      <w:r w:rsidRPr="00950943">
        <w:rPr>
          <w:rFonts w:ascii="Arial" w:hAnsi="Arial"/>
          <w:b/>
          <w:bCs/>
          <w:rtl/>
        </w:rPr>
        <w:t>קורבנות</w:t>
      </w:r>
      <w:r w:rsidRPr="00950943">
        <w:rPr>
          <w:rFonts w:ascii="Arial" w:hAnsi="Arial"/>
          <w:b/>
          <w:bCs/>
        </w:rPr>
        <w:t xml:space="preserve"> </w:t>
      </w:r>
      <w:r w:rsidRPr="00950943">
        <w:rPr>
          <w:rFonts w:ascii="Arial" w:hAnsi="Arial"/>
          <w:b/>
          <w:bCs/>
          <w:rtl/>
        </w:rPr>
        <w:t>שונים</w:t>
      </w:r>
      <w:r w:rsidRPr="00950943">
        <w:rPr>
          <w:rFonts w:ascii="Arial" w:hAnsi="Arial"/>
          <w:b/>
          <w:bCs/>
        </w:rPr>
        <w:t xml:space="preserve"> </w:t>
      </w:r>
      <w:r w:rsidRPr="00950943">
        <w:rPr>
          <w:rFonts w:ascii="Arial" w:hAnsi="Arial"/>
          <w:b/>
          <w:bCs/>
          <w:rtl/>
        </w:rPr>
        <w:t>עקב</w:t>
      </w:r>
      <w:r w:rsidRPr="00950943">
        <w:rPr>
          <w:rFonts w:ascii="Arial" w:hAnsi="Arial"/>
          <w:b/>
          <w:bCs/>
        </w:rPr>
        <w:t xml:space="preserve"> </w:t>
      </w:r>
      <w:r w:rsidRPr="00950943">
        <w:rPr>
          <w:rFonts w:ascii="Arial" w:hAnsi="Arial"/>
          <w:b/>
          <w:bCs/>
          <w:rtl/>
        </w:rPr>
        <w:t>כך"</w:t>
      </w:r>
      <w:r w:rsidRPr="00950943">
        <w:rPr>
          <w:rFonts w:ascii="Arial" w:hAnsi="Arial"/>
          <w:rtl/>
        </w:rPr>
        <w:t xml:space="preserve"> (פסקה 17 לפסק הדין).</w:t>
      </w:r>
    </w:p>
    <w:p w14:paraId="2F809A9E" w14:textId="77777777" w:rsidR="00C73207" w:rsidRPr="00950943" w:rsidRDefault="00C73207" w:rsidP="00C73207">
      <w:pPr>
        <w:spacing w:after="240" w:line="360" w:lineRule="auto"/>
        <w:ind w:left="708" w:right="851"/>
        <w:jc w:val="both"/>
        <w:rPr>
          <w:rFonts w:ascii="Arial" w:hAnsi="Arial"/>
          <w:b/>
          <w:bCs/>
        </w:rPr>
      </w:pPr>
      <w:r w:rsidRPr="00950943">
        <w:rPr>
          <w:rFonts w:ascii="Arial" w:hAnsi="Arial"/>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r w:rsidRPr="00950943">
        <w:rPr>
          <w:rFonts w:ascii="Arial" w:hAnsi="Arial"/>
          <w:rtl/>
        </w:rPr>
        <w:t>(פסקה 17 לפסק הדין)</w:t>
      </w:r>
      <w:r w:rsidRPr="00950943">
        <w:rPr>
          <w:rFonts w:ascii="Arial" w:hAnsi="Arial"/>
          <w:b/>
          <w:bCs/>
          <w:rtl/>
        </w:rPr>
        <w:t>.</w:t>
      </w:r>
    </w:p>
    <w:p w14:paraId="73B85C50" w14:textId="77777777" w:rsidR="00C73207" w:rsidRPr="00950943" w:rsidRDefault="00C73207" w:rsidP="00C73207">
      <w:pPr>
        <w:spacing w:after="240" w:line="360" w:lineRule="auto"/>
        <w:jc w:val="both"/>
        <w:rPr>
          <w:rFonts w:ascii="Arial" w:hAnsi="Arial"/>
          <w:rtl/>
        </w:rPr>
      </w:pPr>
      <w:r w:rsidRPr="00950943">
        <w:rPr>
          <w:rFonts w:ascii="Arial" w:hAnsi="Arial"/>
          <w:rtl/>
        </w:rPr>
        <w:t>1</w:t>
      </w:r>
      <w:r w:rsidRPr="008545E3">
        <w:rPr>
          <w:rFonts w:ascii="Arial" w:hAnsi="Arial" w:hint="cs"/>
          <w:rtl/>
        </w:rPr>
        <w:t>3</w:t>
      </w:r>
      <w:r w:rsidRPr="00950943">
        <w:rPr>
          <w:rFonts w:ascii="Arial" w:hAnsi="Arial"/>
          <w:rtl/>
        </w:rPr>
        <w:t>.</w:t>
      </w:r>
      <w:r w:rsidRPr="00950943">
        <w:rPr>
          <w:rFonts w:ascii="Arial" w:hAnsi="Arial"/>
          <w:rtl/>
        </w:rPr>
        <w:tab/>
        <w:t xml:space="preserve">החומרה הרבה שבעבירות הנשק, הצורך להחמיר בענישה והכלל של הטלת עונשי מאסר בפועל בדרך כלל עלו בפסקי דין רבים נוספים, ביניהם </w:t>
      </w:r>
      <w:hyperlink r:id="rId17" w:history="1">
        <w:r w:rsidR="00CA38AD" w:rsidRPr="00CA38AD">
          <w:rPr>
            <w:rFonts w:ascii="Arial" w:hAnsi="Arial"/>
            <w:color w:val="0000FF"/>
            <w:u w:val="single"/>
            <w:rtl/>
          </w:rPr>
          <w:t>ע"פ 2251/11</w:t>
        </w:r>
      </w:hyperlink>
      <w:r w:rsidRPr="00950943">
        <w:rPr>
          <w:rFonts w:ascii="Arial" w:hAnsi="Arial"/>
          <w:rtl/>
        </w:rPr>
        <w:t xml:space="preserve"> </w:t>
      </w:r>
      <w:r w:rsidRPr="00950943">
        <w:rPr>
          <w:rFonts w:ascii="Arial" w:hAnsi="Arial"/>
          <w:b/>
          <w:bCs/>
          <w:rtl/>
        </w:rPr>
        <w:t>ג'מאל נפעא נ' מדינת ישראל</w:t>
      </w:r>
      <w:r w:rsidRPr="00950943">
        <w:rPr>
          <w:rFonts w:ascii="Arial" w:hAnsi="Arial"/>
          <w:rtl/>
        </w:rPr>
        <w:t xml:space="preserve"> (4.12.11); </w:t>
      </w:r>
      <w:hyperlink r:id="rId18" w:history="1">
        <w:r w:rsidR="00CA38AD" w:rsidRPr="00CA38AD">
          <w:rPr>
            <w:rFonts w:ascii="Arial" w:hAnsi="Arial"/>
            <w:color w:val="0000FF"/>
            <w:u w:val="single"/>
            <w:rtl/>
          </w:rPr>
          <w:t>ע"פ 6989/13</w:t>
        </w:r>
      </w:hyperlink>
      <w:r w:rsidRPr="00950943">
        <w:rPr>
          <w:rFonts w:ascii="Arial" w:hAnsi="Arial"/>
          <w:rtl/>
        </w:rPr>
        <w:t xml:space="preserve"> </w:t>
      </w:r>
      <w:r w:rsidRPr="00950943">
        <w:rPr>
          <w:rFonts w:ascii="Arial" w:hAnsi="Arial"/>
          <w:b/>
          <w:bCs/>
          <w:rtl/>
        </w:rPr>
        <w:t>חנא פרח נ' מדינת ישראל</w:t>
      </w:r>
      <w:r w:rsidRPr="00950943">
        <w:rPr>
          <w:rFonts w:ascii="Arial" w:hAnsi="Arial"/>
          <w:rtl/>
        </w:rPr>
        <w:t xml:space="preserve"> (25.2.14), </w:t>
      </w:r>
      <w:hyperlink r:id="rId19" w:history="1">
        <w:r w:rsidR="00CA38AD" w:rsidRPr="00CA38AD">
          <w:rPr>
            <w:rFonts w:ascii="Arial" w:hAnsi="Arial"/>
            <w:color w:val="0000FF"/>
            <w:u w:val="single"/>
            <w:rtl/>
          </w:rPr>
          <w:t>ע"פ 4945/13</w:t>
        </w:r>
      </w:hyperlink>
      <w:r w:rsidRPr="00950943">
        <w:rPr>
          <w:rFonts w:ascii="Arial" w:hAnsi="Arial"/>
          <w:rtl/>
        </w:rPr>
        <w:t xml:space="preserve"> </w:t>
      </w:r>
      <w:r w:rsidRPr="00950943">
        <w:rPr>
          <w:rFonts w:ascii="Arial" w:hAnsi="Arial"/>
          <w:b/>
          <w:bCs/>
          <w:rtl/>
        </w:rPr>
        <w:t>מדינת ישראל נ' עבד אלכרים סלימאן</w:t>
      </w:r>
      <w:r w:rsidRPr="00950943">
        <w:rPr>
          <w:rFonts w:ascii="Arial" w:hAnsi="Arial"/>
        </w:rPr>
        <w:t xml:space="preserve"> </w:t>
      </w:r>
      <w:r w:rsidRPr="00950943">
        <w:rPr>
          <w:rFonts w:ascii="Arial" w:hAnsi="Arial"/>
          <w:rtl/>
        </w:rPr>
        <w:t xml:space="preserve">(19.1.14), ועוד. </w:t>
      </w:r>
    </w:p>
    <w:p w14:paraId="02BA5CC1" w14:textId="77777777" w:rsidR="00C73207" w:rsidRPr="008545E3" w:rsidRDefault="00C73207" w:rsidP="00C73207">
      <w:pPr>
        <w:spacing w:after="240" w:line="360" w:lineRule="auto"/>
        <w:jc w:val="both"/>
        <w:rPr>
          <w:rFonts w:ascii="Arial" w:hAnsi="Arial"/>
          <w:rtl/>
        </w:rPr>
      </w:pPr>
      <w:r w:rsidRPr="008545E3">
        <w:rPr>
          <w:rFonts w:ascii="Arial" w:hAnsi="Arial" w:hint="cs"/>
          <w:rtl/>
        </w:rPr>
        <w:t>14</w:t>
      </w:r>
      <w:r w:rsidRPr="00950943">
        <w:rPr>
          <w:rFonts w:ascii="Arial" w:hAnsi="Arial"/>
          <w:rtl/>
        </w:rPr>
        <w:t>.</w:t>
      </w:r>
      <w:r w:rsidRPr="00950943">
        <w:rPr>
          <w:rFonts w:ascii="Arial" w:hAnsi="Arial"/>
          <w:rtl/>
        </w:rPr>
        <w:tab/>
        <w:t xml:space="preserve">באשר לענישה הנוהגת, עיינתי בפסיקה אליה הפנה ב"כ הנאשם ובפסיקה נוספת. אפרט חלק ממנה: </w:t>
      </w:r>
    </w:p>
    <w:p w14:paraId="42851CF9" w14:textId="77777777" w:rsidR="00C73207" w:rsidRPr="001F1FFC" w:rsidRDefault="00CA38AD" w:rsidP="00C73207">
      <w:pPr>
        <w:numPr>
          <w:ilvl w:val="0"/>
          <w:numId w:val="2"/>
        </w:numPr>
        <w:spacing w:after="120" w:line="360" w:lineRule="auto"/>
        <w:contextualSpacing/>
        <w:jc w:val="both"/>
        <w:rPr>
          <w:rtl/>
        </w:rPr>
      </w:pPr>
      <w:hyperlink r:id="rId20" w:history="1">
        <w:r w:rsidRPr="00CA38AD">
          <w:rPr>
            <w:color w:val="0000FF"/>
            <w:u w:val="single"/>
            <w:rtl/>
          </w:rPr>
          <w:t>ע"פ 4154/16</w:t>
        </w:r>
      </w:hyperlink>
      <w:r w:rsidR="00C73207" w:rsidRPr="008545E3">
        <w:rPr>
          <w:rtl/>
        </w:rPr>
        <w:t xml:space="preserve">, </w:t>
      </w:r>
      <w:r w:rsidR="00C73207" w:rsidRPr="008545E3">
        <w:rPr>
          <w:b/>
          <w:bCs/>
          <w:rtl/>
        </w:rPr>
        <w:t>רונן דהוד נ' מדינת ישראל</w:t>
      </w:r>
      <w:r w:rsidR="00C73207" w:rsidRPr="008545E3">
        <w:rPr>
          <w:rtl/>
        </w:rPr>
        <w:t xml:space="preserve"> (19.1.17)</w:t>
      </w:r>
      <w:r w:rsidR="00C73207" w:rsidRPr="001F1FFC">
        <w:rPr>
          <w:rFonts w:hint="cs"/>
          <w:rtl/>
        </w:rPr>
        <w:t>- המערער הורשע בשני אישומים שכל אחד מהם כלל עבירות סחר בנשק ועבירות נשק נוספות. מדובר בשתי עסקאות מכירה לסוכן, באישום אחד נמכר אקדח ובאישום השני רובה ציד מאולתר. המערער נדון ל-45 חודשי מאסר בפועל, מאסר על תנאי וקנס. נקבע מתחם שבין שנתיים לחמש שנות מאסר לכל אחד מהאישומים. הערעור נדחה תוך שבית המשפט העליון עמד על כך שלא ניתן להשלים עם קיומו של "שוק" מחתרתי בלתי חוקי למכירת כלי נשק, וגדיעתו של שוק זה היא תנאי הכרחי למיגור מעשי אלימות חמורים.</w:t>
      </w:r>
      <w:r w:rsidR="00C73207" w:rsidRPr="001F1FFC">
        <w:rPr>
          <w:rFonts w:hint="cs"/>
          <w:b/>
          <w:bCs/>
          <w:rtl/>
        </w:rPr>
        <w:t xml:space="preserve"> </w:t>
      </w:r>
    </w:p>
    <w:p w14:paraId="07B55388" w14:textId="77777777" w:rsidR="00C73207" w:rsidRPr="001F1FFC" w:rsidRDefault="00CA38AD" w:rsidP="00C73207">
      <w:pPr>
        <w:numPr>
          <w:ilvl w:val="0"/>
          <w:numId w:val="2"/>
        </w:numPr>
        <w:spacing w:after="120" w:line="360" w:lineRule="auto"/>
        <w:contextualSpacing/>
        <w:jc w:val="both"/>
        <w:rPr>
          <w:rtl/>
        </w:rPr>
      </w:pPr>
      <w:hyperlink r:id="rId21" w:history="1">
        <w:r w:rsidRPr="00CA38AD">
          <w:rPr>
            <w:color w:val="0000FF"/>
            <w:u w:val="single"/>
            <w:rtl/>
          </w:rPr>
          <w:t>ע"פ 785/15</w:t>
        </w:r>
      </w:hyperlink>
      <w:r w:rsidR="00C73207" w:rsidRPr="001F1FFC">
        <w:rPr>
          <w:rtl/>
        </w:rPr>
        <w:t xml:space="preserve">, </w:t>
      </w:r>
      <w:r w:rsidR="00C73207" w:rsidRPr="001F1FFC">
        <w:rPr>
          <w:b/>
          <w:bCs/>
          <w:rtl/>
        </w:rPr>
        <w:t>איהאב פואקה נ' מדינת ישראל</w:t>
      </w:r>
      <w:r w:rsidR="00C73207" w:rsidRPr="001F1FFC">
        <w:rPr>
          <w:rFonts w:hint="cs"/>
          <w:b/>
          <w:bCs/>
          <w:rtl/>
        </w:rPr>
        <w:t xml:space="preserve"> (6.12.15)</w:t>
      </w:r>
      <w:r w:rsidR="00C73207" w:rsidRPr="001F1FFC">
        <w:rPr>
          <w:rtl/>
        </w:rPr>
        <w:t xml:space="preserve"> – המערער</w:t>
      </w:r>
      <w:r w:rsidR="00C73207" w:rsidRPr="001F1FFC">
        <w:rPr>
          <w:rFonts w:hint="cs"/>
          <w:rtl/>
        </w:rPr>
        <w:t xml:space="preserve"> מכר</w:t>
      </w:r>
      <w:r w:rsidR="00C73207" w:rsidRPr="001F1FFC">
        <w:rPr>
          <w:rtl/>
        </w:rPr>
        <w:t xml:space="preserve"> לסוכן משטרתי אקדח, מחסנית וכדורים, ובעסקה נוספת מכר לו תת מקלע. ה</w:t>
      </w:r>
      <w:r w:rsidR="00C73207" w:rsidRPr="001F1FFC">
        <w:rPr>
          <w:rFonts w:hint="cs"/>
          <w:rtl/>
        </w:rPr>
        <w:t>מערער</w:t>
      </w:r>
      <w:r w:rsidR="00C73207" w:rsidRPr="001F1FFC">
        <w:rPr>
          <w:rtl/>
        </w:rPr>
        <w:t xml:space="preserve"> הורשע גם בתיווך בסם מסוכן, וכן בניסיון למכירת אקדח נוסף, אשר סוכל בשל הופעת השוטרים. על ה</w:t>
      </w:r>
      <w:r w:rsidR="00C73207" w:rsidRPr="001F1FFC">
        <w:rPr>
          <w:rFonts w:hint="cs"/>
          <w:rtl/>
        </w:rPr>
        <w:t>מערער</w:t>
      </w:r>
      <w:r w:rsidR="00C73207" w:rsidRPr="001F1FFC">
        <w:rPr>
          <w:rtl/>
        </w:rPr>
        <w:t xml:space="preserve"> נגזר עונש של שמונים וארבעה חודשי מאסר בפועל, </w:t>
      </w:r>
      <w:r w:rsidR="00C73207" w:rsidRPr="001F1FFC">
        <w:rPr>
          <w:rFonts w:hint="cs"/>
          <w:rtl/>
        </w:rPr>
        <w:t>ו</w:t>
      </w:r>
      <w:r w:rsidR="00C73207" w:rsidRPr="001F1FFC">
        <w:rPr>
          <w:rtl/>
        </w:rPr>
        <w:t>בערעור הופחתה תקופת המאסר לשבעים ושמונה חודשים.</w:t>
      </w:r>
    </w:p>
    <w:p w14:paraId="52522F12" w14:textId="77777777" w:rsidR="00C73207" w:rsidRPr="001F1FFC" w:rsidRDefault="00CA38AD" w:rsidP="00C73207">
      <w:pPr>
        <w:numPr>
          <w:ilvl w:val="0"/>
          <w:numId w:val="2"/>
        </w:numPr>
        <w:spacing w:after="120" w:line="360" w:lineRule="auto"/>
        <w:contextualSpacing/>
        <w:jc w:val="both"/>
        <w:rPr>
          <w:rtl/>
        </w:rPr>
      </w:pPr>
      <w:hyperlink r:id="rId22" w:history="1">
        <w:r w:rsidRPr="00CA38AD">
          <w:rPr>
            <w:color w:val="0000FF"/>
            <w:u w:val="single"/>
            <w:rtl/>
          </w:rPr>
          <w:t>ע"פ 8280/15</w:t>
        </w:r>
      </w:hyperlink>
      <w:r w:rsidR="00C73207" w:rsidRPr="001F1FFC">
        <w:rPr>
          <w:rFonts w:hint="cs"/>
          <w:rtl/>
        </w:rPr>
        <w:t xml:space="preserve">, </w:t>
      </w:r>
      <w:r w:rsidR="00C73207" w:rsidRPr="001F1FFC">
        <w:rPr>
          <w:rFonts w:hint="cs"/>
          <w:b/>
          <w:bCs/>
          <w:rtl/>
        </w:rPr>
        <w:t xml:space="preserve">מוחמד ג'ולאני נ' מדינת ישראל (28.3.16) </w:t>
      </w:r>
      <w:r w:rsidR="00C73207" w:rsidRPr="001F1FFC">
        <w:rPr>
          <w:b/>
          <w:bCs/>
          <w:rtl/>
        </w:rPr>
        <w:t>–</w:t>
      </w:r>
      <w:r w:rsidR="00C73207" w:rsidRPr="001F1FFC">
        <w:rPr>
          <w:rFonts w:hint="cs"/>
          <w:b/>
          <w:bCs/>
          <w:rtl/>
        </w:rPr>
        <w:t xml:space="preserve"> </w:t>
      </w:r>
      <w:r w:rsidR="00C73207" w:rsidRPr="001F1FFC">
        <w:rPr>
          <w:rFonts w:hint="cs"/>
          <w:rtl/>
        </w:rPr>
        <w:t>המערער הורשע בסיוע לעסקה בנשק ובהחזקת נשק, בכך שהיה מעורב עם אחרים בעסקה בה נמכרו לסוכן משטרתי שני רובים ואקדח. נקבע מתחם שבין 16 ל-36 חודשי מאסר, המערער נדון ל-20 חודשי מאסר בפועל, מאסר על תנאי וקנס, וערעור על חומרת העונש נדחה.</w:t>
      </w:r>
    </w:p>
    <w:p w14:paraId="35E494E4" w14:textId="77777777" w:rsidR="00C73207" w:rsidRPr="001F1FFC" w:rsidRDefault="00CA38AD" w:rsidP="00C73207">
      <w:pPr>
        <w:numPr>
          <w:ilvl w:val="0"/>
          <w:numId w:val="2"/>
        </w:numPr>
        <w:spacing w:after="120" w:line="360" w:lineRule="auto"/>
        <w:contextualSpacing/>
        <w:jc w:val="both"/>
        <w:rPr>
          <w:rtl/>
        </w:rPr>
      </w:pPr>
      <w:hyperlink r:id="rId23" w:history="1">
        <w:r w:rsidRPr="00CA38AD">
          <w:rPr>
            <w:color w:val="0000FF"/>
            <w:u w:val="single"/>
            <w:rtl/>
          </w:rPr>
          <w:t>ע"פ 1768/14</w:t>
        </w:r>
      </w:hyperlink>
      <w:r w:rsidR="00C73207" w:rsidRPr="001F1FFC">
        <w:rPr>
          <w:b/>
          <w:bCs/>
          <w:rtl/>
        </w:rPr>
        <w:t>, בהא גנאיים נ' מדינת ישראל</w:t>
      </w:r>
      <w:r w:rsidR="00C73207" w:rsidRPr="001F1FFC">
        <w:rPr>
          <w:rFonts w:hint="cs"/>
          <w:rtl/>
        </w:rPr>
        <w:t xml:space="preserve"> </w:t>
      </w:r>
      <w:r w:rsidR="00C73207" w:rsidRPr="001F1FFC">
        <w:rPr>
          <w:rFonts w:hint="cs"/>
          <w:b/>
          <w:bCs/>
          <w:rtl/>
        </w:rPr>
        <w:t xml:space="preserve">(22.7.14) </w:t>
      </w:r>
      <w:r w:rsidR="00C73207" w:rsidRPr="001F1FFC">
        <w:rPr>
          <w:b/>
          <w:bCs/>
          <w:rtl/>
        </w:rPr>
        <w:t>–</w:t>
      </w:r>
      <w:r w:rsidR="00C73207" w:rsidRPr="001F1FFC">
        <w:rPr>
          <w:rFonts w:hint="cs"/>
          <w:rtl/>
        </w:rPr>
        <w:t xml:space="preserve"> המערער הורשע בהסדר ללא הסכמה לעונש בשתי עבירות של סחר בנשק ועבירות נשק נוספות. במקרה אחד מדובר במכירת תחמושת, ובמקרה שני במכירת אקדח ברטה קצר ותחמושת, שתי המכירות לסוכן משטרתי. הוא נדון ל-36 חודשי מאסר בפועל, מאסר על תנאי וקנס. הערעור נדחה בשל הצורך להחמיר בעבירות אלה וחרף גילו הצעיר של המערער.</w:t>
      </w:r>
    </w:p>
    <w:p w14:paraId="1D30B005" w14:textId="77777777" w:rsidR="00C73207" w:rsidRPr="008545E3" w:rsidRDefault="00BE273C" w:rsidP="00C73207">
      <w:pPr>
        <w:numPr>
          <w:ilvl w:val="0"/>
          <w:numId w:val="2"/>
        </w:numPr>
        <w:spacing w:after="120" w:line="360" w:lineRule="auto"/>
        <w:contextualSpacing/>
        <w:jc w:val="both"/>
      </w:pPr>
      <w:hyperlink r:id="rId24" w:history="1">
        <w:r w:rsidRPr="00BE273C">
          <w:rPr>
            <w:color w:val="0000FF"/>
            <w:u w:val="single"/>
            <w:rtl/>
          </w:rPr>
          <w:t>ע"פ 526/14</w:t>
        </w:r>
      </w:hyperlink>
      <w:r w:rsidR="00C73207" w:rsidRPr="001F1FFC">
        <w:rPr>
          <w:rFonts w:hint="cs"/>
          <w:rtl/>
        </w:rPr>
        <w:t xml:space="preserve">, </w:t>
      </w:r>
      <w:r w:rsidR="00C73207" w:rsidRPr="001F1FFC">
        <w:rPr>
          <w:rFonts w:hint="cs"/>
          <w:b/>
          <w:bCs/>
          <w:rtl/>
        </w:rPr>
        <w:t>פלוני נ' מדינת ישראל (2.3.14)</w:t>
      </w:r>
      <w:r w:rsidR="00C73207" w:rsidRPr="001F1FFC">
        <w:rPr>
          <w:rFonts w:hint="cs"/>
          <w:rtl/>
        </w:rPr>
        <w:t xml:space="preserve"> </w:t>
      </w:r>
      <w:r w:rsidR="00C73207" w:rsidRPr="001F1FFC">
        <w:rPr>
          <w:rtl/>
        </w:rPr>
        <w:t>–</w:t>
      </w:r>
      <w:r w:rsidR="00C73207" w:rsidRPr="001F1FFC">
        <w:rPr>
          <w:rFonts w:hint="cs"/>
          <w:rtl/>
        </w:rPr>
        <w:t xml:space="preserve"> המערער הורשע בהחזקת נשק וסחר בנשק, בעסקה של מכירת אקדח לסוכן משטרתי, ונדון ל-22 חודשי מאסר בפועל ומאסר על תנאי. בערעור נקבע כי העונש אינו חורג מרף הענישה המקובל, אולם לנוכח הליך שיקומי בו מצוי המערער, נמצא כי יש מקום לחרוג ממתחם הענישה שנקבע, ועונשו של המערער הופחת ל-16 חודשי מאסר בפועל. </w:t>
      </w:r>
    </w:p>
    <w:p w14:paraId="6FDD6457" w14:textId="77777777" w:rsidR="00C73207" w:rsidRPr="008545E3" w:rsidRDefault="00CA38AD" w:rsidP="00C73207">
      <w:pPr>
        <w:pStyle w:val="a9"/>
        <w:numPr>
          <w:ilvl w:val="0"/>
          <w:numId w:val="2"/>
        </w:numPr>
        <w:spacing w:after="240" w:line="360" w:lineRule="auto"/>
        <w:jc w:val="both"/>
        <w:rPr>
          <w:rFonts w:ascii="Arial" w:hAnsi="Arial"/>
          <w:rtl/>
        </w:rPr>
      </w:pPr>
      <w:hyperlink r:id="rId25" w:history="1">
        <w:r w:rsidRPr="00CA38AD">
          <w:rPr>
            <w:color w:val="0000FF"/>
            <w:u w:val="single"/>
            <w:rtl/>
          </w:rPr>
          <w:t>ת"פ (מחוזי י-ם) 24215-06-13</w:t>
        </w:r>
      </w:hyperlink>
      <w:r w:rsidR="00C73207" w:rsidRPr="008545E3">
        <w:rPr>
          <w:rFonts w:hint="cs"/>
          <w:rtl/>
        </w:rPr>
        <w:t xml:space="preserve">, </w:t>
      </w:r>
      <w:r w:rsidR="00C73207" w:rsidRPr="008545E3">
        <w:rPr>
          <w:rFonts w:hint="cs"/>
          <w:b/>
          <w:bCs/>
          <w:rtl/>
        </w:rPr>
        <w:t xml:space="preserve">מדינת ישראל נ' פואד דוידאר (17.2.14) </w:t>
      </w:r>
      <w:r w:rsidR="00C73207" w:rsidRPr="008545E3">
        <w:rPr>
          <w:rtl/>
        </w:rPr>
        <w:t>–</w:t>
      </w:r>
      <w:r w:rsidR="00C73207" w:rsidRPr="008545E3">
        <w:rPr>
          <w:rFonts w:hint="cs"/>
          <w:rtl/>
        </w:rPr>
        <w:t xml:space="preserve"> הנאשמים הורשעו בסחר בנשק במסגרת הסדרי טיעון שלא כללו הסכמה מלאה בעניין העונש. מדובר במכירת רובה קרל גוסטב לסוכן משטרתי. נאשם 2 טען כי ביצע את העבירות על רקע מצוקה כלכלית. נקבע מתחם ענישה שבין 24 ל-48 חודשי מאסר לנאשם 2, ובין 15 ל-24 חודשים לנאשם 1, אשר ביצע למעשה עבירה של תיווך. נאשם 1 נדון ל-20 חודשי מאסר בפועל ומאסר על תנאי, ונאשם 2 נדון ל-36 חודשי מאסר בפועל ומאסר על תנאי.</w:t>
      </w:r>
    </w:p>
    <w:p w14:paraId="1B5F441C" w14:textId="77777777" w:rsidR="00C73207" w:rsidRPr="00950943" w:rsidRDefault="00CA38AD" w:rsidP="00C73207">
      <w:pPr>
        <w:numPr>
          <w:ilvl w:val="0"/>
          <w:numId w:val="1"/>
        </w:numPr>
        <w:spacing w:after="120" w:line="360" w:lineRule="auto"/>
        <w:contextualSpacing/>
        <w:jc w:val="both"/>
        <w:rPr>
          <w:rFonts w:ascii="Arial" w:hAnsi="Arial"/>
        </w:rPr>
      </w:pPr>
      <w:hyperlink r:id="rId26" w:history="1">
        <w:r w:rsidRPr="00CA38AD">
          <w:rPr>
            <w:rFonts w:ascii="Arial" w:hAnsi="Arial"/>
            <w:color w:val="0000FF"/>
            <w:u w:val="single"/>
            <w:rtl/>
          </w:rPr>
          <w:t>ת"פ (מחוזי י-ם) 52515-03-20</w:t>
        </w:r>
      </w:hyperlink>
      <w:r w:rsidR="00C73207" w:rsidRPr="00950943">
        <w:rPr>
          <w:rFonts w:ascii="Arial" w:hAnsi="Arial"/>
          <w:rtl/>
        </w:rPr>
        <w:t xml:space="preserve"> </w:t>
      </w:r>
      <w:r w:rsidR="00C73207" w:rsidRPr="00950943">
        <w:rPr>
          <w:rFonts w:ascii="Arial" w:hAnsi="Arial"/>
          <w:b/>
          <w:bCs/>
          <w:rtl/>
        </w:rPr>
        <w:t xml:space="preserve">מדינת ישראל נ' מורשד סנדוקה </w:t>
      </w:r>
      <w:r w:rsidR="00C73207" w:rsidRPr="00950943">
        <w:rPr>
          <w:rFonts w:ascii="Arial" w:hAnsi="Arial"/>
          <w:rtl/>
        </w:rPr>
        <w:t>19.10.20) – נאשם 2 הורשע בעבי</w:t>
      </w:r>
      <w:r w:rsidR="00C73207" w:rsidRPr="008545E3">
        <w:rPr>
          <w:rFonts w:ascii="Arial" w:hAnsi="Arial"/>
          <w:rtl/>
        </w:rPr>
        <w:t>רה של החזקת נשק, תת מקלע מאולתר</w:t>
      </w:r>
      <w:r w:rsidR="00C73207" w:rsidRPr="00950943">
        <w:rPr>
          <w:rFonts w:ascii="Arial" w:hAnsi="Arial"/>
          <w:rtl/>
        </w:rPr>
        <w:t xml:space="preserve"> ברכבו. נקבע מתחם של 7-20 חודשי מאסר, והנאשם, צעיר נורמטיבי, נדון ל – 7 חודשי מאסר ועונשים נלווים.</w:t>
      </w:r>
    </w:p>
    <w:p w14:paraId="30C4AC3B" w14:textId="77777777" w:rsidR="00C73207" w:rsidRPr="00950943" w:rsidRDefault="00CA38AD" w:rsidP="00C73207">
      <w:pPr>
        <w:numPr>
          <w:ilvl w:val="0"/>
          <w:numId w:val="1"/>
        </w:numPr>
        <w:spacing w:after="120" w:line="360" w:lineRule="auto"/>
        <w:contextualSpacing/>
        <w:jc w:val="both"/>
        <w:rPr>
          <w:rFonts w:ascii="Arial" w:hAnsi="Arial"/>
          <w:rtl/>
        </w:rPr>
      </w:pPr>
      <w:hyperlink r:id="rId27" w:history="1">
        <w:r w:rsidRPr="00CA38AD">
          <w:rPr>
            <w:rFonts w:ascii="Arial" w:hAnsi="Arial"/>
            <w:color w:val="0000FF"/>
            <w:u w:val="single"/>
            <w:rtl/>
          </w:rPr>
          <w:t>ת"פ (מחוזי י-ם) 35512-06-17</w:t>
        </w:r>
      </w:hyperlink>
      <w:r w:rsidR="00C73207" w:rsidRPr="00950943">
        <w:rPr>
          <w:rFonts w:ascii="Arial" w:hAnsi="Arial"/>
          <w:rtl/>
        </w:rPr>
        <w:t xml:space="preserve"> </w:t>
      </w:r>
      <w:r w:rsidR="00C73207" w:rsidRPr="00950943">
        <w:rPr>
          <w:rFonts w:ascii="Arial" w:hAnsi="Arial"/>
          <w:b/>
          <w:bCs/>
          <w:rtl/>
        </w:rPr>
        <w:t>מדינת ישראל נ' אל-קעקע בכיראת</w:t>
      </w:r>
      <w:r w:rsidR="00C73207" w:rsidRPr="00950943">
        <w:rPr>
          <w:rFonts w:ascii="Arial" w:hAnsi="Arial"/>
          <w:rtl/>
        </w:rPr>
        <w:t xml:space="preserve"> (7.3.19) – נאשם 2 הודה והורשע בשתי עבירות החזקת נשק, בכך שהסליק מתחת למבנה קרוואן המצוי בבית ספר רובה סער מסוג </w:t>
      </w:r>
      <w:r w:rsidR="00C73207" w:rsidRPr="00950943">
        <w:rPr>
          <w:rFonts w:ascii="Arial" w:hAnsi="Arial"/>
        </w:rPr>
        <w:t>M</w:t>
      </w:r>
      <w:r w:rsidR="00C73207" w:rsidRPr="00950943">
        <w:rPr>
          <w:rFonts w:ascii="Arial" w:hAnsi="Arial"/>
          <w:rtl/>
        </w:rPr>
        <w:t xml:space="preserve">16 וכן אקדח חצי אוטומטי. נקבע מתחם בין 12-24 חודשי מאסר, והנאשם, בעל עבר פלילי מינורי שאינו רלוונטי, נדון ל-12 חודשי מאסר בפועל ומאסר על תנאי. </w:t>
      </w:r>
    </w:p>
    <w:p w14:paraId="041026E8" w14:textId="77777777" w:rsidR="00C73207" w:rsidRPr="00950943" w:rsidRDefault="00CA38AD" w:rsidP="00C73207">
      <w:pPr>
        <w:numPr>
          <w:ilvl w:val="0"/>
          <w:numId w:val="1"/>
        </w:numPr>
        <w:spacing w:after="120" w:line="360" w:lineRule="auto"/>
        <w:contextualSpacing/>
        <w:jc w:val="both"/>
        <w:rPr>
          <w:rFonts w:ascii="Arial" w:hAnsi="Arial"/>
          <w:rtl/>
        </w:rPr>
      </w:pPr>
      <w:hyperlink r:id="rId28" w:history="1">
        <w:r w:rsidRPr="00CA38AD">
          <w:rPr>
            <w:rFonts w:ascii="Arial" w:hAnsi="Arial"/>
            <w:color w:val="0000FF"/>
            <w:u w:val="single"/>
            <w:rtl/>
          </w:rPr>
          <w:t>עפ"ג (נצ') 37217-03-19</w:t>
        </w:r>
      </w:hyperlink>
      <w:r w:rsidR="00C73207" w:rsidRPr="00950943">
        <w:rPr>
          <w:rFonts w:ascii="Arial" w:hAnsi="Arial"/>
          <w:rtl/>
        </w:rPr>
        <w:t xml:space="preserve"> </w:t>
      </w:r>
      <w:r w:rsidR="00C73207" w:rsidRPr="00950943">
        <w:rPr>
          <w:rFonts w:ascii="Arial" w:hAnsi="Arial"/>
          <w:b/>
          <w:bCs/>
          <w:rtl/>
        </w:rPr>
        <w:t>עבדאללה</w:t>
      </w:r>
      <w:r w:rsidR="00C73207" w:rsidRPr="00950943">
        <w:rPr>
          <w:rFonts w:ascii="Arial" w:hAnsi="Arial"/>
          <w:b/>
          <w:bCs/>
        </w:rPr>
        <w:t xml:space="preserve"> </w:t>
      </w:r>
      <w:r w:rsidR="00C73207" w:rsidRPr="00950943">
        <w:rPr>
          <w:rFonts w:ascii="Arial" w:hAnsi="Arial"/>
          <w:b/>
          <w:bCs/>
          <w:rtl/>
        </w:rPr>
        <w:t>ג</w:t>
      </w:r>
      <w:r w:rsidR="00C73207" w:rsidRPr="00950943">
        <w:rPr>
          <w:rFonts w:ascii="Arial" w:hAnsi="Arial"/>
          <w:b/>
          <w:bCs/>
        </w:rPr>
        <w:t>'</w:t>
      </w:r>
      <w:r w:rsidR="00C73207" w:rsidRPr="00950943">
        <w:rPr>
          <w:rFonts w:ascii="Arial" w:hAnsi="Arial"/>
          <w:b/>
          <w:bCs/>
          <w:rtl/>
        </w:rPr>
        <w:t>ואברה</w:t>
      </w:r>
      <w:r w:rsidR="00C73207" w:rsidRPr="00950943">
        <w:rPr>
          <w:rFonts w:ascii="Arial" w:hAnsi="Arial"/>
          <w:b/>
          <w:bCs/>
        </w:rPr>
        <w:t xml:space="preserve"> </w:t>
      </w:r>
      <w:r w:rsidR="00C73207" w:rsidRPr="00950943">
        <w:rPr>
          <w:rFonts w:ascii="Arial" w:hAnsi="Arial"/>
          <w:b/>
          <w:bCs/>
          <w:rtl/>
        </w:rPr>
        <w:t>נ' מדינת</w:t>
      </w:r>
      <w:r w:rsidR="00C73207" w:rsidRPr="00950943">
        <w:rPr>
          <w:rFonts w:ascii="Arial" w:hAnsi="Arial"/>
          <w:b/>
          <w:bCs/>
        </w:rPr>
        <w:t xml:space="preserve"> </w:t>
      </w:r>
      <w:r w:rsidR="00C73207" w:rsidRPr="00950943">
        <w:rPr>
          <w:rFonts w:ascii="Arial" w:hAnsi="Arial"/>
          <w:b/>
          <w:bCs/>
          <w:rtl/>
        </w:rPr>
        <w:t>ישראל</w:t>
      </w:r>
      <w:r w:rsidR="00C73207" w:rsidRPr="00950943">
        <w:rPr>
          <w:rFonts w:ascii="Arial" w:hAnsi="Arial"/>
          <w:rtl/>
        </w:rPr>
        <w:t xml:space="preserve"> (25.11.19) - המערער החזיק בביתו אקדח חצי אוטומטי טעון במחסנית עם כדורים. בבית משפט השלום נקבע מתחם שבין 6-24 חודשי מאסר והמערער נדון ל-8 חודשי מאסר בפועל ועונשים נלווים. הערעור נדחה, תוך התייחסות גם לטענה לפיה הפסיקה הנוהגת המבטאת רמת ענישה נמוכה יותר, ונקבע כי הפסיקה הכירה בצורך להעלות את רמת הענישה בכל קשת עבירות הנשק.    </w:t>
      </w:r>
    </w:p>
    <w:p w14:paraId="7AB15317" w14:textId="77777777" w:rsidR="00C73207" w:rsidRPr="00950943" w:rsidRDefault="00CA38AD" w:rsidP="00C73207">
      <w:pPr>
        <w:numPr>
          <w:ilvl w:val="0"/>
          <w:numId w:val="1"/>
        </w:numPr>
        <w:spacing w:after="120" w:line="360" w:lineRule="auto"/>
        <w:contextualSpacing/>
        <w:jc w:val="both"/>
        <w:rPr>
          <w:rFonts w:ascii="Arial" w:hAnsi="Arial"/>
        </w:rPr>
      </w:pPr>
      <w:hyperlink r:id="rId29" w:history="1">
        <w:r w:rsidRPr="00CA38AD">
          <w:rPr>
            <w:rFonts w:ascii="Arial" w:hAnsi="Arial"/>
            <w:color w:val="0000FF"/>
            <w:u w:val="single"/>
            <w:rtl/>
          </w:rPr>
          <w:t>ת"פ (מחוזי י-ם) 62597-10-17</w:t>
        </w:r>
      </w:hyperlink>
      <w:r w:rsidR="00C73207" w:rsidRPr="00950943">
        <w:rPr>
          <w:rFonts w:ascii="Arial" w:hAnsi="Arial"/>
          <w:rtl/>
        </w:rPr>
        <w:t xml:space="preserve"> </w:t>
      </w:r>
      <w:r w:rsidR="00C73207" w:rsidRPr="00950943">
        <w:rPr>
          <w:rFonts w:ascii="Arial" w:hAnsi="Arial"/>
          <w:b/>
          <w:bCs/>
          <w:rtl/>
        </w:rPr>
        <w:t>מדינת ישראל נ' פלוני</w:t>
      </w:r>
      <w:r w:rsidR="00C73207" w:rsidRPr="00950943">
        <w:rPr>
          <w:rFonts w:ascii="Arial" w:hAnsi="Arial"/>
          <w:rtl/>
        </w:rPr>
        <w:t xml:space="preserve"> (6.1.19) - הנאשם הורשע בנשיאת והובלת נשק – אקדח, מחסנית וכדורים, מביתו שבלקיה אל מחוץ ליישוב. הנאשם צעיר, בעל עבר פלילי מינורי כנער. נקבע מתחם ענישה בין  6-30 חודשי</w:t>
      </w:r>
      <w:r w:rsidR="00C73207" w:rsidRPr="008545E3">
        <w:rPr>
          <w:rFonts w:ascii="Arial" w:hAnsi="Arial"/>
          <w:rtl/>
        </w:rPr>
        <w:t xml:space="preserve"> מאסר, ועל הנאשם נגזרו 6 חודשי </w:t>
      </w:r>
      <w:r w:rsidR="00C73207" w:rsidRPr="00950943">
        <w:rPr>
          <w:rFonts w:ascii="Arial" w:hAnsi="Arial"/>
          <w:rtl/>
        </w:rPr>
        <w:t>מ</w:t>
      </w:r>
      <w:r w:rsidR="00C73207" w:rsidRPr="008545E3">
        <w:rPr>
          <w:rFonts w:ascii="Arial" w:hAnsi="Arial" w:hint="cs"/>
          <w:rtl/>
        </w:rPr>
        <w:t>א</w:t>
      </w:r>
      <w:r w:rsidR="00C73207" w:rsidRPr="00950943">
        <w:rPr>
          <w:rFonts w:ascii="Arial" w:hAnsi="Arial"/>
          <w:rtl/>
        </w:rPr>
        <w:t xml:space="preserve">סר בעבודות שירות. </w:t>
      </w:r>
    </w:p>
    <w:p w14:paraId="7FCD9E20" w14:textId="77777777" w:rsidR="00C73207" w:rsidRPr="00950943" w:rsidRDefault="00CA38AD" w:rsidP="00C73207">
      <w:pPr>
        <w:numPr>
          <w:ilvl w:val="0"/>
          <w:numId w:val="1"/>
        </w:numPr>
        <w:spacing w:after="120" w:line="360" w:lineRule="auto"/>
        <w:contextualSpacing/>
        <w:jc w:val="both"/>
        <w:rPr>
          <w:rFonts w:ascii="Arial" w:hAnsi="Arial"/>
        </w:rPr>
      </w:pPr>
      <w:hyperlink r:id="rId30" w:history="1">
        <w:r w:rsidRPr="00CA38AD">
          <w:rPr>
            <w:rFonts w:ascii="Arial" w:hAnsi="Arial"/>
            <w:color w:val="0000FF"/>
            <w:u w:val="single"/>
            <w:rtl/>
          </w:rPr>
          <w:t>ת"פ (מחוזי י-ם) 11786-06-16</w:t>
        </w:r>
      </w:hyperlink>
      <w:r w:rsidR="00C73207" w:rsidRPr="00950943">
        <w:rPr>
          <w:rFonts w:ascii="Arial" w:hAnsi="Arial"/>
          <w:rtl/>
        </w:rPr>
        <w:t xml:space="preserve"> </w:t>
      </w:r>
      <w:r w:rsidR="00C73207" w:rsidRPr="00950943">
        <w:rPr>
          <w:rFonts w:ascii="Arial" w:hAnsi="Arial"/>
          <w:b/>
          <w:bCs/>
          <w:rtl/>
        </w:rPr>
        <w:t>מדינת ישראל נ' מאהר רזאק</w:t>
      </w:r>
      <w:r w:rsidR="00C73207" w:rsidRPr="00950943">
        <w:rPr>
          <w:rFonts w:ascii="Arial" w:hAnsi="Arial"/>
          <w:rtl/>
        </w:rPr>
        <w:t xml:space="preserve"> (18.6.18) – הנאשם הודה והורשע בהחזקת רימוני הלם שנמצאו על ידו למשך זמן קצר. נקבע מתחם הנע בין מאסר קצר שיכול שירוצה בעבודות שירות לבין 18 חודשי מאסר, בהתחשב בכך שמדובר ברימוני הלם שהסיכון הנשקף מהם נמוך והעבירה ברף התחתון. </w:t>
      </w:r>
    </w:p>
    <w:p w14:paraId="0E382CBC" w14:textId="77777777" w:rsidR="00C73207" w:rsidRPr="00950943" w:rsidRDefault="009A3F21" w:rsidP="00C73207">
      <w:pPr>
        <w:rPr>
          <w:rFonts w:ascii="Arial" w:hAnsi="Arial"/>
          <w:rtl/>
        </w:rPr>
      </w:pPr>
      <w:hyperlink w:history="1"/>
    </w:p>
    <w:p w14:paraId="1C18EC8F" w14:textId="77777777" w:rsidR="00C73207" w:rsidRPr="008545E3" w:rsidRDefault="00C73207" w:rsidP="00C73207">
      <w:pPr>
        <w:spacing w:after="240" w:line="360" w:lineRule="auto"/>
        <w:jc w:val="both"/>
        <w:rPr>
          <w:rFonts w:ascii="Arial" w:hAnsi="Arial"/>
          <w:rtl/>
        </w:rPr>
      </w:pPr>
      <w:r w:rsidRPr="008545E3">
        <w:rPr>
          <w:rFonts w:ascii="Arial" w:hAnsi="Arial" w:hint="cs"/>
          <w:rtl/>
        </w:rPr>
        <w:t>15.</w:t>
      </w:r>
      <w:r w:rsidRPr="00950943">
        <w:rPr>
          <w:rFonts w:ascii="Arial" w:hAnsi="Arial"/>
          <w:b/>
          <w:bCs/>
          <w:rtl/>
        </w:rPr>
        <w:tab/>
      </w:r>
      <w:r w:rsidRPr="008545E3">
        <w:rPr>
          <w:rFonts w:ascii="Arial" w:hAnsi="Arial" w:hint="cs"/>
          <w:rtl/>
        </w:rPr>
        <w:t>אני מפנה עוד, בין היתר, ל</w:t>
      </w:r>
      <w:hyperlink r:id="rId31" w:history="1">
        <w:r w:rsidR="00CA38AD" w:rsidRPr="00CA38AD">
          <w:rPr>
            <w:rFonts w:ascii="Arial" w:hAnsi="Arial"/>
            <w:color w:val="0000FF"/>
            <w:u w:val="single"/>
            <w:rtl/>
          </w:rPr>
          <w:t>ע"פ 8045/17</w:t>
        </w:r>
      </w:hyperlink>
      <w:r w:rsidRPr="008545E3">
        <w:rPr>
          <w:rFonts w:ascii="Arial" w:hAnsi="Arial" w:hint="cs"/>
          <w:rtl/>
        </w:rPr>
        <w:t xml:space="preserve"> </w:t>
      </w:r>
      <w:r w:rsidRPr="008545E3">
        <w:rPr>
          <w:rFonts w:ascii="Arial" w:hAnsi="Arial" w:hint="cs"/>
          <w:b/>
          <w:bCs/>
          <w:rtl/>
        </w:rPr>
        <w:t>מחמוד ברנסי נ' מדינת ישראל</w:t>
      </w:r>
      <w:r w:rsidRPr="008545E3">
        <w:rPr>
          <w:rFonts w:ascii="Arial" w:hAnsi="Arial" w:hint="cs"/>
          <w:rtl/>
        </w:rPr>
        <w:t xml:space="preserve"> (16.8.18); </w:t>
      </w:r>
      <w:hyperlink r:id="rId32" w:history="1">
        <w:r w:rsidR="00CA38AD" w:rsidRPr="00CA38AD">
          <w:rPr>
            <w:rFonts w:ascii="Arial" w:hAnsi="Arial"/>
            <w:color w:val="0000FF"/>
            <w:u w:val="single"/>
            <w:rtl/>
          </w:rPr>
          <w:t>ע"פ 3281/19</w:t>
        </w:r>
      </w:hyperlink>
      <w:r w:rsidRPr="008545E3">
        <w:rPr>
          <w:rFonts w:ascii="Arial" w:hAnsi="Arial" w:hint="cs"/>
          <w:rtl/>
        </w:rPr>
        <w:t xml:space="preserve"> </w:t>
      </w:r>
      <w:r w:rsidRPr="008545E3">
        <w:rPr>
          <w:rFonts w:ascii="Arial" w:hAnsi="Arial" w:hint="cs"/>
          <w:b/>
          <w:bCs/>
          <w:rtl/>
        </w:rPr>
        <w:t>רון כריסי נ' מדינת ישראל</w:t>
      </w:r>
      <w:r w:rsidRPr="008545E3">
        <w:rPr>
          <w:rFonts w:ascii="Arial" w:hAnsi="Arial" w:hint="cs"/>
          <w:rtl/>
        </w:rPr>
        <w:t xml:space="preserve">; </w:t>
      </w:r>
      <w:hyperlink r:id="rId33" w:history="1">
        <w:r w:rsidR="00CA38AD" w:rsidRPr="00CA38AD">
          <w:rPr>
            <w:rFonts w:ascii="Arial" w:hAnsi="Arial"/>
            <w:color w:val="0000FF"/>
            <w:u w:val="single"/>
            <w:rtl/>
          </w:rPr>
          <w:t>ת"פ (י-ם) 35684-04-18</w:t>
        </w:r>
      </w:hyperlink>
      <w:r w:rsidRPr="008545E3">
        <w:rPr>
          <w:rFonts w:ascii="Arial" w:hAnsi="Arial" w:hint="cs"/>
          <w:rtl/>
        </w:rPr>
        <w:t xml:space="preserve"> </w:t>
      </w:r>
      <w:r w:rsidRPr="008545E3">
        <w:rPr>
          <w:rFonts w:ascii="Arial" w:hAnsi="Arial" w:hint="cs"/>
          <w:b/>
          <w:bCs/>
          <w:rtl/>
        </w:rPr>
        <w:t xml:space="preserve">מדינת ישראל נ' פריד שחאדה </w:t>
      </w:r>
      <w:r w:rsidRPr="008545E3">
        <w:rPr>
          <w:rFonts w:ascii="Arial" w:hAnsi="Arial" w:hint="cs"/>
          <w:rtl/>
        </w:rPr>
        <w:t>(1.5.19). כן אפנה ל</w:t>
      </w:r>
      <w:hyperlink r:id="rId34" w:history="1">
        <w:r w:rsidR="00CA38AD" w:rsidRPr="00CA38AD">
          <w:rPr>
            <w:rFonts w:ascii="Arial" w:hAnsi="Arial"/>
            <w:color w:val="0000FF"/>
            <w:u w:val="single"/>
            <w:rtl/>
          </w:rPr>
          <w:t>ת"פ (י-ם) 11789-12-16</w:t>
        </w:r>
      </w:hyperlink>
      <w:r w:rsidRPr="008545E3">
        <w:rPr>
          <w:rFonts w:ascii="Arial" w:hAnsi="Arial" w:hint="cs"/>
          <w:rtl/>
        </w:rPr>
        <w:t xml:space="preserve"> </w:t>
      </w:r>
      <w:r w:rsidRPr="008545E3">
        <w:rPr>
          <w:rFonts w:ascii="Arial" w:hAnsi="Arial"/>
          <w:b/>
          <w:bCs/>
          <w:rtl/>
        </w:rPr>
        <w:t>מדינת ישראל נ' ג'אבר</w:t>
      </w:r>
      <w:r w:rsidRPr="008545E3">
        <w:rPr>
          <w:rFonts w:ascii="Arial" w:hAnsi="Arial" w:hint="cs"/>
          <w:rtl/>
        </w:rPr>
        <w:t xml:space="preserve"> (31.12.17) שנדון בפני, בו</w:t>
      </w:r>
      <w:r w:rsidRPr="008545E3">
        <w:rPr>
          <w:rFonts w:ascii="Arial" w:hAnsi="Arial" w:hint="cs"/>
          <w:b/>
          <w:bCs/>
          <w:rtl/>
        </w:rPr>
        <w:t xml:space="preserve"> </w:t>
      </w:r>
      <w:r w:rsidRPr="008545E3">
        <w:rPr>
          <w:rFonts w:ascii="Arial" w:hAnsi="Arial" w:hint="cs"/>
          <w:rtl/>
        </w:rPr>
        <w:t xml:space="preserve">קבעתי מתחם ענישה לעבירות סחר בנשק בין 20-48 שחודשי מאסר, ולעבירות עסקה או תיווך שלא הבשילו לכדי סחר כשלושה רבעים מהעבירה המושלמת. </w:t>
      </w:r>
      <w:r w:rsidRPr="008545E3">
        <w:rPr>
          <w:rFonts w:ascii="David" w:hAnsi="David" w:hint="cs"/>
          <w:sz w:val="22"/>
          <w:szCs w:val="22"/>
          <w:rtl/>
        </w:rPr>
        <w:t>ב</w:t>
      </w:r>
      <w:hyperlink r:id="rId35" w:history="1">
        <w:r w:rsidR="00CA38AD" w:rsidRPr="00CA38AD">
          <w:rPr>
            <w:rFonts w:ascii="David" w:hAnsi="David"/>
            <w:color w:val="0000FF"/>
            <w:sz w:val="22"/>
            <w:szCs w:val="22"/>
            <w:u w:val="single"/>
            <w:rtl/>
          </w:rPr>
          <w:t>ת"פ (י-ם) 58505-11-19</w:t>
        </w:r>
      </w:hyperlink>
      <w:r w:rsidRPr="008545E3">
        <w:rPr>
          <w:rFonts w:ascii="David" w:hAnsi="David"/>
          <w:sz w:val="22"/>
          <w:szCs w:val="22"/>
          <w:rtl/>
        </w:rPr>
        <w:t xml:space="preserve"> </w:t>
      </w:r>
      <w:r w:rsidRPr="008545E3">
        <w:rPr>
          <w:rFonts w:ascii="David" w:hAnsi="David"/>
          <w:b/>
          <w:bCs/>
          <w:sz w:val="22"/>
          <w:szCs w:val="22"/>
          <w:rtl/>
        </w:rPr>
        <w:t>מדינת ישראל נ' אחמד רישק</w:t>
      </w:r>
      <w:r w:rsidRPr="008545E3">
        <w:rPr>
          <w:rFonts w:ascii="Arial" w:hAnsi="Arial" w:hint="cs"/>
          <w:rtl/>
        </w:rPr>
        <w:t xml:space="preserve"> (29.10.20) שאף הוא נדון בפני קבעתי מתחם שבין 20-40 חודשי מאסר לעבירות של סחר בנשק.</w:t>
      </w:r>
    </w:p>
    <w:p w14:paraId="0337EFA3" w14:textId="77777777" w:rsidR="00C73207" w:rsidRPr="008545E3" w:rsidRDefault="00C73207" w:rsidP="00C73207">
      <w:pPr>
        <w:spacing w:after="240" w:line="360" w:lineRule="auto"/>
        <w:jc w:val="both"/>
        <w:rPr>
          <w:rFonts w:ascii="Arial" w:hAnsi="Arial"/>
          <w:rtl/>
        </w:rPr>
      </w:pPr>
      <w:r w:rsidRPr="008545E3">
        <w:rPr>
          <w:rFonts w:ascii="Arial" w:hAnsi="Arial" w:hint="cs"/>
          <w:rtl/>
        </w:rPr>
        <w:t xml:space="preserve">עיינתי גם בגזרי דין שניתנו לנאשמים אחרים באותה פרשה על ידי מותבים אחרים בבית משפט זה:  </w:t>
      </w:r>
      <w:hyperlink r:id="rId36" w:history="1">
        <w:r w:rsidR="00CA38AD" w:rsidRPr="00CA38AD">
          <w:rPr>
            <w:rFonts w:ascii="Arial" w:hAnsi="Arial"/>
            <w:color w:val="0000FF"/>
            <w:u w:val="single"/>
            <w:rtl/>
          </w:rPr>
          <w:t>ת"פ 37175-07-20</w:t>
        </w:r>
      </w:hyperlink>
      <w:r w:rsidRPr="008545E3">
        <w:rPr>
          <w:rFonts w:ascii="Arial" w:hAnsi="Arial" w:hint="cs"/>
          <w:rtl/>
        </w:rPr>
        <w:t xml:space="preserve">; </w:t>
      </w:r>
      <w:hyperlink r:id="rId37" w:history="1">
        <w:r w:rsidR="00CA38AD" w:rsidRPr="00CA38AD">
          <w:rPr>
            <w:rFonts w:ascii="Arial" w:hAnsi="Arial"/>
            <w:color w:val="0000FF"/>
            <w:u w:val="single"/>
            <w:rtl/>
          </w:rPr>
          <w:t>ת"פ 70375-07-20</w:t>
        </w:r>
      </w:hyperlink>
      <w:r w:rsidRPr="008545E3">
        <w:rPr>
          <w:rFonts w:ascii="Arial" w:hAnsi="Arial" w:hint="cs"/>
          <w:rtl/>
        </w:rPr>
        <w:t xml:space="preserve">; </w:t>
      </w:r>
      <w:hyperlink r:id="rId38" w:history="1">
        <w:r w:rsidR="00CA38AD" w:rsidRPr="00CA38AD">
          <w:rPr>
            <w:rFonts w:ascii="Arial" w:hAnsi="Arial"/>
            <w:color w:val="0000FF"/>
            <w:u w:val="single"/>
            <w:rtl/>
          </w:rPr>
          <w:t>ת"פ 36909-07-20</w:t>
        </w:r>
        <w:r w:rsidR="00CA38AD" w:rsidRPr="00CA38AD">
          <w:rPr>
            <w:rFonts w:ascii="Arial" w:hAnsi="Arial"/>
            <w:color w:val="0000FF"/>
            <w:u w:val="single"/>
            <w:rtl/>
          </w:rPr>
          <w:cr/>
        </w:r>
      </w:hyperlink>
      <w:r w:rsidRPr="008545E3">
        <w:rPr>
          <w:rFonts w:ascii="Arial" w:hAnsi="Arial" w:hint="cs"/>
          <w:rtl/>
        </w:rPr>
        <w:t>16.</w:t>
      </w:r>
      <w:r w:rsidRPr="008545E3">
        <w:rPr>
          <w:rFonts w:ascii="Arial" w:hAnsi="Arial" w:hint="cs"/>
          <w:rtl/>
        </w:rPr>
        <w:tab/>
        <w:t>בתיק שבפני, בשונה ממרבית המקרים האחרים, תיאור האירועים בכתב האישום אמורפי ואינו כולל פרטים כגון סוג הנשק שנמכר, הסכום ששולם או היה אמור להיות משולם עבורו, זהות המעורבים וכדומה. זאת ככל הנראה בשל העובדה שהמקור הראייתי העיקרי הוא האזנות הסתר. כך שאין בפני נתונים באשר לסוג הנשק שנמכר או שהוחזק, איכותו, מידת תקינותו ומידת הסכנה הנשקפת ממנו. עובדה זו פועלת במידת מה לזכות הנאשם, אם כי כל נשק חם באשר הוא מהווה סכנה ממשית.</w:t>
      </w:r>
    </w:p>
    <w:p w14:paraId="13F0F0D9" w14:textId="77777777" w:rsidR="00C73207" w:rsidRPr="00950943" w:rsidRDefault="00C73207" w:rsidP="00C73207">
      <w:pPr>
        <w:spacing w:after="240" w:line="360" w:lineRule="auto"/>
        <w:jc w:val="both"/>
        <w:rPr>
          <w:rFonts w:ascii="Arial" w:hAnsi="Arial"/>
          <w:b/>
          <w:bCs/>
        </w:rPr>
      </w:pPr>
      <w:r w:rsidRPr="008545E3">
        <w:rPr>
          <w:rFonts w:ascii="Arial" w:hAnsi="Arial" w:hint="cs"/>
          <w:b/>
          <w:bCs/>
          <w:rtl/>
        </w:rPr>
        <w:t>17.</w:t>
      </w:r>
      <w:r w:rsidRPr="008545E3">
        <w:rPr>
          <w:rFonts w:ascii="Arial" w:hAnsi="Arial" w:hint="cs"/>
          <w:b/>
          <w:bCs/>
          <w:rtl/>
        </w:rPr>
        <w:tab/>
      </w:r>
      <w:r w:rsidRPr="00950943">
        <w:rPr>
          <w:rFonts w:ascii="Arial" w:hAnsi="Arial"/>
          <w:b/>
          <w:bCs/>
          <w:rtl/>
        </w:rPr>
        <w:t>לנוכח כל האמור אני קובעת מתחם ענישה</w:t>
      </w:r>
      <w:r w:rsidRPr="008545E3">
        <w:rPr>
          <w:rFonts w:ascii="Arial" w:hAnsi="Arial" w:hint="cs"/>
          <w:b/>
          <w:bCs/>
          <w:rtl/>
        </w:rPr>
        <w:t xml:space="preserve"> כולל לעבירות בהן הורשע הנאשם בטווח שבין 36-90 חודשי מאסר בפועל. </w:t>
      </w:r>
    </w:p>
    <w:p w14:paraId="1D5463E4" w14:textId="77777777" w:rsidR="00C73207" w:rsidRPr="00950943" w:rsidRDefault="00C73207" w:rsidP="00C73207">
      <w:pPr>
        <w:spacing w:after="240" w:line="360" w:lineRule="auto"/>
        <w:jc w:val="both"/>
        <w:rPr>
          <w:rFonts w:ascii="Arial" w:hAnsi="Arial"/>
          <w:b/>
          <w:bCs/>
          <w:u w:val="single"/>
          <w:rtl/>
        </w:rPr>
      </w:pPr>
      <w:r w:rsidRPr="00950943">
        <w:rPr>
          <w:rFonts w:ascii="Arial" w:hAnsi="Arial"/>
          <w:b/>
          <w:bCs/>
          <w:u w:val="single"/>
          <w:rtl/>
        </w:rPr>
        <w:t xml:space="preserve">העונש ההולם במקרה זה </w:t>
      </w:r>
    </w:p>
    <w:p w14:paraId="4988EF01" w14:textId="77777777" w:rsidR="00C73207" w:rsidRPr="008545E3" w:rsidRDefault="00C73207" w:rsidP="00C73207">
      <w:pPr>
        <w:spacing w:after="240" w:line="360" w:lineRule="auto"/>
        <w:jc w:val="both"/>
        <w:rPr>
          <w:rFonts w:ascii="Arial" w:hAnsi="Arial"/>
          <w:rtl/>
        </w:rPr>
      </w:pPr>
      <w:r w:rsidRPr="00950943">
        <w:rPr>
          <w:rFonts w:ascii="Arial" w:hAnsi="Arial"/>
          <w:rtl/>
        </w:rPr>
        <w:t>1</w:t>
      </w:r>
      <w:r w:rsidRPr="008545E3">
        <w:rPr>
          <w:rFonts w:ascii="Arial" w:hAnsi="Arial" w:hint="cs"/>
          <w:rtl/>
        </w:rPr>
        <w:t>8</w:t>
      </w:r>
      <w:r w:rsidRPr="00950943">
        <w:rPr>
          <w:rFonts w:ascii="Arial" w:hAnsi="Arial"/>
          <w:rtl/>
        </w:rPr>
        <w:t>.</w:t>
      </w:r>
      <w:r w:rsidRPr="00950943">
        <w:rPr>
          <w:rFonts w:ascii="Arial" w:hAnsi="Arial"/>
          <w:rtl/>
        </w:rPr>
        <w:tab/>
        <w:t>הנאשם הודה במסגרת הסדר ט</w:t>
      </w:r>
      <w:r w:rsidRPr="008545E3">
        <w:rPr>
          <w:rFonts w:ascii="Arial" w:hAnsi="Arial"/>
          <w:rtl/>
        </w:rPr>
        <w:t xml:space="preserve">יעון, נטל אחריות וחסך זמן </w:t>
      </w:r>
      <w:r w:rsidRPr="008545E3">
        <w:rPr>
          <w:rFonts w:ascii="Arial" w:hAnsi="Arial" w:hint="cs"/>
          <w:rtl/>
        </w:rPr>
        <w:t>ומשאבים ציבוריים</w:t>
      </w:r>
      <w:r w:rsidRPr="00950943">
        <w:rPr>
          <w:rFonts w:ascii="Arial" w:hAnsi="Arial"/>
          <w:rtl/>
        </w:rPr>
        <w:t xml:space="preserve">. </w:t>
      </w:r>
      <w:r w:rsidRPr="008545E3">
        <w:rPr>
          <w:rFonts w:ascii="Arial" w:hAnsi="Arial" w:hint="cs"/>
          <w:rtl/>
        </w:rPr>
        <w:t xml:space="preserve">מאידך, לחובתו הרשעות קודמות. אמנם לא בעבירות נשק, אולם לא ניתן להתעלם מעברו הפלילי של הנאשם ומכך שריצה עונשי מאסר בעבר. </w:t>
      </w:r>
    </w:p>
    <w:p w14:paraId="2545D6A7" w14:textId="77777777" w:rsidR="00C73207" w:rsidRPr="008545E3" w:rsidRDefault="00C73207" w:rsidP="00C73207">
      <w:pPr>
        <w:spacing w:after="240" w:line="360" w:lineRule="auto"/>
        <w:ind w:firstLine="720"/>
        <w:jc w:val="both"/>
        <w:rPr>
          <w:rFonts w:ascii="Arial" w:hAnsi="Arial"/>
          <w:rtl/>
        </w:rPr>
      </w:pPr>
      <w:r w:rsidRPr="008545E3">
        <w:rPr>
          <w:rFonts w:ascii="Arial" w:hAnsi="Arial" w:hint="cs"/>
          <w:rtl/>
        </w:rPr>
        <w:t xml:space="preserve">המניע למעשים, כפי שעולה מתסקיר שירות המבחן, הוא כספי. עם זאת, בשל מצבו הכלכלי של הנאשם, העובדה שמוטל עליו עונש מאסר משמעותי, שהוא כשלעצמו מרתיע, והרצון שלא להטיל נטל נוסף על בני משפחתו אמנע מהטלת קנס כספי. </w:t>
      </w:r>
    </w:p>
    <w:p w14:paraId="03487D9E" w14:textId="77777777" w:rsidR="00C73207" w:rsidRPr="008545E3" w:rsidRDefault="00C73207" w:rsidP="00C73207">
      <w:pPr>
        <w:spacing w:after="240" w:line="360" w:lineRule="auto"/>
        <w:ind w:firstLine="720"/>
        <w:jc w:val="both"/>
        <w:rPr>
          <w:rFonts w:ascii="Arial" w:hAnsi="Arial"/>
          <w:rtl/>
        </w:rPr>
      </w:pPr>
    </w:p>
    <w:p w14:paraId="0F07CBAD" w14:textId="77777777" w:rsidR="00C73207" w:rsidRPr="008545E3" w:rsidRDefault="00C73207" w:rsidP="00C73207">
      <w:pPr>
        <w:spacing w:after="240" w:line="360" w:lineRule="auto"/>
        <w:ind w:firstLine="720"/>
        <w:jc w:val="both"/>
        <w:rPr>
          <w:rFonts w:ascii="Arial" w:hAnsi="Arial"/>
          <w:rtl/>
        </w:rPr>
      </w:pPr>
    </w:p>
    <w:p w14:paraId="391D64F2" w14:textId="77777777" w:rsidR="00C73207" w:rsidRPr="008545E3" w:rsidRDefault="00C73207" w:rsidP="00C73207">
      <w:pPr>
        <w:spacing w:after="240" w:line="360" w:lineRule="auto"/>
        <w:jc w:val="both"/>
        <w:rPr>
          <w:rFonts w:ascii="Arial" w:hAnsi="Arial"/>
          <w:rtl/>
        </w:rPr>
      </w:pPr>
      <w:r w:rsidRPr="008545E3">
        <w:rPr>
          <w:rFonts w:ascii="Arial" w:hAnsi="Arial" w:hint="cs"/>
          <w:rtl/>
        </w:rPr>
        <w:t>19.</w:t>
      </w:r>
      <w:r w:rsidRPr="008545E3">
        <w:rPr>
          <w:rFonts w:ascii="Arial" w:hAnsi="Arial" w:hint="cs"/>
          <w:rtl/>
        </w:rPr>
        <w:tab/>
        <w:t xml:space="preserve">לאור כל האמור אני דנה את הנאשם לעונש כמפורט להלן: </w:t>
      </w:r>
    </w:p>
    <w:p w14:paraId="37B67221" w14:textId="77777777" w:rsidR="00C73207" w:rsidRPr="008545E3" w:rsidRDefault="00C73207" w:rsidP="00C73207">
      <w:pPr>
        <w:spacing w:after="240" w:line="360" w:lineRule="auto"/>
        <w:ind w:firstLine="720"/>
        <w:jc w:val="both"/>
        <w:rPr>
          <w:rFonts w:ascii="Arial" w:hAnsi="Arial"/>
          <w:rtl/>
        </w:rPr>
      </w:pPr>
      <w:r w:rsidRPr="008545E3">
        <w:rPr>
          <w:rFonts w:ascii="Arial" w:hAnsi="Arial" w:hint="cs"/>
          <w:rtl/>
        </w:rPr>
        <w:t xml:space="preserve">1. </w:t>
      </w:r>
      <w:r w:rsidRPr="008545E3">
        <w:rPr>
          <w:rFonts w:ascii="Arial" w:hAnsi="Arial" w:hint="cs"/>
          <w:rtl/>
        </w:rPr>
        <w:tab/>
        <w:t xml:space="preserve">מאסר בפועל למשך ארבע וחצי שנים, בניכוי ימי מעצרו של הנאשם. </w:t>
      </w:r>
    </w:p>
    <w:p w14:paraId="6D452A23" w14:textId="77777777" w:rsidR="00C73207" w:rsidRPr="00950943" w:rsidRDefault="00C73207" w:rsidP="00C73207">
      <w:pPr>
        <w:spacing w:after="240" w:line="360" w:lineRule="auto"/>
        <w:ind w:firstLine="720"/>
        <w:jc w:val="both"/>
        <w:rPr>
          <w:rFonts w:ascii="Arial" w:hAnsi="Arial"/>
          <w:rtl/>
        </w:rPr>
      </w:pPr>
      <w:r w:rsidRPr="008545E3">
        <w:rPr>
          <w:rFonts w:ascii="Arial" w:hAnsi="Arial" w:hint="cs"/>
          <w:rtl/>
        </w:rPr>
        <w:t xml:space="preserve">2. </w:t>
      </w:r>
      <w:r w:rsidRPr="008545E3">
        <w:rPr>
          <w:rFonts w:ascii="Arial" w:hAnsi="Arial"/>
          <w:rtl/>
        </w:rPr>
        <w:tab/>
      </w:r>
      <w:r w:rsidRPr="008545E3">
        <w:rPr>
          <w:rFonts w:ascii="Arial" w:hAnsi="Arial" w:hint="cs"/>
          <w:rtl/>
        </w:rPr>
        <w:t xml:space="preserve">מאסר על תנאי ל-6 חודשים למשך 3 שנים על כל עבירת נשק. </w:t>
      </w:r>
    </w:p>
    <w:p w14:paraId="116E6BDE" w14:textId="77777777" w:rsidR="00C73207" w:rsidRPr="00950943" w:rsidRDefault="00C73207" w:rsidP="00C73207">
      <w:pPr>
        <w:rPr>
          <w:rtl/>
        </w:rPr>
      </w:pPr>
    </w:p>
    <w:p w14:paraId="542CCD88" w14:textId="77777777" w:rsidR="00C73207" w:rsidRPr="00950943" w:rsidRDefault="00C73207" w:rsidP="00C73207">
      <w:pPr>
        <w:rPr>
          <w:rFonts w:ascii="David" w:hAnsi="David"/>
          <w:sz w:val="26"/>
          <w:szCs w:val="26"/>
          <w:rtl/>
        </w:rPr>
      </w:pPr>
    </w:p>
    <w:p w14:paraId="55D5C8D9" w14:textId="77777777" w:rsidR="00C73207" w:rsidRPr="00950943" w:rsidRDefault="00C73207" w:rsidP="00C73207">
      <w:pPr>
        <w:rPr>
          <w:rFonts w:ascii="David" w:hAnsi="David" w:hint="cs"/>
          <w:sz w:val="26"/>
          <w:szCs w:val="26"/>
          <w:rtl/>
        </w:rPr>
      </w:pPr>
      <w:r w:rsidRPr="008545E3">
        <w:rPr>
          <w:rFonts w:ascii="David" w:hAnsi="David" w:hint="cs"/>
          <w:sz w:val="26"/>
          <w:szCs w:val="26"/>
          <w:rtl/>
        </w:rPr>
        <w:t xml:space="preserve">זכות ערעור לבית המשפט העליון תוך 45 יום. </w:t>
      </w:r>
      <w:r w:rsidR="00BE273C">
        <w:rPr>
          <w:rFonts w:ascii="David" w:hAnsi="David" w:hint="cs"/>
          <w:sz w:val="26"/>
          <w:szCs w:val="26"/>
          <w:rtl/>
        </w:rPr>
        <w:t xml:space="preserve"> </w:t>
      </w:r>
    </w:p>
    <w:p w14:paraId="058722FF" w14:textId="77777777" w:rsidR="00C73207" w:rsidRPr="00950943" w:rsidRDefault="00C73207" w:rsidP="00C73207">
      <w:pPr>
        <w:rPr>
          <w:rFonts w:ascii="David" w:hAnsi="David"/>
          <w:sz w:val="26"/>
          <w:szCs w:val="26"/>
          <w:rtl/>
        </w:rPr>
      </w:pPr>
    </w:p>
    <w:p w14:paraId="2C565546" w14:textId="77777777" w:rsidR="00C73207" w:rsidRPr="00950943" w:rsidRDefault="00C73207" w:rsidP="00C73207">
      <w:pPr>
        <w:tabs>
          <w:tab w:val="left" w:pos="3780"/>
        </w:tabs>
        <w:rPr>
          <w:rFonts w:ascii="David" w:hAnsi="David"/>
          <w:sz w:val="26"/>
          <w:szCs w:val="26"/>
          <w:rtl/>
        </w:rPr>
      </w:pPr>
      <w:r w:rsidRPr="00950943">
        <w:rPr>
          <w:rFonts w:ascii="David" w:hAnsi="David"/>
          <w:sz w:val="26"/>
          <w:szCs w:val="26"/>
          <w:rtl/>
        </w:rPr>
        <w:tab/>
      </w:r>
    </w:p>
    <w:p w14:paraId="07122098" w14:textId="77777777" w:rsidR="00C73207" w:rsidRPr="00950943" w:rsidRDefault="00C73207" w:rsidP="00C73207">
      <w:pPr>
        <w:spacing w:line="360" w:lineRule="auto"/>
        <w:jc w:val="both"/>
        <w:rPr>
          <w:rFonts w:ascii="David" w:hAnsi="David"/>
          <w:sz w:val="26"/>
          <w:szCs w:val="26"/>
          <w:rtl/>
        </w:rPr>
      </w:pPr>
      <w:r w:rsidRPr="00950943">
        <w:rPr>
          <w:rFonts w:ascii="David" w:hAnsi="David"/>
          <w:sz w:val="26"/>
          <w:szCs w:val="26"/>
          <w:rtl/>
        </w:rPr>
        <w:t xml:space="preserve">ניתן היום,  </w:t>
      </w:r>
      <w:r>
        <w:rPr>
          <w:rFonts w:ascii="David" w:hAnsi="David"/>
          <w:sz w:val="26"/>
          <w:szCs w:val="26"/>
          <w:rtl/>
        </w:rPr>
        <w:t>ו' אב תשפ"א</w:t>
      </w:r>
      <w:r w:rsidRPr="00950943">
        <w:rPr>
          <w:rFonts w:ascii="David" w:hAnsi="David"/>
          <w:sz w:val="26"/>
          <w:szCs w:val="26"/>
          <w:rtl/>
        </w:rPr>
        <w:t xml:space="preserve">, </w:t>
      </w:r>
      <w:r>
        <w:rPr>
          <w:rFonts w:ascii="David" w:hAnsi="David"/>
          <w:sz w:val="26"/>
          <w:szCs w:val="26"/>
          <w:rtl/>
        </w:rPr>
        <w:t>15 יולי 2021</w:t>
      </w:r>
      <w:r w:rsidRPr="00950943">
        <w:rPr>
          <w:rFonts w:ascii="David" w:hAnsi="David"/>
          <w:sz w:val="26"/>
          <w:szCs w:val="26"/>
          <w:rtl/>
        </w:rPr>
        <w:t>, במעמד הצדדים.</w:t>
      </w:r>
    </w:p>
    <w:p w14:paraId="5D79299B" w14:textId="77777777" w:rsidR="00C73207" w:rsidRPr="00950943" w:rsidRDefault="00C73207" w:rsidP="00C73207">
      <w:pPr>
        <w:rPr>
          <w:rFonts w:ascii="David" w:hAnsi="David"/>
          <w:sz w:val="26"/>
          <w:szCs w:val="26"/>
        </w:rPr>
      </w:pPr>
    </w:p>
    <w:p w14:paraId="0C3DF69B" w14:textId="77777777" w:rsidR="00C73207" w:rsidRPr="00950943" w:rsidRDefault="00C73207" w:rsidP="007F458B">
      <w:pPr>
        <w:jc w:val="center"/>
      </w:pPr>
      <w:r w:rsidRPr="00950943">
        <w:rPr>
          <w:rFonts w:ascii="David" w:hAnsi="David"/>
          <w:sz w:val="26"/>
          <w:szCs w:val="26"/>
          <w:rtl/>
        </w:rPr>
        <w:t xml:space="preserve">   </w:t>
      </w:r>
      <w:r w:rsidRPr="00950943">
        <w:rPr>
          <w:rFonts w:ascii="David" w:hAnsi="David"/>
          <w:sz w:val="26"/>
          <w:szCs w:val="26"/>
          <w:rtl/>
        </w:rPr>
        <w:tab/>
      </w:r>
      <w:r w:rsidRPr="00950943">
        <w:rPr>
          <w:rFonts w:ascii="David" w:hAnsi="David"/>
          <w:sz w:val="26"/>
          <w:szCs w:val="26"/>
          <w:rtl/>
        </w:rPr>
        <w:tab/>
      </w:r>
      <w:r w:rsidRPr="00950943">
        <w:rPr>
          <w:rFonts w:ascii="David" w:hAnsi="David"/>
          <w:sz w:val="26"/>
          <w:szCs w:val="26"/>
          <w:rtl/>
        </w:rPr>
        <w:tab/>
      </w:r>
      <w:r w:rsidRPr="00950943">
        <w:rPr>
          <w:rFonts w:ascii="David" w:hAnsi="David"/>
          <w:sz w:val="26"/>
          <w:szCs w:val="26"/>
          <w:rtl/>
        </w:rPr>
        <w:tab/>
      </w:r>
      <w:r w:rsidRPr="00950943">
        <w:rPr>
          <w:rFonts w:ascii="David" w:hAnsi="David"/>
          <w:sz w:val="26"/>
          <w:szCs w:val="26"/>
          <w:rtl/>
        </w:rPr>
        <w:tab/>
      </w:r>
    </w:p>
    <w:p w14:paraId="402A3CE0" w14:textId="77777777" w:rsidR="00C73207" w:rsidRPr="00950943" w:rsidRDefault="00C73207" w:rsidP="00C73207">
      <w:pPr>
        <w:jc w:val="center"/>
        <w:rPr>
          <w:rFonts w:ascii="David" w:hAnsi="David"/>
          <w:sz w:val="26"/>
          <w:szCs w:val="26"/>
          <w:rtl/>
        </w:rPr>
      </w:pPr>
    </w:p>
    <w:p w14:paraId="2F6E296E" w14:textId="77777777" w:rsidR="00C73207" w:rsidRPr="00CA38AD" w:rsidRDefault="00CA38AD" w:rsidP="00C73207">
      <w:pPr>
        <w:spacing w:line="360" w:lineRule="auto"/>
        <w:jc w:val="both"/>
        <w:rPr>
          <w:rFonts w:ascii="David" w:hAnsi="David"/>
          <w:color w:val="FFFFFF"/>
          <w:sz w:val="2"/>
          <w:szCs w:val="2"/>
          <w:rtl/>
        </w:rPr>
      </w:pPr>
      <w:r w:rsidRPr="00CA38AD">
        <w:rPr>
          <w:rFonts w:ascii="David" w:hAnsi="David"/>
          <w:color w:val="FFFFFF"/>
          <w:sz w:val="2"/>
          <w:szCs w:val="2"/>
          <w:rtl/>
        </w:rPr>
        <w:t>5129371</w:t>
      </w:r>
    </w:p>
    <w:p w14:paraId="30382273" w14:textId="77777777" w:rsidR="00C73207" w:rsidRPr="00CA38AD" w:rsidRDefault="00CA38AD" w:rsidP="00C73207">
      <w:pPr>
        <w:spacing w:line="360" w:lineRule="auto"/>
        <w:jc w:val="both"/>
        <w:rPr>
          <w:rFonts w:ascii="David" w:hAnsi="David"/>
          <w:color w:val="FFFFFF"/>
          <w:sz w:val="2"/>
          <w:szCs w:val="2"/>
          <w:rtl/>
        </w:rPr>
      </w:pPr>
      <w:r w:rsidRPr="00CA38AD">
        <w:rPr>
          <w:rFonts w:ascii="David" w:hAnsi="David"/>
          <w:color w:val="FFFFFF"/>
          <w:sz w:val="2"/>
          <w:szCs w:val="2"/>
          <w:rtl/>
        </w:rPr>
        <w:t>54678313</w:t>
      </w:r>
    </w:p>
    <w:p w14:paraId="748E662C" w14:textId="77777777" w:rsidR="00C73207" w:rsidRPr="008545E3" w:rsidRDefault="00C73207" w:rsidP="00C73207">
      <w:pPr>
        <w:spacing w:line="360" w:lineRule="auto"/>
        <w:jc w:val="both"/>
        <w:rPr>
          <w:rFonts w:ascii="David" w:hAnsi="David"/>
          <w:sz w:val="26"/>
          <w:szCs w:val="26"/>
          <w:rtl/>
        </w:rPr>
      </w:pPr>
    </w:p>
    <w:p w14:paraId="15F2A25E" w14:textId="77777777" w:rsidR="00C73207" w:rsidRPr="008545E3" w:rsidRDefault="00C73207" w:rsidP="00C73207">
      <w:pPr>
        <w:spacing w:line="360" w:lineRule="auto"/>
        <w:jc w:val="both"/>
        <w:rPr>
          <w:rFonts w:ascii="David" w:hAnsi="David"/>
          <w:sz w:val="26"/>
          <w:szCs w:val="26"/>
          <w:rtl/>
        </w:rPr>
      </w:pPr>
    </w:p>
    <w:p w14:paraId="184BB7B5" w14:textId="77777777" w:rsidR="00C73207" w:rsidRPr="008545E3" w:rsidRDefault="00CA38AD" w:rsidP="00C73207">
      <w:pPr>
        <w:rPr>
          <w:rFonts w:ascii="David" w:hAnsi="David"/>
          <w:sz w:val="26"/>
          <w:szCs w:val="26"/>
          <w:rtl/>
        </w:rPr>
      </w:pPr>
      <w:bookmarkStart w:id="8" w:name="Nitan"/>
      <w:r>
        <w:rPr>
          <w:rFonts w:ascii="David" w:hAnsi="David"/>
          <w:sz w:val="26"/>
          <w:szCs w:val="26"/>
          <w:rtl/>
        </w:rPr>
        <w:t xml:space="preserve">ניתן היום,  ו' אב תשפ"א, 15 יולי 2021, בהעדר הצדדים. </w:t>
      </w:r>
      <w:bookmarkEnd w:id="8"/>
    </w:p>
    <w:p w14:paraId="2BD36024" w14:textId="77777777" w:rsidR="00C73207" w:rsidRPr="008545E3" w:rsidRDefault="007F458B" w:rsidP="00C73207">
      <w:pPr>
        <w:jc w:val="center"/>
        <w:rPr>
          <w:rFonts w:ascii="David" w:hAnsi="David"/>
          <w:sz w:val="26"/>
          <w:szCs w:val="26"/>
          <w:rtl/>
        </w:rPr>
      </w:pPr>
      <w:r w:rsidRPr="007F458B">
        <w:rPr>
          <w:rFonts w:ascii="David" w:hAnsi="David"/>
          <w:color w:val="FFFFFF"/>
          <w:sz w:val="2"/>
          <w:szCs w:val="2"/>
          <w:rtl/>
        </w:rPr>
        <w:t>5129371</w:t>
      </w:r>
      <w:r w:rsidR="00C73207" w:rsidRPr="008545E3">
        <w:rPr>
          <w:rFonts w:ascii="David" w:hAnsi="David"/>
          <w:sz w:val="26"/>
          <w:szCs w:val="26"/>
          <w:rtl/>
        </w:rPr>
        <w:t xml:space="preserve">   </w:t>
      </w:r>
      <w:r w:rsidR="00C73207" w:rsidRPr="008545E3">
        <w:rPr>
          <w:rFonts w:ascii="David" w:hAnsi="David"/>
          <w:sz w:val="26"/>
          <w:szCs w:val="26"/>
          <w:rtl/>
        </w:rPr>
        <w:tab/>
      </w:r>
      <w:r w:rsidR="00C73207" w:rsidRPr="008545E3">
        <w:rPr>
          <w:rFonts w:ascii="David" w:hAnsi="David"/>
          <w:sz w:val="26"/>
          <w:szCs w:val="26"/>
          <w:rtl/>
        </w:rPr>
        <w:tab/>
      </w:r>
      <w:r w:rsidR="00C73207" w:rsidRPr="008545E3">
        <w:rPr>
          <w:rFonts w:ascii="David" w:hAnsi="David"/>
          <w:sz w:val="26"/>
          <w:szCs w:val="26"/>
          <w:rtl/>
        </w:rPr>
        <w:tab/>
      </w:r>
      <w:r w:rsidR="00C73207" w:rsidRPr="008545E3">
        <w:rPr>
          <w:rFonts w:ascii="David" w:hAnsi="David"/>
          <w:sz w:val="26"/>
          <w:szCs w:val="26"/>
          <w:rtl/>
        </w:rPr>
        <w:tab/>
      </w:r>
      <w:r w:rsidR="00C73207" w:rsidRPr="008545E3">
        <w:rPr>
          <w:rFonts w:ascii="David" w:hAnsi="David"/>
          <w:sz w:val="26"/>
          <w:szCs w:val="26"/>
          <w:rtl/>
        </w:rPr>
        <w:tab/>
        <w:t>חתימה</w:t>
      </w:r>
    </w:p>
    <w:p w14:paraId="671C0032" w14:textId="77777777" w:rsidR="00F04807" w:rsidRPr="007F458B" w:rsidRDefault="007F458B" w:rsidP="00CA38AD">
      <w:pPr>
        <w:keepNext/>
        <w:rPr>
          <w:rFonts w:ascii="David" w:hAnsi="David"/>
          <w:color w:val="FFFFFF"/>
          <w:sz w:val="2"/>
          <w:szCs w:val="2"/>
          <w:rtl/>
        </w:rPr>
      </w:pPr>
      <w:r w:rsidRPr="007F458B">
        <w:rPr>
          <w:rFonts w:ascii="David" w:hAnsi="David"/>
          <w:color w:val="FFFFFF"/>
          <w:sz w:val="2"/>
          <w:szCs w:val="2"/>
          <w:rtl/>
        </w:rPr>
        <w:t>54678313</w:t>
      </w:r>
    </w:p>
    <w:p w14:paraId="38406411" w14:textId="77777777" w:rsidR="00CA38AD" w:rsidRPr="00CA38AD" w:rsidRDefault="00CA38AD" w:rsidP="00CA38AD">
      <w:pPr>
        <w:keepNext/>
        <w:rPr>
          <w:rFonts w:ascii="David" w:hAnsi="David"/>
          <w:color w:val="000000"/>
          <w:sz w:val="22"/>
          <w:szCs w:val="22"/>
          <w:rtl/>
        </w:rPr>
      </w:pPr>
      <w:r w:rsidRPr="00CA38AD">
        <w:rPr>
          <w:rFonts w:ascii="David" w:hAnsi="David"/>
          <w:color w:val="000000"/>
          <w:sz w:val="22"/>
          <w:szCs w:val="22"/>
          <w:rtl/>
        </w:rPr>
        <w:t>חגית מאק קלמנוביץ 54678313</w:t>
      </w:r>
    </w:p>
    <w:p w14:paraId="194BBB37" w14:textId="77777777" w:rsidR="00CA38AD" w:rsidRDefault="00CA38AD" w:rsidP="00CA38AD">
      <w:r w:rsidRPr="00CA38AD">
        <w:rPr>
          <w:color w:val="000000"/>
          <w:rtl/>
        </w:rPr>
        <w:t>נוסח מסמך זה כפוף לשינויי ניסוח ועריכה</w:t>
      </w:r>
    </w:p>
    <w:p w14:paraId="0959FB0F" w14:textId="77777777" w:rsidR="00CA38AD" w:rsidRDefault="00CA38AD" w:rsidP="00CA38AD">
      <w:pPr>
        <w:rPr>
          <w:rtl/>
        </w:rPr>
      </w:pPr>
    </w:p>
    <w:p w14:paraId="5C012C44" w14:textId="77777777" w:rsidR="00CA38AD" w:rsidRDefault="00CA38AD" w:rsidP="00CA38A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40C00EC" w14:textId="77777777" w:rsidR="007F458B" w:rsidRPr="007F458B" w:rsidRDefault="007F458B" w:rsidP="007F458B">
      <w:pPr>
        <w:keepNext/>
        <w:rPr>
          <w:rFonts w:ascii="David" w:hAnsi="David"/>
          <w:color w:val="000000"/>
          <w:sz w:val="22"/>
          <w:szCs w:val="22"/>
          <w:rtl/>
        </w:rPr>
      </w:pPr>
    </w:p>
    <w:sectPr w:rsidR="007F458B" w:rsidRPr="007F458B" w:rsidSect="007F458B">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3503D" w14:textId="77777777" w:rsidR="00FF696B" w:rsidRDefault="00FF696B" w:rsidP="009A3F21">
      <w:r>
        <w:separator/>
      </w:r>
    </w:p>
  </w:endnote>
  <w:endnote w:type="continuationSeparator" w:id="0">
    <w:p w14:paraId="473BD701" w14:textId="77777777" w:rsidR="00FF696B" w:rsidRDefault="00FF696B" w:rsidP="009A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C198D" w14:textId="77777777" w:rsidR="007F458B" w:rsidRDefault="007F458B" w:rsidP="007F45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2D086C" w14:textId="77777777" w:rsidR="001F1248" w:rsidRPr="007F458B" w:rsidRDefault="007F458B" w:rsidP="007F458B">
    <w:pPr>
      <w:pStyle w:val="a5"/>
      <w:pBdr>
        <w:top w:val="single" w:sz="4" w:space="1" w:color="auto"/>
        <w:between w:val="single" w:sz="4" w:space="0" w:color="auto"/>
      </w:pBdr>
      <w:spacing w:after="60"/>
      <w:jc w:val="center"/>
      <w:rPr>
        <w:rFonts w:ascii="FrankRuehl" w:hAnsi="FrankRuehl" w:cs="FrankRuehl"/>
        <w:color w:val="000000"/>
      </w:rPr>
    </w:pPr>
    <w:r w:rsidRPr="007F45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40E2" w14:textId="77777777" w:rsidR="007F458B" w:rsidRDefault="007F458B" w:rsidP="007F45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0A62">
      <w:rPr>
        <w:rFonts w:ascii="FrankRuehl" w:hAnsi="FrankRuehl" w:cs="FrankRuehl"/>
        <w:noProof/>
        <w:rtl/>
      </w:rPr>
      <w:t>1</w:t>
    </w:r>
    <w:r>
      <w:rPr>
        <w:rFonts w:ascii="FrankRuehl" w:hAnsi="FrankRuehl" w:cs="FrankRuehl"/>
        <w:rtl/>
      </w:rPr>
      <w:fldChar w:fldCharType="end"/>
    </w:r>
  </w:p>
  <w:p w14:paraId="1DD413AB" w14:textId="77777777" w:rsidR="001F1248" w:rsidRPr="007F458B" w:rsidRDefault="007F458B" w:rsidP="007F458B">
    <w:pPr>
      <w:pStyle w:val="a5"/>
      <w:pBdr>
        <w:top w:val="single" w:sz="4" w:space="1" w:color="auto"/>
        <w:between w:val="single" w:sz="4" w:space="0" w:color="auto"/>
      </w:pBdr>
      <w:spacing w:after="60"/>
      <w:jc w:val="center"/>
      <w:rPr>
        <w:rFonts w:ascii="FrankRuehl" w:hAnsi="FrankRuehl" w:cs="FrankRuehl"/>
        <w:color w:val="000000"/>
      </w:rPr>
    </w:pPr>
    <w:r w:rsidRPr="007F458B">
      <w:rPr>
        <w:rFonts w:ascii="FrankRuehl" w:hAnsi="FrankRuehl" w:cs="FrankRuehl"/>
        <w:color w:val="000000"/>
      </w:rPr>
      <w:pict w14:anchorId="5F3AB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E4936" w14:textId="77777777" w:rsidR="00FF696B" w:rsidRDefault="00FF696B" w:rsidP="009A3F21">
      <w:r>
        <w:separator/>
      </w:r>
    </w:p>
  </w:footnote>
  <w:footnote w:type="continuationSeparator" w:id="0">
    <w:p w14:paraId="22887A81" w14:textId="77777777" w:rsidR="00FF696B" w:rsidRDefault="00FF696B" w:rsidP="009A3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4D763" w14:textId="77777777" w:rsidR="00CA38AD" w:rsidRPr="007F458B" w:rsidRDefault="007F458B" w:rsidP="007F45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37047-07-20</w:t>
    </w:r>
    <w:r>
      <w:rPr>
        <w:rFonts w:ascii="David" w:hAnsi="David"/>
        <w:color w:val="000000"/>
        <w:sz w:val="22"/>
        <w:szCs w:val="22"/>
        <w:rtl/>
      </w:rPr>
      <w:tab/>
      <w:t xml:space="preserve"> מדינת ישראל נ' רמזי אטרש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F433F" w14:textId="77777777" w:rsidR="00CA38AD" w:rsidRPr="007F458B" w:rsidRDefault="007F458B" w:rsidP="007F45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37047-07-20</w:t>
    </w:r>
    <w:r>
      <w:rPr>
        <w:rFonts w:ascii="David" w:hAnsi="David"/>
        <w:color w:val="000000"/>
        <w:sz w:val="22"/>
        <w:szCs w:val="22"/>
        <w:rtl/>
      </w:rPr>
      <w:tab/>
      <w:t xml:space="preserve"> מדינת ישראל נ' רמזי אטרש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9306B"/>
    <w:multiLevelType w:val="hybridMultilevel"/>
    <w:tmpl w:val="E684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E8233C"/>
    <w:multiLevelType w:val="hybridMultilevel"/>
    <w:tmpl w:val="050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858915">
    <w:abstractNumId w:val="0"/>
  </w:num>
  <w:num w:numId="2" w16cid:durableId="117121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3207"/>
    <w:rsid w:val="001B5A3B"/>
    <w:rsid w:val="001F1248"/>
    <w:rsid w:val="007F458B"/>
    <w:rsid w:val="00854BDD"/>
    <w:rsid w:val="00944C84"/>
    <w:rsid w:val="00950A62"/>
    <w:rsid w:val="009A3F21"/>
    <w:rsid w:val="00BE273C"/>
    <w:rsid w:val="00C73207"/>
    <w:rsid w:val="00C95522"/>
    <w:rsid w:val="00CA38AD"/>
    <w:rsid w:val="00D045DF"/>
    <w:rsid w:val="00DE4A70"/>
    <w:rsid w:val="00DF7268"/>
    <w:rsid w:val="00F04807"/>
    <w:rsid w:val="00FC0B39"/>
    <w:rsid w:val="00FF69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E905E0"/>
  <w15:chartTrackingRefBased/>
  <w15:docId w15:val="{F49AB3A5-4646-472F-BF1D-66E88CA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32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3207"/>
    <w:pPr>
      <w:tabs>
        <w:tab w:val="center" w:pos="4153"/>
        <w:tab w:val="right" w:pos="8306"/>
      </w:tabs>
    </w:pPr>
  </w:style>
  <w:style w:type="character" w:customStyle="1" w:styleId="a4">
    <w:name w:val="כותרת עליונה תו"/>
    <w:link w:val="a3"/>
    <w:rsid w:val="00C73207"/>
    <w:rPr>
      <w:rFonts w:ascii="Times New Roman" w:eastAsia="Times New Roman" w:hAnsi="Times New Roman" w:cs="David"/>
      <w:sz w:val="24"/>
      <w:szCs w:val="24"/>
    </w:rPr>
  </w:style>
  <w:style w:type="paragraph" w:styleId="a5">
    <w:name w:val="footer"/>
    <w:basedOn w:val="a"/>
    <w:link w:val="a6"/>
    <w:rsid w:val="00C73207"/>
    <w:pPr>
      <w:tabs>
        <w:tab w:val="center" w:pos="4153"/>
        <w:tab w:val="right" w:pos="8306"/>
      </w:tabs>
    </w:pPr>
  </w:style>
  <w:style w:type="character" w:customStyle="1" w:styleId="a6">
    <w:name w:val="כותרת תחתונה תו"/>
    <w:link w:val="a5"/>
    <w:rsid w:val="00C73207"/>
    <w:rPr>
      <w:rFonts w:ascii="Times New Roman" w:eastAsia="Times New Roman" w:hAnsi="Times New Roman" w:cs="David"/>
      <w:sz w:val="24"/>
      <w:szCs w:val="24"/>
    </w:rPr>
  </w:style>
  <w:style w:type="table" w:styleId="a7">
    <w:name w:val="Table Grid"/>
    <w:basedOn w:val="a1"/>
    <w:rsid w:val="00C732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3207"/>
  </w:style>
  <w:style w:type="paragraph" w:styleId="a9">
    <w:name w:val="List Paragraph"/>
    <w:basedOn w:val="a"/>
    <w:qFormat/>
    <w:rsid w:val="00C73207"/>
    <w:pPr>
      <w:ind w:left="720"/>
      <w:contextualSpacing/>
    </w:pPr>
  </w:style>
  <w:style w:type="character" w:styleId="Hyperlink">
    <w:name w:val="Hyperlink"/>
    <w:rsid w:val="00CA3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case/8291683" TargetMode="External"/><Relationship Id="rId26" Type="http://schemas.openxmlformats.org/officeDocument/2006/relationships/hyperlink" Target="http://www.nevo.co.il/case/2656849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0007334" TargetMode="External"/><Relationship Id="rId34" Type="http://schemas.openxmlformats.org/officeDocument/2006/relationships/hyperlink" Target="http://www.nevo.co.il/case/21725190"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824863" TargetMode="External"/><Relationship Id="rId29" Type="http://schemas.openxmlformats.org/officeDocument/2006/relationships/hyperlink" Target="http://www.nevo.co.il/case/231776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11269745" TargetMode="External"/><Relationship Id="rId32" Type="http://schemas.openxmlformats.org/officeDocument/2006/relationships/hyperlink" Target="http://www.nevo.co.il/case/25694662" TargetMode="External"/><Relationship Id="rId37" Type="http://schemas.openxmlformats.org/officeDocument/2006/relationships/hyperlink" Target="http://www.nevo.co.il/case/2688881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13023134" TargetMode="External"/><Relationship Id="rId28" Type="http://schemas.openxmlformats.org/officeDocument/2006/relationships/hyperlink" Target="http://www.nevo.co.il/case/25543800" TargetMode="External"/><Relationship Id="rId36" Type="http://schemas.openxmlformats.org/officeDocument/2006/relationships/hyperlink" Target="http://www.nevo.co.il/case/26850697"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375062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case/22739459" TargetMode="External"/><Relationship Id="rId30" Type="http://schemas.openxmlformats.org/officeDocument/2006/relationships/hyperlink" Target="http://www.nevo.co.il/case/21662347" TargetMode="External"/><Relationship Id="rId35" Type="http://schemas.openxmlformats.org/officeDocument/2006/relationships/hyperlink" Target="http://www.nevo.co.il/case/26216623" TargetMode="External"/><Relationship Id="rId43"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7827259" TargetMode="External"/><Relationship Id="rId33" Type="http://schemas.openxmlformats.org/officeDocument/2006/relationships/hyperlink" Target="http://www.nevo.co.il/case/23877236" TargetMode="External"/><Relationship Id="rId38" Type="http://schemas.openxmlformats.org/officeDocument/2006/relationships/hyperlink" Target="http://www.nevo.co.il/case/26850422" TargetMode="External"/><Relationship Id="rId20" Type="http://schemas.openxmlformats.org/officeDocument/2006/relationships/hyperlink" Target="http://www.nevo.co.il/case/2147452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2949</Words>
  <Characters>14747</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17661</CharactersWithSpaces>
  <SharedDoc>false</SharedDoc>
  <HLinks>
    <vt:vector size="198" baseType="variant">
      <vt:variant>
        <vt:i4>393283</vt:i4>
      </vt:variant>
      <vt:variant>
        <vt:i4>99</vt:i4>
      </vt:variant>
      <vt:variant>
        <vt:i4>0</vt:i4>
      </vt:variant>
      <vt:variant>
        <vt:i4>5</vt:i4>
      </vt:variant>
      <vt:variant>
        <vt:lpwstr>http://www.nevo.co.il/advertisements/nevo-100.doc</vt:lpwstr>
      </vt:variant>
      <vt:variant>
        <vt:lpwstr/>
      </vt:variant>
      <vt:variant>
        <vt:i4>3670131</vt:i4>
      </vt:variant>
      <vt:variant>
        <vt:i4>96</vt:i4>
      </vt:variant>
      <vt:variant>
        <vt:i4>0</vt:i4>
      </vt:variant>
      <vt:variant>
        <vt:i4>5</vt:i4>
      </vt:variant>
      <vt:variant>
        <vt:lpwstr>http://www.nevo.co.il/case/26850422</vt:lpwstr>
      </vt:variant>
      <vt:variant>
        <vt:lpwstr/>
      </vt:variant>
      <vt:variant>
        <vt:i4>3342450</vt:i4>
      </vt:variant>
      <vt:variant>
        <vt:i4>93</vt:i4>
      </vt:variant>
      <vt:variant>
        <vt:i4>0</vt:i4>
      </vt:variant>
      <vt:variant>
        <vt:i4>5</vt:i4>
      </vt:variant>
      <vt:variant>
        <vt:lpwstr>http://www.nevo.co.il/case/26888814</vt:lpwstr>
      </vt:variant>
      <vt:variant>
        <vt:lpwstr/>
      </vt:variant>
      <vt:variant>
        <vt:i4>3342449</vt:i4>
      </vt:variant>
      <vt:variant>
        <vt:i4>90</vt:i4>
      </vt:variant>
      <vt:variant>
        <vt:i4>0</vt:i4>
      </vt:variant>
      <vt:variant>
        <vt:i4>5</vt:i4>
      </vt:variant>
      <vt:variant>
        <vt:lpwstr>http://www.nevo.co.il/case/26850697</vt:lpwstr>
      </vt:variant>
      <vt:variant>
        <vt:lpwstr/>
      </vt:variant>
      <vt:variant>
        <vt:i4>3407989</vt:i4>
      </vt:variant>
      <vt:variant>
        <vt:i4>87</vt:i4>
      </vt:variant>
      <vt:variant>
        <vt:i4>0</vt:i4>
      </vt:variant>
      <vt:variant>
        <vt:i4>5</vt:i4>
      </vt:variant>
      <vt:variant>
        <vt:lpwstr>http://www.nevo.co.il/case/26216623</vt:lpwstr>
      </vt:variant>
      <vt:variant>
        <vt:lpwstr/>
      </vt:variant>
      <vt:variant>
        <vt:i4>3735670</vt:i4>
      </vt:variant>
      <vt:variant>
        <vt:i4>84</vt:i4>
      </vt:variant>
      <vt:variant>
        <vt:i4>0</vt:i4>
      </vt:variant>
      <vt:variant>
        <vt:i4>5</vt:i4>
      </vt:variant>
      <vt:variant>
        <vt:lpwstr>http://www.nevo.co.il/case/21725190</vt:lpwstr>
      </vt:variant>
      <vt:variant>
        <vt:lpwstr/>
      </vt:variant>
      <vt:variant>
        <vt:i4>4063346</vt:i4>
      </vt:variant>
      <vt:variant>
        <vt:i4>81</vt:i4>
      </vt:variant>
      <vt:variant>
        <vt:i4>0</vt:i4>
      </vt:variant>
      <vt:variant>
        <vt:i4>5</vt:i4>
      </vt:variant>
      <vt:variant>
        <vt:lpwstr>http://www.nevo.co.il/case/23877236</vt:lpwstr>
      </vt:variant>
      <vt:variant>
        <vt:lpwstr/>
      </vt:variant>
      <vt:variant>
        <vt:i4>3539070</vt:i4>
      </vt:variant>
      <vt:variant>
        <vt:i4>78</vt:i4>
      </vt:variant>
      <vt:variant>
        <vt:i4>0</vt:i4>
      </vt:variant>
      <vt:variant>
        <vt:i4>5</vt:i4>
      </vt:variant>
      <vt:variant>
        <vt:lpwstr>http://www.nevo.co.il/case/25694662</vt:lpwstr>
      </vt:variant>
      <vt:variant>
        <vt:lpwstr/>
      </vt:variant>
      <vt:variant>
        <vt:i4>3604596</vt:i4>
      </vt:variant>
      <vt:variant>
        <vt:i4>75</vt:i4>
      </vt:variant>
      <vt:variant>
        <vt:i4>0</vt:i4>
      </vt:variant>
      <vt:variant>
        <vt:i4>5</vt:i4>
      </vt:variant>
      <vt:variant>
        <vt:lpwstr>http://www.nevo.co.il/case/23750625</vt:lpwstr>
      </vt:variant>
      <vt:variant>
        <vt:lpwstr/>
      </vt:variant>
      <vt:variant>
        <vt:i4>3276912</vt:i4>
      </vt:variant>
      <vt:variant>
        <vt:i4>69</vt:i4>
      </vt:variant>
      <vt:variant>
        <vt:i4>0</vt:i4>
      </vt:variant>
      <vt:variant>
        <vt:i4>5</vt:i4>
      </vt:variant>
      <vt:variant>
        <vt:lpwstr>http://www.nevo.co.il/case/21662347</vt:lpwstr>
      </vt:variant>
      <vt:variant>
        <vt:lpwstr/>
      </vt:variant>
      <vt:variant>
        <vt:i4>3211382</vt:i4>
      </vt:variant>
      <vt:variant>
        <vt:i4>66</vt:i4>
      </vt:variant>
      <vt:variant>
        <vt:i4>0</vt:i4>
      </vt:variant>
      <vt:variant>
        <vt:i4>5</vt:i4>
      </vt:variant>
      <vt:variant>
        <vt:lpwstr>http://www.nevo.co.il/case/23177651</vt:lpwstr>
      </vt:variant>
      <vt:variant>
        <vt:lpwstr/>
      </vt:variant>
      <vt:variant>
        <vt:i4>3407997</vt:i4>
      </vt:variant>
      <vt:variant>
        <vt:i4>63</vt:i4>
      </vt:variant>
      <vt:variant>
        <vt:i4>0</vt:i4>
      </vt:variant>
      <vt:variant>
        <vt:i4>5</vt:i4>
      </vt:variant>
      <vt:variant>
        <vt:lpwstr>http://www.nevo.co.il/case/25543800</vt:lpwstr>
      </vt:variant>
      <vt:variant>
        <vt:lpwstr/>
      </vt:variant>
      <vt:variant>
        <vt:i4>3735665</vt:i4>
      </vt:variant>
      <vt:variant>
        <vt:i4>60</vt:i4>
      </vt:variant>
      <vt:variant>
        <vt:i4>0</vt:i4>
      </vt:variant>
      <vt:variant>
        <vt:i4>5</vt:i4>
      </vt:variant>
      <vt:variant>
        <vt:lpwstr>http://www.nevo.co.il/case/22739459</vt:lpwstr>
      </vt:variant>
      <vt:variant>
        <vt:lpwstr/>
      </vt:variant>
      <vt:variant>
        <vt:i4>3539056</vt:i4>
      </vt:variant>
      <vt:variant>
        <vt:i4>57</vt:i4>
      </vt:variant>
      <vt:variant>
        <vt:i4>0</vt:i4>
      </vt:variant>
      <vt:variant>
        <vt:i4>5</vt:i4>
      </vt:variant>
      <vt:variant>
        <vt:lpwstr>http://www.nevo.co.il/case/26568495</vt:lpwstr>
      </vt:variant>
      <vt:variant>
        <vt:lpwstr/>
      </vt:variant>
      <vt:variant>
        <vt:i4>4063358</vt:i4>
      </vt:variant>
      <vt:variant>
        <vt:i4>54</vt:i4>
      </vt:variant>
      <vt:variant>
        <vt:i4>0</vt:i4>
      </vt:variant>
      <vt:variant>
        <vt:i4>5</vt:i4>
      </vt:variant>
      <vt:variant>
        <vt:lpwstr>http://www.nevo.co.il/case/7827259</vt:lpwstr>
      </vt:variant>
      <vt:variant>
        <vt:lpwstr/>
      </vt:variant>
      <vt:variant>
        <vt:i4>4063348</vt:i4>
      </vt:variant>
      <vt:variant>
        <vt:i4>51</vt:i4>
      </vt:variant>
      <vt:variant>
        <vt:i4>0</vt:i4>
      </vt:variant>
      <vt:variant>
        <vt:i4>5</vt:i4>
      </vt:variant>
      <vt:variant>
        <vt:lpwstr>http://www.nevo.co.il/case/11269745</vt:lpwstr>
      </vt:variant>
      <vt:variant>
        <vt:lpwstr/>
      </vt:variant>
      <vt:variant>
        <vt:i4>3211380</vt:i4>
      </vt:variant>
      <vt:variant>
        <vt:i4>48</vt:i4>
      </vt:variant>
      <vt:variant>
        <vt:i4>0</vt:i4>
      </vt:variant>
      <vt:variant>
        <vt:i4>5</vt:i4>
      </vt:variant>
      <vt:variant>
        <vt:lpwstr>http://www.nevo.co.il/case/13023134</vt:lpwstr>
      </vt:variant>
      <vt:variant>
        <vt:lpwstr/>
      </vt:variant>
      <vt:variant>
        <vt:i4>3211379</vt:i4>
      </vt:variant>
      <vt:variant>
        <vt:i4>45</vt:i4>
      </vt:variant>
      <vt:variant>
        <vt:i4>0</vt:i4>
      </vt:variant>
      <vt:variant>
        <vt:i4>5</vt:i4>
      </vt:variant>
      <vt:variant>
        <vt:lpwstr>http://www.nevo.co.il/case/20775010</vt:lpwstr>
      </vt:variant>
      <vt:variant>
        <vt:lpwstr/>
      </vt:variant>
      <vt:variant>
        <vt:i4>3539063</vt:i4>
      </vt:variant>
      <vt:variant>
        <vt:i4>42</vt:i4>
      </vt:variant>
      <vt:variant>
        <vt:i4>0</vt:i4>
      </vt:variant>
      <vt:variant>
        <vt:i4>5</vt:i4>
      </vt:variant>
      <vt:variant>
        <vt:lpwstr>http://www.nevo.co.il/case/20007334</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3407999</vt:i4>
      </vt:variant>
      <vt:variant>
        <vt:i4>33</vt:i4>
      </vt:variant>
      <vt:variant>
        <vt:i4>0</vt:i4>
      </vt:variant>
      <vt:variant>
        <vt:i4>5</vt:i4>
      </vt:variant>
      <vt:variant>
        <vt:lpwstr>http://www.nevo.co.il/case/8291683</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37047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רמזי אטרש;מוחמדאטרש </vt:lpwstr>
  </property>
  <property fmtid="{D5CDD505-2E9C-101B-9397-08002B2CF9AE}" pid="10" name="LAWYER">
    <vt:lpwstr>עומייר מריד</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20210715</vt:lpwstr>
  </property>
  <property fmtid="{D5CDD505-2E9C-101B-9397-08002B2CF9AE}" pid="14" name="TYPE_N_DATE">
    <vt:lpwstr>39020210715</vt:lpwstr>
  </property>
  <property fmtid="{D5CDD505-2E9C-101B-9397-08002B2CF9AE}" pid="15" name="WORDNUMPAGES">
    <vt:lpwstr>9</vt:lpwstr>
  </property>
  <property fmtid="{D5CDD505-2E9C-101B-9397-08002B2CF9AE}" pid="16" name="TYPE_ABS_DATE">
    <vt:lpwstr>390020210715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25824863;5821327;8291683;7791493;21474520;20007334;20775010;13023134;11269745;7827259;26568495;22739459;25543800;23177651;21662347;23750625;25694662;23877236;21725190;26216623;26850697;26888814;26850422</vt:lpwstr>
  </property>
  <property fmtid="{D5CDD505-2E9C-101B-9397-08002B2CF9AE}" pid="36" name="LAWLISTTMP1">
    <vt:lpwstr>70301/144.b2:2;025;144.a</vt:lpwstr>
  </property>
</Properties>
</file>