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56430" w:rsidRPr="003D580F" w14:paraId="19E84328" w14:textId="77777777" w:rsidTr="008273E0">
        <w:trPr>
          <w:trHeight w:hRule="exact" w:val="418"/>
          <w:jc w:val="center"/>
        </w:trPr>
        <w:tc>
          <w:tcPr>
            <w:tcW w:w="8721" w:type="dxa"/>
            <w:gridSpan w:val="2"/>
          </w:tcPr>
          <w:p w14:paraId="78421338" w14:textId="77777777" w:rsidR="00A56430" w:rsidRPr="003D580F" w:rsidRDefault="00A56430" w:rsidP="000F3724">
            <w:pPr>
              <w:pStyle w:val="a3"/>
              <w:jc w:val="center"/>
              <w:rPr>
                <w:rFonts w:ascii="Tahoma" w:hAnsi="Tahoma" w:cs="Tahoma"/>
                <w:color w:val="000080"/>
                <w:rtl/>
              </w:rPr>
            </w:pPr>
            <w:bookmarkStart w:id="0" w:name="FirstLawyer"/>
            <w:bookmarkStart w:id="1" w:name="LastJudge"/>
            <w:r w:rsidRPr="003D580F">
              <w:rPr>
                <w:rFonts w:ascii="Tahoma" w:hAnsi="Tahoma" w:cs="Tahoma"/>
                <w:b/>
                <w:bCs/>
                <w:color w:val="000080"/>
                <w:rtl/>
              </w:rPr>
              <w:t>בית המשפט המחוזי מרכז-לוד</w:t>
            </w:r>
          </w:p>
        </w:tc>
      </w:tr>
      <w:tr w:rsidR="00A56430" w:rsidRPr="003D580F" w14:paraId="31D3269D" w14:textId="77777777" w:rsidTr="008273E0">
        <w:trPr>
          <w:trHeight w:val="337"/>
          <w:jc w:val="center"/>
        </w:trPr>
        <w:tc>
          <w:tcPr>
            <w:tcW w:w="5054" w:type="dxa"/>
          </w:tcPr>
          <w:p w14:paraId="7E651A16" w14:textId="77777777" w:rsidR="00A56430" w:rsidRPr="003D580F" w:rsidRDefault="00A56430" w:rsidP="000F3724">
            <w:pPr>
              <w:rPr>
                <w:rFonts w:cs="FrankRuehl"/>
                <w:sz w:val="28"/>
                <w:szCs w:val="28"/>
                <w:rtl/>
              </w:rPr>
            </w:pPr>
            <w:r w:rsidRPr="003D580F">
              <w:rPr>
                <w:rFonts w:cs="FrankRuehl"/>
                <w:sz w:val="28"/>
                <w:szCs w:val="28"/>
                <w:rtl/>
              </w:rPr>
              <w:t>ת"פ</w:t>
            </w:r>
            <w:r w:rsidRPr="003D580F">
              <w:rPr>
                <w:rFonts w:cs="FrankRuehl" w:hint="cs"/>
                <w:sz w:val="28"/>
                <w:szCs w:val="28"/>
                <w:rtl/>
              </w:rPr>
              <w:t xml:space="preserve"> </w:t>
            </w:r>
            <w:r w:rsidRPr="003D580F">
              <w:rPr>
                <w:rFonts w:cs="FrankRuehl"/>
                <w:sz w:val="28"/>
                <w:szCs w:val="28"/>
                <w:rtl/>
              </w:rPr>
              <w:t>68763-07-20</w:t>
            </w:r>
            <w:r w:rsidRPr="003D580F">
              <w:rPr>
                <w:rFonts w:cs="FrankRuehl" w:hint="cs"/>
                <w:sz w:val="28"/>
                <w:szCs w:val="28"/>
                <w:rtl/>
              </w:rPr>
              <w:t xml:space="preserve"> </w:t>
            </w:r>
            <w:r w:rsidRPr="003D580F">
              <w:rPr>
                <w:rFonts w:cs="FrankRuehl"/>
                <w:sz w:val="28"/>
                <w:szCs w:val="28"/>
                <w:rtl/>
              </w:rPr>
              <w:t>מדינת ישראל נ' צ'אנה ואח'</w:t>
            </w:r>
          </w:p>
          <w:p w14:paraId="07A6C5EA" w14:textId="77777777" w:rsidR="00A56430" w:rsidRPr="003D580F" w:rsidRDefault="00A56430" w:rsidP="000F3724">
            <w:pPr>
              <w:pStyle w:val="a3"/>
              <w:rPr>
                <w:rFonts w:cs="FrankRuehl"/>
                <w:sz w:val="28"/>
                <w:szCs w:val="28"/>
                <w:rtl/>
              </w:rPr>
            </w:pPr>
          </w:p>
        </w:tc>
        <w:tc>
          <w:tcPr>
            <w:tcW w:w="3667" w:type="dxa"/>
          </w:tcPr>
          <w:p w14:paraId="240368AB" w14:textId="77777777" w:rsidR="00A56430" w:rsidRPr="003D580F" w:rsidRDefault="00A56430" w:rsidP="000F3724">
            <w:pPr>
              <w:pStyle w:val="a3"/>
              <w:jc w:val="right"/>
              <w:rPr>
                <w:rFonts w:cs="FrankRuehl"/>
                <w:sz w:val="28"/>
                <w:szCs w:val="28"/>
                <w:rtl/>
              </w:rPr>
            </w:pPr>
          </w:p>
        </w:tc>
      </w:tr>
    </w:tbl>
    <w:p w14:paraId="0C7D1B3F" w14:textId="77777777" w:rsidR="00A56430" w:rsidRPr="003D580F" w:rsidRDefault="00A56430" w:rsidP="00A56430">
      <w:pPr>
        <w:pStyle w:val="a3"/>
        <w:rPr>
          <w:rtl/>
        </w:rPr>
      </w:pPr>
      <w:r w:rsidRPr="003D580F">
        <w:rPr>
          <w:rFonts w:hint="cs"/>
          <w:rtl/>
        </w:rPr>
        <w:t xml:space="preserve"> </w:t>
      </w:r>
    </w:p>
    <w:p w14:paraId="368AFAEE" w14:textId="77777777" w:rsidR="00A56430" w:rsidRPr="003D580F" w:rsidRDefault="00A56430" w:rsidP="00A56430">
      <w:pPr>
        <w:rPr>
          <w:rtl/>
        </w:rPr>
      </w:pPr>
    </w:p>
    <w:p w14:paraId="0CC95B66" w14:textId="77777777" w:rsidR="00A56430" w:rsidRPr="003D580F" w:rsidRDefault="00A56430" w:rsidP="00A5643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56430" w:rsidRPr="003D580F" w14:paraId="7FA12C00" w14:textId="77777777" w:rsidTr="00A56430">
        <w:trPr>
          <w:trHeight w:val="295"/>
          <w:jc w:val="center"/>
        </w:trPr>
        <w:tc>
          <w:tcPr>
            <w:tcW w:w="923" w:type="dxa"/>
            <w:tcBorders>
              <w:top w:val="nil"/>
              <w:left w:val="nil"/>
              <w:bottom w:val="nil"/>
              <w:right w:val="nil"/>
            </w:tcBorders>
            <w:shd w:val="clear" w:color="auto" w:fill="auto"/>
          </w:tcPr>
          <w:p w14:paraId="23C410DA" w14:textId="77777777" w:rsidR="00A56430" w:rsidRPr="003D580F" w:rsidRDefault="00A56430" w:rsidP="00A56430">
            <w:pPr>
              <w:jc w:val="both"/>
              <w:rPr>
                <w:rFonts w:ascii="David" w:hAnsi="David"/>
                <w:sz w:val="26"/>
                <w:szCs w:val="26"/>
              </w:rPr>
            </w:pPr>
            <w:r w:rsidRPr="003D580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3C748E6" w14:textId="77777777" w:rsidR="00A56430" w:rsidRPr="003D580F" w:rsidRDefault="00A56430" w:rsidP="000F3724">
            <w:pPr>
              <w:rPr>
                <w:rFonts w:ascii="David" w:hAnsi="David"/>
                <w:b/>
                <w:bCs/>
                <w:sz w:val="26"/>
                <w:szCs w:val="26"/>
                <w:rtl/>
              </w:rPr>
            </w:pPr>
            <w:r w:rsidRPr="003D580F">
              <w:rPr>
                <w:rFonts w:ascii="David" w:hAnsi="David"/>
                <w:b/>
                <w:bCs/>
                <w:sz w:val="26"/>
                <w:szCs w:val="26"/>
                <w:rtl/>
              </w:rPr>
              <w:t>כבוד השופט  חגי טרסי</w:t>
            </w:r>
          </w:p>
          <w:p w14:paraId="7F4460E3" w14:textId="77777777" w:rsidR="00A56430" w:rsidRPr="003D580F" w:rsidRDefault="00A56430" w:rsidP="000F3724">
            <w:pPr>
              <w:rPr>
                <w:rFonts w:ascii="David" w:hAnsi="David"/>
                <w:sz w:val="26"/>
                <w:szCs w:val="26"/>
                <w:rtl/>
              </w:rPr>
            </w:pPr>
          </w:p>
          <w:p w14:paraId="7D45F3A6" w14:textId="77777777" w:rsidR="00A56430" w:rsidRPr="003D580F" w:rsidRDefault="00A56430" w:rsidP="00A56430">
            <w:pPr>
              <w:jc w:val="both"/>
              <w:rPr>
                <w:rFonts w:ascii="David" w:hAnsi="David"/>
                <w:sz w:val="26"/>
                <w:szCs w:val="26"/>
              </w:rPr>
            </w:pPr>
          </w:p>
        </w:tc>
      </w:tr>
      <w:tr w:rsidR="00A56430" w:rsidRPr="003D580F" w14:paraId="5917A77C" w14:textId="77777777" w:rsidTr="00A56430">
        <w:trPr>
          <w:trHeight w:val="355"/>
          <w:jc w:val="center"/>
        </w:trPr>
        <w:tc>
          <w:tcPr>
            <w:tcW w:w="923" w:type="dxa"/>
            <w:tcBorders>
              <w:top w:val="nil"/>
              <w:left w:val="nil"/>
              <w:bottom w:val="nil"/>
              <w:right w:val="nil"/>
            </w:tcBorders>
            <w:shd w:val="clear" w:color="auto" w:fill="auto"/>
          </w:tcPr>
          <w:p w14:paraId="6521F036" w14:textId="77777777" w:rsidR="00A56430" w:rsidRPr="003D580F" w:rsidRDefault="00A56430" w:rsidP="00A56430">
            <w:pPr>
              <w:jc w:val="both"/>
              <w:rPr>
                <w:rFonts w:ascii="David" w:hAnsi="David"/>
                <w:sz w:val="26"/>
                <w:szCs w:val="26"/>
              </w:rPr>
            </w:pPr>
            <w:bookmarkStart w:id="2" w:name="FirstAppellant"/>
            <w:r w:rsidRPr="003D580F">
              <w:rPr>
                <w:rFonts w:ascii="David" w:hAnsi="David"/>
                <w:sz w:val="26"/>
                <w:szCs w:val="26"/>
                <w:rtl/>
              </w:rPr>
              <w:t>בעניין:</w:t>
            </w:r>
          </w:p>
        </w:tc>
        <w:tc>
          <w:tcPr>
            <w:tcW w:w="3219" w:type="dxa"/>
            <w:tcBorders>
              <w:top w:val="nil"/>
              <w:left w:val="nil"/>
              <w:bottom w:val="nil"/>
              <w:right w:val="nil"/>
            </w:tcBorders>
            <w:shd w:val="clear" w:color="auto" w:fill="auto"/>
          </w:tcPr>
          <w:p w14:paraId="62093D54" w14:textId="77777777" w:rsidR="00A56430" w:rsidRPr="003D580F" w:rsidRDefault="00A56430" w:rsidP="00A56430">
            <w:pPr>
              <w:suppressLineNumbers/>
            </w:pPr>
            <w:r w:rsidRPr="003D580F">
              <w:rPr>
                <w:rFonts w:ascii="Arial" w:hAnsi="Arial" w:hint="cs"/>
                <w:b/>
                <w:bCs/>
                <w:sz w:val="26"/>
                <w:szCs w:val="26"/>
                <w:rtl/>
              </w:rPr>
              <w:t>ה</w:t>
            </w:r>
            <w:r w:rsidRPr="003D580F">
              <w:rPr>
                <w:rFonts w:ascii="Arial" w:hAnsi="Arial"/>
                <w:b/>
                <w:bCs/>
                <w:sz w:val="26"/>
                <w:szCs w:val="26"/>
                <w:rtl/>
              </w:rPr>
              <w:t>מאשימה</w:t>
            </w:r>
          </w:p>
          <w:p w14:paraId="1782A712" w14:textId="77777777" w:rsidR="00A56430" w:rsidRPr="003D580F" w:rsidRDefault="00A56430" w:rsidP="000F3724">
            <w:pPr>
              <w:rPr>
                <w:rFonts w:ascii="David" w:hAnsi="David"/>
                <w:sz w:val="26"/>
                <w:szCs w:val="26"/>
              </w:rPr>
            </w:pPr>
          </w:p>
        </w:tc>
        <w:tc>
          <w:tcPr>
            <w:tcW w:w="4678" w:type="dxa"/>
            <w:tcBorders>
              <w:top w:val="nil"/>
              <w:left w:val="nil"/>
              <w:bottom w:val="nil"/>
              <w:right w:val="nil"/>
            </w:tcBorders>
            <w:shd w:val="clear" w:color="auto" w:fill="auto"/>
            <w:vAlign w:val="center"/>
          </w:tcPr>
          <w:p w14:paraId="0A501211" w14:textId="77777777" w:rsidR="00A56430" w:rsidRPr="003D580F" w:rsidRDefault="00A56430" w:rsidP="00A56430">
            <w:pPr>
              <w:suppressLineNumbers/>
            </w:pPr>
            <w:r w:rsidRPr="003D580F">
              <w:rPr>
                <w:rFonts w:ascii="Arial" w:hAnsi="Arial"/>
                <w:b/>
                <w:bCs/>
                <w:sz w:val="26"/>
                <w:szCs w:val="26"/>
                <w:rtl/>
              </w:rPr>
              <w:t>מדינת ישראל – פמ"</w:t>
            </w:r>
            <w:r w:rsidRPr="003D580F">
              <w:rPr>
                <w:rFonts w:ascii="Arial" w:hAnsi="Arial" w:hint="cs"/>
                <w:b/>
                <w:bCs/>
                <w:sz w:val="26"/>
                <w:szCs w:val="26"/>
                <w:rtl/>
              </w:rPr>
              <w:t>מ</w:t>
            </w:r>
          </w:p>
          <w:p w14:paraId="3CD1D651" w14:textId="77777777" w:rsidR="00A56430" w:rsidRPr="003D580F" w:rsidRDefault="00A56430" w:rsidP="000F3724">
            <w:pPr>
              <w:rPr>
                <w:rFonts w:ascii="David" w:hAnsi="David"/>
                <w:sz w:val="26"/>
                <w:szCs w:val="26"/>
              </w:rPr>
            </w:pPr>
          </w:p>
        </w:tc>
      </w:tr>
      <w:bookmarkEnd w:id="2"/>
      <w:tr w:rsidR="00A56430" w:rsidRPr="003D580F" w14:paraId="16E3AD8D" w14:textId="77777777" w:rsidTr="00A56430">
        <w:trPr>
          <w:trHeight w:val="355"/>
          <w:jc w:val="center"/>
        </w:trPr>
        <w:tc>
          <w:tcPr>
            <w:tcW w:w="923" w:type="dxa"/>
            <w:tcBorders>
              <w:top w:val="nil"/>
              <w:left w:val="nil"/>
              <w:bottom w:val="nil"/>
              <w:right w:val="nil"/>
            </w:tcBorders>
            <w:shd w:val="clear" w:color="auto" w:fill="auto"/>
          </w:tcPr>
          <w:p w14:paraId="7B811384" w14:textId="77777777" w:rsidR="00A56430" w:rsidRPr="003D580F" w:rsidRDefault="00A56430" w:rsidP="00A5643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1D69622" w14:textId="77777777" w:rsidR="00A56430" w:rsidRPr="003D580F" w:rsidRDefault="00A56430" w:rsidP="00A56430">
            <w:pPr>
              <w:jc w:val="center"/>
              <w:rPr>
                <w:rFonts w:ascii="David" w:hAnsi="David"/>
                <w:b/>
                <w:bCs/>
                <w:sz w:val="26"/>
                <w:szCs w:val="26"/>
                <w:rtl/>
              </w:rPr>
            </w:pPr>
          </w:p>
          <w:p w14:paraId="404A4E79" w14:textId="77777777" w:rsidR="00A56430" w:rsidRPr="003D580F" w:rsidRDefault="00A56430" w:rsidP="00A56430">
            <w:pPr>
              <w:jc w:val="center"/>
              <w:rPr>
                <w:rFonts w:ascii="David" w:hAnsi="David"/>
                <w:b/>
                <w:bCs/>
                <w:sz w:val="26"/>
                <w:szCs w:val="26"/>
                <w:rtl/>
              </w:rPr>
            </w:pPr>
            <w:r w:rsidRPr="003D580F">
              <w:rPr>
                <w:rFonts w:ascii="David" w:hAnsi="David"/>
                <w:b/>
                <w:bCs/>
                <w:sz w:val="26"/>
                <w:szCs w:val="26"/>
                <w:rtl/>
              </w:rPr>
              <w:t>נגד</w:t>
            </w:r>
          </w:p>
          <w:p w14:paraId="7DB153AA" w14:textId="77777777" w:rsidR="00A56430" w:rsidRPr="003D580F" w:rsidRDefault="00A56430" w:rsidP="00A56430">
            <w:pPr>
              <w:jc w:val="both"/>
              <w:rPr>
                <w:rFonts w:ascii="David" w:hAnsi="David"/>
                <w:sz w:val="26"/>
                <w:szCs w:val="26"/>
              </w:rPr>
            </w:pPr>
          </w:p>
        </w:tc>
      </w:tr>
      <w:tr w:rsidR="00A56430" w:rsidRPr="003D580F" w14:paraId="17A966B2" w14:textId="77777777" w:rsidTr="00A56430">
        <w:trPr>
          <w:trHeight w:val="355"/>
          <w:jc w:val="center"/>
        </w:trPr>
        <w:tc>
          <w:tcPr>
            <w:tcW w:w="923" w:type="dxa"/>
            <w:tcBorders>
              <w:top w:val="nil"/>
              <w:left w:val="nil"/>
              <w:bottom w:val="nil"/>
              <w:right w:val="nil"/>
            </w:tcBorders>
            <w:shd w:val="clear" w:color="auto" w:fill="auto"/>
          </w:tcPr>
          <w:p w14:paraId="3785B963" w14:textId="77777777" w:rsidR="00A56430" w:rsidRPr="003D580F" w:rsidRDefault="00A56430" w:rsidP="000F3724">
            <w:pPr>
              <w:rPr>
                <w:rFonts w:ascii="David" w:hAnsi="David"/>
                <w:sz w:val="26"/>
                <w:szCs w:val="26"/>
                <w:rtl/>
              </w:rPr>
            </w:pPr>
          </w:p>
        </w:tc>
        <w:tc>
          <w:tcPr>
            <w:tcW w:w="3219" w:type="dxa"/>
            <w:tcBorders>
              <w:top w:val="nil"/>
              <w:left w:val="nil"/>
              <w:bottom w:val="nil"/>
              <w:right w:val="nil"/>
            </w:tcBorders>
            <w:shd w:val="clear" w:color="auto" w:fill="auto"/>
          </w:tcPr>
          <w:p w14:paraId="2025E987" w14:textId="77777777" w:rsidR="00A56430" w:rsidRPr="003D580F" w:rsidRDefault="00A56430" w:rsidP="000F3724">
            <w:pPr>
              <w:rPr>
                <w:rFonts w:ascii="Arial" w:hAnsi="Arial"/>
                <w:b/>
                <w:bCs/>
                <w:sz w:val="26"/>
                <w:szCs w:val="26"/>
                <w:rtl/>
              </w:rPr>
            </w:pPr>
            <w:r w:rsidRPr="003D580F">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697C9C5C" w14:textId="77777777" w:rsidR="00A56430" w:rsidRPr="003D580F" w:rsidRDefault="00A56430" w:rsidP="000F3724">
            <w:pPr>
              <w:rPr>
                <w:rFonts w:ascii="David" w:hAnsi="David"/>
                <w:sz w:val="26"/>
                <w:szCs w:val="26"/>
              </w:rPr>
            </w:pPr>
          </w:p>
          <w:p w14:paraId="6C8757BA" w14:textId="77777777" w:rsidR="00A56430" w:rsidRPr="003D580F" w:rsidRDefault="00A56430" w:rsidP="00A56430">
            <w:pPr>
              <w:suppressLineNumbers/>
            </w:pPr>
            <w:r w:rsidRPr="003D580F">
              <w:rPr>
                <w:rFonts w:ascii="Arial" w:hAnsi="Arial"/>
                <w:b/>
                <w:bCs/>
                <w:sz w:val="26"/>
                <w:szCs w:val="26"/>
                <w:rtl/>
              </w:rPr>
              <w:t xml:space="preserve">1. </w:t>
            </w:r>
            <w:r w:rsidRPr="003D580F">
              <w:rPr>
                <w:rFonts w:ascii="Arial" w:hAnsi="Arial"/>
                <w:sz w:val="26"/>
                <w:szCs w:val="26"/>
                <w:rtl/>
              </w:rPr>
              <w:t>אשגרה צ'אנה</w:t>
            </w:r>
            <w:r w:rsidRPr="003D580F">
              <w:rPr>
                <w:rFonts w:ascii="Arial" w:hAnsi="Arial" w:hint="cs"/>
                <w:sz w:val="26"/>
                <w:szCs w:val="26"/>
                <w:rtl/>
              </w:rPr>
              <w:t xml:space="preserve"> - נדון</w:t>
            </w:r>
          </w:p>
          <w:p w14:paraId="1F3D6066" w14:textId="77777777" w:rsidR="00A56430" w:rsidRPr="003D580F" w:rsidRDefault="00A56430" w:rsidP="00A56430">
            <w:pPr>
              <w:suppressLineNumbers/>
            </w:pPr>
            <w:r w:rsidRPr="003D580F">
              <w:rPr>
                <w:rFonts w:ascii="Arial" w:hAnsi="Arial"/>
                <w:b/>
                <w:bCs/>
                <w:sz w:val="26"/>
                <w:szCs w:val="26"/>
                <w:rtl/>
              </w:rPr>
              <w:t>2. וויסיהון אלמה – ע"</w:t>
            </w:r>
            <w:r w:rsidRPr="003D580F">
              <w:rPr>
                <w:rFonts w:ascii="Arial" w:hAnsi="Arial" w:hint="cs"/>
                <w:b/>
                <w:bCs/>
                <w:sz w:val="26"/>
                <w:szCs w:val="26"/>
                <w:rtl/>
              </w:rPr>
              <w:t>י ב"כ עו"ד פורר</w:t>
            </w:r>
          </w:p>
          <w:p w14:paraId="10A7FD34" w14:textId="77777777" w:rsidR="00A56430" w:rsidRPr="003D580F" w:rsidRDefault="00A56430" w:rsidP="00A56430">
            <w:pPr>
              <w:suppressLineNumbers/>
            </w:pPr>
            <w:r w:rsidRPr="003D580F">
              <w:rPr>
                <w:rFonts w:ascii="Arial" w:hAnsi="Arial"/>
                <w:b/>
                <w:bCs/>
                <w:sz w:val="26"/>
                <w:szCs w:val="26"/>
                <w:rtl/>
              </w:rPr>
              <w:t xml:space="preserve">3. </w:t>
            </w:r>
            <w:r w:rsidRPr="003D580F">
              <w:rPr>
                <w:rFonts w:ascii="Arial" w:hAnsi="Arial"/>
                <w:sz w:val="26"/>
                <w:szCs w:val="26"/>
                <w:rtl/>
              </w:rPr>
              <w:t>שלמה צ'אנה</w:t>
            </w:r>
            <w:r w:rsidRPr="003D580F">
              <w:rPr>
                <w:rFonts w:ascii="Arial" w:hAnsi="Arial" w:hint="cs"/>
                <w:sz w:val="26"/>
                <w:szCs w:val="26"/>
                <w:rtl/>
              </w:rPr>
              <w:t xml:space="preserve"> - נדון</w:t>
            </w:r>
          </w:p>
        </w:tc>
      </w:tr>
      <w:tr w:rsidR="00A56430" w:rsidRPr="003D580F" w14:paraId="4950F21E" w14:textId="77777777" w:rsidTr="00A56430">
        <w:trPr>
          <w:trHeight w:val="355"/>
          <w:jc w:val="center"/>
        </w:trPr>
        <w:tc>
          <w:tcPr>
            <w:tcW w:w="923" w:type="dxa"/>
            <w:tcBorders>
              <w:top w:val="nil"/>
              <w:left w:val="nil"/>
              <w:bottom w:val="nil"/>
              <w:right w:val="nil"/>
            </w:tcBorders>
            <w:shd w:val="clear" w:color="auto" w:fill="auto"/>
          </w:tcPr>
          <w:p w14:paraId="58D573FC" w14:textId="77777777" w:rsidR="00A56430" w:rsidRPr="003D580F" w:rsidRDefault="00A56430" w:rsidP="00A56430">
            <w:pPr>
              <w:jc w:val="both"/>
              <w:rPr>
                <w:rFonts w:ascii="David" w:hAnsi="David"/>
                <w:sz w:val="26"/>
                <w:szCs w:val="26"/>
                <w:rtl/>
              </w:rPr>
            </w:pPr>
          </w:p>
        </w:tc>
        <w:tc>
          <w:tcPr>
            <w:tcW w:w="3219" w:type="dxa"/>
            <w:tcBorders>
              <w:top w:val="nil"/>
              <w:left w:val="nil"/>
              <w:bottom w:val="nil"/>
              <w:right w:val="nil"/>
            </w:tcBorders>
            <w:shd w:val="clear" w:color="auto" w:fill="auto"/>
          </w:tcPr>
          <w:p w14:paraId="0FCF62AA" w14:textId="77777777" w:rsidR="00A56430" w:rsidRPr="003D580F" w:rsidRDefault="00A56430" w:rsidP="00A56430">
            <w:pPr>
              <w:jc w:val="both"/>
              <w:rPr>
                <w:rFonts w:ascii="David" w:hAnsi="David"/>
                <w:sz w:val="26"/>
                <w:szCs w:val="26"/>
                <w:rtl/>
              </w:rPr>
            </w:pPr>
          </w:p>
        </w:tc>
        <w:tc>
          <w:tcPr>
            <w:tcW w:w="4678" w:type="dxa"/>
            <w:tcBorders>
              <w:top w:val="nil"/>
              <w:left w:val="nil"/>
              <w:bottom w:val="nil"/>
              <w:right w:val="nil"/>
            </w:tcBorders>
            <w:shd w:val="clear" w:color="auto" w:fill="auto"/>
          </w:tcPr>
          <w:p w14:paraId="2208DE9D" w14:textId="77777777" w:rsidR="00A56430" w:rsidRPr="003D580F" w:rsidRDefault="00A56430" w:rsidP="00A56430">
            <w:pPr>
              <w:jc w:val="right"/>
              <w:rPr>
                <w:rFonts w:ascii="David" w:hAnsi="David"/>
                <w:sz w:val="26"/>
                <w:szCs w:val="26"/>
              </w:rPr>
            </w:pPr>
          </w:p>
        </w:tc>
      </w:tr>
    </w:tbl>
    <w:p w14:paraId="416554DF" w14:textId="77777777" w:rsidR="00370A1F" w:rsidRDefault="00370A1F" w:rsidP="00370A1F">
      <w:pPr>
        <w:rPr>
          <w:sz w:val="26"/>
          <w:szCs w:val="26"/>
          <w:rtl/>
        </w:rPr>
      </w:pPr>
      <w:bookmarkStart w:id="3" w:name="LawTable"/>
      <w:bookmarkEnd w:id="3"/>
    </w:p>
    <w:p w14:paraId="6775BF08" w14:textId="77777777" w:rsidR="00370A1F" w:rsidRPr="00370A1F" w:rsidRDefault="00370A1F" w:rsidP="00370A1F">
      <w:pPr>
        <w:spacing w:before="120" w:after="120" w:line="240" w:lineRule="exact"/>
        <w:ind w:left="283" w:hanging="283"/>
        <w:jc w:val="both"/>
        <w:rPr>
          <w:rFonts w:ascii="FrankRuehl" w:hAnsi="FrankRuehl" w:cs="FrankRuehl"/>
          <w:rtl/>
        </w:rPr>
      </w:pPr>
    </w:p>
    <w:p w14:paraId="2B2E95CF" w14:textId="77777777" w:rsidR="00370A1F" w:rsidRPr="00370A1F" w:rsidRDefault="00370A1F" w:rsidP="00370A1F">
      <w:pPr>
        <w:spacing w:before="120" w:after="120" w:line="240" w:lineRule="exact"/>
        <w:ind w:left="283" w:hanging="283"/>
        <w:jc w:val="both"/>
        <w:rPr>
          <w:rFonts w:ascii="FrankRuehl" w:hAnsi="FrankRuehl" w:cs="FrankRuehl"/>
          <w:rtl/>
        </w:rPr>
      </w:pPr>
    </w:p>
    <w:p w14:paraId="3536025D" w14:textId="77777777" w:rsidR="00370A1F" w:rsidRPr="00370A1F" w:rsidRDefault="00370A1F" w:rsidP="00370A1F">
      <w:pPr>
        <w:spacing w:before="120" w:after="120" w:line="240" w:lineRule="exact"/>
        <w:ind w:left="283" w:hanging="283"/>
        <w:jc w:val="both"/>
        <w:rPr>
          <w:rFonts w:ascii="FrankRuehl" w:hAnsi="FrankRuehl" w:cs="FrankRuehl"/>
          <w:rtl/>
        </w:rPr>
      </w:pPr>
      <w:r w:rsidRPr="00370A1F">
        <w:rPr>
          <w:rFonts w:ascii="FrankRuehl" w:hAnsi="FrankRuehl" w:cs="FrankRuehl"/>
          <w:rtl/>
        </w:rPr>
        <w:t xml:space="preserve">חקיקה שאוזכרה: </w:t>
      </w:r>
    </w:p>
    <w:p w14:paraId="74056D4B" w14:textId="77777777" w:rsidR="00370A1F" w:rsidRPr="00370A1F" w:rsidRDefault="00370A1F" w:rsidP="00370A1F">
      <w:pPr>
        <w:spacing w:before="120" w:after="120" w:line="240" w:lineRule="exact"/>
        <w:ind w:left="283" w:hanging="283"/>
        <w:jc w:val="both"/>
        <w:rPr>
          <w:rFonts w:ascii="FrankRuehl" w:hAnsi="FrankRuehl" w:cs="FrankRuehl"/>
          <w:rtl/>
        </w:rPr>
      </w:pPr>
      <w:hyperlink r:id="rId7" w:history="1">
        <w:r w:rsidRPr="00370A1F">
          <w:rPr>
            <w:rFonts w:ascii="FrankRuehl" w:hAnsi="FrankRuehl" w:cs="FrankRuehl"/>
            <w:color w:val="0000FF"/>
            <w:rtl/>
          </w:rPr>
          <w:t>חוק העונשין, תשל"ז-1977</w:t>
        </w:r>
      </w:hyperlink>
      <w:r w:rsidRPr="00370A1F">
        <w:rPr>
          <w:rFonts w:ascii="FrankRuehl" w:hAnsi="FrankRuehl" w:cs="FrankRuehl"/>
          <w:rtl/>
        </w:rPr>
        <w:t xml:space="preserve">: סע'  </w:t>
      </w:r>
      <w:hyperlink r:id="rId8" w:history="1">
        <w:r w:rsidRPr="00370A1F">
          <w:rPr>
            <w:rFonts w:ascii="FrankRuehl" w:hAnsi="FrankRuehl" w:cs="FrankRuehl"/>
            <w:color w:val="0000FF"/>
            <w:rtl/>
          </w:rPr>
          <w:t>144 (ב)</w:t>
        </w:r>
      </w:hyperlink>
    </w:p>
    <w:p w14:paraId="0F3EC957" w14:textId="77777777" w:rsidR="00370A1F" w:rsidRPr="00370A1F" w:rsidRDefault="00370A1F" w:rsidP="00370A1F">
      <w:pPr>
        <w:rPr>
          <w:sz w:val="26"/>
          <w:szCs w:val="26"/>
          <w:rtl/>
        </w:rPr>
      </w:pPr>
      <w:bookmarkStart w:id="4" w:name="LawTable_End"/>
      <w:bookmarkEnd w:id="4"/>
    </w:p>
    <w:p w14:paraId="76BEC214" w14:textId="77777777" w:rsidR="00A56430" w:rsidRPr="008273E0" w:rsidRDefault="00A56430" w:rsidP="008273E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56430" w14:paraId="22DC2DC1" w14:textId="77777777" w:rsidTr="00A56430">
        <w:trPr>
          <w:trHeight w:val="355"/>
          <w:jc w:val="center"/>
        </w:trPr>
        <w:tc>
          <w:tcPr>
            <w:tcW w:w="8820" w:type="dxa"/>
            <w:tcBorders>
              <w:top w:val="nil"/>
              <w:left w:val="nil"/>
              <w:bottom w:val="nil"/>
              <w:right w:val="nil"/>
            </w:tcBorders>
            <w:shd w:val="clear" w:color="auto" w:fill="auto"/>
          </w:tcPr>
          <w:p w14:paraId="0F28714E" w14:textId="77777777" w:rsidR="003D580F" w:rsidRPr="003D580F" w:rsidRDefault="003D580F" w:rsidP="003D580F">
            <w:pPr>
              <w:jc w:val="center"/>
              <w:rPr>
                <w:rFonts w:ascii="David" w:hAnsi="David"/>
                <w:b/>
                <w:bCs/>
                <w:sz w:val="32"/>
                <w:szCs w:val="32"/>
                <w:u w:val="single"/>
                <w:rtl/>
              </w:rPr>
            </w:pPr>
            <w:bookmarkStart w:id="5" w:name="PsakDin" w:colFirst="0" w:colLast="0"/>
            <w:bookmarkEnd w:id="0"/>
            <w:bookmarkEnd w:id="1"/>
            <w:r w:rsidRPr="003D580F">
              <w:rPr>
                <w:rFonts w:ascii="David" w:hAnsi="David"/>
                <w:b/>
                <w:bCs/>
                <w:sz w:val="32"/>
                <w:szCs w:val="32"/>
                <w:u w:val="single"/>
                <w:rtl/>
              </w:rPr>
              <w:t>גזר דין   נאשם 2</w:t>
            </w:r>
          </w:p>
          <w:p w14:paraId="1D8F7084" w14:textId="77777777" w:rsidR="00A56430" w:rsidRPr="003D580F" w:rsidRDefault="00A56430" w:rsidP="003D580F">
            <w:pPr>
              <w:jc w:val="center"/>
              <w:rPr>
                <w:rFonts w:ascii="David" w:hAnsi="David"/>
                <w:bCs/>
                <w:sz w:val="32"/>
                <w:szCs w:val="32"/>
                <w:u w:val="single"/>
                <w:rtl/>
              </w:rPr>
            </w:pPr>
          </w:p>
        </w:tc>
      </w:tr>
      <w:bookmarkEnd w:id="5"/>
    </w:tbl>
    <w:p w14:paraId="73D4089F" w14:textId="77777777" w:rsidR="00A56430" w:rsidRDefault="00A56430" w:rsidP="00A56430">
      <w:pPr>
        <w:rPr>
          <w:rFonts w:ascii="Arial" w:hAnsi="Arial"/>
          <w:b/>
          <w:bCs/>
          <w:sz w:val="26"/>
          <w:szCs w:val="26"/>
          <w:rtl/>
        </w:rPr>
      </w:pPr>
    </w:p>
    <w:p w14:paraId="285BAEDA" w14:textId="77777777" w:rsidR="00A56430" w:rsidRDefault="00A56430" w:rsidP="00A56430">
      <w:pPr>
        <w:spacing w:line="360" w:lineRule="auto"/>
        <w:jc w:val="both"/>
        <w:rPr>
          <w:b/>
          <w:bCs/>
          <w:sz w:val="26"/>
          <w:szCs w:val="26"/>
          <w:u w:val="single"/>
          <w:rtl/>
        </w:rPr>
      </w:pPr>
    </w:p>
    <w:p w14:paraId="604FBB08" w14:textId="77777777" w:rsidR="00A56430" w:rsidRDefault="00A56430" w:rsidP="00A56430">
      <w:pPr>
        <w:spacing w:line="360" w:lineRule="auto"/>
        <w:jc w:val="both"/>
        <w:rPr>
          <w:sz w:val="26"/>
          <w:szCs w:val="26"/>
          <w:rtl/>
        </w:rPr>
      </w:pPr>
      <w:r>
        <w:rPr>
          <w:rFonts w:hint="cs"/>
          <w:b/>
          <w:bCs/>
          <w:sz w:val="26"/>
          <w:szCs w:val="26"/>
          <w:u w:val="single"/>
          <w:rtl/>
        </w:rPr>
        <w:t>כתב האישום</w:t>
      </w:r>
    </w:p>
    <w:p w14:paraId="6DC719F0" w14:textId="77777777" w:rsidR="00A56430" w:rsidRPr="00A56430" w:rsidRDefault="00A56430" w:rsidP="00A56430">
      <w:pPr>
        <w:spacing w:line="360" w:lineRule="auto"/>
        <w:jc w:val="both"/>
        <w:rPr>
          <w:rFonts w:eastAsia="Calibri"/>
          <w:sz w:val="26"/>
          <w:szCs w:val="26"/>
          <w:rtl/>
        </w:rPr>
      </w:pPr>
      <w:bookmarkStart w:id="6" w:name="ABSTRACT_START"/>
      <w:bookmarkEnd w:id="6"/>
      <w:r>
        <w:rPr>
          <w:rFonts w:hint="cs"/>
          <w:sz w:val="26"/>
          <w:szCs w:val="26"/>
          <w:rtl/>
        </w:rPr>
        <w:t>הנאשם 2 (להלן: "</w:t>
      </w:r>
      <w:r>
        <w:rPr>
          <w:rFonts w:hint="cs"/>
          <w:b/>
          <w:bCs/>
          <w:sz w:val="26"/>
          <w:szCs w:val="26"/>
          <w:rtl/>
        </w:rPr>
        <w:t>הנאשם</w:t>
      </w:r>
      <w:r>
        <w:rPr>
          <w:rFonts w:hint="cs"/>
          <w:sz w:val="26"/>
          <w:szCs w:val="26"/>
          <w:rtl/>
        </w:rPr>
        <w:t>") הורשע, על פי הודאתו, במסגרת הסדר טיעון, בכתב אישום מתוקן, בעבירה של</w:t>
      </w:r>
      <w:r>
        <w:rPr>
          <w:rFonts w:hint="cs"/>
          <w:b/>
          <w:bCs/>
          <w:sz w:val="26"/>
          <w:szCs w:val="26"/>
          <w:rtl/>
        </w:rPr>
        <w:t xml:space="preserve"> נשיאת נשק</w:t>
      </w:r>
      <w:r>
        <w:rPr>
          <w:rFonts w:hint="cs"/>
          <w:sz w:val="26"/>
          <w:szCs w:val="26"/>
          <w:rtl/>
        </w:rPr>
        <w:t xml:space="preserve"> – עבירה על </w:t>
      </w:r>
      <w:bookmarkStart w:id="7" w:name="Seif2"/>
      <w:r>
        <w:rPr>
          <w:rFonts w:hint="cs"/>
          <w:sz w:val="26"/>
          <w:szCs w:val="26"/>
          <w:rtl/>
        </w:rPr>
        <w:t xml:space="preserve">סעיף </w:t>
      </w:r>
      <w:bookmarkEnd w:id="7"/>
      <w:r w:rsidR="008273E0" w:rsidRPr="008273E0">
        <w:rPr>
          <w:color w:val="0000FF"/>
          <w:sz w:val="26"/>
          <w:szCs w:val="26"/>
          <w:u w:val="single"/>
          <w:rtl/>
        </w:rPr>
        <w:fldChar w:fldCharType="begin"/>
      </w:r>
      <w:r w:rsidR="008273E0" w:rsidRPr="008273E0">
        <w:rPr>
          <w:color w:val="0000FF"/>
          <w:sz w:val="26"/>
          <w:szCs w:val="26"/>
          <w:u w:val="single"/>
          <w:rtl/>
        </w:rPr>
        <w:instrText xml:space="preserve"> </w:instrText>
      </w:r>
      <w:r w:rsidR="008273E0" w:rsidRPr="008273E0">
        <w:rPr>
          <w:color w:val="0000FF"/>
          <w:sz w:val="26"/>
          <w:szCs w:val="26"/>
          <w:u w:val="single"/>
        </w:rPr>
        <w:instrText>HYPERLINK</w:instrText>
      </w:r>
      <w:r w:rsidR="008273E0" w:rsidRPr="008273E0">
        <w:rPr>
          <w:color w:val="0000FF"/>
          <w:sz w:val="26"/>
          <w:szCs w:val="26"/>
          <w:u w:val="single"/>
          <w:rtl/>
        </w:rPr>
        <w:instrText xml:space="preserve"> "</w:instrText>
      </w:r>
      <w:r w:rsidR="008273E0" w:rsidRPr="008273E0">
        <w:rPr>
          <w:color w:val="0000FF"/>
          <w:sz w:val="26"/>
          <w:szCs w:val="26"/>
          <w:u w:val="single"/>
        </w:rPr>
        <w:instrText>http://www.nevo.co.il/law/70301/144.b</w:instrText>
      </w:r>
      <w:r w:rsidR="008273E0" w:rsidRPr="008273E0">
        <w:rPr>
          <w:color w:val="0000FF"/>
          <w:sz w:val="26"/>
          <w:szCs w:val="26"/>
          <w:u w:val="single"/>
          <w:rtl/>
        </w:rPr>
        <w:instrText xml:space="preserve">" </w:instrText>
      </w:r>
      <w:r w:rsidR="00AA2A89" w:rsidRPr="008273E0">
        <w:rPr>
          <w:color w:val="0000FF"/>
          <w:sz w:val="26"/>
          <w:szCs w:val="26"/>
          <w:u w:val="single"/>
        </w:rPr>
      </w:r>
      <w:r w:rsidR="008273E0" w:rsidRPr="008273E0">
        <w:rPr>
          <w:color w:val="0000FF"/>
          <w:sz w:val="26"/>
          <w:szCs w:val="26"/>
          <w:u w:val="single"/>
          <w:rtl/>
        </w:rPr>
        <w:fldChar w:fldCharType="separate"/>
      </w:r>
      <w:r w:rsidR="008273E0" w:rsidRPr="008273E0">
        <w:rPr>
          <w:rStyle w:val="Hyperlink"/>
          <w:sz w:val="26"/>
          <w:szCs w:val="26"/>
          <w:rtl/>
        </w:rPr>
        <w:t>144 (ב)</w:t>
      </w:r>
      <w:r w:rsidR="008273E0" w:rsidRPr="008273E0">
        <w:rPr>
          <w:color w:val="0000FF"/>
          <w:sz w:val="26"/>
          <w:szCs w:val="26"/>
          <w:u w:val="single"/>
          <w:rtl/>
        </w:rPr>
        <w:fldChar w:fldCharType="end"/>
      </w:r>
      <w:r>
        <w:rPr>
          <w:rFonts w:hint="cs"/>
          <w:sz w:val="26"/>
          <w:szCs w:val="26"/>
          <w:rtl/>
        </w:rPr>
        <w:t xml:space="preserve"> רישא ל</w:t>
      </w:r>
      <w:hyperlink r:id="rId9" w:history="1">
        <w:r w:rsidR="003D580F" w:rsidRPr="003D580F">
          <w:rPr>
            <w:color w:val="0000FF"/>
            <w:sz w:val="26"/>
            <w:szCs w:val="26"/>
            <w:u w:val="single"/>
            <w:rtl/>
          </w:rPr>
          <w:t>חוק העונשין</w:t>
        </w:r>
      </w:hyperlink>
      <w:r>
        <w:rPr>
          <w:rFonts w:hint="cs"/>
          <w:sz w:val="26"/>
          <w:szCs w:val="26"/>
          <w:rtl/>
        </w:rPr>
        <w:t xml:space="preserve">, תשל"ז-1977 </w:t>
      </w:r>
      <w:bookmarkStart w:id="8" w:name="ABSTRACT_END"/>
      <w:bookmarkEnd w:id="8"/>
      <w:r>
        <w:rPr>
          <w:rFonts w:hint="cs"/>
          <w:sz w:val="26"/>
          <w:szCs w:val="26"/>
          <w:rtl/>
        </w:rPr>
        <w:t>(להלן: "</w:t>
      </w:r>
      <w:r>
        <w:rPr>
          <w:rFonts w:hint="cs"/>
          <w:b/>
          <w:bCs/>
          <w:sz w:val="26"/>
          <w:szCs w:val="26"/>
          <w:rtl/>
        </w:rPr>
        <w:t>החוק</w:t>
      </w:r>
      <w:r>
        <w:rPr>
          <w:rFonts w:hint="cs"/>
          <w:sz w:val="26"/>
          <w:szCs w:val="26"/>
          <w:rtl/>
        </w:rPr>
        <w:t>").</w:t>
      </w:r>
    </w:p>
    <w:p w14:paraId="0A3B0BF2" w14:textId="77777777" w:rsidR="00A56430" w:rsidRDefault="00A56430" w:rsidP="00A56430">
      <w:pPr>
        <w:spacing w:line="360" w:lineRule="auto"/>
        <w:jc w:val="both"/>
        <w:rPr>
          <w:rFonts w:eastAsia="David"/>
          <w:sz w:val="26"/>
          <w:szCs w:val="26"/>
        </w:rPr>
      </w:pPr>
    </w:p>
    <w:p w14:paraId="1645EADB" w14:textId="77777777" w:rsidR="00A56430" w:rsidRDefault="00A56430" w:rsidP="00A56430">
      <w:pPr>
        <w:spacing w:line="360" w:lineRule="auto"/>
        <w:jc w:val="both"/>
        <w:rPr>
          <w:sz w:val="26"/>
          <w:szCs w:val="26"/>
          <w:rtl/>
        </w:rPr>
      </w:pPr>
      <w:r>
        <w:rPr>
          <w:rFonts w:hint="cs"/>
          <w:b/>
          <w:bCs/>
          <w:sz w:val="26"/>
          <w:szCs w:val="26"/>
          <w:rtl/>
        </w:rPr>
        <w:t>על פי עובדות כתב האישום המתוקן</w:t>
      </w:r>
      <w:r>
        <w:rPr>
          <w:rFonts w:hint="cs"/>
          <w:sz w:val="26"/>
          <w:szCs w:val="26"/>
          <w:rtl/>
        </w:rPr>
        <w:t>, נאשמים 1 ו-3 הם אחים והנאשם נמצא עמם בקשרים חברתיים. עובר ליום 15.7.20 קשרו הנאשמים 1 ו-3 קשר לבצע פשע אשר פרטיו אינם ידועים (להלן: "</w:t>
      </w:r>
      <w:r>
        <w:rPr>
          <w:rFonts w:hint="cs"/>
          <w:b/>
          <w:bCs/>
          <w:sz w:val="26"/>
          <w:szCs w:val="26"/>
          <w:rtl/>
        </w:rPr>
        <w:t>הקשר</w:t>
      </w:r>
      <w:r>
        <w:rPr>
          <w:rFonts w:hint="cs"/>
          <w:sz w:val="26"/>
          <w:szCs w:val="26"/>
          <w:rtl/>
        </w:rPr>
        <w:t>"). לצורך קידום הקשר, ביום 15.7.20 שכר הנאשם 1 רכב, רכש אופנוע וביצע אתחול לשני כרטיסי סים בטלפונים ניידים בחנות המיועדת לכך (להלן: "</w:t>
      </w:r>
      <w:r>
        <w:rPr>
          <w:rFonts w:hint="cs"/>
          <w:b/>
          <w:bCs/>
          <w:sz w:val="26"/>
          <w:szCs w:val="26"/>
          <w:rtl/>
        </w:rPr>
        <w:t>הטלפונים המבצעיים</w:t>
      </w:r>
      <w:r>
        <w:rPr>
          <w:rFonts w:hint="cs"/>
          <w:sz w:val="26"/>
          <w:szCs w:val="26"/>
          <w:rtl/>
        </w:rPr>
        <w:t xml:space="preserve">"). עובר ליום 16.7.20 בשעה 21:30 לערך, לצורך הוצאת הקשר </w:t>
      </w:r>
      <w:r>
        <w:rPr>
          <w:rFonts w:hint="cs"/>
          <w:sz w:val="26"/>
          <w:szCs w:val="26"/>
          <w:rtl/>
        </w:rPr>
        <w:lastRenderedPageBreak/>
        <w:t xml:space="preserve">לפועל, הצטיידו הנאשמים 1 ו-3 ברכב השכור, באופנוע, בניידים המבצעים וכן בכפפות, מסכות, סכום של 14,300 ₪ במזומן, ג'ריקן המכיל דלק ופרטי לבוש. הנאשם הצטייד באקדח חצי אוטומטי מסוג ברטה קליבר 9 מ"מ, הטעון במחסנית עם 8 כדורים ו-6 כדורים נוספים. ביום 16.7.20 עובר לשעה 21:30 לערך, נסעו שלושת הנאשמים ברכב כשהנאשם מוביל ונושא עמו את האקדח והתחמושת, עד שהגיעו לפרדס הסמוך למתחם משפחת "אבו עדרה". בהגיעם לפרדס הנאשם ישב במושב הנהג, נאשם 3 ישב במושב לצדו כשהוא ללא חולצה וללא נעליים והנאשם 1 ישב במושב האחורי כשהוא לבוש בתחתונים בלבד. באותה עת, החזיק הנאשם באקדח ובתחמושת כשהם מוסלקים בחולצה שחורה מגולגלת ובשקית ניילון שקופה, על גבי שטיח המושב הקדמי ברכב, שהיה מונח לרגליו. במרחק של כ-120 מטר מהרכב נמצא האופנוע כשהמפתחות שלו, יחד עם מפתחות הרכב, היו על גג הרכב. </w:t>
      </w:r>
    </w:p>
    <w:p w14:paraId="134F7FEB" w14:textId="77777777" w:rsidR="00A56430" w:rsidRDefault="00A56430" w:rsidP="00A56430">
      <w:pPr>
        <w:spacing w:line="360" w:lineRule="auto"/>
        <w:jc w:val="both"/>
        <w:rPr>
          <w:sz w:val="26"/>
          <w:szCs w:val="26"/>
          <w:rtl/>
        </w:rPr>
      </w:pPr>
    </w:p>
    <w:p w14:paraId="6BEB223A" w14:textId="77777777" w:rsidR="00A56430" w:rsidRDefault="00A56430" w:rsidP="00A56430">
      <w:pPr>
        <w:spacing w:line="360" w:lineRule="auto"/>
        <w:jc w:val="both"/>
        <w:rPr>
          <w:sz w:val="26"/>
          <w:szCs w:val="26"/>
          <w:rtl/>
        </w:rPr>
      </w:pPr>
      <w:r>
        <w:rPr>
          <w:rFonts w:hint="cs"/>
          <w:sz w:val="26"/>
          <w:szCs w:val="26"/>
          <w:rtl/>
        </w:rPr>
        <w:t xml:space="preserve">במסגרת ההסדר שגובש בין הצדדים, לא גובשו הבנות עונשיות אך הוסכם כי הנאשם יופנה לקבלת תסקיר מטעם שירות המבחן וכי המאשימה לא תעתור להשית עליו קנס. להשלמת התמונה יצוין כי על יסוד אותן עובדות ממש הורשעו הנאשמים 1 ו-3 בעבירה של קשירת קשר לפשע, והסדר הטיעון בעניינם </w:t>
      </w:r>
      <w:bookmarkStart w:id="9" w:name="Seif8"/>
      <w:r>
        <w:rPr>
          <w:rFonts w:hint="cs"/>
          <w:sz w:val="26"/>
          <w:szCs w:val="26"/>
          <w:rtl/>
        </w:rPr>
        <w:t xml:space="preserve">כלל עתירה </w:t>
      </w:r>
      <w:bookmarkEnd w:id="9"/>
      <w:r>
        <w:rPr>
          <w:rFonts w:hint="cs"/>
          <w:sz w:val="26"/>
          <w:szCs w:val="26"/>
          <w:rtl/>
        </w:rPr>
        <w:t>משותפת לעונש מאסר למשך 6 חודשים שיינשא בעבודות שירות, לצד מרכיבי ענישה משלימים. ביום 14.9.21, לאחר שהתקבלו חוות דעת חיוביות מצד הממונה על עבודות השירות, אשרתי את הסדר הטיעון והטלתי על הנאשמים 1 ו-3 את העונש המוסכם. נותרה אפוא מלאכת גזירת הדין בעניינו של הנאשם בלבד.</w:t>
      </w:r>
    </w:p>
    <w:p w14:paraId="368CEC54" w14:textId="77777777" w:rsidR="00A56430" w:rsidRDefault="00A56430" w:rsidP="00A56430">
      <w:pPr>
        <w:spacing w:line="360" w:lineRule="auto"/>
        <w:jc w:val="both"/>
        <w:rPr>
          <w:sz w:val="26"/>
          <w:szCs w:val="26"/>
          <w:rtl/>
        </w:rPr>
      </w:pPr>
    </w:p>
    <w:p w14:paraId="575323A9" w14:textId="77777777" w:rsidR="00A56430" w:rsidRDefault="00A56430" w:rsidP="00A56430">
      <w:pPr>
        <w:spacing w:line="360" w:lineRule="auto"/>
        <w:jc w:val="both"/>
        <w:rPr>
          <w:sz w:val="26"/>
          <w:szCs w:val="26"/>
          <w:rtl/>
        </w:rPr>
      </w:pPr>
    </w:p>
    <w:p w14:paraId="2B8BFFBC" w14:textId="77777777" w:rsidR="00A56430" w:rsidRDefault="00A56430" w:rsidP="00A56430">
      <w:pPr>
        <w:spacing w:line="360" w:lineRule="auto"/>
        <w:jc w:val="both"/>
        <w:rPr>
          <w:b/>
          <w:bCs/>
          <w:sz w:val="26"/>
          <w:szCs w:val="26"/>
          <w:u w:val="single"/>
          <w:rtl/>
        </w:rPr>
      </w:pPr>
      <w:r>
        <w:rPr>
          <w:rFonts w:hint="cs"/>
          <w:b/>
          <w:bCs/>
          <w:sz w:val="26"/>
          <w:szCs w:val="26"/>
          <w:u w:val="single"/>
          <w:rtl/>
        </w:rPr>
        <w:t>תסקיר שירות המבחן</w:t>
      </w:r>
    </w:p>
    <w:p w14:paraId="34DE9402" w14:textId="77777777" w:rsidR="00A56430" w:rsidRDefault="00A56430" w:rsidP="00A56430">
      <w:pPr>
        <w:spacing w:line="360" w:lineRule="auto"/>
        <w:jc w:val="both"/>
        <w:rPr>
          <w:sz w:val="26"/>
          <w:szCs w:val="26"/>
          <w:rtl/>
        </w:rPr>
      </w:pPr>
      <w:r>
        <w:rPr>
          <w:rFonts w:hint="cs"/>
          <w:sz w:val="26"/>
          <w:szCs w:val="26"/>
          <w:rtl/>
        </w:rPr>
        <w:t>מהתסקיר שהוגש בעניינו של הנאשם עולה כי מדובר בצעיר כבן 29, המצוי בזוגיות ואב לילדה כבת ארבע. כיום מתגורר בבית הוריו ברחובות עם משפחתו ועובד בחברת צינורות השקיה מזה כחצי שנה. הנאשם עלה ארצה בגיל צעיר, התמודד עם קשיי שפה והשלים 10 שנות לימוד. לדבריו, מגיל צעיר חבר לחברה שולית באזור מגוריו והחל מעורבות בפלילים לצד צריכת אלכוהול לא מבוקרת. כבר בגיל 16 נשפט לעונש מאסר ראשון, בגין הרשעתו בביצוע עבירות אלימות. לאור מעורבות בפלילים לא גויס לצבא. לחובתו מספר הרשעות קודמות בעבירות אלימות, הפרת הוראה חוקית וסמים, והוא נידון לשלושה מאסרים בפועל, האחרון בשנת 2011.</w:t>
      </w:r>
    </w:p>
    <w:p w14:paraId="59E0D9DB" w14:textId="77777777" w:rsidR="00A56430" w:rsidRDefault="00A56430" w:rsidP="00A56430">
      <w:pPr>
        <w:spacing w:line="360" w:lineRule="auto"/>
        <w:jc w:val="both"/>
        <w:rPr>
          <w:sz w:val="26"/>
          <w:szCs w:val="26"/>
          <w:rtl/>
        </w:rPr>
      </w:pPr>
    </w:p>
    <w:p w14:paraId="22128B30" w14:textId="77777777" w:rsidR="00A56430" w:rsidRDefault="00A56430" w:rsidP="00A56430">
      <w:pPr>
        <w:spacing w:line="360" w:lineRule="auto"/>
        <w:jc w:val="both"/>
        <w:rPr>
          <w:sz w:val="26"/>
          <w:szCs w:val="26"/>
          <w:rtl/>
        </w:rPr>
      </w:pPr>
      <w:r>
        <w:rPr>
          <w:rFonts w:hint="cs"/>
          <w:sz w:val="26"/>
          <w:szCs w:val="26"/>
          <w:rtl/>
        </w:rPr>
        <w:t xml:space="preserve">במסגרת הליך המעצר הועמד הנאשם בצו פיקוח למשך 6 חודשים, במסגרתו שולב בקבוצת עצורי בית. במהלך השיחות, הציג עצמו הנאשם כמי שערך שינוי במישורי חייו השונים </w:t>
      </w:r>
      <w:r>
        <w:rPr>
          <w:rFonts w:hint="cs"/>
          <w:sz w:val="26"/>
          <w:szCs w:val="26"/>
          <w:rtl/>
        </w:rPr>
        <w:lastRenderedPageBreak/>
        <w:t xml:space="preserve">כשלצד יכולתו להתייחס באופן ביקורתי להתנהלותו הפלילית בעבר, הרי התייחסותו לעבירה הנוכחית אופיינה בזהירות וקושי להעמיק ההתבוננות בגורמים העומדים ברקע להסתבכותו ובגורמי הסיכון. התנהלותו מול שירות המבחן אופיינה בפאסיביות והגעתו לקבוצה לוותה בחיסורים ואיחורים. בתאריך 25.4.21 הגיע הנאשם לקבוצה בפעם האחרונה ומאז ניתק קשר עם שירות המבחן והניסיונות להשיגו לא צלחו. שירות המבחן התרשם כי הנאשם נמצא בסיכון להמשך התנהלות שולית ופורצת גבולות. לדבריו, מצא את האקדח חודשיים לפני שנעצר והחביא אותו, אך לא תכנן להשתמש בנשק, גם לא לצורך איום. הוא שלל סכסוכים כלשהם ותחושת איום. שירות המבחן התרשם כי הנאשם התקשה לבחון את נסיבות ביצוע העבירה והוא חסר תובנה באשר להתנהגותו ולחומרת העבירה. </w:t>
      </w:r>
    </w:p>
    <w:p w14:paraId="3C72881B" w14:textId="77777777" w:rsidR="00A56430" w:rsidRDefault="00A56430" w:rsidP="00A56430">
      <w:pPr>
        <w:spacing w:line="360" w:lineRule="auto"/>
        <w:jc w:val="both"/>
        <w:rPr>
          <w:sz w:val="26"/>
          <w:szCs w:val="26"/>
          <w:rtl/>
        </w:rPr>
      </w:pPr>
    </w:p>
    <w:p w14:paraId="10DC3B38" w14:textId="77777777" w:rsidR="00A56430" w:rsidRDefault="00A56430" w:rsidP="00A56430">
      <w:pPr>
        <w:spacing w:line="360" w:lineRule="auto"/>
        <w:jc w:val="both"/>
        <w:rPr>
          <w:sz w:val="26"/>
          <w:szCs w:val="26"/>
          <w:rtl/>
        </w:rPr>
      </w:pPr>
      <w:r>
        <w:rPr>
          <w:rFonts w:hint="cs"/>
          <w:sz w:val="26"/>
          <w:szCs w:val="26"/>
          <w:rtl/>
        </w:rPr>
        <w:t>באשר להערכת הסיכון, הרי שמדובר בבחור צעיר אשר מגיל צעיר חבר לחברה שולית והחל מעורבותו בפלילים, כאשר ברקע קשיים של הוריו להוות עבורו גורמים מכוונים ומציבי גבול. בשנים האחרונות ערך מאמצים לתפקוד תעסוקתי, אישי ומשפחתי, אך לצד זאת עולה כי לא ניתק קשריו השוליים בסביבת מגוריו. שירות המבחן התרשם כי רמת הסיכון להישנות עבירות חוזרות בתחום האלימות היא גבוהה, כאשר הנזק הצפוי בשל כך גבוה גם הוא. בבחינת גורמי הסיכון נלקחו בחשבון העבירה הנוכחית וחוסר התובנה של הנאשם להתנהגותו, ועבירותיו החוזרות בתחום האלימות. שירות המבחן העריך כי ככל הנראה חש הנאשם בקרב חברה שולית תחושות שייכות, קבלה ותשומת לב, שיתכן והיו חסרים בתא המשפחתי. עוד התרשם שירות המבחן כי לאורך השנים הפנים הנאשם נורמות שוליות. בבחינת גורמי הסיכוי לקח שירות המבחן בחשבון כי מדובר בבחור צעיר, אשר על אף קשייו, מחזיק בשאיפות לניהול אורח חיים תקין. עוד צוין הרושם כי הנאשם מורתע מההליכים המשפטיים שננקטו נגדו.</w:t>
      </w:r>
    </w:p>
    <w:p w14:paraId="6BD88ACA" w14:textId="77777777" w:rsidR="00A56430" w:rsidRDefault="00A56430" w:rsidP="00A56430">
      <w:pPr>
        <w:spacing w:line="360" w:lineRule="auto"/>
        <w:jc w:val="both"/>
        <w:rPr>
          <w:sz w:val="26"/>
          <w:szCs w:val="26"/>
          <w:rtl/>
        </w:rPr>
      </w:pPr>
    </w:p>
    <w:p w14:paraId="6D51511B" w14:textId="77777777" w:rsidR="00A56430" w:rsidRDefault="00A56430" w:rsidP="00A56430">
      <w:pPr>
        <w:spacing w:line="360" w:lineRule="auto"/>
        <w:jc w:val="both"/>
        <w:rPr>
          <w:sz w:val="26"/>
          <w:szCs w:val="26"/>
          <w:rtl/>
        </w:rPr>
      </w:pPr>
      <w:r>
        <w:rPr>
          <w:rFonts w:hint="cs"/>
          <w:sz w:val="26"/>
          <w:szCs w:val="26"/>
          <w:rtl/>
        </w:rPr>
        <w:t xml:space="preserve">נוכח העדר תובנה של הנאשם באשר לבעייתיות במצבו, קשייו לשתף פעולה עם שירות המבחן במסגרת צו פיקוח המעצר והתרשמותם כי אינו בשל כיום לבחינה עצמית מעמיקה באשר לדפוסיו, בחירותיו והתנהלותו, לא נוצר פתח להמשך טיפול. לפיכך נמנע שירות המבחן ממתן המלצה טיפולית בעניינו. עם זאת, בשל גילו הצעיר והמוטיבציה שהוא מבטא לנהל אורח חיים תקין, הומלץ על ענישה בדרך של עבודות שירות. </w:t>
      </w:r>
    </w:p>
    <w:p w14:paraId="63A15E09" w14:textId="77777777" w:rsidR="00A56430" w:rsidRDefault="00A56430" w:rsidP="00A56430">
      <w:pPr>
        <w:spacing w:line="360" w:lineRule="auto"/>
        <w:jc w:val="both"/>
        <w:rPr>
          <w:sz w:val="26"/>
          <w:szCs w:val="26"/>
          <w:rtl/>
        </w:rPr>
      </w:pPr>
    </w:p>
    <w:p w14:paraId="40A16865" w14:textId="77777777" w:rsidR="00A56430" w:rsidRDefault="00A56430" w:rsidP="00A56430">
      <w:pPr>
        <w:spacing w:line="360" w:lineRule="auto"/>
        <w:jc w:val="both"/>
        <w:rPr>
          <w:sz w:val="26"/>
          <w:szCs w:val="26"/>
          <w:rtl/>
        </w:rPr>
      </w:pPr>
    </w:p>
    <w:p w14:paraId="0B2EBE77" w14:textId="77777777" w:rsidR="00A56430" w:rsidRDefault="00A56430" w:rsidP="00A56430">
      <w:pPr>
        <w:spacing w:line="360" w:lineRule="auto"/>
        <w:jc w:val="both"/>
        <w:rPr>
          <w:sz w:val="26"/>
          <w:szCs w:val="26"/>
          <w:rtl/>
        </w:rPr>
      </w:pPr>
      <w:r>
        <w:rPr>
          <w:rFonts w:hint="cs"/>
          <w:b/>
          <w:bCs/>
          <w:sz w:val="26"/>
          <w:szCs w:val="26"/>
          <w:u w:val="single"/>
          <w:rtl/>
        </w:rPr>
        <w:t>טיעוני הצדדים</w:t>
      </w:r>
    </w:p>
    <w:p w14:paraId="1B4D918E" w14:textId="77777777" w:rsidR="00A56430" w:rsidRDefault="00A56430" w:rsidP="00A56430">
      <w:pPr>
        <w:spacing w:line="360" w:lineRule="auto"/>
        <w:jc w:val="both"/>
        <w:rPr>
          <w:sz w:val="26"/>
          <w:szCs w:val="26"/>
          <w:rtl/>
        </w:rPr>
      </w:pPr>
      <w:r>
        <w:rPr>
          <w:rFonts w:hint="cs"/>
          <w:sz w:val="26"/>
          <w:szCs w:val="26"/>
          <w:rtl/>
        </w:rPr>
        <w:t>ב"כ המאשימה הדגיש בטיעוניו את החומרה הרבה שבמעשיו של הנאשם ואת פגיעתם בערכים חברתיים חשובים, ובראשם ההגנה על שלומו ובטחונו של הציבור. עוד הדגיש את הסיכון הכרוך בעבירות נשק, ציין את החשיבות שבענישה מרתיעה והזכיר כי עבירות מעין אלו הוכרו כמכת מדינה, תוך שהוא מפנה לתיקון לחוק ולדברי ההסבר. לטענתו, הפגיעה בערכים המוגנים היא ברף גבוה, שכן מדובר בעבירת נשיאת אקדח טעון ותחמושת נוספת, עבירה שלצידה 10 שנות מאסר. השלכות מעשיו של הנאשם ידועות לכל, כאשר במקרים דומים נגרמות לעיתים גם אבדות בנפש. באשר למדיניות הענישה הפנה לאסופת פסיקה, ועתר למתחם עונש הולם הנע בין 20 ל-50 חודשי מאסר.</w:t>
      </w:r>
    </w:p>
    <w:p w14:paraId="09D5C284" w14:textId="77777777" w:rsidR="00A56430" w:rsidRDefault="00A56430" w:rsidP="00A56430">
      <w:pPr>
        <w:spacing w:line="360" w:lineRule="auto"/>
        <w:jc w:val="both"/>
        <w:rPr>
          <w:sz w:val="26"/>
          <w:szCs w:val="26"/>
          <w:rtl/>
        </w:rPr>
      </w:pPr>
    </w:p>
    <w:p w14:paraId="6893F1D5" w14:textId="77777777" w:rsidR="00A56430" w:rsidRDefault="00A56430" w:rsidP="00A56430">
      <w:pPr>
        <w:spacing w:line="360" w:lineRule="auto"/>
        <w:jc w:val="both"/>
        <w:rPr>
          <w:sz w:val="26"/>
          <w:szCs w:val="26"/>
          <w:rtl/>
        </w:rPr>
      </w:pPr>
      <w:r>
        <w:rPr>
          <w:rFonts w:hint="cs"/>
          <w:sz w:val="26"/>
          <w:szCs w:val="26"/>
          <w:rtl/>
        </w:rPr>
        <w:t xml:space="preserve">באשר לנסיבות שאינן קשורות לביצוע העבירה ציין כי הנאשם בעל עבר פלילי אשר התיישן, כאשר מדובר בעבירות אלימות וסמים בין השנים 2008 – 2013, הכוללים נשיאת מאסרים מאחורי סורג ובריח. עוד ציין כי מדובר במי שנטל אחריות, הודה במיוחס לו וחסך זמן ציבורי יקר. מנגד, הפנה לתסקיר שירות המבחן המעיד על קשיים, וביניהם התנהלות פאסיבית, חיסורים ואיחורים למפגשים, עד כדי ניתוק קשר מוחלט. עוד ציין כי שירות המבחן התרשם שנאשם נמצא בסיכון להמשך התנהלות שולית ופורצת גבולות ברמה גבוהה, כאשר אף חומרתן משוערת כגבוהה, הוא מתקשה לבחון את נסיבות ביצוע העבירה וחסר תובנה באשר להתנהגותו ולחומרת העבירה. על רקע זה נמנע שירות המבחן מהמלצה בעניינו. לאור דברים אלו עתר למקם את עונשו של הנאשם מעט מעל חלקו האמצעי של המתחם, לצד מאסר על תנאי, ובהתאם להצהרתו לא ביקש להטיל קנס. </w:t>
      </w:r>
    </w:p>
    <w:p w14:paraId="0EB154D8" w14:textId="77777777" w:rsidR="00A56430" w:rsidRDefault="00A56430" w:rsidP="00A56430">
      <w:pPr>
        <w:spacing w:line="360" w:lineRule="auto"/>
        <w:jc w:val="both"/>
        <w:rPr>
          <w:sz w:val="26"/>
          <w:szCs w:val="26"/>
          <w:rtl/>
        </w:rPr>
      </w:pPr>
    </w:p>
    <w:p w14:paraId="44109B7D" w14:textId="77777777" w:rsidR="00A56430" w:rsidRDefault="00A56430" w:rsidP="00A56430">
      <w:pPr>
        <w:spacing w:line="360" w:lineRule="auto"/>
        <w:jc w:val="both"/>
        <w:rPr>
          <w:sz w:val="26"/>
          <w:szCs w:val="26"/>
          <w:rtl/>
        </w:rPr>
      </w:pPr>
      <w:r>
        <w:rPr>
          <w:rFonts w:hint="cs"/>
          <w:sz w:val="26"/>
          <w:szCs w:val="26"/>
          <w:rtl/>
        </w:rPr>
        <w:t xml:space="preserve">ב"כ הנאשם ציין בפתח דבריו כי יש לזכור שהנאשם הורשע בעבירת נשיאת נשק בלבד, וזאת בשונה מעניינם של נאשמים 1 ו-3 אשר הורשעו בקשירת קשר לביצוע פשע. עוד הדגיש כי מדובר בנשק מסוג אקדח, להבדיל מתת מקלע או רובה, וכי הנשק נתפס מבלי שנעשה בו כל שימוש. הסנגור המלומד הוסיף וציין כי הנאשם היה נתון במעצר של ממש בגין הליך זה מעל 4 חודשים, וחמישה חודשים נוספים היה נתון במעצר בפיקוח אלקטרוני. בהמשך, שהה תחת תנאים מגבילים, כך שבסך הכל היה נתון במגבלות משמעותיות תקופה ארוכה של כשנה וחצי, ויש להתחשב בכך לעניין העונש. עוד הדגיש כי הרישום הפלילי ישן ועל כן ביקש להתייחס אל הנאשם כאל מי שעברו נקי ולחילופין לתת לשיקול זה משקל נמוך מאוד. </w:t>
      </w:r>
    </w:p>
    <w:p w14:paraId="4C29ED04" w14:textId="77777777" w:rsidR="00A56430" w:rsidRDefault="00A56430" w:rsidP="00A56430">
      <w:pPr>
        <w:spacing w:line="360" w:lineRule="auto"/>
        <w:jc w:val="both"/>
        <w:rPr>
          <w:sz w:val="26"/>
          <w:szCs w:val="26"/>
          <w:rtl/>
        </w:rPr>
      </w:pPr>
    </w:p>
    <w:p w14:paraId="7F768DCA" w14:textId="77777777" w:rsidR="00A56430" w:rsidRDefault="00A56430" w:rsidP="00A56430">
      <w:pPr>
        <w:spacing w:line="360" w:lineRule="auto"/>
        <w:jc w:val="both"/>
        <w:rPr>
          <w:sz w:val="26"/>
          <w:szCs w:val="26"/>
          <w:rtl/>
        </w:rPr>
      </w:pPr>
      <w:r>
        <w:rPr>
          <w:rFonts w:hint="cs"/>
          <w:sz w:val="26"/>
          <w:szCs w:val="26"/>
          <w:rtl/>
        </w:rPr>
        <w:t>הסנגור המלומד לא התעלם מהתסקיר, וציין כי לצד חוסר העקביות בהליכי הטיפול, עולה מהתסקיר כי מדובר באדם העובד לאורך רוב שעות היום כדי להחזיר חובות, וזהו גם מקור הקושי להגיע לטיפולים. בהקשר זה הוצגו גם תלושי משכורת ממקום העבודה, אשר סומנו ע/2. מדובר לדבריו בנאשם צעיר, בעל שאיפות לנהל חיים נורמטיביים, אשר לא נפתחו לו תיקים נוספים ומסר בדיקות שתן נקיות. עוד ציין כי תסקיר שירות המבחן בא בסוף בהמלצה לענישה בדמות עבודות שירות, זאת לצד קביעה כי מסוכנותו גבוהה, על כן ביקש ב"כ הנאשם לקבוע כי ההמלצה סבירה בעוד המסקנה לגבי מסוכנותו של הנאשם אינה מבוססת. ב"כ הנאשם ציין כי הליכי המעצר היוו מבחינת הנאשם גורם הרתעה משמעותי. לטענתו, המתחם שעליו הצביעה המאשימה חמור מדי, וגם אין הצדקה להשית עונש העולה על הרף התחתון של המתחם. לפיכך, ביקש לקבל את המלצת שירות המבחן ולהטיל על הנאשם עבודות שירות או לחילופין תקופה מאסר מינימלית, במידה ויסבור בית המשפט כי יש מקום למאסר, זאת לאור הפגיעה הקשה של מאסר ממושך בחייו.</w:t>
      </w:r>
    </w:p>
    <w:p w14:paraId="022A6856" w14:textId="77777777" w:rsidR="00A56430" w:rsidRDefault="00A56430" w:rsidP="00A56430">
      <w:pPr>
        <w:spacing w:line="360" w:lineRule="auto"/>
        <w:jc w:val="both"/>
        <w:rPr>
          <w:sz w:val="26"/>
          <w:szCs w:val="26"/>
          <w:rtl/>
        </w:rPr>
      </w:pPr>
    </w:p>
    <w:p w14:paraId="2FF158BA" w14:textId="77777777" w:rsidR="00A56430" w:rsidRDefault="00A56430" w:rsidP="00A56430">
      <w:pPr>
        <w:spacing w:line="360" w:lineRule="auto"/>
        <w:jc w:val="both"/>
        <w:rPr>
          <w:sz w:val="26"/>
          <w:szCs w:val="26"/>
          <w:rtl/>
        </w:rPr>
      </w:pPr>
      <w:r>
        <w:rPr>
          <w:rFonts w:hint="cs"/>
          <w:sz w:val="26"/>
          <w:szCs w:val="26"/>
          <w:rtl/>
        </w:rPr>
        <w:t>לבסוף, שמעתי גם את דברי הנאשם עצמו, אשר הביע צער וחרטה על מעשיו ומסר כי למד את הלקח. עוד ציין כי עברה עליו שנה קשה, הוא הבין את חומרת מעשיו ולא יחזור על כך.</w:t>
      </w:r>
    </w:p>
    <w:p w14:paraId="58E594DD" w14:textId="77777777" w:rsidR="00A56430" w:rsidRDefault="00A56430" w:rsidP="00A56430">
      <w:pPr>
        <w:spacing w:line="360" w:lineRule="auto"/>
        <w:jc w:val="both"/>
        <w:rPr>
          <w:sz w:val="26"/>
          <w:szCs w:val="26"/>
          <w:rtl/>
        </w:rPr>
      </w:pPr>
    </w:p>
    <w:p w14:paraId="7A8CC317" w14:textId="77777777" w:rsidR="00A56430" w:rsidRDefault="00A56430" w:rsidP="00A56430">
      <w:pPr>
        <w:spacing w:line="360" w:lineRule="auto"/>
        <w:jc w:val="both"/>
        <w:rPr>
          <w:sz w:val="26"/>
          <w:szCs w:val="26"/>
          <w:rtl/>
        </w:rPr>
      </w:pPr>
    </w:p>
    <w:p w14:paraId="05253D46" w14:textId="77777777" w:rsidR="00A56430" w:rsidRDefault="00A56430" w:rsidP="00A56430">
      <w:pPr>
        <w:spacing w:line="360" w:lineRule="auto"/>
        <w:jc w:val="both"/>
        <w:rPr>
          <w:color w:val="0070C0"/>
          <w:sz w:val="26"/>
          <w:szCs w:val="26"/>
          <w:rtl/>
        </w:rPr>
      </w:pPr>
      <w:r>
        <w:rPr>
          <w:rFonts w:hint="cs"/>
          <w:b/>
          <w:bCs/>
          <w:sz w:val="26"/>
          <w:szCs w:val="26"/>
          <w:u w:val="single"/>
          <w:rtl/>
        </w:rPr>
        <w:t xml:space="preserve">דיון והכרעה </w:t>
      </w:r>
      <w:r>
        <w:rPr>
          <w:rFonts w:hint="cs"/>
          <w:sz w:val="26"/>
          <w:szCs w:val="26"/>
          <w:rtl/>
        </w:rPr>
        <w:t xml:space="preserve"> </w:t>
      </w:r>
    </w:p>
    <w:p w14:paraId="00AC59E9" w14:textId="77777777" w:rsidR="00A56430" w:rsidRDefault="00A56430" w:rsidP="00A56430">
      <w:pPr>
        <w:spacing w:line="360" w:lineRule="auto"/>
        <w:jc w:val="both"/>
        <w:rPr>
          <w:color w:val="0070C0"/>
          <w:sz w:val="26"/>
          <w:szCs w:val="26"/>
          <w:rtl/>
        </w:rPr>
      </w:pPr>
    </w:p>
    <w:p w14:paraId="6F01EAF3" w14:textId="77777777" w:rsidR="00A56430" w:rsidRDefault="00A56430" w:rsidP="00A56430">
      <w:pPr>
        <w:spacing w:line="360" w:lineRule="auto"/>
        <w:ind w:left="851" w:right="851"/>
        <w:jc w:val="both"/>
        <w:rPr>
          <w:b/>
          <w:bCs/>
          <w:spacing w:val="10"/>
          <w:sz w:val="26"/>
          <w:szCs w:val="26"/>
          <w:rtl/>
        </w:rPr>
      </w:pPr>
      <w:r>
        <w:rPr>
          <w:rFonts w:hint="cs"/>
          <w:b/>
          <w:bCs/>
          <w:spacing w:val="10"/>
          <w:sz w:val="26"/>
          <w:szCs w:val="26"/>
          <w:rtl/>
        </w:rPr>
        <w:t>"התופעה של החזקת נשק שלא כדין על ידי אזרחים מהווה איום על שלום הציבור ועל הסדר הציבורי. היא התשתית ו"הגורם בלעדו איין" (</w:t>
      </w:r>
      <w:r>
        <w:rPr>
          <w:b/>
          <w:bCs/>
          <w:spacing w:val="10"/>
          <w:sz w:val="26"/>
          <w:szCs w:val="26"/>
        </w:rPr>
        <w:t>causa sine qua non</w:t>
      </w:r>
      <w:r>
        <w:rPr>
          <w:rFonts w:hint="cs"/>
          <w:b/>
          <w:bCs/>
          <w:spacing w:val="10"/>
          <w:sz w:val="26"/>
          <w:szCs w:val="26"/>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w:t>
      </w:r>
    </w:p>
    <w:p w14:paraId="379F6C08" w14:textId="77777777" w:rsidR="00A56430" w:rsidRDefault="00A56430" w:rsidP="00A56430">
      <w:pPr>
        <w:spacing w:line="360" w:lineRule="auto"/>
        <w:ind w:left="851" w:right="851" w:firstLine="720"/>
        <w:jc w:val="both"/>
        <w:rPr>
          <w:b/>
          <w:bCs/>
          <w:spacing w:val="10"/>
          <w:sz w:val="26"/>
          <w:szCs w:val="26"/>
          <w:rtl/>
        </w:rPr>
      </w:pPr>
    </w:p>
    <w:p w14:paraId="7A0048BE" w14:textId="77777777" w:rsidR="00A56430" w:rsidRDefault="00A56430" w:rsidP="00A56430">
      <w:pPr>
        <w:spacing w:line="360" w:lineRule="auto"/>
        <w:ind w:left="851" w:right="851"/>
        <w:jc w:val="both"/>
        <w:rPr>
          <w:b/>
          <w:bCs/>
          <w:spacing w:val="10"/>
          <w:sz w:val="26"/>
          <w:szCs w:val="26"/>
          <w:rtl/>
        </w:rPr>
      </w:pPr>
      <w:r>
        <w:rPr>
          <w:rFonts w:hint="cs"/>
          <w:b/>
          <w:bCs/>
          <w:spacing w:val="10"/>
          <w:sz w:val="26"/>
          <w:szCs w:val="26"/>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w:t>
      </w:r>
      <w:bookmarkStart w:id="10" w:name="Seif3"/>
      <w:r>
        <w:rPr>
          <w:rFonts w:hint="cs"/>
          <w:b/>
          <w:bCs/>
          <w:spacing w:val="10"/>
          <w:sz w:val="26"/>
          <w:szCs w:val="26"/>
          <w:rtl/>
        </w:rPr>
        <w:t xml:space="preserve">סעיף </w:t>
      </w:r>
      <w:bookmarkEnd w:id="10"/>
      <w:r>
        <w:rPr>
          <w:rFonts w:hint="cs"/>
          <w:b/>
          <w:bCs/>
          <w:spacing w:val="10"/>
          <w:sz w:val="26"/>
          <w:szCs w:val="26"/>
          <w:rtl/>
        </w:rPr>
        <w:t>144 ל</w:t>
      </w:r>
      <w:hyperlink r:id="rId10" w:history="1">
        <w:r w:rsidR="003D580F" w:rsidRPr="003D580F">
          <w:rPr>
            <w:b/>
            <w:bCs/>
            <w:color w:val="0000FF"/>
            <w:spacing w:val="10"/>
            <w:sz w:val="26"/>
            <w:szCs w:val="26"/>
            <w:u w:val="single"/>
            <w:rtl/>
          </w:rPr>
          <w:t>חוק העונשין</w:t>
        </w:r>
      </w:hyperlink>
      <w:r>
        <w:rPr>
          <w:rFonts w:hint="cs"/>
          <w:b/>
          <w:bCs/>
          <w:spacing w:val="10"/>
          <w:sz w:val="26"/>
          <w:szCs w:val="26"/>
          <w:rtl/>
        </w:rPr>
        <w:t xml:space="preserve">, התשל"ז-1977); זאת אף בלא שנעשה בנשק שימוש לביצוע עבירה נוספת. </w:t>
      </w:r>
    </w:p>
    <w:p w14:paraId="77F3990E" w14:textId="77777777" w:rsidR="00A56430" w:rsidRDefault="00A56430" w:rsidP="00A56430">
      <w:pPr>
        <w:spacing w:line="360" w:lineRule="auto"/>
        <w:ind w:left="851" w:right="851" w:firstLine="720"/>
        <w:jc w:val="both"/>
        <w:rPr>
          <w:b/>
          <w:bCs/>
          <w:spacing w:val="10"/>
          <w:sz w:val="26"/>
          <w:szCs w:val="26"/>
          <w:rtl/>
        </w:rPr>
      </w:pPr>
    </w:p>
    <w:p w14:paraId="5743ADFD" w14:textId="77777777" w:rsidR="00A56430" w:rsidRDefault="00A56430" w:rsidP="00A56430">
      <w:pPr>
        <w:spacing w:line="360" w:lineRule="auto"/>
        <w:ind w:left="851" w:right="851"/>
        <w:jc w:val="both"/>
        <w:rPr>
          <w:b/>
          <w:bCs/>
          <w:spacing w:val="10"/>
          <w:sz w:val="26"/>
          <w:szCs w:val="26"/>
          <w:rtl/>
        </w:rPr>
      </w:pPr>
      <w:r>
        <w:rPr>
          <w:rFonts w:hint="cs"/>
          <w:b/>
          <w:bCs/>
          <w:spacing w:val="10"/>
          <w:sz w:val="26"/>
          <w:szCs w:val="26"/>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5A769F25" w14:textId="77777777" w:rsidR="00A56430" w:rsidRDefault="00A56430" w:rsidP="00A56430">
      <w:pPr>
        <w:spacing w:line="360" w:lineRule="auto"/>
        <w:jc w:val="both"/>
        <w:rPr>
          <w:sz w:val="26"/>
          <w:szCs w:val="26"/>
        </w:rPr>
      </w:pPr>
    </w:p>
    <w:p w14:paraId="13C43F49" w14:textId="77777777" w:rsidR="00A56430" w:rsidRDefault="00A56430" w:rsidP="00A56430">
      <w:pPr>
        <w:spacing w:line="360" w:lineRule="auto"/>
        <w:jc w:val="both"/>
        <w:rPr>
          <w:sz w:val="26"/>
          <w:szCs w:val="26"/>
          <w:rtl/>
        </w:rPr>
      </w:pPr>
      <w:r>
        <w:rPr>
          <w:rFonts w:hint="cs"/>
          <w:sz w:val="26"/>
          <w:szCs w:val="26"/>
          <w:rtl/>
        </w:rPr>
        <w:t>דבריו אלה של כב' השופט מזוז מתוך פסק הדין ב</w:t>
      </w:r>
      <w:hyperlink r:id="rId11" w:history="1">
        <w:r w:rsidR="003D580F" w:rsidRPr="003D580F">
          <w:rPr>
            <w:color w:val="0000FF"/>
            <w:sz w:val="26"/>
            <w:szCs w:val="26"/>
            <w:u w:val="single"/>
            <w:rtl/>
          </w:rPr>
          <w:t>ע"פ 4406/19</w:t>
        </w:r>
      </w:hyperlink>
      <w:r>
        <w:rPr>
          <w:rFonts w:hint="cs"/>
          <w:sz w:val="26"/>
          <w:szCs w:val="26"/>
          <w:rtl/>
        </w:rPr>
        <w:t xml:space="preserve"> </w:t>
      </w:r>
      <w:r>
        <w:rPr>
          <w:rFonts w:hint="cs"/>
          <w:b/>
          <w:bCs/>
          <w:sz w:val="26"/>
          <w:szCs w:val="26"/>
          <w:rtl/>
        </w:rPr>
        <w:t>מ"י נ' סובח</w:t>
      </w:r>
      <w:r>
        <w:rPr>
          <w:rFonts w:hint="cs"/>
          <w:sz w:val="26"/>
          <w:szCs w:val="26"/>
          <w:rtl/>
        </w:rPr>
        <w:t xml:space="preserve"> (5.11.19) מבהירים הבהר היטב את הפגיעה החמורה בערכים החברתיים הבסיסיים ביותר, שעניינם השמירה על הסדר הציבורי, על שלומו ובטחונו של הציבור ועל חיי אנוש ממש, הכרוכה בביצוע עבירות הנשק, לרבות אלה שעניינן החזקה ונשיאה גרידא. לפיכך, מחויבים בתי המשפט לפעול בנחישות לצמצום תופעת נשיאת הנשק הבלתי חוקי, ועניינו של הנאשם, גם אם לא השתמש באקדח אותו נשא, אינו שונה, ומחייב אף הוא תגובה עונשית מחמירה ומרתיעה.</w:t>
      </w:r>
    </w:p>
    <w:p w14:paraId="6ABC9C1F" w14:textId="77777777" w:rsidR="00A56430" w:rsidRDefault="00A56430" w:rsidP="00A56430">
      <w:pPr>
        <w:spacing w:line="360" w:lineRule="auto"/>
        <w:jc w:val="both"/>
        <w:rPr>
          <w:sz w:val="26"/>
          <w:szCs w:val="26"/>
          <w:rtl/>
        </w:rPr>
      </w:pPr>
    </w:p>
    <w:p w14:paraId="60BE51D6" w14:textId="77777777" w:rsidR="00A56430" w:rsidRDefault="00A56430" w:rsidP="00A56430">
      <w:pPr>
        <w:spacing w:line="360" w:lineRule="auto"/>
        <w:jc w:val="both"/>
        <w:rPr>
          <w:sz w:val="26"/>
          <w:szCs w:val="26"/>
          <w:rtl/>
        </w:rPr>
      </w:pPr>
      <w:r>
        <w:rPr>
          <w:rFonts w:hint="cs"/>
          <w:b/>
          <w:bCs/>
          <w:sz w:val="26"/>
          <w:szCs w:val="26"/>
          <w:rtl/>
        </w:rPr>
        <w:t>מידת הפגיעה בערכים המוגנים</w:t>
      </w:r>
      <w:r>
        <w:rPr>
          <w:rFonts w:hint="cs"/>
          <w:sz w:val="26"/>
          <w:szCs w:val="26"/>
          <w:rtl/>
        </w:rPr>
        <w:t xml:space="preserve"> מצויה במקרה זה, </w:t>
      </w:r>
      <w:r>
        <w:rPr>
          <w:rFonts w:hint="cs"/>
          <w:b/>
          <w:bCs/>
          <w:sz w:val="26"/>
          <w:szCs w:val="26"/>
          <w:rtl/>
        </w:rPr>
        <w:t>במדרג החומרה הבינוני</w:t>
      </w:r>
      <w:r>
        <w:rPr>
          <w:rFonts w:hint="cs"/>
          <w:sz w:val="26"/>
          <w:szCs w:val="26"/>
          <w:rtl/>
        </w:rPr>
        <w:t xml:space="preserve"> של עבירות מעין אלה. מדובר אמנם בנשיאת אקדח, ולא נשק התקפי בעל פוטנציאל נזק מוגבר, אך האקדח היה טעון במחסנית ובכדורים, כך שפוטנציאל הנזק שהיה כרוך בנשיאתו לא היה מבוטל. יתרה מכך, גם אם לנוכח עובדות כתב האישום המתוקן אין לייחס לנאשם את קשירת הקשר ואת פעולות ההכנה הנרחבות שביצעו שני הנאשמים הנוספים לקראת היציאה לפעילות המשותפת, הרי שלא ניתן להתעלם מכך שאין מדובר בנשיאה מקרית או אקראית של האקדח הטעון, אלא במי שיצא במודע, ביחד עם אחרים, לפעילות פלילית מבצעית, שטיבה המדויק ומטרתה נותרו עלומים. לצורך אותה פעילות הצטייד הנאשם באקדח הטעון, ונסע עם הנאשמים האחרים לאותו פרדס סמוך למתחם מגורים, שם נתפס במושב הנהג ברכב כשהאקדח מוסלק למרגלותיו.</w:t>
      </w:r>
    </w:p>
    <w:p w14:paraId="00567343" w14:textId="77777777" w:rsidR="00A56430" w:rsidRDefault="00A56430" w:rsidP="00A56430">
      <w:pPr>
        <w:spacing w:line="360" w:lineRule="auto"/>
        <w:jc w:val="both"/>
        <w:rPr>
          <w:sz w:val="26"/>
          <w:szCs w:val="26"/>
          <w:rtl/>
        </w:rPr>
      </w:pPr>
    </w:p>
    <w:p w14:paraId="0F906FC4" w14:textId="77777777" w:rsidR="00A56430" w:rsidRDefault="00A56430" w:rsidP="00A56430">
      <w:pPr>
        <w:spacing w:line="360" w:lineRule="auto"/>
        <w:jc w:val="both"/>
        <w:rPr>
          <w:sz w:val="26"/>
          <w:szCs w:val="26"/>
          <w:rtl/>
        </w:rPr>
      </w:pPr>
      <w:r>
        <w:rPr>
          <w:rFonts w:hint="cs"/>
          <w:sz w:val="26"/>
          <w:szCs w:val="26"/>
          <w:rtl/>
        </w:rPr>
        <w:t>באשר ל</w:t>
      </w:r>
      <w:r>
        <w:rPr>
          <w:rFonts w:hint="cs"/>
          <w:b/>
          <w:bCs/>
          <w:sz w:val="26"/>
          <w:szCs w:val="26"/>
          <w:rtl/>
        </w:rPr>
        <w:t>מדיניות הענישה</w:t>
      </w:r>
      <w:r>
        <w:rPr>
          <w:rFonts w:hint="cs"/>
          <w:sz w:val="26"/>
          <w:szCs w:val="26"/>
          <w:rtl/>
        </w:rPr>
        <w:t xml:space="preserve"> </w:t>
      </w:r>
      <w:r>
        <w:rPr>
          <w:rFonts w:hint="cs"/>
          <w:b/>
          <w:bCs/>
          <w:sz w:val="26"/>
          <w:szCs w:val="26"/>
          <w:rtl/>
        </w:rPr>
        <w:t>הנוהגת</w:t>
      </w:r>
      <w:r>
        <w:rPr>
          <w:rFonts w:hint="cs"/>
          <w:sz w:val="26"/>
          <w:szCs w:val="26"/>
          <w:rtl/>
        </w:rPr>
        <w:t xml:space="preserve"> בעבירה של נשיאת אקדח, הרי </w:t>
      </w:r>
      <w:r>
        <w:rPr>
          <w:rFonts w:hint="cs"/>
          <w:rtl/>
        </w:rPr>
        <w:t xml:space="preserve">שקיימת </w:t>
      </w:r>
      <w:r>
        <w:rPr>
          <w:rFonts w:hint="cs"/>
          <w:sz w:val="26"/>
          <w:szCs w:val="26"/>
          <w:rtl/>
        </w:rPr>
        <w:t>פסיקה ענפה המבהירה כי דינם של המורשעים בה להישלח, אלא במקרים חריגים ביותר, לתקופת מאסר ממשית מאחורי סורג ובריח, ואפרט:</w:t>
      </w:r>
    </w:p>
    <w:p w14:paraId="331C5BF1" w14:textId="77777777" w:rsidR="00A56430" w:rsidRDefault="00A56430" w:rsidP="00A56430">
      <w:pPr>
        <w:spacing w:line="360" w:lineRule="auto"/>
        <w:jc w:val="both"/>
        <w:rPr>
          <w:sz w:val="26"/>
          <w:szCs w:val="26"/>
          <w:rtl/>
        </w:rPr>
      </w:pPr>
    </w:p>
    <w:p w14:paraId="61FFF510" w14:textId="77777777" w:rsidR="00A56430" w:rsidRDefault="00A56430" w:rsidP="00A56430">
      <w:pPr>
        <w:spacing w:line="360" w:lineRule="auto"/>
        <w:jc w:val="both"/>
        <w:rPr>
          <w:sz w:val="26"/>
          <w:szCs w:val="26"/>
          <w:rtl/>
        </w:rPr>
      </w:pPr>
      <w:r>
        <w:rPr>
          <w:rFonts w:hint="cs"/>
          <w:sz w:val="26"/>
          <w:szCs w:val="26"/>
          <w:rtl/>
        </w:rPr>
        <w:t>ב</w:t>
      </w:r>
      <w:hyperlink r:id="rId12" w:history="1">
        <w:r w:rsidR="003D580F" w:rsidRPr="003D580F">
          <w:rPr>
            <w:color w:val="0000FF"/>
            <w:sz w:val="26"/>
            <w:szCs w:val="26"/>
            <w:u w:val="single"/>
            <w:rtl/>
          </w:rPr>
          <w:t>ע"פ 2564/19</w:t>
        </w:r>
      </w:hyperlink>
      <w:r w:rsidR="003D580F">
        <w:rPr>
          <w:sz w:val="26"/>
          <w:szCs w:val="26"/>
        </w:rPr>
        <w:t xml:space="preserve"> </w:t>
      </w:r>
      <w:r>
        <w:rPr>
          <w:rFonts w:hint="cs"/>
          <w:b/>
          <w:bCs/>
          <w:sz w:val="26"/>
          <w:szCs w:val="26"/>
          <w:rtl/>
        </w:rPr>
        <w:t>אזברגה נ' מ"י</w:t>
      </w:r>
      <w:r>
        <w:rPr>
          <w:rFonts w:hint="cs"/>
          <w:sz w:val="26"/>
          <w:szCs w:val="26"/>
          <w:rtl/>
        </w:rPr>
        <w:t xml:space="preserve"> (18.7.19),</w:t>
      </w:r>
      <w:r>
        <w:rPr>
          <w:rFonts w:hint="cs"/>
          <w:sz w:val="26"/>
          <w:szCs w:val="26"/>
        </w:rPr>
        <w:t xml:space="preserve"> </w:t>
      </w:r>
      <w:r>
        <w:rPr>
          <w:rFonts w:hint="cs"/>
          <w:sz w:val="26"/>
          <w:szCs w:val="26"/>
          <w:rtl/>
        </w:rPr>
        <w:t>נקבע בבית המשפט המחוזי</w:t>
      </w:r>
      <w:r>
        <w:rPr>
          <w:rFonts w:hint="cs"/>
          <w:b/>
          <w:bCs/>
          <w:sz w:val="26"/>
          <w:szCs w:val="26"/>
          <w:rtl/>
        </w:rPr>
        <w:t xml:space="preserve"> מתחם ענישה שנע בין 12 ל-40 חודשי</w:t>
      </w:r>
      <w:r>
        <w:rPr>
          <w:rFonts w:hint="cs"/>
          <w:sz w:val="26"/>
          <w:szCs w:val="26"/>
          <w:rtl/>
        </w:rPr>
        <w:t xml:space="preserve"> מאסר בפועל, בגין נשיאת אקדח ומחסנית תואמת, שנרכשו זמן קצר קודם לכן על ידי המערער וחברו, ברכב בו נסעו יחדיו. הנאשם, בחור צעיר ללא עבר פלילי, אשר הודה במיוחס לו, נדון </w:t>
      </w:r>
      <w:r>
        <w:rPr>
          <w:rFonts w:hint="cs"/>
          <w:b/>
          <w:bCs/>
          <w:sz w:val="26"/>
          <w:szCs w:val="26"/>
          <w:rtl/>
        </w:rPr>
        <w:t xml:space="preserve">ל-16 חודשי מאסר </w:t>
      </w:r>
      <w:r>
        <w:rPr>
          <w:rFonts w:hint="cs"/>
          <w:sz w:val="26"/>
          <w:szCs w:val="26"/>
          <w:rtl/>
        </w:rPr>
        <w:t>בפועל, ובית המשפט העליון דחה את הערעור שהגיש</w:t>
      </w:r>
      <w:r>
        <w:rPr>
          <w:sz w:val="26"/>
          <w:szCs w:val="26"/>
        </w:rPr>
        <w:t>.</w:t>
      </w:r>
    </w:p>
    <w:p w14:paraId="336941ED" w14:textId="77777777" w:rsidR="00A56430" w:rsidRDefault="00A56430" w:rsidP="00A56430">
      <w:pPr>
        <w:spacing w:line="360" w:lineRule="auto"/>
        <w:jc w:val="both"/>
        <w:rPr>
          <w:sz w:val="26"/>
          <w:szCs w:val="26"/>
          <w:rtl/>
        </w:rPr>
      </w:pPr>
    </w:p>
    <w:p w14:paraId="6812F624" w14:textId="77777777" w:rsidR="00A56430" w:rsidRDefault="00A56430" w:rsidP="00A56430">
      <w:pPr>
        <w:spacing w:line="360" w:lineRule="auto"/>
        <w:jc w:val="both"/>
        <w:rPr>
          <w:sz w:val="26"/>
          <w:szCs w:val="26"/>
          <w:rtl/>
        </w:rPr>
      </w:pPr>
      <w:r>
        <w:rPr>
          <w:rFonts w:hint="cs"/>
          <w:sz w:val="26"/>
          <w:szCs w:val="26"/>
          <w:rtl/>
        </w:rPr>
        <w:t>ב</w:t>
      </w:r>
      <w:hyperlink r:id="rId13" w:history="1">
        <w:r w:rsidR="003D580F" w:rsidRPr="003D580F">
          <w:rPr>
            <w:color w:val="0000FF"/>
            <w:sz w:val="26"/>
            <w:szCs w:val="26"/>
            <w:u w:val="single"/>
            <w:rtl/>
          </w:rPr>
          <w:t>ע"פ 4215/18</w:t>
        </w:r>
      </w:hyperlink>
      <w:r w:rsidR="003D580F">
        <w:rPr>
          <w:sz w:val="26"/>
          <w:szCs w:val="26"/>
        </w:rPr>
        <w:t xml:space="preserve"> </w:t>
      </w:r>
      <w:r>
        <w:rPr>
          <w:rFonts w:hint="cs"/>
          <w:b/>
          <w:bCs/>
          <w:sz w:val="26"/>
          <w:szCs w:val="26"/>
          <w:rtl/>
        </w:rPr>
        <w:t>ח'טיב נ' מ"י</w:t>
      </w:r>
      <w:r>
        <w:rPr>
          <w:rFonts w:hint="cs"/>
          <w:sz w:val="26"/>
          <w:szCs w:val="26"/>
          <w:rtl/>
        </w:rPr>
        <w:t xml:space="preserve"> (8.7.18), נדחה ערעורו של נאשם אשר הורשע על פי הודאתו בעבירות של נשיאת נשק ותחמושת. הנאשם שהה בסמטה סמוכה לחצר ביתו, כשהוא נושא על גופו אקדח טעון בארבעה כדורים. נקבע</w:t>
      </w:r>
      <w:r w:rsidR="003D580F">
        <w:rPr>
          <w:rFonts w:hint="cs"/>
          <w:sz w:val="26"/>
          <w:szCs w:val="26"/>
          <w:rtl/>
        </w:rPr>
        <w:t xml:space="preserve"> </w:t>
      </w:r>
      <w:r>
        <w:rPr>
          <w:rFonts w:hint="cs"/>
          <w:b/>
          <w:bCs/>
          <w:sz w:val="26"/>
          <w:szCs w:val="26"/>
          <w:rtl/>
        </w:rPr>
        <w:t>מתחם ענישה הנע בין 15 ל-36 חודשי מאסר בפועל</w:t>
      </w:r>
      <w:r>
        <w:rPr>
          <w:sz w:val="26"/>
          <w:szCs w:val="26"/>
        </w:rPr>
        <w:t xml:space="preserve">, </w:t>
      </w:r>
      <w:r>
        <w:rPr>
          <w:rFonts w:hint="cs"/>
          <w:sz w:val="26"/>
          <w:szCs w:val="26"/>
          <w:rtl/>
        </w:rPr>
        <w:t xml:space="preserve"> והנאשם נדון ל</w:t>
      </w:r>
      <w:r>
        <w:rPr>
          <w:rFonts w:hint="cs"/>
          <w:sz w:val="26"/>
          <w:szCs w:val="26"/>
        </w:rPr>
        <w:t xml:space="preserve"> </w:t>
      </w:r>
      <w:r>
        <w:rPr>
          <w:b/>
          <w:bCs/>
          <w:sz w:val="26"/>
          <w:szCs w:val="26"/>
        </w:rPr>
        <w:t>15</w:t>
      </w:r>
      <w:r>
        <w:rPr>
          <w:sz w:val="26"/>
          <w:szCs w:val="26"/>
        </w:rPr>
        <w:t>-</w:t>
      </w:r>
      <w:r>
        <w:rPr>
          <w:rFonts w:hint="cs"/>
          <w:b/>
          <w:bCs/>
          <w:sz w:val="26"/>
          <w:szCs w:val="26"/>
          <w:rtl/>
        </w:rPr>
        <w:t>חודשי מאסר בפועל</w:t>
      </w:r>
      <w:r>
        <w:rPr>
          <w:sz w:val="26"/>
          <w:szCs w:val="26"/>
        </w:rPr>
        <w:t>.</w:t>
      </w:r>
    </w:p>
    <w:p w14:paraId="3A79A323" w14:textId="77777777" w:rsidR="00A56430" w:rsidRDefault="00A56430" w:rsidP="00A56430">
      <w:pPr>
        <w:spacing w:line="360" w:lineRule="auto"/>
        <w:jc w:val="both"/>
        <w:rPr>
          <w:sz w:val="26"/>
          <w:szCs w:val="26"/>
          <w:rtl/>
        </w:rPr>
      </w:pPr>
    </w:p>
    <w:p w14:paraId="67744A4F" w14:textId="77777777" w:rsidR="00A56430" w:rsidRDefault="00A56430" w:rsidP="00A56430">
      <w:pPr>
        <w:spacing w:line="360" w:lineRule="auto"/>
        <w:jc w:val="both"/>
        <w:rPr>
          <w:sz w:val="26"/>
          <w:szCs w:val="26"/>
          <w:shd w:val="clear" w:color="auto" w:fill="FFFFFF"/>
          <w:rtl/>
        </w:rPr>
      </w:pPr>
      <w:r>
        <w:rPr>
          <w:rFonts w:hint="cs"/>
          <w:sz w:val="26"/>
          <w:szCs w:val="26"/>
          <w:shd w:val="clear" w:color="auto" w:fill="FFFFFF"/>
          <w:rtl/>
        </w:rPr>
        <w:t>ב</w:t>
      </w:r>
      <w:hyperlink r:id="rId14" w:history="1">
        <w:r w:rsidR="003D580F" w:rsidRPr="003D580F">
          <w:rPr>
            <w:color w:val="0000FF"/>
            <w:sz w:val="26"/>
            <w:szCs w:val="26"/>
            <w:u w:val="single"/>
            <w:shd w:val="clear" w:color="auto" w:fill="FFFFFF"/>
            <w:rtl/>
          </w:rPr>
          <w:t>ע"פ 5765/20</w:t>
        </w:r>
      </w:hyperlink>
      <w:r>
        <w:rPr>
          <w:rFonts w:hint="cs"/>
          <w:sz w:val="26"/>
          <w:szCs w:val="26"/>
          <w:shd w:val="clear" w:color="auto" w:fill="FFFFFF"/>
          <w:rtl/>
        </w:rPr>
        <w:t xml:space="preserve"> </w:t>
      </w:r>
      <w:r>
        <w:rPr>
          <w:rFonts w:hint="cs"/>
          <w:b/>
          <w:bCs/>
          <w:sz w:val="26"/>
          <w:szCs w:val="26"/>
          <w:shd w:val="clear" w:color="auto" w:fill="FFFFFF"/>
          <w:rtl/>
        </w:rPr>
        <w:t>אבו בכר נ' מ"י</w:t>
      </w:r>
      <w:r>
        <w:rPr>
          <w:rFonts w:hint="cs"/>
          <w:sz w:val="26"/>
          <w:szCs w:val="26"/>
          <w:shd w:val="clear" w:color="auto" w:fill="FFFFFF"/>
          <w:rtl/>
        </w:rPr>
        <w:t xml:space="preserve"> (22/03/21) נסעו המערערים ברכב ובו נשאו והובילו שני אקדחים, שבכל אקדח מחסנית מלאה. כאשר סימנו להם שוטרים לעצור, המשיך הנהג בנסיעה קצרה ולאחר שעצר את הרכב יצא חברו מהרכב, רץ אל חצר בית סמוך והשליך שם את האקדחים והמחסניות. על אף העדר עבר פלילי, הטיל בית המשפט על כל אחד מהם </w:t>
      </w:r>
      <w:r>
        <w:rPr>
          <w:rFonts w:hint="cs"/>
          <w:b/>
          <w:bCs/>
          <w:sz w:val="26"/>
          <w:szCs w:val="26"/>
          <w:shd w:val="clear" w:color="auto" w:fill="FFFFFF"/>
          <w:rtl/>
        </w:rPr>
        <w:t>18 חודשי מאסר בפועל,</w:t>
      </w:r>
      <w:r>
        <w:rPr>
          <w:rFonts w:hint="cs"/>
          <w:sz w:val="26"/>
          <w:szCs w:val="26"/>
          <w:shd w:val="clear" w:color="auto" w:fill="FFFFFF"/>
          <w:rtl/>
        </w:rPr>
        <w:t xml:space="preserve"> והערעור שהגישו לבית המשפט העליון נדחה. </w:t>
      </w:r>
    </w:p>
    <w:p w14:paraId="7353954F" w14:textId="77777777" w:rsidR="00A56430" w:rsidRDefault="00A56430" w:rsidP="00A56430">
      <w:pPr>
        <w:spacing w:line="360" w:lineRule="auto"/>
        <w:jc w:val="both"/>
        <w:rPr>
          <w:sz w:val="26"/>
          <w:szCs w:val="26"/>
          <w:shd w:val="clear" w:color="auto" w:fill="FFFFFF"/>
          <w:rtl/>
        </w:rPr>
      </w:pPr>
    </w:p>
    <w:p w14:paraId="6893E504" w14:textId="77777777" w:rsidR="00A56430" w:rsidRDefault="00A56430" w:rsidP="00A56430">
      <w:pPr>
        <w:spacing w:line="360" w:lineRule="auto"/>
        <w:jc w:val="both"/>
        <w:rPr>
          <w:sz w:val="26"/>
          <w:szCs w:val="26"/>
          <w:rtl/>
        </w:rPr>
      </w:pPr>
      <w:r>
        <w:rPr>
          <w:rFonts w:hint="cs"/>
          <w:sz w:val="26"/>
          <w:szCs w:val="26"/>
          <w:rtl/>
        </w:rPr>
        <w:t>ב</w:t>
      </w:r>
      <w:hyperlink r:id="rId15" w:history="1">
        <w:r w:rsidR="003D580F" w:rsidRPr="003D580F">
          <w:rPr>
            <w:color w:val="0000FF"/>
            <w:sz w:val="26"/>
            <w:szCs w:val="26"/>
            <w:u w:val="single"/>
            <w:rtl/>
          </w:rPr>
          <w:t>ע"פ 2101/21</w:t>
        </w:r>
      </w:hyperlink>
      <w:r w:rsidR="003D580F">
        <w:rPr>
          <w:sz w:val="26"/>
          <w:szCs w:val="26"/>
        </w:rPr>
        <w:t xml:space="preserve"> </w:t>
      </w:r>
      <w:r>
        <w:rPr>
          <w:rFonts w:hint="cs"/>
          <w:b/>
          <w:bCs/>
          <w:sz w:val="26"/>
          <w:szCs w:val="26"/>
          <w:rtl/>
        </w:rPr>
        <w:t>טוביה</w:t>
      </w:r>
      <w:r>
        <w:rPr>
          <w:rFonts w:hint="cs"/>
          <w:sz w:val="26"/>
          <w:szCs w:val="26"/>
          <w:rtl/>
        </w:rPr>
        <w:t xml:space="preserve"> </w:t>
      </w:r>
      <w:r>
        <w:rPr>
          <w:rFonts w:hint="cs"/>
          <w:b/>
          <w:bCs/>
          <w:sz w:val="26"/>
          <w:szCs w:val="26"/>
          <w:rtl/>
        </w:rPr>
        <w:t>נ' מ"י</w:t>
      </w:r>
      <w:r w:rsidR="003D580F">
        <w:rPr>
          <w:rFonts w:hint="cs"/>
          <w:sz w:val="26"/>
          <w:szCs w:val="26"/>
          <w:rtl/>
        </w:rPr>
        <w:t xml:space="preserve"> </w:t>
      </w:r>
      <w:r>
        <w:rPr>
          <w:sz w:val="26"/>
          <w:szCs w:val="26"/>
        </w:rPr>
        <w:t>(29.7.21)</w:t>
      </w:r>
      <w:r>
        <w:rPr>
          <w:rFonts w:hint="cs"/>
          <w:sz w:val="26"/>
          <w:szCs w:val="26"/>
          <w:rtl/>
        </w:rPr>
        <w:t xml:space="preserve">, דובר בנאשם שהורשע, על פי הודאתו, בעבירה של נשיאת נשק, בכך שנשא אקדח ומחסנית עם ארבעה כדורים בעודו נוסע ברכב, נמלט מהשוטרים רגלית והשליך את הנשק לחצר סמוכה. בית המשפט המחוזי קבע </w:t>
      </w:r>
      <w:r>
        <w:rPr>
          <w:rFonts w:hint="cs"/>
          <w:b/>
          <w:bCs/>
          <w:sz w:val="26"/>
          <w:szCs w:val="26"/>
          <w:rtl/>
        </w:rPr>
        <w:t>מתחם</w:t>
      </w:r>
      <w:r w:rsidR="003D580F">
        <w:rPr>
          <w:rFonts w:hint="cs"/>
          <w:sz w:val="26"/>
          <w:szCs w:val="26"/>
          <w:rtl/>
        </w:rPr>
        <w:t xml:space="preserve"> </w:t>
      </w:r>
      <w:r>
        <w:rPr>
          <w:rFonts w:hint="cs"/>
          <w:b/>
          <w:bCs/>
          <w:sz w:val="26"/>
          <w:szCs w:val="26"/>
          <w:rtl/>
        </w:rPr>
        <w:t>ענישה הנע בין 16 ל-40 חודשי מאסר בפועל</w:t>
      </w:r>
      <w:r>
        <w:rPr>
          <w:rFonts w:hint="cs"/>
          <w:sz w:val="26"/>
          <w:szCs w:val="26"/>
          <w:rtl/>
        </w:rPr>
        <w:t>. הנאשם בעל עבר פלילי</w:t>
      </w:r>
      <w:r>
        <w:rPr>
          <w:rFonts w:hint="cs"/>
          <w:sz w:val="26"/>
          <w:szCs w:val="26"/>
        </w:rPr>
        <w:t xml:space="preserve"> </w:t>
      </w:r>
      <w:r>
        <w:rPr>
          <w:rFonts w:hint="cs"/>
          <w:sz w:val="26"/>
          <w:szCs w:val="26"/>
          <w:rtl/>
        </w:rPr>
        <w:t>והושת עליו עונש</w:t>
      </w:r>
      <w:r w:rsidR="003D580F">
        <w:rPr>
          <w:rFonts w:hint="cs"/>
          <w:sz w:val="26"/>
          <w:szCs w:val="26"/>
          <w:rtl/>
        </w:rPr>
        <w:t xml:space="preserve"> </w:t>
      </w:r>
      <w:r>
        <w:rPr>
          <w:rFonts w:hint="cs"/>
          <w:b/>
          <w:bCs/>
          <w:sz w:val="26"/>
          <w:szCs w:val="26"/>
          <w:rtl/>
        </w:rPr>
        <w:t>של 30 חודשי מאסר</w:t>
      </w:r>
      <w:r>
        <w:rPr>
          <w:rFonts w:hint="cs"/>
          <w:sz w:val="26"/>
          <w:szCs w:val="26"/>
          <w:rtl/>
        </w:rPr>
        <w:t>. הערעור על חומרת העונש נדחה, תוך שבית המשפט העליון מבהיר כי "</w:t>
      </w:r>
      <w:r>
        <w:rPr>
          <w:rFonts w:hint="cs"/>
          <w:b/>
          <w:bCs/>
          <w:sz w:val="26"/>
          <w:szCs w:val="26"/>
          <w:rtl/>
        </w:rPr>
        <w:t>יש להחמיר בענישה בגין עבירות בנשק ש"יעדו הסופי" אינו נהיר</w:t>
      </w:r>
      <w:r>
        <w:rPr>
          <w:rFonts w:hint="cs"/>
          <w:sz w:val="26"/>
          <w:szCs w:val="26"/>
          <w:rtl/>
        </w:rPr>
        <w:t>".</w:t>
      </w:r>
    </w:p>
    <w:p w14:paraId="0CC5CB42" w14:textId="77777777" w:rsidR="00A56430" w:rsidRDefault="00A56430" w:rsidP="00A56430">
      <w:pPr>
        <w:spacing w:line="360" w:lineRule="auto"/>
        <w:jc w:val="both"/>
        <w:rPr>
          <w:sz w:val="26"/>
          <w:szCs w:val="26"/>
          <w:rtl/>
        </w:rPr>
      </w:pPr>
    </w:p>
    <w:p w14:paraId="1B135FAC" w14:textId="77777777" w:rsidR="00A56430" w:rsidRDefault="00A56430" w:rsidP="00A56430">
      <w:pPr>
        <w:spacing w:line="360" w:lineRule="auto"/>
        <w:jc w:val="both"/>
        <w:rPr>
          <w:sz w:val="26"/>
          <w:szCs w:val="26"/>
          <w:rtl/>
        </w:rPr>
      </w:pPr>
      <w:r>
        <w:rPr>
          <w:rFonts w:hint="cs"/>
          <w:sz w:val="26"/>
          <w:szCs w:val="26"/>
          <w:rtl/>
        </w:rPr>
        <w:t>ב</w:t>
      </w:r>
      <w:hyperlink r:id="rId16" w:history="1">
        <w:r w:rsidR="003D580F" w:rsidRPr="003D580F">
          <w:rPr>
            <w:color w:val="0000FF"/>
            <w:sz w:val="26"/>
            <w:szCs w:val="26"/>
            <w:u w:val="single"/>
            <w:rtl/>
          </w:rPr>
          <w:t>ע"פ 2141/21</w:t>
        </w:r>
      </w:hyperlink>
      <w:r>
        <w:rPr>
          <w:rFonts w:hint="cs"/>
          <w:sz w:val="26"/>
          <w:szCs w:val="26"/>
          <w:rtl/>
        </w:rPr>
        <w:t xml:space="preserve"> </w:t>
      </w:r>
      <w:r>
        <w:rPr>
          <w:rFonts w:hint="cs"/>
          <w:b/>
          <w:bCs/>
          <w:sz w:val="26"/>
          <w:szCs w:val="26"/>
          <w:rtl/>
        </w:rPr>
        <w:t>חניני נ' מ"י</w:t>
      </w:r>
      <w:r>
        <w:rPr>
          <w:rFonts w:hint="cs"/>
          <w:sz w:val="26"/>
          <w:szCs w:val="26"/>
          <w:rtl/>
        </w:rPr>
        <w:t xml:space="preserve"> (27/05/21) הצטייד המערער באקדח אוויר, אשר בוצעו בו שינויים שמאפשרים ירי של תחמושת בקליבר 7.65 מ"מ וכן בכדורים תואמים. הוא נתפס בחצר קרובה לביתו בשעת לילה מאוחרת, כשהוא נושא את האקדח על גופו ובתוכו ארבעה כדורים. הוא נדון, בין היתר, ל-</w:t>
      </w:r>
      <w:r>
        <w:rPr>
          <w:rFonts w:hint="cs"/>
          <w:b/>
          <w:bCs/>
          <w:sz w:val="26"/>
          <w:szCs w:val="26"/>
          <w:rtl/>
        </w:rPr>
        <w:t>20 חודשי מאסר בפועל</w:t>
      </w:r>
      <w:r>
        <w:rPr>
          <w:rFonts w:hint="cs"/>
          <w:sz w:val="26"/>
          <w:szCs w:val="26"/>
          <w:rtl/>
        </w:rPr>
        <w:t>. וערעורו על חומרת העונש</w:t>
      </w:r>
      <w:r>
        <w:rPr>
          <w:rFonts w:hint="cs"/>
          <w:rtl/>
        </w:rPr>
        <w:t xml:space="preserve"> </w:t>
      </w:r>
      <w:r>
        <w:rPr>
          <w:rFonts w:hint="cs"/>
          <w:sz w:val="26"/>
          <w:szCs w:val="26"/>
          <w:rtl/>
        </w:rPr>
        <w:t>נדחה</w:t>
      </w:r>
      <w:r>
        <w:rPr>
          <w:rFonts w:hint="cs"/>
          <w:rtl/>
        </w:rPr>
        <w:t xml:space="preserve">. </w:t>
      </w:r>
    </w:p>
    <w:p w14:paraId="514A01E8" w14:textId="77777777" w:rsidR="00A56430" w:rsidRDefault="00A56430" w:rsidP="00A56430">
      <w:pPr>
        <w:spacing w:line="360" w:lineRule="auto"/>
        <w:jc w:val="both"/>
        <w:rPr>
          <w:sz w:val="26"/>
          <w:szCs w:val="26"/>
          <w:rtl/>
        </w:rPr>
      </w:pPr>
    </w:p>
    <w:p w14:paraId="1F37F281" w14:textId="77777777" w:rsidR="00A56430" w:rsidRDefault="00A56430" w:rsidP="00A56430">
      <w:pPr>
        <w:spacing w:line="360" w:lineRule="auto"/>
        <w:jc w:val="both"/>
        <w:rPr>
          <w:sz w:val="26"/>
          <w:szCs w:val="26"/>
          <w:rtl/>
        </w:rPr>
      </w:pPr>
      <w:r>
        <w:rPr>
          <w:rFonts w:hint="cs"/>
          <w:sz w:val="26"/>
          <w:szCs w:val="26"/>
          <w:rtl/>
        </w:rPr>
        <w:t>ב</w:t>
      </w:r>
      <w:hyperlink r:id="rId17" w:history="1">
        <w:r w:rsidR="003D580F" w:rsidRPr="003D580F">
          <w:rPr>
            <w:color w:val="0000FF"/>
            <w:sz w:val="26"/>
            <w:szCs w:val="26"/>
            <w:u w:val="single"/>
            <w:rtl/>
          </w:rPr>
          <w:t>ע"פ 7177/20</w:t>
        </w:r>
      </w:hyperlink>
      <w:r>
        <w:rPr>
          <w:rFonts w:hint="cs"/>
          <w:sz w:val="26"/>
          <w:szCs w:val="26"/>
          <w:rtl/>
        </w:rPr>
        <w:t xml:space="preserve"> </w:t>
      </w:r>
      <w:r>
        <w:rPr>
          <w:rFonts w:hint="cs"/>
          <w:b/>
          <w:bCs/>
          <w:sz w:val="26"/>
          <w:szCs w:val="26"/>
          <w:rtl/>
        </w:rPr>
        <w:t>כנעאן נ' מ"י</w:t>
      </w:r>
      <w:r w:rsidR="003D580F">
        <w:rPr>
          <w:rFonts w:hint="cs"/>
          <w:sz w:val="26"/>
          <w:szCs w:val="26"/>
          <w:rtl/>
        </w:rPr>
        <w:t xml:space="preserve"> </w:t>
      </w:r>
      <w:r>
        <w:rPr>
          <w:sz w:val="26"/>
          <w:szCs w:val="26"/>
        </w:rPr>
        <w:t>(27.1.2021)</w:t>
      </w:r>
      <w:r>
        <w:rPr>
          <w:rFonts w:hint="cs"/>
          <w:sz w:val="26"/>
          <w:szCs w:val="26"/>
          <w:rtl/>
        </w:rPr>
        <w:t xml:space="preserve"> דובר במערער שהורשע על פי הודאתו בעבירה של נשיאת נשק בכך שיצא מפתח ביתו של שכנו, הוציא אקדח, הכניס לתוכו מחסנית טעונה, דרך את האקדח ובחלוף מספר דקות </w:t>
      </w:r>
      <w:bookmarkStart w:id="11" w:name="Seif6"/>
      <w:r>
        <w:rPr>
          <w:rFonts w:hint="cs"/>
          <w:sz w:val="26"/>
          <w:szCs w:val="26"/>
          <w:rtl/>
        </w:rPr>
        <w:t xml:space="preserve">פרק את </w:t>
      </w:r>
      <w:bookmarkEnd w:id="11"/>
      <w:r>
        <w:rPr>
          <w:rFonts w:hint="cs"/>
          <w:sz w:val="26"/>
          <w:szCs w:val="26"/>
          <w:rtl/>
        </w:rPr>
        <w:t>האקדח והעביר אותו לאדם אחר. בית המשפט המחוזי קבע</w:t>
      </w:r>
      <w:r w:rsidR="003D580F">
        <w:rPr>
          <w:rFonts w:hint="cs"/>
          <w:sz w:val="26"/>
          <w:szCs w:val="26"/>
          <w:rtl/>
        </w:rPr>
        <w:t xml:space="preserve"> </w:t>
      </w:r>
      <w:r>
        <w:rPr>
          <w:rFonts w:hint="cs"/>
          <w:b/>
          <w:bCs/>
          <w:sz w:val="26"/>
          <w:szCs w:val="26"/>
          <w:rtl/>
        </w:rPr>
        <w:t xml:space="preserve">מתחם ענישה שנע בין 15 ל- 36 חודשי מאסר בפועל, </w:t>
      </w:r>
      <w:r>
        <w:rPr>
          <w:rFonts w:hint="cs"/>
          <w:sz w:val="26"/>
          <w:szCs w:val="26"/>
          <w:rtl/>
        </w:rPr>
        <w:t>והשית על המערער</w:t>
      </w:r>
      <w:r>
        <w:rPr>
          <w:rFonts w:hint="cs"/>
          <w:b/>
          <w:bCs/>
          <w:sz w:val="26"/>
          <w:szCs w:val="26"/>
          <w:rtl/>
        </w:rPr>
        <w:t xml:space="preserve"> 24 חודשי מאסר בפועל,</w:t>
      </w:r>
      <w:r>
        <w:rPr>
          <w:rFonts w:hint="cs"/>
          <w:sz w:val="26"/>
          <w:szCs w:val="26"/>
          <w:rtl/>
        </w:rPr>
        <w:t xml:space="preserve"> לצד עונשים נלווים. בית המשפט העליון דחה את הערעור שהוגש על חומרת העונש, והזכיר את מגמת ההחמרה הנדרשת בעבירות מסוג זה.</w:t>
      </w:r>
    </w:p>
    <w:p w14:paraId="405F14CE" w14:textId="77777777" w:rsidR="00A56430" w:rsidRDefault="00A56430" w:rsidP="00A56430">
      <w:pPr>
        <w:spacing w:line="360" w:lineRule="auto"/>
        <w:jc w:val="both"/>
        <w:rPr>
          <w:sz w:val="26"/>
          <w:szCs w:val="26"/>
          <w:rtl/>
        </w:rPr>
      </w:pPr>
    </w:p>
    <w:p w14:paraId="1AAE09CA" w14:textId="77777777" w:rsidR="00A56430" w:rsidRDefault="00A56430" w:rsidP="00A56430">
      <w:pPr>
        <w:spacing w:line="360" w:lineRule="auto"/>
        <w:jc w:val="both"/>
        <w:rPr>
          <w:sz w:val="26"/>
          <w:szCs w:val="26"/>
          <w:rtl/>
        </w:rPr>
      </w:pPr>
      <w:r>
        <w:rPr>
          <w:rFonts w:hint="cs"/>
          <w:sz w:val="26"/>
          <w:szCs w:val="26"/>
          <w:rtl/>
        </w:rPr>
        <w:t>ב</w:t>
      </w:r>
      <w:hyperlink r:id="rId18" w:history="1">
        <w:r w:rsidR="003D580F" w:rsidRPr="003D580F">
          <w:rPr>
            <w:color w:val="0000FF"/>
            <w:sz w:val="26"/>
            <w:szCs w:val="26"/>
            <w:u w:val="single"/>
            <w:rtl/>
          </w:rPr>
          <w:t>ע"פ 2892/13</w:t>
        </w:r>
      </w:hyperlink>
      <w:r>
        <w:rPr>
          <w:rFonts w:hint="cs"/>
          <w:sz w:val="26"/>
          <w:szCs w:val="26"/>
          <w:rtl/>
        </w:rPr>
        <w:t xml:space="preserve"> </w:t>
      </w:r>
      <w:r>
        <w:rPr>
          <w:rFonts w:hint="cs"/>
          <w:b/>
          <w:bCs/>
          <w:sz w:val="26"/>
          <w:szCs w:val="26"/>
          <w:rtl/>
        </w:rPr>
        <w:t>עודתאללה נ' מי</w:t>
      </w:r>
      <w:r>
        <w:rPr>
          <w:rFonts w:hint="cs"/>
          <w:sz w:val="26"/>
          <w:szCs w:val="26"/>
          <w:rtl/>
        </w:rPr>
        <w:t xml:space="preserve"> (29.09.13) הורשע המערער, צעיר בן 25, ללא עבר פלילי, בכך שנתפס נוהג ברכב ובו אקדח ומחסנית ריקה מכדורים. בית המשפט המחוזי קבע </w:t>
      </w:r>
      <w:r>
        <w:rPr>
          <w:rFonts w:hint="cs"/>
          <w:b/>
          <w:bCs/>
          <w:sz w:val="26"/>
          <w:szCs w:val="26"/>
          <w:rtl/>
        </w:rPr>
        <w:t>מתחם ענישה שבין שנה לשלוש שנים</w:t>
      </w:r>
      <w:r>
        <w:rPr>
          <w:rFonts w:hint="cs"/>
          <w:sz w:val="26"/>
          <w:szCs w:val="26"/>
          <w:rtl/>
        </w:rPr>
        <w:t xml:space="preserve">, וגזר עליו </w:t>
      </w:r>
      <w:r>
        <w:rPr>
          <w:rFonts w:hint="cs"/>
          <w:b/>
          <w:bCs/>
          <w:sz w:val="26"/>
          <w:szCs w:val="26"/>
          <w:rtl/>
        </w:rPr>
        <w:t>21 חודשי מאסר בפועל</w:t>
      </w:r>
      <w:r>
        <w:rPr>
          <w:rFonts w:hint="cs"/>
          <w:sz w:val="26"/>
          <w:szCs w:val="26"/>
          <w:rtl/>
        </w:rPr>
        <w:t xml:space="preserve">. הערעור על העונש נדחה. </w:t>
      </w:r>
    </w:p>
    <w:p w14:paraId="21BA53E4" w14:textId="77777777" w:rsidR="00A56430" w:rsidRDefault="00A56430" w:rsidP="00A56430">
      <w:pPr>
        <w:spacing w:line="360" w:lineRule="auto"/>
        <w:jc w:val="both"/>
        <w:rPr>
          <w:sz w:val="26"/>
          <w:szCs w:val="26"/>
          <w:rtl/>
        </w:rPr>
      </w:pPr>
    </w:p>
    <w:p w14:paraId="04310C93" w14:textId="77777777" w:rsidR="00A56430" w:rsidRDefault="00A56430" w:rsidP="00A56430">
      <w:pPr>
        <w:spacing w:line="360" w:lineRule="auto"/>
        <w:jc w:val="both"/>
        <w:rPr>
          <w:sz w:val="26"/>
          <w:szCs w:val="26"/>
          <w:rtl/>
        </w:rPr>
      </w:pPr>
      <w:r>
        <w:rPr>
          <w:rFonts w:hint="cs"/>
          <w:sz w:val="26"/>
          <w:szCs w:val="26"/>
          <w:rtl/>
        </w:rPr>
        <w:t>ב</w:t>
      </w:r>
      <w:hyperlink r:id="rId19" w:history="1">
        <w:r w:rsidR="003D580F" w:rsidRPr="003D580F">
          <w:rPr>
            <w:color w:val="0000FF"/>
            <w:sz w:val="26"/>
            <w:szCs w:val="26"/>
            <w:u w:val="single"/>
            <w:rtl/>
          </w:rPr>
          <w:t>ע"פ 3156/11</w:t>
        </w:r>
      </w:hyperlink>
      <w:r>
        <w:rPr>
          <w:rFonts w:hint="cs"/>
          <w:sz w:val="26"/>
          <w:szCs w:val="26"/>
          <w:rtl/>
        </w:rPr>
        <w:t xml:space="preserve"> </w:t>
      </w:r>
      <w:r>
        <w:rPr>
          <w:rFonts w:hint="cs"/>
          <w:b/>
          <w:bCs/>
          <w:sz w:val="26"/>
          <w:szCs w:val="26"/>
          <w:rtl/>
        </w:rPr>
        <w:t>זראיעה נ' מ"י</w:t>
      </w:r>
      <w:r>
        <w:rPr>
          <w:rFonts w:hint="cs"/>
          <w:sz w:val="26"/>
          <w:szCs w:val="26"/>
          <w:rtl/>
        </w:rPr>
        <w:t xml:space="preserve"> (21.02.12) הסליק הנאשם ברכב בו נסע, אקדח, מחסנית טעונה בכדורי 9 מ"מ וקופסאות עם כדורים דומים. לנאשם הרשעה קודמת יחידה מתחום אחר. בית המשפט המחוזי גזר עליו </w:t>
      </w:r>
      <w:r>
        <w:rPr>
          <w:rFonts w:hint="cs"/>
          <w:b/>
          <w:bCs/>
          <w:sz w:val="26"/>
          <w:szCs w:val="26"/>
          <w:rtl/>
        </w:rPr>
        <w:t>24 חודשי מאסר בפועל</w:t>
      </w:r>
      <w:r>
        <w:rPr>
          <w:rFonts w:hint="cs"/>
          <w:sz w:val="26"/>
          <w:szCs w:val="26"/>
          <w:rtl/>
        </w:rPr>
        <w:t>. הערעור על חומרת העונש נדחה.</w:t>
      </w:r>
    </w:p>
    <w:p w14:paraId="68BC2676" w14:textId="77777777" w:rsidR="00A56430" w:rsidRDefault="00A56430" w:rsidP="00A56430">
      <w:pPr>
        <w:spacing w:line="360" w:lineRule="auto"/>
        <w:jc w:val="both"/>
        <w:rPr>
          <w:sz w:val="26"/>
          <w:szCs w:val="26"/>
          <w:rtl/>
        </w:rPr>
      </w:pPr>
    </w:p>
    <w:p w14:paraId="151C6C83" w14:textId="77777777" w:rsidR="00A56430" w:rsidRDefault="00A56430" w:rsidP="00A56430">
      <w:pPr>
        <w:spacing w:line="360" w:lineRule="auto"/>
        <w:jc w:val="both"/>
        <w:rPr>
          <w:sz w:val="26"/>
          <w:szCs w:val="26"/>
          <w:rtl/>
        </w:rPr>
      </w:pPr>
      <w:r>
        <w:rPr>
          <w:rFonts w:hint="cs"/>
          <w:sz w:val="26"/>
          <w:szCs w:val="26"/>
          <w:rtl/>
        </w:rPr>
        <w:t xml:space="preserve">על יסוד נתונים דומים קבעתי בחודשים האחרונים מספר פעמים מתחמי ענישה המבטאים את יסודות החומרה של עבירת נשיאת האקדח כשלעצמה, ללא שימוש פלילי נוסף כלשהו בנשק. מתחמים אלה נעו סביב 13 - 14 חודשי מאסר ברף התחתון של המתחם, ועד 36 חודשים ברף העליון. ראו למשל גזרי הדין בתיקים הבאים: </w:t>
      </w:r>
      <w:hyperlink r:id="rId20" w:history="1">
        <w:r w:rsidR="003D580F" w:rsidRPr="003D580F">
          <w:rPr>
            <w:color w:val="0000FF"/>
            <w:sz w:val="26"/>
            <w:szCs w:val="26"/>
            <w:u w:val="single"/>
            <w:rtl/>
          </w:rPr>
          <w:t>ת"פ 33544-04-20</w:t>
        </w:r>
      </w:hyperlink>
      <w:r>
        <w:rPr>
          <w:rFonts w:hint="cs"/>
          <w:sz w:val="26"/>
          <w:szCs w:val="26"/>
          <w:rtl/>
        </w:rPr>
        <w:t xml:space="preserve"> </w:t>
      </w:r>
      <w:r>
        <w:rPr>
          <w:rFonts w:hint="cs"/>
          <w:b/>
          <w:bCs/>
          <w:sz w:val="26"/>
          <w:szCs w:val="26"/>
          <w:rtl/>
        </w:rPr>
        <w:t>מ"י נ' פריג'</w:t>
      </w:r>
      <w:r>
        <w:rPr>
          <w:rFonts w:hint="cs"/>
          <w:sz w:val="26"/>
          <w:szCs w:val="26"/>
          <w:rtl/>
        </w:rPr>
        <w:t xml:space="preserve"> (5.10.21), ת"פ 40410-04-21 </w:t>
      </w:r>
      <w:r>
        <w:rPr>
          <w:rFonts w:hint="cs"/>
          <w:b/>
          <w:bCs/>
          <w:sz w:val="26"/>
          <w:szCs w:val="26"/>
          <w:rtl/>
        </w:rPr>
        <w:t>מ"י נ' אלטורי</w:t>
      </w:r>
      <w:r>
        <w:rPr>
          <w:rFonts w:hint="cs"/>
          <w:sz w:val="26"/>
          <w:szCs w:val="26"/>
          <w:rtl/>
        </w:rPr>
        <w:t xml:space="preserve"> (1.11.21), </w:t>
      </w:r>
      <w:hyperlink r:id="rId21" w:history="1">
        <w:r w:rsidR="003D580F" w:rsidRPr="003D580F">
          <w:rPr>
            <w:color w:val="0000FF"/>
            <w:sz w:val="26"/>
            <w:szCs w:val="26"/>
            <w:u w:val="single"/>
            <w:rtl/>
          </w:rPr>
          <w:t>ת"פ 19463-05-21</w:t>
        </w:r>
      </w:hyperlink>
      <w:r>
        <w:rPr>
          <w:rFonts w:hint="cs"/>
          <w:sz w:val="26"/>
          <w:szCs w:val="26"/>
          <w:rtl/>
        </w:rPr>
        <w:t xml:space="preserve"> </w:t>
      </w:r>
      <w:r>
        <w:rPr>
          <w:rFonts w:hint="cs"/>
          <w:b/>
          <w:bCs/>
          <w:sz w:val="26"/>
          <w:szCs w:val="26"/>
          <w:rtl/>
        </w:rPr>
        <w:t>מ"י נ' קשוע</w:t>
      </w:r>
      <w:r>
        <w:rPr>
          <w:rFonts w:hint="cs"/>
          <w:sz w:val="26"/>
          <w:szCs w:val="26"/>
          <w:rtl/>
        </w:rPr>
        <w:t xml:space="preserve"> (2.11.21). </w:t>
      </w:r>
    </w:p>
    <w:p w14:paraId="7E7BA9CA" w14:textId="77777777" w:rsidR="00A56430" w:rsidRDefault="00A56430" w:rsidP="00A56430">
      <w:pPr>
        <w:spacing w:line="360" w:lineRule="auto"/>
        <w:jc w:val="both"/>
        <w:rPr>
          <w:color w:val="0070C0"/>
          <w:sz w:val="26"/>
          <w:szCs w:val="26"/>
          <w:rtl/>
        </w:rPr>
      </w:pPr>
    </w:p>
    <w:p w14:paraId="692DA02B" w14:textId="77777777" w:rsidR="00A56430" w:rsidRDefault="00A56430" w:rsidP="00A56430">
      <w:pPr>
        <w:spacing w:line="360" w:lineRule="auto"/>
        <w:jc w:val="both"/>
        <w:rPr>
          <w:sz w:val="26"/>
          <w:szCs w:val="26"/>
          <w:rtl/>
        </w:rPr>
      </w:pPr>
      <w:r>
        <w:rPr>
          <w:rFonts w:hint="cs"/>
          <w:sz w:val="26"/>
          <w:szCs w:val="26"/>
          <w:shd w:val="clear" w:color="auto" w:fill="FFFFFF"/>
          <w:rtl/>
        </w:rPr>
        <w:t xml:space="preserve">פסק דין נוסף שברצוני להדגיש, בטרם אתייחס לפסיקה הרבה שהוצגה מטעם ההגנה, הנו </w:t>
      </w:r>
      <w:hyperlink r:id="rId22" w:history="1">
        <w:r w:rsidR="003D580F" w:rsidRPr="003D580F">
          <w:rPr>
            <w:color w:val="0000FF"/>
            <w:sz w:val="26"/>
            <w:szCs w:val="26"/>
            <w:u w:val="single"/>
            <w:shd w:val="clear" w:color="auto" w:fill="FFFFFF"/>
            <w:rtl/>
          </w:rPr>
          <w:t>ע"פ 3877/16</w:t>
        </w:r>
      </w:hyperlink>
      <w:r w:rsidR="003D580F">
        <w:rPr>
          <w:sz w:val="26"/>
          <w:szCs w:val="26"/>
          <w:shd w:val="clear" w:color="auto" w:fill="FFFFFF"/>
        </w:rPr>
        <w:t xml:space="preserve"> </w:t>
      </w:r>
      <w:r>
        <w:rPr>
          <w:rFonts w:hint="cs"/>
          <w:b/>
          <w:bCs/>
          <w:sz w:val="26"/>
          <w:szCs w:val="26"/>
          <w:shd w:val="clear" w:color="auto" w:fill="FFFFFF"/>
          <w:rtl/>
        </w:rPr>
        <w:t>ג'באלי נ' מ"י</w:t>
      </w:r>
      <w:r w:rsidR="003D580F">
        <w:rPr>
          <w:rFonts w:hint="cs"/>
          <w:sz w:val="26"/>
          <w:szCs w:val="26"/>
          <w:shd w:val="clear" w:color="auto" w:fill="FFFFFF"/>
          <w:rtl/>
        </w:rPr>
        <w:t xml:space="preserve"> </w:t>
      </w:r>
      <w:r>
        <w:rPr>
          <w:rFonts w:hint="cs"/>
          <w:sz w:val="26"/>
          <w:szCs w:val="26"/>
          <w:shd w:val="clear" w:color="auto" w:fill="FFFFFF"/>
          <w:rtl/>
        </w:rPr>
        <w:t>(17.11.16), שם נדחה ערעורו של נאשם אשר הורשע על פי הודאתו בעבירה של נשיאת נשק. בעקבות סכסוך בין הנאשם לבין אחר, קבעו השניים להיפגש לשם יישוב הסכסוך. הנאשם הגיע למקום המפגש כשהוא נושא עמו ברכב אקדח גנוב, טעון במחסנית שהכילה כדורים. כשהגיע למקום המפגש, החביא את האקדח במכנסיו, וכשנעצר על ידי שוטרים שהגיעו למקום השליך את האקדח. בית המשפט המחוזי קבע</w:t>
      </w:r>
      <w:r w:rsidR="003D580F">
        <w:rPr>
          <w:rFonts w:hint="cs"/>
          <w:sz w:val="26"/>
          <w:szCs w:val="26"/>
          <w:shd w:val="clear" w:color="auto" w:fill="FFFFFF"/>
          <w:rtl/>
        </w:rPr>
        <w:t xml:space="preserve"> </w:t>
      </w:r>
      <w:r>
        <w:rPr>
          <w:rFonts w:hint="cs"/>
          <w:b/>
          <w:bCs/>
          <w:sz w:val="26"/>
          <w:szCs w:val="26"/>
          <w:shd w:val="clear" w:color="auto" w:fill="FFFFFF"/>
          <w:rtl/>
        </w:rPr>
        <w:t>מתחם עונש הולם שבין 24 ל-48 חודשי מאסר בפועל</w:t>
      </w:r>
      <w:r>
        <w:rPr>
          <w:rFonts w:hint="cs"/>
          <w:sz w:val="26"/>
          <w:szCs w:val="26"/>
          <w:shd w:val="clear" w:color="auto" w:fill="FFFFFF"/>
          <w:rtl/>
        </w:rPr>
        <w:t>. הנאשם, בעל עבר פליל מכביד, נדון ל</w:t>
      </w:r>
      <w:r>
        <w:rPr>
          <w:rFonts w:hint="cs"/>
          <w:sz w:val="26"/>
          <w:szCs w:val="26"/>
          <w:shd w:val="clear" w:color="auto" w:fill="FFFFFF"/>
        </w:rPr>
        <w:t xml:space="preserve"> </w:t>
      </w:r>
      <w:r>
        <w:rPr>
          <w:b/>
          <w:bCs/>
          <w:sz w:val="26"/>
          <w:szCs w:val="26"/>
          <w:shd w:val="clear" w:color="auto" w:fill="FFFFFF"/>
        </w:rPr>
        <w:t>34</w:t>
      </w:r>
      <w:r>
        <w:rPr>
          <w:sz w:val="26"/>
          <w:szCs w:val="26"/>
          <w:shd w:val="clear" w:color="auto" w:fill="FFFFFF"/>
        </w:rPr>
        <w:t>-</w:t>
      </w:r>
      <w:r>
        <w:rPr>
          <w:rFonts w:hint="cs"/>
          <w:b/>
          <w:bCs/>
          <w:sz w:val="26"/>
          <w:szCs w:val="26"/>
          <w:shd w:val="clear" w:color="auto" w:fill="FFFFFF"/>
          <w:rtl/>
        </w:rPr>
        <w:t>חודשי מאסר בפועל</w:t>
      </w:r>
      <w:r>
        <w:rPr>
          <w:rFonts w:hint="cs"/>
          <w:sz w:val="26"/>
          <w:szCs w:val="26"/>
          <w:shd w:val="clear" w:color="auto" w:fill="FFFFFF"/>
          <w:rtl/>
        </w:rPr>
        <w:t xml:space="preserve">. הדגשתי החלטה זו משום שהיא מדגימה את ההחמרה המתחייבת במתחם הענישה בגין נשיאת אקדח, מקום בו נועד אותו נשק לשימוש מבצעי במסגרת פעילות פלילית כלשהי. זהו המקרה שלפנינו, וגם אם נסיבותיו חמורות פחות מאלו של </w:t>
      </w:r>
      <w:r>
        <w:rPr>
          <w:rFonts w:hint="cs"/>
          <w:b/>
          <w:bCs/>
          <w:sz w:val="26"/>
          <w:szCs w:val="26"/>
          <w:shd w:val="clear" w:color="auto" w:fill="FFFFFF"/>
          <w:rtl/>
        </w:rPr>
        <w:t>ג'באלי</w:t>
      </w:r>
      <w:r>
        <w:rPr>
          <w:rFonts w:hint="cs"/>
          <w:sz w:val="26"/>
          <w:szCs w:val="26"/>
          <w:shd w:val="clear" w:color="auto" w:fill="FFFFFF"/>
          <w:rtl/>
        </w:rPr>
        <w:t>, בהעדר מידע קונקרטי בדבר טיב הפעילות הפלילית בה נטל הנאשם חלק, הרי שעדיין מתעוררים במקרה זה מרכיבי חומרה נוספים, המצדיקים קביעת מתחם חמור במעט מזה שקבעתי בעבר בגין מעשי נשיאה "ניטראליים", שאינם כוללים פעילות פלילית נוספת.</w:t>
      </w:r>
    </w:p>
    <w:p w14:paraId="16668025" w14:textId="77777777" w:rsidR="00A56430" w:rsidRDefault="00A56430" w:rsidP="00A56430">
      <w:pPr>
        <w:spacing w:line="360" w:lineRule="auto"/>
        <w:jc w:val="both"/>
        <w:rPr>
          <w:color w:val="0070C0"/>
          <w:sz w:val="26"/>
          <w:szCs w:val="26"/>
          <w:rtl/>
        </w:rPr>
      </w:pPr>
    </w:p>
    <w:p w14:paraId="754EBBD8" w14:textId="77777777" w:rsidR="00A56430" w:rsidRDefault="00A56430" w:rsidP="00A56430">
      <w:pPr>
        <w:spacing w:line="360" w:lineRule="auto"/>
        <w:jc w:val="both"/>
        <w:rPr>
          <w:sz w:val="26"/>
          <w:szCs w:val="26"/>
          <w:rtl/>
        </w:rPr>
      </w:pPr>
      <w:r>
        <w:rPr>
          <w:rFonts w:hint="cs"/>
          <w:sz w:val="26"/>
          <w:szCs w:val="26"/>
          <w:rtl/>
        </w:rPr>
        <w:t xml:space="preserve">כאן המקום לציין כי גם הפסיקה הענפה אליה הפנה הסנגור המלומד אינה מלמדת על מתחם ענישה אחר, שאינו כולל דרך </w:t>
      </w:r>
      <w:bookmarkStart w:id="12" w:name="Seif9"/>
      <w:r>
        <w:rPr>
          <w:rFonts w:hint="cs"/>
          <w:sz w:val="26"/>
          <w:szCs w:val="26"/>
          <w:rtl/>
        </w:rPr>
        <w:t xml:space="preserve">כלל תקופת </w:t>
      </w:r>
      <w:bookmarkEnd w:id="12"/>
      <w:r>
        <w:rPr>
          <w:rFonts w:hint="cs"/>
          <w:sz w:val="26"/>
          <w:szCs w:val="26"/>
          <w:rtl/>
        </w:rPr>
        <w:t>מאסר ממושכת, גם ברף התחתון של המתחם. כך למשל, ב</w:t>
      </w:r>
      <w:hyperlink r:id="rId23" w:history="1">
        <w:r w:rsidR="003D580F" w:rsidRPr="003D580F">
          <w:rPr>
            <w:color w:val="0000FF"/>
            <w:sz w:val="26"/>
            <w:szCs w:val="26"/>
            <w:u w:val="single"/>
            <w:rtl/>
          </w:rPr>
          <w:t>ת"פ 44807-04-19</w:t>
        </w:r>
      </w:hyperlink>
      <w:r>
        <w:rPr>
          <w:rFonts w:hint="cs"/>
          <w:sz w:val="26"/>
          <w:szCs w:val="26"/>
          <w:rtl/>
        </w:rPr>
        <w:t xml:space="preserve"> (מחוזי מרכז) </w:t>
      </w:r>
      <w:r>
        <w:rPr>
          <w:rFonts w:hint="cs"/>
          <w:b/>
          <w:bCs/>
          <w:sz w:val="26"/>
          <w:szCs w:val="26"/>
          <w:rtl/>
        </w:rPr>
        <w:t>מ"י נ' יאלו</w:t>
      </w:r>
      <w:r>
        <w:rPr>
          <w:rFonts w:hint="cs"/>
          <w:sz w:val="26"/>
          <w:szCs w:val="26"/>
          <w:rtl/>
        </w:rPr>
        <w:t xml:space="preserve"> (7.11.19), שהוגש מטעם ההגנה, דובר בנאשם שנסע עם אחר ברכב, כאשר הוא נושא אקדח טעון ומחסנית תואמת. בית המשפט קבע </w:t>
      </w:r>
      <w:r>
        <w:rPr>
          <w:rFonts w:hint="cs"/>
          <w:b/>
          <w:bCs/>
          <w:sz w:val="26"/>
          <w:szCs w:val="26"/>
          <w:rtl/>
        </w:rPr>
        <w:t>מתחם ענישה הנע בין 14 ל-30 חודשי מאסר</w:t>
      </w:r>
      <w:r>
        <w:rPr>
          <w:rFonts w:hint="cs"/>
          <w:sz w:val="26"/>
          <w:szCs w:val="26"/>
          <w:rtl/>
        </w:rPr>
        <w:t xml:space="preserve"> והשית על הנאשם, צעיר ללא עבר פלילי, </w:t>
      </w:r>
      <w:r>
        <w:rPr>
          <w:rFonts w:hint="cs"/>
          <w:b/>
          <w:bCs/>
          <w:sz w:val="26"/>
          <w:szCs w:val="26"/>
          <w:rtl/>
        </w:rPr>
        <w:t>16 חודשי מאסר</w:t>
      </w:r>
      <w:r>
        <w:rPr>
          <w:rFonts w:hint="cs"/>
          <w:sz w:val="26"/>
          <w:szCs w:val="26"/>
          <w:rtl/>
        </w:rPr>
        <w:t xml:space="preserve"> </w:t>
      </w:r>
      <w:r>
        <w:rPr>
          <w:rFonts w:hint="cs"/>
          <w:b/>
          <w:bCs/>
          <w:sz w:val="26"/>
          <w:szCs w:val="26"/>
          <w:rtl/>
        </w:rPr>
        <w:t>בפועל.</w:t>
      </w:r>
      <w:r>
        <w:rPr>
          <w:rFonts w:hint="cs"/>
          <w:color w:val="0070C0"/>
          <w:sz w:val="26"/>
          <w:szCs w:val="26"/>
          <w:rtl/>
        </w:rPr>
        <w:t xml:space="preserve"> </w:t>
      </w:r>
    </w:p>
    <w:p w14:paraId="68893458" w14:textId="77777777" w:rsidR="00A56430" w:rsidRDefault="00A56430" w:rsidP="00A56430">
      <w:pPr>
        <w:spacing w:line="360" w:lineRule="auto"/>
        <w:jc w:val="both"/>
        <w:rPr>
          <w:sz w:val="26"/>
          <w:szCs w:val="26"/>
          <w:rtl/>
        </w:rPr>
      </w:pPr>
    </w:p>
    <w:p w14:paraId="72A9FCF1" w14:textId="77777777" w:rsidR="00A56430" w:rsidRDefault="00A56430" w:rsidP="00A56430">
      <w:pPr>
        <w:spacing w:line="360" w:lineRule="auto"/>
        <w:jc w:val="both"/>
        <w:rPr>
          <w:sz w:val="26"/>
          <w:szCs w:val="26"/>
          <w:rtl/>
        </w:rPr>
      </w:pPr>
      <w:r>
        <w:rPr>
          <w:rFonts w:hint="cs"/>
          <w:sz w:val="26"/>
          <w:szCs w:val="26"/>
          <w:rtl/>
        </w:rPr>
        <w:t>מקרים אחרים שהוצגו מטעם ההגנה, אינם מסייעים לקביעת המתחם בענייננו, שכן דובר בהם על עבירות נשיאה שבוצעו בנסיבות מקלות ומיוחדות, אשר אינן מתקיימות במקרה הנוכחי. כך למשל, ב</w:t>
      </w:r>
      <w:hyperlink r:id="rId24" w:history="1">
        <w:r w:rsidR="003D580F" w:rsidRPr="003D580F">
          <w:rPr>
            <w:color w:val="0000FF"/>
            <w:sz w:val="26"/>
            <w:szCs w:val="26"/>
            <w:u w:val="single"/>
            <w:rtl/>
          </w:rPr>
          <w:t>ת"פ ( מחוזי חי') 16505-02-18</w:t>
        </w:r>
      </w:hyperlink>
      <w:r w:rsidR="003D580F">
        <w:rPr>
          <w:b/>
          <w:bCs/>
          <w:sz w:val="26"/>
          <w:szCs w:val="26"/>
        </w:rPr>
        <w:t xml:space="preserve"> </w:t>
      </w:r>
      <w:r>
        <w:rPr>
          <w:rFonts w:hint="cs"/>
          <w:b/>
          <w:bCs/>
          <w:sz w:val="26"/>
          <w:szCs w:val="26"/>
          <w:rtl/>
        </w:rPr>
        <w:t>מ"י נ' סעדי</w:t>
      </w:r>
      <w:r w:rsidR="003D580F">
        <w:rPr>
          <w:rFonts w:hint="cs"/>
          <w:b/>
          <w:bCs/>
          <w:sz w:val="26"/>
          <w:szCs w:val="26"/>
          <w:rtl/>
        </w:rPr>
        <w:t xml:space="preserve"> </w:t>
      </w:r>
      <w:r>
        <w:rPr>
          <w:sz w:val="26"/>
          <w:szCs w:val="26"/>
        </w:rPr>
        <w:t>(26/6/18)</w:t>
      </w:r>
      <w:r>
        <w:rPr>
          <w:rFonts w:hint="cs"/>
          <w:sz w:val="26"/>
          <w:szCs w:val="26"/>
          <w:rtl/>
        </w:rPr>
        <w:t xml:space="preserve">, דובר במי שנתפס נוסע ברכב כשבכיס מעילו אקדח טעון במחסנית, וברשותו תחמושת נוספת. עם זאת, גובשה בין הצדדים הסכמה לפיה הנאשם לא החזיק באקדח החזקה ממושכת וכי הייתה ידיעה מודיעינית בדבר כוונה לפגוע בו בשנית, לאחר שכבר נורה בעבר. על רקע זה נקבע </w:t>
      </w:r>
      <w:r>
        <w:rPr>
          <w:rFonts w:hint="cs"/>
          <w:b/>
          <w:bCs/>
          <w:sz w:val="26"/>
          <w:szCs w:val="26"/>
          <w:rtl/>
        </w:rPr>
        <w:t>מתחם ענישה מתון</w:t>
      </w:r>
      <w:r w:rsidR="003D580F">
        <w:rPr>
          <w:rFonts w:hint="cs"/>
          <w:sz w:val="26"/>
          <w:szCs w:val="26"/>
          <w:rtl/>
        </w:rPr>
        <w:t xml:space="preserve"> </w:t>
      </w:r>
      <w:r>
        <w:rPr>
          <w:rFonts w:hint="cs"/>
          <w:b/>
          <w:bCs/>
          <w:sz w:val="26"/>
          <w:szCs w:val="26"/>
          <w:rtl/>
        </w:rPr>
        <w:t xml:space="preserve">הנע בין 10 ל-30 חודשי מאסר </w:t>
      </w:r>
      <w:r>
        <w:rPr>
          <w:rFonts w:hint="cs"/>
          <w:sz w:val="26"/>
          <w:szCs w:val="26"/>
          <w:rtl/>
        </w:rPr>
        <w:t xml:space="preserve">בפועל, ועל הנאשם, צעיר בעל עבר פלילי לא מכביד, הושתו </w:t>
      </w:r>
      <w:r>
        <w:rPr>
          <w:b/>
          <w:bCs/>
          <w:sz w:val="26"/>
          <w:szCs w:val="26"/>
        </w:rPr>
        <w:t>11</w:t>
      </w:r>
      <w:r>
        <w:rPr>
          <w:b/>
          <w:bCs/>
          <w:sz w:val="26"/>
          <w:szCs w:val="26"/>
          <w:rtl/>
        </w:rPr>
        <w:t xml:space="preserve"> </w:t>
      </w:r>
      <w:r>
        <w:rPr>
          <w:rFonts w:hint="cs"/>
          <w:b/>
          <w:bCs/>
          <w:sz w:val="26"/>
          <w:szCs w:val="26"/>
          <w:rtl/>
        </w:rPr>
        <w:t>חודשי מאסר בפועל</w:t>
      </w:r>
      <w:r>
        <w:rPr>
          <w:sz w:val="26"/>
          <w:szCs w:val="26"/>
        </w:rPr>
        <w:t>.</w:t>
      </w:r>
      <w:r>
        <w:rPr>
          <w:sz w:val="26"/>
          <w:szCs w:val="26"/>
          <w:rtl/>
        </w:rPr>
        <w:t xml:space="preserve"> </w:t>
      </w:r>
    </w:p>
    <w:p w14:paraId="7E5995BE" w14:textId="77777777" w:rsidR="00A56430" w:rsidRDefault="00A56430" w:rsidP="00A56430">
      <w:pPr>
        <w:spacing w:line="360" w:lineRule="auto"/>
        <w:jc w:val="both"/>
        <w:rPr>
          <w:sz w:val="26"/>
          <w:szCs w:val="26"/>
          <w:rtl/>
        </w:rPr>
      </w:pPr>
    </w:p>
    <w:p w14:paraId="4DD2A551" w14:textId="77777777" w:rsidR="00A56430" w:rsidRDefault="00A56430" w:rsidP="00A56430">
      <w:pPr>
        <w:spacing w:line="360" w:lineRule="auto"/>
        <w:jc w:val="both"/>
        <w:rPr>
          <w:sz w:val="26"/>
          <w:szCs w:val="26"/>
          <w:rtl/>
        </w:rPr>
      </w:pPr>
      <w:r>
        <w:rPr>
          <w:rFonts w:hint="cs"/>
          <w:sz w:val="26"/>
          <w:szCs w:val="26"/>
          <w:rtl/>
        </w:rPr>
        <w:t>בדומה, ב</w:t>
      </w:r>
      <w:hyperlink r:id="rId25" w:history="1">
        <w:r w:rsidR="003D580F" w:rsidRPr="003D580F">
          <w:rPr>
            <w:color w:val="0000FF"/>
            <w:sz w:val="26"/>
            <w:szCs w:val="26"/>
            <w:u w:val="single"/>
            <w:rtl/>
          </w:rPr>
          <w:t>ת"פ (מחוזי נצ') 29671-12-13</w:t>
        </w:r>
      </w:hyperlink>
      <w:r>
        <w:rPr>
          <w:rFonts w:hint="cs"/>
          <w:sz w:val="26"/>
          <w:szCs w:val="26"/>
          <w:rtl/>
        </w:rPr>
        <w:t xml:space="preserve"> </w:t>
      </w:r>
      <w:r>
        <w:rPr>
          <w:rFonts w:hint="cs"/>
          <w:b/>
          <w:bCs/>
          <w:sz w:val="26"/>
          <w:szCs w:val="26"/>
          <w:rtl/>
        </w:rPr>
        <w:t>מ"י נ' טאטור</w:t>
      </w:r>
      <w:r>
        <w:rPr>
          <w:rFonts w:hint="cs"/>
          <w:sz w:val="26"/>
          <w:szCs w:val="26"/>
          <w:rtl/>
        </w:rPr>
        <w:t xml:space="preserve"> (10.6.14), שם הורשע הנאשם בנשיאת אקדח ובעבירות נלוות, נקבע כי התחמושת בה החזיק הייתה של כדורים חסרי קליע, וכי לא דובר בנשיאה למטרה עבריינית טהורה, אלא לצורך "יריות שמחה" באירועים. אך בשל נתונים אלה נקבע </w:t>
      </w:r>
      <w:r>
        <w:rPr>
          <w:rFonts w:hint="cs"/>
          <w:b/>
          <w:bCs/>
          <w:sz w:val="26"/>
          <w:szCs w:val="26"/>
          <w:rtl/>
        </w:rPr>
        <w:t>מתחם ענישה מתון הנע בין 10 ל-36 חודשי מאסר</w:t>
      </w:r>
      <w:r>
        <w:rPr>
          <w:rFonts w:hint="cs"/>
          <w:sz w:val="26"/>
          <w:szCs w:val="26"/>
          <w:rtl/>
        </w:rPr>
        <w:t xml:space="preserve">. על רקע שיקולי שיקום השית בית המשפט המחוזי עונש מאסר בעבודות שירות, אך בית המשפט העליון קיבל את ערעור המדינה (ראו </w:t>
      </w:r>
      <w:hyperlink r:id="rId26" w:history="1">
        <w:r w:rsidR="003D580F" w:rsidRPr="003D580F">
          <w:rPr>
            <w:color w:val="0000FF"/>
            <w:sz w:val="26"/>
            <w:szCs w:val="26"/>
            <w:u w:val="single"/>
            <w:rtl/>
          </w:rPr>
          <w:t>ע"פ 5681/14</w:t>
        </w:r>
      </w:hyperlink>
      <w:r>
        <w:rPr>
          <w:rFonts w:hint="cs"/>
          <w:sz w:val="26"/>
          <w:szCs w:val="26"/>
          <w:rtl/>
        </w:rPr>
        <w:t xml:space="preserve"> </w:t>
      </w:r>
      <w:r>
        <w:rPr>
          <w:rFonts w:hint="cs"/>
          <w:b/>
          <w:bCs/>
          <w:sz w:val="26"/>
          <w:szCs w:val="26"/>
          <w:rtl/>
        </w:rPr>
        <w:t>מ"י נ' טאטור</w:t>
      </w:r>
      <w:r>
        <w:rPr>
          <w:rFonts w:hint="cs"/>
          <w:sz w:val="26"/>
          <w:szCs w:val="26"/>
          <w:rtl/>
        </w:rPr>
        <w:t xml:space="preserve"> (1.2.15)) והטיל </w:t>
      </w:r>
      <w:r>
        <w:rPr>
          <w:rFonts w:hint="cs"/>
          <w:b/>
          <w:bCs/>
          <w:sz w:val="26"/>
          <w:szCs w:val="26"/>
          <w:rtl/>
        </w:rPr>
        <w:t>8 חודשי מאסר בפועל</w:t>
      </w:r>
      <w:r>
        <w:rPr>
          <w:rFonts w:hint="cs"/>
          <w:sz w:val="26"/>
          <w:szCs w:val="26"/>
          <w:rtl/>
        </w:rPr>
        <w:t>, מבלי למצות עם הנאשם את הדין.</w:t>
      </w:r>
    </w:p>
    <w:p w14:paraId="251CE1AE" w14:textId="77777777" w:rsidR="00A56430" w:rsidRDefault="00A56430" w:rsidP="00A56430">
      <w:pPr>
        <w:spacing w:line="360" w:lineRule="auto"/>
        <w:jc w:val="both"/>
        <w:rPr>
          <w:sz w:val="26"/>
          <w:szCs w:val="26"/>
          <w:rtl/>
        </w:rPr>
      </w:pPr>
    </w:p>
    <w:p w14:paraId="600A8E1A" w14:textId="77777777" w:rsidR="00A56430" w:rsidRDefault="00A56430" w:rsidP="00A56430">
      <w:pPr>
        <w:spacing w:line="360" w:lineRule="auto"/>
        <w:jc w:val="both"/>
        <w:rPr>
          <w:sz w:val="26"/>
          <w:szCs w:val="26"/>
          <w:rtl/>
        </w:rPr>
      </w:pPr>
      <w:r>
        <w:rPr>
          <w:rFonts w:hint="cs"/>
          <w:sz w:val="26"/>
          <w:szCs w:val="26"/>
          <w:rtl/>
        </w:rPr>
        <w:t xml:space="preserve">אמת, הסנגור המלומד, בשקדנותו הרבה, הצליח לאתר בפסיקת בתי המשפט המחוזיים לאורך העשור האחרון, מספר גזרי דין בהם נקבעו מתחמי ענישה מתונים יותר לצד עבירה של נשיאת אקדח. ראו לעניין זה </w:t>
      </w:r>
      <w:hyperlink r:id="rId27" w:history="1">
        <w:r w:rsidR="003D580F" w:rsidRPr="003D580F">
          <w:rPr>
            <w:color w:val="0000FF"/>
            <w:sz w:val="26"/>
            <w:szCs w:val="26"/>
            <w:u w:val="single"/>
            <w:rtl/>
          </w:rPr>
          <w:t>ת"פ 13999-11-16</w:t>
        </w:r>
      </w:hyperlink>
      <w:r>
        <w:rPr>
          <w:rFonts w:hint="cs"/>
          <w:sz w:val="26"/>
          <w:szCs w:val="26"/>
          <w:rtl/>
        </w:rPr>
        <w:t xml:space="preserve"> (מחוזי חי') </w:t>
      </w:r>
      <w:r>
        <w:rPr>
          <w:rFonts w:hint="cs"/>
          <w:b/>
          <w:bCs/>
          <w:sz w:val="26"/>
          <w:szCs w:val="26"/>
          <w:rtl/>
        </w:rPr>
        <w:t>מ"י נ' טרבייה</w:t>
      </w:r>
      <w:r>
        <w:rPr>
          <w:rFonts w:hint="cs"/>
          <w:sz w:val="26"/>
          <w:szCs w:val="26"/>
          <w:rtl/>
        </w:rPr>
        <w:t xml:space="preserve"> (2.3.17), </w:t>
      </w:r>
      <w:hyperlink r:id="rId28" w:history="1">
        <w:r w:rsidR="003D580F" w:rsidRPr="003D580F">
          <w:rPr>
            <w:color w:val="0000FF"/>
            <w:sz w:val="26"/>
            <w:szCs w:val="26"/>
            <w:u w:val="single"/>
            <w:rtl/>
          </w:rPr>
          <w:t>ת"פ (מחוזי חי') 13153-08-15</w:t>
        </w:r>
      </w:hyperlink>
      <w:r>
        <w:rPr>
          <w:rFonts w:hint="cs"/>
          <w:sz w:val="26"/>
          <w:szCs w:val="26"/>
          <w:rtl/>
        </w:rPr>
        <w:t xml:space="preserve"> </w:t>
      </w:r>
      <w:r>
        <w:rPr>
          <w:rFonts w:hint="cs"/>
          <w:b/>
          <w:bCs/>
          <w:sz w:val="26"/>
          <w:szCs w:val="26"/>
          <w:rtl/>
        </w:rPr>
        <w:t>מ"י נ' עמאש</w:t>
      </w:r>
      <w:r>
        <w:rPr>
          <w:rFonts w:hint="cs"/>
          <w:sz w:val="26"/>
          <w:szCs w:val="26"/>
          <w:rtl/>
        </w:rPr>
        <w:t xml:space="preserve"> (4.4.16); </w:t>
      </w:r>
      <w:hyperlink r:id="rId29" w:history="1">
        <w:r w:rsidR="003D580F" w:rsidRPr="003D580F">
          <w:rPr>
            <w:color w:val="0000FF"/>
            <w:sz w:val="26"/>
            <w:szCs w:val="26"/>
            <w:u w:val="single"/>
            <w:rtl/>
          </w:rPr>
          <w:t>ת"פ (מחוזי נצ') 35007-04-13</w:t>
        </w:r>
      </w:hyperlink>
      <w:r>
        <w:rPr>
          <w:rFonts w:hint="cs"/>
          <w:sz w:val="26"/>
          <w:szCs w:val="26"/>
          <w:rtl/>
        </w:rPr>
        <w:t xml:space="preserve"> </w:t>
      </w:r>
      <w:r>
        <w:rPr>
          <w:rFonts w:hint="cs"/>
          <w:b/>
          <w:bCs/>
          <w:sz w:val="26"/>
          <w:szCs w:val="26"/>
          <w:rtl/>
        </w:rPr>
        <w:t xml:space="preserve">מ"י נ' עזאעיזה </w:t>
      </w:r>
      <w:r>
        <w:rPr>
          <w:rFonts w:hint="cs"/>
          <w:sz w:val="26"/>
          <w:szCs w:val="26"/>
          <w:rtl/>
        </w:rPr>
        <w:t xml:space="preserve">(8.1.15)), </w:t>
      </w:r>
      <w:hyperlink r:id="rId30" w:history="1">
        <w:r w:rsidR="003D580F" w:rsidRPr="003D580F">
          <w:rPr>
            <w:color w:val="0000FF"/>
            <w:sz w:val="26"/>
            <w:szCs w:val="26"/>
            <w:u w:val="single"/>
            <w:rtl/>
          </w:rPr>
          <w:t>ת"פ (מחוזי י-ם) 51523-10-17</w:t>
        </w:r>
      </w:hyperlink>
      <w:r>
        <w:rPr>
          <w:rFonts w:hint="cs"/>
          <w:sz w:val="26"/>
          <w:szCs w:val="26"/>
          <w:rtl/>
        </w:rPr>
        <w:t xml:space="preserve"> </w:t>
      </w:r>
      <w:r>
        <w:rPr>
          <w:rFonts w:hint="cs"/>
          <w:b/>
          <w:bCs/>
          <w:sz w:val="26"/>
          <w:szCs w:val="26"/>
          <w:rtl/>
        </w:rPr>
        <w:t>מ"י נ' בלזמית</w:t>
      </w:r>
      <w:r>
        <w:rPr>
          <w:rFonts w:hint="cs"/>
          <w:sz w:val="26"/>
          <w:szCs w:val="26"/>
          <w:rtl/>
        </w:rPr>
        <w:t xml:space="preserve"> (2.5.18), </w:t>
      </w:r>
      <w:hyperlink r:id="rId31" w:history="1">
        <w:r w:rsidR="003D580F" w:rsidRPr="003D580F">
          <w:rPr>
            <w:color w:val="0000FF"/>
            <w:sz w:val="26"/>
            <w:szCs w:val="26"/>
            <w:u w:val="single"/>
            <w:rtl/>
          </w:rPr>
          <w:t>ת"פ (מחוזי י-ם) 12109-06-15</w:t>
        </w:r>
      </w:hyperlink>
      <w:r>
        <w:rPr>
          <w:rFonts w:hint="cs"/>
          <w:sz w:val="26"/>
          <w:szCs w:val="26"/>
          <w:rtl/>
        </w:rPr>
        <w:t xml:space="preserve"> </w:t>
      </w:r>
      <w:r>
        <w:rPr>
          <w:rFonts w:hint="cs"/>
          <w:b/>
          <w:bCs/>
          <w:sz w:val="26"/>
          <w:szCs w:val="26"/>
          <w:rtl/>
        </w:rPr>
        <w:t xml:space="preserve">מ"י נ' גראדאת </w:t>
      </w:r>
      <w:r>
        <w:rPr>
          <w:rFonts w:hint="cs"/>
          <w:sz w:val="26"/>
          <w:szCs w:val="26"/>
          <w:rtl/>
        </w:rPr>
        <w:t>(27.9.16). עיון בגזרי הדין הללו מלמד כי מדובר היה בהם כ</w:t>
      </w:r>
      <w:bookmarkStart w:id="13" w:name="Seif10"/>
      <w:r>
        <w:rPr>
          <w:rFonts w:hint="cs"/>
          <w:sz w:val="26"/>
          <w:szCs w:val="26"/>
          <w:rtl/>
        </w:rPr>
        <w:t xml:space="preserve">כלל בנאשמים </w:t>
      </w:r>
      <w:bookmarkEnd w:id="13"/>
      <w:r>
        <w:rPr>
          <w:rFonts w:hint="cs"/>
          <w:sz w:val="26"/>
          <w:szCs w:val="26"/>
          <w:rtl/>
        </w:rPr>
        <w:t>צעירים, ללא עבר פלילי, אך מעבר לכך, וזה העיקר, גם בהחלטות אלה נקבעו, ללא יוצא מן הכלל, מתחמי ענישה אשר כללו גם ברף התחתון שלהם עונשי מאסר ממשיים, מאחורי סורג ובריח, ולא בעבודות שירות.</w:t>
      </w:r>
    </w:p>
    <w:p w14:paraId="0FFA56A3" w14:textId="77777777" w:rsidR="00A56430" w:rsidRDefault="00A56430" w:rsidP="00A56430">
      <w:pPr>
        <w:spacing w:line="360" w:lineRule="auto"/>
        <w:jc w:val="both"/>
        <w:rPr>
          <w:sz w:val="26"/>
          <w:szCs w:val="26"/>
          <w:rtl/>
        </w:rPr>
      </w:pPr>
    </w:p>
    <w:p w14:paraId="11DA60DE" w14:textId="77777777" w:rsidR="00A56430" w:rsidRDefault="00A56430" w:rsidP="00A56430">
      <w:pPr>
        <w:spacing w:line="360" w:lineRule="auto"/>
        <w:jc w:val="both"/>
        <w:rPr>
          <w:sz w:val="26"/>
          <w:szCs w:val="26"/>
          <w:rtl/>
        </w:rPr>
      </w:pPr>
      <w:r>
        <w:rPr>
          <w:rFonts w:hint="cs"/>
          <w:sz w:val="26"/>
          <w:szCs w:val="26"/>
          <w:rtl/>
        </w:rPr>
        <w:t xml:space="preserve">עוד ראוי להזכיר בהקשר הנוכחי את הנחייתו העקבית של בית המשפט העליון לאורך העשור האחרון להחמיר בענישה בעבירות נשק ולהעלות באופן הדרגתי את רף הענישה המוצב לצידן. הנחיה זו עומדת בתוקף גם בימינו אנו, כפי שנקבע אך לאחרונה במסגרת </w:t>
      </w:r>
      <w:hyperlink r:id="rId32" w:history="1">
        <w:r w:rsidR="003D580F" w:rsidRPr="003D580F">
          <w:rPr>
            <w:color w:val="0000FF"/>
            <w:sz w:val="26"/>
            <w:szCs w:val="26"/>
            <w:u w:val="single"/>
            <w:rtl/>
          </w:rPr>
          <w:t>ע"פ 6068/21</w:t>
        </w:r>
      </w:hyperlink>
      <w:r>
        <w:rPr>
          <w:rFonts w:hint="cs"/>
          <w:sz w:val="26"/>
          <w:szCs w:val="26"/>
          <w:rtl/>
        </w:rPr>
        <w:t xml:space="preserve"> </w:t>
      </w:r>
      <w:r>
        <w:rPr>
          <w:rFonts w:hint="cs"/>
          <w:b/>
          <w:bCs/>
          <w:sz w:val="26"/>
          <w:szCs w:val="26"/>
          <w:rtl/>
        </w:rPr>
        <w:t>מ"י נ' פקיה</w:t>
      </w:r>
      <w:r>
        <w:rPr>
          <w:rFonts w:hint="cs"/>
          <w:sz w:val="26"/>
          <w:szCs w:val="26"/>
          <w:rtl/>
        </w:rPr>
        <w:t xml:space="preserve"> (19.12.21): </w:t>
      </w:r>
    </w:p>
    <w:p w14:paraId="01C2DA3A" w14:textId="77777777" w:rsidR="00A56430" w:rsidRDefault="00A56430" w:rsidP="00A56430">
      <w:pPr>
        <w:spacing w:line="360" w:lineRule="auto"/>
        <w:jc w:val="both"/>
        <w:rPr>
          <w:sz w:val="26"/>
          <w:szCs w:val="26"/>
          <w:rtl/>
        </w:rPr>
      </w:pPr>
    </w:p>
    <w:p w14:paraId="2B3A91AD" w14:textId="77777777" w:rsidR="00A56430" w:rsidRDefault="00A56430" w:rsidP="00A56430">
      <w:pPr>
        <w:spacing w:line="360" w:lineRule="auto"/>
        <w:ind w:left="567" w:right="567"/>
        <w:contextualSpacing/>
        <w:jc w:val="both"/>
        <w:rPr>
          <w:b/>
          <w:bCs/>
          <w:sz w:val="26"/>
          <w:szCs w:val="26"/>
          <w:rtl/>
        </w:rPr>
      </w:pPr>
      <w:r>
        <w:rPr>
          <w:rFonts w:hint="cs"/>
          <w:b/>
          <w:bCs/>
          <w:sz w:val="26"/>
          <w:szCs w:val="26"/>
          <w:rtl/>
        </w:rPr>
        <w:t xml:space="preserve">"... בית משפט זה הדגיש בפסיקתו פעם אחר פעם, כי עבירות הנשק הפכו לחזון נפרץ, המביא לעיתים מזומנות לפגיעה בחיי חפים מפשע. בהתאם לכך, בית משפט זה שב וקבע כי החמרת הענישה בגין עבירות אלו היא אינטרס ציבורי מהמעלה הראשונה ותנאי הכרחי להרתעת הציבור מפני ביצוען (ראו מיני רבים: </w:t>
      </w:r>
      <w:hyperlink r:id="rId33" w:history="1">
        <w:r w:rsidR="003D580F" w:rsidRPr="003D580F">
          <w:rPr>
            <w:b/>
            <w:bCs/>
            <w:color w:val="0000FF"/>
            <w:sz w:val="26"/>
            <w:szCs w:val="26"/>
            <w:u w:val="single"/>
            <w:rtl/>
          </w:rPr>
          <w:t>ע"פ 4406/19</w:t>
        </w:r>
      </w:hyperlink>
      <w:r>
        <w:rPr>
          <w:b/>
          <w:bCs/>
          <w:sz w:val="26"/>
          <w:szCs w:val="26"/>
          <w:rtl/>
        </w:rPr>
        <w:t xml:space="preserve"> </w:t>
      </w:r>
      <w:r>
        <w:rPr>
          <w:rFonts w:hint="cs"/>
          <w:b/>
          <w:bCs/>
          <w:sz w:val="26"/>
          <w:szCs w:val="26"/>
          <w:rtl/>
        </w:rPr>
        <w:t xml:space="preserve">מדינת ישראל נ' סובח, </w:t>
      </w:r>
      <w:bookmarkStart w:id="14" w:name="Seif5"/>
      <w:r>
        <w:rPr>
          <w:rFonts w:hint="cs"/>
          <w:b/>
          <w:bCs/>
          <w:sz w:val="26"/>
          <w:szCs w:val="26"/>
          <w:rtl/>
        </w:rPr>
        <w:t xml:space="preserve">פסקאות </w:t>
      </w:r>
      <w:bookmarkEnd w:id="14"/>
      <w:r>
        <w:rPr>
          <w:rFonts w:hint="cs"/>
          <w:b/>
          <w:bCs/>
          <w:sz w:val="26"/>
          <w:szCs w:val="26"/>
          <w:rtl/>
        </w:rPr>
        <w:t xml:space="preserve">16–17 לחוות דעתי (5.11.2019); </w:t>
      </w:r>
      <w:hyperlink r:id="rId34" w:history="1">
        <w:r w:rsidR="003D580F" w:rsidRPr="003D580F">
          <w:rPr>
            <w:b/>
            <w:bCs/>
            <w:color w:val="0000FF"/>
            <w:sz w:val="26"/>
            <w:szCs w:val="26"/>
            <w:u w:val="single"/>
            <w:rtl/>
          </w:rPr>
          <w:t>רע"פ 7344/18</w:t>
        </w:r>
      </w:hyperlink>
      <w:r>
        <w:rPr>
          <w:b/>
          <w:bCs/>
          <w:sz w:val="26"/>
          <w:szCs w:val="26"/>
          <w:rtl/>
        </w:rPr>
        <w:t xml:space="preserve"> </w:t>
      </w:r>
      <w:r>
        <w:rPr>
          <w:rFonts w:hint="cs"/>
          <w:b/>
          <w:bCs/>
          <w:sz w:val="26"/>
          <w:szCs w:val="26"/>
          <w:rtl/>
        </w:rPr>
        <w:t xml:space="preserve">מג'יד נ' מדינת ישראל, </w:t>
      </w:r>
      <w:bookmarkStart w:id="15" w:name="Seif4"/>
      <w:r>
        <w:rPr>
          <w:rFonts w:hint="cs"/>
          <w:b/>
          <w:bCs/>
          <w:sz w:val="26"/>
          <w:szCs w:val="26"/>
          <w:rtl/>
        </w:rPr>
        <w:t xml:space="preserve">פסקה </w:t>
      </w:r>
      <w:bookmarkEnd w:id="15"/>
      <w:r>
        <w:rPr>
          <w:rFonts w:hint="cs"/>
          <w:b/>
          <w:bCs/>
          <w:sz w:val="26"/>
          <w:szCs w:val="26"/>
          <w:rtl/>
        </w:rPr>
        <w:t>10 (21.10.2018))."</w:t>
      </w:r>
    </w:p>
    <w:p w14:paraId="00F372F2" w14:textId="77777777" w:rsidR="00A56430" w:rsidRDefault="00A56430" w:rsidP="00A56430">
      <w:pPr>
        <w:spacing w:line="360" w:lineRule="auto"/>
        <w:jc w:val="both"/>
        <w:rPr>
          <w:sz w:val="26"/>
          <w:szCs w:val="26"/>
          <w:rtl/>
        </w:rPr>
      </w:pPr>
    </w:p>
    <w:p w14:paraId="168D50E9" w14:textId="77777777" w:rsidR="00A56430" w:rsidRDefault="00A56430" w:rsidP="00A56430">
      <w:pPr>
        <w:spacing w:line="360" w:lineRule="auto"/>
        <w:jc w:val="both"/>
        <w:rPr>
          <w:sz w:val="26"/>
          <w:szCs w:val="26"/>
          <w:rtl/>
        </w:rPr>
      </w:pPr>
      <w:r>
        <w:rPr>
          <w:rFonts w:hint="cs"/>
          <w:sz w:val="26"/>
          <w:szCs w:val="26"/>
          <w:rtl/>
        </w:rPr>
        <w:t>בנוסף, אך לפני שבועות אחדים חוקקה כנסת ישראל הוראת שעה המורה על עונשי מינימום בעבירות נשק, לרבות בעבירות ההחזקה והנשיאה. הוראת השעה אינה חלה ישירות על עניינו של הנאשם, אך היא משקפת באופן מובהק את החובה המוטלת בימים אלה על בתי המשפט להחמיר בדינם של עברייני הנשק.</w:t>
      </w:r>
    </w:p>
    <w:p w14:paraId="4665A774" w14:textId="77777777" w:rsidR="00A56430" w:rsidRDefault="00A56430" w:rsidP="00A56430">
      <w:pPr>
        <w:spacing w:line="360" w:lineRule="auto"/>
        <w:jc w:val="both"/>
        <w:rPr>
          <w:rFonts w:ascii="FrankRuehl" w:hAnsi="FrankRuehl" w:cs="FrankRuehl"/>
          <w:sz w:val="22"/>
          <w:szCs w:val="28"/>
          <w:rtl/>
        </w:rPr>
      </w:pPr>
    </w:p>
    <w:p w14:paraId="44D5E3F2" w14:textId="77777777" w:rsidR="00A56430" w:rsidRDefault="00A56430" w:rsidP="00A56430">
      <w:pPr>
        <w:spacing w:line="360" w:lineRule="auto"/>
        <w:jc w:val="both"/>
        <w:rPr>
          <w:rFonts w:ascii="David" w:hAnsi="David"/>
          <w:sz w:val="26"/>
          <w:szCs w:val="26"/>
          <w:rtl/>
        </w:rPr>
      </w:pPr>
      <w:r>
        <w:rPr>
          <w:rFonts w:hint="cs"/>
          <w:sz w:val="26"/>
          <w:szCs w:val="26"/>
          <w:rtl/>
        </w:rPr>
        <w:t xml:space="preserve">בשים לב לכל האמור לעיל, לנוכח הנסיבות הקונקרטיות של ביצוע העבירה, מדיניות הענישה הנוהגת וכן טיבה ועצמתה של הפגיעה בערכים החברתיים, אני סבור כי לצד מעשיו של הנאשם יש לקבוע </w:t>
      </w:r>
      <w:r>
        <w:rPr>
          <w:rFonts w:hint="cs"/>
          <w:b/>
          <w:bCs/>
          <w:sz w:val="26"/>
          <w:szCs w:val="26"/>
          <w:rtl/>
        </w:rPr>
        <w:t>מתחם עונש הולם הנע בין 18 ל-40 חודשי מאסר בפועל</w:t>
      </w:r>
      <w:r>
        <w:rPr>
          <w:rFonts w:hint="cs"/>
          <w:sz w:val="26"/>
          <w:szCs w:val="26"/>
          <w:rtl/>
        </w:rPr>
        <w:t>, לצד מרכיבי ענישה נלווים.</w:t>
      </w:r>
    </w:p>
    <w:p w14:paraId="5C969221" w14:textId="77777777" w:rsidR="00A56430" w:rsidRDefault="00A56430" w:rsidP="00A56430">
      <w:pPr>
        <w:spacing w:line="360" w:lineRule="auto"/>
        <w:jc w:val="both"/>
        <w:rPr>
          <w:sz w:val="26"/>
          <w:szCs w:val="26"/>
          <w:rtl/>
        </w:rPr>
      </w:pPr>
    </w:p>
    <w:p w14:paraId="1770E650" w14:textId="77777777" w:rsidR="00A56430" w:rsidRDefault="00A56430" w:rsidP="00A56430">
      <w:pPr>
        <w:spacing w:line="360" w:lineRule="auto"/>
        <w:jc w:val="both"/>
        <w:rPr>
          <w:sz w:val="26"/>
          <w:szCs w:val="26"/>
          <w:rtl/>
        </w:rPr>
      </w:pPr>
      <w:r>
        <w:rPr>
          <w:rFonts w:hint="cs"/>
          <w:sz w:val="26"/>
          <w:szCs w:val="26"/>
          <w:rtl/>
        </w:rPr>
        <w:t xml:space="preserve">משנקבע מתחם העונש ההולם, ובהעדר עילה המצדיקה סטייה ממנו, יש לאתר את העונש הראוי בגדר המתחם, תוך מתן משקל לנסיבותיו של הנאשם, לעברו ולדפוסיו. בהקשר זה אזכיר כי מדובר בבחור צעיר כבן 29, נשוי ואב לקטינה בת ארבע. בין השנים 2008 ל-2013 נרשמו לחובתו 6 הרשעות, בעיקר בעבירות אלימות, והוא נשא בעטיין 3 תקופות מאסר, הארוכה שבהן למשך 18 חודשים. מאז שוחרר ממאסרו האחרון חלף </w:t>
      </w:r>
      <w:bookmarkStart w:id="16" w:name="Seif7"/>
      <w:r>
        <w:rPr>
          <w:rFonts w:hint="cs"/>
          <w:sz w:val="26"/>
          <w:szCs w:val="26"/>
          <w:rtl/>
        </w:rPr>
        <w:t xml:space="preserve">פרק זמן </w:t>
      </w:r>
      <w:bookmarkEnd w:id="16"/>
      <w:r>
        <w:rPr>
          <w:rFonts w:hint="cs"/>
          <w:sz w:val="26"/>
          <w:szCs w:val="26"/>
          <w:rtl/>
        </w:rPr>
        <w:t xml:space="preserve">ניכר, במהלכו נמנע מעבירות נוספות, ורישומיו אף התיישנו, אך העובדה כי בעבר כבר הסתבך בעבירות אלימות ואף טעם מספר פעמים טעמו של מאסר, ובכל זאת שב כעת לסורו, מדאיגה וראוי שתשליך במידת מה על עונשו. התמונה המדאיגה מצטיירת גם מתסקיר שירות המבחן, המצביע על דפוסים שוליים, על תובנה לקויה, על היעדר שיתוף פעולה בהליכי טיפול ושיקום ועל רמת מסוכנות גבוהה למעורבות בעבירות אלימות נוספות בעתיד. מכלול שיקולים אלה תומך באיתור העונש הראוי במעלה המתחם שנקבע. </w:t>
      </w:r>
    </w:p>
    <w:p w14:paraId="61405B3C" w14:textId="77777777" w:rsidR="00A56430" w:rsidRDefault="00A56430" w:rsidP="00A56430">
      <w:pPr>
        <w:spacing w:line="360" w:lineRule="auto"/>
        <w:jc w:val="both"/>
        <w:rPr>
          <w:sz w:val="26"/>
          <w:szCs w:val="26"/>
          <w:rtl/>
        </w:rPr>
      </w:pPr>
    </w:p>
    <w:p w14:paraId="7CF8F445" w14:textId="77777777" w:rsidR="00A56430" w:rsidRDefault="00A56430" w:rsidP="00A56430">
      <w:pPr>
        <w:spacing w:line="360" w:lineRule="auto"/>
        <w:jc w:val="both"/>
        <w:rPr>
          <w:sz w:val="26"/>
          <w:szCs w:val="26"/>
          <w:rtl/>
        </w:rPr>
      </w:pPr>
      <w:r>
        <w:rPr>
          <w:rFonts w:hint="cs"/>
          <w:sz w:val="26"/>
          <w:szCs w:val="26"/>
          <w:rtl/>
        </w:rPr>
        <w:t xml:space="preserve">לצד האמור, קיימים גם שיקולים מקלים המצדיקים להימנע ממיצוי הדין עם הנאשם. מדובר, עדיין, בבחור צעיר, שטרם מלאו לו 30. מהתסקיר עולה כי מאז הרשעתו האחרונה ערך הנאשם מאמצים לחיות אורח חיים נורמטיבי, בפן התעסוקתי, האישי והמשפחתי. גם כיום הוא עובד לפרנסתו ולפרנסת בני משפחתו. בנוסף, הודה הנאשם במיוחס לו בכתב האישום המתוקן, נטל אחריות למעשיו, הביע חרטה וחסך זמן ציבורי ניכר. שירות המבחן אמנם לא בא בהמלצה טיפולית, אך המליץ להסתפק בעניינו במאסר שיינשא בעבודות שירות. המלצה זו אינה ניתנת לאימוץ בנסיבותיו של הנאשם ולנוכח מעשיו החמורים, אך אין להתעלם ממנה ומהרציונל העומד בבסיסה. בנוסף, אינני מתעלם מהענישה המקלה שהושתה על חבריו של הנאשם למעשים המפורטים בכתב האישום, ובגזירת הדין יינתן גם משקל לתקופה הארוכה בה היה הנאשם נתון, לאחר שחרורו ממעצר, בתנאים מגבילים, לרבות מספר חודשים בהם הוחזק במעצר בפיקוח אלקטרוני. באיזון הכולל, יושת על הנאשם מאסר לתקופה המצויה בחלקו העליון של השליש התחתון של המתחם שנקבע. </w:t>
      </w:r>
    </w:p>
    <w:p w14:paraId="75BFF559" w14:textId="77777777" w:rsidR="00A56430" w:rsidRDefault="00A56430" w:rsidP="00A56430">
      <w:pPr>
        <w:spacing w:line="360" w:lineRule="auto"/>
        <w:jc w:val="both"/>
        <w:rPr>
          <w:sz w:val="26"/>
          <w:szCs w:val="26"/>
          <w:rtl/>
        </w:rPr>
      </w:pPr>
    </w:p>
    <w:p w14:paraId="603441F4" w14:textId="77777777" w:rsidR="00A56430" w:rsidRDefault="00A56430" w:rsidP="00A56430">
      <w:pPr>
        <w:spacing w:line="360" w:lineRule="auto"/>
        <w:jc w:val="both"/>
        <w:rPr>
          <w:sz w:val="26"/>
          <w:szCs w:val="26"/>
          <w:rtl/>
        </w:rPr>
      </w:pPr>
    </w:p>
    <w:p w14:paraId="4FD319C3" w14:textId="77777777" w:rsidR="00A56430" w:rsidRDefault="00A56430" w:rsidP="00A56430">
      <w:pPr>
        <w:spacing w:line="360" w:lineRule="auto"/>
        <w:jc w:val="both"/>
        <w:rPr>
          <w:b/>
          <w:bCs/>
          <w:sz w:val="26"/>
          <w:szCs w:val="26"/>
          <w:u w:val="single"/>
          <w:rtl/>
        </w:rPr>
      </w:pPr>
      <w:r>
        <w:rPr>
          <w:rFonts w:hint="cs"/>
          <w:b/>
          <w:bCs/>
          <w:sz w:val="26"/>
          <w:szCs w:val="26"/>
          <w:u w:val="single"/>
          <w:rtl/>
        </w:rPr>
        <w:t>לאור כל האמור לעיל אני גוזר על הנאשם את העונשים הבאים:</w:t>
      </w:r>
    </w:p>
    <w:p w14:paraId="70902BCC" w14:textId="77777777" w:rsidR="00A56430" w:rsidRDefault="00A56430" w:rsidP="00A56430">
      <w:pPr>
        <w:spacing w:line="360" w:lineRule="auto"/>
        <w:jc w:val="both"/>
        <w:rPr>
          <w:b/>
          <w:bCs/>
          <w:sz w:val="26"/>
          <w:szCs w:val="26"/>
          <w:u w:val="single"/>
          <w:rtl/>
        </w:rPr>
      </w:pPr>
    </w:p>
    <w:p w14:paraId="65ED28C5" w14:textId="77777777" w:rsidR="00A56430" w:rsidRDefault="00A56430" w:rsidP="00A56430">
      <w:pPr>
        <w:numPr>
          <w:ilvl w:val="0"/>
          <w:numId w:val="1"/>
        </w:numPr>
        <w:spacing w:line="360" w:lineRule="auto"/>
        <w:jc w:val="both"/>
        <w:rPr>
          <w:sz w:val="26"/>
          <w:szCs w:val="26"/>
          <w:rtl/>
        </w:rPr>
      </w:pPr>
      <w:r>
        <w:rPr>
          <w:rFonts w:hint="cs"/>
          <w:sz w:val="26"/>
          <w:szCs w:val="26"/>
          <w:rtl/>
        </w:rPr>
        <w:t>מאסר בפועל למשך 24 חודשים, בניכוי ימי מעצרו מיום 16.7.20 ועד 23.11.20.</w:t>
      </w:r>
    </w:p>
    <w:p w14:paraId="5641EA8D" w14:textId="77777777" w:rsidR="00A56430" w:rsidRDefault="00A56430" w:rsidP="00A56430">
      <w:pPr>
        <w:spacing w:line="360" w:lineRule="auto"/>
        <w:ind w:left="1080"/>
        <w:jc w:val="both"/>
        <w:rPr>
          <w:sz w:val="26"/>
          <w:szCs w:val="26"/>
          <w:rtl/>
        </w:rPr>
      </w:pPr>
    </w:p>
    <w:p w14:paraId="39D00D06" w14:textId="77777777" w:rsidR="00A56430" w:rsidRDefault="00A56430" w:rsidP="00A56430">
      <w:pPr>
        <w:numPr>
          <w:ilvl w:val="0"/>
          <w:numId w:val="1"/>
        </w:numPr>
        <w:spacing w:line="360" w:lineRule="auto"/>
        <w:jc w:val="both"/>
        <w:rPr>
          <w:sz w:val="26"/>
          <w:szCs w:val="26"/>
        </w:rPr>
      </w:pPr>
      <w:r>
        <w:rPr>
          <w:rFonts w:hint="cs"/>
          <w:sz w:val="26"/>
          <w:szCs w:val="26"/>
          <w:rtl/>
        </w:rPr>
        <w:t xml:space="preserve">10 חודשי מאסר על תנאי </w:t>
      </w:r>
      <w:r>
        <w:rPr>
          <w:rStyle w:val="normal-h"/>
          <w:rFonts w:hint="cs"/>
          <w:sz w:val="26"/>
          <w:szCs w:val="26"/>
          <w:rtl/>
        </w:rPr>
        <w:t>והתנאי הוא כי במשך 3 שנים מיום שחרורו מהמאסר לא יעבור הנאשם עבירת נשק מסוג פשע.</w:t>
      </w:r>
    </w:p>
    <w:p w14:paraId="7D9064EF" w14:textId="77777777" w:rsidR="00A56430" w:rsidRDefault="00A56430" w:rsidP="00A56430">
      <w:pPr>
        <w:spacing w:line="360" w:lineRule="auto"/>
        <w:jc w:val="both"/>
        <w:rPr>
          <w:rStyle w:val="normal-h"/>
        </w:rPr>
      </w:pPr>
    </w:p>
    <w:p w14:paraId="277D2926" w14:textId="77777777" w:rsidR="00A56430" w:rsidRDefault="00A56430" w:rsidP="00A56430">
      <w:pPr>
        <w:numPr>
          <w:ilvl w:val="0"/>
          <w:numId w:val="1"/>
        </w:numPr>
        <w:spacing w:line="360" w:lineRule="auto"/>
        <w:jc w:val="both"/>
        <w:rPr>
          <w:rStyle w:val="normal-h"/>
          <w:sz w:val="26"/>
          <w:szCs w:val="26"/>
        </w:rPr>
      </w:pPr>
      <w:r>
        <w:rPr>
          <w:rStyle w:val="normal-h"/>
          <w:rFonts w:hint="cs"/>
          <w:sz w:val="26"/>
          <w:szCs w:val="26"/>
          <w:rtl/>
        </w:rPr>
        <w:t>5 חודשי מאסר על תנאי והתנאי הוא כי במשך 3 שנים מיום שחרורו מהמאסר לא יעבור הנאשם עבירת נשק מסוג עוון.</w:t>
      </w:r>
    </w:p>
    <w:p w14:paraId="07A06841" w14:textId="77777777" w:rsidR="00A56430" w:rsidRDefault="00A56430" w:rsidP="00A56430">
      <w:pPr>
        <w:rPr>
          <w:rStyle w:val="normal-h"/>
          <w:sz w:val="26"/>
          <w:szCs w:val="26"/>
        </w:rPr>
      </w:pPr>
    </w:p>
    <w:p w14:paraId="2FCC4A19" w14:textId="77777777" w:rsidR="00A56430" w:rsidRDefault="00A56430" w:rsidP="00A56430">
      <w:pPr>
        <w:rPr>
          <w:rStyle w:val="normal-h"/>
          <w:sz w:val="26"/>
          <w:szCs w:val="26"/>
          <w:rtl/>
        </w:rPr>
      </w:pPr>
    </w:p>
    <w:p w14:paraId="4B437BAC" w14:textId="77777777" w:rsidR="00A56430" w:rsidRDefault="00A56430" w:rsidP="00A56430">
      <w:pPr>
        <w:spacing w:line="360" w:lineRule="auto"/>
        <w:jc w:val="both"/>
        <w:rPr>
          <w:rtl/>
        </w:rPr>
      </w:pPr>
      <w:r>
        <w:rPr>
          <w:rFonts w:hint="cs"/>
          <w:rtl/>
        </w:rPr>
        <w:t>המוצגים יחולטו או יושמדו על פי שיקול דעת המשטרה.</w:t>
      </w:r>
    </w:p>
    <w:p w14:paraId="76EC401C" w14:textId="77777777" w:rsidR="00A56430" w:rsidRDefault="00A56430" w:rsidP="00A56430">
      <w:pPr>
        <w:spacing w:line="360" w:lineRule="auto"/>
        <w:jc w:val="both"/>
        <w:rPr>
          <w:rtl/>
        </w:rPr>
      </w:pPr>
    </w:p>
    <w:p w14:paraId="60646F13" w14:textId="77777777" w:rsidR="00A56430" w:rsidRDefault="00A56430" w:rsidP="00A56430">
      <w:pPr>
        <w:spacing w:line="360" w:lineRule="auto"/>
        <w:jc w:val="both"/>
        <w:rPr>
          <w:b/>
          <w:bCs/>
          <w:sz w:val="26"/>
          <w:szCs w:val="26"/>
          <w:u w:val="single"/>
        </w:rPr>
      </w:pPr>
      <w:r>
        <w:rPr>
          <w:rStyle w:val="normal-h"/>
          <w:rFonts w:hint="cs"/>
          <w:b/>
          <w:bCs/>
          <w:sz w:val="26"/>
          <w:szCs w:val="26"/>
          <w:rtl/>
        </w:rPr>
        <w:t>זכות ערעור בתוך 45 ימים.</w:t>
      </w:r>
    </w:p>
    <w:p w14:paraId="08062451" w14:textId="77777777" w:rsidR="00A56430" w:rsidRPr="000F2247" w:rsidRDefault="00A56430" w:rsidP="00A56430">
      <w:pPr>
        <w:rPr>
          <w:rFonts w:ascii="Arial" w:hAnsi="Arial"/>
          <w:b/>
          <w:bCs/>
          <w:sz w:val="26"/>
          <w:szCs w:val="26"/>
          <w:rtl/>
        </w:rPr>
      </w:pPr>
    </w:p>
    <w:p w14:paraId="6EABE6EE" w14:textId="77777777" w:rsidR="00A56430" w:rsidRPr="003D580F" w:rsidRDefault="003D580F" w:rsidP="00A56430">
      <w:pPr>
        <w:rPr>
          <w:rFonts w:ascii="Arial" w:hAnsi="Arial"/>
          <w:b/>
          <w:bCs/>
          <w:color w:val="FFFFFF"/>
          <w:sz w:val="2"/>
          <w:szCs w:val="2"/>
          <w:rtl/>
        </w:rPr>
      </w:pPr>
      <w:r w:rsidRPr="003D580F">
        <w:rPr>
          <w:rFonts w:ascii="Arial" w:hAnsi="Arial"/>
          <w:b/>
          <w:bCs/>
          <w:color w:val="FFFFFF"/>
          <w:sz w:val="2"/>
          <w:szCs w:val="2"/>
          <w:rtl/>
        </w:rPr>
        <w:t>5129371</w:t>
      </w:r>
    </w:p>
    <w:p w14:paraId="53C71871" w14:textId="77777777" w:rsidR="00A56430" w:rsidRPr="003D580F" w:rsidRDefault="003D580F" w:rsidP="00A56430">
      <w:pPr>
        <w:rPr>
          <w:rFonts w:ascii="Arial" w:hAnsi="Arial"/>
          <w:b/>
          <w:bCs/>
          <w:color w:val="FFFFFF"/>
          <w:sz w:val="2"/>
          <w:szCs w:val="2"/>
          <w:rtl/>
        </w:rPr>
      </w:pPr>
      <w:r w:rsidRPr="003D580F">
        <w:rPr>
          <w:rFonts w:ascii="Arial" w:hAnsi="Arial"/>
          <w:b/>
          <w:bCs/>
          <w:color w:val="FFFFFF"/>
          <w:sz w:val="2"/>
          <w:szCs w:val="2"/>
          <w:rtl/>
        </w:rPr>
        <w:t>54678313</w:t>
      </w:r>
    </w:p>
    <w:p w14:paraId="18019B1E" w14:textId="77777777" w:rsidR="00A56430" w:rsidRPr="000F2247" w:rsidRDefault="00A56430" w:rsidP="00A56430">
      <w:pPr>
        <w:rPr>
          <w:rFonts w:ascii="Arial" w:hAnsi="Arial"/>
          <w:b/>
          <w:bCs/>
          <w:sz w:val="26"/>
          <w:szCs w:val="26"/>
          <w:rtl/>
        </w:rPr>
      </w:pPr>
    </w:p>
    <w:p w14:paraId="10A88F3D" w14:textId="77777777" w:rsidR="00A56430" w:rsidRPr="000F2247" w:rsidRDefault="003D580F" w:rsidP="00A56430">
      <w:pPr>
        <w:rPr>
          <w:rFonts w:ascii="Arial" w:hAnsi="Arial"/>
          <w:b/>
          <w:bCs/>
          <w:sz w:val="26"/>
          <w:szCs w:val="26"/>
          <w:rtl/>
        </w:rPr>
      </w:pPr>
      <w:bookmarkStart w:id="17" w:name="Nitan"/>
      <w:r>
        <w:rPr>
          <w:rFonts w:ascii="Arial" w:hAnsi="Arial"/>
          <w:b/>
          <w:bCs/>
          <w:sz w:val="26"/>
          <w:szCs w:val="26"/>
          <w:rtl/>
        </w:rPr>
        <w:t xml:space="preserve">ניתן היום,  ל' שבט תשפ"ב, 01 פברואר 2022, במעמד הצדדים. </w:t>
      </w:r>
      <w:bookmarkEnd w:id="17"/>
    </w:p>
    <w:p w14:paraId="2D8BD99F" w14:textId="77777777" w:rsidR="00A56430" w:rsidRPr="000F2247" w:rsidRDefault="00A56430" w:rsidP="003D580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9288705" w14:textId="77777777" w:rsidR="00A56430" w:rsidRPr="008273E0" w:rsidRDefault="008273E0" w:rsidP="00A56430">
      <w:pPr>
        <w:jc w:val="center"/>
        <w:rPr>
          <w:rFonts w:ascii="Arial" w:hAnsi="Arial"/>
          <w:b/>
          <w:bCs/>
          <w:color w:val="FFFFFF"/>
          <w:sz w:val="2"/>
          <w:szCs w:val="2"/>
          <w:rtl/>
        </w:rPr>
      </w:pPr>
      <w:r w:rsidRPr="008273E0">
        <w:rPr>
          <w:rFonts w:ascii="Arial" w:hAnsi="Arial"/>
          <w:b/>
          <w:bCs/>
          <w:color w:val="FFFFFF"/>
          <w:sz w:val="2"/>
          <w:szCs w:val="2"/>
          <w:rtl/>
        </w:rPr>
        <w:t>51293715129371</w:t>
      </w:r>
    </w:p>
    <w:p w14:paraId="52D0B7FC" w14:textId="77777777" w:rsidR="000D450B" w:rsidRPr="008273E0" w:rsidRDefault="008273E0" w:rsidP="003D580F">
      <w:pPr>
        <w:keepNext/>
        <w:rPr>
          <w:rFonts w:ascii="David" w:hAnsi="David"/>
          <w:color w:val="FFFFFF"/>
          <w:sz w:val="2"/>
          <w:szCs w:val="2"/>
          <w:rtl/>
        </w:rPr>
      </w:pPr>
      <w:r w:rsidRPr="008273E0">
        <w:rPr>
          <w:rFonts w:ascii="David" w:hAnsi="David"/>
          <w:color w:val="FFFFFF"/>
          <w:sz w:val="2"/>
          <w:szCs w:val="2"/>
          <w:rtl/>
        </w:rPr>
        <w:t>5467831354678313</w:t>
      </w:r>
    </w:p>
    <w:p w14:paraId="2C2F3157" w14:textId="77777777" w:rsidR="003D580F" w:rsidRPr="003D580F" w:rsidRDefault="003D580F" w:rsidP="003D580F">
      <w:pPr>
        <w:keepNext/>
        <w:rPr>
          <w:rFonts w:ascii="David" w:hAnsi="David"/>
          <w:color w:val="000000"/>
          <w:sz w:val="22"/>
          <w:szCs w:val="22"/>
          <w:rtl/>
        </w:rPr>
      </w:pPr>
      <w:r w:rsidRPr="003D580F">
        <w:rPr>
          <w:rFonts w:ascii="David" w:hAnsi="David"/>
          <w:color w:val="000000"/>
          <w:sz w:val="22"/>
          <w:szCs w:val="22"/>
          <w:rtl/>
        </w:rPr>
        <w:t>חגי טרסי 54678313</w:t>
      </w:r>
    </w:p>
    <w:p w14:paraId="29849493" w14:textId="77777777" w:rsidR="003D580F" w:rsidRDefault="003D580F" w:rsidP="003D580F">
      <w:r w:rsidRPr="003D580F">
        <w:rPr>
          <w:color w:val="000000"/>
          <w:rtl/>
        </w:rPr>
        <w:t>נוסח מסמך זה כפוף לשינויי ניסוח ועריכה</w:t>
      </w:r>
    </w:p>
    <w:p w14:paraId="5E448732" w14:textId="77777777" w:rsidR="003D580F" w:rsidRDefault="008004CC" w:rsidP="003D580F">
      <w:pPr>
        <w:rPr>
          <w:rFonts w:hint="cs"/>
          <w:rtl/>
        </w:rPr>
      </w:pPr>
      <w:r>
        <w:rPr>
          <w:rFonts w:hint="cs"/>
          <w:rtl/>
        </w:rPr>
        <w:t xml:space="preserve"> </w:t>
      </w:r>
    </w:p>
    <w:p w14:paraId="0603610F" w14:textId="77777777" w:rsidR="003D580F" w:rsidRDefault="003D580F" w:rsidP="003D580F">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4AAF3266" w14:textId="77777777" w:rsidR="008273E0" w:rsidRPr="008273E0" w:rsidRDefault="008273E0" w:rsidP="008273E0">
      <w:pPr>
        <w:keepNext/>
        <w:rPr>
          <w:rFonts w:ascii="David" w:hAnsi="David"/>
          <w:color w:val="000000"/>
          <w:sz w:val="22"/>
          <w:szCs w:val="22"/>
          <w:rtl/>
        </w:rPr>
      </w:pPr>
    </w:p>
    <w:sectPr w:rsidR="008273E0" w:rsidRPr="008273E0" w:rsidSect="008273E0">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D0B7C" w14:textId="77777777" w:rsidR="0088689C" w:rsidRDefault="0088689C" w:rsidP="009764CD">
      <w:r>
        <w:separator/>
      </w:r>
    </w:p>
  </w:endnote>
  <w:endnote w:type="continuationSeparator" w:id="0">
    <w:p w14:paraId="37067FE1" w14:textId="77777777" w:rsidR="0088689C" w:rsidRDefault="0088689C" w:rsidP="00976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6380A" w14:textId="77777777" w:rsidR="008273E0" w:rsidRDefault="008273E0" w:rsidP="008273E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31309F1E" w14:textId="77777777" w:rsidR="000F3724" w:rsidRPr="008273E0" w:rsidRDefault="008273E0" w:rsidP="008273E0">
    <w:pPr>
      <w:pStyle w:val="a5"/>
      <w:pBdr>
        <w:top w:val="single" w:sz="4" w:space="1" w:color="auto"/>
        <w:between w:val="single" w:sz="4" w:space="0" w:color="auto"/>
      </w:pBdr>
      <w:spacing w:after="60"/>
      <w:jc w:val="center"/>
      <w:rPr>
        <w:rFonts w:ascii="FrankRuehl" w:hAnsi="FrankRuehl" w:cs="FrankRuehl"/>
        <w:color w:val="000000"/>
      </w:rPr>
    </w:pPr>
    <w:r w:rsidRPr="008273E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31ED1" w14:textId="77777777" w:rsidR="008273E0" w:rsidRDefault="008273E0" w:rsidP="008273E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4E4E">
      <w:rPr>
        <w:rFonts w:ascii="FrankRuehl" w:hAnsi="FrankRuehl" w:cs="FrankRuehl"/>
        <w:noProof/>
        <w:rtl/>
      </w:rPr>
      <w:t>1</w:t>
    </w:r>
    <w:r>
      <w:rPr>
        <w:rFonts w:ascii="FrankRuehl" w:hAnsi="FrankRuehl" w:cs="FrankRuehl"/>
        <w:rtl/>
      </w:rPr>
      <w:fldChar w:fldCharType="end"/>
    </w:r>
  </w:p>
  <w:p w14:paraId="40B1F781" w14:textId="77777777" w:rsidR="000F3724" w:rsidRPr="008273E0" w:rsidRDefault="008273E0" w:rsidP="008273E0">
    <w:pPr>
      <w:pStyle w:val="a5"/>
      <w:pBdr>
        <w:top w:val="single" w:sz="4" w:space="1" w:color="auto"/>
        <w:between w:val="single" w:sz="4" w:space="0" w:color="auto"/>
      </w:pBdr>
      <w:spacing w:after="60"/>
      <w:jc w:val="center"/>
      <w:rPr>
        <w:rFonts w:ascii="FrankRuehl" w:hAnsi="FrankRuehl" w:cs="FrankRuehl"/>
        <w:color w:val="000000"/>
      </w:rPr>
    </w:pPr>
    <w:r w:rsidRPr="008273E0">
      <w:rPr>
        <w:rFonts w:ascii="FrankRuehl" w:hAnsi="FrankRuehl" w:cs="FrankRuehl"/>
        <w:color w:val="000000"/>
      </w:rPr>
      <w:pict w14:anchorId="48177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9CD58" w14:textId="77777777" w:rsidR="0088689C" w:rsidRDefault="0088689C" w:rsidP="009764CD">
      <w:r>
        <w:separator/>
      </w:r>
    </w:p>
  </w:footnote>
  <w:footnote w:type="continuationSeparator" w:id="0">
    <w:p w14:paraId="1C7E8D5E" w14:textId="77777777" w:rsidR="0088689C" w:rsidRDefault="0088689C" w:rsidP="00976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8CD24" w14:textId="77777777" w:rsidR="003D580F" w:rsidRPr="008273E0" w:rsidRDefault="008273E0" w:rsidP="008273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68763-07-20</w:t>
    </w:r>
    <w:r>
      <w:rPr>
        <w:rFonts w:ascii="David" w:hAnsi="David"/>
        <w:color w:val="000000"/>
        <w:sz w:val="22"/>
        <w:szCs w:val="22"/>
        <w:rtl/>
      </w:rPr>
      <w:tab/>
      <w:t xml:space="preserve"> מדינת ישראל נ' אשגרה צ'אנה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8E349" w14:textId="77777777" w:rsidR="003D580F" w:rsidRPr="008273E0" w:rsidRDefault="008273E0" w:rsidP="008273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68763-07-20</w:t>
    </w:r>
    <w:r>
      <w:rPr>
        <w:rFonts w:ascii="David" w:hAnsi="David"/>
        <w:color w:val="000000"/>
        <w:sz w:val="22"/>
        <w:szCs w:val="22"/>
        <w:rtl/>
      </w:rPr>
      <w:tab/>
      <w:t xml:space="preserve"> מדינת ישראל נ' אשגרה צ'אנה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D1755"/>
    <w:multiLevelType w:val="hybridMultilevel"/>
    <w:tmpl w:val="20CA5CF6"/>
    <w:lvl w:ilvl="0" w:tplc="F9F6DE0C">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9606481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6430"/>
    <w:rsid w:val="000D450B"/>
    <w:rsid w:val="000F3724"/>
    <w:rsid w:val="003542A5"/>
    <w:rsid w:val="00370A1F"/>
    <w:rsid w:val="003D580F"/>
    <w:rsid w:val="004D69E7"/>
    <w:rsid w:val="006D59BF"/>
    <w:rsid w:val="008004CC"/>
    <w:rsid w:val="008273E0"/>
    <w:rsid w:val="00864E4E"/>
    <w:rsid w:val="0088689C"/>
    <w:rsid w:val="009764CD"/>
    <w:rsid w:val="009A4E4C"/>
    <w:rsid w:val="00A56430"/>
    <w:rsid w:val="00AA2A89"/>
    <w:rsid w:val="00D72A60"/>
    <w:rsid w:val="00F92C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D194A5"/>
  <w15:chartTrackingRefBased/>
  <w15:docId w15:val="{4DC2E8E5-675B-489C-BEB6-982123FB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643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56430"/>
    <w:pPr>
      <w:tabs>
        <w:tab w:val="center" w:pos="4153"/>
        <w:tab w:val="right" w:pos="8306"/>
      </w:tabs>
    </w:pPr>
  </w:style>
  <w:style w:type="character" w:customStyle="1" w:styleId="a4">
    <w:name w:val="כותרת עליונה תו"/>
    <w:link w:val="a3"/>
    <w:rsid w:val="00A56430"/>
    <w:rPr>
      <w:rFonts w:ascii="Times New Roman" w:eastAsia="Times New Roman" w:hAnsi="Times New Roman" w:cs="David"/>
      <w:sz w:val="24"/>
      <w:szCs w:val="24"/>
    </w:rPr>
  </w:style>
  <w:style w:type="paragraph" w:styleId="a5">
    <w:name w:val="footer"/>
    <w:basedOn w:val="a"/>
    <w:link w:val="a6"/>
    <w:rsid w:val="00A56430"/>
    <w:pPr>
      <w:tabs>
        <w:tab w:val="center" w:pos="4153"/>
        <w:tab w:val="right" w:pos="8306"/>
      </w:tabs>
    </w:pPr>
  </w:style>
  <w:style w:type="character" w:customStyle="1" w:styleId="a6">
    <w:name w:val="כותרת תחתונה תו"/>
    <w:link w:val="a5"/>
    <w:rsid w:val="00A56430"/>
    <w:rPr>
      <w:rFonts w:ascii="Times New Roman" w:eastAsia="Times New Roman" w:hAnsi="Times New Roman" w:cs="David"/>
      <w:sz w:val="24"/>
      <w:szCs w:val="24"/>
    </w:rPr>
  </w:style>
  <w:style w:type="table" w:styleId="a7">
    <w:name w:val="Table Grid"/>
    <w:basedOn w:val="a1"/>
    <w:rsid w:val="00A5643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56430"/>
  </w:style>
  <w:style w:type="character" w:customStyle="1" w:styleId="normal-h">
    <w:name w:val="normal-h"/>
    <w:rsid w:val="00A56430"/>
  </w:style>
  <w:style w:type="character" w:styleId="Hyperlink">
    <w:name w:val="Hyperlink"/>
    <w:rsid w:val="00A564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4263578" TargetMode="External"/><Relationship Id="rId18" Type="http://schemas.openxmlformats.org/officeDocument/2006/relationships/hyperlink" Target="http://www.nevo.co.il/case/6949290" TargetMode="External"/><Relationship Id="rId26" Type="http://schemas.openxmlformats.org/officeDocument/2006/relationships/hyperlink" Target="http://www.nevo.co.il/case/17954222" TargetMode="External"/><Relationship Id="rId39" Type="http://schemas.openxmlformats.org/officeDocument/2006/relationships/footer" Target="footer2.xml"/><Relationship Id="rId21" Type="http://schemas.openxmlformats.org/officeDocument/2006/relationships/hyperlink" Target="http://www.nevo.co.il/case/27609756" TargetMode="External"/><Relationship Id="rId34" Type="http://schemas.openxmlformats.org/officeDocument/2006/relationships/hyperlink" Target="http://www.nevo.co.il/case/25063920"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7502726" TargetMode="External"/><Relationship Id="rId20" Type="http://schemas.openxmlformats.org/officeDocument/2006/relationships/hyperlink" Target="http://www.nevo.co.il/case/26623868" TargetMode="External"/><Relationship Id="rId29" Type="http://schemas.openxmlformats.org/officeDocument/2006/relationships/hyperlink" Target="http://www.nevo.co.il/case/787851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5824863" TargetMode="External"/><Relationship Id="rId24" Type="http://schemas.openxmlformats.org/officeDocument/2006/relationships/hyperlink" Target="http://www.nevo.co.il/case/23626987" TargetMode="External"/><Relationship Id="rId32" Type="http://schemas.openxmlformats.org/officeDocument/2006/relationships/hyperlink" Target="http://www.nevo.co.il/case/27915710"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499246" TargetMode="External"/><Relationship Id="rId23" Type="http://schemas.openxmlformats.org/officeDocument/2006/relationships/hyperlink" Target="http://www.nevo.co.il/case/25638381" TargetMode="External"/><Relationship Id="rId28" Type="http://schemas.openxmlformats.org/officeDocument/2006/relationships/hyperlink" Target="http://www.nevo.co.il/case/20490487"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5878682" TargetMode="External"/><Relationship Id="rId31" Type="http://schemas.openxmlformats.org/officeDocument/2006/relationships/hyperlink" Target="http://www.nevo.co.il/case/20334652"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6931111" TargetMode="External"/><Relationship Id="rId22" Type="http://schemas.openxmlformats.org/officeDocument/2006/relationships/hyperlink" Target="http://www.nevo.co.il/case/21474168" TargetMode="External"/><Relationship Id="rId27" Type="http://schemas.openxmlformats.org/officeDocument/2006/relationships/hyperlink" Target="http://www.nevo.co.il/case/21966952" TargetMode="External"/><Relationship Id="rId30" Type="http://schemas.openxmlformats.org/officeDocument/2006/relationships/hyperlink" Target="http://www.nevo.co.il/case/23169485"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case/25612982" TargetMode="External"/><Relationship Id="rId17" Type="http://schemas.openxmlformats.org/officeDocument/2006/relationships/hyperlink" Target="http://www.nevo.co.il/case/27087184" TargetMode="External"/><Relationship Id="rId25" Type="http://schemas.openxmlformats.org/officeDocument/2006/relationships/hyperlink" Target="http://www.nevo.co.il/case/10524213" TargetMode="External"/><Relationship Id="rId33" Type="http://schemas.openxmlformats.org/officeDocument/2006/relationships/hyperlink" Target="http://www.nevo.co.il/case/25824863"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3635</Words>
  <Characters>18175</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21767</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3342462</vt:i4>
      </vt:variant>
      <vt:variant>
        <vt:i4>84</vt:i4>
      </vt:variant>
      <vt:variant>
        <vt:i4>0</vt:i4>
      </vt:variant>
      <vt:variant>
        <vt:i4>5</vt:i4>
      </vt:variant>
      <vt:variant>
        <vt:lpwstr>http://www.nevo.co.il/case/25063920</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4128885</vt:i4>
      </vt:variant>
      <vt:variant>
        <vt:i4>78</vt:i4>
      </vt:variant>
      <vt:variant>
        <vt:i4>0</vt:i4>
      </vt:variant>
      <vt:variant>
        <vt:i4>5</vt:i4>
      </vt:variant>
      <vt:variant>
        <vt:lpwstr>http://www.nevo.co.il/case/27915710</vt:lpwstr>
      </vt:variant>
      <vt:variant>
        <vt:lpwstr/>
      </vt:variant>
      <vt:variant>
        <vt:i4>3145841</vt:i4>
      </vt:variant>
      <vt:variant>
        <vt:i4>75</vt:i4>
      </vt:variant>
      <vt:variant>
        <vt:i4>0</vt:i4>
      </vt:variant>
      <vt:variant>
        <vt:i4>5</vt:i4>
      </vt:variant>
      <vt:variant>
        <vt:lpwstr>http://www.nevo.co.il/case/20334652</vt:lpwstr>
      </vt:variant>
      <vt:variant>
        <vt:lpwstr/>
      </vt:variant>
      <vt:variant>
        <vt:i4>3276917</vt:i4>
      </vt:variant>
      <vt:variant>
        <vt:i4>72</vt:i4>
      </vt:variant>
      <vt:variant>
        <vt:i4>0</vt:i4>
      </vt:variant>
      <vt:variant>
        <vt:i4>5</vt:i4>
      </vt:variant>
      <vt:variant>
        <vt:lpwstr>http://www.nevo.co.il/case/23169485</vt:lpwstr>
      </vt:variant>
      <vt:variant>
        <vt:lpwstr/>
      </vt:variant>
      <vt:variant>
        <vt:i4>3473525</vt:i4>
      </vt:variant>
      <vt:variant>
        <vt:i4>69</vt:i4>
      </vt:variant>
      <vt:variant>
        <vt:i4>0</vt:i4>
      </vt:variant>
      <vt:variant>
        <vt:i4>5</vt:i4>
      </vt:variant>
      <vt:variant>
        <vt:lpwstr>http://www.nevo.co.il/case/7878510</vt:lpwstr>
      </vt:variant>
      <vt:variant>
        <vt:lpwstr/>
      </vt:variant>
      <vt:variant>
        <vt:i4>4063353</vt:i4>
      </vt:variant>
      <vt:variant>
        <vt:i4>66</vt:i4>
      </vt:variant>
      <vt:variant>
        <vt:i4>0</vt:i4>
      </vt:variant>
      <vt:variant>
        <vt:i4>5</vt:i4>
      </vt:variant>
      <vt:variant>
        <vt:lpwstr>http://www.nevo.co.il/case/20490487</vt:lpwstr>
      </vt:variant>
      <vt:variant>
        <vt:lpwstr/>
      </vt:variant>
      <vt:variant>
        <vt:i4>3670138</vt:i4>
      </vt:variant>
      <vt:variant>
        <vt:i4>63</vt:i4>
      </vt:variant>
      <vt:variant>
        <vt:i4>0</vt:i4>
      </vt:variant>
      <vt:variant>
        <vt:i4>5</vt:i4>
      </vt:variant>
      <vt:variant>
        <vt:lpwstr>http://www.nevo.co.il/case/21966952</vt:lpwstr>
      </vt:variant>
      <vt:variant>
        <vt:lpwstr/>
      </vt:variant>
      <vt:variant>
        <vt:i4>4063348</vt:i4>
      </vt:variant>
      <vt:variant>
        <vt:i4>60</vt:i4>
      </vt:variant>
      <vt:variant>
        <vt:i4>0</vt:i4>
      </vt:variant>
      <vt:variant>
        <vt:i4>5</vt:i4>
      </vt:variant>
      <vt:variant>
        <vt:lpwstr>http://www.nevo.co.il/case/17954222</vt:lpwstr>
      </vt:variant>
      <vt:variant>
        <vt:lpwstr/>
      </vt:variant>
      <vt:variant>
        <vt:i4>3211380</vt:i4>
      </vt:variant>
      <vt:variant>
        <vt:i4>57</vt:i4>
      </vt:variant>
      <vt:variant>
        <vt:i4>0</vt:i4>
      </vt:variant>
      <vt:variant>
        <vt:i4>5</vt:i4>
      </vt:variant>
      <vt:variant>
        <vt:lpwstr>http://www.nevo.co.il/case/10524213</vt:lpwstr>
      </vt:variant>
      <vt:variant>
        <vt:lpwstr/>
      </vt:variant>
      <vt:variant>
        <vt:i4>3801212</vt:i4>
      </vt:variant>
      <vt:variant>
        <vt:i4>54</vt:i4>
      </vt:variant>
      <vt:variant>
        <vt:i4>0</vt:i4>
      </vt:variant>
      <vt:variant>
        <vt:i4>5</vt:i4>
      </vt:variant>
      <vt:variant>
        <vt:lpwstr>http://www.nevo.co.il/case/23626987</vt:lpwstr>
      </vt:variant>
      <vt:variant>
        <vt:lpwstr/>
      </vt:variant>
      <vt:variant>
        <vt:i4>3407985</vt:i4>
      </vt:variant>
      <vt:variant>
        <vt:i4>51</vt:i4>
      </vt:variant>
      <vt:variant>
        <vt:i4>0</vt:i4>
      </vt:variant>
      <vt:variant>
        <vt:i4>5</vt:i4>
      </vt:variant>
      <vt:variant>
        <vt:lpwstr>http://www.nevo.co.il/case/25638381</vt:lpwstr>
      </vt:variant>
      <vt:variant>
        <vt:lpwstr/>
      </vt:variant>
      <vt:variant>
        <vt:i4>3407987</vt:i4>
      </vt:variant>
      <vt:variant>
        <vt:i4>48</vt:i4>
      </vt:variant>
      <vt:variant>
        <vt:i4>0</vt:i4>
      </vt:variant>
      <vt:variant>
        <vt:i4>5</vt:i4>
      </vt:variant>
      <vt:variant>
        <vt:lpwstr>http://www.nevo.co.il/case/21474168</vt:lpwstr>
      </vt:variant>
      <vt:variant>
        <vt:lpwstr/>
      </vt:variant>
      <vt:variant>
        <vt:i4>3670132</vt:i4>
      </vt:variant>
      <vt:variant>
        <vt:i4>45</vt:i4>
      </vt:variant>
      <vt:variant>
        <vt:i4>0</vt:i4>
      </vt:variant>
      <vt:variant>
        <vt:i4>5</vt:i4>
      </vt:variant>
      <vt:variant>
        <vt:lpwstr>http://www.nevo.co.il/case/27609756</vt:lpwstr>
      </vt:variant>
      <vt:variant>
        <vt:lpwstr/>
      </vt:variant>
      <vt:variant>
        <vt:i4>3211384</vt:i4>
      </vt:variant>
      <vt:variant>
        <vt:i4>42</vt:i4>
      </vt:variant>
      <vt:variant>
        <vt:i4>0</vt:i4>
      </vt:variant>
      <vt:variant>
        <vt:i4>5</vt:i4>
      </vt:variant>
      <vt:variant>
        <vt:lpwstr>http://www.nevo.co.il/case/26623868</vt:lpwstr>
      </vt:variant>
      <vt:variant>
        <vt:lpwstr/>
      </vt:variant>
      <vt:variant>
        <vt:i4>3539068</vt:i4>
      </vt:variant>
      <vt:variant>
        <vt:i4>39</vt:i4>
      </vt:variant>
      <vt:variant>
        <vt:i4>0</vt:i4>
      </vt:variant>
      <vt:variant>
        <vt:i4>5</vt:i4>
      </vt:variant>
      <vt:variant>
        <vt:lpwstr>http://www.nevo.co.il/case/5878682</vt:lpwstr>
      </vt:variant>
      <vt:variant>
        <vt:lpwstr/>
      </vt:variant>
      <vt:variant>
        <vt:i4>3145853</vt:i4>
      </vt:variant>
      <vt:variant>
        <vt:i4>36</vt:i4>
      </vt:variant>
      <vt:variant>
        <vt:i4>0</vt:i4>
      </vt:variant>
      <vt:variant>
        <vt:i4>5</vt:i4>
      </vt:variant>
      <vt:variant>
        <vt:lpwstr>http://www.nevo.co.il/case/6949290</vt:lpwstr>
      </vt:variant>
      <vt:variant>
        <vt:lpwstr/>
      </vt:variant>
      <vt:variant>
        <vt:i4>3997818</vt:i4>
      </vt:variant>
      <vt:variant>
        <vt:i4>33</vt:i4>
      </vt:variant>
      <vt:variant>
        <vt:i4>0</vt:i4>
      </vt:variant>
      <vt:variant>
        <vt:i4>5</vt:i4>
      </vt:variant>
      <vt:variant>
        <vt:lpwstr>http://www.nevo.co.il/case/27087184</vt:lpwstr>
      </vt:variant>
      <vt:variant>
        <vt:lpwstr/>
      </vt:variant>
      <vt:variant>
        <vt:i4>3604596</vt:i4>
      </vt:variant>
      <vt:variant>
        <vt:i4>30</vt:i4>
      </vt:variant>
      <vt:variant>
        <vt:i4>0</vt:i4>
      </vt:variant>
      <vt:variant>
        <vt:i4>5</vt:i4>
      </vt:variant>
      <vt:variant>
        <vt:lpwstr>http://www.nevo.co.il/case/27502726</vt:lpwstr>
      </vt:variant>
      <vt:variant>
        <vt:lpwstr/>
      </vt:variant>
      <vt:variant>
        <vt:i4>3866744</vt:i4>
      </vt:variant>
      <vt:variant>
        <vt:i4>27</vt:i4>
      </vt:variant>
      <vt:variant>
        <vt:i4>0</vt:i4>
      </vt:variant>
      <vt:variant>
        <vt:i4>5</vt:i4>
      </vt:variant>
      <vt:variant>
        <vt:lpwstr>http://www.nevo.co.il/case/27499246</vt:lpwstr>
      </vt:variant>
      <vt:variant>
        <vt:lpwstr/>
      </vt:variant>
      <vt:variant>
        <vt:i4>3866736</vt:i4>
      </vt:variant>
      <vt:variant>
        <vt:i4>24</vt:i4>
      </vt:variant>
      <vt:variant>
        <vt:i4>0</vt:i4>
      </vt:variant>
      <vt:variant>
        <vt:i4>5</vt:i4>
      </vt:variant>
      <vt:variant>
        <vt:lpwstr>http://www.nevo.co.il/case/26931111</vt:lpwstr>
      </vt:variant>
      <vt:variant>
        <vt:lpwstr/>
      </vt:variant>
      <vt:variant>
        <vt:i4>3407987</vt:i4>
      </vt:variant>
      <vt:variant>
        <vt:i4>21</vt:i4>
      </vt:variant>
      <vt:variant>
        <vt:i4>0</vt:i4>
      </vt:variant>
      <vt:variant>
        <vt:i4>5</vt:i4>
      </vt:variant>
      <vt:variant>
        <vt:lpwstr>http://www.nevo.co.il/case/24263578</vt:lpwstr>
      </vt:variant>
      <vt:variant>
        <vt:lpwstr/>
      </vt:variant>
      <vt:variant>
        <vt:i4>4063353</vt:i4>
      </vt:variant>
      <vt:variant>
        <vt:i4>18</vt:i4>
      </vt:variant>
      <vt:variant>
        <vt:i4>0</vt:i4>
      </vt:variant>
      <vt:variant>
        <vt:i4>5</vt:i4>
      </vt:variant>
      <vt:variant>
        <vt:lpwstr>http://www.nevo.co.il/case/25612982</vt:lpwstr>
      </vt:variant>
      <vt:variant>
        <vt:lpwstr/>
      </vt:variant>
      <vt:variant>
        <vt:i4>3670139</vt:i4>
      </vt:variant>
      <vt:variant>
        <vt:i4>15</vt:i4>
      </vt:variant>
      <vt:variant>
        <vt:i4>0</vt:i4>
      </vt:variant>
      <vt:variant>
        <vt:i4>5</vt:i4>
      </vt:variant>
      <vt:variant>
        <vt:lpwstr>http://www.nevo.co.il/case/25824863</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2025-04-25T10:47:00Z</dcterms:created>
  <dcterms:modified xsi:type="dcterms:W3CDTF">2025-04-25T10:47:00Z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68763</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אשגרה צ'אנה;וויסיהון אלמה;שלמה צ'אנה</vt:lpwstr>
  </property>
  <property fmtid="{D5CDD505-2E9C-101B-9397-08002B2CF9AE}" pid="10" name="LAWYER">
    <vt:lpwstr>פורר</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20220201</vt:lpwstr>
  </property>
  <property fmtid="{D5CDD505-2E9C-101B-9397-08002B2CF9AE}" pid="14" name="TYPE_N_DATE">
    <vt:lpwstr>39020220201</vt:lpwstr>
  </property>
  <property fmtid="{D5CDD505-2E9C-101B-9397-08002B2CF9AE}" pid="15" name="WORDNUMPAGES">
    <vt:lpwstr>12</vt:lpwstr>
  </property>
  <property fmtid="{D5CDD505-2E9C-101B-9397-08002B2CF9AE}" pid="16" name="TYPE_ABS_DATE">
    <vt:lpwstr>390020220201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25824863:2;25612982;24263578;26931111;27499246;27502726;27087184;6949290;5878682;26623868;27609756;21474168;25638381;23626987;10524213;17954222;21966952;20490487;7878510;23169485;20334652;27915710;25063920</vt:lpwstr>
  </property>
  <property fmtid="{D5CDD505-2E9C-101B-9397-08002B2CF9AE}" pid="36" name="LAWLISTTMP1">
    <vt:lpwstr>70301/144.b</vt:lpwstr>
  </property>
</Properties>
</file>