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52928" w:rsidRPr="003E08BC" w14:paraId="6E6FC6C5" w14:textId="77777777" w:rsidTr="00DF5928">
        <w:trPr>
          <w:trHeight w:hRule="exact" w:val="418"/>
          <w:jc w:val="center"/>
        </w:trPr>
        <w:tc>
          <w:tcPr>
            <w:tcW w:w="8721" w:type="dxa"/>
            <w:gridSpan w:val="2"/>
          </w:tcPr>
          <w:p w14:paraId="2920E7F7" w14:textId="77777777" w:rsidR="00852928" w:rsidRPr="003E08BC" w:rsidRDefault="00852928" w:rsidP="000B7C10">
            <w:pPr>
              <w:pStyle w:val="a3"/>
              <w:jc w:val="center"/>
              <w:rPr>
                <w:rFonts w:ascii="Tahoma" w:hAnsi="Tahoma" w:cs="Tahoma"/>
                <w:color w:val="000080"/>
                <w:rtl/>
              </w:rPr>
            </w:pPr>
            <w:bookmarkStart w:id="0" w:name="LastJudge"/>
            <w:r w:rsidRPr="003E08BC">
              <w:rPr>
                <w:rFonts w:ascii="Tahoma" w:hAnsi="Tahoma" w:cs="Tahoma"/>
                <w:b/>
                <w:bCs/>
                <w:color w:val="000080"/>
                <w:rtl/>
              </w:rPr>
              <w:t>בית המשפט המחוזי בחיפה</w:t>
            </w:r>
          </w:p>
        </w:tc>
      </w:tr>
      <w:tr w:rsidR="00852928" w:rsidRPr="003E08BC" w14:paraId="0C026ED2" w14:textId="77777777" w:rsidTr="00DF5928">
        <w:trPr>
          <w:trHeight w:val="337"/>
          <w:jc w:val="center"/>
        </w:trPr>
        <w:tc>
          <w:tcPr>
            <w:tcW w:w="5060" w:type="dxa"/>
          </w:tcPr>
          <w:p w14:paraId="51295DD0" w14:textId="77777777" w:rsidR="00852928" w:rsidRPr="003E08BC" w:rsidRDefault="00852928" w:rsidP="000B7C10">
            <w:pPr>
              <w:rPr>
                <w:rFonts w:cs="FrankRuehl"/>
                <w:sz w:val="28"/>
                <w:szCs w:val="28"/>
                <w:rtl/>
              </w:rPr>
            </w:pPr>
            <w:r w:rsidRPr="003E08BC">
              <w:rPr>
                <w:rFonts w:cs="FrankRuehl"/>
                <w:sz w:val="28"/>
                <w:szCs w:val="28"/>
                <w:rtl/>
              </w:rPr>
              <w:t>ת"פ</w:t>
            </w:r>
            <w:r w:rsidRPr="003E08BC">
              <w:rPr>
                <w:rFonts w:cs="FrankRuehl" w:hint="cs"/>
                <w:sz w:val="28"/>
                <w:szCs w:val="28"/>
                <w:rtl/>
              </w:rPr>
              <w:t xml:space="preserve"> </w:t>
            </w:r>
            <w:r w:rsidRPr="003E08BC">
              <w:rPr>
                <w:rFonts w:cs="FrankRuehl"/>
                <w:sz w:val="28"/>
                <w:szCs w:val="28"/>
                <w:rtl/>
              </w:rPr>
              <w:t>12520-08-20</w:t>
            </w:r>
            <w:r w:rsidRPr="003E08BC">
              <w:rPr>
                <w:rFonts w:cs="FrankRuehl" w:hint="cs"/>
                <w:sz w:val="28"/>
                <w:szCs w:val="28"/>
                <w:rtl/>
              </w:rPr>
              <w:t xml:space="preserve"> </w:t>
            </w:r>
            <w:r w:rsidRPr="003E08BC">
              <w:rPr>
                <w:rFonts w:cs="FrankRuehl"/>
                <w:sz w:val="28"/>
                <w:szCs w:val="28"/>
                <w:rtl/>
              </w:rPr>
              <w:t>מדינת ישראל נ' חסארמה(עציר)</w:t>
            </w:r>
          </w:p>
          <w:p w14:paraId="3B00E448" w14:textId="77777777" w:rsidR="00852928" w:rsidRPr="003E08BC" w:rsidRDefault="00852928" w:rsidP="000B7C10">
            <w:pPr>
              <w:pStyle w:val="a3"/>
              <w:rPr>
                <w:rFonts w:cs="FrankRuehl"/>
                <w:sz w:val="28"/>
                <w:szCs w:val="28"/>
                <w:rtl/>
              </w:rPr>
            </w:pPr>
          </w:p>
        </w:tc>
        <w:tc>
          <w:tcPr>
            <w:tcW w:w="3661" w:type="dxa"/>
          </w:tcPr>
          <w:p w14:paraId="2C427154" w14:textId="77777777" w:rsidR="00852928" w:rsidRPr="003E08BC" w:rsidRDefault="00852928" w:rsidP="000B7C10">
            <w:pPr>
              <w:pStyle w:val="a3"/>
              <w:jc w:val="right"/>
              <w:rPr>
                <w:rFonts w:cs="FrankRuehl"/>
                <w:sz w:val="28"/>
                <w:szCs w:val="28"/>
                <w:rtl/>
              </w:rPr>
            </w:pPr>
          </w:p>
        </w:tc>
      </w:tr>
    </w:tbl>
    <w:p w14:paraId="546236D2" w14:textId="77777777" w:rsidR="00852928" w:rsidRPr="003E08BC" w:rsidRDefault="00852928" w:rsidP="00852928">
      <w:pPr>
        <w:pStyle w:val="a3"/>
        <w:rPr>
          <w:rtl/>
        </w:rPr>
      </w:pPr>
      <w:r w:rsidRPr="003E08BC">
        <w:rPr>
          <w:rFonts w:hint="cs"/>
          <w:rtl/>
        </w:rPr>
        <w:t xml:space="preserve"> </w:t>
      </w:r>
    </w:p>
    <w:p w14:paraId="56DDE989" w14:textId="77777777" w:rsidR="00852928" w:rsidRPr="003E08BC" w:rsidRDefault="00852928" w:rsidP="00852928">
      <w:pPr>
        <w:jc w:val="both"/>
        <w:rPr>
          <w:rtl/>
        </w:rPr>
      </w:pPr>
    </w:p>
    <w:p w14:paraId="1A54FF0B" w14:textId="77777777" w:rsidR="00852928" w:rsidRPr="003E08BC" w:rsidRDefault="00852928" w:rsidP="00852928">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52928" w:rsidRPr="003E08BC" w14:paraId="389D3DE0" w14:textId="77777777" w:rsidTr="00852928">
        <w:trPr>
          <w:trHeight w:val="295"/>
          <w:jc w:val="center"/>
        </w:trPr>
        <w:tc>
          <w:tcPr>
            <w:tcW w:w="945" w:type="dxa"/>
            <w:tcBorders>
              <w:top w:val="nil"/>
              <w:left w:val="nil"/>
              <w:bottom w:val="nil"/>
              <w:right w:val="nil"/>
            </w:tcBorders>
            <w:shd w:val="clear" w:color="auto" w:fill="auto"/>
          </w:tcPr>
          <w:p w14:paraId="49C90D68" w14:textId="77777777" w:rsidR="00852928" w:rsidRPr="003E08BC" w:rsidRDefault="00852928" w:rsidP="00852928">
            <w:pPr>
              <w:jc w:val="both"/>
              <w:rPr>
                <w:rFonts w:ascii="David" w:hAnsi="David"/>
                <w:b/>
                <w:bCs/>
                <w:sz w:val="28"/>
                <w:szCs w:val="28"/>
              </w:rPr>
            </w:pPr>
            <w:r w:rsidRPr="003E08BC">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41142267" w14:textId="77777777" w:rsidR="00852928" w:rsidRPr="003E08BC" w:rsidRDefault="00852928" w:rsidP="00852928">
            <w:pPr>
              <w:jc w:val="both"/>
              <w:rPr>
                <w:rFonts w:ascii="David" w:hAnsi="David"/>
                <w:b/>
                <w:bCs/>
                <w:sz w:val="28"/>
                <w:szCs w:val="28"/>
                <w:rtl/>
              </w:rPr>
            </w:pPr>
            <w:r w:rsidRPr="003E08BC">
              <w:rPr>
                <w:rFonts w:ascii="David" w:hAnsi="David"/>
                <w:b/>
                <w:bCs/>
                <w:sz w:val="28"/>
                <w:szCs w:val="28"/>
                <w:rtl/>
              </w:rPr>
              <w:t>כבוד השופטת  רונית בש</w:t>
            </w:r>
          </w:p>
          <w:p w14:paraId="3C78982B" w14:textId="77777777" w:rsidR="00852928" w:rsidRPr="003E08BC" w:rsidRDefault="00852928" w:rsidP="00852928">
            <w:pPr>
              <w:jc w:val="both"/>
              <w:rPr>
                <w:rFonts w:ascii="David" w:hAnsi="David"/>
                <w:b/>
                <w:bCs/>
                <w:sz w:val="28"/>
                <w:szCs w:val="28"/>
                <w:rtl/>
              </w:rPr>
            </w:pPr>
          </w:p>
          <w:p w14:paraId="79727FC9" w14:textId="77777777" w:rsidR="00852928" w:rsidRPr="003E08BC" w:rsidRDefault="00852928" w:rsidP="00852928">
            <w:pPr>
              <w:jc w:val="both"/>
              <w:rPr>
                <w:rFonts w:ascii="David" w:hAnsi="David"/>
                <w:b/>
                <w:bCs/>
                <w:sz w:val="28"/>
                <w:szCs w:val="28"/>
              </w:rPr>
            </w:pPr>
          </w:p>
        </w:tc>
      </w:tr>
      <w:tr w:rsidR="00852928" w:rsidRPr="003E08BC" w14:paraId="5CD7D31C" w14:textId="77777777" w:rsidTr="00852928">
        <w:trPr>
          <w:trHeight w:val="355"/>
          <w:jc w:val="center"/>
        </w:trPr>
        <w:tc>
          <w:tcPr>
            <w:tcW w:w="945" w:type="dxa"/>
            <w:tcBorders>
              <w:top w:val="nil"/>
              <w:left w:val="nil"/>
              <w:bottom w:val="nil"/>
              <w:right w:val="nil"/>
            </w:tcBorders>
            <w:shd w:val="clear" w:color="auto" w:fill="auto"/>
          </w:tcPr>
          <w:p w14:paraId="035B9DF5" w14:textId="77777777" w:rsidR="00852928" w:rsidRPr="003E08BC" w:rsidRDefault="00852928" w:rsidP="00852928">
            <w:pPr>
              <w:jc w:val="both"/>
              <w:rPr>
                <w:rFonts w:ascii="David" w:hAnsi="David"/>
                <w:b/>
                <w:bCs/>
                <w:sz w:val="28"/>
                <w:szCs w:val="28"/>
              </w:rPr>
            </w:pPr>
            <w:bookmarkStart w:id="1" w:name="FirstAppellant"/>
            <w:r w:rsidRPr="003E08BC">
              <w:rPr>
                <w:rFonts w:ascii="David" w:hAnsi="David"/>
                <w:b/>
                <w:bCs/>
                <w:sz w:val="28"/>
                <w:szCs w:val="28"/>
                <w:rtl/>
              </w:rPr>
              <w:t>בעניין:</w:t>
            </w:r>
          </w:p>
        </w:tc>
        <w:tc>
          <w:tcPr>
            <w:tcW w:w="4114" w:type="dxa"/>
            <w:tcBorders>
              <w:top w:val="nil"/>
              <w:left w:val="nil"/>
              <w:bottom w:val="nil"/>
              <w:right w:val="nil"/>
            </w:tcBorders>
            <w:shd w:val="clear" w:color="auto" w:fill="auto"/>
          </w:tcPr>
          <w:p w14:paraId="6CC782D6" w14:textId="77777777" w:rsidR="00852928" w:rsidRPr="003E08BC" w:rsidRDefault="00852928" w:rsidP="00852928">
            <w:pPr>
              <w:jc w:val="both"/>
              <w:rPr>
                <w:rFonts w:ascii="David" w:hAnsi="David"/>
                <w:b/>
                <w:bCs/>
                <w:sz w:val="28"/>
                <w:szCs w:val="28"/>
              </w:rPr>
            </w:pPr>
            <w:r w:rsidRPr="003E08BC">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3CF34CD8" w14:textId="77777777" w:rsidR="00852928" w:rsidRPr="003E08BC" w:rsidRDefault="00852928" w:rsidP="00852928">
            <w:pPr>
              <w:jc w:val="both"/>
              <w:rPr>
                <w:rFonts w:ascii="David" w:hAnsi="David"/>
                <w:b/>
                <w:bCs/>
                <w:sz w:val="28"/>
                <w:szCs w:val="28"/>
              </w:rPr>
            </w:pPr>
            <w:r w:rsidRPr="003E08BC">
              <w:rPr>
                <w:rFonts w:ascii="David" w:hAnsi="David"/>
                <w:b/>
                <w:bCs/>
                <w:sz w:val="28"/>
                <w:szCs w:val="28"/>
                <w:rtl/>
              </w:rPr>
              <w:t>המאשימה</w:t>
            </w:r>
          </w:p>
        </w:tc>
      </w:tr>
      <w:bookmarkEnd w:id="1"/>
      <w:tr w:rsidR="00852928" w:rsidRPr="003E08BC" w14:paraId="276357A4" w14:textId="77777777" w:rsidTr="00852928">
        <w:trPr>
          <w:trHeight w:val="355"/>
          <w:jc w:val="center"/>
        </w:trPr>
        <w:tc>
          <w:tcPr>
            <w:tcW w:w="945" w:type="dxa"/>
            <w:tcBorders>
              <w:top w:val="nil"/>
              <w:left w:val="nil"/>
              <w:bottom w:val="nil"/>
              <w:right w:val="nil"/>
            </w:tcBorders>
            <w:shd w:val="clear" w:color="auto" w:fill="auto"/>
          </w:tcPr>
          <w:p w14:paraId="5ECAAE70" w14:textId="77777777" w:rsidR="00852928" w:rsidRPr="003E08BC" w:rsidRDefault="00852928" w:rsidP="00852928">
            <w:pPr>
              <w:jc w:val="center"/>
              <w:rPr>
                <w:rFonts w:ascii="David" w:hAnsi="David"/>
                <w:b/>
                <w:bCs/>
                <w:sz w:val="28"/>
                <w:szCs w:val="28"/>
                <w:rtl/>
              </w:rPr>
            </w:pPr>
          </w:p>
        </w:tc>
        <w:tc>
          <w:tcPr>
            <w:tcW w:w="7875" w:type="dxa"/>
            <w:gridSpan w:val="2"/>
            <w:tcBorders>
              <w:top w:val="nil"/>
              <w:left w:val="nil"/>
              <w:bottom w:val="nil"/>
              <w:right w:val="nil"/>
            </w:tcBorders>
            <w:shd w:val="clear" w:color="auto" w:fill="auto"/>
          </w:tcPr>
          <w:p w14:paraId="2092F3A7" w14:textId="77777777" w:rsidR="00852928" w:rsidRPr="003E08BC" w:rsidRDefault="00852928" w:rsidP="00852928">
            <w:pPr>
              <w:jc w:val="center"/>
              <w:rPr>
                <w:rFonts w:ascii="David" w:hAnsi="David"/>
                <w:b/>
                <w:bCs/>
                <w:sz w:val="28"/>
                <w:szCs w:val="28"/>
                <w:rtl/>
              </w:rPr>
            </w:pPr>
          </w:p>
          <w:p w14:paraId="409A15E6" w14:textId="77777777" w:rsidR="00852928" w:rsidRPr="003E08BC" w:rsidRDefault="00852928" w:rsidP="00852928">
            <w:pPr>
              <w:jc w:val="center"/>
              <w:rPr>
                <w:rFonts w:ascii="David" w:hAnsi="David"/>
                <w:b/>
                <w:bCs/>
                <w:sz w:val="28"/>
                <w:szCs w:val="28"/>
                <w:rtl/>
              </w:rPr>
            </w:pPr>
            <w:r w:rsidRPr="003E08BC">
              <w:rPr>
                <w:rFonts w:ascii="David" w:hAnsi="David"/>
                <w:b/>
                <w:bCs/>
                <w:sz w:val="28"/>
                <w:szCs w:val="28"/>
                <w:rtl/>
              </w:rPr>
              <w:t>נגד</w:t>
            </w:r>
          </w:p>
          <w:p w14:paraId="7246F64A" w14:textId="77777777" w:rsidR="00852928" w:rsidRPr="003E08BC" w:rsidRDefault="00852928" w:rsidP="00852928">
            <w:pPr>
              <w:jc w:val="center"/>
              <w:rPr>
                <w:rFonts w:ascii="David" w:hAnsi="David"/>
                <w:b/>
                <w:bCs/>
                <w:sz w:val="28"/>
                <w:szCs w:val="28"/>
              </w:rPr>
            </w:pPr>
          </w:p>
        </w:tc>
      </w:tr>
      <w:tr w:rsidR="00852928" w:rsidRPr="003E08BC" w14:paraId="6410C00C" w14:textId="77777777" w:rsidTr="00852928">
        <w:trPr>
          <w:trHeight w:val="355"/>
          <w:jc w:val="center"/>
        </w:trPr>
        <w:tc>
          <w:tcPr>
            <w:tcW w:w="945" w:type="dxa"/>
            <w:tcBorders>
              <w:top w:val="nil"/>
              <w:left w:val="nil"/>
              <w:bottom w:val="nil"/>
              <w:right w:val="nil"/>
            </w:tcBorders>
            <w:shd w:val="clear" w:color="auto" w:fill="auto"/>
          </w:tcPr>
          <w:p w14:paraId="2925F1A4" w14:textId="77777777" w:rsidR="00852928" w:rsidRPr="003E08BC" w:rsidRDefault="00852928" w:rsidP="00852928">
            <w:pPr>
              <w:jc w:val="both"/>
              <w:rPr>
                <w:rFonts w:ascii="David" w:hAnsi="David"/>
                <w:b/>
                <w:bCs/>
                <w:sz w:val="28"/>
                <w:szCs w:val="28"/>
                <w:rtl/>
              </w:rPr>
            </w:pPr>
          </w:p>
        </w:tc>
        <w:tc>
          <w:tcPr>
            <w:tcW w:w="4114" w:type="dxa"/>
            <w:tcBorders>
              <w:top w:val="nil"/>
              <w:left w:val="nil"/>
              <w:bottom w:val="nil"/>
              <w:right w:val="nil"/>
            </w:tcBorders>
            <w:shd w:val="clear" w:color="auto" w:fill="auto"/>
          </w:tcPr>
          <w:p w14:paraId="2FB3E9DC" w14:textId="77777777" w:rsidR="00852928" w:rsidRPr="003E08BC" w:rsidRDefault="00852928" w:rsidP="00852928">
            <w:pPr>
              <w:jc w:val="both"/>
              <w:rPr>
                <w:rFonts w:ascii="David" w:hAnsi="David"/>
                <w:b/>
                <w:bCs/>
                <w:sz w:val="28"/>
                <w:szCs w:val="28"/>
                <w:rtl/>
              </w:rPr>
            </w:pPr>
            <w:r w:rsidRPr="003E08BC">
              <w:rPr>
                <w:rFonts w:ascii="David" w:hAnsi="David"/>
                <w:b/>
                <w:bCs/>
                <w:sz w:val="28"/>
                <w:szCs w:val="28"/>
                <w:rtl/>
              </w:rPr>
              <w:t>רזקאללה חסארמה (עציר)</w:t>
            </w:r>
          </w:p>
        </w:tc>
        <w:tc>
          <w:tcPr>
            <w:tcW w:w="3761" w:type="dxa"/>
            <w:tcBorders>
              <w:top w:val="nil"/>
              <w:left w:val="nil"/>
              <w:bottom w:val="nil"/>
              <w:right w:val="nil"/>
            </w:tcBorders>
            <w:shd w:val="clear" w:color="auto" w:fill="auto"/>
          </w:tcPr>
          <w:p w14:paraId="241F6920" w14:textId="77777777" w:rsidR="00852928" w:rsidRPr="003E08BC" w:rsidRDefault="00852928" w:rsidP="00852928">
            <w:pPr>
              <w:jc w:val="both"/>
              <w:rPr>
                <w:rFonts w:ascii="David" w:hAnsi="David"/>
                <w:b/>
                <w:bCs/>
                <w:sz w:val="28"/>
                <w:szCs w:val="28"/>
              </w:rPr>
            </w:pPr>
            <w:r w:rsidRPr="003E08BC">
              <w:rPr>
                <w:rFonts w:ascii="David" w:hAnsi="David"/>
                <w:b/>
                <w:bCs/>
                <w:sz w:val="28"/>
                <w:szCs w:val="28"/>
                <w:rtl/>
              </w:rPr>
              <w:t>הנאשם</w:t>
            </w:r>
          </w:p>
        </w:tc>
      </w:tr>
    </w:tbl>
    <w:p w14:paraId="71A47AE0" w14:textId="77777777" w:rsidR="00DF5928" w:rsidRDefault="00DF5928" w:rsidP="00852928">
      <w:pPr>
        <w:jc w:val="both"/>
        <w:rPr>
          <w:rtl/>
        </w:rPr>
      </w:pPr>
    </w:p>
    <w:p w14:paraId="4E0AE081" w14:textId="77777777" w:rsidR="00DF5928" w:rsidRPr="00DF5928" w:rsidRDefault="00DF5928" w:rsidP="00DF5928">
      <w:pPr>
        <w:spacing w:after="120" w:line="240" w:lineRule="exact"/>
        <w:ind w:left="283" w:hanging="283"/>
        <w:jc w:val="both"/>
        <w:rPr>
          <w:rFonts w:ascii="FrankRuehl" w:hAnsi="FrankRuehl" w:cs="FrankRuehl"/>
          <w:rtl/>
        </w:rPr>
      </w:pPr>
    </w:p>
    <w:p w14:paraId="12539BE5" w14:textId="77777777" w:rsidR="004325B6" w:rsidRDefault="004325B6" w:rsidP="004325B6">
      <w:pPr>
        <w:jc w:val="both"/>
        <w:rPr>
          <w:rFonts w:ascii="Arial" w:hAnsi="Arial"/>
          <w:rtl/>
        </w:rPr>
      </w:pPr>
      <w:bookmarkStart w:id="2" w:name="LawTable"/>
      <w:bookmarkEnd w:id="2"/>
    </w:p>
    <w:p w14:paraId="2C904A4D" w14:textId="77777777" w:rsidR="004325B6" w:rsidRPr="004325B6" w:rsidRDefault="004325B6" w:rsidP="004325B6">
      <w:pPr>
        <w:spacing w:before="120" w:after="120" w:line="240" w:lineRule="exact"/>
        <w:ind w:left="283" w:hanging="283"/>
        <w:jc w:val="both"/>
        <w:rPr>
          <w:rFonts w:ascii="FrankRuehl" w:hAnsi="FrankRuehl" w:cs="FrankRuehl"/>
          <w:rtl/>
        </w:rPr>
      </w:pPr>
    </w:p>
    <w:p w14:paraId="367F48F6" w14:textId="77777777" w:rsidR="004325B6" w:rsidRPr="004325B6" w:rsidRDefault="004325B6" w:rsidP="004325B6">
      <w:pPr>
        <w:spacing w:before="120" w:after="120" w:line="240" w:lineRule="exact"/>
        <w:ind w:left="283" w:hanging="283"/>
        <w:jc w:val="both"/>
        <w:rPr>
          <w:rFonts w:ascii="FrankRuehl" w:hAnsi="FrankRuehl" w:cs="FrankRuehl"/>
          <w:rtl/>
        </w:rPr>
      </w:pPr>
    </w:p>
    <w:p w14:paraId="4C1EC8CD" w14:textId="77777777" w:rsidR="004325B6" w:rsidRPr="004325B6" w:rsidRDefault="004325B6" w:rsidP="004325B6">
      <w:pPr>
        <w:spacing w:before="120" w:after="120" w:line="240" w:lineRule="exact"/>
        <w:ind w:left="283" w:hanging="283"/>
        <w:jc w:val="both"/>
        <w:rPr>
          <w:rFonts w:ascii="FrankRuehl" w:hAnsi="FrankRuehl" w:cs="FrankRuehl"/>
          <w:rtl/>
        </w:rPr>
      </w:pPr>
      <w:r w:rsidRPr="004325B6">
        <w:rPr>
          <w:rFonts w:ascii="FrankRuehl" w:hAnsi="FrankRuehl" w:cs="FrankRuehl"/>
          <w:rtl/>
        </w:rPr>
        <w:t xml:space="preserve">חקיקה שאוזכרה: </w:t>
      </w:r>
    </w:p>
    <w:p w14:paraId="540A4C98" w14:textId="77777777" w:rsidR="004325B6" w:rsidRPr="004325B6" w:rsidRDefault="004325B6" w:rsidP="004325B6">
      <w:pPr>
        <w:spacing w:before="120" w:after="120" w:line="240" w:lineRule="exact"/>
        <w:ind w:left="283" w:hanging="283"/>
        <w:jc w:val="both"/>
        <w:rPr>
          <w:rFonts w:ascii="FrankRuehl" w:hAnsi="FrankRuehl" w:cs="FrankRuehl"/>
          <w:rtl/>
        </w:rPr>
      </w:pPr>
      <w:hyperlink r:id="rId7" w:history="1">
        <w:r w:rsidRPr="004325B6">
          <w:rPr>
            <w:rFonts w:ascii="FrankRuehl" w:hAnsi="FrankRuehl" w:cs="FrankRuehl"/>
            <w:color w:val="0000FF"/>
            <w:rtl/>
          </w:rPr>
          <w:t>חוק העונשין, תשל"ז-1977</w:t>
        </w:r>
      </w:hyperlink>
      <w:r w:rsidRPr="004325B6">
        <w:rPr>
          <w:rFonts w:ascii="FrankRuehl" w:hAnsi="FrankRuehl" w:cs="FrankRuehl"/>
          <w:rtl/>
        </w:rPr>
        <w:t xml:space="preserve">: סע'  </w:t>
      </w:r>
      <w:hyperlink r:id="rId8" w:history="1">
        <w:r w:rsidRPr="004325B6">
          <w:rPr>
            <w:rFonts w:ascii="FrankRuehl" w:hAnsi="FrankRuehl" w:cs="FrankRuehl"/>
            <w:color w:val="0000FF"/>
            <w:rtl/>
          </w:rPr>
          <w:t>25</w:t>
        </w:r>
      </w:hyperlink>
      <w:r w:rsidRPr="004325B6">
        <w:rPr>
          <w:rFonts w:ascii="FrankRuehl" w:hAnsi="FrankRuehl" w:cs="FrankRuehl"/>
          <w:rtl/>
        </w:rPr>
        <w:t xml:space="preserve">, </w:t>
      </w:r>
      <w:hyperlink r:id="rId9" w:history="1">
        <w:r w:rsidRPr="004325B6">
          <w:rPr>
            <w:rFonts w:ascii="FrankRuehl" w:hAnsi="FrankRuehl" w:cs="FrankRuehl"/>
            <w:color w:val="0000FF"/>
            <w:rtl/>
          </w:rPr>
          <w:t>40ב</w:t>
        </w:r>
      </w:hyperlink>
      <w:r w:rsidRPr="004325B6">
        <w:rPr>
          <w:rFonts w:ascii="FrankRuehl" w:hAnsi="FrankRuehl" w:cs="FrankRuehl"/>
          <w:rtl/>
        </w:rPr>
        <w:t xml:space="preserve">, </w:t>
      </w:r>
      <w:hyperlink r:id="rId10" w:history="1">
        <w:r w:rsidRPr="004325B6">
          <w:rPr>
            <w:rFonts w:ascii="FrankRuehl" w:hAnsi="FrankRuehl" w:cs="FrankRuehl"/>
            <w:color w:val="0000FF"/>
            <w:rtl/>
          </w:rPr>
          <w:t>40ג</w:t>
        </w:r>
      </w:hyperlink>
      <w:r w:rsidRPr="004325B6">
        <w:rPr>
          <w:rFonts w:ascii="FrankRuehl" w:hAnsi="FrankRuehl" w:cs="FrankRuehl"/>
          <w:rtl/>
        </w:rPr>
        <w:t xml:space="preserve">, </w:t>
      </w:r>
      <w:hyperlink r:id="rId11" w:history="1">
        <w:r w:rsidRPr="004325B6">
          <w:rPr>
            <w:rFonts w:ascii="FrankRuehl" w:hAnsi="FrankRuehl" w:cs="FrankRuehl"/>
            <w:color w:val="0000FF"/>
            <w:rtl/>
          </w:rPr>
          <w:t>40ט</w:t>
        </w:r>
      </w:hyperlink>
      <w:r w:rsidRPr="004325B6">
        <w:rPr>
          <w:rFonts w:ascii="FrankRuehl" w:hAnsi="FrankRuehl" w:cs="FrankRuehl"/>
          <w:rtl/>
        </w:rPr>
        <w:t xml:space="preserve">, </w:t>
      </w:r>
      <w:hyperlink r:id="rId12" w:history="1">
        <w:r w:rsidRPr="004325B6">
          <w:rPr>
            <w:rFonts w:ascii="FrankRuehl" w:hAnsi="FrankRuehl" w:cs="FrankRuehl"/>
            <w:color w:val="0000FF"/>
            <w:rtl/>
          </w:rPr>
          <w:t>144</w:t>
        </w:r>
      </w:hyperlink>
      <w:r w:rsidRPr="004325B6">
        <w:rPr>
          <w:rFonts w:ascii="FrankRuehl" w:hAnsi="FrankRuehl" w:cs="FrankRuehl"/>
          <w:rtl/>
        </w:rPr>
        <w:t xml:space="preserve">, </w:t>
      </w:r>
      <w:hyperlink r:id="rId13" w:history="1">
        <w:r w:rsidRPr="004325B6">
          <w:rPr>
            <w:rFonts w:ascii="FrankRuehl" w:hAnsi="FrankRuehl" w:cs="FrankRuehl"/>
            <w:color w:val="0000FF"/>
            <w:rtl/>
          </w:rPr>
          <w:t>144.א.</w:t>
        </w:r>
      </w:hyperlink>
      <w:r w:rsidRPr="004325B6">
        <w:rPr>
          <w:rFonts w:ascii="FrankRuehl" w:hAnsi="FrankRuehl" w:cs="FrankRuehl"/>
          <w:rtl/>
        </w:rPr>
        <w:t xml:space="preserve">, </w:t>
      </w:r>
      <w:hyperlink r:id="rId14" w:history="1">
        <w:r w:rsidRPr="004325B6">
          <w:rPr>
            <w:rFonts w:ascii="FrankRuehl" w:hAnsi="FrankRuehl" w:cs="FrankRuehl"/>
            <w:color w:val="0000FF"/>
            <w:rtl/>
          </w:rPr>
          <w:t>144.ב</w:t>
        </w:r>
      </w:hyperlink>
      <w:r w:rsidRPr="004325B6">
        <w:rPr>
          <w:rFonts w:ascii="FrankRuehl" w:hAnsi="FrankRuehl" w:cs="FrankRuehl"/>
          <w:rtl/>
        </w:rPr>
        <w:t xml:space="preserve">, </w:t>
      </w:r>
      <w:hyperlink r:id="rId15" w:history="1">
        <w:r w:rsidRPr="004325B6">
          <w:rPr>
            <w:rFonts w:ascii="FrankRuehl" w:hAnsi="FrankRuehl" w:cs="FrankRuehl"/>
            <w:color w:val="0000FF"/>
            <w:rtl/>
          </w:rPr>
          <w:t>242</w:t>
        </w:r>
      </w:hyperlink>
      <w:r w:rsidRPr="004325B6">
        <w:rPr>
          <w:rFonts w:ascii="FrankRuehl" w:hAnsi="FrankRuehl" w:cs="FrankRuehl"/>
          <w:rtl/>
        </w:rPr>
        <w:t xml:space="preserve">, </w:t>
      </w:r>
      <w:hyperlink r:id="rId16" w:history="1">
        <w:r w:rsidRPr="004325B6">
          <w:rPr>
            <w:rFonts w:ascii="FrankRuehl" w:hAnsi="FrankRuehl" w:cs="FrankRuehl"/>
            <w:color w:val="0000FF"/>
            <w:rtl/>
          </w:rPr>
          <w:t>275</w:t>
        </w:r>
      </w:hyperlink>
      <w:r w:rsidRPr="004325B6">
        <w:rPr>
          <w:rFonts w:ascii="FrankRuehl" w:hAnsi="FrankRuehl" w:cs="FrankRuehl"/>
          <w:rtl/>
        </w:rPr>
        <w:t xml:space="preserve">, </w:t>
      </w:r>
      <w:hyperlink r:id="rId17" w:history="1">
        <w:r w:rsidRPr="004325B6">
          <w:rPr>
            <w:rFonts w:ascii="FrankRuehl" w:hAnsi="FrankRuehl" w:cs="FrankRuehl"/>
            <w:color w:val="0000FF"/>
            <w:rtl/>
          </w:rPr>
          <w:t>40יג(ב)</w:t>
        </w:r>
      </w:hyperlink>
    </w:p>
    <w:p w14:paraId="2A29412E" w14:textId="77777777" w:rsidR="004325B6" w:rsidRPr="004325B6" w:rsidRDefault="004325B6" w:rsidP="004325B6">
      <w:pPr>
        <w:spacing w:before="120" w:after="120" w:line="240" w:lineRule="exact"/>
        <w:ind w:left="283" w:hanging="283"/>
        <w:jc w:val="both"/>
        <w:rPr>
          <w:rFonts w:ascii="FrankRuehl" w:hAnsi="FrankRuehl" w:cs="FrankRuehl"/>
          <w:rtl/>
        </w:rPr>
      </w:pPr>
      <w:hyperlink r:id="rId18" w:history="1">
        <w:r w:rsidRPr="004325B6">
          <w:rPr>
            <w:rFonts w:ascii="FrankRuehl" w:hAnsi="FrankRuehl" w:cs="FrankRuehl"/>
            <w:color w:val="0000FF"/>
            <w:rtl/>
          </w:rPr>
          <w:t>פקודת סדר הדין הפלילי (מעצר וחיפוש) [נוסח חדש], תשכ"ט-1969</w:t>
        </w:r>
      </w:hyperlink>
      <w:r w:rsidRPr="004325B6">
        <w:rPr>
          <w:rFonts w:ascii="FrankRuehl" w:hAnsi="FrankRuehl" w:cs="FrankRuehl"/>
          <w:rtl/>
        </w:rPr>
        <w:t xml:space="preserve">: סע'  </w:t>
      </w:r>
      <w:hyperlink r:id="rId19" w:history="1">
        <w:r w:rsidRPr="004325B6">
          <w:rPr>
            <w:rFonts w:ascii="FrankRuehl" w:hAnsi="FrankRuehl" w:cs="FrankRuehl"/>
            <w:color w:val="0000FF"/>
            <w:rtl/>
          </w:rPr>
          <w:t>32</w:t>
        </w:r>
      </w:hyperlink>
      <w:r w:rsidRPr="004325B6">
        <w:rPr>
          <w:rFonts w:ascii="FrankRuehl" w:hAnsi="FrankRuehl" w:cs="FrankRuehl"/>
          <w:rtl/>
        </w:rPr>
        <w:t xml:space="preserve">, </w:t>
      </w:r>
      <w:hyperlink r:id="rId20" w:history="1">
        <w:r w:rsidRPr="004325B6">
          <w:rPr>
            <w:rFonts w:ascii="FrankRuehl" w:hAnsi="FrankRuehl" w:cs="FrankRuehl"/>
            <w:color w:val="0000FF"/>
            <w:rtl/>
          </w:rPr>
          <w:t>39</w:t>
        </w:r>
      </w:hyperlink>
    </w:p>
    <w:p w14:paraId="0BB65303" w14:textId="77777777" w:rsidR="004325B6" w:rsidRPr="004325B6" w:rsidRDefault="004325B6" w:rsidP="004325B6">
      <w:pPr>
        <w:jc w:val="both"/>
        <w:rPr>
          <w:rFonts w:ascii="Arial" w:hAnsi="Arial"/>
          <w:rtl/>
        </w:rPr>
      </w:pPr>
      <w:bookmarkStart w:id="3" w:name="LawTable_End"/>
      <w:bookmarkEnd w:id="3"/>
    </w:p>
    <w:p w14:paraId="6C9B50A3" w14:textId="77777777" w:rsidR="00852928" w:rsidRPr="003E08BC" w:rsidRDefault="00852928" w:rsidP="00852928">
      <w:pPr>
        <w:jc w:val="both"/>
        <w:rPr>
          <w:rFonts w:ascii="Arial" w:hAnsi="Arial"/>
          <w:rtl/>
        </w:rPr>
      </w:pP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2928" w14:paraId="0B8DBF9F" w14:textId="77777777" w:rsidTr="00852928">
        <w:trPr>
          <w:trHeight w:val="355"/>
        </w:trPr>
        <w:tc>
          <w:tcPr>
            <w:tcW w:w="8820" w:type="dxa"/>
            <w:tcBorders>
              <w:top w:val="nil"/>
              <w:left w:val="nil"/>
              <w:bottom w:val="nil"/>
              <w:right w:val="nil"/>
            </w:tcBorders>
            <w:shd w:val="clear" w:color="auto" w:fill="auto"/>
          </w:tcPr>
          <w:p w14:paraId="1D71600C" w14:textId="77777777" w:rsidR="003E08BC" w:rsidRPr="003E08BC" w:rsidRDefault="003E08BC" w:rsidP="003E08BC">
            <w:pPr>
              <w:jc w:val="center"/>
              <w:rPr>
                <w:rFonts w:ascii="Arial" w:hAnsi="Arial" w:cs="FrankRuehl"/>
                <w:b/>
                <w:bCs/>
                <w:sz w:val="32"/>
                <w:szCs w:val="32"/>
                <w:rtl/>
              </w:rPr>
            </w:pPr>
            <w:bookmarkStart w:id="4" w:name="PsakDin" w:colFirst="0" w:colLast="0"/>
            <w:bookmarkEnd w:id="0"/>
            <w:r w:rsidRPr="003E08BC">
              <w:rPr>
                <w:rFonts w:ascii="Arial" w:hAnsi="Arial" w:cs="FrankRuehl"/>
                <w:b/>
                <w:bCs/>
                <w:sz w:val="32"/>
                <w:szCs w:val="32"/>
                <w:rtl/>
              </w:rPr>
              <w:t>גזר דין</w:t>
            </w:r>
          </w:p>
          <w:p w14:paraId="217E7651" w14:textId="77777777" w:rsidR="00852928" w:rsidRPr="003E08BC" w:rsidRDefault="00852928" w:rsidP="003E08BC">
            <w:pPr>
              <w:jc w:val="center"/>
              <w:rPr>
                <w:rFonts w:ascii="Arial" w:hAnsi="Arial" w:cs="FrankRuehl"/>
                <w:bCs/>
                <w:sz w:val="32"/>
                <w:szCs w:val="32"/>
                <w:u w:val="single"/>
                <w:rtl/>
              </w:rPr>
            </w:pPr>
          </w:p>
        </w:tc>
      </w:tr>
      <w:bookmarkEnd w:id="4"/>
    </w:tbl>
    <w:p w14:paraId="57FCE118" w14:textId="77777777" w:rsidR="00852928" w:rsidRPr="00B05847" w:rsidRDefault="00852928" w:rsidP="00852928">
      <w:pPr>
        <w:jc w:val="both"/>
        <w:rPr>
          <w:rFonts w:ascii="Arial" w:hAnsi="Arial"/>
          <w:rtl/>
        </w:rPr>
      </w:pPr>
    </w:p>
    <w:p w14:paraId="1B54479D" w14:textId="77777777" w:rsidR="00852928" w:rsidRPr="00B05847" w:rsidRDefault="00852928" w:rsidP="00852928">
      <w:pPr>
        <w:jc w:val="both"/>
        <w:rPr>
          <w:rtl/>
        </w:rPr>
      </w:pPr>
    </w:p>
    <w:p w14:paraId="0B4C091C" w14:textId="77777777" w:rsidR="00852928" w:rsidRDefault="00852928" w:rsidP="00852928">
      <w:pPr>
        <w:spacing w:line="360" w:lineRule="auto"/>
        <w:jc w:val="both"/>
        <w:rPr>
          <w:rtl/>
        </w:rPr>
      </w:pPr>
      <w:r>
        <w:rPr>
          <w:rFonts w:hint="cs"/>
          <w:rtl/>
        </w:rPr>
        <w:t>1.</w:t>
      </w:r>
      <w:bookmarkStart w:id="5" w:name="ABSTRACT_START"/>
      <w:bookmarkEnd w:id="5"/>
      <w:r>
        <w:rPr>
          <w:rtl/>
        </w:rPr>
        <w:tab/>
      </w:r>
      <w:r>
        <w:rPr>
          <w:rFonts w:hint="cs"/>
          <w:rtl/>
        </w:rPr>
        <w:t xml:space="preserve">הנאשם הורשע ביום 7/2/21, על יסוד הודאתו במסגרת הסדר טיעון, בעובדות כתב אישום מתוקן בביצוע עבירות בנשק (החזקה, נשיאה והובלה), עבירה לפי סעיף </w:t>
      </w:r>
      <w:hyperlink r:id="rId21" w:history="1">
        <w:r w:rsidR="00DF5928" w:rsidRPr="00DF5928">
          <w:rPr>
            <w:rStyle w:val="Hyperlink"/>
            <w:rtl/>
          </w:rPr>
          <w:t>144(</w:t>
        </w:r>
        <w:r w:rsidR="00DF5928" w:rsidRPr="00DF5928">
          <w:rPr>
            <w:rStyle w:val="Hyperlink"/>
            <w:rtl/>
          </w:rPr>
          <w:t>א</w:t>
        </w:r>
        <w:r w:rsidR="00DF5928" w:rsidRPr="00DF5928">
          <w:rPr>
            <w:rStyle w:val="Hyperlink"/>
            <w:rtl/>
          </w:rPr>
          <w:t>) ו- (ב)</w:t>
        </w:r>
      </w:hyperlink>
      <w:r>
        <w:rPr>
          <w:rFonts w:hint="cs"/>
          <w:rtl/>
        </w:rPr>
        <w:t xml:space="preserve"> ל</w:t>
      </w:r>
      <w:hyperlink r:id="rId22" w:history="1">
        <w:r w:rsidR="003E08BC" w:rsidRPr="003E08BC">
          <w:rPr>
            <w:color w:val="0000FF"/>
            <w:u w:val="single"/>
            <w:rtl/>
          </w:rPr>
          <w:t>חוק ה</w:t>
        </w:r>
        <w:r w:rsidR="003E08BC" w:rsidRPr="003E08BC">
          <w:rPr>
            <w:color w:val="0000FF"/>
            <w:u w:val="single"/>
            <w:rtl/>
          </w:rPr>
          <w:t>ע</w:t>
        </w:r>
        <w:r w:rsidR="003E08BC" w:rsidRPr="003E08BC">
          <w:rPr>
            <w:color w:val="0000FF"/>
            <w:u w:val="single"/>
            <w:rtl/>
          </w:rPr>
          <w:t>ונשין</w:t>
        </w:r>
      </w:hyperlink>
      <w:r>
        <w:rPr>
          <w:rFonts w:hint="cs"/>
          <w:rtl/>
        </w:rPr>
        <w:t xml:space="preserve">, התשל"ז- 1977 (להלן: </w:t>
      </w:r>
      <w:r w:rsidRPr="00095421">
        <w:rPr>
          <w:rFonts w:ascii="Miriam" w:hAnsi="Miriam" w:cs="Miriam"/>
          <w:rtl/>
        </w:rPr>
        <w:t>חוק העונשין</w:t>
      </w:r>
      <w:r>
        <w:rPr>
          <w:rFonts w:hint="cs"/>
          <w:rtl/>
        </w:rPr>
        <w:t xml:space="preserve">), בעבירה של הפרעה לשוטר בשעת מילוי תפקידו, עבירה לפי </w:t>
      </w:r>
      <w:hyperlink r:id="rId23" w:history="1">
        <w:r w:rsidR="00DF5928" w:rsidRPr="00DF5928">
          <w:rPr>
            <w:rStyle w:val="Hyperlink"/>
            <w:rFonts w:hint="eastAsia"/>
            <w:rtl/>
          </w:rPr>
          <w:t>סעיף</w:t>
        </w:r>
        <w:r w:rsidR="00DF5928" w:rsidRPr="00DF5928">
          <w:rPr>
            <w:rStyle w:val="Hyperlink"/>
            <w:rtl/>
          </w:rPr>
          <w:t xml:space="preserve"> 275</w:t>
        </w:r>
      </w:hyperlink>
      <w:r>
        <w:rPr>
          <w:rFonts w:hint="cs"/>
          <w:rtl/>
        </w:rPr>
        <w:t xml:space="preserve"> לחוק העונשין ובעבירה של ניסיון להשמדת ראיה, עבירה לפי </w:t>
      </w:r>
      <w:hyperlink r:id="rId24" w:history="1">
        <w:r w:rsidR="00DF5928" w:rsidRPr="00DF5928">
          <w:rPr>
            <w:rStyle w:val="Hyperlink"/>
            <w:rFonts w:hint="eastAsia"/>
            <w:rtl/>
          </w:rPr>
          <w:t>סעיף</w:t>
        </w:r>
        <w:r w:rsidR="00DF5928" w:rsidRPr="00DF5928">
          <w:rPr>
            <w:rStyle w:val="Hyperlink"/>
            <w:rtl/>
          </w:rPr>
          <w:t xml:space="preserve"> 242</w:t>
        </w:r>
      </w:hyperlink>
      <w:r>
        <w:rPr>
          <w:rFonts w:hint="cs"/>
          <w:rtl/>
        </w:rPr>
        <w:t xml:space="preserve"> בצירוף </w:t>
      </w:r>
      <w:hyperlink r:id="rId25" w:history="1">
        <w:r w:rsidR="00DF5928" w:rsidRPr="00DF5928">
          <w:rPr>
            <w:rStyle w:val="Hyperlink"/>
            <w:rFonts w:hint="eastAsia"/>
            <w:rtl/>
          </w:rPr>
          <w:t>סעיף</w:t>
        </w:r>
        <w:r w:rsidR="00DF5928" w:rsidRPr="00DF5928">
          <w:rPr>
            <w:rStyle w:val="Hyperlink"/>
            <w:rtl/>
          </w:rPr>
          <w:t xml:space="preserve"> 25</w:t>
        </w:r>
      </w:hyperlink>
      <w:r>
        <w:rPr>
          <w:rFonts w:hint="cs"/>
          <w:rtl/>
        </w:rPr>
        <w:t xml:space="preserve"> לחוק העונשין. כאן יוער ויובהר כי בדיון לפניי ביום 21/3/21 ביקש ב"כ המאשימה לתקן פליטת קולמוס שנפלה בעובדות כתב האישום המתוקן ולפיה אף שנמחקה עבירת האיומים מהוראות החיקוק נותר על כנו סעיף 12(ג) לעובדות המתייחס לביצוע עבירת האיומים. לאחר שנעתרתי לבקשת הצדדים לפיה הודאת הנאשם מתייחסת לעובדות כתב האישום המתוקן לאחר תיקון פליטת הקולמוס (מחיקת האמור בסעיף 12(ג) לעניין עבירת האיומים), הוגש בשנית ע"י המאשימה ביום 5/4/21 כתב האישום המתוקן ממנו נמחק (מפרק העובדות) אזכור עבירת האיומים.</w:t>
      </w:r>
    </w:p>
    <w:p w14:paraId="7F063E0D" w14:textId="77777777" w:rsidR="00852928" w:rsidRDefault="00852928" w:rsidP="00852928">
      <w:pPr>
        <w:spacing w:line="360" w:lineRule="auto"/>
        <w:jc w:val="both"/>
        <w:rPr>
          <w:rtl/>
        </w:rPr>
      </w:pPr>
      <w:bookmarkStart w:id="6" w:name="ABSTRACT_END"/>
      <w:bookmarkEnd w:id="6"/>
      <w:r>
        <w:rPr>
          <w:rtl/>
        </w:rPr>
        <w:t xml:space="preserve"> </w:t>
      </w:r>
    </w:p>
    <w:p w14:paraId="2D87727C" w14:textId="77777777" w:rsidR="00852928" w:rsidRPr="006E443D" w:rsidRDefault="00852928" w:rsidP="00852928">
      <w:pPr>
        <w:spacing w:line="360" w:lineRule="auto"/>
        <w:jc w:val="both"/>
        <w:rPr>
          <w:u w:val="single"/>
          <w:rtl/>
        </w:rPr>
      </w:pPr>
      <w:r w:rsidRPr="006E443D">
        <w:rPr>
          <w:rFonts w:ascii="Miriam" w:hAnsi="Miriam" w:cs="Miriam"/>
          <w:u w:val="single"/>
          <w:rtl/>
        </w:rPr>
        <w:t>כתב האישום המתוקן</w:t>
      </w:r>
      <w:r w:rsidRPr="006E443D">
        <w:rPr>
          <w:rFonts w:hint="cs"/>
          <w:u w:val="single"/>
          <w:rtl/>
        </w:rPr>
        <w:t xml:space="preserve"> (להלן: </w:t>
      </w:r>
      <w:r w:rsidRPr="006E443D">
        <w:rPr>
          <w:rFonts w:ascii="Miriam" w:hAnsi="Miriam" w:cs="Miriam"/>
          <w:u w:val="single"/>
          <w:rtl/>
        </w:rPr>
        <w:t>כתב האישום</w:t>
      </w:r>
      <w:r w:rsidRPr="006E443D">
        <w:rPr>
          <w:rFonts w:hint="cs"/>
          <w:u w:val="single"/>
          <w:rtl/>
        </w:rPr>
        <w:t>)</w:t>
      </w:r>
    </w:p>
    <w:p w14:paraId="403FB8F7" w14:textId="77777777" w:rsidR="00852928" w:rsidRDefault="00852928" w:rsidP="00852928">
      <w:pPr>
        <w:spacing w:line="360" w:lineRule="auto"/>
        <w:jc w:val="both"/>
        <w:rPr>
          <w:rtl/>
        </w:rPr>
      </w:pPr>
    </w:p>
    <w:p w14:paraId="67A7C53A" w14:textId="77777777" w:rsidR="00852928" w:rsidRDefault="00852928" w:rsidP="00852928">
      <w:pPr>
        <w:spacing w:line="360" w:lineRule="auto"/>
        <w:jc w:val="both"/>
        <w:rPr>
          <w:rtl/>
        </w:rPr>
      </w:pPr>
      <w:r>
        <w:rPr>
          <w:rFonts w:hint="cs"/>
          <w:rtl/>
        </w:rPr>
        <w:t>2.</w:t>
      </w:r>
      <w:r>
        <w:rPr>
          <w:rFonts w:hint="cs"/>
          <w:rtl/>
        </w:rPr>
        <w:tab/>
        <w:t xml:space="preserve">ביום 21/6/20, סמוך לשעה 19:00, נהג הנאשם ברכבו מסוג מזדה (להלן: </w:t>
      </w:r>
      <w:r w:rsidRPr="00095421">
        <w:rPr>
          <w:rFonts w:ascii="Miriam" w:hAnsi="Miriam" w:cs="Miriam"/>
          <w:rtl/>
        </w:rPr>
        <w:t>הרכב</w:t>
      </w:r>
      <w:r>
        <w:rPr>
          <w:rFonts w:hint="cs"/>
          <w:rtl/>
        </w:rPr>
        <w:t xml:space="preserve">) בכביש 804 לכיוון כפר ראס אל-עין כשהוא מחזיק, נושא ומוביל מטען חבלה מאולתר (להלן: </w:t>
      </w:r>
      <w:r w:rsidRPr="002651D9">
        <w:rPr>
          <w:rFonts w:ascii="Miriam" w:hAnsi="Miriam" w:cs="Miriam"/>
          <w:rtl/>
        </w:rPr>
        <w:t>המטען</w:t>
      </w:r>
      <w:r>
        <w:rPr>
          <w:rFonts w:hint="cs"/>
          <w:rtl/>
        </w:rPr>
        <w:t>), ללא רשות על פי דין. שני אחרים שזהותם אינה ידועה למאשימה, ישבו ברכב בו נהג הנאשם. המטען הוא נשק שסוגל להזיק לאדם.</w:t>
      </w:r>
    </w:p>
    <w:p w14:paraId="2A4638AF" w14:textId="77777777" w:rsidR="00852928" w:rsidRDefault="00852928" w:rsidP="00852928">
      <w:pPr>
        <w:spacing w:line="360" w:lineRule="auto"/>
        <w:jc w:val="both"/>
        <w:rPr>
          <w:rtl/>
        </w:rPr>
      </w:pPr>
      <w:r>
        <w:rPr>
          <w:rFonts w:hint="cs"/>
          <w:rtl/>
        </w:rPr>
        <w:t xml:space="preserve"> </w:t>
      </w:r>
    </w:p>
    <w:p w14:paraId="62F959A7" w14:textId="77777777" w:rsidR="00852928" w:rsidRDefault="00852928" w:rsidP="00852928">
      <w:pPr>
        <w:spacing w:line="360" w:lineRule="auto"/>
        <w:ind w:firstLine="720"/>
        <w:jc w:val="both"/>
        <w:rPr>
          <w:rtl/>
        </w:rPr>
      </w:pPr>
      <w:r>
        <w:rPr>
          <w:rFonts w:hint="cs"/>
          <w:rtl/>
        </w:rPr>
        <w:t xml:space="preserve">במקביל למתואר לעיל, במסגרת פעילות משטרתית שגרתית, נהגה השוטרת שני ניצן אלגלי (להלן: </w:t>
      </w:r>
      <w:r w:rsidRPr="002651D9">
        <w:rPr>
          <w:rFonts w:ascii="Miriam" w:hAnsi="Miriam" w:cs="Miriam"/>
          <w:rtl/>
        </w:rPr>
        <w:t>השוטרת שני</w:t>
      </w:r>
      <w:r>
        <w:rPr>
          <w:rFonts w:hint="cs"/>
          <w:rtl/>
        </w:rPr>
        <w:t>) ברכב משטרתי עת שהמתנדב יורם ברמן ישב לידה. במהלך הנסיעה, השוטרת שני והמתנדב יורם הבחינו ברכב כשהוא מבצע עבירת תנועה, ובעקבות כך, נסעו בעקבותיו תוך שהשוטרת שני כרזה לו לעצור. לאחר שהבחין הנאשם ברכב המשטרתי, הוא נכנס לתחנת הדלק והאיץ את מהירות נסיעתו במטרה להימלט מפני הרכב המשטרתי. בשלב זה, הפעילה השוטרת שני סירנה ואורות כחולים ואז קראה לנאשם, מספר פעמים, באמצעות מערכת הכריזה, לעצור את רכב המזדה.</w:t>
      </w:r>
    </w:p>
    <w:p w14:paraId="12F151D5" w14:textId="77777777" w:rsidR="00852928" w:rsidRDefault="00852928" w:rsidP="00852928">
      <w:pPr>
        <w:spacing w:line="360" w:lineRule="auto"/>
        <w:ind w:firstLine="720"/>
        <w:jc w:val="both"/>
        <w:rPr>
          <w:rtl/>
        </w:rPr>
      </w:pPr>
      <w:r>
        <w:rPr>
          <w:rFonts w:hint="cs"/>
          <w:rtl/>
        </w:rPr>
        <w:t>הנאשם לא נענה לקריאת השוטרת שני, יצא ממתחם תחנת הדלק, כאשר הרכב המשטרתי נוסע אחריו, והמשיך בהימלטות לכיוון כביש 85. במהלך הימלטות</w:t>
      </w:r>
      <w:r>
        <w:rPr>
          <w:rFonts w:hint="eastAsia"/>
          <w:rtl/>
        </w:rPr>
        <w:t>ו</w:t>
      </w:r>
      <w:r>
        <w:rPr>
          <w:rFonts w:hint="cs"/>
          <w:rtl/>
        </w:rPr>
        <w:t>, הנאשם עקף רכב שעמד בכביש ואז שקית ובתוכה המטען הושלכה לצד הדרך ע"י אחד מיושבי הרכב, מבעד לחלון הקדמי- ימני.</w:t>
      </w:r>
    </w:p>
    <w:p w14:paraId="4EDD1D03" w14:textId="77777777" w:rsidR="00852928" w:rsidRDefault="00852928" w:rsidP="00852928">
      <w:pPr>
        <w:spacing w:line="360" w:lineRule="auto"/>
        <w:jc w:val="both"/>
        <w:rPr>
          <w:rtl/>
        </w:rPr>
      </w:pPr>
    </w:p>
    <w:p w14:paraId="13AEE49E" w14:textId="77777777" w:rsidR="00852928" w:rsidRDefault="00852928" w:rsidP="00852928">
      <w:pPr>
        <w:spacing w:line="360" w:lineRule="auto"/>
        <w:ind w:firstLine="720"/>
        <w:jc w:val="both"/>
        <w:rPr>
          <w:rtl/>
        </w:rPr>
      </w:pPr>
      <w:r>
        <w:rPr>
          <w:rFonts w:hint="cs"/>
          <w:rtl/>
        </w:rPr>
        <w:t>הנאשם המשיך בהימלטות מפני הרכב המשטרתי, סטה ימינה למטע זיתים וכאשר הרכב המשטרתי בעקבותיו, ביצע פניית פרסה בתוך מטע הזיתים, חזר לכיוון הרכב המשטרתי והמשיך לכיוון היציאה ממטע הזיתים. השוטרת שני ביצעה פניית פרסה אף היא והמשיכה במרדף אחר הנאשם. הנאשם יצא ממטע הזיתים נכנס לתוך כפר ראמה, האיץ את מהירות נסיעתו והצליח להימלט מפני השוטרת שני והמתנדב יורם. הנאשם היה בבריחה אף שידע כי הוא דרוש לחקירה משטרתית, וזאת עד שנעצר ביום 15/7/20.</w:t>
      </w:r>
    </w:p>
    <w:p w14:paraId="378543C9" w14:textId="77777777" w:rsidR="00852928" w:rsidRDefault="00852928" w:rsidP="00852928">
      <w:pPr>
        <w:spacing w:line="360" w:lineRule="auto"/>
        <w:jc w:val="both"/>
        <w:rPr>
          <w:rtl/>
        </w:rPr>
      </w:pPr>
    </w:p>
    <w:p w14:paraId="0E864D50" w14:textId="77777777" w:rsidR="00852928" w:rsidRPr="00B05847" w:rsidRDefault="00852928" w:rsidP="00852928">
      <w:pPr>
        <w:spacing w:line="360" w:lineRule="auto"/>
        <w:ind w:firstLine="720"/>
        <w:jc w:val="both"/>
        <w:rPr>
          <w:rtl/>
        </w:rPr>
      </w:pPr>
      <w:r>
        <w:rPr>
          <w:rFonts w:hint="cs"/>
          <w:rtl/>
        </w:rPr>
        <w:t>בתאריך 21/7/20, בסיום חקירתו של הנאשם ולאחר שהחוקר הניח את קלטת החקירה על השולחן, נטל הנאשם את קלטת החקירה תוך שסבר כי מדובר בקלטת המכילה את הקלטת השיחות שלו בתא המעצר עם אדם המכונה ואסים, שבר את הקלטת והשליכה מבעד חלון חדר החקירות. כל זאת עשה הנאשם כדי למנוע את השימוש בקלטת כראייה.</w:t>
      </w:r>
    </w:p>
    <w:p w14:paraId="5150C0FD" w14:textId="77777777" w:rsidR="00852928" w:rsidRDefault="00852928" w:rsidP="00852928">
      <w:pPr>
        <w:jc w:val="both"/>
        <w:rPr>
          <w:rtl/>
        </w:rPr>
      </w:pPr>
    </w:p>
    <w:p w14:paraId="22089C54" w14:textId="77777777" w:rsidR="00852928" w:rsidRPr="006E443D" w:rsidRDefault="00852928" w:rsidP="00852928">
      <w:pPr>
        <w:jc w:val="both"/>
        <w:rPr>
          <w:rFonts w:ascii="Miriam" w:hAnsi="Miriam" w:cs="Miriam"/>
          <w:u w:val="single"/>
          <w:rtl/>
        </w:rPr>
      </w:pPr>
      <w:r w:rsidRPr="006E443D">
        <w:rPr>
          <w:rFonts w:ascii="Miriam" w:hAnsi="Miriam" w:cs="Miriam"/>
          <w:u w:val="single"/>
          <w:rtl/>
        </w:rPr>
        <w:t>תסקיר שירות המבחן</w:t>
      </w:r>
    </w:p>
    <w:p w14:paraId="3F620401" w14:textId="77777777" w:rsidR="00852928" w:rsidRDefault="00852928" w:rsidP="00852928">
      <w:pPr>
        <w:jc w:val="both"/>
        <w:rPr>
          <w:rtl/>
        </w:rPr>
      </w:pPr>
    </w:p>
    <w:p w14:paraId="2E406AC3" w14:textId="77777777" w:rsidR="00852928" w:rsidRDefault="00852928" w:rsidP="00852928">
      <w:pPr>
        <w:spacing w:line="360" w:lineRule="auto"/>
        <w:jc w:val="both"/>
        <w:rPr>
          <w:rtl/>
        </w:rPr>
      </w:pPr>
      <w:r>
        <w:rPr>
          <w:rFonts w:hint="cs"/>
          <w:rtl/>
        </w:rPr>
        <w:t>3.</w:t>
      </w:r>
      <w:r>
        <w:rPr>
          <w:rFonts w:hint="cs"/>
          <w:rtl/>
        </w:rPr>
        <w:tab/>
        <w:t xml:space="preserve">הנאשם בן 19.5, רווק. טרם מעצרו התגורר הנאשם בבית הוריו. הוא תיאר קשר קרוב עם בני משפחתו המנהלים כולם אורח חיים נורמטיבי. בכיתה י' עזב הנאשם את המסגרת החינוכית, ומאז ועד למעצרו עבד יחד עם אחיו. </w:t>
      </w:r>
    </w:p>
    <w:p w14:paraId="784C90DB" w14:textId="77777777" w:rsidR="00852928" w:rsidRDefault="00852928" w:rsidP="00852928">
      <w:pPr>
        <w:spacing w:line="360" w:lineRule="auto"/>
        <w:jc w:val="both"/>
        <w:rPr>
          <w:rtl/>
        </w:rPr>
      </w:pPr>
    </w:p>
    <w:p w14:paraId="2C5E0F7B" w14:textId="77777777" w:rsidR="00852928" w:rsidRDefault="00852928" w:rsidP="00852928">
      <w:pPr>
        <w:spacing w:line="360" w:lineRule="auto"/>
        <w:jc w:val="both"/>
        <w:rPr>
          <w:rtl/>
        </w:rPr>
      </w:pPr>
      <w:r>
        <w:rPr>
          <w:rFonts w:hint="cs"/>
          <w:rtl/>
        </w:rPr>
        <w:lastRenderedPageBreak/>
        <w:t>4.</w:t>
      </w:r>
      <w:r>
        <w:rPr>
          <w:rFonts w:hint="cs"/>
          <w:rtl/>
        </w:rPr>
        <w:tab/>
        <w:t>מתסקיר שירות המבחן עולה, כי עברו הפלילי של הנאשם נקי ללא רבב. משיחה עמו התרשם שירות המבחן כי הוא אינו ער ומודע לסיכון ולמסוכנות הכרוכה במעשיו, וכי לא הצליח להתחבר או להתבונן בדפוסי התנהגותו שעמדו בבסיס מעורבותו בעבירות ואף נותר בעמדה קורבנית, תוך שהוא מכחיש אחריות אקטיבית לביצוע העבירות.</w:t>
      </w:r>
    </w:p>
    <w:p w14:paraId="2F84A725" w14:textId="77777777" w:rsidR="00852928" w:rsidRDefault="00852928" w:rsidP="00852928">
      <w:pPr>
        <w:spacing w:line="360" w:lineRule="auto"/>
        <w:jc w:val="both"/>
        <w:rPr>
          <w:rtl/>
        </w:rPr>
      </w:pPr>
    </w:p>
    <w:p w14:paraId="0F0CF888" w14:textId="77777777" w:rsidR="00852928" w:rsidRDefault="00852928" w:rsidP="00852928">
      <w:pPr>
        <w:spacing w:line="360" w:lineRule="auto"/>
        <w:jc w:val="both"/>
        <w:rPr>
          <w:rtl/>
        </w:rPr>
      </w:pPr>
      <w:r>
        <w:rPr>
          <w:rFonts w:hint="cs"/>
          <w:rtl/>
        </w:rPr>
        <w:t>5.</w:t>
      </w:r>
      <w:r>
        <w:rPr>
          <w:rFonts w:hint="cs"/>
          <w:rtl/>
        </w:rPr>
        <w:tab/>
        <w:t>בבואו להעריך את רמת הסיכון להישנות התנהגות עוברת חוק, שקל שירות המבחן את גילו הצעיר של הנאשם לצד עברו הנקי. צוין כי הנאשם התקשה לקבל אחריות על מעשיו, וכי קיים פער בין נסיבות מעורבותו, לבין תיאורו את עצמו ותפקודו לאורך השנים. שירות המבחן העריך כי לנאשם דפוסי התנהגות עברייניים, זיקה לנשק, קושי ביצירת קשר עם גורמי הטיפול וקושי בוויסות דחפים בצירוף דפוסים הנותנים לגיטימציה לשימוש באלימות, וזאת לצד העדר אמפתיה ואי הכרה בפגיעה הפוטנציאלית הכרוכה בעבירות נשק יחד עם אלמנטים של חוסר בהירות והסתרה. בשקלול גורמי הסיכון, התרשם שירות המבחן מקיומה של רמת סיכון ומסוכנות גבוהה להישנות התנהגות עוברת חוק בעתיד.</w:t>
      </w:r>
    </w:p>
    <w:p w14:paraId="7FA734D2" w14:textId="77777777" w:rsidR="00852928" w:rsidRDefault="00852928" w:rsidP="00852928">
      <w:pPr>
        <w:spacing w:line="360" w:lineRule="auto"/>
        <w:jc w:val="both"/>
        <w:rPr>
          <w:rtl/>
        </w:rPr>
      </w:pPr>
      <w:r>
        <w:rPr>
          <w:rFonts w:hint="cs"/>
          <w:rtl/>
        </w:rPr>
        <w:t>6.</w:t>
      </w:r>
      <w:r>
        <w:rPr>
          <w:rFonts w:hint="cs"/>
          <w:rtl/>
        </w:rPr>
        <w:tab/>
        <w:t xml:space="preserve"> כמו כן, שירות המבחן התרשם מהיעדר מוטיבציה לשינוי וטיפול באמצעות גורמי הטיפול והסמכות. נוכח האמור לעיל, בדגש על גורמי הסיכון והפרוגנוז</w:t>
      </w:r>
      <w:r>
        <w:rPr>
          <w:rFonts w:hint="eastAsia"/>
          <w:rtl/>
        </w:rPr>
        <w:t>ה</w:t>
      </w:r>
      <w:r>
        <w:rPr>
          <w:rFonts w:hint="cs"/>
          <w:rtl/>
        </w:rPr>
        <w:t xml:space="preserve"> השיקומית הנמוכה, נמנע שירות המבחן מלבוא בהמלצה טיפולית בעניינו של הנאשם.</w:t>
      </w:r>
    </w:p>
    <w:p w14:paraId="4CA25E10" w14:textId="77777777" w:rsidR="00852928" w:rsidRDefault="00852928" w:rsidP="00852928">
      <w:pPr>
        <w:spacing w:line="360" w:lineRule="auto"/>
        <w:jc w:val="both"/>
        <w:rPr>
          <w:rtl/>
        </w:rPr>
      </w:pPr>
    </w:p>
    <w:p w14:paraId="0BFF7CBC" w14:textId="77777777" w:rsidR="00852928" w:rsidRPr="00A30A20" w:rsidRDefault="00852928" w:rsidP="00852928">
      <w:pPr>
        <w:spacing w:line="360" w:lineRule="auto"/>
        <w:jc w:val="both"/>
        <w:rPr>
          <w:rFonts w:ascii="Miriam" w:hAnsi="Miriam" w:cs="Miriam"/>
          <w:u w:val="single"/>
          <w:rtl/>
        </w:rPr>
      </w:pPr>
      <w:r w:rsidRPr="00A30A20">
        <w:rPr>
          <w:rFonts w:ascii="Miriam" w:hAnsi="Miriam" w:cs="Miriam"/>
          <w:u w:val="single"/>
          <w:rtl/>
        </w:rPr>
        <w:t>הראיות לעונש וטיעוני  הצדדים לעונש</w:t>
      </w:r>
    </w:p>
    <w:p w14:paraId="6360E181" w14:textId="77777777" w:rsidR="00852928" w:rsidRDefault="00852928" w:rsidP="00852928">
      <w:pPr>
        <w:jc w:val="both"/>
        <w:rPr>
          <w:rtl/>
        </w:rPr>
      </w:pPr>
    </w:p>
    <w:p w14:paraId="16B80E52" w14:textId="77777777" w:rsidR="00852928" w:rsidRDefault="00852928" w:rsidP="00852928">
      <w:pPr>
        <w:spacing w:line="360" w:lineRule="auto"/>
        <w:jc w:val="both"/>
        <w:rPr>
          <w:rtl/>
        </w:rPr>
      </w:pPr>
      <w:r>
        <w:rPr>
          <w:rFonts w:hint="cs"/>
          <w:rtl/>
        </w:rPr>
        <w:t xml:space="preserve">7. </w:t>
      </w:r>
      <w:r>
        <w:rPr>
          <w:rFonts w:hint="cs"/>
          <w:rtl/>
        </w:rPr>
        <w:tab/>
        <w:t>במסגרת ראיות המאשימה לעונש, הוגש  גיליון מרשם התעבורה של הנאשם (</w:t>
      </w:r>
      <w:r w:rsidRPr="00A30A20">
        <w:rPr>
          <w:rFonts w:ascii="Miriam" w:hAnsi="Miriam" w:cs="Miriam"/>
          <w:rtl/>
        </w:rPr>
        <w:t>ט/1</w:t>
      </w:r>
      <w:r>
        <w:rPr>
          <w:rFonts w:hint="cs"/>
          <w:rtl/>
        </w:rPr>
        <w:t>), תוך שהובהר כי עברו הפלילי של הנאשם נקי.  עוד הוגש תדפיס רשימת הרכבים של הנאשם (</w:t>
      </w:r>
      <w:r w:rsidRPr="00A30A20">
        <w:rPr>
          <w:rFonts w:ascii="Miriam" w:hAnsi="Miriam" w:cs="Miriam"/>
          <w:rtl/>
        </w:rPr>
        <w:t>ט/2</w:t>
      </w:r>
      <w:r>
        <w:rPr>
          <w:rFonts w:hint="cs"/>
          <w:rtl/>
        </w:rPr>
        <w:t>), הכולל  את רכב המזדה הנזכר בכתב האישום אותו מבקשת המאשימה לחלט. לצד הטיעונים בעל-פה בדיון, הגישה המאשימה בתיק זה את טיעוניה לעונש בכתב (</w:t>
      </w:r>
      <w:r w:rsidRPr="00A30A20">
        <w:rPr>
          <w:rFonts w:ascii="Miriam" w:hAnsi="Miriam" w:cs="Miriam"/>
          <w:rtl/>
        </w:rPr>
        <w:t>ט/3</w:t>
      </w:r>
      <w:r>
        <w:rPr>
          <w:rFonts w:hint="cs"/>
          <w:rtl/>
        </w:rPr>
        <w:t>) בצירוף אסופת פסיקה לתמיכה בעמדתה לעונש (</w:t>
      </w:r>
      <w:r w:rsidRPr="00A30A20">
        <w:rPr>
          <w:rFonts w:ascii="Miriam" w:hAnsi="Miriam" w:cs="Miriam"/>
          <w:rtl/>
        </w:rPr>
        <w:t>ט/4</w:t>
      </w:r>
      <w:r>
        <w:rPr>
          <w:rFonts w:hint="cs"/>
          <w:rtl/>
        </w:rPr>
        <w:t>) וכן בצירוף הנחיית פרקליט המדינה מספר 9.16 (</w:t>
      </w:r>
      <w:r w:rsidRPr="00A30A20">
        <w:rPr>
          <w:rFonts w:ascii="Miriam" w:hAnsi="Miriam" w:cs="Miriam"/>
          <w:rtl/>
        </w:rPr>
        <w:t>ט/5</w:t>
      </w:r>
      <w:r>
        <w:rPr>
          <w:rFonts w:hint="cs"/>
          <w:rtl/>
        </w:rPr>
        <w:t xml:space="preserve">) לעניין מדיניות הענישה של התביעה הכללית בעבירות נשק ומטעני חבלה. </w:t>
      </w:r>
    </w:p>
    <w:p w14:paraId="2E0A2E51" w14:textId="77777777" w:rsidR="00852928" w:rsidRDefault="00852928" w:rsidP="00852928">
      <w:pPr>
        <w:jc w:val="both"/>
        <w:rPr>
          <w:rtl/>
        </w:rPr>
      </w:pPr>
    </w:p>
    <w:p w14:paraId="579F9AB0" w14:textId="77777777" w:rsidR="00852928" w:rsidRDefault="00852928" w:rsidP="00852928">
      <w:pPr>
        <w:spacing w:line="360" w:lineRule="auto"/>
        <w:jc w:val="both"/>
        <w:rPr>
          <w:rtl/>
        </w:rPr>
      </w:pPr>
      <w:r>
        <w:rPr>
          <w:rFonts w:hint="cs"/>
          <w:rtl/>
        </w:rPr>
        <w:t xml:space="preserve">8. </w:t>
      </w:r>
      <w:r>
        <w:rPr>
          <w:rFonts w:hint="cs"/>
          <w:rtl/>
        </w:rPr>
        <w:tab/>
        <w:t xml:space="preserve">במסגרת טיעוניה לעונש הפנתה המאשימה לעובדות כתב האישום  המתוקן להמחשת חומרת העבירות בהן הורשע הנאשם, תוך שטענה כי הסיכון במעשי הנאשם היה רב עת שביצע עבירות של החזקת חומר נפיץ, תוך נשיאתו והובלתו, וכל זאת בשעות היום עת שרוב האנשים נמצאים מחוץ לבתיהם, דבר שיכול היה לגרום לפגיעה בגוף. לעניין זה נטען גם כי המטען הושלך ע"י אחד מיושבי הרכב במהלך המרדף, דבר אשר יש בו כדי ללמד על פוטנציאל הסיכון הטמון בעבירה. </w:t>
      </w:r>
    </w:p>
    <w:p w14:paraId="20FE33CC" w14:textId="77777777" w:rsidR="00852928" w:rsidRDefault="00852928" w:rsidP="00852928">
      <w:pPr>
        <w:jc w:val="both"/>
        <w:rPr>
          <w:rtl/>
        </w:rPr>
      </w:pPr>
    </w:p>
    <w:p w14:paraId="5315D520" w14:textId="77777777" w:rsidR="00852928" w:rsidRDefault="00852928" w:rsidP="00852928">
      <w:pPr>
        <w:spacing w:line="360" w:lineRule="auto"/>
        <w:jc w:val="both"/>
        <w:rPr>
          <w:rtl/>
        </w:rPr>
      </w:pPr>
      <w:r>
        <w:rPr>
          <w:rFonts w:hint="cs"/>
          <w:rtl/>
        </w:rPr>
        <w:t xml:space="preserve">9. </w:t>
      </w:r>
      <w:r>
        <w:rPr>
          <w:rFonts w:hint="cs"/>
          <w:rtl/>
        </w:rPr>
        <w:tab/>
        <w:t xml:space="preserve">עוד טוענת המאשימה כי הערכים החברתיים שנפגעו כתוצאה ממעשיו של הנאשם הם </w:t>
      </w:r>
      <w:r>
        <w:rPr>
          <w:rtl/>
        </w:rPr>
        <w:t>–</w:t>
      </w:r>
      <w:r>
        <w:rPr>
          <w:rFonts w:hint="cs"/>
          <w:rtl/>
        </w:rPr>
        <w:t xml:space="preserve"> שלום הציבור וביטחונו, חיי אדם ושלמות הגוף. נטען כי עסקינן במעשים מתוכננים וכי חלקו של הנאשם במעשים הוא עיקרי בהיותו מי שנהג ברכב שבבעלותו, נמלט מהשוטרים והיה בבריחה תקופה ארוכה (למעלה מ-3 שבועות).  כמו כן, נטען כי ברי שמטרת החזקת ונשיאת מטען החבלה היא לפעילות פלילית, וכי מדיניות הענישה הנהוגה בעבירות בנשק מלמדת על הטלת עונשי מאסר משמעותיים. ב"כ המאשימה ציין  לעניין זה כי  קיימת החמרה בפסיקת בית המשפט העליון בכל הנוגע לעבירות נשק, כל שכן בהתייחס למטען חבלה. </w:t>
      </w:r>
    </w:p>
    <w:p w14:paraId="079E196D" w14:textId="77777777" w:rsidR="00852928" w:rsidRDefault="00852928" w:rsidP="00852928">
      <w:pPr>
        <w:spacing w:line="360" w:lineRule="auto"/>
        <w:jc w:val="both"/>
        <w:rPr>
          <w:rtl/>
        </w:rPr>
      </w:pPr>
    </w:p>
    <w:p w14:paraId="5742142F" w14:textId="77777777" w:rsidR="00852928" w:rsidRDefault="00852928" w:rsidP="00852928">
      <w:pPr>
        <w:spacing w:line="360" w:lineRule="auto"/>
        <w:jc w:val="both"/>
        <w:rPr>
          <w:rtl/>
        </w:rPr>
      </w:pPr>
      <w:r>
        <w:rPr>
          <w:rFonts w:hint="cs"/>
          <w:rtl/>
        </w:rPr>
        <w:t xml:space="preserve">10. </w:t>
      </w:r>
      <w:r>
        <w:rPr>
          <w:rtl/>
        </w:rPr>
        <w:tab/>
      </w:r>
      <w:r>
        <w:rPr>
          <w:rFonts w:hint="cs"/>
          <w:rtl/>
        </w:rPr>
        <w:t xml:space="preserve">בסיכומו של דבר מבקשת המאשימה לקבוע בתיק זה מתחם עונש הולם הנע בין 3.5 ל-8.5 שנות מאסר בפועל לצד  ענישה נלווית.  לעניין העונש בתוך המתחם, טוענת המאשימה כי תסקיר שירות המבחן בעניינו של הנאשם הוא שלילי ומלמד על רמת סיכון גבוהה להישנות התנהגות פלילית ועל פרוגנוזה שיקומית נמוכה. הודגש כי שירות המבחן נמנע ממתן  המלצה  טיפולית בעניינו של הנאשם תוך שהעריך  כי הנאשם פיתח דפוס התנהלות עבריינית וקושי בקבלת גבולות החוק. צוין עוד ע"י ב"כ המאשימה, כי הנאשם ניסה להשמיד קלטת חקירה בהיותו עצור בתחנת המשטרה. בסיכומו של דבר, מבקשת המאשימה להשית על הנאשם עונש  ברף האמצעי של מתחם העונש ההולם לו היא עותרת לצד מאסר מותנה ארוך ומרתיע, קנס כספי וחילוט הרכב בו בוצעו העבירות. </w:t>
      </w:r>
    </w:p>
    <w:p w14:paraId="1D0D21A6" w14:textId="77777777" w:rsidR="00852928" w:rsidRDefault="00852928" w:rsidP="00852928">
      <w:pPr>
        <w:spacing w:line="360" w:lineRule="auto"/>
        <w:jc w:val="both"/>
        <w:rPr>
          <w:rtl/>
        </w:rPr>
      </w:pPr>
      <w:r>
        <w:rPr>
          <w:rFonts w:hint="cs"/>
          <w:rtl/>
        </w:rPr>
        <w:t xml:space="preserve">11. </w:t>
      </w:r>
      <w:r>
        <w:rPr>
          <w:rFonts w:hint="cs"/>
          <w:rtl/>
        </w:rPr>
        <w:tab/>
        <w:t xml:space="preserve">הסנגור, בטיעוניו לעונש, הדגיש את היות הנאשם בחור צעיר בן 19.5, המשתייך לקבוצת הבגירים / צעירים, אשר עברו הפלילי נקי לחלוטין. נטען כי  הנאשם מצוי לראשונה בחייו במעצר ממושך, המהווה עבורו חוויה קשה ועונש חמור בפני עצמו. עוד נטען כי תקופת המעצר (מיום 15/7/20), המחישה לנאשם את חומרת מעשיו, וכן כי עסקינן בנאשם שבילה 7 שנים מחייו בפנימייה בשל קושי כלכלי של המשפחה וקושי קוגניטיבי של הנאשם. </w:t>
      </w:r>
    </w:p>
    <w:p w14:paraId="1BD0973A" w14:textId="77777777" w:rsidR="00852928" w:rsidRDefault="00852928" w:rsidP="00852928">
      <w:pPr>
        <w:jc w:val="both"/>
        <w:rPr>
          <w:rtl/>
        </w:rPr>
      </w:pPr>
    </w:p>
    <w:p w14:paraId="2C464F35" w14:textId="77777777" w:rsidR="00852928" w:rsidRDefault="00852928" w:rsidP="00852928">
      <w:pPr>
        <w:spacing w:line="360" w:lineRule="auto"/>
        <w:jc w:val="both"/>
        <w:rPr>
          <w:rtl/>
        </w:rPr>
      </w:pPr>
      <w:r>
        <w:rPr>
          <w:rFonts w:hint="cs"/>
          <w:rtl/>
        </w:rPr>
        <w:t xml:space="preserve">12. </w:t>
      </w:r>
      <w:r>
        <w:rPr>
          <w:rFonts w:hint="cs"/>
          <w:rtl/>
        </w:rPr>
        <w:tab/>
        <w:t xml:space="preserve">ב"כ הנאשם טען כי עסקינן בנשק המהווה מטען שיכול אמנם לגרום נזק, אך אינו יכול לגרום מום, נכות או להמית. לפיכך, ביקש הסנגור להתייחס למקרה דנן כמקרה קל יותר מזה שהובא בפסיקה מטעם המאשימה, וזאת תוך שהלין על כך שמתחם  העונש ההולם לו עותרת המאשימה אינו מתיישב עם הפסיקה  אליה הפנתה המאשימה.  הסנגור הפנה, מטעם ההגנה, לשני גזרי דין שניתנו ע"י מותב זה- </w:t>
      </w:r>
      <w:hyperlink r:id="rId26" w:history="1">
        <w:r w:rsidR="003E08BC" w:rsidRPr="003E08BC">
          <w:rPr>
            <w:color w:val="0000FF"/>
            <w:u w:val="single"/>
            <w:rtl/>
          </w:rPr>
          <w:t>ת"פ 49995-09-17</w:t>
        </w:r>
      </w:hyperlink>
      <w:r>
        <w:rPr>
          <w:rFonts w:hint="cs"/>
          <w:rtl/>
        </w:rPr>
        <w:t xml:space="preserve"> </w:t>
      </w:r>
      <w:r w:rsidRPr="009859AD">
        <w:rPr>
          <w:rFonts w:ascii="Miriam" w:hAnsi="Miriam" w:cs="Miriam"/>
          <w:rtl/>
        </w:rPr>
        <w:t>מדינת ישראל נ' עלי</w:t>
      </w:r>
      <w:r>
        <w:rPr>
          <w:rFonts w:hint="cs"/>
          <w:rtl/>
        </w:rPr>
        <w:t xml:space="preserve"> (4/1/18) בו הושת על נאשם לגביו ניתן תסקיר חיובי לחלוטין, עונש של מאסר בפועל לתקופה של 6 חודשים בעבודות שירות. ראוי להבהיר כי אותו נאשם הורשע בעבירות שעניינן נשק שהורכב מזיקוקין, אשר לגביו נקבע כי הוא מסוגל לגרום לפגיעה גופנית אך ורק בכפוף לקרבה למוקד הפעולה;  </w:t>
      </w:r>
      <w:hyperlink r:id="rId27" w:history="1">
        <w:r w:rsidR="003E08BC" w:rsidRPr="003E08BC">
          <w:rPr>
            <w:color w:val="0000FF"/>
            <w:u w:val="single"/>
            <w:rtl/>
          </w:rPr>
          <w:t>ת"פ 34526-06-18</w:t>
        </w:r>
      </w:hyperlink>
      <w:r>
        <w:rPr>
          <w:rFonts w:hint="cs"/>
          <w:rtl/>
        </w:rPr>
        <w:t xml:space="preserve"> </w:t>
      </w:r>
      <w:r w:rsidRPr="003E065E">
        <w:rPr>
          <w:rFonts w:ascii="Miriam" w:hAnsi="Miriam" w:cs="Miriam"/>
          <w:rtl/>
        </w:rPr>
        <w:t>מדינת ישראל נ' ג'האד כמיל ואח'</w:t>
      </w:r>
      <w:r>
        <w:rPr>
          <w:rFonts w:hint="cs"/>
          <w:rtl/>
        </w:rPr>
        <w:t xml:space="preserve"> (14/11/18) בו הושת על נאשם 1 שהורשע בעבירות בנשק (תת מקלע מאולתר טעון במחסנית וכדורים) לצד עבירה של ירי באזור מגורים, עונש של 18 חודשי מאסר בפועל ועל נאשם 2 שהורשע בעבירות בנשק (תת מקלע מאולתר טעון במחסנית וכדורים), עונש של 12 חודשי מאסר בפועל. כאן ראוי לציין כי במקרה הנ"ל קדמו לביצוע העבירות שני אירועי ירי לביתם ורכבם של אותם נאשמים, דבר שהיווה נסיבה מיוחדת לקולה במסגרת גזירת הדין.</w:t>
      </w:r>
    </w:p>
    <w:p w14:paraId="20597481" w14:textId="77777777" w:rsidR="00852928" w:rsidRDefault="00852928" w:rsidP="00852928">
      <w:pPr>
        <w:jc w:val="both"/>
        <w:rPr>
          <w:rtl/>
        </w:rPr>
      </w:pPr>
    </w:p>
    <w:p w14:paraId="22D740F2" w14:textId="77777777" w:rsidR="00852928" w:rsidRDefault="00852928" w:rsidP="00852928">
      <w:pPr>
        <w:spacing w:line="360" w:lineRule="auto"/>
        <w:jc w:val="both"/>
        <w:rPr>
          <w:rtl/>
        </w:rPr>
      </w:pPr>
      <w:r>
        <w:rPr>
          <w:rFonts w:hint="cs"/>
          <w:rtl/>
        </w:rPr>
        <w:t xml:space="preserve">13. </w:t>
      </w:r>
      <w:r>
        <w:rPr>
          <w:rFonts w:hint="cs"/>
          <w:rtl/>
        </w:rPr>
        <w:tab/>
        <w:t xml:space="preserve">הסנגור  ביקש להתחשב לקולה גם בהודאת הנאשם שלקח אחריות על מעשיו וכן במצבה הכספי הקשה של משפחת הנאשם. נטען כי אחיו של הנאשם הוא בעל צרכים מיוחדים, אמו חולה במחלה ממארת וכי הנאשם הוא היחיד שתמך כלכלית במשפחתו. לגבי התסקיר טען הסנגור כי התסקיר הוכן באופן לא יסודי לאחר עריכת שיחה קצרה של מספר דקות עם הנאשם. </w:t>
      </w:r>
    </w:p>
    <w:p w14:paraId="36E353B7" w14:textId="77777777" w:rsidR="00852928" w:rsidRDefault="00852928" w:rsidP="00852928">
      <w:pPr>
        <w:jc w:val="both"/>
        <w:rPr>
          <w:rtl/>
        </w:rPr>
      </w:pPr>
    </w:p>
    <w:p w14:paraId="4A0F581D" w14:textId="77777777" w:rsidR="00852928" w:rsidRDefault="00852928" w:rsidP="00852928">
      <w:pPr>
        <w:spacing w:line="360" w:lineRule="auto"/>
        <w:jc w:val="both"/>
        <w:rPr>
          <w:rtl/>
        </w:rPr>
      </w:pPr>
      <w:r>
        <w:rPr>
          <w:rFonts w:hint="cs"/>
          <w:rtl/>
        </w:rPr>
        <w:t xml:space="preserve">14. </w:t>
      </w:r>
      <w:r>
        <w:rPr>
          <w:rFonts w:hint="cs"/>
          <w:rtl/>
        </w:rPr>
        <w:tab/>
        <w:t xml:space="preserve">בסיכומו של דבר, ביקש הסנגור להסתפק בתקופת מעצרו של הנאשם ולהטיל עליו עונש הצופה פני עתיד תוך הימנעות מהשתת קנס על הנאשם בהינתן מצבה הכלכלי הקשה של משפחתו.  כמו כן, ביקש הסנגור להימנע מחילוט הרכב, תוך שטען כי מדובר אמנם ברכב הרשום על שם הנאשם אך הוא משמש את כל בני המשפחה, ובנוסף הבהיר כי מדובר ברכב ששוויו בערך 10,000 ₪. </w:t>
      </w:r>
    </w:p>
    <w:p w14:paraId="49B4390F" w14:textId="77777777" w:rsidR="00852928" w:rsidRDefault="00852928" w:rsidP="00852928">
      <w:pPr>
        <w:jc w:val="both"/>
        <w:rPr>
          <w:rtl/>
        </w:rPr>
      </w:pPr>
    </w:p>
    <w:p w14:paraId="21FDDD33" w14:textId="77777777" w:rsidR="00852928" w:rsidRDefault="00852928" w:rsidP="00852928">
      <w:pPr>
        <w:spacing w:line="360" w:lineRule="auto"/>
        <w:jc w:val="both"/>
        <w:rPr>
          <w:rtl/>
        </w:rPr>
      </w:pPr>
      <w:r>
        <w:rPr>
          <w:rFonts w:hint="cs"/>
          <w:rtl/>
        </w:rPr>
        <w:t>15.</w:t>
      </w:r>
      <w:r>
        <w:rPr>
          <w:rFonts w:hint="cs"/>
          <w:rtl/>
        </w:rPr>
        <w:tab/>
        <w:t>הנאשם הביע בדיון לפניי צער וחרטה על מעשיו והבטיח לא לשוב עליהם.</w:t>
      </w:r>
    </w:p>
    <w:p w14:paraId="231BC4D2" w14:textId="77777777" w:rsidR="00852928" w:rsidRDefault="00852928" w:rsidP="00852928">
      <w:pPr>
        <w:jc w:val="both"/>
        <w:rPr>
          <w:rFonts w:ascii="Miriam" w:hAnsi="Miriam" w:cs="Miriam"/>
          <w:b/>
          <w:bCs/>
          <w:u w:val="single"/>
          <w:rtl/>
        </w:rPr>
      </w:pPr>
    </w:p>
    <w:p w14:paraId="7B5A7737" w14:textId="77777777" w:rsidR="00852928" w:rsidRDefault="00852928" w:rsidP="00852928">
      <w:pPr>
        <w:spacing w:line="360" w:lineRule="auto"/>
        <w:jc w:val="both"/>
        <w:rPr>
          <w:rFonts w:ascii="Miriam" w:hAnsi="Miriam" w:cs="Miriam"/>
          <w:b/>
          <w:bCs/>
          <w:u w:val="single"/>
          <w:rtl/>
        </w:rPr>
      </w:pPr>
      <w:r w:rsidRPr="004534D5">
        <w:rPr>
          <w:rFonts w:ascii="Miriam" w:hAnsi="Miriam" w:cs="Miriam"/>
          <w:b/>
          <w:bCs/>
          <w:u w:val="single"/>
          <w:rtl/>
        </w:rPr>
        <w:t>דיון והכרעה</w:t>
      </w:r>
    </w:p>
    <w:p w14:paraId="589C6B65" w14:textId="77777777" w:rsidR="00852928" w:rsidRPr="004534D5" w:rsidRDefault="00852928" w:rsidP="00852928">
      <w:pPr>
        <w:spacing w:line="360" w:lineRule="auto"/>
        <w:jc w:val="both"/>
        <w:rPr>
          <w:rFonts w:ascii="Miriam" w:hAnsi="Miriam" w:cs="Miriam"/>
          <w:b/>
          <w:bCs/>
          <w:u w:val="single"/>
          <w:rtl/>
        </w:rPr>
      </w:pPr>
    </w:p>
    <w:p w14:paraId="03D0E99F" w14:textId="77777777" w:rsidR="00852928" w:rsidRDefault="00852928" w:rsidP="00852928">
      <w:pPr>
        <w:spacing w:line="360" w:lineRule="auto"/>
        <w:jc w:val="both"/>
        <w:rPr>
          <w:rtl/>
        </w:rPr>
      </w:pPr>
      <w:r>
        <w:rPr>
          <w:rFonts w:hint="cs"/>
          <w:rtl/>
        </w:rPr>
        <w:t xml:space="preserve">16. </w:t>
      </w:r>
      <w:r>
        <w:rPr>
          <w:rFonts w:hint="cs"/>
          <w:rtl/>
        </w:rPr>
        <w:tab/>
      </w:r>
      <w:r>
        <w:rPr>
          <w:rtl/>
        </w:rPr>
        <w:t>תיקון מס' 113 ל</w:t>
      </w:r>
      <w:hyperlink r:id="rId28" w:history="1">
        <w:r w:rsidR="003E08BC" w:rsidRPr="003E08BC">
          <w:rPr>
            <w:color w:val="0000FF"/>
            <w:u w:val="single"/>
            <w:rtl/>
          </w:rPr>
          <w:t>חוק העונשין</w:t>
        </w:r>
      </w:hyperlink>
      <w:r>
        <w:rPr>
          <w:rtl/>
        </w:rPr>
        <w:t xml:space="preserve"> מתווה את העיקרון המנחה כיום את ביהמ"ש בבואו לגזור דינו של נאשם, שהינו, לפי </w:t>
      </w:r>
      <w:hyperlink r:id="rId29" w:history="1">
        <w:r w:rsidR="00DF5928" w:rsidRPr="00DF5928">
          <w:rPr>
            <w:rStyle w:val="Hyperlink"/>
            <w:rtl/>
          </w:rPr>
          <w:t>סעיף 40ב</w:t>
        </w:r>
      </w:hyperlink>
      <w:r>
        <w:rPr>
          <w:rtl/>
        </w:rPr>
        <w:t xml:space="preserve"> לחוק העונשין, עיקרון ההלימה, </w:t>
      </w:r>
      <w:r>
        <w:rPr>
          <w:rFonts w:hint="cs"/>
          <w:rtl/>
        </w:rPr>
        <w:t>המגלם בחובו</w:t>
      </w:r>
      <w:r>
        <w:rPr>
          <w:rtl/>
        </w:rPr>
        <w:t xml:space="preserve"> יחס הולם בין חומרת מעשה העבירה בנסיבותיו ומידת אשמו של הנאשם לבין סוג ומידת העונש המוטל עליו. יחס זה מבטא, למעשה, את עיקרון הגמול (ראו: </w:t>
      </w:r>
      <w:hyperlink r:id="rId30" w:history="1">
        <w:r w:rsidR="003E08BC" w:rsidRPr="003E08BC">
          <w:rPr>
            <w:color w:val="0000FF"/>
            <w:u w:val="single"/>
            <w:rtl/>
          </w:rPr>
          <w:t>ע.פ. 1523/10</w:t>
        </w:r>
      </w:hyperlink>
      <w:r>
        <w:rPr>
          <w:rtl/>
        </w:rPr>
        <w:t xml:space="preserve"> </w:t>
      </w:r>
      <w:r>
        <w:rPr>
          <w:rFonts w:cs="Miriam"/>
          <w:rtl/>
        </w:rPr>
        <w:t>פלוני נ' מדינת ישראל</w:t>
      </w:r>
      <w:r>
        <w:rPr>
          <w:rtl/>
        </w:rPr>
        <w:t xml:space="preserve">, 18/4/12). </w:t>
      </w:r>
      <w:hyperlink r:id="rId31" w:history="1">
        <w:r w:rsidR="00DF5928" w:rsidRPr="00DF5928">
          <w:rPr>
            <w:rStyle w:val="Hyperlink"/>
            <w:rtl/>
          </w:rPr>
          <w:t>סעיף 40ג</w:t>
        </w:r>
      </w:hyperlink>
      <w:r>
        <w:rPr>
          <w:rtl/>
        </w:rPr>
        <w:t xml:space="preserve"> ל</w:t>
      </w:r>
      <w:hyperlink r:id="rId32" w:history="1">
        <w:r w:rsidR="003E08BC" w:rsidRPr="003E08BC">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w:t>
      </w:r>
      <w:r>
        <w:rPr>
          <w:rFonts w:hint="cs"/>
          <w:rtl/>
        </w:rPr>
        <w:t>, ו</w:t>
      </w:r>
      <w:r>
        <w:rPr>
          <w:rtl/>
        </w:rPr>
        <w:t>לשם כך</w:t>
      </w:r>
      <w:r>
        <w:rPr>
          <w:rFonts w:hint="cs"/>
          <w:rtl/>
        </w:rPr>
        <w:t xml:space="preserve"> </w:t>
      </w:r>
      <w:r>
        <w:rPr>
          <w:rtl/>
        </w:rPr>
        <w:t xml:space="preserve">יתחשב ביהמ"ש בערך החברתי שנפגע מביצוע העבירה, במידת הפגיעה בו, במדיניות הענישה הנהוגה ובנסיבות הקשורות בביצוע העבירה, הכלולות </w:t>
      </w:r>
      <w:hyperlink r:id="rId33" w:history="1">
        <w:r w:rsidR="00DF5928" w:rsidRPr="00DF5928">
          <w:rPr>
            <w:rStyle w:val="Hyperlink"/>
            <w:rtl/>
          </w:rPr>
          <w:t>בסעיף 40ט</w:t>
        </w:r>
      </w:hyperlink>
      <w:r>
        <w:rPr>
          <w:rtl/>
        </w:rPr>
        <w:t xml:space="preserve"> לחוק העונשין.</w:t>
      </w:r>
      <w:r>
        <w:rPr>
          <w:rFonts w:hint="cs"/>
          <w:rtl/>
        </w:rPr>
        <w:t xml:space="preserve">   </w:t>
      </w:r>
    </w:p>
    <w:p w14:paraId="009F29C5" w14:textId="77777777" w:rsidR="00852928" w:rsidRDefault="00852928" w:rsidP="00852928">
      <w:pPr>
        <w:spacing w:line="360" w:lineRule="auto"/>
        <w:jc w:val="both"/>
        <w:rPr>
          <w:rtl/>
        </w:rPr>
      </w:pPr>
    </w:p>
    <w:p w14:paraId="75121619" w14:textId="77777777" w:rsidR="00852928" w:rsidRDefault="00852928" w:rsidP="00852928">
      <w:pPr>
        <w:spacing w:line="360" w:lineRule="auto"/>
        <w:jc w:val="both"/>
      </w:pPr>
      <w:r>
        <w:rPr>
          <w:rFonts w:hint="cs"/>
          <w:rtl/>
        </w:rPr>
        <w:t>17.</w:t>
      </w:r>
      <w:r>
        <w:rPr>
          <w:rFonts w:hint="cs"/>
          <w:rtl/>
        </w:rPr>
        <w:tab/>
      </w:r>
      <w:r>
        <w:rPr>
          <w:rtl/>
        </w:rPr>
        <w:t>בשלב הראשון  על בית המשפט לבדוק האם העבירות בהן הורשע הנאשם מהוות אירוע אחד או מספר אירועים נפרדים. אם יגיע למסקנה כי מדובר באירועים נפרדים עליו לקבוע מתחם ענישה הולם לכל אירוע בנפרד ולאחר מכן לגזור עונש נפרד לכל אירוע (בד בבד עם קביעה האם ירוצו העונשים בחופף או במצטבר) או עונש כולל לאירועים כולם (</w:t>
      </w:r>
      <w:hyperlink r:id="rId34" w:history="1">
        <w:r w:rsidR="00DF5928" w:rsidRPr="00DF5928">
          <w:rPr>
            <w:rStyle w:val="Hyperlink"/>
            <w:rtl/>
          </w:rPr>
          <w:t>סעיף 40יג(ב)</w:t>
        </w:r>
      </w:hyperlink>
      <w:r>
        <w:rPr>
          <w:rtl/>
        </w:rPr>
        <w:t xml:space="preserve"> ל</w:t>
      </w:r>
      <w:hyperlink r:id="rId35" w:history="1">
        <w:r w:rsidR="003E08BC" w:rsidRPr="003E08BC">
          <w:rPr>
            <w:color w:val="0000FF"/>
            <w:u w:val="single"/>
            <w:rtl/>
          </w:rPr>
          <w:t>חוק העונשין</w:t>
        </w:r>
      </w:hyperlink>
      <w:r>
        <w:rPr>
          <w:rtl/>
        </w:rPr>
        <w:t xml:space="preserve">) (ראו </w:t>
      </w:r>
      <w:hyperlink r:id="rId36" w:history="1">
        <w:r w:rsidR="003E08BC" w:rsidRPr="003E08BC">
          <w:rPr>
            <w:color w:val="0000FF"/>
            <w:u w:val="single"/>
            <w:rtl/>
          </w:rPr>
          <w:t>ע"פ 8641/12</w:t>
        </w:r>
      </w:hyperlink>
      <w:r>
        <w:rPr>
          <w:rtl/>
        </w:rPr>
        <w:t xml:space="preserve"> </w:t>
      </w:r>
      <w:r>
        <w:rPr>
          <w:rFonts w:ascii="Miriam" w:hAnsi="Miriam" w:cs="Miriam"/>
          <w:rtl/>
        </w:rPr>
        <w:t>סעד נ' מדינת ישראל</w:t>
      </w:r>
      <w:r>
        <w:rPr>
          <w:rtl/>
        </w:rPr>
        <w:t xml:space="preserve"> (5.8.2013)). ב</w:t>
      </w:r>
      <w:hyperlink r:id="rId37" w:history="1">
        <w:r w:rsidR="003E08BC" w:rsidRPr="003E08BC">
          <w:rPr>
            <w:color w:val="0000FF"/>
            <w:u w:val="single"/>
            <w:rtl/>
          </w:rPr>
          <w:t>ע"פ 4910/13</w:t>
        </w:r>
      </w:hyperlink>
      <w:r>
        <w:rPr>
          <w:rtl/>
        </w:rPr>
        <w:t xml:space="preserve"> </w:t>
      </w:r>
      <w:r>
        <w:rPr>
          <w:rFonts w:ascii="Miriam" w:hAnsi="Miriam" w:cs="Miriam"/>
          <w:rtl/>
        </w:rPr>
        <w:t xml:space="preserve">ג'אבר נ' מדינת ישראל </w:t>
      </w:r>
      <w:r>
        <w:rPr>
          <w:rtl/>
        </w:rPr>
        <w:t xml:space="preserve">(29.10.2014) (להלן: </w:t>
      </w:r>
      <w:r>
        <w:rPr>
          <w:rFonts w:ascii="Miriam" w:hAnsi="Miriam" w:cs="Miriam"/>
          <w:rtl/>
        </w:rPr>
        <w:t>עניין ג'אבר</w:t>
      </w:r>
      <w:r>
        <w:rPr>
          <w:rtl/>
        </w:rPr>
        <w:t xml:space="preserve">) קבע  בית המשפט העליון, כי עבירות שיש ביניהן קשר ענייני הדוק ושניתן להשקיף עליהן כמסכת עבריינית אחת ייחשבו לאירוע אחד (ראו בעניין זה פסקה 5 לחוות דעתה של כב' השופטת ברק ארז בעניין  ג'אבר ופסקה 2 לחוות דעתו של כב' השופט פוגלמן). </w:t>
      </w:r>
      <w:r>
        <w:rPr>
          <w:rFonts w:hint="cs"/>
          <w:rtl/>
        </w:rPr>
        <w:t>בתיק זה אין חולק כי העבירות בהן הורשע הנאשם מהוות אירוע אחד שכן מדובר בעבירות המהוות מסכת עבריינית אחת ולפיכך עסקינן באירוע אחד בגינו ייקבע להלן מתחם העונש ההולם.</w:t>
      </w:r>
    </w:p>
    <w:p w14:paraId="51E6AB60" w14:textId="77777777" w:rsidR="00852928" w:rsidRDefault="00852928" w:rsidP="00852928">
      <w:pPr>
        <w:spacing w:line="360" w:lineRule="auto"/>
        <w:jc w:val="both"/>
        <w:rPr>
          <w:rtl/>
        </w:rPr>
      </w:pPr>
    </w:p>
    <w:p w14:paraId="194975A4" w14:textId="77777777" w:rsidR="00852928" w:rsidRDefault="00852928" w:rsidP="00852928">
      <w:pPr>
        <w:pStyle w:val="Ruller4"/>
        <w:numPr>
          <w:ilvl w:val="0"/>
          <w:numId w:val="0"/>
        </w:numPr>
        <w:rPr>
          <w:rFonts w:ascii="David" w:hAnsi="David" w:cs="David"/>
          <w:szCs w:val="24"/>
          <w:rtl/>
        </w:rPr>
      </w:pPr>
      <w:r>
        <w:rPr>
          <w:rFonts w:ascii="Times New Roman" w:hAnsi="Times New Roman" w:cs="David"/>
          <w:szCs w:val="24"/>
          <w:rtl/>
        </w:rPr>
        <w:t>1</w:t>
      </w:r>
      <w:r>
        <w:rPr>
          <w:rFonts w:ascii="Times New Roman" w:hAnsi="Times New Roman" w:cs="David" w:hint="cs"/>
          <w:szCs w:val="24"/>
          <w:rtl/>
        </w:rPr>
        <w:t>8</w:t>
      </w:r>
      <w:r>
        <w:rPr>
          <w:rFonts w:ascii="Times New Roman" w:hAnsi="Times New Roman" w:cs="David"/>
          <w:szCs w:val="24"/>
          <w:rtl/>
        </w:rPr>
        <w:t>.</w:t>
      </w:r>
      <w:r>
        <w:rPr>
          <w:rFonts w:ascii="Times New Roman" w:hAnsi="Times New Roman" w:cs="David"/>
          <w:szCs w:val="24"/>
          <w:rtl/>
        </w:rPr>
        <w:tab/>
        <w:t>הערך המוגן שנפגע כתוצאה מביצוע עביר</w:t>
      </w:r>
      <w:r>
        <w:rPr>
          <w:rFonts w:ascii="Times New Roman" w:hAnsi="Times New Roman" w:cs="David" w:hint="cs"/>
          <w:szCs w:val="24"/>
          <w:rtl/>
        </w:rPr>
        <w:t>ו</w:t>
      </w:r>
      <w:r>
        <w:rPr>
          <w:rFonts w:ascii="Times New Roman" w:hAnsi="Times New Roman" w:cs="David"/>
          <w:szCs w:val="24"/>
          <w:rtl/>
        </w:rPr>
        <w:t xml:space="preserve">ת </w:t>
      </w:r>
      <w:r>
        <w:rPr>
          <w:rFonts w:ascii="Times New Roman" w:hAnsi="Times New Roman" w:cs="David" w:hint="cs"/>
          <w:szCs w:val="24"/>
          <w:rtl/>
        </w:rPr>
        <w:t>בנשק הוא</w:t>
      </w:r>
      <w:r>
        <w:rPr>
          <w:rtl/>
        </w:rPr>
        <w:t xml:space="preserve"> </w:t>
      </w:r>
      <w:r>
        <w:rPr>
          <w:rFonts w:ascii="Times New Roman" w:hAnsi="Times New Roman" w:cs="David"/>
          <w:szCs w:val="24"/>
          <w:rtl/>
        </w:rPr>
        <w:t xml:space="preserve">שלום הציבור ובטחונו. </w:t>
      </w:r>
      <w:r w:rsidRPr="00300EE2">
        <w:rPr>
          <w:rFonts w:ascii="Miriam" w:hAnsi="Miriam" w:cs="Miriam"/>
          <w:szCs w:val="24"/>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Fonts w:ascii="Times New Roman" w:hAnsi="Times New Roman" w:cs="David"/>
          <w:szCs w:val="24"/>
          <w:rtl/>
        </w:rPr>
        <w:t>" (</w:t>
      </w:r>
      <w:hyperlink r:id="rId38" w:history="1">
        <w:r w:rsidR="003E08BC" w:rsidRPr="003E08BC">
          <w:rPr>
            <w:rFonts w:ascii="Times New Roman" w:hAnsi="Times New Roman" w:cs="David"/>
            <w:color w:val="0000FF"/>
            <w:szCs w:val="24"/>
            <w:u w:val="single"/>
            <w:rtl/>
          </w:rPr>
          <w:t>ע"פ 7502/12</w:t>
        </w:r>
      </w:hyperlink>
      <w:r>
        <w:rPr>
          <w:rFonts w:ascii="Times New Roman" w:hAnsi="Times New Roman" w:cs="David"/>
          <w:szCs w:val="24"/>
          <w:rtl/>
        </w:rPr>
        <w:t xml:space="preserve"> ‏</w:t>
      </w:r>
      <w:r>
        <w:rPr>
          <w:rFonts w:ascii="Times New Roman" w:hAnsi="Times New Roman" w:cs="Miriam"/>
          <w:szCs w:val="24"/>
          <w:rtl/>
        </w:rPr>
        <w:t>כוויס נ' מדינת ישראל</w:t>
      </w:r>
      <w:r>
        <w:rPr>
          <w:rFonts w:ascii="Times New Roman" w:hAnsi="Times New Roman" w:cs="David"/>
          <w:szCs w:val="24"/>
          <w:rtl/>
        </w:rPr>
        <w:t xml:space="preserve"> (25.6.2013)). </w:t>
      </w:r>
      <w:r w:rsidRPr="005C0039">
        <w:rPr>
          <w:rFonts w:ascii="David" w:hAnsi="David" w:cs="David"/>
          <w:szCs w:val="24"/>
          <w:rtl/>
        </w:rPr>
        <w:t xml:space="preserve">עוד קבע בית המשפט העליון כי </w:t>
      </w:r>
      <w:r>
        <w:rPr>
          <w:rFonts w:ascii="FrankRuehl" w:hAnsi="FrankRuehl"/>
          <w:sz w:val="28"/>
          <w:rtl/>
        </w:rPr>
        <w:t>"</w:t>
      </w:r>
      <w:r>
        <w:rPr>
          <w:rFonts w:ascii="FrankRuehl" w:hAnsi="FrankRuehl" w:hint="cs"/>
          <w:sz w:val="28"/>
          <w:rtl/>
        </w:rPr>
        <w:t>...</w:t>
      </w:r>
      <w:r w:rsidRPr="00A0458D">
        <w:rPr>
          <w:rFonts w:ascii="Miriam" w:hAnsi="Miriam" w:cs="Miriam"/>
          <w:szCs w:val="24"/>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Pr>
          <w:rFonts w:ascii="FrankRuehl" w:hAnsi="FrankRuehl"/>
          <w:sz w:val="28"/>
          <w:rtl/>
        </w:rPr>
        <w:t xml:space="preserve">" </w:t>
      </w:r>
      <w:r w:rsidRPr="00A0458D">
        <w:rPr>
          <w:rFonts w:ascii="David" w:hAnsi="David" w:cs="David"/>
          <w:szCs w:val="24"/>
          <w:rtl/>
        </w:rPr>
        <w:t>(</w:t>
      </w:r>
      <w:hyperlink r:id="rId39" w:history="1">
        <w:r w:rsidR="003E08BC" w:rsidRPr="003E08BC">
          <w:rPr>
            <w:rFonts w:ascii="David" w:hAnsi="David" w:cs="David"/>
            <w:color w:val="0000FF"/>
            <w:szCs w:val="24"/>
            <w:u w:val="single"/>
            <w:rtl/>
          </w:rPr>
          <w:t>ע"פ 4406/19</w:t>
        </w:r>
      </w:hyperlink>
      <w:r w:rsidRPr="00A0458D">
        <w:rPr>
          <w:rFonts w:ascii="David" w:hAnsi="David" w:cs="David"/>
          <w:szCs w:val="24"/>
          <w:rtl/>
        </w:rPr>
        <w:t xml:space="preserve"> </w:t>
      </w:r>
      <w:r w:rsidRPr="00A0458D">
        <w:rPr>
          <w:rFonts w:ascii="Miriam" w:hAnsi="Miriam" w:cs="Miriam"/>
          <w:spacing w:val="0"/>
          <w:szCs w:val="24"/>
          <w:rtl/>
        </w:rPr>
        <w:t>סובח נ' מדינת ישראל</w:t>
      </w:r>
      <w:r w:rsidRPr="00A0458D">
        <w:rPr>
          <w:rFonts w:ascii="David" w:hAnsi="David" w:cs="David"/>
          <w:szCs w:val="24"/>
          <w:rtl/>
        </w:rPr>
        <w:t xml:space="preserve">, חוות דעתו של כב' השופט </w:t>
      </w:r>
      <w:r w:rsidRPr="00A0458D">
        <w:rPr>
          <w:rFonts w:ascii="David" w:hAnsi="David" w:cs="David"/>
          <w:spacing w:val="0"/>
          <w:szCs w:val="24"/>
          <w:rtl/>
        </w:rPr>
        <w:t xml:space="preserve">מ' מזוז </w:t>
      </w:r>
      <w:r w:rsidRPr="00A0458D">
        <w:rPr>
          <w:rFonts w:ascii="David" w:hAnsi="David" w:cs="David"/>
          <w:szCs w:val="24"/>
          <w:rtl/>
        </w:rPr>
        <w:t>(5.11.2019))</w:t>
      </w:r>
      <w:r>
        <w:rPr>
          <w:rFonts w:ascii="FrankRuehl" w:hAnsi="FrankRuehl"/>
          <w:sz w:val="28"/>
          <w:rtl/>
        </w:rPr>
        <w:t>.</w:t>
      </w:r>
      <w:r>
        <w:rPr>
          <w:rFonts w:ascii="David" w:hAnsi="David" w:cs="David"/>
          <w:szCs w:val="24"/>
          <w:rtl/>
        </w:rPr>
        <w:t xml:space="preserve">בית המשפט העליון שב ופסק כי </w:t>
      </w:r>
      <w:r>
        <w:rPr>
          <w:rFonts w:ascii="David" w:hAnsi="David" w:cs="David" w:hint="cs"/>
          <w:szCs w:val="24"/>
          <w:rtl/>
        </w:rPr>
        <w:t xml:space="preserve">ככלל </w:t>
      </w:r>
      <w:r>
        <w:rPr>
          <w:rFonts w:ascii="David" w:hAnsi="David" w:cs="David"/>
          <w:szCs w:val="24"/>
          <w:rtl/>
        </w:rPr>
        <w:t>אין להשלים עם ביצוען של עבירות נשק</w:t>
      </w:r>
      <w:r>
        <w:rPr>
          <w:rFonts w:ascii="David" w:hAnsi="David" w:cs="David" w:hint="cs"/>
          <w:szCs w:val="24"/>
          <w:rtl/>
        </w:rPr>
        <w:t xml:space="preserve"> ו</w:t>
      </w:r>
      <w:r>
        <w:rPr>
          <w:rFonts w:ascii="David" w:hAnsi="David" w:cs="David"/>
          <w:szCs w:val="24"/>
          <w:rtl/>
        </w:rPr>
        <w:t xml:space="preserve">יש להחמיר בעונשם של המורשעים בעבירות אלו תוך מתן ביטוי </w:t>
      </w:r>
      <w:r w:rsidRPr="005C7F92">
        <w:rPr>
          <w:rFonts w:ascii="David" w:hAnsi="David" w:cs="David"/>
          <w:szCs w:val="24"/>
          <w:rtl/>
        </w:rPr>
        <w:t>עונשי הולם לסכנה הממשית הנשקפת ממעשיהם (ראו</w:t>
      </w:r>
      <w:r>
        <w:rPr>
          <w:rFonts w:ascii="David" w:hAnsi="David" w:cs="David" w:hint="cs"/>
          <w:szCs w:val="24"/>
          <w:rtl/>
        </w:rPr>
        <w:t xml:space="preserve">: </w:t>
      </w:r>
      <w:hyperlink r:id="rId40" w:history="1">
        <w:r w:rsidR="003E08BC" w:rsidRPr="003E08BC">
          <w:rPr>
            <w:rFonts w:ascii="David" w:hAnsi="David" w:cs="David"/>
            <w:color w:val="0000FF"/>
            <w:szCs w:val="24"/>
            <w:u w:val="single"/>
            <w:rtl/>
          </w:rPr>
          <w:t>ע"פ 135/17</w:t>
        </w:r>
      </w:hyperlink>
      <w:r w:rsidRPr="005C7F92">
        <w:rPr>
          <w:rFonts w:ascii="David" w:hAnsi="David" w:cs="David"/>
          <w:szCs w:val="24"/>
          <w:rtl/>
        </w:rPr>
        <w:t xml:space="preserve"> </w:t>
      </w:r>
      <w:r w:rsidRPr="005C7F92">
        <w:rPr>
          <w:rFonts w:ascii="Miriam" w:hAnsi="Miriam" w:cs="Miriam"/>
          <w:spacing w:val="0"/>
          <w:szCs w:val="24"/>
          <w:rtl/>
        </w:rPr>
        <w:t>מדינת ישראל נ' בסל</w:t>
      </w:r>
      <w:r w:rsidRPr="005C7F92">
        <w:rPr>
          <w:rFonts w:ascii="David" w:hAnsi="David" w:cs="David"/>
          <w:spacing w:val="0"/>
          <w:szCs w:val="24"/>
          <w:rtl/>
        </w:rPr>
        <w:t xml:space="preserve"> </w:t>
      </w:r>
      <w:r w:rsidRPr="005C7F92">
        <w:rPr>
          <w:rFonts w:ascii="David" w:hAnsi="David" w:cs="David"/>
          <w:szCs w:val="24"/>
          <w:rtl/>
        </w:rPr>
        <w:t xml:space="preserve">(8.3.2017); </w:t>
      </w:r>
      <w:r w:rsidRPr="003E08BC">
        <w:rPr>
          <w:rFonts w:ascii="David" w:hAnsi="David" w:cs="David"/>
          <w:color w:val="000000"/>
          <w:szCs w:val="24"/>
          <w:rtl/>
        </w:rPr>
        <w:t>ע"פ 2808/18</w:t>
      </w:r>
      <w:r w:rsidRPr="005C7F92">
        <w:rPr>
          <w:rFonts w:ascii="David" w:hAnsi="David" w:cs="David"/>
          <w:szCs w:val="24"/>
          <w:rtl/>
        </w:rPr>
        <w:t xml:space="preserve"> </w:t>
      </w:r>
      <w:r w:rsidRPr="005C7F92">
        <w:rPr>
          <w:rFonts w:ascii="Miriam" w:hAnsi="Miriam" w:cs="Miriam"/>
          <w:spacing w:val="0"/>
          <w:szCs w:val="24"/>
          <w:rtl/>
        </w:rPr>
        <w:t xml:space="preserve">ג'ואמיס נ' מדינת ישראל </w:t>
      </w:r>
      <w:r w:rsidRPr="005C7F92">
        <w:rPr>
          <w:rFonts w:ascii="David" w:hAnsi="David" w:cs="David"/>
          <w:szCs w:val="24"/>
          <w:rtl/>
        </w:rPr>
        <w:t xml:space="preserve">(26.7.2018)). </w:t>
      </w:r>
    </w:p>
    <w:p w14:paraId="3232E068" w14:textId="77777777" w:rsidR="00852928" w:rsidRDefault="00852928" w:rsidP="00852928">
      <w:pPr>
        <w:rPr>
          <w:rtl/>
        </w:rPr>
      </w:pPr>
    </w:p>
    <w:p w14:paraId="64D7C8BA" w14:textId="77777777" w:rsidR="00852928" w:rsidRDefault="00852928" w:rsidP="00852928">
      <w:pPr>
        <w:rPr>
          <w:rtl/>
        </w:rPr>
      </w:pPr>
    </w:p>
    <w:p w14:paraId="453C6455" w14:textId="77777777" w:rsidR="00852928" w:rsidRDefault="00852928" w:rsidP="00852928">
      <w:pPr>
        <w:spacing w:line="360" w:lineRule="auto"/>
        <w:jc w:val="both"/>
        <w:rPr>
          <w:rtl/>
        </w:rPr>
      </w:pPr>
      <w:r>
        <w:rPr>
          <w:rFonts w:ascii="David" w:eastAsia="David" w:hAnsi="David"/>
          <w:rtl/>
        </w:rPr>
        <w:t>1</w:t>
      </w:r>
      <w:r>
        <w:rPr>
          <w:rFonts w:ascii="David" w:eastAsia="David" w:hAnsi="David" w:hint="cs"/>
          <w:rtl/>
        </w:rPr>
        <w:t>9</w:t>
      </w:r>
      <w:r>
        <w:rPr>
          <w:rFonts w:hint="cs"/>
          <w:rtl/>
        </w:rPr>
        <w:t>.</w:t>
      </w:r>
      <w:r>
        <w:rPr>
          <w:rFonts w:hint="cs"/>
          <w:rtl/>
        </w:rPr>
        <w:tab/>
        <w:t>עם זאת, כל מקרה נבחן על-פי נסיבותיו ועל-פי המסוכנות הפוטנציאלית הגלומה בנשק הספציפי בו בוצעה העבירה. כך, יש לתת לקולה את הדעת במקרה דנן לעובדת היות הנשק, עפ"י כתב האישום המתוקן, אותו החזיק, נשא והוביל הנאשם, נשק מסוג מטען חבלה מאולתר אשר סוגל רק להזיק לאדם, וזאת במאובחן מנשק שסוגל לגרום למותו של אדם. בד בבד יש לציין, לחובת הנאשם, כי הנשק הושלך מהרכב, במהלך הימלטות הנאשם מהשוטרים, דבר שיכול היה לפגוע באנשים חפים מפשע. אוסיף ואציין, לחומרה, את חלקו הפעיל והדומיננטי של הנאשם באירוע. ודוקו: הנאשם נהג ברכב בו החזיק, נשא והוביל את הנשק והוא אף נמלט מהשוטרים שדלקו בעקבות רכבו באופן שהפריע להם למלא את תפקידם כדין. זאת ועוד, הנאשם ניסה, כאמור, במהלך חקירתו במשטרה, להשמיד ראיה, דבר המוסיף נופך של חומרה להתנהלותו וממחיש את זלזולו בשלטון החוק העולה גם מביצוע העבירה של הפרעה לשוטר בעת מילוי תפקידו כדין.</w:t>
      </w:r>
    </w:p>
    <w:p w14:paraId="38E1E5C6" w14:textId="77777777" w:rsidR="00852928" w:rsidRDefault="00852928" w:rsidP="00852928">
      <w:pPr>
        <w:spacing w:line="360" w:lineRule="auto"/>
        <w:jc w:val="both"/>
        <w:rPr>
          <w:rtl/>
        </w:rPr>
      </w:pPr>
    </w:p>
    <w:p w14:paraId="4D38AF0D"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r>
        <w:rPr>
          <w:rFonts w:hint="cs"/>
          <w:rtl/>
        </w:rPr>
        <w:t>20.</w:t>
      </w:r>
      <w:r>
        <w:rPr>
          <w:rFonts w:hint="cs"/>
          <w:rtl/>
        </w:rPr>
        <w:tab/>
      </w:r>
      <w:r w:rsidRPr="00957834">
        <w:rPr>
          <w:rFonts w:ascii="David" w:hAnsi="David"/>
          <w:rtl/>
        </w:rPr>
        <w:t>בחינת מדיניות הענישה הנוהגת בעבירות של החזקה, נשיאה והובלה של נשק</w:t>
      </w:r>
      <w:r>
        <w:rPr>
          <w:rFonts w:ascii="David" w:hAnsi="David" w:hint="cs"/>
          <w:rtl/>
        </w:rPr>
        <w:t>,</w:t>
      </w:r>
      <w:r w:rsidRPr="00957834">
        <w:rPr>
          <w:rFonts w:ascii="David" w:hAnsi="David"/>
          <w:rtl/>
        </w:rPr>
        <w:t xml:space="preserve"> מעלה מנעד רחב של עונשים, הנגזרים בין היתר מסוג הנשק בו עסקינן וממידת המסוכנות הגלומה בו. כך, למשל, ב</w:t>
      </w:r>
      <w:hyperlink r:id="rId41" w:history="1">
        <w:r w:rsidR="003E08BC" w:rsidRPr="003E08BC">
          <w:rPr>
            <w:rFonts w:ascii="David" w:hAnsi="David"/>
            <w:color w:val="0000FF"/>
            <w:u w:val="single"/>
            <w:rtl/>
          </w:rPr>
          <w:t>ע"פ 5336/13</w:t>
        </w:r>
      </w:hyperlink>
      <w:r w:rsidRPr="00957834">
        <w:rPr>
          <w:rFonts w:ascii="David" w:hAnsi="David"/>
          <w:rtl/>
        </w:rPr>
        <w:t xml:space="preserve"> </w:t>
      </w:r>
      <w:r w:rsidRPr="00957834">
        <w:rPr>
          <w:rFonts w:ascii="Miriam" w:hAnsi="Miriam" w:cs="Miriam"/>
          <w:rtl/>
        </w:rPr>
        <w:t>צדוק נ' מדינת ישראל</w:t>
      </w:r>
      <w:r w:rsidRPr="00957834">
        <w:rPr>
          <w:rFonts w:ascii="David" w:hAnsi="David"/>
          <w:rtl/>
        </w:rPr>
        <w:t xml:space="preserve"> (17.11.2013) נדחה ערעור על גזר דין בו הוטל עונש של מאסר בפועל בן 20 חודשים בגין נשיאה והובל</w:t>
      </w:r>
      <w:r>
        <w:rPr>
          <w:rFonts w:ascii="David" w:hAnsi="David" w:hint="cs"/>
          <w:rtl/>
        </w:rPr>
        <w:t>ה של</w:t>
      </w:r>
      <w:r w:rsidRPr="00957834">
        <w:rPr>
          <w:rFonts w:ascii="David" w:hAnsi="David"/>
          <w:rtl/>
        </w:rPr>
        <w:t xml:space="preserve"> מטען. אותו מערער הודה במסגרת של הסדר טיעון בו סוכם שהמדינה תעתור לעונש של  30 חודשי מאסר בפועל</w:t>
      </w:r>
      <w:r>
        <w:rPr>
          <w:rFonts w:ascii="David" w:hAnsi="David" w:hint="cs"/>
          <w:rtl/>
        </w:rPr>
        <w:t xml:space="preserve">; </w:t>
      </w:r>
      <w:r w:rsidRPr="00D326EA">
        <w:rPr>
          <w:rFonts w:ascii="David" w:hAnsi="David" w:hint="cs"/>
          <w:rtl/>
        </w:rPr>
        <w:t>ב</w:t>
      </w:r>
      <w:hyperlink r:id="rId42" w:history="1">
        <w:r w:rsidR="003E08BC" w:rsidRPr="003E08BC">
          <w:rPr>
            <w:rFonts w:ascii="David" w:hAnsi="David"/>
            <w:color w:val="0000FF"/>
            <w:u w:val="single"/>
            <w:rtl/>
          </w:rPr>
          <w:t>ת.פ. (מחוזי ב"ש) 3244-06-16</w:t>
        </w:r>
      </w:hyperlink>
      <w:r w:rsidRPr="00506AB9">
        <w:rPr>
          <w:rFonts w:ascii="David" w:hAnsi="David"/>
          <w:rtl/>
        </w:rPr>
        <w:t xml:space="preserve"> </w:t>
      </w:r>
      <w:r w:rsidRPr="00D326EA">
        <w:rPr>
          <w:rFonts w:ascii="Miriam" w:hAnsi="Miriam" w:cs="Miriam"/>
          <w:rtl/>
        </w:rPr>
        <w:t>מדינת ישראל נ' אנגדה</w:t>
      </w:r>
      <w:r w:rsidRPr="00506AB9">
        <w:rPr>
          <w:rFonts w:ascii="David" w:hAnsi="David"/>
          <w:rtl/>
        </w:rPr>
        <w:t xml:space="preserve"> </w:t>
      </w:r>
      <w:r>
        <w:rPr>
          <w:rFonts w:ascii="David" w:hAnsi="David" w:hint="cs"/>
          <w:rtl/>
        </w:rPr>
        <w:t>(21/12/17)</w:t>
      </w:r>
      <w:r w:rsidRPr="00506AB9">
        <w:rPr>
          <w:rFonts w:ascii="David" w:hAnsi="David"/>
          <w:rtl/>
        </w:rPr>
        <w:t xml:space="preserve"> נאשם 2 (מתוך חמישה נאשמים) הורשע</w:t>
      </w:r>
      <w:r>
        <w:rPr>
          <w:rFonts w:ascii="David" w:hAnsi="David" w:hint="cs"/>
          <w:rtl/>
        </w:rPr>
        <w:t>,</w:t>
      </w:r>
      <w:r w:rsidRPr="00506AB9">
        <w:rPr>
          <w:rFonts w:ascii="David" w:hAnsi="David"/>
          <w:rtl/>
        </w:rPr>
        <w:t xml:space="preserve"> על פי הודאתו במסגרת הסדר טיעון, בעבירות של ייצור נשק וסיוע לסחר בנשק. מעובדות כתב האישום המתוקן </w:t>
      </w:r>
      <w:r>
        <w:rPr>
          <w:rFonts w:ascii="David" w:hAnsi="David" w:hint="cs"/>
          <w:rtl/>
        </w:rPr>
        <w:t xml:space="preserve">באותו תיק </w:t>
      </w:r>
      <w:r w:rsidRPr="00506AB9">
        <w:rPr>
          <w:rFonts w:ascii="David" w:hAnsi="David"/>
          <w:rtl/>
        </w:rPr>
        <w:t xml:space="preserve">עולה כי נאשם </w:t>
      </w:r>
      <w:r>
        <w:rPr>
          <w:rFonts w:ascii="David" w:hAnsi="David" w:hint="cs"/>
          <w:rtl/>
        </w:rPr>
        <w:t xml:space="preserve">2 </w:t>
      </w:r>
      <w:r w:rsidRPr="00506AB9">
        <w:rPr>
          <w:rFonts w:ascii="David" w:hAnsi="David"/>
          <w:rtl/>
        </w:rPr>
        <w:t xml:space="preserve">הרכיב שלושה מטעני חבלה מאולתרים אלחוטיים שאוגדו כיחידה אחת בסרט דביק. הנאשם העביר את המטענים לנאשם 5 </w:t>
      </w:r>
      <w:r>
        <w:rPr>
          <w:rFonts w:ascii="David" w:hAnsi="David" w:hint="cs"/>
          <w:rtl/>
        </w:rPr>
        <w:t>יחד עם</w:t>
      </w:r>
      <w:r w:rsidRPr="00506AB9">
        <w:rPr>
          <w:rFonts w:ascii="David" w:hAnsi="David"/>
          <w:rtl/>
        </w:rPr>
        <w:t xml:space="preserve"> מערכת הפעלה שהורכבה ממקלט אלחוטי. </w:t>
      </w:r>
      <w:r>
        <w:rPr>
          <w:rFonts w:ascii="David" w:hAnsi="David" w:hint="cs"/>
          <w:rtl/>
        </w:rPr>
        <w:t xml:space="preserve">בהיות אותו נאשם "בגיר צעיר" </w:t>
      </w:r>
      <w:r w:rsidRPr="00506AB9">
        <w:rPr>
          <w:rFonts w:ascii="David" w:hAnsi="David"/>
          <w:rtl/>
        </w:rPr>
        <w:t xml:space="preserve"> העמיד בית המשפט את מתחם העונש ההולם </w:t>
      </w:r>
      <w:r w:rsidRPr="00D326EA">
        <w:rPr>
          <w:rFonts w:ascii="David" w:hAnsi="David"/>
          <w:rtl/>
        </w:rPr>
        <w:t>בין 18 לבין 36 חודשי מאסר בפועל.</w:t>
      </w:r>
      <w:r w:rsidRPr="00506AB9">
        <w:rPr>
          <w:rFonts w:ascii="David" w:hAnsi="David"/>
          <w:rtl/>
        </w:rPr>
        <w:t xml:space="preserve"> בעת גזירת </w:t>
      </w:r>
      <w:r>
        <w:rPr>
          <w:rFonts w:ascii="David" w:hAnsi="David" w:hint="cs"/>
          <w:rtl/>
        </w:rPr>
        <w:t xml:space="preserve">העונש </w:t>
      </w:r>
      <w:r w:rsidRPr="00506AB9">
        <w:rPr>
          <w:rFonts w:ascii="David" w:hAnsi="David"/>
          <w:rtl/>
        </w:rPr>
        <w:t>נקבע כי יש לחרוג מהמתחם בשל שיקולי שיקום</w:t>
      </w:r>
      <w:r>
        <w:rPr>
          <w:rFonts w:ascii="David" w:hAnsi="David" w:hint="cs"/>
          <w:rtl/>
        </w:rPr>
        <w:t xml:space="preserve"> והעונש הועמד על</w:t>
      </w:r>
      <w:r w:rsidRPr="00506AB9">
        <w:rPr>
          <w:rFonts w:ascii="David" w:hAnsi="David"/>
          <w:rtl/>
        </w:rPr>
        <w:t xml:space="preserve"> 14 חודשי מאסר בפועל.</w:t>
      </w:r>
    </w:p>
    <w:p w14:paraId="12A06290"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p>
    <w:p w14:paraId="2DF1E3D0"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r>
        <w:rPr>
          <w:rFonts w:ascii="David" w:hAnsi="David" w:hint="cs"/>
          <w:rtl/>
        </w:rPr>
        <w:t>21.</w:t>
      </w:r>
      <w:r>
        <w:rPr>
          <w:rFonts w:ascii="David" w:hAnsi="David" w:hint="cs"/>
          <w:rtl/>
        </w:rPr>
        <w:tab/>
        <w:t>לאחר ששקלתי את הערכים החברתיים שנפגעו מביצוע העבירות ע"י הנאשם, את נסיבות ביצוע העבירות וכן נתתי דעתי למדיניות הענישה הנהוגה, לרבות לפסיקה אליה הפנה כל אחד מהצדדים, אני בדעה כי מתחם העונש ההולם בתיק זה נע בין 36-18 חודשי מאסר בפועל, לצד רכיבי ענישה נלווים ובעיקר מאסר מותנה משמעותי ומרתיע.</w:t>
      </w:r>
    </w:p>
    <w:p w14:paraId="33BD7090"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p>
    <w:p w14:paraId="05942187" w14:textId="77777777" w:rsidR="00852928" w:rsidRDefault="00852928" w:rsidP="00852928">
      <w:pPr>
        <w:spacing w:line="360" w:lineRule="auto"/>
        <w:jc w:val="both"/>
        <w:rPr>
          <w:rtl/>
        </w:rPr>
      </w:pPr>
      <w:r>
        <w:rPr>
          <w:rFonts w:ascii="David" w:hAnsi="David" w:hint="cs"/>
          <w:rtl/>
        </w:rPr>
        <w:t>22.</w:t>
      </w:r>
      <w:r>
        <w:rPr>
          <w:rFonts w:ascii="David" w:hAnsi="David" w:hint="cs"/>
          <w:rtl/>
        </w:rPr>
        <w:tab/>
        <w:t xml:space="preserve">במסגרת בחינת הנסיבות שאינן קשורות בביצוע העבירות, אציין לקולה את הודאת הנאשם בהזדמנות הראשונה בעובדות כתב האישום המתוקן, אשר חסכה הן מזמנו היקר של בית המשפט והן את העדת עדי התביעה. עוד אציין, לטובת הנאשם, את עברו הפלילי הנקי וכן את גילו הצעיר שהרי עסקינן בנאשם בן 19 וחצי, דבר המצדיק התייחסות אליו כאל "בגיר צעיר", על כל המשתמע מכך. בנקודה זו אציין כי מטיעוני הסנגור עולה כי הנאשם מצוי לראשונה בחייו במעצר המהווה עבורו חוויה קשה ומרתיעה. לכל אלו אוסיף, לקולה, את נסיבותיו האישיות הקשות של הנאשם, כנטען ע"י הסנגור, לרבות את העובדה ששהה 7 שנים בפנימיות. </w:t>
      </w:r>
      <w:r>
        <w:rPr>
          <w:rFonts w:hint="cs"/>
          <w:rtl/>
        </w:rPr>
        <w:t>לחובת הנאשם אציין כי במשך פרק זמן של כ-3 שבועות נמלט מאימת הדין. עוד אציין, לחומרה, את הערכתו, כאמור, של שרות המבחן, לפיה לנאשם דפוסי התנהגות עברייניים הכוללים זיקה לנשק, לרבות דפוסים הנותנים לגיטימציה לשימוש באלימות וחוסר הכרה בפגיעה הפוטנציאלית הכרוכה בעבירות נשק. שירות המבחן התרשם מחוסר מוטיבציה לשינוי אצל הנאשם, העריך פרוגנוזה שיקומית נמוכה וכן קיומה של רמת סיכון גבוהה ומסוכנות גבוהה להישנות התנהגות עוברת חוק בעתיד.</w:t>
      </w:r>
    </w:p>
    <w:p w14:paraId="1ED6EA06" w14:textId="77777777" w:rsidR="00852928" w:rsidRDefault="00852928" w:rsidP="00852928">
      <w:pPr>
        <w:spacing w:line="360" w:lineRule="auto"/>
        <w:jc w:val="both"/>
        <w:rPr>
          <w:rtl/>
        </w:rPr>
      </w:pPr>
    </w:p>
    <w:p w14:paraId="35DCA193" w14:textId="77777777" w:rsidR="00852928" w:rsidRDefault="00852928" w:rsidP="00852928">
      <w:pPr>
        <w:spacing w:line="360" w:lineRule="auto"/>
        <w:jc w:val="both"/>
        <w:rPr>
          <w:rtl/>
        </w:rPr>
      </w:pPr>
      <w:r>
        <w:rPr>
          <w:rFonts w:hint="cs"/>
          <w:rtl/>
        </w:rPr>
        <w:t>23.</w:t>
      </w:r>
      <w:r>
        <w:rPr>
          <w:rFonts w:hint="cs"/>
          <w:rtl/>
        </w:rPr>
        <w:tab/>
        <w:t>לאחר ששקללתי את מכלול הטעמים הנ"ל, אני סבורה כי יש להשית על הנאשם בתיק זה עונש המצוי בקרבה לרף התחתון של מתחם העונש ההולם וזאת בעיקר תוך מתן משקל נכבד לגילו הצעיר של הנאשם, לעברו הפלילי הנקי ולהודאתו בהזדמנות הראשונה.</w:t>
      </w:r>
    </w:p>
    <w:p w14:paraId="6C2F637C"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p>
    <w:p w14:paraId="71087924" w14:textId="77777777" w:rsidR="00852928" w:rsidRDefault="00852928" w:rsidP="00852928">
      <w:pPr>
        <w:tabs>
          <w:tab w:val="left" w:pos="567"/>
          <w:tab w:val="left" w:pos="851"/>
          <w:tab w:val="left" w:pos="1134"/>
          <w:tab w:val="left" w:pos="1418"/>
          <w:tab w:val="left" w:pos="1701"/>
        </w:tabs>
        <w:spacing w:line="360" w:lineRule="auto"/>
        <w:jc w:val="both"/>
        <w:rPr>
          <w:rFonts w:ascii="David" w:hAnsi="David"/>
          <w:rtl/>
        </w:rPr>
      </w:pPr>
      <w:r>
        <w:rPr>
          <w:rFonts w:ascii="David" w:hAnsi="David" w:hint="cs"/>
          <w:rtl/>
        </w:rPr>
        <w:t>24.</w:t>
      </w:r>
      <w:r>
        <w:rPr>
          <w:rFonts w:ascii="David" w:hAnsi="David" w:hint="cs"/>
          <w:rtl/>
        </w:rPr>
        <w:tab/>
        <w:t>בסיכומו של דבר, אני דנה את הנאשם, כדלקמן:</w:t>
      </w:r>
    </w:p>
    <w:p w14:paraId="6D1C45E6" w14:textId="77777777" w:rsidR="00852928" w:rsidRPr="00326E14" w:rsidRDefault="00852928" w:rsidP="00852928">
      <w:pPr>
        <w:tabs>
          <w:tab w:val="left" w:pos="567"/>
          <w:tab w:val="left" w:pos="851"/>
          <w:tab w:val="left" w:pos="1134"/>
          <w:tab w:val="left" w:pos="1418"/>
          <w:tab w:val="left" w:pos="1701"/>
        </w:tabs>
        <w:spacing w:line="360" w:lineRule="auto"/>
        <w:jc w:val="both"/>
        <w:rPr>
          <w:rFonts w:ascii="David" w:hAnsi="David"/>
          <w:rtl/>
        </w:rPr>
      </w:pPr>
    </w:p>
    <w:p w14:paraId="70B27114" w14:textId="77777777" w:rsidR="00852928" w:rsidRPr="006E443D" w:rsidRDefault="00852928" w:rsidP="00852928">
      <w:pPr>
        <w:pStyle w:val="a9"/>
        <w:numPr>
          <w:ilvl w:val="0"/>
          <w:numId w:val="2"/>
        </w:numPr>
        <w:spacing w:line="360" w:lineRule="auto"/>
        <w:rPr>
          <w:rFonts w:ascii="David" w:hAnsi="David"/>
          <w:rtl/>
        </w:rPr>
      </w:pPr>
      <w:r w:rsidRPr="006E443D">
        <w:rPr>
          <w:rFonts w:ascii="David" w:hAnsi="David"/>
          <w:rtl/>
        </w:rPr>
        <w:t>למאסר בפועל לתקופה של 20 חודשים, בניכוי ימי מעצרו (מיום 15/7/20).</w:t>
      </w:r>
    </w:p>
    <w:p w14:paraId="08A8F518" w14:textId="77777777" w:rsidR="00852928" w:rsidRPr="00326E14" w:rsidRDefault="00852928" w:rsidP="00852928">
      <w:pPr>
        <w:spacing w:line="360" w:lineRule="auto"/>
        <w:rPr>
          <w:rFonts w:ascii="David" w:hAnsi="David"/>
          <w:rtl/>
        </w:rPr>
      </w:pPr>
    </w:p>
    <w:p w14:paraId="54CF51B0" w14:textId="77777777" w:rsidR="00852928" w:rsidRPr="006E443D" w:rsidRDefault="00852928" w:rsidP="00852928">
      <w:pPr>
        <w:pStyle w:val="a9"/>
        <w:numPr>
          <w:ilvl w:val="0"/>
          <w:numId w:val="2"/>
        </w:numPr>
        <w:spacing w:line="360" w:lineRule="auto"/>
        <w:rPr>
          <w:rFonts w:ascii="David" w:hAnsi="David"/>
          <w:rtl/>
        </w:rPr>
      </w:pPr>
      <w:r w:rsidRPr="006E443D">
        <w:rPr>
          <w:rFonts w:ascii="David" w:hAnsi="David"/>
          <w:rtl/>
        </w:rPr>
        <w:t xml:space="preserve">למאסר על תנאי לתקופה של 12 חודשים למשך 3 שנים והתנאי הוא לבל יבצע הנאשם עבירה מסוג פשע לפי </w:t>
      </w:r>
      <w:hyperlink r:id="rId43" w:history="1">
        <w:r w:rsidR="00DF5928" w:rsidRPr="00DF5928">
          <w:rPr>
            <w:rStyle w:val="Hyperlink"/>
            <w:rFonts w:ascii="David" w:hAnsi="David"/>
            <w:rtl/>
          </w:rPr>
          <w:t>סעיף 144</w:t>
        </w:r>
      </w:hyperlink>
      <w:r w:rsidRPr="006E443D">
        <w:rPr>
          <w:rFonts w:ascii="David" w:hAnsi="David"/>
          <w:rtl/>
        </w:rPr>
        <w:t xml:space="preserve"> ל</w:t>
      </w:r>
      <w:hyperlink r:id="rId44" w:history="1">
        <w:r w:rsidR="003E08BC" w:rsidRPr="003E08BC">
          <w:rPr>
            <w:rFonts w:ascii="David" w:hAnsi="David"/>
            <w:color w:val="0000FF"/>
            <w:u w:val="single"/>
            <w:rtl/>
          </w:rPr>
          <w:t>חוק העונשין</w:t>
        </w:r>
      </w:hyperlink>
      <w:r w:rsidRPr="006E443D">
        <w:rPr>
          <w:rFonts w:ascii="David" w:hAnsi="David"/>
          <w:rtl/>
        </w:rPr>
        <w:t>, התשל"ז-1977</w:t>
      </w:r>
      <w:r w:rsidRPr="006E443D">
        <w:rPr>
          <w:rFonts w:ascii="David" w:hAnsi="David" w:hint="cs"/>
          <w:rtl/>
        </w:rPr>
        <w:t>.</w:t>
      </w:r>
    </w:p>
    <w:p w14:paraId="307DC114" w14:textId="77777777" w:rsidR="00852928" w:rsidRPr="00326E14" w:rsidRDefault="00852928" w:rsidP="00852928">
      <w:pPr>
        <w:spacing w:line="360" w:lineRule="auto"/>
        <w:rPr>
          <w:rFonts w:ascii="David" w:hAnsi="David"/>
          <w:rtl/>
        </w:rPr>
      </w:pPr>
    </w:p>
    <w:p w14:paraId="6364E492" w14:textId="77777777" w:rsidR="00852928" w:rsidRPr="006E443D" w:rsidRDefault="00852928" w:rsidP="00852928">
      <w:pPr>
        <w:pStyle w:val="a9"/>
        <w:numPr>
          <w:ilvl w:val="0"/>
          <w:numId w:val="2"/>
        </w:numPr>
        <w:spacing w:line="360" w:lineRule="auto"/>
        <w:rPr>
          <w:rFonts w:ascii="David" w:hAnsi="David"/>
          <w:rtl/>
        </w:rPr>
      </w:pPr>
      <w:r w:rsidRPr="006E443D">
        <w:rPr>
          <w:rFonts w:ascii="David" w:hAnsi="David"/>
          <w:rtl/>
        </w:rPr>
        <w:t xml:space="preserve">למאסר על תנאי לתקופה של 6 חודשים למשך 3 שנים והתנאי הוא לבל יבצע הנאשם עבירה מסוג עוון לפי </w:t>
      </w:r>
      <w:hyperlink r:id="rId45" w:history="1">
        <w:r w:rsidR="00DF5928" w:rsidRPr="00DF5928">
          <w:rPr>
            <w:rStyle w:val="Hyperlink"/>
            <w:rFonts w:ascii="David" w:hAnsi="David"/>
            <w:rtl/>
          </w:rPr>
          <w:t>סעיף 144</w:t>
        </w:r>
      </w:hyperlink>
      <w:r w:rsidRPr="006E443D">
        <w:rPr>
          <w:rFonts w:ascii="David" w:hAnsi="David"/>
          <w:rtl/>
        </w:rPr>
        <w:t xml:space="preserve"> ל</w:t>
      </w:r>
      <w:hyperlink r:id="rId46" w:history="1">
        <w:r w:rsidR="003E08BC" w:rsidRPr="003E08BC">
          <w:rPr>
            <w:rFonts w:ascii="David" w:hAnsi="David"/>
            <w:color w:val="0000FF"/>
            <w:u w:val="single"/>
            <w:rtl/>
          </w:rPr>
          <w:t>חוק העונשין</w:t>
        </w:r>
      </w:hyperlink>
      <w:r w:rsidRPr="006E443D">
        <w:rPr>
          <w:rFonts w:ascii="David" w:hAnsi="David"/>
          <w:rtl/>
        </w:rPr>
        <w:t xml:space="preserve">, התשל"ז-1977 </w:t>
      </w:r>
      <w:r w:rsidRPr="006E443D">
        <w:rPr>
          <w:rFonts w:ascii="David" w:hAnsi="David" w:hint="cs"/>
          <w:rtl/>
        </w:rPr>
        <w:t>או עבירה לפי סימן א' או ג' לפרק ט' לחוק הנ"ל.</w:t>
      </w:r>
    </w:p>
    <w:p w14:paraId="30A199BE" w14:textId="77777777" w:rsidR="00852928" w:rsidRDefault="00852928" w:rsidP="00852928">
      <w:pPr>
        <w:spacing w:line="360" w:lineRule="auto"/>
        <w:rPr>
          <w:rFonts w:ascii="David" w:hAnsi="David"/>
          <w:rtl/>
        </w:rPr>
      </w:pPr>
    </w:p>
    <w:p w14:paraId="4293ECA8" w14:textId="77777777" w:rsidR="00852928" w:rsidRPr="006E443D" w:rsidRDefault="00852928" w:rsidP="00852928">
      <w:pPr>
        <w:pStyle w:val="a9"/>
        <w:numPr>
          <w:ilvl w:val="0"/>
          <w:numId w:val="2"/>
        </w:numPr>
        <w:spacing w:line="360" w:lineRule="auto"/>
        <w:rPr>
          <w:rFonts w:ascii="David" w:hAnsi="David"/>
          <w:rtl/>
        </w:rPr>
      </w:pPr>
      <w:r w:rsidRPr="006E443D">
        <w:rPr>
          <w:rFonts w:ascii="David" w:hAnsi="David" w:hint="cs"/>
          <w:rtl/>
        </w:rPr>
        <w:t>בהינתן מצבו הכלכלי של הנאשם, אני מבכרת להיעתר לבקשת ההגנה ולא להשית עליו קנס בתיק זה.</w:t>
      </w:r>
    </w:p>
    <w:p w14:paraId="3FEAD2AE" w14:textId="77777777" w:rsidR="00852928" w:rsidRDefault="00852928" w:rsidP="00852928">
      <w:pPr>
        <w:spacing w:line="360" w:lineRule="auto"/>
        <w:rPr>
          <w:rFonts w:ascii="David" w:hAnsi="David"/>
          <w:rtl/>
        </w:rPr>
      </w:pPr>
    </w:p>
    <w:p w14:paraId="2EA13B66" w14:textId="77777777" w:rsidR="00852928" w:rsidRPr="007D3D34" w:rsidRDefault="00852928" w:rsidP="00852928">
      <w:pPr>
        <w:pStyle w:val="a9"/>
        <w:numPr>
          <w:ilvl w:val="0"/>
          <w:numId w:val="2"/>
        </w:numPr>
        <w:spacing w:line="360" w:lineRule="auto"/>
        <w:rPr>
          <w:rFonts w:ascii="David" w:hAnsi="David"/>
          <w:rtl/>
        </w:rPr>
      </w:pPr>
      <w:r w:rsidRPr="007D3D34">
        <w:rPr>
          <w:rFonts w:ascii="David" w:hAnsi="David" w:hint="cs"/>
          <w:rtl/>
        </w:rPr>
        <w:t xml:space="preserve">אני מחליטה להיעתר לבקשת המאשימה לחילוט רכב המזדה של הנאשם  הרשום על שמו  </w:t>
      </w:r>
      <w:r w:rsidRPr="007D3D34">
        <w:rPr>
          <w:rFonts w:ascii="Miriam" w:hAnsi="Miriam" w:cs="Miriam"/>
          <w:rtl/>
        </w:rPr>
        <w:t xml:space="preserve">(ט/2) </w:t>
      </w:r>
      <w:r w:rsidRPr="007D3D34">
        <w:rPr>
          <w:rFonts w:ascii="David" w:hAnsi="David" w:hint="cs"/>
          <w:rtl/>
        </w:rPr>
        <w:t xml:space="preserve">בו החזיק, נשא והוביל את הנשק ובאמצעותו נמלט מפני השוטרים. טענת ההגנה כי הרכב משמש את משפחת הנאשם נטענה בלשון רפה מבלי שפורטה כלל ומבלי שנתמכה בראיה כלשהי לביסוסה. בנסיבות אלו, אני מורה, מכוח סעיפים </w:t>
      </w:r>
      <w:hyperlink r:id="rId47" w:history="1">
        <w:r w:rsidR="00DF5928" w:rsidRPr="00DF5928">
          <w:rPr>
            <w:rStyle w:val="Hyperlink"/>
            <w:rFonts w:ascii="David" w:hAnsi="David"/>
            <w:rtl/>
          </w:rPr>
          <w:t>32 ו-39</w:t>
        </w:r>
      </w:hyperlink>
      <w:r w:rsidRPr="007D3D34">
        <w:rPr>
          <w:rFonts w:ascii="David" w:hAnsi="David" w:hint="cs"/>
          <w:rtl/>
        </w:rPr>
        <w:t xml:space="preserve"> ל</w:t>
      </w:r>
      <w:hyperlink r:id="rId48" w:history="1">
        <w:r w:rsidR="003E08BC" w:rsidRPr="003E08BC">
          <w:rPr>
            <w:rFonts w:ascii="David" w:hAnsi="David"/>
            <w:color w:val="0000FF"/>
            <w:u w:val="single"/>
            <w:rtl/>
          </w:rPr>
          <w:t>פקודת סדר הדין הפלילי (מעצר וחיפוש)</w:t>
        </w:r>
      </w:hyperlink>
      <w:r w:rsidRPr="007D3D34">
        <w:rPr>
          <w:rFonts w:ascii="David" w:hAnsi="David" w:hint="cs"/>
          <w:rtl/>
        </w:rPr>
        <w:t xml:space="preserve"> [נוסח חדש], התשכ"ט-1969, על חילוט לטובת המדינה של רכב המזדה מ.ר. 78-534-27.</w:t>
      </w:r>
    </w:p>
    <w:p w14:paraId="7A7077E4" w14:textId="77777777" w:rsidR="00852928" w:rsidRDefault="00852928" w:rsidP="00852928">
      <w:pPr>
        <w:spacing w:line="360" w:lineRule="auto"/>
        <w:rPr>
          <w:rFonts w:ascii="David" w:hAnsi="David"/>
          <w:rtl/>
        </w:rPr>
      </w:pPr>
    </w:p>
    <w:p w14:paraId="47B45CBD" w14:textId="77777777" w:rsidR="00852928" w:rsidRDefault="00852928" w:rsidP="00852928">
      <w:pPr>
        <w:spacing w:line="360" w:lineRule="auto"/>
        <w:rPr>
          <w:rFonts w:ascii="David" w:hAnsi="David"/>
          <w:rtl/>
        </w:rPr>
      </w:pPr>
    </w:p>
    <w:p w14:paraId="6D56A2B0" w14:textId="77777777" w:rsidR="00852928" w:rsidRPr="006E443D" w:rsidRDefault="00852928" w:rsidP="00852928">
      <w:pPr>
        <w:spacing w:line="360" w:lineRule="auto"/>
        <w:rPr>
          <w:rFonts w:ascii="David" w:hAnsi="David"/>
          <w:b/>
          <w:bCs/>
          <w:rtl/>
        </w:rPr>
      </w:pPr>
      <w:r w:rsidRPr="006E443D">
        <w:rPr>
          <w:rFonts w:ascii="David" w:hAnsi="David" w:hint="cs"/>
          <w:b/>
          <w:bCs/>
          <w:rtl/>
        </w:rPr>
        <w:t>המזכירות תמציא הע</w:t>
      </w:r>
      <w:r>
        <w:rPr>
          <w:rFonts w:ascii="David" w:hAnsi="David" w:hint="cs"/>
          <w:b/>
          <w:bCs/>
          <w:rtl/>
        </w:rPr>
        <w:t>ת</w:t>
      </w:r>
      <w:r w:rsidRPr="006E443D">
        <w:rPr>
          <w:rFonts w:ascii="David" w:hAnsi="David" w:hint="cs"/>
          <w:b/>
          <w:bCs/>
          <w:rtl/>
        </w:rPr>
        <w:t>ק מגזר הדין לשרות המבחן.</w:t>
      </w:r>
    </w:p>
    <w:p w14:paraId="2FAC2696" w14:textId="77777777" w:rsidR="00852928" w:rsidRPr="006E443D" w:rsidRDefault="00852928" w:rsidP="00852928">
      <w:pPr>
        <w:spacing w:line="360" w:lineRule="auto"/>
        <w:rPr>
          <w:rFonts w:ascii="David" w:hAnsi="David"/>
          <w:b/>
          <w:bCs/>
          <w:rtl/>
        </w:rPr>
      </w:pPr>
    </w:p>
    <w:p w14:paraId="7A510AA7" w14:textId="77777777" w:rsidR="00852928" w:rsidRPr="006E443D" w:rsidRDefault="00852928" w:rsidP="00852928">
      <w:pPr>
        <w:spacing w:line="360" w:lineRule="auto"/>
        <w:rPr>
          <w:rFonts w:ascii="David" w:hAnsi="David" w:hint="cs"/>
          <w:b/>
          <w:bCs/>
        </w:rPr>
      </w:pPr>
      <w:r w:rsidRPr="006E443D">
        <w:rPr>
          <w:rFonts w:ascii="David" w:hAnsi="David" w:hint="cs"/>
          <w:b/>
          <w:bCs/>
          <w:rtl/>
        </w:rPr>
        <w:t xml:space="preserve">זכות ערעור לבית המשפט העליון תוך 45 יום. </w:t>
      </w:r>
      <w:r w:rsidR="00C86334">
        <w:rPr>
          <w:rFonts w:ascii="David" w:hAnsi="David" w:hint="cs"/>
          <w:b/>
          <w:bCs/>
          <w:rtl/>
        </w:rPr>
        <w:t xml:space="preserve"> </w:t>
      </w:r>
    </w:p>
    <w:p w14:paraId="1212916C" w14:textId="77777777" w:rsidR="00852928" w:rsidRPr="00506AB9" w:rsidRDefault="00852928" w:rsidP="00852928">
      <w:pPr>
        <w:jc w:val="both"/>
        <w:rPr>
          <w:rFonts w:ascii="David" w:hAnsi="David"/>
          <w:rtl/>
        </w:rPr>
      </w:pPr>
    </w:p>
    <w:p w14:paraId="6D618D4F" w14:textId="77777777" w:rsidR="00852928" w:rsidRPr="00506AB9" w:rsidRDefault="003E08BC" w:rsidP="00852928">
      <w:pPr>
        <w:spacing w:line="360" w:lineRule="auto"/>
        <w:jc w:val="both"/>
        <w:rPr>
          <w:rFonts w:ascii="David" w:hAnsi="David"/>
        </w:rPr>
      </w:pPr>
      <w:bookmarkStart w:id="7" w:name="Nitan"/>
      <w:r w:rsidRPr="003E08BC">
        <w:rPr>
          <w:rFonts w:ascii="David" w:hAnsi="David"/>
          <w:color w:val="FFFFFF"/>
          <w:sz w:val="2"/>
          <w:szCs w:val="2"/>
          <w:rtl/>
        </w:rPr>
        <w:t>5129371</w:t>
      </w:r>
      <w:r>
        <w:rPr>
          <w:rFonts w:ascii="David" w:hAnsi="David"/>
          <w:rtl/>
        </w:rPr>
        <w:t xml:space="preserve">ניתן היום,  ו' אייר תשפ"א, 18 אפריל 2021, במעמד ב"כ המאשימה, עו"ד ראיד רחאל, ב"כ הנאשם, </w:t>
      </w:r>
      <w:bookmarkEnd w:id="7"/>
      <w:r w:rsidR="00852928">
        <w:rPr>
          <w:rFonts w:ascii="David" w:hAnsi="David" w:hint="cs"/>
          <w:rtl/>
        </w:rPr>
        <w:t>עו"ד ויסאם עראף והנאשם שהובא ב</w:t>
      </w:r>
      <w:r w:rsidR="00852928">
        <w:rPr>
          <w:rFonts w:ascii="David" w:hAnsi="David" w:hint="cs"/>
        </w:rPr>
        <w:t>VC</w:t>
      </w:r>
      <w:r w:rsidR="00852928">
        <w:rPr>
          <w:rFonts w:ascii="David" w:hAnsi="David" w:hint="cs"/>
          <w:rtl/>
        </w:rPr>
        <w:t xml:space="preserve"> ע"י שב"ס.</w:t>
      </w:r>
    </w:p>
    <w:p w14:paraId="52770EED" w14:textId="77777777" w:rsidR="00852928" w:rsidRPr="003E08BC" w:rsidRDefault="003E08BC" w:rsidP="00852928">
      <w:pPr>
        <w:jc w:val="both"/>
        <w:rPr>
          <w:rFonts w:cs="FrankRuehl"/>
          <w:color w:val="FFFFFF"/>
          <w:sz w:val="2"/>
          <w:szCs w:val="2"/>
          <w:rtl/>
        </w:rPr>
      </w:pPr>
      <w:r w:rsidRPr="003E08BC">
        <w:rPr>
          <w:rFonts w:cs="FrankRuehl"/>
          <w:color w:val="FFFFFF"/>
          <w:sz w:val="2"/>
          <w:szCs w:val="2"/>
          <w:rtl/>
        </w:rPr>
        <w:t>54678313</w:t>
      </w:r>
    </w:p>
    <w:p w14:paraId="3C84846C" w14:textId="77777777" w:rsidR="00852928" w:rsidRDefault="00852928" w:rsidP="003E08BC">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D8F368" w14:textId="77777777" w:rsidR="00852928" w:rsidRDefault="00852928" w:rsidP="00852928">
      <w:pPr>
        <w:jc w:val="both"/>
        <w:rPr>
          <w:rFonts w:ascii="Arial" w:hAnsi="Arial" w:cs="FrankRuehl"/>
          <w:sz w:val="28"/>
          <w:szCs w:val="28"/>
          <w:rtl/>
        </w:rPr>
      </w:pPr>
    </w:p>
    <w:p w14:paraId="17FEC443" w14:textId="77777777" w:rsidR="00852928" w:rsidRDefault="00852928" w:rsidP="00852928">
      <w:pPr>
        <w:jc w:val="both"/>
        <w:rPr>
          <w:rFonts w:cs="FrankRuehl"/>
          <w:sz w:val="28"/>
          <w:szCs w:val="28"/>
          <w:rtl/>
        </w:rPr>
      </w:pPr>
    </w:p>
    <w:p w14:paraId="23BBEBE6" w14:textId="77777777" w:rsidR="00852928" w:rsidRDefault="00852928" w:rsidP="00852928">
      <w:pPr>
        <w:pStyle w:val="a3"/>
        <w:jc w:val="both"/>
        <w:rPr>
          <w:rtl/>
        </w:rPr>
      </w:pPr>
    </w:p>
    <w:p w14:paraId="7B559AD0" w14:textId="77777777" w:rsidR="00D3435C" w:rsidRPr="003E08BC" w:rsidRDefault="00D3435C" w:rsidP="003E08BC">
      <w:pPr>
        <w:keepNext/>
        <w:rPr>
          <w:rFonts w:ascii="David" w:hAnsi="David"/>
          <w:color w:val="000000"/>
          <w:sz w:val="22"/>
          <w:szCs w:val="22"/>
          <w:rtl/>
        </w:rPr>
      </w:pPr>
    </w:p>
    <w:p w14:paraId="1E21099D" w14:textId="77777777" w:rsidR="003E08BC" w:rsidRPr="003E08BC" w:rsidRDefault="003E08BC" w:rsidP="003E08BC">
      <w:pPr>
        <w:keepNext/>
        <w:rPr>
          <w:rFonts w:ascii="David" w:hAnsi="David"/>
          <w:color w:val="000000"/>
          <w:sz w:val="22"/>
          <w:szCs w:val="22"/>
          <w:rtl/>
        </w:rPr>
      </w:pPr>
      <w:r w:rsidRPr="003E08BC">
        <w:rPr>
          <w:rFonts w:ascii="David" w:hAnsi="David"/>
          <w:color w:val="000000"/>
          <w:sz w:val="22"/>
          <w:szCs w:val="22"/>
          <w:rtl/>
        </w:rPr>
        <w:t>רונית בש 54678313</w:t>
      </w:r>
    </w:p>
    <w:p w14:paraId="747A7CD0" w14:textId="77777777" w:rsidR="003E08BC" w:rsidRDefault="003E08BC" w:rsidP="003E08BC">
      <w:r w:rsidRPr="003E08BC">
        <w:rPr>
          <w:color w:val="000000"/>
          <w:rtl/>
        </w:rPr>
        <w:t>נוסח מסמך זה כפוף לשינויי ניסוח ועריכה</w:t>
      </w:r>
    </w:p>
    <w:p w14:paraId="1A131AEC" w14:textId="77777777" w:rsidR="003E08BC" w:rsidRDefault="003E08BC" w:rsidP="003E08BC">
      <w:pPr>
        <w:rPr>
          <w:rtl/>
        </w:rPr>
      </w:pPr>
    </w:p>
    <w:p w14:paraId="69FC7DD0" w14:textId="77777777" w:rsidR="003E08BC" w:rsidRDefault="003E08BC" w:rsidP="003E08BC">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673899A" w14:textId="77777777" w:rsidR="003E08BC" w:rsidRPr="003E08BC" w:rsidRDefault="003E08BC" w:rsidP="003E08BC">
      <w:pPr>
        <w:jc w:val="center"/>
        <w:rPr>
          <w:color w:val="0000FF"/>
          <w:u w:val="single"/>
        </w:rPr>
      </w:pPr>
    </w:p>
    <w:sectPr w:rsidR="003E08BC" w:rsidRPr="003E08BC" w:rsidSect="003E08BC">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4236" w14:textId="77777777" w:rsidR="00367FEA" w:rsidRDefault="00367FEA" w:rsidP="00F6392C">
      <w:r>
        <w:separator/>
      </w:r>
    </w:p>
  </w:endnote>
  <w:endnote w:type="continuationSeparator" w:id="0">
    <w:p w14:paraId="50868546" w14:textId="77777777" w:rsidR="00367FEA" w:rsidRDefault="00367FEA" w:rsidP="00F6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84239" w14:textId="77777777" w:rsidR="003E08BC" w:rsidRDefault="003E08BC" w:rsidP="003E08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A177F3" w14:textId="77777777" w:rsidR="000B7C10" w:rsidRPr="003E08BC" w:rsidRDefault="003E08BC" w:rsidP="003E08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5DBB" w14:textId="77777777" w:rsidR="003E08BC" w:rsidRDefault="003E08BC" w:rsidP="003E08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B1C">
      <w:rPr>
        <w:rFonts w:ascii="FrankRuehl" w:hAnsi="FrankRuehl" w:cs="FrankRuehl"/>
        <w:noProof/>
        <w:rtl/>
      </w:rPr>
      <w:t>1</w:t>
    </w:r>
    <w:r>
      <w:rPr>
        <w:rFonts w:ascii="FrankRuehl" w:hAnsi="FrankRuehl" w:cs="FrankRuehl"/>
        <w:rtl/>
      </w:rPr>
      <w:fldChar w:fldCharType="end"/>
    </w:r>
  </w:p>
  <w:p w14:paraId="6BA3A912" w14:textId="77777777" w:rsidR="000B7C10" w:rsidRPr="003E08BC" w:rsidRDefault="003E08BC" w:rsidP="003E08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CA33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96D0E" w14:textId="77777777" w:rsidR="00367FEA" w:rsidRDefault="00367FEA" w:rsidP="00F6392C">
      <w:r>
        <w:separator/>
      </w:r>
    </w:p>
  </w:footnote>
  <w:footnote w:type="continuationSeparator" w:id="0">
    <w:p w14:paraId="746E44CE" w14:textId="77777777" w:rsidR="00367FEA" w:rsidRDefault="00367FEA" w:rsidP="00F63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67BE" w14:textId="77777777" w:rsidR="003E08BC" w:rsidRPr="003E08BC" w:rsidRDefault="003E08BC" w:rsidP="003E08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12520-08-20</w:t>
    </w:r>
    <w:r>
      <w:rPr>
        <w:rFonts w:ascii="David" w:hAnsi="David"/>
        <w:color w:val="000000"/>
        <w:sz w:val="22"/>
        <w:szCs w:val="22"/>
        <w:rtl/>
      </w:rPr>
      <w:tab/>
      <w:t xml:space="preserve"> מדינת ישראל נ' רזקאללה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3BD39" w14:textId="77777777" w:rsidR="003E08BC" w:rsidRPr="003E08BC" w:rsidRDefault="003E08BC" w:rsidP="003E08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12520-08-20</w:t>
    </w:r>
    <w:r>
      <w:rPr>
        <w:rFonts w:ascii="David" w:hAnsi="David"/>
        <w:color w:val="000000"/>
        <w:sz w:val="22"/>
        <w:szCs w:val="22"/>
        <w:rtl/>
      </w:rPr>
      <w:tab/>
      <w:t xml:space="preserve"> מדינת ישראל נ' רזקאללה חסארמה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B2465C8"/>
    <w:multiLevelType w:val="hybridMultilevel"/>
    <w:tmpl w:val="10F4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205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9559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2928"/>
    <w:rsid w:val="000B7C10"/>
    <w:rsid w:val="001B5A3B"/>
    <w:rsid w:val="00367FEA"/>
    <w:rsid w:val="003C63F2"/>
    <w:rsid w:val="003E08BC"/>
    <w:rsid w:val="00415F56"/>
    <w:rsid w:val="004325B6"/>
    <w:rsid w:val="00852928"/>
    <w:rsid w:val="00C86334"/>
    <w:rsid w:val="00D3435C"/>
    <w:rsid w:val="00D9064D"/>
    <w:rsid w:val="00DC0B1C"/>
    <w:rsid w:val="00DD7EE4"/>
    <w:rsid w:val="00DF5928"/>
    <w:rsid w:val="00E820A3"/>
    <w:rsid w:val="00F6392C"/>
    <w:rsid w:val="00F759F9"/>
    <w:rsid w:val="00FA7C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4F8486"/>
  <w15:chartTrackingRefBased/>
  <w15:docId w15:val="{3E29032F-8090-4D42-A735-30DB1BFF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29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2928"/>
    <w:pPr>
      <w:tabs>
        <w:tab w:val="center" w:pos="4153"/>
        <w:tab w:val="right" w:pos="8306"/>
      </w:tabs>
    </w:pPr>
  </w:style>
  <w:style w:type="character" w:customStyle="1" w:styleId="a4">
    <w:name w:val="כותרת עליונה תו"/>
    <w:link w:val="a3"/>
    <w:rsid w:val="00852928"/>
    <w:rPr>
      <w:rFonts w:ascii="Times New Roman" w:eastAsia="Times New Roman" w:hAnsi="Times New Roman" w:cs="David"/>
      <w:sz w:val="24"/>
      <w:szCs w:val="24"/>
    </w:rPr>
  </w:style>
  <w:style w:type="paragraph" w:styleId="a5">
    <w:name w:val="footer"/>
    <w:basedOn w:val="a"/>
    <w:link w:val="a6"/>
    <w:rsid w:val="00852928"/>
    <w:pPr>
      <w:tabs>
        <w:tab w:val="center" w:pos="4153"/>
        <w:tab w:val="right" w:pos="8306"/>
      </w:tabs>
    </w:pPr>
  </w:style>
  <w:style w:type="character" w:customStyle="1" w:styleId="a6">
    <w:name w:val="כותרת תחתונה תו"/>
    <w:link w:val="a5"/>
    <w:rsid w:val="00852928"/>
    <w:rPr>
      <w:rFonts w:ascii="Times New Roman" w:eastAsia="Times New Roman" w:hAnsi="Times New Roman" w:cs="David"/>
      <w:sz w:val="24"/>
      <w:szCs w:val="24"/>
    </w:rPr>
  </w:style>
  <w:style w:type="table" w:styleId="a7">
    <w:name w:val="Table Grid"/>
    <w:basedOn w:val="a1"/>
    <w:rsid w:val="008529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2928"/>
  </w:style>
  <w:style w:type="paragraph" w:styleId="a9">
    <w:name w:val="List Paragraph"/>
    <w:basedOn w:val="a"/>
    <w:qFormat/>
    <w:rsid w:val="00852928"/>
    <w:pPr>
      <w:ind w:left="720"/>
      <w:contextualSpacing/>
    </w:pPr>
  </w:style>
  <w:style w:type="character" w:styleId="Hyperlink">
    <w:name w:val="Hyperlink"/>
    <w:rsid w:val="00852928"/>
    <w:rPr>
      <w:color w:val="0000FF"/>
      <w:u w:val="single"/>
    </w:rPr>
  </w:style>
  <w:style w:type="paragraph" w:customStyle="1" w:styleId="Ruller4">
    <w:name w:val="Ruller 4 ממוספר"/>
    <w:basedOn w:val="a"/>
    <w:next w:val="a"/>
    <w:rsid w:val="00852928"/>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FollowedHyperlink">
    <w:name w:val="FollowedHyperlink"/>
    <w:rsid w:val="00D906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4918" TargetMode="External"/><Relationship Id="rId26" Type="http://schemas.openxmlformats.org/officeDocument/2006/relationships/hyperlink" Target="http://www.nevo.co.il/case/23009435" TargetMode="External"/><Relationship Id="rId39" Type="http://schemas.openxmlformats.org/officeDocument/2006/relationships/hyperlink" Target="http://www.nevo.co.il/case/25824863" TargetMode="External"/><Relationship Id="rId21" Type="http://schemas.openxmlformats.org/officeDocument/2006/relationships/hyperlink" Target="http://www.nevo.co.il/law/70301/144.a.;144.b" TargetMode="External"/><Relationship Id="rId34" Type="http://schemas.openxmlformats.org/officeDocument/2006/relationships/hyperlink" Target="http://www.nevo.co.il/law/70301/40jc.b" TargetMode="External"/><Relationship Id="rId42" Type="http://schemas.openxmlformats.org/officeDocument/2006/relationships/hyperlink" Target="http://www.nevo.co.il/case/21943447" TargetMode="External"/><Relationship Id="rId47" Type="http://schemas.openxmlformats.org/officeDocument/2006/relationships/hyperlink" Target="http://www.nevo.co.il/law/74918/32;3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4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22006503" TargetMode="External"/><Relationship Id="rId45" Type="http://schemas.openxmlformats.org/officeDocument/2006/relationships/hyperlink" Target="http://www.nevo.co.il/law/70301/144"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c" TargetMode="External"/><Relationship Id="rId19" Type="http://schemas.openxmlformats.org/officeDocument/2006/relationships/hyperlink" Target="http://www.nevo.co.il/law/74918/32" TargetMode="External"/><Relationship Id="rId31" Type="http://schemas.openxmlformats.org/officeDocument/2006/relationships/hyperlink" Target="http://www.nevo.co.il/law/70301/40c"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4305289" TargetMode="External"/><Relationship Id="rId30" Type="http://schemas.openxmlformats.org/officeDocument/2006/relationships/hyperlink" Target="http://www.nevo.co.il/case/6243627"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 TargetMode="External"/><Relationship Id="rId48" Type="http://schemas.openxmlformats.org/officeDocument/2006/relationships/hyperlink" Target="http://www.nevo.co.il/law/74918" TargetMode="External"/><Relationship Id="rId8" Type="http://schemas.openxmlformats.org/officeDocument/2006/relationships/hyperlink" Target="http://www.nevo.co.il/law/70301/25"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5601503"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4918/39" TargetMode="External"/><Relationship Id="rId41" Type="http://schemas.openxmlformats.org/officeDocument/2006/relationships/hyperlink" Target="http://www.nevo.co.il/case/782188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2"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57341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2963</Words>
  <Characters>14815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17743</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8323182</vt:i4>
      </vt:variant>
      <vt:variant>
        <vt:i4>123</vt:i4>
      </vt:variant>
      <vt:variant>
        <vt:i4>0</vt:i4>
      </vt:variant>
      <vt:variant>
        <vt:i4>5</vt:i4>
      </vt:variant>
      <vt:variant>
        <vt:lpwstr>http://www.nevo.co.il/law/74918</vt:lpwstr>
      </vt:variant>
      <vt:variant>
        <vt:lpwstr/>
      </vt:variant>
      <vt:variant>
        <vt:i4>5308510</vt:i4>
      </vt:variant>
      <vt:variant>
        <vt:i4>120</vt:i4>
      </vt:variant>
      <vt:variant>
        <vt:i4>0</vt:i4>
      </vt:variant>
      <vt:variant>
        <vt:i4>5</vt:i4>
      </vt:variant>
      <vt:variant>
        <vt:lpwstr>http://www.nevo.co.il/law/74918/32;39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6357092</vt:i4>
      </vt:variant>
      <vt:variant>
        <vt:i4>114</vt:i4>
      </vt:variant>
      <vt:variant>
        <vt:i4>0</vt:i4>
      </vt:variant>
      <vt:variant>
        <vt:i4>5</vt:i4>
      </vt:variant>
      <vt:variant>
        <vt:lpwstr>http://www.nevo.co.il/law/70301/144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6357092</vt:i4>
      </vt:variant>
      <vt:variant>
        <vt:i4>108</vt:i4>
      </vt:variant>
      <vt:variant>
        <vt:i4>0</vt:i4>
      </vt:variant>
      <vt:variant>
        <vt:i4>5</vt:i4>
      </vt:variant>
      <vt:variant>
        <vt:lpwstr>http://www.nevo.co.il/law/70301/144</vt:lpwstr>
      </vt:variant>
      <vt:variant>
        <vt:lpwstr/>
      </vt:variant>
      <vt:variant>
        <vt:i4>3932277</vt:i4>
      </vt:variant>
      <vt:variant>
        <vt:i4>105</vt:i4>
      </vt:variant>
      <vt:variant>
        <vt:i4>0</vt:i4>
      </vt:variant>
      <vt:variant>
        <vt:i4>5</vt:i4>
      </vt:variant>
      <vt:variant>
        <vt:lpwstr>http://www.nevo.co.il/case/21943447</vt:lpwstr>
      </vt:variant>
      <vt:variant>
        <vt:lpwstr/>
      </vt:variant>
      <vt:variant>
        <vt:i4>4063349</vt:i4>
      </vt:variant>
      <vt:variant>
        <vt:i4>102</vt:i4>
      </vt:variant>
      <vt:variant>
        <vt:i4>0</vt:i4>
      </vt:variant>
      <vt:variant>
        <vt:i4>5</vt:i4>
      </vt:variant>
      <vt:variant>
        <vt:lpwstr>http://www.nevo.co.il/case/7821883</vt:lpwstr>
      </vt:variant>
      <vt:variant>
        <vt:lpwstr/>
      </vt:variant>
      <vt:variant>
        <vt:i4>3407987</vt:i4>
      </vt:variant>
      <vt:variant>
        <vt:i4>99</vt:i4>
      </vt:variant>
      <vt:variant>
        <vt:i4>0</vt:i4>
      </vt:variant>
      <vt:variant>
        <vt:i4>5</vt:i4>
      </vt:variant>
      <vt:variant>
        <vt:lpwstr>http://www.nevo.co.il/case/22006503</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3342451</vt:i4>
      </vt:variant>
      <vt:variant>
        <vt:i4>93</vt:i4>
      </vt:variant>
      <vt:variant>
        <vt:i4>0</vt:i4>
      </vt:variant>
      <vt:variant>
        <vt:i4>5</vt:i4>
      </vt:variant>
      <vt:variant>
        <vt:lpwstr>http://www.nevo.co.il/case/5601503</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3211379</vt:i4>
      </vt:variant>
      <vt:variant>
        <vt:i4>87</vt:i4>
      </vt:variant>
      <vt:variant>
        <vt:i4>0</vt:i4>
      </vt:variant>
      <vt:variant>
        <vt:i4>5</vt:i4>
      </vt:variant>
      <vt:variant>
        <vt:lpwstr>http://www.nevo.co.il/case/5573417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6553637</vt:i4>
      </vt:variant>
      <vt:variant>
        <vt:i4>81</vt:i4>
      </vt:variant>
      <vt:variant>
        <vt:i4>0</vt:i4>
      </vt:variant>
      <vt:variant>
        <vt:i4>5</vt:i4>
      </vt:variant>
      <vt:variant>
        <vt:lpwstr>http://www.nevo.co.il/law/70301/40jc.b</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3932274</vt:i4>
      </vt:variant>
      <vt:variant>
        <vt:i4>60</vt:i4>
      </vt:variant>
      <vt:variant>
        <vt:i4>0</vt:i4>
      </vt:variant>
      <vt:variant>
        <vt:i4>5</vt:i4>
      </vt:variant>
      <vt:variant>
        <vt:lpwstr>http://www.nevo.co.il/case/24305289</vt:lpwstr>
      </vt:variant>
      <vt:variant>
        <vt:lpwstr/>
      </vt:variant>
      <vt:variant>
        <vt:i4>3670131</vt:i4>
      </vt:variant>
      <vt:variant>
        <vt:i4>57</vt:i4>
      </vt:variant>
      <vt:variant>
        <vt:i4>0</vt:i4>
      </vt:variant>
      <vt:variant>
        <vt:i4>5</vt:i4>
      </vt:variant>
      <vt:variant>
        <vt:lpwstr>http://www.nevo.co.il/case/23009435</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6357095</vt:i4>
      </vt:variant>
      <vt:variant>
        <vt:i4>51</vt:i4>
      </vt:variant>
      <vt:variant>
        <vt:i4>0</vt:i4>
      </vt:variant>
      <vt:variant>
        <vt:i4>5</vt:i4>
      </vt:variant>
      <vt:variant>
        <vt:lpwstr>http://www.nevo.co.il/law/70301/242</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393232</vt:i4>
      </vt:variant>
      <vt:variant>
        <vt:i4>42</vt:i4>
      </vt:variant>
      <vt:variant>
        <vt:i4>0</vt:i4>
      </vt:variant>
      <vt:variant>
        <vt:i4>5</vt:i4>
      </vt:variant>
      <vt:variant>
        <vt:lpwstr>http://www.nevo.co.il/law/70301/144.a.;144.b</vt:lpwstr>
      </vt:variant>
      <vt:variant>
        <vt:lpwstr/>
      </vt:variant>
      <vt:variant>
        <vt:i4>6881381</vt:i4>
      </vt:variant>
      <vt:variant>
        <vt:i4>39</vt:i4>
      </vt:variant>
      <vt:variant>
        <vt:i4>0</vt:i4>
      </vt:variant>
      <vt:variant>
        <vt:i4>5</vt:i4>
      </vt:variant>
      <vt:variant>
        <vt:lpwstr>http://www.nevo.co.il/law/74918/39</vt:lpwstr>
      </vt:variant>
      <vt:variant>
        <vt:lpwstr/>
      </vt:variant>
      <vt:variant>
        <vt:i4>6422629</vt:i4>
      </vt:variant>
      <vt:variant>
        <vt:i4>36</vt:i4>
      </vt:variant>
      <vt:variant>
        <vt:i4>0</vt:i4>
      </vt:variant>
      <vt:variant>
        <vt:i4>5</vt:i4>
      </vt:variant>
      <vt:variant>
        <vt:lpwstr>http://www.nevo.co.il/law/74918/32</vt:lpwstr>
      </vt:variant>
      <vt:variant>
        <vt:lpwstr/>
      </vt:variant>
      <vt:variant>
        <vt:i4>8323182</vt:i4>
      </vt:variant>
      <vt:variant>
        <vt:i4>33</vt:i4>
      </vt:variant>
      <vt:variant>
        <vt:i4>0</vt:i4>
      </vt:variant>
      <vt:variant>
        <vt:i4>5</vt:i4>
      </vt:variant>
      <vt:variant>
        <vt:lpwstr>http://www.nevo.co.il/law/74918</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6357095</vt:i4>
      </vt:variant>
      <vt:variant>
        <vt:i4>24</vt:i4>
      </vt:variant>
      <vt:variant>
        <vt:i4>0</vt:i4>
      </vt:variant>
      <vt:variant>
        <vt:i4>5</vt:i4>
      </vt:variant>
      <vt:variant>
        <vt:lpwstr>http://www.nevo.co.il/law/70301/242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6357041</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12520</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רזקאללה חסארמה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20210418</vt:lpwstr>
  </property>
  <property fmtid="{D5CDD505-2E9C-101B-9397-08002B2CF9AE}" pid="13" name="TYPE_N_DATE">
    <vt:lpwstr>39020210418</vt:lpwstr>
  </property>
  <property fmtid="{D5CDD505-2E9C-101B-9397-08002B2CF9AE}" pid="14" name="WORDNUMPAGES">
    <vt:lpwstr>8</vt:lpwstr>
  </property>
  <property fmtid="{D5CDD505-2E9C-101B-9397-08002B2CF9AE}" pid="15" name="TYPE_ABS_DATE">
    <vt:lpwstr>390020210418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23009435;24305289;6243627;5573417;13093721;5601503;25824863;22006503;7821883;21943447</vt:lpwstr>
  </property>
  <property fmtid="{D5CDD505-2E9C-101B-9397-08002B2CF9AE}" pid="36" name="LAWLISTTMP1">
    <vt:lpwstr>70301/144.a;144.b;275;242;025;040b;040c;040i;40jc.b;144:2</vt:lpwstr>
  </property>
  <property fmtid="{D5CDD505-2E9C-101B-9397-08002B2CF9AE}" pid="37" name="LAWLISTTMP2">
    <vt:lpwstr>74918/032;039</vt:lpwstr>
  </property>
</Properties>
</file>