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B2470D" w:rsidRPr="00E655F0" w14:paraId="3E953061" w14:textId="77777777" w:rsidTr="00857BEF">
        <w:trPr>
          <w:gridAfter w:val="1"/>
          <w:wAfter w:w="99" w:type="dxa"/>
          <w:trHeight w:hRule="exact" w:val="418"/>
          <w:jc w:val="center"/>
        </w:trPr>
        <w:tc>
          <w:tcPr>
            <w:tcW w:w="8721" w:type="dxa"/>
            <w:gridSpan w:val="4"/>
          </w:tcPr>
          <w:p w14:paraId="201E1EED" w14:textId="77777777" w:rsidR="00B2470D" w:rsidRPr="00E655F0" w:rsidRDefault="00B2470D" w:rsidP="0078162A">
            <w:pPr>
              <w:pStyle w:val="a3"/>
              <w:jc w:val="center"/>
              <w:rPr>
                <w:rFonts w:ascii="Tahoma" w:hAnsi="Tahoma" w:cs="Tahoma"/>
                <w:color w:val="000080"/>
                <w:rtl/>
              </w:rPr>
            </w:pPr>
            <w:bookmarkStart w:id="0" w:name="FirstLawyer"/>
            <w:bookmarkStart w:id="1" w:name="LastJudge"/>
            <w:r w:rsidRPr="00E655F0">
              <w:rPr>
                <w:rFonts w:ascii="Tahoma" w:hAnsi="Tahoma" w:cs="Tahoma"/>
                <w:b/>
                <w:bCs/>
                <w:color w:val="000080"/>
                <w:rtl/>
              </w:rPr>
              <w:t>בית המשפט המחוזי מרכז-לוד</w:t>
            </w:r>
          </w:p>
        </w:tc>
      </w:tr>
      <w:tr w:rsidR="00B2470D" w:rsidRPr="00E655F0" w14:paraId="7A8AC253" w14:textId="77777777" w:rsidTr="00857BEF">
        <w:trPr>
          <w:gridAfter w:val="1"/>
          <w:wAfter w:w="99" w:type="dxa"/>
          <w:trHeight w:val="337"/>
          <w:jc w:val="center"/>
        </w:trPr>
        <w:tc>
          <w:tcPr>
            <w:tcW w:w="5054" w:type="dxa"/>
            <w:gridSpan w:val="3"/>
          </w:tcPr>
          <w:p w14:paraId="7C6DE19C" w14:textId="77777777" w:rsidR="00B2470D" w:rsidRPr="00E655F0" w:rsidRDefault="00B2470D" w:rsidP="0078162A">
            <w:pPr>
              <w:rPr>
                <w:rFonts w:cs="FrankRuehl"/>
                <w:sz w:val="28"/>
                <w:szCs w:val="28"/>
                <w:rtl/>
              </w:rPr>
            </w:pPr>
            <w:r w:rsidRPr="00E655F0">
              <w:rPr>
                <w:rFonts w:cs="FrankRuehl"/>
                <w:sz w:val="28"/>
                <w:szCs w:val="28"/>
                <w:rtl/>
              </w:rPr>
              <w:t>ת"פ</w:t>
            </w:r>
            <w:r w:rsidRPr="00E655F0">
              <w:rPr>
                <w:rFonts w:cs="FrankRuehl" w:hint="cs"/>
                <w:sz w:val="28"/>
                <w:szCs w:val="28"/>
                <w:rtl/>
              </w:rPr>
              <w:t xml:space="preserve"> </w:t>
            </w:r>
            <w:r w:rsidRPr="00E655F0">
              <w:rPr>
                <w:rFonts w:cs="FrankRuehl"/>
                <w:sz w:val="28"/>
                <w:szCs w:val="28"/>
                <w:rtl/>
              </w:rPr>
              <w:t>28518-08-20</w:t>
            </w:r>
            <w:r w:rsidRPr="00E655F0">
              <w:rPr>
                <w:rFonts w:cs="FrankRuehl" w:hint="cs"/>
                <w:sz w:val="28"/>
                <w:szCs w:val="28"/>
                <w:rtl/>
              </w:rPr>
              <w:t xml:space="preserve"> </w:t>
            </w:r>
            <w:r w:rsidRPr="00E655F0">
              <w:rPr>
                <w:rFonts w:cs="FrankRuehl"/>
                <w:sz w:val="28"/>
                <w:szCs w:val="28"/>
                <w:rtl/>
              </w:rPr>
              <w:t>מדינת ישראל נ' פחמאוי</w:t>
            </w:r>
          </w:p>
          <w:p w14:paraId="1E751EDA" w14:textId="77777777" w:rsidR="00B2470D" w:rsidRPr="00E655F0" w:rsidRDefault="00B2470D" w:rsidP="0078162A">
            <w:pPr>
              <w:pStyle w:val="a3"/>
              <w:rPr>
                <w:rFonts w:cs="FrankRuehl"/>
                <w:sz w:val="28"/>
                <w:szCs w:val="28"/>
                <w:rtl/>
              </w:rPr>
            </w:pPr>
          </w:p>
        </w:tc>
        <w:tc>
          <w:tcPr>
            <w:tcW w:w="3667" w:type="dxa"/>
          </w:tcPr>
          <w:p w14:paraId="0E2D4A5E" w14:textId="77777777" w:rsidR="00B2470D" w:rsidRPr="00E655F0" w:rsidRDefault="00B2470D" w:rsidP="0078162A">
            <w:pPr>
              <w:pStyle w:val="a3"/>
              <w:jc w:val="right"/>
              <w:rPr>
                <w:rFonts w:cs="FrankRuehl"/>
                <w:sz w:val="28"/>
                <w:szCs w:val="28"/>
                <w:rtl/>
              </w:rPr>
            </w:pPr>
          </w:p>
        </w:tc>
      </w:tr>
      <w:tr w:rsidR="00B2470D" w:rsidRPr="00E655F0" w14:paraId="20DBD910" w14:textId="77777777" w:rsidTr="00857B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84DE39D" w14:textId="77777777" w:rsidR="00B2470D" w:rsidRPr="00E655F0" w:rsidRDefault="00B2470D" w:rsidP="00B2470D">
            <w:pPr>
              <w:jc w:val="both"/>
              <w:rPr>
                <w:rFonts w:ascii="David" w:hAnsi="David"/>
                <w:sz w:val="26"/>
                <w:szCs w:val="26"/>
              </w:rPr>
            </w:pPr>
            <w:r w:rsidRPr="00E655F0">
              <w:rPr>
                <w:rFonts w:hint="cs"/>
                <w:rtl/>
              </w:rPr>
              <w:t xml:space="preserve"> </w:t>
            </w:r>
            <w:r w:rsidRPr="00E655F0">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F21C272" w14:textId="77777777" w:rsidR="00B2470D" w:rsidRPr="00E655F0" w:rsidRDefault="00B2470D" w:rsidP="0078162A">
            <w:pPr>
              <w:rPr>
                <w:rFonts w:ascii="David" w:hAnsi="David"/>
                <w:b/>
                <w:bCs/>
                <w:sz w:val="26"/>
                <w:szCs w:val="26"/>
                <w:rtl/>
              </w:rPr>
            </w:pPr>
            <w:r w:rsidRPr="00E655F0">
              <w:rPr>
                <w:rFonts w:ascii="David" w:hAnsi="David"/>
                <w:b/>
                <w:bCs/>
                <w:sz w:val="26"/>
                <w:szCs w:val="26"/>
                <w:rtl/>
              </w:rPr>
              <w:t>כבוד השופט  חגי טרסי</w:t>
            </w:r>
          </w:p>
          <w:p w14:paraId="6D2D6308" w14:textId="77777777" w:rsidR="00B2470D" w:rsidRPr="00E655F0" w:rsidRDefault="00B2470D" w:rsidP="0078162A">
            <w:pPr>
              <w:rPr>
                <w:rFonts w:ascii="David" w:hAnsi="David"/>
                <w:sz w:val="26"/>
                <w:szCs w:val="26"/>
                <w:rtl/>
              </w:rPr>
            </w:pPr>
          </w:p>
          <w:p w14:paraId="013D1F06" w14:textId="77777777" w:rsidR="00B2470D" w:rsidRPr="00E655F0" w:rsidRDefault="00B2470D" w:rsidP="00B2470D">
            <w:pPr>
              <w:jc w:val="both"/>
              <w:rPr>
                <w:rFonts w:ascii="David" w:hAnsi="David"/>
                <w:sz w:val="26"/>
                <w:szCs w:val="26"/>
              </w:rPr>
            </w:pPr>
          </w:p>
        </w:tc>
      </w:tr>
      <w:tr w:rsidR="00B2470D" w:rsidRPr="00E655F0" w14:paraId="6D6AA076" w14:textId="77777777" w:rsidTr="00857B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22F0EA" w14:textId="77777777" w:rsidR="00B2470D" w:rsidRPr="00E655F0" w:rsidRDefault="00B2470D" w:rsidP="00B2470D">
            <w:pPr>
              <w:jc w:val="both"/>
              <w:rPr>
                <w:rFonts w:ascii="David" w:hAnsi="David"/>
                <w:sz w:val="26"/>
                <w:szCs w:val="26"/>
              </w:rPr>
            </w:pPr>
            <w:bookmarkStart w:id="2" w:name="FirstAppellant"/>
            <w:r w:rsidRPr="00E655F0">
              <w:rPr>
                <w:rFonts w:ascii="David" w:hAnsi="David"/>
                <w:sz w:val="26"/>
                <w:szCs w:val="26"/>
                <w:rtl/>
              </w:rPr>
              <w:t>בעניין:</w:t>
            </w:r>
          </w:p>
        </w:tc>
        <w:tc>
          <w:tcPr>
            <w:tcW w:w="3219" w:type="dxa"/>
            <w:tcBorders>
              <w:top w:val="nil"/>
              <w:left w:val="nil"/>
              <w:bottom w:val="nil"/>
              <w:right w:val="nil"/>
            </w:tcBorders>
            <w:shd w:val="clear" w:color="auto" w:fill="auto"/>
          </w:tcPr>
          <w:p w14:paraId="30810588" w14:textId="77777777" w:rsidR="00B2470D" w:rsidRPr="00E655F0" w:rsidRDefault="00B2470D" w:rsidP="00B2470D">
            <w:pPr>
              <w:suppressLineNumbers/>
            </w:pPr>
            <w:r w:rsidRPr="00E655F0">
              <w:rPr>
                <w:rFonts w:ascii="Arial" w:hAnsi="Arial" w:hint="cs"/>
                <w:b/>
                <w:bCs/>
                <w:sz w:val="26"/>
                <w:szCs w:val="26"/>
                <w:rtl/>
              </w:rPr>
              <w:t>ה</w:t>
            </w:r>
            <w:r w:rsidRPr="00E655F0">
              <w:rPr>
                <w:rFonts w:ascii="Arial" w:hAnsi="Arial"/>
                <w:b/>
                <w:bCs/>
                <w:sz w:val="26"/>
                <w:szCs w:val="26"/>
                <w:rtl/>
              </w:rPr>
              <w:t>מאשימה</w:t>
            </w:r>
          </w:p>
          <w:p w14:paraId="60BDFD4C" w14:textId="77777777" w:rsidR="00B2470D" w:rsidRPr="00E655F0" w:rsidRDefault="00B2470D" w:rsidP="0078162A">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3AB285B" w14:textId="77777777" w:rsidR="00B2470D" w:rsidRPr="00E655F0" w:rsidRDefault="00B2470D" w:rsidP="00B2470D">
            <w:pPr>
              <w:suppressLineNumbers/>
            </w:pPr>
            <w:r w:rsidRPr="00E655F0">
              <w:rPr>
                <w:rFonts w:ascii="Arial" w:hAnsi="Arial"/>
                <w:b/>
                <w:bCs/>
                <w:sz w:val="26"/>
                <w:szCs w:val="26"/>
                <w:rtl/>
              </w:rPr>
              <w:t>מדינת ישראל</w:t>
            </w:r>
          </w:p>
          <w:p w14:paraId="08382831" w14:textId="77777777" w:rsidR="00B2470D" w:rsidRPr="00E655F0" w:rsidRDefault="00B2470D" w:rsidP="0078162A">
            <w:pPr>
              <w:rPr>
                <w:rFonts w:ascii="David" w:hAnsi="David"/>
                <w:sz w:val="26"/>
                <w:szCs w:val="26"/>
              </w:rPr>
            </w:pPr>
          </w:p>
        </w:tc>
      </w:tr>
      <w:bookmarkEnd w:id="2"/>
      <w:tr w:rsidR="00B2470D" w:rsidRPr="00E655F0" w14:paraId="5B5728AD" w14:textId="77777777" w:rsidTr="00857B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E9AC5B4" w14:textId="77777777" w:rsidR="00B2470D" w:rsidRPr="00E655F0" w:rsidRDefault="00B2470D" w:rsidP="00B2470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29F6788" w14:textId="77777777" w:rsidR="00B2470D" w:rsidRPr="00E655F0" w:rsidRDefault="00B2470D" w:rsidP="00B2470D">
            <w:pPr>
              <w:jc w:val="center"/>
              <w:rPr>
                <w:rFonts w:ascii="David" w:hAnsi="David"/>
                <w:b/>
                <w:bCs/>
                <w:sz w:val="26"/>
                <w:szCs w:val="26"/>
                <w:rtl/>
              </w:rPr>
            </w:pPr>
          </w:p>
          <w:p w14:paraId="3853776A" w14:textId="77777777" w:rsidR="00B2470D" w:rsidRPr="00E655F0" w:rsidRDefault="00B2470D" w:rsidP="00B2470D">
            <w:pPr>
              <w:jc w:val="center"/>
              <w:rPr>
                <w:rFonts w:ascii="David" w:hAnsi="David"/>
                <w:b/>
                <w:bCs/>
                <w:sz w:val="26"/>
                <w:szCs w:val="26"/>
                <w:rtl/>
              </w:rPr>
            </w:pPr>
            <w:r w:rsidRPr="00E655F0">
              <w:rPr>
                <w:rFonts w:ascii="David" w:hAnsi="David"/>
                <w:b/>
                <w:bCs/>
                <w:sz w:val="26"/>
                <w:szCs w:val="26"/>
                <w:rtl/>
              </w:rPr>
              <w:t>נגד</w:t>
            </w:r>
          </w:p>
          <w:p w14:paraId="75190163" w14:textId="77777777" w:rsidR="00B2470D" w:rsidRPr="00E655F0" w:rsidRDefault="00B2470D" w:rsidP="00B2470D">
            <w:pPr>
              <w:jc w:val="both"/>
              <w:rPr>
                <w:rFonts w:ascii="David" w:hAnsi="David"/>
                <w:sz w:val="26"/>
                <w:szCs w:val="26"/>
              </w:rPr>
            </w:pPr>
          </w:p>
        </w:tc>
      </w:tr>
      <w:tr w:rsidR="00B2470D" w:rsidRPr="00E655F0" w14:paraId="17982849" w14:textId="77777777" w:rsidTr="00857BE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9C05C79" w14:textId="77777777" w:rsidR="00B2470D" w:rsidRPr="00E655F0" w:rsidRDefault="00B2470D" w:rsidP="0078162A">
            <w:pPr>
              <w:rPr>
                <w:rFonts w:ascii="David" w:hAnsi="David"/>
                <w:sz w:val="26"/>
                <w:szCs w:val="26"/>
                <w:rtl/>
              </w:rPr>
            </w:pPr>
          </w:p>
        </w:tc>
        <w:tc>
          <w:tcPr>
            <w:tcW w:w="3219" w:type="dxa"/>
            <w:tcBorders>
              <w:top w:val="nil"/>
              <w:left w:val="nil"/>
              <w:bottom w:val="nil"/>
              <w:right w:val="nil"/>
            </w:tcBorders>
            <w:shd w:val="clear" w:color="auto" w:fill="auto"/>
          </w:tcPr>
          <w:p w14:paraId="23A86FD1" w14:textId="77777777" w:rsidR="00B2470D" w:rsidRPr="00E655F0" w:rsidRDefault="00B2470D" w:rsidP="0078162A">
            <w:pPr>
              <w:rPr>
                <w:rFonts w:ascii="Arial" w:hAnsi="Arial"/>
                <w:b/>
                <w:bCs/>
                <w:sz w:val="26"/>
                <w:szCs w:val="26"/>
                <w:rtl/>
              </w:rPr>
            </w:pPr>
            <w:r w:rsidRPr="00E655F0">
              <w:rPr>
                <w:rFonts w:ascii="Arial" w:hAnsi="Arial"/>
                <w:b/>
                <w:bCs/>
                <w:sz w:val="26"/>
                <w:szCs w:val="26"/>
                <w:rtl/>
              </w:rPr>
              <w:t>הנאש</w:t>
            </w:r>
            <w:r w:rsidRPr="00E655F0">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0FD660F2" w14:textId="77777777" w:rsidR="00B2470D" w:rsidRPr="00E655F0" w:rsidRDefault="00B2470D" w:rsidP="00B2470D">
            <w:pPr>
              <w:suppressLineNumbers/>
            </w:pPr>
            <w:r w:rsidRPr="00E655F0">
              <w:rPr>
                <w:rFonts w:ascii="Arial" w:hAnsi="Arial"/>
                <w:b/>
                <w:bCs/>
                <w:sz w:val="26"/>
                <w:szCs w:val="26"/>
                <w:rtl/>
              </w:rPr>
              <w:t>כרים פחמאוי</w:t>
            </w:r>
            <w:r w:rsidRPr="00E655F0">
              <w:rPr>
                <w:rFonts w:ascii="Arial" w:hAnsi="Arial"/>
                <w:b/>
                <w:bCs/>
                <w:sz w:val="26"/>
                <w:szCs w:val="26"/>
                <w:rtl/>
              </w:rPr>
              <w:br/>
            </w:r>
            <w:r w:rsidRPr="00E655F0">
              <w:rPr>
                <w:rFonts w:ascii="Arial" w:hAnsi="Arial" w:hint="cs"/>
                <w:b/>
                <w:bCs/>
                <w:sz w:val="26"/>
                <w:szCs w:val="26"/>
                <w:rtl/>
              </w:rPr>
              <w:t>ע"י ב"כ עו"ד ענת קירשנברג</w:t>
            </w:r>
          </w:p>
          <w:p w14:paraId="2E51EA59" w14:textId="77777777" w:rsidR="00B2470D" w:rsidRPr="00E655F0" w:rsidRDefault="00B2470D" w:rsidP="0078162A">
            <w:pPr>
              <w:rPr>
                <w:rFonts w:ascii="David" w:hAnsi="David"/>
                <w:sz w:val="26"/>
                <w:szCs w:val="26"/>
              </w:rPr>
            </w:pPr>
          </w:p>
        </w:tc>
      </w:tr>
    </w:tbl>
    <w:p w14:paraId="434E24BA" w14:textId="77777777" w:rsidR="00857BEF" w:rsidRDefault="00857BEF" w:rsidP="00E655F0">
      <w:pPr>
        <w:rPr>
          <w:sz w:val="26"/>
          <w:szCs w:val="26"/>
          <w:rtl/>
        </w:rPr>
      </w:pPr>
    </w:p>
    <w:p w14:paraId="27E3D3DB" w14:textId="77777777" w:rsidR="00857BEF" w:rsidRPr="00857BEF" w:rsidRDefault="00857BEF" w:rsidP="00857BEF">
      <w:pPr>
        <w:spacing w:after="120" w:line="240" w:lineRule="exact"/>
        <w:ind w:left="283" w:hanging="283"/>
        <w:jc w:val="both"/>
        <w:rPr>
          <w:rFonts w:ascii="FrankRuehl" w:hAnsi="FrankRuehl" w:cs="FrankRuehl"/>
          <w:rtl/>
        </w:rPr>
      </w:pPr>
    </w:p>
    <w:p w14:paraId="6A433BB1" w14:textId="77777777" w:rsidR="00883C4E" w:rsidRDefault="00883C4E" w:rsidP="00883C4E">
      <w:pPr>
        <w:rPr>
          <w:sz w:val="26"/>
          <w:szCs w:val="26"/>
          <w:rtl/>
        </w:rPr>
      </w:pPr>
      <w:bookmarkStart w:id="3" w:name="LawTable"/>
      <w:bookmarkEnd w:id="3"/>
    </w:p>
    <w:p w14:paraId="3055EBEA" w14:textId="77777777" w:rsidR="00883C4E" w:rsidRPr="00883C4E" w:rsidRDefault="00883C4E" w:rsidP="00883C4E">
      <w:pPr>
        <w:spacing w:before="120" w:after="120" w:line="240" w:lineRule="exact"/>
        <w:ind w:left="283" w:hanging="283"/>
        <w:jc w:val="both"/>
        <w:rPr>
          <w:rFonts w:ascii="FrankRuehl" w:hAnsi="FrankRuehl" w:cs="FrankRuehl"/>
          <w:rtl/>
        </w:rPr>
      </w:pPr>
    </w:p>
    <w:p w14:paraId="6B483816" w14:textId="77777777" w:rsidR="00883C4E" w:rsidRPr="00883C4E" w:rsidRDefault="00883C4E" w:rsidP="00883C4E">
      <w:pPr>
        <w:spacing w:before="120" w:after="120" w:line="240" w:lineRule="exact"/>
        <w:ind w:left="283" w:hanging="283"/>
        <w:jc w:val="both"/>
        <w:rPr>
          <w:rFonts w:ascii="FrankRuehl" w:hAnsi="FrankRuehl" w:cs="FrankRuehl"/>
          <w:rtl/>
        </w:rPr>
      </w:pPr>
    </w:p>
    <w:p w14:paraId="4C9C9A27" w14:textId="77777777" w:rsidR="00883C4E" w:rsidRPr="00883C4E" w:rsidRDefault="00883C4E" w:rsidP="00883C4E">
      <w:pPr>
        <w:spacing w:before="120" w:after="120" w:line="240" w:lineRule="exact"/>
        <w:ind w:left="283" w:hanging="283"/>
        <w:jc w:val="both"/>
        <w:rPr>
          <w:rFonts w:ascii="FrankRuehl" w:hAnsi="FrankRuehl" w:cs="FrankRuehl"/>
          <w:rtl/>
        </w:rPr>
      </w:pPr>
      <w:r w:rsidRPr="00883C4E">
        <w:rPr>
          <w:rFonts w:ascii="FrankRuehl" w:hAnsi="FrankRuehl" w:cs="FrankRuehl"/>
          <w:rtl/>
        </w:rPr>
        <w:t xml:space="preserve">חקיקה שאוזכרה: </w:t>
      </w:r>
    </w:p>
    <w:p w14:paraId="2ED2B53E" w14:textId="77777777" w:rsidR="00883C4E" w:rsidRPr="00883C4E" w:rsidRDefault="00883C4E" w:rsidP="00883C4E">
      <w:pPr>
        <w:spacing w:before="120" w:after="120" w:line="240" w:lineRule="exact"/>
        <w:ind w:left="283" w:hanging="283"/>
        <w:jc w:val="both"/>
        <w:rPr>
          <w:rFonts w:ascii="FrankRuehl" w:hAnsi="FrankRuehl" w:cs="FrankRuehl"/>
          <w:rtl/>
        </w:rPr>
      </w:pPr>
      <w:hyperlink r:id="rId7" w:history="1">
        <w:r w:rsidRPr="00883C4E">
          <w:rPr>
            <w:rFonts w:ascii="FrankRuehl" w:hAnsi="FrankRuehl" w:cs="FrankRuehl"/>
            <w:color w:val="0000FF"/>
            <w:rtl/>
          </w:rPr>
          <w:t>חוק העונשין, תשל"ז-1977</w:t>
        </w:r>
      </w:hyperlink>
      <w:r w:rsidRPr="00883C4E">
        <w:rPr>
          <w:rFonts w:ascii="FrankRuehl" w:hAnsi="FrankRuehl" w:cs="FrankRuehl"/>
          <w:rtl/>
        </w:rPr>
        <w:t xml:space="preserve">: סע'  </w:t>
      </w:r>
      <w:hyperlink r:id="rId8" w:history="1">
        <w:r w:rsidRPr="00883C4E">
          <w:rPr>
            <w:rFonts w:ascii="FrankRuehl" w:hAnsi="FrankRuehl" w:cs="FrankRuehl"/>
            <w:color w:val="0000FF"/>
            <w:rtl/>
          </w:rPr>
          <w:t>144 (ב)</w:t>
        </w:r>
      </w:hyperlink>
    </w:p>
    <w:p w14:paraId="647FD4A7" w14:textId="77777777" w:rsidR="00883C4E" w:rsidRPr="00883C4E" w:rsidRDefault="00883C4E" w:rsidP="00883C4E">
      <w:pPr>
        <w:rPr>
          <w:sz w:val="26"/>
          <w:szCs w:val="26"/>
          <w:rtl/>
        </w:rPr>
      </w:pPr>
      <w:bookmarkStart w:id="4" w:name="LawTable_End"/>
      <w:bookmarkEnd w:id="4"/>
    </w:p>
    <w:p w14:paraId="170DEF4D" w14:textId="77777777" w:rsidR="00B2470D" w:rsidRPr="00E655F0" w:rsidRDefault="00B2470D" w:rsidP="00B2470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2470D" w14:paraId="6E0B5F56" w14:textId="77777777" w:rsidTr="00B2470D">
        <w:trPr>
          <w:trHeight w:val="355"/>
          <w:jc w:val="center"/>
        </w:trPr>
        <w:tc>
          <w:tcPr>
            <w:tcW w:w="8820" w:type="dxa"/>
            <w:tcBorders>
              <w:top w:val="nil"/>
              <w:left w:val="nil"/>
              <w:bottom w:val="nil"/>
              <w:right w:val="nil"/>
            </w:tcBorders>
            <w:shd w:val="clear" w:color="auto" w:fill="auto"/>
          </w:tcPr>
          <w:p w14:paraId="0CA20E47" w14:textId="77777777" w:rsidR="00E655F0" w:rsidRPr="00E655F0" w:rsidRDefault="00E655F0" w:rsidP="00E655F0">
            <w:pPr>
              <w:jc w:val="center"/>
              <w:rPr>
                <w:rFonts w:ascii="David" w:hAnsi="David"/>
                <w:b/>
                <w:bCs/>
                <w:sz w:val="32"/>
                <w:szCs w:val="32"/>
                <w:u w:val="single"/>
                <w:rtl/>
              </w:rPr>
            </w:pPr>
            <w:bookmarkStart w:id="5" w:name="PsakDin" w:colFirst="0" w:colLast="0"/>
            <w:bookmarkEnd w:id="0"/>
            <w:bookmarkEnd w:id="1"/>
            <w:r w:rsidRPr="00E655F0">
              <w:rPr>
                <w:rFonts w:ascii="David" w:hAnsi="David"/>
                <w:b/>
                <w:bCs/>
                <w:sz w:val="32"/>
                <w:szCs w:val="32"/>
                <w:u w:val="single"/>
                <w:rtl/>
              </w:rPr>
              <w:t>גזר דין</w:t>
            </w:r>
          </w:p>
          <w:p w14:paraId="400A8133" w14:textId="77777777" w:rsidR="00B2470D" w:rsidRPr="00E655F0" w:rsidRDefault="00B2470D" w:rsidP="00E655F0">
            <w:pPr>
              <w:jc w:val="center"/>
              <w:rPr>
                <w:rFonts w:ascii="David" w:hAnsi="David"/>
                <w:bCs/>
                <w:sz w:val="32"/>
                <w:szCs w:val="32"/>
                <w:u w:val="single"/>
                <w:rtl/>
              </w:rPr>
            </w:pPr>
          </w:p>
        </w:tc>
      </w:tr>
      <w:bookmarkEnd w:id="5"/>
    </w:tbl>
    <w:p w14:paraId="45554FF7" w14:textId="77777777" w:rsidR="00B2470D" w:rsidRPr="000F2247" w:rsidRDefault="00B2470D" w:rsidP="00B2470D">
      <w:pPr>
        <w:rPr>
          <w:rFonts w:ascii="Arial" w:hAnsi="Arial"/>
          <w:b/>
          <w:bCs/>
          <w:sz w:val="26"/>
          <w:szCs w:val="26"/>
          <w:rtl/>
        </w:rPr>
      </w:pPr>
    </w:p>
    <w:p w14:paraId="74E99BF5" w14:textId="77777777" w:rsidR="00B2470D" w:rsidRDefault="00B2470D" w:rsidP="00B2470D">
      <w:pPr>
        <w:spacing w:line="360" w:lineRule="auto"/>
        <w:jc w:val="both"/>
        <w:rPr>
          <w:b/>
          <w:bCs/>
          <w:sz w:val="26"/>
          <w:szCs w:val="26"/>
          <w:u w:val="single"/>
        </w:rPr>
      </w:pPr>
    </w:p>
    <w:p w14:paraId="4110EF0E" w14:textId="77777777" w:rsidR="00B2470D" w:rsidRDefault="00B2470D" w:rsidP="00B2470D">
      <w:pPr>
        <w:spacing w:line="360" w:lineRule="auto"/>
        <w:jc w:val="both"/>
        <w:rPr>
          <w:b/>
          <w:bCs/>
          <w:sz w:val="26"/>
          <w:szCs w:val="26"/>
          <w:u w:val="single"/>
          <w:rtl/>
        </w:rPr>
      </w:pPr>
    </w:p>
    <w:p w14:paraId="41AFB90A" w14:textId="77777777" w:rsidR="00B2470D" w:rsidRDefault="00B2470D" w:rsidP="00B2470D">
      <w:pPr>
        <w:spacing w:line="360" w:lineRule="auto"/>
        <w:jc w:val="both"/>
        <w:rPr>
          <w:sz w:val="26"/>
          <w:szCs w:val="26"/>
          <w:rtl/>
        </w:rPr>
      </w:pPr>
      <w:r>
        <w:rPr>
          <w:rFonts w:hint="cs"/>
          <w:b/>
          <w:bCs/>
          <w:sz w:val="26"/>
          <w:szCs w:val="26"/>
          <w:u w:val="single"/>
          <w:rtl/>
        </w:rPr>
        <w:t>כתב האישום</w:t>
      </w:r>
    </w:p>
    <w:p w14:paraId="0D5A7D04" w14:textId="77777777" w:rsidR="00B2470D" w:rsidRPr="00B2470D" w:rsidRDefault="00B2470D" w:rsidP="00B2470D">
      <w:pPr>
        <w:spacing w:line="360" w:lineRule="auto"/>
        <w:jc w:val="both"/>
        <w:rPr>
          <w:rFonts w:eastAsia="Calibri"/>
          <w:sz w:val="26"/>
          <w:szCs w:val="26"/>
          <w:rtl/>
        </w:rPr>
      </w:pPr>
      <w:bookmarkStart w:id="6" w:name="ABSTRACT_START"/>
      <w:bookmarkEnd w:id="6"/>
      <w:r>
        <w:rPr>
          <w:rFonts w:hint="cs"/>
          <w:sz w:val="26"/>
          <w:szCs w:val="26"/>
          <w:rtl/>
        </w:rPr>
        <w:t>הנאשם הורשע על פי הודאתו, במסגרת הסדר טיעון, בכתב אישום מתוקן, בעבירה של</w:t>
      </w:r>
      <w:r>
        <w:rPr>
          <w:rFonts w:hint="cs"/>
          <w:b/>
          <w:bCs/>
          <w:sz w:val="26"/>
          <w:szCs w:val="26"/>
          <w:rtl/>
        </w:rPr>
        <w:t xml:space="preserve"> נשיאת נשק ותחמושת</w:t>
      </w:r>
      <w:r>
        <w:rPr>
          <w:rFonts w:hint="cs"/>
          <w:sz w:val="26"/>
          <w:szCs w:val="26"/>
          <w:rtl/>
        </w:rPr>
        <w:t xml:space="preserve"> – עבירה על סעיף </w:t>
      </w:r>
      <w:hyperlink r:id="rId9" w:history="1">
        <w:r w:rsidR="00857BEF" w:rsidRPr="00857BEF">
          <w:rPr>
            <w:rStyle w:val="Hyperlink"/>
            <w:sz w:val="26"/>
            <w:szCs w:val="26"/>
            <w:rtl/>
          </w:rPr>
          <w:t>144 (ב)</w:t>
        </w:r>
      </w:hyperlink>
      <w:r>
        <w:rPr>
          <w:rFonts w:hint="cs"/>
          <w:sz w:val="26"/>
          <w:szCs w:val="26"/>
          <w:rtl/>
        </w:rPr>
        <w:t xml:space="preserve"> רישא וסיפא ל</w:t>
      </w:r>
      <w:hyperlink r:id="rId10" w:history="1">
        <w:r w:rsidR="00E655F0" w:rsidRPr="00E655F0">
          <w:rPr>
            <w:color w:val="0000FF"/>
            <w:sz w:val="26"/>
            <w:szCs w:val="26"/>
            <w:u w:val="single"/>
            <w:rtl/>
          </w:rPr>
          <w:t>חוק העונשין</w:t>
        </w:r>
      </w:hyperlink>
      <w:r>
        <w:rPr>
          <w:rFonts w:hint="cs"/>
          <w:sz w:val="26"/>
          <w:szCs w:val="26"/>
          <w:rtl/>
        </w:rPr>
        <w:t>, תשל"ז-1977 (להלן: "</w:t>
      </w:r>
      <w:r>
        <w:rPr>
          <w:rFonts w:hint="cs"/>
          <w:b/>
          <w:bCs/>
          <w:sz w:val="26"/>
          <w:szCs w:val="26"/>
          <w:rtl/>
        </w:rPr>
        <w:t>החוק</w:t>
      </w:r>
      <w:r>
        <w:rPr>
          <w:rFonts w:hint="cs"/>
          <w:sz w:val="26"/>
          <w:szCs w:val="26"/>
          <w:rtl/>
        </w:rPr>
        <w:t>").</w:t>
      </w:r>
    </w:p>
    <w:p w14:paraId="637AC7C3" w14:textId="77777777" w:rsidR="00B2470D" w:rsidRDefault="00B2470D" w:rsidP="00B2470D">
      <w:pPr>
        <w:spacing w:line="360" w:lineRule="auto"/>
        <w:jc w:val="both"/>
        <w:rPr>
          <w:rFonts w:eastAsia="David"/>
          <w:sz w:val="26"/>
          <w:szCs w:val="26"/>
        </w:rPr>
      </w:pPr>
    </w:p>
    <w:p w14:paraId="784E5E5A" w14:textId="77777777" w:rsidR="00B2470D" w:rsidRDefault="00B2470D" w:rsidP="00B2470D">
      <w:pPr>
        <w:spacing w:line="360" w:lineRule="auto"/>
        <w:jc w:val="both"/>
        <w:rPr>
          <w:sz w:val="26"/>
          <w:szCs w:val="26"/>
          <w:rtl/>
        </w:rPr>
      </w:pPr>
      <w:bookmarkStart w:id="7" w:name="ABSTRACT_END"/>
      <w:bookmarkEnd w:id="7"/>
      <w:r>
        <w:rPr>
          <w:rFonts w:hint="cs"/>
          <w:b/>
          <w:bCs/>
          <w:sz w:val="26"/>
          <w:szCs w:val="26"/>
          <w:rtl/>
        </w:rPr>
        <w:t>על פי עובדות כתב האישום המתוקן</w:t>
      </w:r>
      <w:r>
        <w:rPr>
          <w:rFonts w:hint="cs"/>
          <w:sz w:val="26"/>
          <w:szCs w:val="26"/>
          <w:rtl/>
        </w:rPr>
        <w:t>, ביום 3.8.20, בשעות הערב, נסע הנאשם ביחד עם</w:t>
      </w:r>
      <w:r>
        <w:rPr>
          <w:rFonts w:hint="cs"/>
          <w:sz w:val="26"/>
          <w:szCs w:val="26"/>
        </w:rPr>
        <w:t xml:space="preserve"> </w:t>
      </w:r>
      <w:r>
        <w:rPr>
          <w:rFonts w:hint="cs"/>
          <w:sz w:val="26"/>
          <w:szCs w:val="26"/>
          <w:rtl/>
        </w:rPr>
        <w:t>שלושה אחרים ברכב שבבעלותו לחורשה השוכנת ליד הישוב זמר (להלן: "</w:t>
      </w:r>
      <w:r>
        <w:rPr>
          <w:rFonts w:hint="cs"/>
          <w:b/>
          <w:bCs/>
          <w:sz w:val="26"/>
          <w:szCs w:val="26"/>
          <w:rtl/>
        </w:rPr>
        <w:t>המקום</w:t>
      </w:r>
      <w:r>
        <w:rPr>
          <w:rFonts w:hint="cs"/>
          <w:sz w:val="26"/>
          <w:szCs w:val="26"/>
          <w:rtl/>
        </w:rPr>
        <w:t xml:space="preserve">"), שם פגשו שניים נוספים שהגיעו ברכב אחר, ובילו יחד. במהלך הבילוי המשותף במקום, בנסיבות שאינן ידועות במדויק, נשא הנאשם תת מקלע מסוג קרלו (להלן: </w:t>
      </w:r>
      <w:r>
        <w:rPr>
          <w:rFonts w:hint="cs"/>
          <w:b/>
          <w:bCs/>
          <w:sz w:val="26"/>
          <w:szCs w:val="26"/>
          <w:rtl/>
        </w:rPr>
        <w:t>"הנשק</w:t>
      </w:r>
      <w:r>
        <w:rPr>
          <w:rFonts w:hint="cs"/>
          <w:sz w:val="26"/>
          <w:szCs w:val="26"/>
          <w:rtl/>
        </w:rPr>
        <w:t xml:space="preserve">"), טעון במחסנית תואמת וכן מספר כדורי 9 מ"מ המתאימים לסוג הנשק. בהמשך, נורו מהנשק לפחות שלוש </w:t>
      </w:r>
      <w:r>
        <w:rPr>
          <w:rFonts w:hint="cs"/>
          <w:sz w:val="26"/>
          <w:szCs w:val="26"/>
          <w:rtl/>
        </w:rPr>
        <w:lastRenderedPageBreak/>
        <w:t>יריות. לאחר הירי, מסיבה שאינה ברורה, הסליק הנאשם את הנשק, טעון במחסנית ריקה, מתחת לאחד השיחים בקרבת מקום.</w:t>
      </w:r>
    </w:p>
    <w:p w14:paraId="71868CB7" w14:textId="77777777" w:rsidR="00B2470D" w:rsidRDefault="00B2470D" w:rsidP="00B2470D">
      <w:pPr>
        <w:spacing w:line="360" w:lineRule="auto"/>
        <w:jc w:val="both"/>
        <w:rPr>
          <w:sz w:val="26"/>
          <w:szCs w:val="26"/>
        </w:rPr>
      </w:pPr>
    </w:p>
    <w:p w14:paraId="51D14995" w14:textId="77777777" w:rsidR="00B2470D" w:rsidRDefault="00B2470D" w:rsidP="00B2470D">
      <w:pPr>
        <w:spacing w:line="360" w:lineRule="auto"/>
        <w:jc w:val="both"/>
        <w:rPr>
          <w:sz w:val="26"/>
          <w:szCs w:val="26"/>
          <w:rtl/>
        </w:rPr>
      </w:pPr>
      <w:r>
        <w:rPr>
          <w:rFonts w:hint="cs"/>
          <w:sz w:val="26"/>
          <w:szCs w:val="26"/>
          <w:rtl/>
        </w:rPr>
        <w:t>במסגרת ההסדר לא גובשו הבנות עונשיות, והנאשם הופנה לקבלת תסקיר מטעם שירות המבחן.</w:t>
      </w:r>
    </w:p>
    <w:p w14:paraId="6500B1C4" w14:textId="77777777" w:rsidR="00B2470D" w:rsidRDefault="00B2470D" w:rsidP="00B2470D">
      <w:pPr>
        <w:spacing w:line="360" w:lineRule="auto"/>
        <w:jc w:val="both"/>
        <w:rPr>
          <w:sz w:val="26"/>
          <w:szCs w:val="26"/>
          <w:rtl/>
        </w:rPr>
      </w:pPr>
    </w:p>
    <w:p w14:paraId="66B0A7D5" w14:textId="77777777" w:rsidR="00B2470D" w:rsidRDefault="00B2470D" w:rsidP="00B2470D">
      <w:pPr>
        <w:spacing w:line="360" w:lineRule="auto"/>
        <w:jc w:val="both"/>
        <w:rPr>
          <w:sz w:val="26"/>
          <w:szCs w:val="26"/>
          <w:rtl/>
        </w:rPr>
      </w:pPr>
    </w:p>
    <w:p w14:paraId="22238B58" w14:textId="77777777" w:rsidR="00B2470D" w:rsidRDefault="00B2470D" w:rsidP="00B2470D">
      <w:pPr>
        <w:spacing w:line="360" w:lineRule="auto"/>
        <w:jc w:val="both"/>
        <w:rPr>
          <w:sz w:val="26"/>
          <w:szCs w:val="26"/>
          <w:rtl/>
        </w:rPr>
      </w:pPr>
    </w:p>
    <w:p w14:paraId="48A57733" w14:textId="77777777" w:rsidR="00B2470D" w:rsidRDefault="00B2470D" w:rsidP="00B2470D">
      <w:pPr>
        <w:spacing w:line="360" w:lineRule="auto"/>
        <w:jc w:val="both"/>
        <w:rPr>
          <w:b/>
          <w:bCs/>
          <w:sz w:val="26"/>
          <w:szCs w:val="26"/>
          <w:u w:val="single"/>
          <w:rtl/>
        </w:rPr>
      </w:pPr>
      <w:r>
        <w:rPr>
          <w:rFonts w:hint="cs"/>
          <w:b/>
          <w:bCs/>
          <w:sz w:val="26"/>
          <w:szCs w:val="26"/>
          <w:u w:val="single"/>
          <w:rtl/>
        </w:rPr>
        <w:t>תסקיר שירות המבחן</w:t>
      </w:r>
    </w:p>
    <w:p w14:paraId="0EDABD44" w14:textId="77777777" w:rsidR="00B2470D" w:rsidRDefault="00B2470D" w:rsidP="00B2470D">
      <w:pPr>
        <w:spacing w:line="360" w:lineRule="auto"/>
        <w:jc w:val="both"/>
        <w:rPr>
          <w:sz w:val="26"/>
          <w:szCs w:val="26"/>
          <w:rtl/>
        </w:rPr>
      </w:pPr>
      <w:r>
        <w:rPr>
          <w:rFonts w:hint="cs"/>
          <w:b/>
          <w:bCs/>
          <w:sz w:val="26"/>
          <w:szCs w:val="26"/>
          <w:rtl/>
        </w:rPr>
        <w:t>מהתסקיר שהוגש ביום 5.9.21</w:t>
      </w:r>
      <w:r>
        <w:rPr>
          <w:rFonts w:hint="cs"/>
          <w:sz w:val="26"/>
          <w:szCs w:val="26"/>
          <w:rtl/>
        </w:rPr>
        <w:t>, עולה כי מדובר בצעיר כבן 19, רווק, המתגורר עם בני משפחתו. הנאשם מסר כי סיים 12 שנות לימוד, שלל בעיות מיוחדות לאורך שנות לימודיו ותיאר עצמו כבעל קשרים חברתיים רבים. הנאשם הוא הבן הצעיר מבין שבעה ילדים. הוריו בשנות החמישים לחייהם, אביו בעל עסק לחלקי חילוף רכב והאם אינה עובדת מחוץ לבית. הנאשם מסר כי הוא מנהל קשר תקין עם בני משפחתו.</w:t>
      </w:r>
    </w:p>
    <w:p w14:paraId="789B9618" w14:textId="77777777" w:rsidR="00B2470D" w:rsidRDefault="00B2470D" w:rsidP="00B2470D">
      <w:pPr>
        <w:spacing w:line="360" w:lineRule="auto"/>
        <w:jc w:val="both"/>
        <w:rPr>
          <w:sz w:val="26"/>
          <w:szCs w:val="26"/>
          <w:rtl/>
        </w:rPr>
      </w:pPr>
    </w:p>
    <w:p w14:paraId="03D9FFFF" w14:textId="77777777" w:rsidR="00B2470D" w:rsidRDefault="00B2470D" w:rsidP="00B2470D">
      <w:pPr>
        <w:spacing w:line="360" w:lineRule="auto"/>
        <w:jc w:val="both"/>
        <w:rPr>
          <w:sz w:val="26"/>
          <w:szCs w:val="26"/>
          <w:rtl/>
        </w:rPr>
      </w:pPr>
      <w:r>
        <w:rPr>
          <w:rFonts w:hint="cs"/>
          <w:sz w:val="26"/>
          <w:szCs w:val="26"/>
          <w:rtl/>
        </w:rPr>
        <w:t xml:space="preserve">הנאשם נעדר עבר פלילי. בהתייחסותו לעבירה נשוא הדיון הנוכחי, הודה בביצועה והביע חרטה על התנהגותו. לדבריו, השלושה שנסעו עמו במכוניתו הם חברים שלו, אך את יתר הבחורים שפגש בהמשך לא הכיר כלל. מסר כי ברקע לאירוע עומד מפגש חברתי במהלך חג שכלל שתיית אלכוהול. לדבריו, במהלך המפגש, אחד החברים הסב את תשומת לבו לכך שנמצא נשק ותחמושת בקרבת מקום, ואז אחז בנשק וזרק אותו. שלל מעורבות בירי בנשק. עוד מסר כי ברקע להתנהלותו הבעייתית, שימוש לרעה באלכוהול וקושי בהפעלת שיקול דעת. הנאשם שלל שימוש בסמים ותאר דפוסי שתיית אלכוהול בסופי שבוע וחגים ללא תלות התמכרותית. </w:t>
      </w:r>
    </w:p>
    <w:p w14:paraId="5D3E950E" w14:textId="77777777" w:rsidR="00B2470D" w:rsidRDefault="00B2470D" w:rsidP="00B2470D">
      <w:pPr>
        <w:spacing w:line="360" w:lineRule="auto"/>
        <w:jc w:val="both"/>
        <w:rPr>
          <w:sz w:val="26"/>
          <w:szCs w:val="26"/>
          <w:rtl/>
        </w:rPr>
      </w:pPr>
    </w:p>
    <w:p w14:paraId="44E91580" w14:textId="77777777" w:rsidR="00B2470D" w:rsidRDefault="00B2470D" w:rsidP="00B2470D">
      <w:pPr>
        <w:spacing w:line="360" w:lineRule="auto"/>
        <w:jc w:val="both"/>
        <w:rPr>
          <w:sz w:val="26"/>
          <w:szCs w:val="26"/>
          <w:rtl/>
        </w:rPr>
      </w:pPr>
      <w:r>
        <w:rPr>
          <w:rFonts w:hint="cs"/>
          <w:sz w:val="26"/>
          <w:szCs w:val="26"/>
          <w:rtl/>
        </w:rPr>
        <w:t xml:space="preserve">בשיחתו עם קצינת המבחן שלל קיומם של קשרים שוליים או סכסוך עם גורמים שוליים. תאר כי התנהלותו בעבירה חריגה להתנהלותו הנורמטיבית בדרך כלל. הנאשם גילה מודעות באשר לדרכי התמודדות חלופיים יעילים באירוע העבירה, גילה עמדות שומרות חוק וביטא שאיפות נורמטיביות לעתיד. על אף התרשמות שירות המבחן מקשייו של הנאשם ליטול אחריות מלאה על מעורבותו בעבירה וממודעותו הנמוכה לגורמי הסיכון במצבו, הוצע לו להשתלב בהליכי טיפול ושיקום והנאשם ביטא נכונות לכך. לפיכך שולב הנאשם בקבוצה לצעירים עוברי חוק, החל מחודש יולי 2021. </w:t>
      </w:r>
    </w:p>
    <w:p w14:paraId="3CEA9A0E" w14:textId="77777777" w:rsidR="00B2470D" w:rsidRDefault="00B2470D" w:rsidP="00B2470D">
      <w:pPr>
        <w:spacing w:line="360" w:lineRule="auto"/>
        <w:jc w:val="both"/>
        <w:rPr>
          <w:sz w:val="26"/>
          <w:szCs w:val="26"/>
          <w:rtl/>
        </w:rPr>
      </w:pPr>
    </w:p>
    <w:p w14:paraId="0F24DAAA" w14:textId="77777777" w:rsidR="00B2470D" w:rsidRDefault="00B2470D" w:rsidP="00B2470D">
      <w:pPr>
        <w:spacing w:line="360" w:lineRule="auto"/>
        <w:jc w:val="both"/>
        <w:rPr>
          <w:sz w:val="26"/>
          <w:szCs w:val="26"/>
          <w:rtl/>
        </w:rPr>
      </w:pPr>
      <w:r>
        <w:rPr>
          <w:rFonts w:hint="cs"/>
          <w:sz w:val="26"/>
          <w:szCs w:val="26"/>
          <w:rtl/>
        </w:rPr>
        <w:lastRenderedPageBreak/>
        <w:t>שירות המבחן התרשם מצעיר, נעדר עבר פלילי, הנמצא בהליך גיבוש זהותו והתפתחותו, בעל תפקוד תקין במישור הלימודי והמשפחתי ושאיפות נורמטיביות לעתיד. להערכתם, ברקע למעורבותו הפלילית עומדים היעדר מסגרת תעסוקתית קבועה, עיסוק במעמדו החברתי, שימוש לרעה באלכוהול, קושי בהפעלת שיקול דעת, והיעדר מודעות מספקת באשר לחומרת מעשיו והשלכותיהם. עם זאת, לא התרשם השירות מדפוסי חשיבה והתנהגות עברייניים מושרשים, ונוכח הפוטנציאל השיקומי התבקשה דחייה של שלושה חודשים על מנת שהנאשם ימשיך את הטיפול בו שולב.</w:t>
      </w:r>
    </w:p>
    <w:p w14:paraId="13E55B7D" w14:textId="77777777" w:rsidR="00B2470D" w:rsidRDefault="00B2470D" w:rsidP="00B2470D">
      <w:pPr>
        <w:spacing w:line="360" w:lineRule="auto"/>
        <w:jc w:val="both"/>
        <w:rPr>
          <w:sz w:val="26"/>
          <w:szCs w:val="26"/>
          <w:rtl/>
        </w:rPr>
      </w:pPr>
    </w:p>
    <w:p w14:paraId="60F398EF" w14:textId="77777777" w:rsidR="00B2470D" w:rsidRDefault="00B2470D" w:rsidP="00B2470D">
      <w:pPr>
        <w:spacing w:line="360" w:lineRule="auto"/>
        <w:jc w:val="both"/>
        <w:rPr>
          <w:sz w:val="26"/>
          <w:szCs w:val="26"/>
          <w:rtl/>
        </w:rPr>
      </w:pPr>
      <w:r>
        <w:rPr>
          <w:rFonts w:hint="cs"/>
          <w:b/>
          <w:bCs/>
          <w:sz w:val="26"/>
          <w:szCs w:val="26"/>
          <w:rtl/>
        </w:rPr>
        <w:t>בתסקיר המשלים מיום 18.1.22</w:t>
      </w:r>
      <w:r>
        <w:rPr>
          <w:rFonts w:hint="cs"/>
          <w:sz w:val="26"/>
          <w:szCs w:val="26"/>
          <w:rtl/>
        </w:rPr>
        <w:t xml:space="preserve">, דווח על המשך השילוב בקבוצה הייעודית לצעירים עוברי חוק. תחילה היה עסוק בהתמקמות, באופן מותאם לשלב הראשוני בו מצוי ההליך הטיפולי, אך כבר בחודש אוקטובר 2021 עדכן הנאשם כי הוא טרוד בגין מצבו הרפואי וצפוי לעבור ניתוח ברגלו, ולכן אינו יכול להתחייב ולהמשיך להגיע למפגשים הקבוצתיים בעת הנוכחית. שירות המבחן שיקף לנאשם את מורכבות מצבו ואת הבעייתיות שבהפסקת הטיפול, אך הנאשם ביטא נכונות להמשיך השתתפותו בטיפול רק כשמצבו הרפואי ישתפר. בהמשך, ניתק הנאשם קשר עם שירות המבחן, והניסיונות ליצור עמו קשר לא צלחו. </w:t>
      </w:r>
    </w:p>
    <w:p w14:paraId="7C3EF072" w14:textId="77777777" w:rsidR="00B2470D" w:rsidRDefault="00B2470D" w:rsidP="00B2470D">
      <w:pPr>
        <w:spacing w:line="360" w:lineRule="auto"/>
        <w:jc w:val="both"/>
        <w:rPr>
          <w:sz w:val="26"/>
          <w:szCs w:val="26"/>
          <w:rtl/>
        </w:rPr>
      </w:pPr>
    </w:p>
    <w:p w14:paraId="159B4DA3" w14:textId="77777777" w:rsidR="00B2470D" w:rsidRDefault="00B2470D" w:rsidP="00B2470D">
      <w:pPr>
        <w:spacing w:line="360" w:lineRule="auto"/>
        <w:jc w:val="both"/>
        <w:rPr>
          <w:sz w:val="26"/>
          <w:szCs w:val="26"/>
          <w:rtl/>
        </w:rPr>
      </w:pPr>
      <w:r>
        <w:rPr>
          <w:rFonts w:hint="cs"/>
          <w:sz w:val="26"/>
          <w:szCs w:val="26"/>
          <w:rtl/>
        </w:rPr>
        <w:t xml:space="preserve">על יסוד נתונים אלה העריך שירות המבחן את רמת מסוכנותו של הנאשם להישנות עבירות בעתיד כבינונית. כגורמי סיכון נשקלו מעורבותו בעבירה וחומרתה, היעדר מסגרת תעסוקתית קבועה, התרשמות מצרכיו בשייכות חברתית ועיסוק במעמדו החברתי, קשייו להציב לעצמו גבולות ולסביבתו, שימוש לרעה באלכוהול, קושי בהפעלת שיקול דעת, היעדר מודעות מספקת באשר לחומרת מעשיו והשלכותיהם, רמת מסוכנותו המוערכת כבינונית, קושי בשיתוף פעולה עם שירות המבחן ומודעות נמוכה למורכבות מצבו. כגורמי סיכוי לשיקום נלקחו בחשבון ההודאה במעשים, העדר עבר פלילי, תפקודו התקין עד כה במישורי חייו השונים, הערכת שירות המבחן כי אינו בעל דפוסים עברייניים מושרשים וכן ההערכה ממידת חומרה נמוכה הצפויה במידה ויבצע עבירות בעתיד. התוצאה היא כי קיים סיכון להישנות עבירות, כאשר שילוב בטיפול יכול היה להפחית את הסיכון. אלא שלאור קשייו של הנאשם לשתף פעולה, ניתוק הקשר עם השירות וההתרשמות ממוטיבציה ומודעות נמוכה למצבו ולחשיבות הטיפול, לא נוצר פתח למעורבות טיפולית ועל כן לא בא שירות המבחן בהמלצה טיפולית בעניינו של הנאשם. </w:t>
      </w:r>
    </w:p>
    <w:p w14:paraId="01FE2263" w14:textId="77777777" w:rsidR="00B2470D" w:rsidRDefault="00B2470D" w:rsidP="00B2470D">
      <w:pPr>
        <w:spacing w:line="360" w:lineRule="auto"/>
        <w:jc w:val="both"/>
        <w:rPr>
          <w:sz w:val="26"/>
          <w:szCs w:val="26"/>
          <w:rtl/>
        </w:rPr>
      </w:pPr>
    </w:p>
    <w:p w14:paraId="0D79DDF9" w14:textId="77777777" w:rsidR="00B2470D" w:rsidRDefault="00B2470D" w:rsidP="00B2470D">
      <w:pPr>
        <w:spacing w:line="360" w:lineRule="auto"/>
        <w:jc w:val="both"/>
        <w:rPr>
          <w:sz w:val="26"/>
          <w:szCs w:val="26"/>
          <w:rtl/>
        </w:rPr>
      </w:pPr>
    </w:p>
    <w:p w14:paraId="1745612B" w14:textId="77777777" w:rsidR="00B2470D" w:rsidRDefault="00B2470D" w:rsidP="00B2470D">
      <w:pPr>
        <w:spacing w:line="360" w:lineRule="auto"/>
        <w:jc w:val="both"/>
        <w:rPr>
          <w:sz w:val="26"/>
          <w:szCs w:val="26"/>
          <w:rtl/>
        </w:rPr>
      </w:pPr>
      <w:r>
        <w:rPr>
          <w:rFonts w:hint="cs"/>
          <w:b/>
          <w:bCs/>
          <w:sz w:val="26"/>
          <w:szCs w:val="26"/>
          <w:u w:val="single"/>
          <w:rtl/>
        </w:rPr>
        <w:t>טיעוני הצדדים</w:t>
      </w:r>
    </w:p>
    <w:p w14:paraId="5BAD7294" w14:textId="77777777" w:rsidR="00B2470D" w:rsidRDefault="00B2470D" w:rsidP="00B2470D">
      <w:pPr>
        <w:spacing w:line="360" w:lineRule="auto"/>
        <w:jc w:val="both"/>
        <w:rPr>
          <w:sz w:val="26"/>
          <w:szCs w:val="26"/>
          <w:rtl/>
        </w:rPr>
      </w:pPr>
      <w:r>
        <w:rPr>
          <w:rFonts w:hint="cs"/>
          <w:sz w:val="26"/>
          <w:szCs w:val="26"/>
          <w:rtl/>
        </w:rPr>
        <w:t>ב"כ המאשימה הדגיש בטיעוניו את החומרה הרבה שבמעשיו של הנאשם ואת פגיעתם בערכים חברתיים חשובים, ובראשם ההגנה על שלומו ובטחונו של הציבור. עוד הדגיש את הסיכון הרב הכרוך בעבירות נשק, ציין את החשיבות שבענישה מרתיעה והזכיר כי עבירות מעין אלו הוכרו כמכת מדינה, תוך שהוא מפנה להוראת השעה בה נקבעו עונשי מינימום בעבירות נשק ולדברי ההסבר לה. לטענתו, הפגיעה בערכים המוגנים היא ברף גבוה, שכן מדובר בעבירה של נשיאת תת מקלע, שהוא נשק התקפי בעל פוטנציאל נזק גבוה מזה של אקדח. בנוסף, החזיק הנאשם תחמושת תואמת כאשר בפועל אף נורו מספר יריות בסמוך לאזור מגורים. ב"כ המאשימה הפנה לאסופת פסיקה ועתר למתחם ענישה הנע בין 30 ל-60 חודשי מאסר בפועל.</w:t>
      </w:r>
    </w:p>
    <w:p w14:paraId="28118E4E" w14:textId="77777777" w:rsidR="00B2470D" w:rsidRDefault="00B2470D" w:rsidP="00B2470D">
      <w:pPr>
        <w:spacing w:line="360" w:lineRule="auto"/>
        <w:jc w:val="both"/>
        <w:rPr>
          <w:sz w:val="26"/>
          <w:szCs w:val="26"/>
          <w:rtl/>
        </w:rPr>
      </w:pPr>
    </w:p>
    <w:p w14:paraId="448D0773" w14:textId="77777777" w:rsidR="00B2470D" w:rsidRDefault="00B2470D" w:rsidP="00B2470D">
      <w:pPr>
        <w:spacing w:line="360" w:lineRule="auto"/>
        <w:jc w:val="both"/>
        <w:rPr>
          <w:sz w:val="26"/>
          <w:szCs w:val="26"/>
          <w:rtl/>
        </w:rPr>
      </w:pPr>
      <w:r>
        <w:rPr>
          <w:rFonts w:hint="cs"/>
          <w:sz w:val="26"/>
          <w:szCs w:val="26"/>
          <w:rtl/>
        </w:rPr>
        <w:t xml:space="preserve">באשר לנסיבות שאינן קשורות לביצוע העבירה, הזכיר כי מדובר בנאשם ללא עבר פלילי, אשר נטל אחריות וחסך זמן ציבורי. התובע הפנה לתסקיר שירות המבחן, ממנו עולה כי הנאשם בעל פוטנציאל שיקומי ואינו מחזיק בדפוסים עבריינים מושרשים, אך ציין כי מלכתחילה שיתוף הפעולה עם שירות המבחן לא היה מיטבי, וכי הנאשם לא השכיל לנצל את ההזדמנות וניתק קשר עם שירות המבחן. לאור דברים אלו עתר למקם את הנאשם בחלקו התחתון של המתחם, לצד מאסר על תנאי וקנס. </w:t>
      </w:r>
    </w:p>
    <w:p w14:paraId="71639AB2" w14:textId="77777777" w:rsidR="00B2470D" w:rsidRDefault="00B2470D" w:rsidP="00B2470D">
      <w:pPr>
        <w:spacing w:line="360" w:lineRule="auto"/>
        <w:jc w:val="both"/>
        <w:rPr>
          <w:sz w:val="26"/>
          <w:szCs w:val="26"/>
          <w:rtl/>
        </w:rPr>
      </w:pPr>
    </w:p>
    <w:p w14:paraId="1532894A" w14:textId="77777777" w:rsidR="00B2470D" w:rsidRDefault="00B2470D" w:rsidP="00B2470D">
      <w:pPr>
        <w:spacing w:line="360" w:lineRule="auto"/>
        <w:jc w:val="both"/>
        <w:rPr>
          <w:sz w:val="26"/>
          <w:szCs w:val="26"/>
          <w:rtl/>
        </w:rPr>
      </w:pPr>
      <w:r>
        <w:rPr>
          <w:rFonts w:hint="cs"/>
          <w:sz w:val="26"/>
          <w:szCs w:val="26"/>
          <w:rtl/>
        </w:rPr>
        <w:t>ב"כ הנאשם לא התעלמה בטיעוניה ממגמת ההחמרה בענישה לגבי עבירות נשק, אך הדגישה כי את המתחם יש להתאים לנסיבות הספציפיות של ביצוע העבירה, אשר לטענתה מצויות במקרה זה ברף החומרה הנמוך, וגם הפגיעה בערכים החברתיים המוגנים הנה בתחתית המדרג. עוד ציינה הסנגורית המלומדת כי כתב האישום תוקן לקולה באופן משמעותי. לנאשם לא מיוחסת מעורבות בעבירת הירי, וגם הנשיאה הייתה לפרק זמן קצר בלבד, בחורשה שאינה סמוכה גיאוגרפית למקום מגורים כלשהו.</w:t>
      </w:r>
    </w:p>
    <w:p w14:paraId="4EC9A1A4" w14:textId="77777777" w:rsidR="00B2470D" w:rsidRDefault="00B2470D" w:rsidP="00B2470D">
      <w:pPr>
        <w:spacing w:line="360" w:lineRule="auto"/>
        <w:jc w:val="both"/>
        <w:rPr>
          <w:sz w:val="26"/>
          <w:szCs w:val="26"/>
          <w:rtl/>
        </w:rPr>
      </w:pPr>
    </w:p>
    <w:p w14:paraId="284AEE8A" w14:textId="77777777" w:rsidR="00B2470D" w:rsidRDefault="00B2470D" w:rsidP="00B2470D">
      <w:pPr>
        <w:spacing w:line="360" w:lineRule="auto"/>
        <w:jc w:val="both"/>
        <w:rPr>
          <w:sz w:val="26"/>
          <w:szCs w:val="26"/>
          <w:rtl/>
        </w:rPr>
      </w:pPr>
      <w:r>
        <w:rPr>
          <w:rFonts w:hint="cs"/>
          <w:sz w:val="26"/>
          <w:szCs w:val="26"/>
          <w:rtl/>
        </w:rPr>
        <w:t>באשר לנסיבות שאינן קשורות לביצוע העבירה ציינה כי הנאשם הוא צעיר, ללא עבר פלילי, כאשר בעת ביצוע העבירה היה כבן 18.5 בלבד. עוד הפנתה לתסקירי שירות המבחן אשר אמנם לא כוללים המלצה טיפולית, בשל הפסקת הטיפול עקב בעיה רפואית, אך עולה מהם, בין היתר, כי הנאשם אינו בעל דפוסים עבריינים, כי הוא בעל פוטנציאל שיקום וכי הסתבכותו בעבירה נבעה מקשיים אישיותיים והיא חריגה לאורחות חייו. בהמשך, הפנתה לפסיקה אשר מציגה מתחמי ענישה מתונים יותר, מזה אליו עתר ב"כ המאשימה, וביקשה לקבוע מתחם ענישה אשר יתחיל בשנת מאסר. על רקע נתוניו של הנאשם ועברו הנקי ביקשה הסנגורית כי בית המשפט ישקול מתן הזדמנות נוספת לנאשם להשתלב בטיפול, וכי על רקע תקופת מעצרו, כחודשיים, תישקל האפשרות להסתפק במקרה זה בעבודות שירות.</w:t>
      </w:r>
    </w:p>
    <w:p w14:paraId="5DADF56E" w14:textId="77777777" w:rsidR="00B2470D" w:rsidRDefault="00B2470D" w:rsidP="00B2470D">
      <w:pPr>
        <w:spacing w:line="360" w:lineRule="auto"/>
        <w:jc w:val="both"/>
        <w:rPr>
          <w:sz w:val="26"/>
          <w:szCs w:val="26"/>
          <w:rtl/>
        </w:rPr>
      </w:pPr>
    </w:p>
    <w:p w14:paraId="75AD59DE" w14:textId="77777777" w:rsidR="00B2470D" w:rsidRDefault="00B2470D" w:rsidP="00B2470D">
      <w:pPr>
        <w:spacing w:line="360" w:lineRule="auto"/>
        <w:jc w:val="both"/>
        <w:rPr>
          <w:sz w:val="26"/>
          <w:szCs w:val="26"/>
          <w:rtl/>
        </w:rPr>
      </w:pPr>
      <w:r>
        <w:rPr>
          <w:rFonts w:hint="cs"/>
          <w:sz w:val="26"/>
          <w:szCs w:val="26"/>
          <w:rtl/>
        </w:rPr>
        <w:t>לבסוף, שמעתי גם את דברי הנאשם עצמו, אשר ביקש לפנות שוב לשירות המבחן וציין כי לא יכול היה להמשיך בטיפול בשל הפגיעה ברגלו.</w:t>
      </w:r>
    </w:p>
    <w:p w14:paraId="165DA2D8" w14:textId="77777777" w:rsidR="00B2470D" w:rsidRDefault="00B2470D" w:rsidP="00B2470D">
      <w:pPr>
        <w:spacing w:line="360" w:lineRule="auto"/>
        <w:jc w:val="both"/>
        <w:rPr>
          <w:sz w:val="26"/>
          <w:szCs w:val="26"/>
          <w:rtl/>
        </w:rPr>
      </w:pPr>
    </w:p>
    <w:p w14:paraId="213D026D" w14:textId="77777777" w:rsidR="00B2470D" w:rsidRDefault="00B2470D" w:rsidP="00B2470D">
      <w:pPr>
        <w:spacing w:line="360" w:lineRule="auto"/>
        <w:jc w:val="both"/>
        <w:rPr>
          <w:sz w:val="26"/>
          <w:szCs w:val="26"/>
          <w:rtl/>
        </w:rPr>
      </w:pPr>
    </w:p>
    <w:p w14:paraId="3C92CDCA" w14:textId="77777777" w:rsidR="00B2470D" w:rsidRDefault="00B2470D" w:rsidP="00B2470D">
      <w:pPr>
        <w:spacing w:line="360" w:lineRule="auto"/>
        <w:jc w:val="both"/>
        <w:rPr>
          <w:color w:val="0070C0"/>
          <w:sz w:val="26"/>
          <w:szCs w:val="26"/>
          <w:rtl/>
        </w:rPr>
      </w:pPr>
      <w:r>
        <w:rPr>
          <w:rFonts w:hint="cs"/>
          <w:b/>
          <w:bCs/>
          <w:sz w:val="26"/>
          <w:szCs w:val="26"/>
          <w:u w:val="single"/>
          <w:rtl/>
        </w:rPr>
        <w:t xml:space="preserve">דיון והכרעה </w:t>
      </w:r>
    </w:p>
    <w:p w14:paraId="66ED8F14" w14:textId="77777777" w:rsidR="00B2470D" w:rsidRDefault="00B2470D" w:rsidP="00B2470D">
      <w:pPr>
        <w:spacing w:line="360" w:lineRule="auto"/>
        <w:jc w:val="both"/>
        <w:rPr>
          <w:color w:val="0070C0"/>
          <w:sz w:val="26"/>
          <w:szCs w:val="26"/>
          <w:rtl/>
        </w:rPr>
      </w:pPr>
    </w:p>
    <w:p w14:paraId="4296E428" w14:textId="77777777" w:rsidR="00B2470D" w:rsidRDefault="00B2470D" w:rsidP="00B2470D">
      <w:pPr>
        <w:spacing w:line="360" w:lineRule="auto"/>
        <w:ind w:left="737" w:right="737"/>
        <w:jc w:val="both"/>
        <w:rPr>
          <w:sz w:val="26"/>
          <w:szCs w:val="26"/>
          <w:rtl/>
        </w:rPr>
      </w:pPr>
      <w:r>
        <w:rPr>
          <w:rFonts w:hint="cs"/>
          <w:spacing w:val="10"/>
          <w:sz w:val="26"/>
          <w:szCs w:val="26"/>
          <w:rtl/>
        </w:rPr>
        <w:t>"</w:t>
      </w:r>
      <w:r>
        <w:rPr>
          <w:rFonts w:hint="cs"/>
          <w:b/>
          <w:bCs/>
          <w:spacing w:val="10"/>
          <w:sz w:val="26"/>
          <w:szCs w:val="26"/>
          <w:rtl/>
        </w:rPr>
        <w:t>סעיף 144(ב) ל</w:t>
      </w:r>
      <w:hyperlink r:id="rId11" w:history="1">
        <w:r w:rsidR="00E655F0" w:rsidRPr="00E655F0">
          <w:rPr>
            <w:b/>
            <w:bCs/>
            <w:color w:val="0000FF"/>
            <w:spacing w:val="10"/>
            <w:sz w:val="26"/>
            <w:szCs w:val="26"/>
            <w:u w:val="single"/>
            <w:rtl/>
          </w:rPr>
          <w:t>חוק העונשין</w:t>
        </w:r>
      </w:hyperlink>
      <w:r>
        <w:rPr>
          <w:rFonts w:hint="cs"/>
          <w:b/>
          <w:bCs/>
          <w:spacing w:val="10"/>
          <w:sz w:val="26"/>
          <w:szCs w:val="26"/>
          <w:rtl/>
        </w:rPr>
        <w:t xml:space="preserve"> אוסר על נשיאה או הובלה של כלי נשק, "בלא רשות על פי דין". האיסור נועד להגן על ערך חיי האדם, שלמות גופו ונפשו, כמו גם לקדם את השמירה על הסדר הציבורי ואורח חיים תקין, שלו ובטוח (</w:t>
      </w:r>
      <w:hyperlink r:id="rId12" w:history="1">
        <w:r w:rsidR="00E655F0" w:rsidRPr="00E655F0">
          <w:rPr>
            <w:b/>
            <w:bCs/>
            <w:color w:val="0000FF"/>
            <w:spacing w:val="10"/>
            <w:sz w:val="26"/>
            <w:szCs w:val="26"/>
            <w:u w:val="single"/>
            <w:rtl/>
          </w:rPr>
          <w:t>ע"פ 147/21</w:t>
        </w:r>
      </w:hyperlink>
      <w:r>
        <w:rPr>
          <w:rFonts w:hint="cs"/>
          <w:b/>
          <w:bCs/>
          <w:spacing w:val="10"/>
          <w:sz w:val="26"/>
          <w:szCs w:val="26"/>
          <w:rtl/>
        </w:rPr>
        <w:t xml:space="preserve"> מ"י נ' ביטון, פסקה 7 (14.02.21) (להלן: עניין ביטון); </w:t>
      </w:r>
      <w:hyperlink r:id="rId13" w:history="1">
        <w:r w:rsidR="00E655F0" w:rsidRPr="00E655F0">
          <w:rPr>
            <w:b/>
            <w:bCs/>
            <w:color w:val="0000FF"/>
            <w:spacing w:val="10"/>
            <w:sz w:val="26"/>
            <w:szCs w:val="26"/>
            <w:u w:val="single"/>
            <w:rtl/>
          </w:rPr>
          <w:t>ע"פ 8017/20</w:t>
        </w:r>
      </w:hyperlink>
      <w:r>
        <w:rPr>
          <w:rFonts w:hint="cs"/>
          <w:b/>
          <w:bCs/>
          <w:spacing w:val="10"/>
          <w:sz w:val="26"/>
          <w:szCs w:val="26"/>
          <w:rtl/>
        </w:rPr>
        <w:t xml:space="preserve"> מ"י נ' גריפאת, פסקה 6 (22.02.20) (להלן: עניין גריפאת)). עבירה זו, כמו יתר עבירות הנשק, נועדה למנוע התנהגות מסוכנת, ולמזער את הפוטנציאל לגרימת נזקים חמורים. אכן, נשיאה והובלה של כלי נשק, הריהי לעיתים רק הסנונית הראשונה, בואכה מעשים חמורים יותר – חבלה חמורה, שוד מזוין, רצח, וכיוצא באלה (</w:t>
      </w:r>
      <w:hyperlink r:id="rId14" w:history="1">
        <w:r w:rsidR="00E655F0" w:rsidRPr="00E655F0">
          <w:rPr>
            <w:b/>
            <w:bCs/>
            <w:color w:val="0000FF"/>
            <w:spacing w:val="10"/>
            <w:sz w:val="26"/>
            <w:szCs w:val="26"/>
            <w:u w:val="single"/>
            <w:rtl/>
          </w:rPr>
          <w:t>ע"פ 4406/19</w:t>
        </w:r>
      </w:hyperlink>
      <w:r>
        <w:rPr>
          <w:rFonts w:hint="cs"/>
          <w:b/>
          <w:bCs/>
          <w:spacing w:val="10"/>
          <w:sz w:val="26"/>
          <w:szCs w:val="26"/>
          <w:rtl/>
        </w:rPr>
        <w:t xml:space="preserve"> מ"י נ' סובח, פסק דינו של השופט מ' מזוז (05.11.19); </w:t>
      </w:r>
      <w:hyperlink r:id="rId15" w:history="1">
        <w:r w:rsidR="00E655F0" w:rsidRPr="00E655F0">
          <w:rPr>
            <w:b/>
            <w:bCs/>
            <w:color w:val="0000FF"/>
            <w:spacing w:val="10"/>
            <w:sz w:val="26"/>
            <w:szCs w:val="26"/>
            <w:u w:val="single"/>
            <w:rtl/>
          </w:rPr>
          <w:t>ע"פ 116/13</w:t>
        </w:r>
      </w:hyperlink>
      <w:r>
        <w:rPr>
          <w:rFonts w:hint="cs"/>
          <w:b/>
          <w:bCs/>
          <w:spacing w:val="10"/>
          <w:sz w:val="26"/>
          <w:szCs w:val="26"/>
          <w:rtl/>
        </w:rPr>
        <w:t xml:space="preserve"> וקנין נ' מ"י, פסקה 7</w:t>
      </w:r>
      <w:r>
        <w:rPr>
          <w:b/>
          <w:bCs/>
          <w:spacing w:val="10"/>
          <w:sz w:val="26"/>
          <w:szCs w:val="26"/>
        </w:rPr>
        <w:t xml:space="preserve"> (31.07.13)</w:t>
      </w:r>
      <w:r>
        <w:rPr>
          <w:rFonts w:hint="cs"/>
          <w:b/>
          <w:bCs/>
          <w:spacing w:val="10"/>
          <w:sz w:val="26"/>
          <w:szCs w:val="26"/>
          <w:rtl/>
        </w:rPr>
        <w:t>). כמו כן, לא אחת צוין, כי למרבה הצער, חרף האיסור שבדין, הפכה תופעת השימוש בנשק חם למכת מדינה. בעקבות זאת, לשם הרתעה, ניכרת בפסיקה מגמה של החמרה הדרגתית בענישה על עבירות הנשק (</w:t>
      </w:r>
      <w:hyperlink r:id="rId16" w:history="1">
        <w:r w:rsidR="00E655F0" w:rsidRPr="00E655F0">
          <w:rPr>
            <w:b/>
            <w:bCs/>
            <w:color w:val="0000FF"/>
            <w:spacing w:val="10"/>
            <w:sz w:val="26"/>
            <w:szCs w:val="26"/>
            <w:u w:val="single"/>
            <w:rtl/>
          </w:rPr>
          <w:t>ע"פ 5807/20</w:t>
        </w:r>
      </w:hyperlink>
      <w:r>
        <w:rPr>
          <w:rFonts w:hint="cs"/>
          <w:b/>
          <w:bCs/>
          <w:spacing w:val="10"/>
          <w:sz w:val="26"/>
          <w:szCs w:val="26"/>
          <w:rtl/>
        </w:rPr>
        <w:t xml:space="preserve"> שיבלי נ' מ"י, פסקה 8 (30.12.20) (להלן: עניין שיבלי); עניין ביטון, פסקה 7; עניין גריפאת, פסקה 6); לעיתים "השעה צריכה לכך" (בבלי, סנהדרין מו, ע"א).</w:t>
      </w:r>
      <w:r>
        <w:rPr>
          <w:rFonts w:hint="cs"/>
          <w:spacing w:val="10"/>
          <w:sz w:val="26"/>
          <w:szCs w:val="26"/>
          <w:rtl/>
        </w:rPr>
        <w:t>"</w:t>
      </w:r>
    </w:p>
    <w:p w14:paraId="31BBAFF8" w14:textId="77777777" w:rsidR="00B2470D" w:rsidRDefault="00B2470D" w:rsidP="00B2470D">
      <w:pPr>
        <w:spacing w:line="360" w:lineRule="auto"/>
        <w:jc w:val="both"/>
        <w:rPr>
          <w:sz w:val="26"/>
          <w:szCs w:val="26"/>
          <w:rtl/>
        </w:rPr>
      </w:pPr>
    </w:p>
    <w:p w14:paraId="085A83FB" w14:textId="77777777" w:rsidR="00B2470D" w:rsidRDefault="00B2470D" w:rsidP="00B2470D">
      <w:pPr>
        <w:spacing w:line="360" w:lineRule="auto"/>
        <w:jc w:val="both"/>
        <w:rPr>
          <w:sz w:val="26"/>
          <w:szCs w:val="26"/>
          <w:rtl/>
        </w:rPr>
      </w:pPr>
      <w:r>
        <w:rPr>
          <w:rFonts w:hint="cs"/>
          <w:sz w:val="26"/>
          <w:szCs w:val="26"/>
          <w:rtl/>
        </w:rPr>
        <w:t xml:space="preserve">אמרות נוקבות אלה של בית המשפט העליון, הלקוחות מתוך פסק הדין </w:t>
      </w:r>
      <w:r>
        <w:rPr>
          <w:rFonts w:hint="cs"/>
          <w:spacing w:val="10"/>
          <w:sz w:val="26"/>
          <w:szCs w:val="26"/>
          <w:rtl/>
        </w:rPr>
        <w:t>ב</w:t>
      </w:r>
      <w:hyperlink r:id="rId17" w:history="1">
        <w:r w:rsidR="00E655F0" w:rsidRPr="00E655F0">
          <w:rPr>
            <w:color w:val="0000FF"/>
            <w:spacing w:val="10"/>
            <w:sz w:val="26"/>
            <w:szCs w:val="26"/>
            <w:u w:val="single"/>
            <w:rtl/>
          </w:rPr>
          <w:t>ע"פ 5522/20</w:t>
        </w:r>
      </w:hyperlink>
      <w:r>
        <w:rPr>
          <w:rFonts w:hint="cs"/>
          <w:spacing w:val="10"/>
          <w:sz w:val="26"/>
          <w:szCs w:val="26"/>
          <w:rtl/>
        </w:rPr>
        <w:t xml:space="preserve"> </w:t>
      </w:r>
      <w:r>
        <w:rPr>
          <w:rFonts w:hint="cs"/>
          <w:b/>
          <w:bCs/>
          <w:spacing w:val="10"/>
          <w:sz w:val="26"/>
          <w:szCs w:val="26"/>
          <w:rtl/>
        </w:rPr>
        <w:t>חלייחל נ' מ"י</w:t>
      </w:r>
      <w:r>
        <w:rPr>
          <w:rFonts w:hint="cs"/>
          <w:spacing w:val="10"/>
          <w:sz w:val="26"/>
          <w:szCs w:val="26"/>
          <w:rtl/>
        </w:rPr>
        <w:t xml:space="preserve"> (24.02.21) </w:t>
      </w:r>
      <w:r>
        <w:rPr>
          <w:rFonts w:hint="cs"/>
          <w:sz w:val="26"/>
          <w:szCs w:val="26"/>
          <w:rtl/>
        </w:rPr>
        <w:t>מבהירים הבהר היטב את הפגיעה החמורה בערכים החברתיים הבסיסיים ביותר, שעניינם השמירה על הסדר הציבורי, על שלומו ובטחונו של הציבור ועל חיי אנוש ממש, הכרוכה בביצוע עבירות הנשק, לרבות אלה שעניינן החזקה ונשיאה גרידא. עוד מבהירות אותן אמרות את שכיחותה של התופעה ואת ההכרח לנקוט במדיניות ענישה מחמירה, ואף להעלות בהדרגה את רף הענישה, כמענה מרתיע ומציב גבול למעשים.</w:t>
      </w:r>
    </w:p>
    <w:p w14:paraId="1385E138" w14:textId="77777777" w:rsidR="00B2470D" w:rsidRDefault="00B2470D" w:rsidP="00B2470D">
      <w:pPr>
        <w:spacing w:line="360" w:lineRule="auto"/>
        <w:jc w:val="both"/>
        <w:rPr>
          <w:sz w:val="26"/>
          <w:szCs w:val="26"/>
          <w:rtl/>
        </w:rPr>
      </w:pPr>
    </w:p>
    <w:p w14:paraId="121DDB31" w14:textId="77777777" w:rsidR="00B2470D" w:rsidRDefault="00B2470D" w:rsidP="00B2470D">
      <w:pPr>
        <w:spacing w:line="360" w:lineRule="auto"/>
        <w:jc w:val="both"/>
        <w:rPr>
          <w:sz w:val="26"/>
          <w:szCs w:val="26"/>
          <w:rtl/>
        </w:rPr>
      </w:pPr>
      <w:r>
        <w:rPr>
          <w:rFonts w:hint="cs"/>
          <w:b/>
          <w:bCs/>
          <w:sz w:val="26"/>
          <w:szCs w:val="26"/>
          <w:rtl/>
        </w:rPr>
        <w:t>מידת הפגיעה בערכים המוגנים</w:t>
      </w:r>
      <w:r>
        <w:rPr>
          <w:rFonts w:hint="cs"/>
          <w:sz w:val="26"/>
          <w:szCs w:val="26"/>
          <w:rtl/>
        </w:rPr>
        <w:t xml:space="preserve"> הכרוכה במקרה זה אינה מבוטלת כלל ועיקר. מדובר במי שנשא נשק התקפי וקטלני, מסוג תת מקלע, טעון במחסנית ובכדורים תואמים. גם אם מדובר היה בנשיאה לפרק זמן קצר, הרי הסיכון שהיה כרוך בה היה ממשי. הנשיאה בוצעה בנוכחות אנשים נוספים, בחורשה שליד ישוב מאוכלס, ובשלב מסוים אף נורו לפחות שלוש יריות מהנשק. גם אם לנאשם עצמו לא מיוחסת מעורבות ישירה בירי, הרי שמדובר בנסיבה הזורה אור מחמיר ומסכן על האירוע כולו. יתרה מכך, היה זה הנאשם אשר הסליק את הנשק ואת המחסנית הריקה בשיחים, לאחר הירי. מעורבותו של הנאשם במעשים הייתה אפוא משמעותית, ופוטנציאל הנזק שהיה כרוך במעשים אלה אף הוא היה ניכר. </w:t>
      </w:r>
    </w:p>
    <w:p w14:paraId="1E6EA2F8" w14:textId="77777777" w:rsidR="00B2470D" w:rsidRDefault="00B2470D" w:rsidP="00B2470D">
      <w:pPr>
        <w:spacing w:line="360" w:lineRule="auto"/>
        <w:jc w:val="both"/>
        <w:rPr>
          <w:sz w:val="26"/>
          <w:szCs w:val="26"/>
          <w:rtl/>
        </w:rPr>
      </w:pPr>
    </w:p>
    <w:p w14:paraId="156ED877" w14:textId="77777777" w:rsidR="00B2470D" w:rsidRDefault="00B2470D" w:rsidP="00B2470D">
      <w:pPr>
        <w:spacing w:line="360" w:lineRule="auto"/>
        <w:jc w:val="both"/>
        <w:rPr>
          <w:sz w:val="26"/>
          <w:szCs w:val="26"/>
          <w:rtl/>
        </w:rPr>
      </w:pPr>
      <w:r>
        <w:rPr>
          <w:rFonts w:hint="cs"/>
          <w:sz w:val="26"/>
          <w:szCs w:val="26"/>
          <w:rtl/>
        </w:rPr>
        <w:t>באשר ל</w:t>
      </w:r>
      <w:r>
        <w:rPr>
          <w:rFonts w:hint="cs"/>
          <w:b/>
          <w:bCs/>
          <w:sz w:val="26"/>
          <w:szCs w:val="26"/>
          <w:rtl/>
        </w:rPr>
        <w:t>מדיניות הענישה</w:t>
      </w:r>
      <w:r>
        <w:rPr>
          <w:rFonts w:hint="cs"/>
          <w:sz w:val="26"/>
          <w:szCs w:val="26"/>
          <w:rtl/>
        </w:rPr>
        <w:t xml:space="preserve"> </w:t>
      </w:r>
      <w:r>
        <w:rPr>
          <w:rFonts w:hint="cs"/>
          <w:b/>
          <w:bCs/>
          <w:sz w:val="26"/>
          <w:szCs w:val="26"/>
          <w:rtl/>
        </w:rPr>
        <w:t>הנוהגת</w:t>
      </w:r>
      <w:r>
        <w:rPr>
          <w:rFonts w:hint="cs"/>
          <w:sz w:val="26"/>
          <w:szCs w:val="26"/>
          <w:rtl/>
        </w:rPr>
        <w:t xml:space="preserve"> בעבירה של נשיאת נשק בכלל, ונשק מסוג תת מקלע בפרט, הרי שקיימת</w:t>
      </w:r>
      <w:r>
        <w:rPr>
          <w:rFonts w:hint="cs"/>
          <w:rtl/>
        </w:rPr>
        <w:t xml:space="preserve"> </w:t>
      </w:r>
      <w:r>
        <w:rPr>
          <w:rFonts w:hint="cs"/>
          <w:sz w:val="26"/>
          <w:szCs w:val="26"/>
          <w:rtl/>
        </w:rPr>
        <w:t>פסיקה ענפה המבהירה כי דינם של המורשעים בה להישלח, אלא במקרים חריגים ביותר, לתקופת מאסר ממשית מאחורי סורג ובריח, ואפרט:</w:t>
      </w:r>
    </w:p>
    <w:p w14:paraId="587314F0" w14:textId="77777777" w:rsidR="00B2470D" w:rsidRDefault="00B2470D" w:rsidP="00B2470D">
      <w:pPr>
        <w:spacing w:line="360" w:lineRule="auto"/>
        <w:jc w:val="both"/>
        <w:rPr>
          <w:sz w:val="26"/>
          <w:szCs w:val="26"/>
          <w:rtl/>
        </w:rPr>
      </w:pPr>
    </w:p>
    <w:p w14:paraId="51F70E82" w14:textId="77777777" w:rsidR="00B2470D" w:rsidRDefault="00B2470D" w:rsidP="00B2470D">
      <w:pPr>
        <w:spacing w:line="360" w:lineRule="auto"/>
        <w:jc w:val="both"/>
        <w:rPr>
          <w:sz w:val="26"/>
          <w:szCs w:val="26"/>
          <w:rtl/>
        </w:rPr>
      </w:pPr>
      <w:r>
        <w:rPr>
          <w:rFonts w:hint="cs"/>
          <w:sz w:val="26"/>
          <w:szCs w:val="26"/>
          <w:rtl/>
        </w:rPr>
        <w:t>אך לפני שבועות אחדים ניתן פסק דינו של בית המשפט העליון ב</w:t>
      </w:r>
      <w:hyperlink r:id="rId18" w:history="1">
        <w:r w:rsidR="00E655F0" w:rsidRPr="00E655F0">
          <w:rPr>
            <w:color w:val="0000FF"/>
            <w:sz w:val="26"/>
            <w:szCs w:val="26"/>
            <w:u w:val="single"/>
            <w:rtl/>
          </w:rPr>
          <w:t>ע"פ 1695/22</w:t>
        </w:r>
      </w:hyperlink>
      <w:r>
        <w:rPr>
          <w:rFonts w:hint="cs"/>
          <w:sz w:val="26"/>
          <w:szCs w:val="26"/>
          <w:rtl/>
        </w:rPr>
        <w:t xml:space="preserve"> </w:t>
      </w:r>
      <w:r>
        <w:rPr>
          <w:rFonts w:hint="cs"/>
          <w:b/>
          <w:bCs/>
          <w:sz w:val="26"/>
          <w:szCs w:val="26"/>
          <w:rtl/>
        </w:rPr>
        <w:t>מ"י נ' גנאים</w:t>
      </w:r>
      <w:r>
        <w:rPr>
          <w:rFonts w:hint="cs"/>
          <w:sz w:val="26"/>
          <w:szCs w:val="26"/>
          <w:rtl/>
        </w:rPr>
        <w:t xml:space="preserve"> (29.3.22), שם הורשעו הנאשמים, על פי הודאתם, בעבירות החזקה, נשיאה והובלה של תת מקלע מאולתר. הנאשם הראשון נשא את הנשק ברכבו, ובהמשך נכנס הנאשם הנוסף לרכב, כשהנשק מונח בין רגליו. בית המשפט קבע מתחם ענישה לגבי נאשם 1 הנע </w:t>
      </w:r>
      <w:r>
        <w:rPr>
          <w:rFonts w:hint="cs"/>
          <w:b/>
          <w:bCs/>
          <w:sz w:val="26"/>
          <w:szCs w:val="26"/>
          <w:rtl/>
        </w:rPr>
        <w:t>בין 19 ל-36 חודשי מאסר בפועל</w:t>
      </w:r>
      <w:r>
        <w:rPr>
          <w:rFonts w:hint="cs"/>
          <w:sz w:val="26"/>
          <w:szCs w:val="26"/>
          <w:rtl/>
        </w:rPr>
        <w:t xml:space="preserve"> והשית עליו, צעיר ללא עבר פלילי, 19 חודשי מאסר. לגבי נאשם 2, שהורשע גם בעבירות אלימות כלפי השוטרים, נקבע מתחם ענישה הנע בין 9 ל-18 חודשי מאסר והוטלו עליו 10 חודשי מאסר. בית המשפט העליון קיבל את ערעור המדינה והחמיר את עונשם של שני הנאשמים ל-</w:t>
      </w:r>
      <w:r>
        <w:rPr>
          <w:rFonts w:hint="cs"/>
          <w:b/>
          <w:bCs/>
          <w:sz w:val="26"/>
          <w:szCs w:val="26"/>
          <w:rtl/>
        </w:rPr>
        <w:t>22 חודשי מאסר</w:t>
      </w:r>
      <w:r>
        <w:rPr>
          <w:rFonts w:hint="cs"/>
          <w:sz w:val="26"/>
          <w:szCs w:val="26"/>
          <w:rtl/>
        </w:rPr>
        <w:t xml:space="preserve"> </w:t>
      </w:r>
      <w:r>
        <w:rPr>
          <w:rFonts w:hint="cs"/>
          <w:b/>
          <w:bCs/>
          <w:sz w:val="26"/>
          <w:szCs w:val="26"/>
          <w:rtl/>
        </w:rPr>
        <w:t>בפועל</w:t>
      </w:r>
      <w:r>
        <w:rPr>
          <w:rFonts w:hint="cs"/>
          <w:sz w:val="26"/>
          <w:szCs w:val="26"/>
          <w:rtl/>
        </w:rPr>
        <w:t>, בעודו מדגיש כי גזר דינו של בית המשפט המחוזי סוטה באופן מובהק ממדיניות הענישה ההולמת ביחס לשני המשיבים וכי "</w:t>
      </w:r>
      <w:r>
        <w:rPr>
          <w:rFonts w:hint="cs"/>
          <w:b/>
          <w:bCs/>
          <w:sz w:val="26"/>
          <w:szCs w:val="26"/>
          <w:rtl/>
        </w:rPr>
        <w:t>בקביעת העונש יש לשקול את מדיניות ההחמרה בענישה, את היות הנשק ארוך, אוטומטי ובעל פוטנציאל קטלני גבוה, וכן את נסיבות ביצוע העבירה</w:t>
      </w:r>
      <w:r>
        <w:rPr>
          <w:rFonts w:hint="cs"/>
          <w:sz w:val="26"/>
          <w:szCs w:val="26"/>
          <w:rtl/>
        </w:rPr>
        <w:t>".</w:t>
      </w:r>
    </w:p>
    <w:p w14:paraId="0DF46A78" w14:textId="77777777" w:rsidR="00B2470D" w:rsidRDefault="00B2470D" w:rsidP="00B2470D">
      <w:pPr>
        <w:spacing w:line="360" w:lineRule="auto"/>
        <w:jc w:val="both"/>
        <w:rPr>
          <w:sz w:val="26"/>
          <w:szCs w:val="26"/>
          <w:rtl/>
        </w:rPr>
      </w:pPr>
    </w:p>
    <w:p w14:paraId="74A53DE1" w14:textId="77777777" w:rsidR="00B2470D" w:rsidRDefault="00B2470D" w:rsidP="00B2470D">
      <w:pPr>
        <w:spacing w:line="360" w:lineRule="auto"/>
        <w:jc w:val="both"/>
        <w:rPr>
          <w:sz w:val="26"/>
          <w:szCs w:val="26"/>
          <w:rtl/>
        </w:rPr>
      </w:pPr>
      <w:r>
        <w:rPr>
          <w:rFonts w:hint="cs"/>
          <w:sz w:val="26"/>
          <w:szCs w:val="26"/>
          <w:rtl/>
        </w:rPr>
        <w:t>ב</w:t>
      </w:r>
      <w:hyperlink r:id="rId19" w:history="1">
        <w:r w:rsidR="00E655F0" w:rsidRPr="00E655F0">
          <w:rPr>
            <w:color w:val="0000FF"/>
            <w:sz w:val="26"/>
            <w:szCs w:val="26"/>
            <w:u w:val="single"/>
            <w:rtl/>
          </w:rPr>
          <w:t>ע"פ 5819/21</w:t>
        </w:r>
      </w:hyperlink>
      <w:r w:rsidR="00E655F0">
        <w:rPr>
          <w:sz w:val="26"/>
          <w:szCs w:val="26"/>
        </w:rPr>
        <w:t xml:space="preserve"> </w:t>
      </w:r>
      <w:r>
        <w:rPr>
          <w:rFonts w:hint="cs"/>
          <w:b/>
          <w:bCs/>
          <w:sz w:val="26"/>
          <w:szCs w:val="26"/>
          <w:rtl/>
        </w:rPr>
        <w:t>עודה נ' מ"י</w:t>
      </w:r>
      <w:r>
        <w:rPr>
          <w:sz w:val="26"/>
          <w:szCs w:val="26"/>
        </w:rPr>
        <w:t xml:space="preserve">(2.11.21) </w:t>
      </w:r>
      <w:r>
        <w:rPr>
          <w:rFonts w:hint="cs"/>
          <w:sz w:val="26"/>
          <w:szCs w:val="26"/>
          <w:rtl/>
        </w:rPr>
        <w:t>, דחה בית המשפט העליון את ערעורו של נאשם שהורשע, על פי הודאתו, בכך שנשא נשק דמוי תת מקלע ובתוכו מחסנית וכדורים. שוטרים הגיעו למקום לאחר ששמעו קולות ירי. הנאשם ניסה להימלט והשליך את הנשק. בית המשפט המחוזי קבע</w:t>
      </w:r>
      <w:r w:rsidR="00E655F0">
        <w:rPr>
          <w:rFonts w:hint="cs"/>
          <w:sz w:val="26"/>
          <w:szCs w:val="26"/>
          <w:rtl/>
        </w:rPr>
        <w:t xml:space="preserve"> </w:t>
      </w:r>
      <w:r>
        <w:rPr>
          <w:rFonts w:hint="cs"/>
          <w:b/>
          <w:bCs/>
          <w:sz w:val="26"/>
          <w:szCs w:val="26"/>
          <w:rtl/>
        </w:rPr>
        <w:t>מתחם עונש הנע בין 24 ל-48 חודשי מאסר בפועל</w:t>
      </w:r>
      <w:r>
        <w:rPr>
          <w:rFonts w:hint="cs"/>
          <w:sz w:val="26"/>
          <w:szCs w:val="26"/>
          <w:rtl/>
        </w:rPr>
        <w:t>. הנאשם, בעל עבר פלילי ונסיבות חיים קשות, נידון לעונש של</w:t>
      </w:r>
      <w:r w:rsidR="00E655F0">
        <w:rPr>
          <w:rFonts w:hint="cs"/>
          <w:sz w:val="26"/>
          <w:szCs w:val="26"/>
          <w:rtl/>
        </w:rPr>
        <w:t xml:space="preserve"> </w:t>
      </w:r>
      <w:r>
        <w:rPr>
          <w:rFonts w:hint="cs"/>
          <w:b/>
          <w:bCs/>
          <w:sz w:val="26"/>
          <w:szCs w:val="26"/>
          <w:rtl/>
        </w:rPr>
        <w:t>33 חודשי מאסר בפועל</w:t>
      </w:r>
      <w:r>
        <w:rPr>
          <w:rFonts w:hint="cs"/>
          <w:sz w:val="26"/>
          <w:szCs w:val="26"/>
          <w:rtl/>
        </w:rPr>
        <w:t>. בית המשפט העליון הפנה לחומרת העבירה ולצורך בהכבדת הענישה בעבירות אלה ודחה את הערעור</w:t>
      </w:r>
      <w:r>
        <w:rPr>
          <w:sz w:val="26"/>
          <w:szCs w:val="26"/>
        </w:rPr>
        <w:t>.</w:t>
      </w:r>
    </w:p>
    <w:p w14:paraId="0243DB1A" w14:textId="77777777" w:rsidR="00B2470D" w:rsidRDefault="00B2470D" w:rsidP="00B2470D">
      <w:pPr>
        <w:spacing w:line="360" w:lineRule="auto"/>
        <w:jc w:val="both"/>
        <w:rPr>
          <w:color w:val="000000"/>
          <w:sz w:val="26"/>
          <w:szCs w:val="26"/>
          <w:shd w:val="clear" w:color="auto" w:fill="FFFFFF"/>
          <w:rtl/>
        </w:rPr>
      </w:pPr>
    </w:p>
    <w:p w14:paraId="00391964" w14:textId="77777777" w:rsidR="00B2470D" w:rsidRDefault="00B2470D" w:rsidP="00B2470D">
      <w:pPr>
        <w:spacing w:line="360" w:lineRule="auto"/>
        <w:jc w:val="both"/>
        <w:rPr>
          <w:color w:val="000000"/>
          <w:sz w:val="26"/>
          <w:szCs w:val="26"/>
          <w:shd w:val="clear" w:color="auto" w:fill="FFFFFF"/>
          <w:rtl/>
        </w:rPr>
      </w:pPr>
      <w:r>
        <w:rPr>
          <w:rFonts w:hint="cs"/>
          <w:color w:val="000000"/>
          <w:sz w:val="26"/>
          <w:szCs w:val="26"/>
          <w:shd w:val="clear" w:color="auto" w:fill="FFFFFF"/>
          <w:rtl/>
        </w:rPr>
        <w:t>ב</w:t>
      </w:r>
      <w:hyperlink r:id="rId20" w:history="1">
        <w:r w:rsidR="00E655F0" w:rsidRPr="00E655F0">
          <w:rPr>
            <w:color w:val="0000FF"/>
            <w:sz w:val="26"/>
            <w:szCs w:val="26"/>
            <w:u w:val="single"/>
            <w:shd w:val="clear" w:color="auto" w:fill="FFFFFF"/>
            <w:rtl/>
          </w:rPr>
          <w:t>ע"פ 1509/20</w:t>
        </w:r>
      </w:hyperlink>
      <w:r w:rsidR="00E655F0">
        <w:rPr>
          <w:color w:val="000000"/>
          <w:sz w:val="26"/>
          <w:szCs w:val="26"/>
          <w:shd w:val="clear" w:color="auto" w:fill="FFFFFF"/>
        </w:rPr>
        <w:t xml:space="preserve"> </w:t>
      </w:r>
      <w:r>
        <w:rPr>
          <w:rFonts w:hint="cs"/>
          <w:b/>
          <w:bCs/>
          <w:color w:val="000000"/>
          <w:sz w:val="26"/>
          <w:szCs w:val="26"/>
          <w:shd w:val="clear" w:color="auto" w:fill="FFFFFF"/>
          <w:rtl/>
        </w:rPr>
        <w:t>מ"י נ' נבארי</w:t>
      </w:r>
      <w:r w:rsidR="00E655F0">
        <w:rPr>
          <w:rFonts w:hint="cs"/>
          <w:color w:val="000000"/>
          <w:sz w:val="26"/>
          <w:szCs w:val="26"/>
          <w:shd w:val="clear" w:color="auto" w:fill="FFFFFF"/>
          <w:rtl/>
        </w:rPr>
        <w:t xml:space="preserve"> </w:t>
      </w:r>
      <w:r>
        <w:rPr>
          <w:color w:val="000000"/>
          <w:sz w:val="26"/>
          <w:szCs w:val="26"/>
          <w:shd w:val="clear" w:color="auto" w:fill="FFFFFF"/>
        </w:rPr>
        <w:t>(2.7.2020)</w:t>
      </w:r>
      <w:r>
        <w:rPr>
          <w:rFonts w:hint="cs"/>
          <w:color w:val="000000"/>
          <w:sz w:val="26"/>
          <w:szCs w:val="26"/>
          <w:shd w:val="clear" w:color="auto" w:fill="FFFFFF"/>
          <w:rtl/>
        </w:rPr>
        <w:t>, הורשע המשיב, על פי הודאתו, בעבירות של נשיאה והובלה של נשק וירי באזור מגורים. המשיב נהג, בשעת לילה, ברכב בעיר לוד, כשברשותו תת מקלע מאולתר מסוג קרלו, כשהוא דרוך ובו מחסנית טעונה בכדורים. מסיבה בלתי ידועה, המשיב ירה שני כדורים באזור מגורים ועזב את המקום ברכבו. בית המשפט המחוזי קבע</w:t>
      </w:r>
      <w:r w:rsidR="00E655F0">
        <w:rPr>
          <w:rFonts w:hint="cs"/>
          <w:color w:val="000000"/>
          <w:sz w:val="26"/>
          <w:szCs w:val="26"/>
          <w:shd w:val="clear" w:color="auto" w:fill="FFFFFF"/>
          <w:rtl/>
        </w:rPr>
        <w:t xml:space="preserve"> </w:t>
      </w:r>
      <w:r>
        <w:rPr>
          <w:rFonts w:hint="cs"/>
          <w:b/>
          <w:bCs/>
          <w:color w:val="000000"/>
          <w:sz w:val="26"/>
          <w:szCs w:val="26"/>
          <w:shd w:val="clear" w:color="auto" w:fill="FFFFFF"/>
          <w:rtl/>
        </w:rPr>
        <w:t>מתחם ענישה שנע בין 20 ל-50 חודשי מאסר</w:t>
      </w:r>
      <w:r w:rsidR="00E655F0">
        <w:rPr>
          <w:rFonts w:hint="cs"/>
          <w:b/>
          <w:bCs/>
          <w:color w:val="000000"/>
          <w:sz w:val="26"/>
          <w:szCs w:val="26"/>
          <w:shd w:val="clear" w:color="auto" w:fill="FFFFFF"/>
          <w:rtl/>
        </w:rPr>
        <w:t xml:space="preserve"> </w:t>
      </w:r>
      <w:r>
        <w:rPr>
          <w:rFonts w:hint="cs"/>
          <w:color w:val="000000"/>
          <w:sz w:val="26"/>
          <w:szCs w:val="26"/>
          <w:shd w:val="clear" w:color="auto" w:fill="FFFFFF"/>
          <w:rtl/>
        </w:rPr>
        <w:t>והטיל עונש של 27 חודשי מאסר. בית המשפט העליון קיבל את ערעור המדינה והעמיד את עונשו של המשיב על</w:t>
      </w:r>
      <w:r>
        <w:rPr>
          <w:rFonts w:hint="cs"/>
          <w:color w:val="000000"/>
          <w:sz w:val="26"/>
          <w:szCs w:val="26"/>
          <w:shd w:val="clear" w:color="auto" w:fill="FFFFFF"/>
        </w:rPr>
        <w:t xml:space="preserve"> </w:t>
      </w:r>
      <w:r>
        <w:rPr>
          <w:b/>
          <w:bCs/>
          <w:color w:val="000000"/>
          <w:sz w:val="26"/>
          <w:szCs w:val="26"/>
          <w:shd w:val="clear" w:color="auto" w:fill="FFFFFF"/>
        </w:rPr>
        <w:t xml:space="preserve">36 </w:t>
      </w:r>
      <w:r>
        <w:rPr>
          <w:rFonts w:hint="cs"/>
          <w:b/>
          <w:bCs/>
          <w:color w:val="000000"/>
          <w:sz w:val="26"/>
          <w:szCs w:val="26"/>
          <w:shd w:val="clear" w:color="auto" w:fill="FFFFFF"/>
          <w:rtl/>
        </w:rPr>
        <w:t>חודשי מאסר בפועל</w:t>
      </w:r>
      <w:r>
        <w:rPr>
          <w:rFonts w:hint="cs"/>
          <w:color w:val="000000"/>
          <w:sz w:val="26"/>
          <w:szCs w:val="26"/>
          <w:shd w:val="clear" w:color="auto" w:fill="FFFFFF"/>
          <w:rtl/>
        </w:rPr>
        <w:t>. גם הפעם הודגשו בפסק הדין שיקולי ההרתעה, והובהר כי הרף התחתון של המתחם שנקבע נמוך יתר על המידה וכי העונש שהוטל אינו ממצה את הדין עם הנאשם</w:t>
      </w:r>
      <w:r>
        <w:rPr>
          <w:color w:val="000000"/>
          <w:sz w:val="26"/>
          <w:szCs w:val="26"/>
          <w:shd w:val="clear" w:color="auto" w:fill="FFFFFF"/>
        </w:rPr>
        <w:t>.</w:t>
      </w:r>
      <w:r>
        <w:rPr>
          <w:sz w:val="26"/>
          <w:szCs w:val="26"/>
          <w:rtl/>
        </w:rPr>
        <w:t xml:space="preserve"> </w:t>
      </w:r>
      <w:r>
        <w:rPr>
          <w:rFonts w:hint="cs"/>
          <w:color w:val="000000"/>
          <w:sz w:val="26"/>
          <w:szCs w:val="26"/>
          <w:shd w:val="clear" w:color="auto" w:fill="FFFFFF"/>
          <w:rtl/>
        </w:rPr>
        <w:t>תשומת הלב תופנה לעובדה כי במקרה זה הורשע המשיב גם בעבירת הירי, ועל כן מדובר באירוע חמור יותר מזה המיוחס לנאשם שלפני.</w:t>
      </w:r>
    </w:p>
    <w:p w14:paraId="298FB380" w14:textId="77777777" w:rsidR="00B2470D" w:rsidRDefault="00B2470D" w:rsidP="00B2470D">
      <w:pPr>
        <w:spacing w:line="360" w:lineRule="auto"/>
        <w:jc w:val="both"/>
        <w:rPr>
          <w:color w:val="000000"/>
          <w:sz w:val="26"/>
          <w:szCs w:val="26"/>
          <w:shd w:val="clear" w:color="auto" w:fill="FFFFFF"/>
          <w:rtl/>
        </w:rPr>
      </w:pPr>
    </w:p>
    <w:p w14:paraId="08E5F962" w14:textId="77777777" w:rsidR="00B2470D" w:rsidRDefault="00B2470D" w:rsidP="00B2470D">
      <w:pPr>
        <w:spacing w:line="360" w:lineRule="auto"/>
        <w:jc w:val="both"/>
        <w:rPr>
          <w:sz w:val="26"/>
          <w:szCs w:val="26"/>
          <w:rtl/>
        </w:rPr>
      </w:pPr>
      <w:r>
        <w:rPr>
          <w:rFonts w:hint="cs"/>
          <w:color w:val="000000"/>
          <w:sz w:val="26"/>
          <w:szCs w:val="26"/>
          <w:shd w:val="clear" w:color="auto" w:fill="FFFFFF"/>
          <w:rtl/>
        </w:rPr>
        <w:t>ב</w:t>
      </w:r>
      <w:hyperlink r:id="rId21" w:history="1">
        <w:r w:rsidR="00E655F0" w:rsidRPr="00E655F0">
          <w:rPr>
            <w:color w:val="0000FF"/>
            <w:sz w:val="26"/>
            <w:szCs w:val="26"/>
            <w:u w:val="single"/>
            <w:shd w:val="clear" w:color="auto" w:fill="FFFFFF"/>
            <w:rtl/>
          </w:rPr>
          <w:t>ע"פ 5522/20</w:t>
        </w:r>
      </w:hyperlink>
      <w:r w:rsidR="00E655F0">
        <w:rPr>
          <w:b/>
          <w:bCs/>
          <w:color w:val="000000"/>
          <w:sz w:val="26"/>
          <w:szCs w:val="26"/>
          <w:shd w:val="clear" w:color="auto" w:fill="FFFFFF"/>
        </w:rPr>
        <w:t xml:space="preserve"> </w:t>
      </w:r>
      <w:r>
        <w:rPr>
          <w:rFonts w:hint="cs"/>
          <w:b/>
          <w:bCs/>
          <w:color w:val="000000"/>
          <w:sz w:val="26"/>
          <w:szCs w:val="26"/>
          <w:shd w:val="clear" w:color="auto" w:fill="FFFFFF"/>
          <w:rtl/>
        </w:rPr>
        <w:t>חלייחל נ' מ"י</w:t>
      </w:r>
      <w:r w:rsidR="00E655F0">
        <w:rPr>
          <w:rFonts w:hint="cs"/>
          <w:color w:val="000000"/>
          <w:sz w:val="26"/>
          <w:szCs w:val="26"/>
          <w:shd w:val="clear" w:color="auto" w:fill="FFFFFF"/>
          <w:rtl/>
        </w:rPr>
        <w:t xml:space="preserve"> </w:t>
      </w:r>
      <w:r>
        <w:rPr>
          <w:color w:val="000000"/>
          <w:sz w:val="26"/>
          <w:szCs w:val="26"/>
          <w:shd w:val="clear" w:color="auto" w:fill="FFFFFF"/>
        </w:rPr>
        <w:t>(24.02.2021)</w:t>
      </w:r>
      <w:r>
        <w:rPr>
          <w:rFonts w:hint="cs"/>
          <w:color w:val="000000"/>
          <w:sz w:val="26"/>
          <w:szCs w:val="26"/>
          <w:shd w:val="clear" w:color="auto" w:fill="FFFFFF"/>
          <w:rtl/>
        </w:rPr>
        <w:t>, דובר בשלושה שנסעו ברכב בתוך כפר, כאשר המערער נושא עמו כלי נשק. השלושה הגיעו לשביל עפר שבפאתי הכפר, ושם, סמוך לבתי מגורים, נורו שני כדורים מהרכב. בהמשך, הגיעו לחניון בסמוך למסגד ושם ביצע מי מנוסעי הרכב ירי אוטומטי באוויר, ולאחר זמן מה בוצע ירי נוסף. בסך הכל, נורו כ-20 כדורים באזור המסגד. בית המשפט המחוזי קבע</w:t>
      </w:r>
      <w:r w:rsidR="00E655F0">
        <w:rPr>
          <w:rFonts w:hint="cs"/>
          <w:color w:val="000000"/>
          <w:sz w:val="26"/>
          <w:szCs w:val="26"/>
          <w:shd w:val="clear" w:color="auto" w:fill="FFFFFF"/>
          <w:rtl/>
        </w:rPr>
        <w:t xml:space="preserve"> </w:t>
      </w:r>
      <w:r>
        <w:rPr>
          <w:rFonts w:hint="cs"/>
          <w:b/>
          <w:bCs/>
          <w:color w:val="000000"/>
          <w:sz w:val="26"/>
          <w:szCs w:val="26"/>
          <w:shd w:val="clear" w:color="auto" w:fill="FFFFFF"/>
          <w:rtl/>
        </w:rPr>
        <w:t>מתחם ענישה הנע בין 24 ל-48 חודשי מאסר</w:t>
      </w:r>
      <w:r w:rsidR="00E655F0">
        <w:rPr>
          <w:rFonts w:hint="cs"/>
          <w:color w:val="000000"/>
          <w:sz w:val="26"/>
          <w:szCs w:val="26"/>
          <w:shd w:val="clear" w:color="auto" w:fill="FFFFFF"/>
          <w:rtl/>
        </w:rPr>
        <w:t xml:space="preserve"> </w:t>
      </w:r>
      <w:r>
        <w:rPr>
          <w:rFonts w:hint="cs"/>
          <w:color w:val="000000"/>
          <w:sz w:val="26"/>
          <w:szCs w:val="26"/>
          <w:shd w:val="clear" w:color="auto" w:fill="FFFFFF"/>
          <w:rtl/>
        </w:rPr>
        <w:t xml:space="preserve">והטיל על הנאשם, בעל עבר פלילי בהחזקת נשק, </w:t>
      </w:r>
      <w:r>
        <w:rPr>
          <w:rFonts w:hint="cs"/>
          <w:b/>
          <w:bCs/>
          <w:color w:val="000000"/>
          <w:sz w:val="26"/>
          <w:szCs w:val="26"/>
          <w:shd w:val="clear" w:color="auto" w:fill="FFFFFF"/>
          <w:rtl/>
        </w:rPr>
        <w:t>36</w:t>
      </w:r>
      <w:r>
        <w:rPr>
          <w:rFonts w:hint="cs"/>
          <w:color w:val="000000"/>
          <w:sz w:val="26"/>
          <w:szCs w:val="26"/>
          <w:shd w:val="clear" w:color="auto" w:fill="FFFFFF"/>
          <w:rtl/>
        </w:rPr>
        <w:t xml:space="preserve"> </w:t>
      </w:r>
      <w:r>
        <w:rPr>
          <w:rFonts w:hint="cs"/>
          <w:b/>
          <w:bCs/>
          <w:color w:val="000000"/>
          <w:sz w:val="26"/>
          <w:szCs w:val="26"/>
          <w:shd w:val="clear" w:color="auto" w:fill="FFFFFF"/>
          <w:rtl/>
        </w:rPr>
        <w:t>חודשי מאסר</w:t>
      </w:r>
      <w:r w:rsidR="00E655F0">
        <w:rPr>
          <w:rFonts w:hint="cs"/>
          <w:color w:val="000000"/>
          <w:sz w:val="26"/>
          <w:szCs w:val="26"/>
          <w:shd w:val="clear" w:color="auto" w:fill="FFFFFF"/>
          <w:rtl/>
        </w:rPr>
        <w:t xml:space="preserve"> </w:t>
      </w:r>
      <w:r>
        <w:rPr>
          <w:rFonts w:hint="cs"/>
          <w:b/>
          <w:bCs/>
          <w:color w:val="000000"/>
          <w:sz w:val="26"/>
          <w:szCs w:val="26"/>
          <w:shd w:val="clear" w:color="auto" w:fill="FFFFFF"/>
          <w:rtl/>
        </w:rPr>
        <w:t>בפועל</w:t>
      </w:r>
      <w:r>
        <w:rPr>
          <w:color w:val="000000"/>
          <w:sz w:val="26"/>
          <w:szCs w:val="26"/>
          <w:shd w:val="clear" w:color="auto" w:fill="FFFFFF"/>
        </w:rPr>
        <w:t xml:space="preserve">, </w:t>
      </w:r>
      <w:r>
        <w:rPr>
          <w:rFonts w:hint="cs"/>
          <w:color w:val="000000"/>
          <w:sz w:val="26"/>
          <w:szCs w:val="26"/>
          <w:shd w:val="clear" w:color="auto" w:fill="FFFFFF"/>
          <w:rtl/>
        </w:rPr>
        <w:t>לצד הפעלת מאסר מותנה. ערעורו על חומרת העונש נדחה.</w:t>
      </w:r>
      <w:r>
        <w:rPr>
          <w:rFonts w:hint="cs"/>
          <w:sz w:val="26"/>
          <w:szCs w:val="26"/>
          <w:rtl/>
        </w:rPr>
        <w:t xml:space="preserve"> </w:t>
      </w:r>
    </w:p>
    <w:p w14:paraId="799CDD8B" w14:textId="77777777" w:rsidR="00B2470D" w:rsidRDefault="00B2470D" w:rsidP="00B2470D">
      <w:pPr>
        <w:spacing w:line="360" w:lineRule="auto"/>
        <w:jc w:val="both"/>
        <w:rPr>
          <w:sz w:val="26"/>
          <w:szCs w:val="26"/>
          <w:rtl/>
        </w:rPr>
      </w:pPr>
    </w:p>
    <w:p w14:paraId="11EC1F80" w14:textId="77777777" w:rsidR="00B2470D" w:rsidRDefault="00B2470D" w:rsidP="00B2470D">
      <w:pPr>
        <w:spacing w:line="360" w:lineRule="auto"/>
        <w:jc w:val="both"/>
        <w:rPr>
          <w:sz w:val="26"/>
          <w:szCs w:val="26"/>
          <w:rtl/>
        </w:rPr>
      </w:pPr>
      <w:r>
        <w:rPr>
          <w:rFonts w:hint="cs"/>
          <w:sz w:val="26"/>
          <w:szCs w:val="26"/>
          <w:rtl/>
        </w:rPr>
        <w:t>ב</w:t>
      </w:r>
      <w:hyperlink r:id="rId22" w:history="1">
        <w:r w:rsidR="00E655F0" w:rsidRPr="00E655F0">
          <w:rPr>
            <w:color w:val="0000FF"/>
            <w:sz w:val="26"/>
            <w:szCs w:val="26"/>
            <w:u w:val="single"/>
            <w:rtl/>
          </w:rPr>
          <w:t>ע"פ 3336/18</w:t>
        </w:r>
      </w:hyperlink>
      <w:r>
        <w:rPr>
          <w:rFonts w:hint="cs"/>
          <w:sz w:val="26"/>
          <w:szCs w:val="26"/>
          <w:rtl/>
        </w:rPr>
        <w:t xml:space="preserve"> </w:t>
      </w:r>
      <w:r>
        <w:rPr>
          <w:rFonts w:hint="cs"/>
          <w:b/>
          <w:bCs/>
          <w:sz w:val="26"/>
          <w:szCs w:val="26"/>
          <w:rtl/>
        </w:rPr>
        <w:t>מ"י נ' סמארה</w:t>
      </w:r>
      <w:r w:rsidR="00E655F0">
        <w:rPr>
          <w:rFonts w:hint="cs"/>
          <w:sz w:val="26"/>
          <w:szCs w:val="26"/>
          <w:rtl/>
        </w:rPr>
        <w:t xml:space="preserve"> </w:t>
      </w:r>
      <w:r>
        <w:rPr>
          <w:rFonts w:hint="cs"/>
          <w:sz w:val="26"/>
          <w:szCs w:val="26"/>
          <w:rtl/>
        </w:rPr>
        <w:t xml:space="preserve">(29.11.18), הורשע המשיב בעבירות של נשיאת נשק ותחמושת והחזקת תחמושת, כאשר נשא בתא המטען ברכבו שני כלי נשק מאולתרים מסוג "קרל גוסטב", ובהם מחסניות ותחמושת רבה נוספת. בית המשפט המחוזי קבע </w:t>
      </w:r>
      <w:r>
        <w:rPr>
          <w:rFonts w:hint="cs"/>
          <w:b/>
          <w:bCs/>
          <w:sz w:val="26"/>
          <w:szCs w:val="26"/>
          <w:rtl/>
        </w:rPr>
        <w:t>מתחם ענישה הנע בין 16 ל-40 חודשי מאסר</w:t>
      </w:r>
      <w:r>
        <w:rPr>
          <w:rFonts w:hint="cs"/>
          <w:sz w:val="26"/>
          <w:szCs w:val="26"/>
          <w:rtl/>
        </w:rPr>
        <w:t xml:space="preserve"> והטיל על הנאשם, בעל עבר פלילי ישן אך רלוונטי, 18 חודשי מאסר בפועל. בית המשפט העליון קיבל את ערעור המדינה והעמיד את עונשו של המשיב, מבלי למצות עמו את הדין, על </w:t>
      </w:r>
      <w:r>
        <w:rPr>
          <w:rFonts w:hint="cs"/>
          <w:b/>
          <w:bCs/>
          <w:sz w:val="26"/>
          <w:szCs w:val="26"/>
          <w:rtl/>
        </w:rPr>
        <w:t>24 חודשי מאסר בפועל</w:t>
      </w:r>
      <w:r>
        <w:rPr>
          <w:rFonts w:hint="cs"/>
          <w:sz w:val="26"/>
          <w:szCs w:val="26"/>
          <w:rtl/>
        </w:rPr>
        <w:t>. תשומת הלב תופנה לכך שמדובר היה בנשיאת שני כלי נשק, ולא אחד בלבד כבענייננו, ומנגד לכך שבאותו מקרה לא היה כל שימוש נלווה בנשק.</w:t>
      </w:r>
    </w:p>
    <w:p w14:paraId="2A812AAC" w14:textId="77777777" w:rsidR="00B2470D" w:rsidRDefault="00B2470D" w:rsidP="00B2470D">
      <w:pPr>
        <w:spacing w:line="360" w:lineRule="auto"/>
        <w:jc w:val="both"/>
        <w:rPr>
          <w:sz w:val="26"/>
          <w:szCs w:val="26"/>
          <w:rtl/>
        </w:rPr>
      </w:pPr>
    </w:p>
    <w:p w14:paraId="384ED2AA" w14:textId="77777777" w:rsidR="00B2470D" w:rsidRDefault="00B2470D" w:rsidP="00B2470D">
      <w:pPr>
        <w:spacing w:line="360" w:lineRule="auto"/>
        <w:jc w:val="both"/>
        <w:rPr>
          <w:sz w:val="26"/>
          <w:szCs w:val="26"/>
          <w:rtl/>
        </w:rPr>
      </w:pPr>
      <w:r>
        <w:rPr>
          <w:rFonts w:hint="cs"/>
          <w:sz w:val="26"/>
          <w:szCs w:val="26"/>
          <w:rtl/>
        </w:rPr>
        <w:t>ב</w:t>
      </w:r>
      <w:hyperlink r:id="rId23" w:history="1">
        <w:r w:rsidR="00E655F0" w:rsidRPr="00E655F0">
          <w:rPr>
            <w:color w:val="0000FF"/>
            <w:sz w:val="26"/>
            <w:szCs w:val="26"/>
            <w:u w:val="single"/>
            <w:rtl/>
          </w:rPr>
          <w:t>ע"פ 135/17</w:t>
        </w:r>
      </w:hyperlink>
      <w:r w:rsidR="00E655F0">
        <w:rPr>
          <w:rFonts w:hint="cs"/>
          <w:sz w:val="26"/>
          <w:szCs w:val="26"/>
          <w:rtl/>
        </w:rPr>
        <w:t xml:space="preserve"> </w:t>
      </w:r>
      <w:r>
        <w:rPr>
          <w:rFonts w:hint="cs"/>
          <w:b/>
          <w:bCs/>
          <w:sz w:val="26"/>
          <w:szCs w:val="26"/>
          <w:rtl/>
        </w:rPr>
        <w:t>מ"י נ' בסל</w:t>
      </w:r>
      <w:r w:rsidR="00E655F0">
        <w:rPr>
          <w:rFonts w:hint="cs"/>
          <w:sz w:val="26"/>
          <w:szCs w:val="26"/>
          <w:rtl/>
        </w:rPr>
        <w:t xml:space="preserve"> </w:t>
      </w:r>
      <w:r>
        <w:rPr>
          <w:rFonts w:hint="cs"/>
          <w:sz w:val="26"/>
          <w:szCs w:val="26"/>
          <w:rtl/>
        </w:rPr>
        <w:t xml:space="preserve">(8.3.17), הורשע הנאשם, על פי הודאתו, בעבירה של החזקה ונשיאת נשק. הנאשם נשא תת מקלע מאולתר ומחסנית, החביא אותו בביתו ובהמשך מסר אותו לאחר. הנאשם צעיר, בעל עבר פלילי זניח. בית המשפט המחוזי קבע </w:t>
      </w:r>
      <w:r>
        <w:rPr>
          <w:rFonts w:hint="cs"/>
          <w:b/>
          <w:bCs/>
          <w:sz w:val="26"/>
          <w:szCs w:val="26"/>
          <w:rtl/>
        </w:rPr>
        <w:t>מתחם ענישה הנע בין 9 ל-36 חודשי מאסר בפועל</w:t>
      </w:r>
      <w:r>
        <w:rPr>
          <w:rFonts w:hint="cs"/>
          <w:sz w:val="26"/>
          <w:szCs w:val="26"/>
          <w:rtl/>
        </w:rPr>
        <w:t xml:space="preserve"> והעמיד את עונשו על 12 חודשי מאסר. בית המשפט העליון קיבל את ערעור המדינה והעמיד את עונשו של הנאשם על</w:t>
      </w:r>
      <w:r w:rsidR="00E655F0">
        <w:rPr>
          <w:rFonts w:hint="cs"/>
          <w:b/>
          <w:bCs/>
          <w:sz w:val="26"/>
          <w:szCs w:val="26"/>
          <w:rtl/>
        </w:rPr>
        <w:t xml:space="preserve"> </w:t>
      </w:r>
      <w:r>
        <w:rPr>
          <w:rFonts w:hint="cs"/>
          <w:b/>
          <w:bCs/>
          <w:sz w:val="26"/>
          <w:szCs w:val="26"/>
          <w:rtl/>
        </w:rPr>
        <w:t>18 חודשי מאסר בפועל</w:t>
      </w:r>
      <w:r>
        <w:rPr>
          <w:rFonts w:hint="cs"/>
          <w:sz w:val="26"/>
          <w:szCs w:val="26"/>
          <w:rtl/>
        </w:rPr>
        <w:t xml:space="preserve">. </w:t>
      </w:r>
    </w:p>
    <w:p w14:paraId="42F496DA" w14:textId="77777777" w:rsidR="00B2470D" w:rsidRDefault="00B2470D" w:rsidP="00B2470D">
      <w:pPr>
        <w:spacing w:line="360" w:lineRule="auto"/>
        <w:jc w:val="both"/>
        <w:rPr>
          <w:sz w:val="26"/>
          <w:szCs w:val="26"/>
          <w:rtl/>
        </w:rPr>
      </w:pPr>
    </w:p>
    <w:p w14:paraId="3C4C13E5" w14:textId="77777777" w:rsidR="00B2470D" w:rsidRDefault="00B2470D" w:rsidP="00B2470D">
      <w:pPr>
        <w:spacing w:line="360" w:lineRule="auto"/>
        <w:jc w:val="both"/>
        <w:rPr>
          <w:sz w:val="26"/>
          <w:szCs w:val="26"/>
          <w:rtl/>
        </w:rPr>
      </w:pPr>
      <w:r>
        <w:rPr>
          <w:rFonts w:hint="cs"/>
          <w:sz w:val="26"/>
          <w:szCs w:val="26"/>
          <w:rtl/>
        </w:rPr>
        <w:t>מרבית הפסיקה אליה הפנתה הסנגורית המלומדת מתייחסת לעבירות של נשיאת אקדח, כלי נשק שפוטנציאל הפגיעה החמור בו מצומצם בהשוואה לנשק בו עסקינן, ובהתאם לכך גם מדיניות הענישה בגין נשיאתו חמורה פחות מזו המתחייבת כשמדובר בנשיאת נשק התקפי ארוך. מכל מקום יובהר כי גם כאשר מדובר בנשיאת אקדח, מדיניות הענישה הנה ככלל מחמירה וכוללת מרכיב ממשי של מאסר מאחורי סורג ובריח, וכך גם עולה מהפסיקה שהגישה ההגנה. ראו</w:t>
      </w:r>
      <w:r>
        <w:rPr>
          <w:rFonts w:hint="cs"/>
          <w:sz w:val="26"/>
          <w:szCs w:val="26"/>
          <w:shd w:val="clear" w:color="auto" w:fill="FFFFFF"/>
          <w:rtl/>
        </w:rPr>
        <w:t xml:space="preserve"> בהקשר זה </w:t>
      </w:r>
      <w:hyperlink r:id="rId24" w:history="1">
        <w:r w:rsidR="00E655F0" w:rsidRPr="00E655F0">
          <w:rPr>
            <w:color w:val="0000FF"/>
            <w:sz w:val="26"/>
            <w:szCs w:val="26"/>
            <w:u w:val="single"/>
            <w:shd w:val="clear" w:color="auto" w:fill="FFFFFF"/>
            <w:rtl/>
          </w:rPr>
          <w:t>ע"פ 545/20</w:t>
        </w:r>
      </w:hyperlink>
      <w:r w:rsidR="00E655F0">
        <w:rPr>
          <w:color w:val="000000"/>
          <w:sz w:val="26"/>
          <w:szCs w:val="26"/>
          <w:shd w:val="clear" w:color="auto" w:fill="FFFFFF"/>
        </w:rPr>
        <w:t xml:space="preserve"> </w:t>
      </w:r>
      <w:r>
        <w:rPr>
          <w:rFonts w:hint="cs"/>
          <w:b/>
          <w:bCs/>
          <w:color w:val="000000"/>
          <w:sz w:val="26"/>
          <w:szCs w:val="26"/>
          <w:shd w:val="clear" w:color="auto" w:fill="FFFFFF"/>
          <w:rtl/>
        </w:rPr>
        <w:t>פלוני נ' מ"י</w:t>
      </w:r>
      <w:r w:rsidR="00E655F0">
        <w:rPr>
          <w:rFonts w:hint="cs"/>
          <w:color w:val="000000"/>
          <w:sz w:val="26"/>
          <w:szCs w:val="26"/>
          <w:shd w:val="clear" w:color="auto" w:fill="FFFFFF"/>
          <w:rtl/>
        </w:rPr>
        <w:t xml:space="preserve"> </w:t>
      </w:r>
      <w:r>
        <w:rPr>
          <w:color w:val="000000"/>
          <w:sz w:val="26"/>
          <w:szCs w:val="26"/>
          <w:shd w:val="clear" w:color="auto" w:fill="FFFFFF"/>
        </w:rPr>
        <w:t>(3.5.21)</w:t>
      </w:r>
      <w:r>
        <w:rPr>
          <w:rFonts w:hint="cs"/>
          <w:color w:val="000000"/>
          <w:sz w:val="26"/>
          <w:szCs w:val="26"/>
          <w:shd w:val="clear" w:color="auto" w:fill="FFFFFF"/>
          <w:rtl/>
        </w:rPr>
        <w:t xml:space="preserve"> בו הוטלו 12 חודשי מאסר ונקבע כי מדובר בענישה המצויה בצד המקל, </w:t>
      </w:r>
      <w:hyperlink r:id="rId25" w:history="1">
        <w:r w:rsidR="00E655F0" w:rsidRPr="00E655F0">
          <w:rPr>
            <w:color w:val="0000FF"/>
            <w:sz w:val="26"/>
            <w:szCs w:val="26"/>
            <w:u w:val="single"/>
            <w:shd w:val="clear" w:color="auto" w:fill="FFFFFF"/>
            <w:rtl/>
          </w:rPr>
          <w:t>ע"פ 2564/19</w:t>
        </w:r>
      </w:hyperlink>
      <w:r w:rsidR="00E655F0">
        <w:rPr>
          <w:color w:val="000000"/>
          <w:sz w:val="26"/>
          <w:szCs w:val="26"/>
          <w:shd w:val="clear" w:color="auto" w:fill="FFFFFF"/>
        </w:rPr>
        <w:t xml:space="preserve"> </w:t>
      </w:r>
      <w:r>
        <w:rPr>
          <w:rFonts w:hint="cs"/>
          <w:b/>
          <w:bCs/>
          <w:color w:val="000000"/>
          <w:sz w:val="26"/>
          <w:szCs w:val="26"/>
          <w:shd w:val="clear" w:color="auto" w:fill="FFFFFF"/>
          <w:rtl/>
        </w:rPr>
        <w:t>אזברגה נ' מ"י</w:t>
      </w:r>
      <w:r w:rsidR="00E655F0">
        <w:rPr>
          <w:rFonts w:hint="cs"/>
          <w:color w:val="000000"/>
          <w:sz w:val="26"/>
          <w:szCs w:val="26"/>
          <w:shd w:val="clear" w:color="auto" w:fill="FFFFFF"/>
          <w:rtl/>
        </w:rPr>
        <w:t xml:space="preserve"> </w:t>
      </w:r>
      <w:r>
        <w:rPr>
          <w:color w:val="000000"/>
          <w:sz w:val="26"/>
          <w:szCs w:val="26"/>
          <w:shd w:val="clear" w:color="auto" w:fill="FFFFFF"/>
        </w:rPr>
        <w:t>(18.7.19)</w:t>
      </w:r>
      <w:r>
        <w:rPr>
          <w:rFonts w:hint="cs"/>
          <w:color w:val="000000"/>
          <w:sz w:val="26"/>
          <w:szCs w:val="26"/>
          <w:shd w:val="clear" w:color="auto" w:fill="FFFFFF"/>
          <w:rtl/>
        </w:rPr>
        <w:t xml:space="preserve"> שם נדחה ערעור על עונש של 16 חודשי מאסר בפועל, </w:t>
      </w:r>
      <w:hyperlink r:id="rId26" w:history="1">
        <w:r w:rsidR="00E655F0" w:rsidRPr="00E655F0">
          <w:rPr>
            <w:color w:val="0000FF"/>
            <w:sz w:val="26"/>
            <w:szCs w:val="26"/>
            <w:u w:val="single"/>
            <w:shd w:val="clear" w:color="auto" w:fill="FFFFFF"/>
            <w:rtl/>
          </w:rPr>
          <w:t>ע"פ 4215/18</w:t>
        </w:r>
      </w:hyperlink>
      <w:r w:rsidR="00E655F0">
        <w:rPr>
          <w:color w:val="000000"/>
          <w:sz w:val="26"/>
          <w:szCs w:val="26"/>
          <w:shd w:val="clear" w:color="auto" w:fill="FFFFFF"/>
        </w:rPr>
        <w:t xml:space="preserve"> </w:t>
      </w:r>
      <w:r>
        <w:rPr>
          <w:rFonts w:hint="cs"/>
          <w:b/>
          <w:bCs/>
          <w:color w:val="000000"/>
          <w:sz w:val="26"/>
          <w:szCs w:val="26"/>
          <w:shd w:val="clear" w:color="auto" w:fill="FFFFFF"/>
          <w:rtl/>
        </w:rPr>
        <w:t>ח'טיב נ' מ"י</w:t>
      </w:r>
      <w:r w:rsidR="00E655F0">
        <w:rPr>
          <w:rFonts w:hint="cs"/>
          <w:color w:val="000000"/>
          <w:sz w:val="26"/>
          <w:szCs w:val="26"/>
          <w:shd w:val="clear" w:color="auto" w:fill="FFFFFF"/>
          <w:rtl/>
        </w:rPr>
        <w:t xml:space="preserve"> </w:t>
      </w:r>
      <w:r>
        <w:rPr>
          <w:color w:val="000000"/>
          <w:sz w:val="26"/>
          <w:szCs w:val="26"/>
          <w:shd w:val="clear" w:color="auto" w:fill="FFFFFF"/>
        </w:rPr>
        <w:t>(8.7.18)</w:t>
      </w:r>
      <w:r>
        <w:rPr>
          <w:rFonts w:hint="cs"/>
          <w:color w:val="000000"/>
          <w:sz w:val="26"/>
          <w:szCs w:val="26"/>
          <w:shd w:val="clear" w:color="auto" w:fill="FFFFFF"/>
          <w:rtl/>
        </w:rPr>
        <w:t xml:space="preserve"> בו אושר עונש של 15 חודשי מאסר, </w:t>
      </w:r>
      <w:hyperlink r:id="rId27" w:history="1">
        <w:r w:rsidR="00E655F0" w:rsidRPr="00E655F0">
          <w:rPr>
            <w:color w:val="0000FF"/>
            <w:sz w:val="26"/>
            <w:szCs w:val="26"/>
            <w:u w:val="single"/>
            <w:rtl/>
          </w:rPr>
          <w:t>ע"פ 5765/20</w:t>
        </w:r>
      </w:hyperlink>
      <w:r w:rsidR="00E655F0">
        <w:rPr>
          <w:color w:val="000000"/>
          <w:sz w:val="26"/>
          <w:szCs w:val="26"/>
          <w:shd w:val="clear" w:color="auto" w:fill="FFFFFF"/>
        </w:rPr>
        <w:t xml:space="preserve"> </w:t>
      </w:r>
      <w:r>
        <w:rPr>
          <w:rFonts w:hint="cs"/>
          <w:b/>
          <w:bCs/>
          <w:color w:val="000000"/>
          <w:sz w:val="26"/>
          <w:szCs w:val="26"/>
          <w:rtl/>
        </w:rPr>
        <w:t>אבו בכר נ' מ"י</w:t>
      </w:r>
      <w:r w:rsidR="00E655F0">
        <w:rPr>
          <w:rFonts w:hint="cs"/>
          <w:color w:val="000000"/>
          <w:sz w:val="26"/>
          <w:szCs w:val="26"/>
          <w:shd w:val="clear" w:color="auto" w:fill="FFFFFF"/>
          <w:rtl/>
        </w:rPr>
        <w:t xml:space="preserve"> </w:t>
      </w:r>
      <w:r>
        <w:rPr>
          <w:rFonts w:hint="cs"/>
          <w:color w:val="000000"/>
          <w:sz w:val="26"/>
          <w:szCs w:val="26"/>
          <w:shd w:val="clear" w:color="auto" w:fill="FFFFFF"/>
          <w:rtl/>
        </w:rPr>
        <w:t>(22.3.21) שם נדחה ערעור על עונש של 18 חודשי מאסר בגין נשיאת שני אקדחים ו</w:t>
      </w:r>
      <w:hyperlink r:id="rId28" w:history="1">
        <w:r w:rsidR="00E655F0" w:rsidRPr="00E655F0">
          <w:rPr>
            <w:color w:val="0000FF"/>
            <w:sz w:val="26"/>
            <w:szCs w:val="26"/>
            <w:u w:val="single"/>
            <w:rtl/>
          </w:rPr>
          <w:t>ע"פ 4290/21</w:t>
        </w:r>
      </w:hyperlink>
      <w:r w:rsidR="00E655F0">
        <w:rPr>
          <w:sz w:val="26"/>
          <w:szCs w:val="26"/>
        </w:rPr>
        <w:t xml:space="preserve"> </w:t>
      </w:r>
      <w:r>
        <w:rPr>
          <w:rFonts w:hint="cs"/>
          <w:b/>
          <w:bCs/>
          <w:sz w:val="26"/>
          <w:szCs w:val="26"/>
          <w:rtl/>
        </w:rPr>
        <w:t>זרבאילוב נ' מ"י</w:t>
      </w:r>
      <w:r>
        <w:rPr>
          <w:rFonts w:hint="cs"/>
          <w:sz w:val="26"/>
          <w:szCs w:val="26"/>
          <w:rtl/>
        </w:rPr>
        <w:t xml:space="preserve"> (6.12.21), בו נדחה ערעור על עונש של 18 חודשי מאסר בפועל בגין נשיאת אקדח טעון. דומה כי מכלול פסקי הדין הללו רק מחזק את המסקנה כי כאשר מדובר בנשיאת נשק מסוג תת מקלע, נדרשת ענישה מחמירה יותר, ומה גם שבמקרה הנוכחי גם בוצע ירי, אם כי לא על ידי הנאשם.</w:t>
      </w:r>
    </w:p>
    <w:p w14:paraId="4DA404D8" w14:textId="77777777" w:rsidR="00B2470D" w:rsidRDefault="00B2470D" w:rsidP="00B2470D">
      <w:pPr>
        <w:spacing w:line="360" w:lineRule="auto"/>
        <w:jc w:val="both"/>
        <w:rPr>
          <w:sz w:val="26"/>
          <w:szCs w:val="26"/>
          <w:rtl/>
        </w:rPr>
      </w:pPr>
    </w:p>
    <w:p w14:paraId="285AA557" w14:textId="77777777" w:rsidR="00B2470D" w:rsidRDefault="00B2470D" w:rsidP="00B2470D">
      <w:pPr>
        <w:spacing w:line="360" w:lineRule="auto"/>
        <w:jc w:val="both"/>
        <w:rPr>
          <w:sz w:val="26"/>
          <w:szCs w:val="26"/>
          <w:rtl/>
        </w:rPr>
      </w:pPr>
      <w:r>
        <w:rPr>
          <w:rFonts w:hint="cs"/>
          <w:sz w:val="26"/>
          <w:szCs w:val="26"/>
          <w:rtl/>
        </w:rPr>
        <w:t>גם יתר פסקי הדין שהוגשו מטעם ההגנה אינם מציגים תמונה שונה באופן מהותי. כך למשל ב</w:t>
      </w:r>
      <w:hyperlink r:id="rId29" w:history="1">
        <w:r w:rsidR="00E655F0" w:rsidRPr="00E655F0">
          <w:rPr>
            <w:color w:val="0000FF"/>
            <w:sz w:val="26"/>
            <w:szCs w:val="26"/>
            <w:u w:val="single"/>
            <w:rtl/>
          </w:rPr>
          <w:t>ע"פ 4978/19</w:t>
        </w:r>
      </w:hyperlink>
      <w:r w:rsidR="00E655F0">
        <w:rPr>
          <w:sz w:val="26"/>
          <w:szCs w:val="26"/>
        </w:rPr>
        <w:t xml:space="preserve"> </w:t>
      </w:r>
      <w:r>
        <w:rPr>
          <w:rFonts w:hint="cs"/>
          <w:b/>
          <w:bCs/>
          <w:sz w:val="26"/>
          <w:szCs w:val="26"/>
          <w:rtl/>
        </w:rPr>
        <w:t>אבו מנסור נ' מ"י</w:t>
      </w:r>
      <w:r w:rsidR="00E655F0">
        <w:rPr>
          <w:rFonts w:hint="cs"/>
          <w:sz w:val="26"/>
          <w:szCs w:val="26"/>
          <w:rtl/>
        </w:rPr>
        <w:t xml:space="preserve"> </w:t>
      </w:r>
      <w:r>
        <w:rPr>
          <w:rFonts w:hint="cs"/>
          <w:sz w:val="26"/>
          <w:szCs w:val="26"/>
          <w:rtl/>
        </w:rPr>
        <w:t xml:space="preserve">(‏28.1.20), הוטל בסופו של יום על הנאשם 1, שהורשע בנשיאה והובלה של כלי נשק ארוך, דמוי רובה סער, עם מחסניות וכדורים תואמים עונש מתון של </w:t>
      </w:r>
      <w:r>
        <w:rPr>
          <w:rFonts w:hint="cs"/>
          <w:b/>
          <w:bCs/>
          <w:sz w:val="26"/>
          <w:szCs w:val="26"/>
          <w:rtl/>
        </w:rPr>
        <w:t>12 חודשי מאסר בפועל</w:t>
      </w:r>
      <w:r>
        <w:rPr>
          <w:rFonts w:hint="cs"/>
          <w:sz w:val="26"/>
          <w:szCs w:val="26"/>
          <w:rtl/>
        </w:rPr>
        <w:t xml:space="preserve">, אך מדובר היה בעונש שניתן תוך סטייה לקולה מטעמי שיקום, לאחר שבבית המשפט המחוזי נקבע </w:t>
      </w:r>
      <w:r>
        <w:rPr>
          <w:rFonts w:hint="cs"/>
          <w:b/>
          <w:bCs/>
          <w:sz w:val="26"/>
          <w:szCs w:val="26"/>
          <w:rtl/>
        </w:rPr>
        <w:t>מתחם ענישה הנע בין 18 ל-36 חודשי מאסר</w:t>
      </w:r>
      <w:r>
        <w:rPr>
          <w:rFonts w:hint="cs"/>
          <w:sz w:val="26"/>
          <w:szCs w:val="26"/>
          <w:rtl/>
        </w:rPr>
        <w:t>.</w:t>
      </w:r>
    </w:p>
    <w:p w14:paraId="3885D066" w14:textId="77777777" w:rsidR="00B2470D" w:rsidRDefault="00B2470D" w:rsidP="00B2470D">
      <w:pPr>
        <w:spacing w:line="360" w:lineRule="auto"/>
        <w:jc w:val="both"/>
        <w:rPr>
          <w:sz w:val="26"/>
          <w:szCs w:val="26"/>
          <w:rtl/>
        </w:rPr>
      </w:pPr>
    </w:p>
    <w:p w14:paraId="0098B213" w14:textId="77777777" w:rsidR="00B2470D" w:rsidRDefault="00B2470D" w:rsidP="00B2470D">
      <w:pPr>
        <w:spacing w:line="360" w:lineRule="auto"/>
        <w:jc w:val="both"/>
        <w:rPr>
          <w:sz w:val="26"/>
          <w:szCs w:val="26"/>
          <w:rtl/>
        </w:rPr>
      </w:pPr>
      <w:r>
        <w:rPr>
          <w:rFonts w:hint="cs"/>
          <w:sz w:val="26"/>
          <w:szCs w:val="26"/>
          <w:rtl/>
        </w:rPr>
        <w:t>גם ב</w:t>
      </w:r>
      <w:hyperlink r:id="rId30" w:history="1">
        <w:r w:rsidR="00E655F0" w:rsidRPr="00E655F0">
          <w:rPr>
            <w:color w:val="0000FF"/>
            <w:sz w:val="26"/>
            <w:szCs w:val="26"/>
            <w:u w:val="single"/>
            <w:rtl/>
          </w:rPr>
          <w:t>ע"פ 4945/13</w:t>
        </w:r>
      </w:hyperlink>
      <w:r>
        <w:rPr>
          <w:rFonts w:hint="cs"/>
          <w:sz w:val="26"/>
          <w:szCs w:val="26"/>
          <w:rtl/>
        </w:rPr>
        <w:t xml:space="preserve"> </w:t>
      </w:r>
      <w:r>
        <w:rPr>
          <w:rFonts w:hint="cs"/>
          <w:b/>
          <w:bCs/>
          <w:sz w:val="26"/>
          <w:szCs w:val="26"/>
          <w:rtl/>
        </w:rPr>
        <w:t>מ"י נ' סלימאן</w:t>
      </w:r>
      <w:r w:rsidR="00E655F0">
        <w:rPr>
          <w:rFonts w:hint="cs"/>
          <w:sz w:val="26"/>
          <w:szCs w:val="26"/>
          <w:rtl/>
        </w:rPr>
        <w:t xml:space="preserve"> </w:t>
      </w:r>
      <w:r>
        <w:rPr>
          <w:rFonts w:hint="cs"/>
          <w:sz w:val="26"/>
          <w:szCs w:val="26"/>
          <w:rtl/>
        </w:rPr>
        <w:t xml:space="preserve">(19.1.14), קיבלו שיקולי השיקום מעמד בכורה, ובית המשפט העליון דחה את ערעור המדינה על עונש של 6 חודשי מאסר בעבודות שירות שהוטל בבית המשפט המחוזי על מי שהורשע בעבירות של רכישה, החזקה ונשיאת נשק ותחמושת ועבירות נלוות. הנאשם רכש נשק מסוג קרל גוסטב, מחסנית וכדורים, הגיע לחורשה, ירה באמצעותו ירייה אחת באוויר והטמין את הנשק במקום מסתור סמוך לביתו. בהמשך, נהג ברכב בעודו נושא את הנשק והתחמושת בתא המטען. בית המשפט העליון אמנם דחה את ערעור המדינה, אך הבהיר כי המתחם שנקבע בבית המשפט המחוזי מקל יתר על המידה, והעמיד את המתחם על </w:t>
      </w:r>
      <w:r>
        <w:rPr>
          <w:rFonts w:hint="cs"/>
          <w:b/>
          <w:bCs/>
          <w:sz w:val="26"/>
          <w:szCs w:val="26"/>
          <w:rtl/>
        </w:rPr>
        <w:t>12 עד 36 חודשי מאסר בפועל</w:t>
      </w:r>
      <w:r>
        <w:rPr>
          <w:rFonts w:hint="cs"/>
          <w:sz w:val="26"/>
          <w:szCs w:val="26"/>
          <w:rtl/>
        </w:rPr>
        <w:t>. עוד תופנה תשומת הלב לכך שפסק הדין הנ"ל ניתן לפני שנים רבות, בטרם יושמה באופן מלא מדיניות ההחמרה המתחייבת על פי הנחיית בית המשפט העליון, כאשר מדובר בעבירות נשק.</w:t>
      </w:r>
    </w:p>
    <w:p w14:paraId="7CF42E48" w14:textId="77777777" w:rsidR="00B2470D" w:rsidRDefault="00B2470D" w:rsidP="00B2470D">
      <w:pPr>
        <w:spacing w:line="360" w:lineRule="auto"/>
        <w:jc w:val="both"/>
        <w:rPr>
          <w:sz w:val="26"/>
          <w:szCs w:val="26"/>
          <w:rtl/>
        </w:rPr>
      </w:pPr>
    </w:p>
    <w:p w14:paraId="3EA086E1" w14:textId="77777777" w:rsidR="00B2470D" w:rsidRDefault="00B2470D" w:rsidP="00B2470D">
      <w:pPr>
        <w:spacing w:line="360" w:lineRule="auto"/>
        <w:jc w:val="both"/>
        <w:rPr>
          <w:sz w:val="26"/>
          <w:szCs w:val="26"/>
          <w:rtl/>
        </w:rPr>
      </w:pPr>
      <w:r>
        <w:rPr>
          <w:rFonts w:hint="cs"/>
          <w:sz w:val="26"/>
          <w:szCs w:val="26"/>
          <w:rtl/>
        </w:rPr>
        <w:t xml:space="preserve">למען הסר ספק, הנחייה עקבית זו של בית המשפט העליון, לאורך העשור האחרון כולו, להחמיר בענישה בעבירות נשק, ולהעלות באופן הדרגתי את רף הענישה המוצב לצידן, עומדת בתוקף גם בימינו אנו, כפי שנקבע אך לאחרונה במסגרת </w:t>
      </w:r>
      <w:hyperlink r:id="rId31" w:history="1">
        <w:r w:rsidR="00E655F0" w:rsidRPr="00E655F0">
          <w:rPr>
            <w:color w:val="0000FF"/>
            <w:sz w:val="26"/>
            <w:szCs w:val="26"/>
            <w:u w:val="single"/>
            <w:rtl/>
          </w:rPr>
          <w:t>ע"פ 6068/21</w:t>
        </w:r>
      </w:hyperlink>
      <w:r>
        <w:rPr>
          <w:rFonts w:hint="cs"/>
          <w:sz w:val="26"/>
          <w:szCs w:val="26"/>
          <w:rtl/>
        </w:rPr>
        <w:t xml:space="preserve"> </w:t>
      </w:r>
      <w:r>
        <w:rPr>
          <w:rFonts w:hint="cs"/>
          <w:b/>
          <w:bCs/>
          <w:sz w:val="26"/>
          <w:szCs w:val="26"/>
          <w:rtl/>
        </w:rPr>
        <w:t>מ"י נ' פקיה</w:t>
      </w:r>
      <w:r>
        <w:rPr>
          <w:rFonts w:hint="cs"/>
          <w:sz w:val="26"/>
          <w:szCs w:val="26"/>
          <w:rtl/>
        </w:rPr>
        <w:t xml:space="preserve"> (19.12.21): </w:t>
      </w:r>
    </w:p>
    <w:p w14:paraId="2F633B62" w14:textId="77777777" w:rsidR="00B2470D" w:rsidRDefault="00B2470D" w:rsidP="00B2470D">
      <w:pPr>
        <w:spacing w:line="360" w:lineRule="auto"/>
        <w:jc w:val="both"/>
        <w:rPr>
          <w:sz w:val="26"/>
          <w:szCs w:val="26"/>
          <w:rtl/>
        </w:rPr>
      </w:pPr>
    </w:p>
    <w:p w14:paraId="0CE9E9AF" w14:textId="77777777" w:rsidR="00B2470D" w:rsidRDefault="00B2470D" w:rsidP="00B2470D">
      <w:pPr>
        <w:spacing w:line="360" w:lineRule="auto"/>
        <w:ind w:left="567" w:right="567"/>
        <w:contextualSpacing/>
        <w:jc w:val="both"/>
        <w:rPr>
          <w:b/>
          <w:bCs/>
          <w:sz w:val="26"/>
          <w:szCs w:val="26"/>
          <w:rtl/>
        </w:rPr>
      </w:pPr>
      <w:r>
        <w:rPr>
          <w:rFonts w:hint="cs"/>
          <w:b/>
          <w:bCs/>
          <w:sz w:val="26"/>
          <w:szCs w:val="26"/>
          <w:rtl/>
        </w:rPr>
        <w:t xml:space="preserve">"... 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הראשונה ותנאי הכרחי להרתעת הציבור מפני ביצוען (ראו מיני רבים: </w:t>
      </w:r>
      <w:hyperlink r:id="rId32" w:history="1">
        <w:r w:rsidR="00E655F0" w:rsidRPr="00E655F0">
          <w:rPr>
            <w:b/>
            <w:bCs/>
            <w:color w:val="0000FF"/>
            <w:sz w:val="26"/>
            <w:szCs w:val="26"/>
            <w:u w:val="single"/>
            <w:rtl/>
          </w:rPr>
          <w:t>ע"פ 4406/19</w:t>
        </w:r>
      </w:hyperlink>
      <w:r>
        <w:rPr>
          <w:b/>
          <w:bCs/>
          <w:sz w:val="26"/>
          <w:szCs w:val="26"/>
          <w:rtl/>
        </w:rPr>
        <w:t xml:space="preserve"> </w:t>
      </w:r>
      <w:r>
        <w:rPr>
          <w:rFonts w:hint="cs"/>
          <w:b/>
          <w:bCs/>
          <w:sz w:val="26"/>
          <w:szCs w:val="26"/>
          <w:rtl/>
        </w:rPr>
        <w:t xml:space="preserve">מ"י נ' סובח, פסקאות 16–17 לחוות דעתי (5.11.2019); </w:t>
      </w:r>
      <w:hyperlink r:id="rId33" w:history="1">
        <w:r w:rsidR="00E655F0" w:rsidRPr="00E655F0">
          <w:rPr>
            <w:b/>
            <w:bCs/>
            <w:color w:val="0000FF"/>
            <w:sz w:val="26"/>
            <w:szCs w:val="26"/>
            <w:u w:val="single"/>
            <w:rtl/>
          </w:rPr>
          <w:t>רע"פ 7344/18</w:t>
        </w:r>
      </w:hyperlink>
      <w:r>
        <w:rPr>
          <w:b/>
          <w:bCs/>
          <w:sz w:val="26"/>
          <w:szCs w:val="26"/>
          <w:rtl/>
        </w:rPr>
        <w:t xml:space="preserve"> </w:t>
      </w:r>
      <w:r>
        <w:rPr>
          <w:rFonts w:hint="cs"/>
          <w:b/>
          <w:bCs/>
          <w:sz w:val="26"/>
          <w:szCs w:val="26"/>
          <w:rtl/>
        </w:rPr>
        <w:t>מג'יד נ' מ"י, פסקה 10 (21.10.2018))."</w:t>
      </w:r>
    </w:p>
    <w:p w14:paraId="04B69234" w14:textId="77777777" w:rsidR="00B2470D" w:rsidRDefault="00B2470D" w:rsidP="00B2470D">
      <w:pPr>
        <w:spacing w:line="360" w:lineRule="auto"/>
        <w:jc w:val="both"/>
        <w:rPr>
          <w:sz w:val="26"/>
          <w:szCs w:val="26"/>
          <w:rtl/>
        </w:rPr>
      </w:pPr>
    </w:p>
    <w:p w14:paraId="6B138E22" w14:textId="77777777" w:rsidR="00B2470D" w:rsidRDefault="00B2470D" w:rsidP="00B2470D">
      <w:pPr>
        <w:spacing w:line="360" w:lineRule="auto"/>
        <w:jc w:val="both"/>
        <w:rPr>
          <w:sz w:val="26"/>
          <w:szCs w:val="26"/>
          <w:rtl/>
        </w:rPr>
      </w:pPr>
      <w:r>
        <w:rPr>
          <w:rFonts w:hint="cs"/>
          <w:sz w:val="26"/>
          <w:szCs w:val="26"/>
          <w:rtl/>
        </w:rPr>
        <w:t>עמדה זו אף זכתה אך לאחרונה לגיבוי מפורש מטעם המחוקק, בהוראת השעה הקובעת עונשי מינימום בעבירות נשק, לרבות בעבירות ההחזקה והנשיאה. הוראת השעה אמנם אינה חלה ישירות על עניינו של הנאשם, אך היא משקפת באופן מובהק את החובה המוטלת בימים אלה על בתי המשפט להחמיר בדינם של עברייני הנשק.</w:t>
      </w:r>
    </w:p>
    <w:p w14:paraId="6840A5DC" w14:textId="77777777" w:rsidR="00B2470D" w:rsidRDefault="00B2470D" w:rsidP="00B2470D">
      <w:pPr>
        <w:spacing w:line="360" w:lineRule="auto"/>
        <w:jc w:val="both"/>
        <w:rPr>
          <w:rFonts w:ascii="FrankRuehl" w:hAnsi="FrankRuehl" w:cs="FrankRuehl"/>
          <w:sz w:val="22"/>
          <w:szCs w:val="28"/>
          <w:rtl/>
        </w:rPr>
      </w:pPr>
    </w:p>
    <w:p w14:paraId="1327DE56" w14:textId="77777777" w:rsidR="00B2470D" w:rsidRDefault="00B2470D" w:rsidP="00B2470D">
      <w:pPr>
        <w:spacing w:line="360" w:lineRule="auto"/>
        <w:jc w:val="both"/>
        <w:rPr>
          <w:rFonts w:ascii="David" w:hAnsi="David"/>
          <w:sz w:val="26"/>
          <w:szCs w:val="26"/>
          <w:rtl/>
        </w:rPr>
      </w:pPr>
      <w:r>
        <w:rPr>
          <w:rFonts w:hint="cs"/>
          <w:sz w:val="26"/>
          <w:szCs w:val="26"/>
          <w:rtl/>
        </w:rPr>
        <w:t xml:space="preserve">בשים לב לכל האמור לעיל, לנוכח הנסיבות הקונקרטיות של ביצוע העבירה, מדיניות הענישה הנוהגת וכן טיבה ועצמתה של הפגיעה בערכים החברתיים, אני סבור כי לצד מעשיו של הנאשם יש לקבוע </w:t>
      </w:r>
      <w:r>
        <w:rPr>
          <w:rFonts w:hint="cs"/>
          <w:b/>
          <w:bCs/>
          <w:sz w:val="26"/>
          <w:szCs w:val="26"/>
          <w:rtl/>
        </w:rPr>
        <w:t>מתחם עונש הולם הנע בין 24 ל-48 חודשי מאסר בפועל</w:t>
      </w:r>
      <w:r>
        <w:rPr>
          <w:rFonts w:hint="cs"/>
          <w:sz w:val="26"/>
          <w:szCs w:val="26"/>
          <w:rtl/>
        </w:rPr>
        <w:t>, לצד מרכיבי ענישה נלווים.</w:t>
      </w:r>
    </w:p>
    <w:p w14:paraId="7B8954EB" w14:textId="77777777" w:rsidR="00B2470D" w:rsidRDefault="00B2470D" w:rsidP="00B2470D">
      <w:pPr>
        <w:spacing w:line="360" w:lineRule="auto"/>
        <w:jc w:val="both"/>
        <w:rPr>
          <w:sz w:val="26"/>
          <w:szCs w:val="26"/>
          <w:rtl/>
        </w:rPr>
      </w:pPr>
    </w:p>
    <w:p w14:paraId="5E8BA6BE" w14:textId="77777777" w:rsidR="00B2470D" w:rsidRDefault="00B2470D" w:rsidP="00B2470D">
      <w:pPr>
        <w:spacing w:line="360" w:lineRule="auto"/>
        <w:jc w:val="both"/>
        <w:rPr>
          <w:sz w:val="26"/>
          <w:szCs w:val="26"/>
          <w:rtl/>
        </w:rPr>
      </w:pPr>
      <w:r>
        <w:rPr>
          <w:rFonts w:hint="cs"/>
          <w:sz w:val="26"/>
          <w:szCs w:val="26"/>
          <w:rtl/>
        </w:rPr>
        <w:t>משנקבע מתחם העונש ההולם, ובהעדר עילה המצדיקה סטייה ממנו, יש לאתר את העונש הראוי בגדר המתחם, תוך מתן משקל לנסיבות שאינן קשורות לביצוע העבירה, ונוגעות יותר לנאשם עצמו, לעברו ולדפוסיו. בהקשר זה אזכיר בראש ובראשונה כי מדובר בבחור צעיר, אשר ביצע את המעשים חודשים ספורים לאחר שמלאו לו 18 שנים, נעדר כל עבר פלילי, אשר הודה במיוחס לו, לקח אחריות וחסך זמן ציבורי ניכר. הנאשם הביע חרטה על מעשיו, ותואר בתסקיר כמי שאינו מחזיק בדפוסים עבריינים מושרשים והנו בעל פוטנציאל שיקומי. למרבה הצער, לא ניצל הנאשם את ההזדמנות שניתנה לו, ולאחר תקופה ראשונית קצרה בה נטל חלק במפגשים קבוצתיים המיועדים לצעירים עוברי חוק, הפסיק הנאשם את הטיפול, ניתק את הקשר עם שירות המבחן ולא נענה לניסיונות השירות לחדש עמו את הקשר. על רקע זה נותרו על כנם גורמי הסיכון המשמעותיים שאותרו במקרה זה, וביניהם היעדר מסגרת תעסוקתית קבועה, התרשמות מצורך בשייכות חברתית ועיסוק במעמדו החברתי, קושי בהצבת גבולות ובהפעלת שיקול דעת, שימוש לרעה באלכוהול והיעדר מודעות מספקת לחומרת מעשיו, להשלכותיהם ולמורכבות מצבו. על רקע נתונים אלה אף הוערכה רמת המסוכנות העתידית לביצוע עבירות חוזרות ברמה "בינונית", ולא נוצר פתח למעורבות טיפולית בשל ההתרשמות ממוטיבציה ומודעות נמוכה למצבו ולחשיבות הטיפול.</w:t>
      </w:r>
    </w:p>
    <w:p w14:paraId="2E88AC1A" w14:textId="77777777" w:rsidR="00B2470D" w:rsidRDefault="00B2470D" w:rsidP="00B2470D">
      <w:pPr>
        <w:spacing w:line="360" w:lineRule="auto"/>
        <w:jc w:val="both"/>
        <w:rPr>
          <w:sz w:val="26"/>
          <w:szCs w:val="26"/>
          <w:rtl/>
        </w:rPr>
      </w:pPr>
    </w:p>
    <w:p w14:paraId="4C3F3C8F" w14:textId="77777777" w:rsidR="00B2470D" w:rsidRDefault="00B2470D" w:rsidP="00B2470D">
      <w:pPr>
        <w:spacing w:line="360" w:lineRule="auto"/>
        <w:jc w:val="both"/>
        <w:rPr>
          <w:sz w:val="26"/>
          <w:szCs w:val="26"/>
          <w:rtl/>
        </w:rPr>
      </w:pPr>
      <w:r>
        <w:rPr>
          <w:rFonts w:hint="cs"/>
          <w:sz w:val="26"/>
          <w:szCs w:val="26"/>
          <w:rtl/>
        </w:rPr>
        <w:t xml:space="preserve">עובר לשמיעת הטיעונים לעונש אמנם ביקש הנאשם לשוב ולהשתלב בטיפול, על יסוד הטענה כי הפסקת הטיפול נבעה כל כולה ממצבו הרפואי, אך בשים לב לאמור בתסקירים המפורטים שהוגשו הסבריו אלה אינם משכנעים, ומהטעמים שפורטו בהחלטתי בדיון מיום 18.1.22, לא מצאתי כיום כל הצדקה לשוב ולהפנות את הנאשם לשירות המבחן. בנסיבות רגילות היו נתונים אלה מובילים לאיתור העונש הראוי לנאשם בחלק התחתון של המתחם, אך לא ברף התחתון ממש, וזאת לנוכח ממצאי התסקיר, המסוכנות שעדיין קיימת והצורך בהרתעת היחיד והרבים. עם זאת, החלטתי במקרה זה להימנע ממיצוי מלא של הדין, בהתחשב בגיל הצעיר, בהיעדר דפוסים עברייניים, בתקופת המעצר בה נשא הנאשם ובתנאים המגבילים בהם היה נתון, והכול מתוך תקווה כי בתום המאסר, ואף במהלכו, ישכיל לשנות את דרכיו, לקבל את הטיפול הדרוש לו ולהימנע בעתיד מכל מעורבות נוספת בפלילים. לפיכך, אסתפק בעונש המצוי ברף התחתון ממש, לצד מרכיבי הענישה המשלימים המתחייבים. </w:t>
      </w:r>
    </w:p>
    <w:p w14:paraId="31030EFE" w14:textId="77777777" w:rsidR="00B2470D" w:rsidRDefault="00B2470D" w:rsidP="00B2470D">
      <w:pPr>
        <w:spacing w:line="360" w:lineRule="auto"/>
        <w:jc w:val="both"/>
        <w:rPr>
          <w:sz w:val="26"/>
          <w:szCs w:val="26"/>
          <w:rtl/>
        </w:rPr>
      </w:pPr>
    </w:p>
    <w:p w14:paraId="5D630654" w14:textId="77777777" w:rsidR="00B2470D" w:rsidRDefault="00B2470D" w:rsidP="00B2470D">
      <w:pPr>
        <w:spacing w:line="360" w:lineRule="auto"/>
        <w:jc w:val="both"/>
        <w:rPr>
          <w:sz w:val="26"/>
          <w:szCs w:val="26"/>
          <w:rtl/>
        </w:rPr>
      </w:pPr>
    </w:p>
    <w:p w14:paraId="3AF6BF79" w14:textId="77777777" w:rsidR="00B2470D" w:rsidRDefault="00B2470D" w:rsidP="00B2470D">
      <w:pPr>
        <w:spacing w:line="360" w:lineRule="auto"/>
        <w:jc w:val="both"/>
        <w:rPr>
          <w:sz w:val="26"/>
          <w:szCs w:val="26"/>
          <w:rtl/>
        </w:rPr>
      </w:pPr>
    </w:p>
    <w:p w14:paraId="271C6192" w14:textId="77777777" w:rsidR="00B2470D" w:rsidRDefault="00B2470D" w:rsidP="00B2470D">
      <w:pPr>
        <w:spacing w:line="360" w:lineRule="auto"/>
        <w:jc w:val="both"/>
        <w:rPr>
          <w:b/>
          <w:bCs/>
          <w:sz w:val="26"/>
          <w:szCs w:val="26"/>
          <w:u w:val="single"/>
          <w:rtl/>
        </w:rPr>
      </w:pPr>
      <w:r>
        <w:rPr>
          <w:rFonts w:hint="cs"/>
          <w:b/>
          <w:bCs/>
          <w:sz w:val="26"/>
          <w:szCs w:val="26"/>
          <w:u w:val="single"/>
          <w:rtl/>
        </w:rPr>
        <w:t>לאור כל האמור לעיל אני גוזר על הנאשם את העונשים הבאים:</w:t>
      </w:r>
    </w:p>
    <w:p w14:paraId="06D7E500" w14:textId="77777777" w:rsidR="00B2470D" w:rsidRDefault="00B2470D" w:rsidP="00B2470D">
      <w:pPr>
        <w:spacing w:line="360" w:lineRule="auto"/>
        <w:jc w:val="both"/>
        <w:rPr>
          <w:b/>
          <w:bCs/>
          <w:sz w:val="26"/>
          <w:szCs w:val="26"/>
          <w:u w:val="single"/>
          <w:rtl/>
        </w:rPr>
      </w:pPr>
    </w:p>
    <w:p w14:paraId="2378E501" w14:textId="77777777" w:rsidR="00B2470D" w:rsidRDefault="00B2470D" w:rsidP="00B2470D">
      <w:pPr>
        <w:numPr>
          <w:ilvl w:val="0"/>
          <w:numId w:val="1"/>
        </w:numPr>
        <w:spacing w:line="360" w:lineRule="auto"/>
        <w:jc w:val="both"/>
        <w:rPr>
          <w:sz w:val="26"/>
          <w:szCs w:val="26"/>
          <w:rtl/>
        </w:rPr>
      </w:pPr>
      <w:r>
        <w:rPr>
          <w:rFonts w:hint="cs"/>
          <w:sz w:val="26"/>
          <w:szCs w:val="26"/>
          <w:rtl/>
        </w:rPr>
        <w:t>מאסר בפועל למשך 24 חודשים, בניכוי ימי המעצר מיום 3.8.20 ועד 24.9.20.</w:t>
      </w:r>
    </w:p>
    <w:p w14:paraId="6FF60D16" w14:textId="77777777" w:rsidR="00B2470D" w:rsidRDefault="00B2470D" w:rsidP="00B2470D">
      <w:pPr>
        <w:spacing w:line="360" w:lineRule="auto"/>
        <w:ind w:left="1080"/>
        <w:jc w:val="both"/>
        <w:rPr>
          <w:sz w:val="26"/>
          <w:szCs w:val="26"/>
          <w:rtl/>
        </w:rPr>
      </w:pPr>
    </w:p>
    <w:p w14:paraId="4D60E7E6" w14:textId="77777777" w:rsidR="00B2470D" w:rsidRDefault="00B2470D" w:rsidP="00B2470D">
      <w:pPr>
        <w:numPr>
          <w:ilvl w:val="0"/>
          <w:numId w:val="1"/>
        </w:numPr>
        <w:spacing w:line="360" w:lineRule="auto"/>
        <w:jc w:val="both"/>
        <w:rPr>
          <w:sz w:val="26"/>
          <w:szCs w:val="26"/>
        </w:rPr>
      </w:pPr>
      <w:r>
        <w:rPr>
          <w:rFonts w:hint="cs"/>
          <w:sz w:val="26"/>
          <w:szCs w:val="26"/>
          <w:rtl/>
        </w:rPr>
        <w:t xml:space="preserve">10 חודשי מאסר על תנאי </w:t>
      </w:r>
      <w:r>
        <w:rPr>
          <w:rStyle w:val="normal-h"/>
          <w:rFonts w:hint="cs"/>
          <w:sz w:val="26"/>
          <w:szCs w:val="26"/>
          <w:rtl/>
        </w:rPr>
        <w:t>והתנאי הוא כי במשך 3 שנים מיום שחרורו מהמאסר לא יעבור הנאשם עבירת נשק מסוג פשע.</w:t>
      </w:r>
    </w:p>
    <w:p w14:paraId="19AD3368" w14:textId="77777777" w:rsidR="00B2470D" w:rsidRDefault="00B2470D" w:rsidP="00B2470D">
      <w:pPr>
        <w:spacing w:line="360" w:lineRule="auto"/>
        <w:jc w:val="both"/>
        <w:rPr>
          <w:rStyle w:val="normal-h"/>
        </w:rPr>
      </w:pPr>
    </w:p>
    <w:p w14:paraId="2499CFE2" w14:textId="77777777" w:rsidR="00B2470D" w:rsidRDefault="00B2470D" w:rsidP="00B2470D">
      <w:pPr>
        <w:numPr>
          <w:ilvl w:val="0"/>
          <w:numId w:val="1"/>
        </w:numPr>
        <w:spacing w:line="360" w:lineRule="auto"/>
        <w:jc w:val="both"/>
        <w:rPr>
          <w:rStyle w:val="normal-h"/>
          <w:sz w:val="26"/>
          <w:szCs w:val="26"/>
        </w:rPr>
      </w:pPr>
      <w:r>
        <w:rPr>
          <w:rStyle w:val="normal-h"/>
          <w:rFonts w:hint="cs"/>
          <w:sz w:val="26"/>
          <w:szCs w:val="26"/>
          <w:rtl/>
        </w:rPr>
        <w:t>5 חודשי מאסר על תנאי והתנאי הוא כי במשך 3 שנים מיום שחרורו מהמאסר לא יעבור הנאשם עבירת נשק מסוג עוון.</w:t>
      </w:r>
    </w:p>
    <w:p w14:paraId="3BC8E64C" w14:textId="77777777" w:rsidR="00B2470D" w:rsidRDefault="00B2470D" w:rsidP="00B2470D">
      <w:pPr>
        <w:pStyle w:val="a9"/>
        <w:rPr>
          <w:rStyle w:val="normal-h"/>
          <w:sz w:val="26"/>
          <w:szCs w:val="26"/>
        </w:rPr>
      </w:pPr>
    </w:p>
    <w:p w14:paraId="2537B93E" w14:textId="77777777" w:rsidR="00B2470D" w:rsidRDefault="00B2470D" w:rsidP="00B2470D">
      <w:pPr>
        <w:numPr>
          <w:ilvl w:val="0"/>
          <w:numId w:val="1"/>
        </w:numPr>
        <w:spacing w:line="360" w:lineRule="auto"/>
        <w:jc w:val="both"/>
        <w:rPr>
          <w:rStyle w:val="normal-h"/>
          <w:sz w:val="26"/>
          <w:szCs w:val="26"/>
          <w:rtl/>
        </w:rPr>
      </w:pPr>
      <w:r>
        <w:rPr>
          <w:rStyle w:val="normal-h"/>
          <w:rFonts w:hint="cs"/>
          <w:sz w:val="26"/>
          <w:szCs w:val="26"/>
          <w:rtl/>
        </w:rPr>
        <w:t>קנס בסך 4,000 ₪ או 50 ימי מאסר תמורתו. הקנס ישולם ב-4 תשלומים חודשיים, שווים ורצופים, החל מיום 15.7.22.</w:t>
      </w:r>
    </w:p>
    <w:p w14:paraId="65CA4BE0" w14:textId="77777777" w:rsidR="00B2470D" w:rsidRDefault="00B2470D" w:rsidP="00B2470D">
      <w:pPr>
        <w:rPr>
          <w:rStyle w:val="normal-h"/>
          <w:sz w:val="26"/>
          <w:szCs w:val="26"/>
        </w:rPr>
      </w:pPr>
    </w:p>
    <w:p w14:paraId="1CCDADBD" w14:textId="77777777" w:rsidR="00B2470D" w:rsidRDefault="00B2470D" w:rsidP="00B2470D">
      <w:pPr>
        <w:rPr>
          <w:rStyle w:val="normal-h"/>
          <w:sz w:val="26"/>
          <w:szCs w:val="26"/>
          <w:rtl/>
        </w:rPr>
      </w:pPr>
    </w:p>
    <w:p w14:paraId="198EEB94" w14:textId="77777777" w:rsidR="00B2470D" w:rsidRDefault="00B2470D" w:rsidP="00B2470D">
      <w:pPr>
        <w:rPr>
          <w:rStyle w:val="normal-h"/>
          <w:sz w:val="26"/>
          <w:szCs w:val="26"/>
          <w:rtl/>
        </w:rPr>
      </w:pPr>
      <w:r>
        <w:rPr>
          <w:rStyle w:val="normal-h"/>
          <w:rFonts w:hint="cs"/>
          <w:sz w:val="26"/>
          <w:szCs w:val="26"/>
          <w:rtl/>
        </w:rPr>
        <w:t>העתק יועבר לשירות המבחן</w:t>
      </w:r>
    </w:p>
    <w:p w14:paraId="1AF03DEC" w14:textId="77777777" w:rsidR="00B2470D" w:rsidRDefault="00B2470D" w:rsidP="00B2470D">
      <w:pPr>
        <w:spacing w:line="360" w:lineRule="auto"/>
        <w:jc w:val="both"/>
        <w:rPr>
          <w:b/>
          <w:bCs/>
          <w:rtl/>
        </w:rPr>
      </w:pPr>
    </w:p>
    <w:p w14:paraId="0D844035" w14:textId="77777777" w:rsidR="00B2470D" w:rsidRDefault="00B2470D" w:rsidP="00B2470D">
      <w:pPr>
        <w:spacing w:line="360" w:lineRule="auto"/>
        <w:jc w:val="both"/>
        <w:rPr>
          <w:b/>
          <w:bCs/>
          <w:u w:val="single"/>
          <w:rtl/>
        </w:rPr>
      </w:pPr>
    </w:p>
    <w:p w14:paraId="259FF0F2" w14:textId="77777777" w:rsidR="00B2470D" w:rsidRDefault="00B2470D" w:rsidP="00B2470D">
      <w:pPr>
        <w:spacing w:line="360" w:lineRule="auto"/>
        <w:jc w:val="both"/>
        <w:rPr>
          <w:b/>
          <w:bCs/>
          <w:u w:val="single"/>
          <w:rtl/>
        </w:rPr>
      </w:pPr>
      <w:r>
        <w:rPr>
          <w:rFonts w:hint="cs"/>
          <w:b/>
          <w:bCs/>
          <w:u w:val="single"/>
          <w:rtl/>
        </w:rPr>
        <w:t>המוצגים יחולטו או יושמדו על פי שיקול דעת המשטרה.</w:t>
      </w:r>
    </w:p>
    <w:p w14:paraId="03EB3688" w14:textId="77777777" w:rsidR="00B2470D" w:rsidRDefault="00B2470D" w:rsidP="00B2470D">
      <w:pPr>
        <w:spacing w:line="360" w:lineRule="auto"/>
        <w:jc w:val="both"/>
        <w:rPr>
          <w:rtl/>
        </w:rPr>
      </w:pPr>
    </w:p>
    <w:p w14:paraId="71979EE0" w14:textId="77777777" w:rsidR="00B2470D" w:rsidRDefault="00B2470D" w:rsidP="00B2470D">
      <w:pPr>
        <w:spacing w:line="360" w:lineRule="auto"/>
        <w:jc w:val="both"/>
        <w:rPr>
          <w:rtl/>
        </w:rPr>
      </w:pPr>
    </w:p>
    <w:p w14:paraId="60B6DC4D" w14:textId="77777777" w:rsidR="00B2470D" w:rsidRDefault="00B2470D" w:rsidP="00B2470D">
      <w:pPr>
        <w:spacing w:line="360" w:lineRule="auto"/>
        <w:jc w:val="both"/>
        <w:rPr>
          <w:b/>
          <w:bCs/>
          <w:sz w:val="26"/>
          <w:szCs w:val="26"/>
          <w:u w:val="single"/>
        </w:rPr>
      </w:pPr>
      <w:r>
        <w:rPr>
          <w:rStyle w:val="normal-h"/>
          <w:rFonts w:hint="cs"/>
          <w:b/>
          <w:bCs/>
          <w:sz w:val="26"/>
          <w:szCs w:val="26"/>
          <w:rtl/>
        </w:rPr>
        <w:t>זכות ערעור בתוך 45 ימים.</w:t>
      </w:r>
    </w:p>
    <w:p w14:paraId="622E6996" w14:textId="77777777" w:rsidR="00B2470D" w:rsidRPr="00E655F0" w:rsidRDefault="00E655F0" w:rsidP="00B2470D">
      <w:pPr>
        <w:rPr>
          <w:rFonts w:ascii="Arial" w:hAnsi="Arial"/>
          <w:b/>
          <w:bCs/>
          <w:color w:val="FFFFFF"/>
          <w:sz w:val="2"/>
          <w:szCs w:val="2"/>
          <w:rtl/>
        </w:rPr>
      </w:pPr>
      <w:r w:rsidRPr="00E655F0">
        <w:rPr>
          <w:rFonts w:ascii="Arial" w:hAnsi="Arial"/>
          <w:b/>
          <w:bCs/>
          <w:color w:val="FFFFFF"/>
          <w:sz w:val="2"/>
          <w:szCs w:val="2"/>
          <w:rtl/>
        </w:rPr>
        <w:t>5129371</w:t>
      </w:r>
    </w:p>
    <w:p w14:paraId="299583BF" w14:textId="77777777" w:rsidR="00B2470D" w:rsidRPr="00E655F0" w:rsidRDefault="00E655F0" w:rsidP="00B2470D">
      <w:pPr>
        <w:rPr>
          <w:rFonts w:ascii="Arial" w:hAnsi="Arial"/>
          <w:b/>
          <w:bCs/>
          <w:color w:val="FFFFFF"/>
          <w:sz w:val="2"/>
          <w:szCs w:val="2"/>
          <w:rtl/>
        </w:rPr>
      </w:pPr>
      <w:r w:rsidRPr="00E655F0">
        <w:rPr>
          <w:rFonts w:ascii="Arial" w:hAnsi="Arial"/>
          <w:b/>
          <w:bCs/>
          <w:color w:val="FFFFFF"/>
          <w:sz w:val="2"/>
          <w:szCs w:val="2"/>
          <w:rtl/>
        </w:rPr>
        <w:t>54678313</w:t>
      </w:r>
    </w:p>
    <w:p w14:paraId="67EC1193" w14:textId="77777777" w:rsidR="00B2470D" w:rsidRPr="000F2247" w:rsidRDefault="00B2470D" w:rsidP="00B2470D">
      <w:pPr>
        <w:rPr>
          <w:rFonts w:ascii="Arial" w:hAnsi="Arial"/>
          <w:b/>
          <w:bCs/>
          <w:sz w:val="26"/>
          <w:szCs w:val="26"/>
          <w:rtl/>
        </w:rPr>
      </w:pPr>
    </w:p>
    <w:p w14:paraId="666B106A" w14:textId="77777777" w:rsidR="00B2470D" w:rsidRPr="000F2247" w:rsidRDefault="00E655F0" w:rsidP="00B2470D">
      <w:pPr>
        <w:rPr>
          <w:rFonts w:ascii="Arial" w:hAnsi="Arial"/>
          <w:b/>
          <w:bCs/>
          <w:sz w:val="26"/>
          <w:szCs w:val="26"/>
          <w:rtl/>
        </w:rPr>
      </w:pPr>
      <w:bookmarkStart w:id="8" w:name="Nitan"/>
      <w:r>
        <w:rPr>
          <w:rFonts w:ascii="Arial" w:hAnsi="Arial"/>
          <w:b/>
          <w:bCs/>
          <w:sz w:val="26"/>
          <w:szCs w:val="26"/>
          <w:rtl/>
        </w:rPr>
        <w:t xml:space="preserve">ניתן היום,  ט' אייר תשפ"ב, 10 מאי 2022, במעמד הצדדים. </w:t>
      </w:r>
      <w:bookmarkEnd w:id="8"/>
    </w:p>
    <w:p w14:paraId="34618E72" w14:textId="77777777" w:rsidR="00B2470D" w:rsidRPr="000F2247" w:rsidRDefault="00B2470D" w:rsidP="00E655F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DA28063" w14:textId="77777777" w:rsidR="00B2470D" w:rsidRPr="00857BEF" w:rsidRDefault="00857BEF" w:rsidP="00B2470D">
      <w:pPr>
        <w:jc w:val="center"/>
        <w:rPr>
          <w:rFonts w:ascii="Arial" w:hAnsi="Arial"/>
          <w:b/>
          <w:bCs/>
          <w:color w:val="FFFFFF"/>
          <w:sz w:val="2"/>
          <w:szCs w:val="2"/>
          <w:rtl/>
        </w:rPr>
      </w:pPr>
      <w:r w:rsidRPr="00857BEF">
        <w:rPr>
          <w:rFonts w:ascii="Arial" w:hAnsi="Arial"/>
          <w:b/>
          <w:bCs/>
          <w:color w:val="FFFFFF"/>
          <w:sz w:val="2"/>
          <w:szCs w:val="2"/>
          <w:rtl/>
        </w:rPr>
        <w:t>5129371</w:t>
      </w:r>
    </w:p>
    <w:p w14:paraId="7E2408B0" w14:textId="77777777" w:rsidR="00B470BA" w:rsidRPr="00857BEF" w:rsidRDefault="00857BEF" w:rsidP="00E655F0">
      <w:pPr>
        <w:keepNext/>
        <w:rPr>
          <w:rFonts w:ascii="David" w:hAnsi="David"/>
          <w:color w:val="FFFFFF"/>
          <w:sz w:val="2"/>
          <w:szCs w:val="2"/>
          <w:rtl/>
        </w:rPr>
      </w:pPr>
      <w:r w:rsidRPr="00857BEF">
        <w:rPr>
          <w:rFonts w:ascii="David" w:hAnsi="David"/>
          <w:color w:val="FFFFFF"/>
          <w:sz w:val="2"/>
          <w:szCs w:val="2"/>
          <w:rtl/>
        </w:rPr>
        <w:t>54678313</w:t>
      </w:r>
    </w:p>
    <w:p w14:paraId="476E4704" w14:textId="77777777" w:rsidR="00E655F0" w:rsidRDefault="00E655F0" w:rsidP="00E655F0">
      <w:pPr>
        <w:rPr>
          <w:rtl/>
        </w:rPr>
      </w:pPr>
    </w:p>
    <w:p w14:paraId="6CA740B0" w14:textId="77777777" w:rsidR="00E655F0" w:rsidRDefault="00E655F0" w:rsidP="00E655F0">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676990C7" w14:textId="77777777" w:rsidR="00857BEF" w:rsidRPr="00857BEF" w:rsidRDefault="00857BEF" w:rsidP="00857BEF">
      <w:pPr>
        <w:keepNext/>
        <w:rPr>
          <w:rFonts w:ascii="David" w:hAnsi="David"/>
          <w:color w:val="000000"/>
          <w:sz w:val="22"/>
          <w:szCs w:val="22"/>
          <w:rtl/>
        </w:rPr>
      </w:pPr>
    </w:p>
    <w:p w14:paraId="57E41169" w14:textId="77777777" w:rsidR="00857BEF" w:rsidRPr="00857BEF" w:rsidRDefault="00857BEF" w:rsidP="00857BEF">
      <w:pPr>
        <w:keepNext/>
        <w:rPr>
          <w:rFonts w:ascii="David" w:hAnsi="David"/>
          <w:color w:val="000000"/>
          <w:sz w:val="22"/>
          <w:szCs w:val="22"/>
          <w:rtl/>
        </w:rPr>
      </w:pPr>
      <w:r w:rsidRPr="00857BEF">
        <w:rPr>
          <w:rFonts w:ascii="David" w:hAnsi="David"/>
          <w:color w:val="000000"/>
          <w:sz w:val="22"/>
          <w:szCs w:val="22"/>
          <w:rtl/>
        </w:rPr>
        <w:t>חגי טרסי 54678313-/</w:t>
      </w:r>
    </w:p>
    <w:p w14:paraId="637CD14B" w14:textId="77777777" w:rsidR="00E655F0" w:rsidRPr="00E655F0" w:rsidRDefault="00857BEF" w:rsidP="00857BEF">
      <w:pPr>
        <w:rPr>
          <w:rFonts w:hint="cs"/>
          <w:color w:val="0000FF"/>
          <w:u w:val="single"/>
        </w:rPr>
      </w:pPr>
      <w:r w:rsidRPr="00857BEF">
        <w:rPr>
          <w:color w:val="000000"/>
          <w:u w:val="single"/>
          <w:rtl/>
        </w:rPr>
        <w:t>נוסח מסמך זה כפוף לשינויי ניסוח ועריכה</w:t>
      </w:r>
      <w:r w:rsidR="00565A78">
        <w:rPr>
          <w:rFonts w:hint="cs"/>
          <w:color w:val="0000FF"/>
          <w:u w:val="single"/>
          <w:rtl/>
        </w:rPr>
        <w:t xml:space="preserve"> </w:t>
      </w:r>
    </w:p>
    <w:sectPr w:rsidR="00E655F0" w:rsidRPr="00E655F0" w:rsidSect="00857BEF">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6306F" w14:textId="77777777" w:rsidR="00860250" w:rsidRDefault="00860250" w:rsidP="00464475">
      <w:r>
        <w:separator/>
      </w:r>
    </w:p>
  </w:endnote>
  <w:endnote w:type="continuationSeparator" w:id="0">
    <w:p w14:paraId="2D37E230" w14:textId="77777777" w:rsidR="00860250" w:rsidRDefault="00860250" w:rsidP="0046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80861" w14:textId="77777777" w:rsidR="00857BEF" w:rsidRDefault="00857BEF" w:rsidP="00857BE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466155" w14:textId="77777777" w:rsidR="0078162A" w:rsidRPr="00857BEF" w:rsidRDefault="00857BEF" w:rsidP="00857BEF">
    <w:pPr>
      <w:pStyle w:val="a5"/>
      <w:pBdr>
        <w:top w:val="single" w:sz="4" w:space="1" w:color="auto"/>
        <w:between w:val="single" w:sz="4" w:space="0" w:color="auto"/>
      </w:pBdr>
      <w:spacing w:after="60"/>
      <w:jc w:val="center"/>
      <w:rPr>
        <w:rFonts w:ascii="FrankRuehl" w:hAnsi="FrankRuehl" w:cs="FrankRuehl"/>
        <w:color w:val="000000"/>
      </w:rPr>
    </w:pPr>
    <w:r w:rsidRPr="00857BE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01D1B" w14:textId="77777777" w:rsidR="00857BEF" w:rsidRDefault="00857BEF" w:rsidP="00857BE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4EF6">
      <w:rPr>
        <w:rFonts w:ascii="FrankRuehl" w:hAnsi="FrankRuehl" w:cs="FrankRuehl"/>
        <w:noProof/>
        <w:rtl/>
      </w:rPr>
      <w:t>1</w:t>
    </w:r>
    <w:r>
      <w:rPr>
        <w:rFonts w:ascii="FrankRuehl" w:hAnsi="FrankRuehl" w:cs="FrankRuehl"/>
        <w:rtl/>
      </w:rPr>
      <w:fldChar w:fldCharType="end"/>
    </w:r>
  </w:p>
  <w:p w14:paraId="77395F36" w14:textId="77777777" w:rsidR="0078162A" w:rsidRPr="00857BEF" w:rsidRDefault="00857BEF" w:rsidP="00857BEF">
    <w:pPr>
      <w:pStyle w:val="a5"/>
      <w:pBdr>
        <w:top w:val="single" w:sz="4" w:space="1" w:color="auto"/>
        <w:between w:val="single" w:sz="4" w:space="0" w:color="auto"/>
      </w:pBdr>
      <w:spacing w:after="60"/>
      <w:jc w:val="center"/>
      <w:rPr>
        <w:rFonts w:ascii="FrankRuehl" w:hAnsi="FrankRuehl" w:cs="FrankRuehl"/>
        <w:color w:val="000000"/>
      </w:rPr>
    </w:pPr>
    <w:r w:rsidRPr="00857BEF">
      <w:rPr>
        <w:rFonts w:ascii="FrankRuehl" w:hAnsi="FrankRuehl" w:cs="FrankRuehl"/>
        <w:color w:val="000000"/>
      </w:rPr>
      <w:pict w14:anchorId="5C278B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AB1DA" w14:textId="77777777" w:rsidR="00860250" w:rsidRDefault="00860250" w:rsidP="00464475">
      <w:r>
        <w:separator/>
      </w:r>
    </w:p>
  </w:footnote>
  <w:footnote w:type="continuationSeparator" w:id="0">
    <w:p w14:paraId="7B2391E8" w14:textId="77777777" w:rsidR="00860250" w:rsidRDefault="00860250" w:rsidP="004644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4B7BD" w14:textId="77777777" w:rsidR="00E655F0" w:rsidRPr="00857BEF" w:rsidRDefault="00857BEF" w:rsidP="00857B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28518-08-20</w:t>
    </w:r>
    <w:r>
      <w:rPr>
        <w:rFonts w:ascii="David" w:hAnsi="David"/>
        <w:color w:val="000000"/>
        <w:sz w:val="22"/>
        <w:szCs w:val="22"/>
        <w:rtl/>
      </w:rPr>
      <w:tab/>
      <w:t xml:space="preserve"> מדינת ישראל נ' כרים פחמאוי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010BB" w14:textId="77777777" w:rsidR="00E655F0" w:rsidRPr="00857BEF" w:rsidRDefault="00857BEF" w:rsidP="00857BE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28518-08-20</w:t>
    </w:r>
    <w:r>
      <w:rPr>
        <w:rFonts w:ascii="David" w:hAnsi="David"/>
        <w:color w:val="000000"/>
        <w:sz w:val="22"/>
        <w:szCs w:val="22"/>
        <w:rtl/>
      </w:rPr>
      <w:tab/>
      <w:t xml:space="preserve"> מדינת ישראל נ' כרים פחמאוי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D1755"/>
    <w:multiLevelType w:val="hybridMultilevel"/>
    <w:tmpl w:val="20CA5CF6"/>
    <w:lvl w:ilvl="0" w:tplc="F9F6DE0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92038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470D"/>
    <w:rsid w:val="001B5A3B"/>
    <w:rsid w:val="001C4682"/>
    <w:rsid w:val="00464475"/>
    <w:rsid w:val="0047148F"/>
    <w:rsid w:val="005209F4"/>
    <w:rsid w:val="00565A78"/>
    <w:rsid w:val="0078162A"/>
    <w:rsid w:val="00857BEF"/>
    <w:rsid w:val="00860250"/>
    <w:rsid w:val="00883C4E"/>
    <w:rsid w:val="00994EF6"/>
    <w:rsid w:val="00B2470D"/>
    <w:rsid w:val="00B470BA"/>
    <w:rsid w:val="00CE23FC"/>
    <w:rsid w:val="00DB6932"/>
    <w:rsid w:val="00E655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99DFD8"/>
  <w15:chartTrackingRefBased/>
  <w15:docId w15:val="{CC72432B-EE11-41EF-8BC5-AF7600A3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470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470D"/>
    <w:pPr>
      <w:tabs>
        <w:tab w:val="center" w:pos="4153"/>
        <w:tab w:val="right" w:pos="8306"/>
      </w:tabs>
    </w:pPr>
  </w:style>
  <w:style w:type="character" w:customStyle="1" w:styleId="a4">
    <w:name w:val="כותרת עליונה תו"/>
    <w:link w:val="a3"/>
    <w:rsid w:val="00B2470D"/>
    <w:rPr>
      <w:rFonts w:ascii="Times New Roman" w:eastAsia="Times New Roman" w:hAnsi="Times New Roman" w:cs="David"/>
      <w:sz w:val="24"/>
      <w:szCs w:val="24"/>
    </w:rPr>
  </w:style>
  <w:style w:type="paragraph" w:styleId="a5">
    <w:name w:val="footer"/>
    <w:basedOn w:val="a"/>
    <w:link w:val="a6"/>
    <w:rsid w:val="00B2470D"/>
    <w:pPr>
      <w:tabs>
        <w:tab w:val="center" w:pos="4153"/>
        <w:tab w:val="right" w:pos="8306"/>
      </w:tabs>
    </w:pPr>
  </w:style>
  <w:style w:type="character" w:customStyle="1" w:styleId="a6">
    <w:name w:val="כותרת תחתונה תו"/>
    <w:link w:val="a5"/>
    <w:rsid w:val="00B2470D"/>
    <w:rPr>
      <w:rFonts w:ascii="Times New Roman" w:eastAsia="Times New Roman" w:hAnsi="Times New Roman" w:cs="David"/>
      <w:sz w:val="24"/>
      <w:szCs w:val="24"/>
    </w:rPr>
  </w:style>
  <w:style w:type="table" w:styleId="a7">
    <w:name w:val="Table Grid"/>
    <w:basedOn w:val="a1"/>
    <w:rsid w:val="00B2470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2470D"/>
  </w:style>
  <w:style w:type="paragraph" w:styleId="a9">
    <w:name w:val="List Paragraph"/>
    <w:basedOn w:val="a"/>
    <w:qFormat/>
    <w:rsid w:val="00B2470D"/>
    <w:pPr>
      <w:ind w:left="720"/>
      <w:contextualSpacing/>
    </w:pPr>
    <w:rPr>
      <w:rFonts w:ascii="David" w:eastAsia="David" w:hAnsi="David"/>
    </w:rPr>
  </w:style>
  <w:style w:type="character" w:customStyle="1" w:styleId="normal-h">
    <w:name w:val="normal-h"/>
    <w:rsid w:val="00B2470D"/>
  </w:style>
  <w:style w:type="character" w:styleId="Hyperlink">
    <w:name w:val="Hyperlink"/>
    <w:rsid w:val="00B247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7171364" TargetMode="External"/><Relationship Id="rId18" Type="http://schemas.openxmlformats.org/officeDocument/2006/relationships/hyperlink" Target="http://www.nevo.co.il/case/28384637" TargetMode="External"/><Relationship Id="rId26" Type="http://schemas.openxmlformats.org/officeDocument/2006/relationships/hyperlink" Target="http://www.nevo.co.il/case/24263578" TargetMode="External"/><Relationship Id="rId39" Type="http://schemas.openxmlformats.org/officeDocument/2006/relationships/fontTable" Target="fontTable.xml"/><Relationship Id="rId21" Type="http://schemas.openxmlformats.org/officeDocument/2006/relationships/hyperlink" Target="http://www.nevo.co.il/case/26905927"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case/27309272" TargetMode="External"/><Relationship Id="rId17" Type="http://schemas.openxmlformats.org/officeDocument/2006/relationships/hyperlink" Target="http://www.nevo.co.il/case/26905927" TargetMode="External"/><Relationship Id="rId25" Type="http://schemas.openxmlformats.org/officeDocument/2006/relationships/hyperlink" Target="http://www.nevo.co.il/case/25612982" TargetMode="External"/><Relationship Id="rId33" Type="http://schemas.openxmlformats.org/officeDocument/2006/relationships/hyperlink" Target="http://www.nevo.co.il/case/25063920"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6934681" TargetMode="External"/><Relationship Id="rId20" Type="http://schemas.openxmlformats.org/officeDocument/2006/relationships/hyperlink" Target="http://www.nevo.co.il/case/26492590" TargetMode="External"/><Relationship Id="rId29" Type="http://schemas.openxmlformats.org/officeDocument/2006/relationships/hyperlink" Target="http://www.nevo.co.il/case/258925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6383419" TargetMode="External"/><Relationship Id="rId32" Type="http://schemas.openxmlformats.org/officeDocument/2006/relationships/hyperlink" Target="http://www.nevo.co.il/case/2582486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5568354" TargetMode="External"/><Relationship Id="rId23" Type="http://schemas.openxmlformats.org/officeDocument/2006/relationships/hyperlink" Target="http://www.nevo.co.il/case/22006503" TargetMode="External"/><Relationship Id="rId28" Type="http://schemas.openxmlformats.org/officeDocument/2006/relationships/hyperlink" Target="http://www.nevo.co.il/case/27716369" TargetMode="External"/><Relationship Id="rId36"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7894607" TargetMode="External"/><Relationship Id="rId31" Type="http://schemas.openxmlformats.org/officeDocument/2006/relationships/hyperlink" Target="http://www.nevo.co.il/case/27915710"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24140726" TargetMode="External"/><Relationship Id="rId27" Type="http://schemas.openxmlformats.org/officeDocument/2006/relationships/hyperlink" Target="http://www.nevo.co.il/case/26931111" TargetMode="External"/><Relationship Id="rId30" Type="http://schemas.openxmlformats.org/officeDocument/2006/relationships/hyperlink" Target="http://www.nevo.co.il/case/7791493" TargetMode="External"/><Relationship Id="rId35" Type="http://schemas.openxmlformats.org/officeDocument/2006/relationships/header" Target="header1.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3319</Words>
  <Characters>16596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19876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3342462</vt:i4>
      </vt:variant>
      <vt:variant>
        <vt:i4>78</vt:i4>
      </vt:variant>
      <vt:variant>
        <vt:i4>0</vt:i4>
      </vt:variant>
      <vt:variant>
        <vt:i4>5</vt:i4>
      </vt:variant>
      <vt:variant>
        <vt:lpwstr>http://www.nevo.co.il/case/25063920</vt:lpwstr>
      </vt:variant>
      <vt:variant>
        <vt:lpwstr/>
      </vt:variant>
      <vt:variant>
        <vt:i4>3670139</vt:i4>
      </vt:variant>
      <vt:variant>
        <vt:i4>75</vt:i4>
      </vt:variant>
      <vt:variant>
        <vt:i4>0</vt:i4>
      </vt:variant>
      <vt:variant>
        <vt:i4>5</vt:i4>
      </vt:variant>
      <vt:variant>
        <vt:lpwstr>http://www.nevo.co.il/case/25824863</vt:lpwstr>
      </vt:variant>
      <vt:variant>
        <vt:lpwstr/>
      </vt:variant>
      <vt:variant>
        <vt:i4>4128885</vt:i4>
      </vt:variant>
      <vt:variant>
        <vt:i4>72</vt:i4>
      </vt:variant>
      <vt:variant>
        <vt:i4>0</vt:i4>
      </vt:variant>
      <vt:variant>
        <vt:i4>5</vt:i4>
      </vt:variant>
      <vt:variant>
        <vt:lpwstr>http://www.nevo.co.il/case/27915710</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3932285</vt:i4>
      </vt:variant>
      <vt:variant>
        <vt:i4>66</vt:i4>
      </vt:variant>
      <vt:variant>
        <vt:i4>0</vt:i4>
      </vt:variant>
      <vt:variant>
        <vt:i4>5</vt:i4>
      </vt:variant>
      <vt:variant>
        <vt:lpwstr>http://www.nevo.co.il/case/25892549</vt:lpwstr>
      </vt:variant>
      <vt:variant>
        <vt:lpwstr/>
      </vt:variant>
      <vt:variant>
        <vt:i4>3473521</vt:i4>
      </vt:variant>
      <vt:variant>
        <vt:i4>63</vt:i4>
      </vt:variant>
      <vt:variant>
        <vt:i4>0</vt:i4>
      </vt:variant>
      <vt:variant>
        <vt:i4>5</vt:i4>
      </vt:variant>
      <vt:variant>
        <vt:lpwstr>http://www.nevo.co.il/case/27716369</vt:lpwstr>
      </vt:variant>
      <vt:variant>
        <vt:lpwstr/>
      </vt:variant>
      <vt:variant>
        <vt:i4>3866736</vt:i4>
      </vt:variant>
      <vt:variant>
        <vt:i4>60</vt:i4>
      </vt:variant>
      <vt:variant>
        <vt:i4>0</vt:i4>
      </vt:variant>
      <vt:variant>
        <vt:i4>5</vt:i4>
      </vt:variant>
      <vt:variant>
        <vt:lpwstr>http://www.nevo.co.il/case/26931111</vt:lpwstr>
      </vt:variant>
      <vt:variant>
        <vt:lpwstr/>
      </vt:variant>
      <vt:variant>
        <vt:i4>3407987</vt:i4>
      </vt:variant>
      <vt:variant>
        <vt:i4>57</vt:i4>
      </vt:variant>
      <vt:variant>
        <vt:i4>0</vt:i4>
      </vt:variant>
      <vt:variant>
        <vt:i4>5</vt:i4>
      </vt:variant>
      <vt:variant>
        <vt:lpwstr>http://www.nevo.co.il/case/24263578</vt:lpwstr>
      </vt:variant>
      <vt:variant>
        <vt:lpwstr/>
      </vt:variant>
      <vt:variant>
        <vt:i4>4063353</vt:i4>
      </vt:variant>
      <vt:variant>
        <vt:i4>54</vt:i4>
      </vt:variant>
      <vt:variant>
        <vt:i4>0</vt:i4>
      </vt:variant>
      <vt:variant>
        <vt:i4>5</vt:i4>
      </vt:variant>
      <vt:variant>
        <vt:lpwstr>http://www.nevo.co.il/case/25612982</vt:lpwstr>
      </vt:variant>
      <vt:variant>
        <vt:lpwstr/>
      </vt:variant>
      <vt:variant>
        <vt:i4>3342462</vt:i4>
      </vt:variant>
      <vt:variant>
        <vt:i4>51</vt:i4>
      </vt:variant>
      <vt:variant>
        <vt:i4>0</vt:i4>
      </vt:variant>
      <vt:variant>
        <vt:i4>5</vt:i4>
      </vt:variant>
      <vt:variant>
        <vt:lpwstr>http://www.nevo.co.il/case/26383419</vt:lpwstr>
      </vt:variant>
      <vt:variant>
        <vt:lpwstr/>
      </vt:variant>
      <vt:variant>
        <vt:i4>3407987</vt:i4>
      </vt:variant>
      <vt:variant>
        <vt:i4>48</vt:i4>
      </vt:variant>
      <vt:variant>
        <vt:i4>0</vt:i4>
      </vt:variant>
      <vt:variant>
        <vt:i4>5</vt:i4>
      </vt:variant>
      <vt:variant>
        <vt:lpwstr>http://www.nevo.co.il/case/22006503</vt:lpwstr>
      </vt:variant>
      <vt:variant>
        <vt:lpwstr/>
      </vt:variant>
      <vt:variant>
        <vt:i4>3211379</vt:i4>
      </vt:variant>
      <vt:variant>
        <vt:i4>45</vt:i4>
      </vt:variant>
      <vt:variant>
        <vt:i4>0</vt:i4>
      </vt:variant>
      <vt:variant>
        <vt:i4>5</vt:i4>
      </vt:variant>
      <vt:variant>
        <vt:lpwstr>http://www.nevo.co.il/case/24140726</vt:lpwstr>
      </vt:variant>
      <vt:variant>
        <vt:lpwstr/>
      </vt:variant>
      <vt:variant>
        <vt:i4>3932283</vt:i4>
      </vt:variant>
      <vt:variant>
        <vt:i4>42</vt:i4>
      </vt:variant>
      <vt:variant>
        <vt:i4>0</vt:i4>
      </vt:variant>
      <vt:variant>
        <vt:i4>5</vt:i4>
      </vt:variant>
      <vt:variant>
        <vt:lpwstr>http://www.nevo.co.il/case/26905927</vt:lpwstr>
      </vt:variant>
      <vt:variant>
        <vt:lpwstr/>
      </vt:variant>
      <vt:variant>
        <vt:i4>3997822</vt:i4>
      </vt:variant>
      <vt:variant>
        <vt:i4>39</vt:i4>
      </vt:variant>
      <vt:variant>
        <vt:i4>0</vt:i4>
      </vt:variant>
      <vt:variant>
        <vt:i4>5</vt:i4>
      </vt:variant>
      <vt:variant>
        <vt:lpwstr>http://www.nevo.co.il/case/26492590</vt:lpwstr>
      </vt:variant>
      <vt:variant>
        <vt:lpwstr/>
      </vt:variant>
      <vt:variant>
        <vt:i4>4063356</vt:i4>
      </vt:variant>
      <vt:variant>
        <vt:i4>36</vt:i4>
      </vt:variant>
      <vt:variant>
        <vt:i4>0</vt:i4>
      </vt:variant>
      <vt:variant>
        <vt:i4>5</vt:i4>
      </vt:variant>
      <vt:variant>
        <vt:lpwstr>http://www.nevo.co.il/case/27894607</vt:lpwstr>
      </vt:variant>
      <vt:variant>
        <vt:lpwstr/>
      </vt:variant>
      <vt:variant>
        <vt:i4>3539058</vt:i4>
      </vt:variant>
      <vt:variant>
        <vt:i4>33</vt:i4>
      </vt:variant>
      <vt:variant>
        <vt:i4>0</vt:i4>
      </vt:variant>
      <vt:variant>
        <vt:i4>5</vt:i4>
      </vt:variant>
      <vt:variant>
        <vt:lpwstr>http://www.nevo.co.il/case/28384637</vt:lpwstr>
      </vt:variant>
      <vt:variant>
        <vt:lpwstr/>
      </vt:variant>
      <vt:variant>
        <vt:i4>3932283</vt:i4>
      </vt:variant>
      <vt:variant>
        <vt:i4>30</vt:i4>
      </vt:variant>
      <vt:variant>
        <vt:i4>0</vt:i4>
      </vt:variant>
      <vt:variant>
        <vt:i4>5</vt:i4>
      </vt:variant>
      <vt:variant>
        <vt:lpwstr>http://www.nevo.co.il/case/26905927</vt:lpwstr>
      </vt:variant>
      <vt:variant>
        <vt:lpwstr/>
      </vt:variant>
      <vt:variant>
        <vt:i4>3604599</vt:i4>
      </vt:variant>
      <vt:variant>
        <vt:i4>27</vt:i4>
      </vt:variant>
      <vt:variant>
        <vt:i4>0</vt:i4>
      </vt:variant>
      <vt:variant>
        <vt:i4>5</vt:i4>
      </vt:variant>
      <vt:variant>
        <vt:lpwstr>http://www.nevo.co.il/case/26934681</vt:lpwstr>
      </vt:variant>
      <vt:variant>
        <vt:lpwstr/>
      </vt:variant>
      <vt:variant>
        <vt:i4>3407996</vt:i4>
      </vt:variant>
      <vt:variant>
        <vt:i4>24</vt:i4>
      </vt:variant>
      <vt:variant>
        <vt:i4>0</vt:i4>
      </vt:variant>
      <vt:variant>
        <vt:i4>5</vt:i4>
      </vt:variant>
      <vt:variant>
        <vt:lpwstr>http://www.nevo.co.il/case/5568354</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3407991</vt:i4>
      </vt:variant>
      <vt:variant>
        <vt:i4>18</vt:i4>
      </vt:variant>
      <vt:variant>
        <vt:i4>0</vt:i4>
      </vt:variant>
      <vt:variant>
        <vt:i4>5</vt:i4>
      </vt:variant>
      <vt:variant>
        <vt:lpwstr>http://www.nevo.co.il/case/27171364</vt:lpwstr>
      </vt:variant>
      <vt:variant>
        <vt:lpwstr/>
      </vt:variant>
      <vt:variant>
        <vt:i4>4128881</vt:i4>
      </vt:variant>
      <vt:variant>
        <vt:i4>15</vt:i4>
      </vt:variant>
      <vt:variant>
        <vt:i4>0</vt:i4>
      </vt:variant>
      <vt:variant>
        <vt:i4>5</vt:i4>
      </vt:variant>
      <vt:variant>
        <vt:lpwstr>http://www.nevo.co.il/case/27309272</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2025-01-19T16:36:00Z</dcterms:created>
  <dcterms:modified xsi:type="dcterms:W3CDTF">2025-01-19T16:36:00Z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28518</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כרים פחמאוי</vt:lpwstr>
  </property>
  <property fmtid="{D5CDD505-2E9C-101B-9397-08002B2CF9AE}" pid="10" name="LAWYER">
    <vt:lpwstr>ענת קירשנברג</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20220510</vt:lpwstr>
  </property>
  <property fmtid="{D5CDD505-2E9C-101B-9397-08002B2CF9AE}" pid="14" name="TYPE_N_DATE">
    <vt:lpwstr>39020220510</vt:lpwstr>
  </property>
  <property fmtid="{D5CDD505-2E9C-101B-9397-08002B2CF9AE}" pid="15" name="WORDNUMPAGES">
    <vt:lpwstr>11</vt:lpwstr>
  </property>
  <property fmtid="{D5CDD505-2E9C-101B-9397-08002B2CF9AE}" pid="16" name="TYPE_ABS_DATE">
    <vt:lpwstr>390020220510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27309272;27171364;25824863:2;5568354;26934681;26905927:2;28384637;27894607;26492590;24140726;22006503;26383419;25612982;24263578;26931111;27716369;25892549;7791493;27915710;25063920</vt:lpwstr>
  </property>
  <property fmtid="{D5CDD505-2E9C-101B-9397-08002B2CF9AE}" pid="36" name="LAWLISTTMP1">
    <vt:lpwstr>70301/144.b</vt:lpwstr>
  </property>
</Properties>
</file>