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FC4FAC" w:rsidRPr="002D5761" w14:paraId="0DC6C29E" w14:textId="77777777" w:rsidTr="00361037">
        <w:trPr>
          <w:trHeight w:val="418"/>
          <w:jc w:val="center"/>
        </w:trPr>
        <w:tc>
          <w:tcPr>
            <w:tcW w:w="8504" w:type="dxa"/>
            <w:gridSpan w:val="3"/>
          </w:tcPr>
          <w:p w14:paraId="365248FC" w14:textId="77777777" w:rsidR="00FC4FAC" w:rsidRPr="002D5761" w:rsidRDefault="00FC4FAC" w:rsidP="00361037">
            <w:pPr>
              <w:pStyle w:val="a3"/>
              <w:jc w:val="center"/>
              <w:rPr>
                <w:rtl/>
              </w:rPr>
            </w:pPr>
            <w:r w:rsidRPr="002D5761">
              <w:rPr>
                <w:rFonts w:ascii="Tahoma" w:hAnsi="Tahoma" w:cs="Tahoma"/>
                <w:b/>
                <w:bCs/>
                <w:color w:val="000080"/>
                <w:sz w:val="20"/>
                <w:szCs w:val="20"/>
                <w:rtl/>
              </w:rPr>
              <w:t>בית המשפט המחוזי בבאר שבע</w:t>
            </w:r>
          </w:p>
        </w:tc>
      </w:tr>
      <w:tr w:rsidR="00FC4FAC" w:rsidRPr="002D5761" w14:paraId="2B0BF933" w14:textId="77777777" w:rsidTr="00361037">
        <w:trPr>
          <w:trHeight w:val="337"/>
          <w:jc w:val="center"/>
        </w:trPr>
        <w:tc>
          <w:tcPr>
            <w:tcW w:w="4676" w:type="dxa"/>
          </w:tcPr>
          <w:p w14:paraId="1D24DD6D" w14:textId="77777777" w:rsidR="00FC4FAC" w:rsidRPr="002D5761" w:rsidRDefault="00FC4FAC" w:rsidP="00361037">
            <w:pPr>
              <w:spacing w:line="360" w:lineRule="auto"/>
              <w:jc w:val="both"/>
              <w:rPr>
                <w:b/>
                <w:bCs/>
                <w:rtl/>
              </w:rPr>
            </w:pPr>
            <w:r w:rsidRPr="002D5761">
              <w:rPr>
                <w:rFonts w:hint="cs"/>
                <w:b/>
                <w:bCs/>
                <w:rtl/>
              </w:rPr>
              <w:t>לפני כבוד סגן הנשיאה, השופט אליהו ביתן</w:t>
            </w:r>
          </w:p>
        </w:tc>
        <w:tc>
          <w:tcPr>
            <w:tcW w:w="241" w:type="dxa"/>
          </w:tcPr>
          <w:p w14:paraId="2A4F50A7" w14:textId="77777777" w:rsidR="00FC4FAC" w:rsidRPr="002D5761" w:rsidRDefault="00FC4FAC" w:rsidP="00361037">
            <w:pPr>
              <w:pStyle w:val="a3"/>
              <w:jc w:val="right"/>
              <w:rPr>
                <w:b/>
                <w:bCs/>
                <w:rtl/>
              </w:rPr>
            </w:pPr>
          </w:p>
        </w:tc>
        <w:tc>
          <w:tcPr>
            <w:tcW w:w="3587" w:type="dxa"/>
          </w:tcPr>
          <w:p w14:paraId="3FD5D708" w14:textId="77777777" w:rsidR="00FC4FAC" w:rsidRPr="002D5761" w:rsidRDefault="00FC4FAC" w:rsidP="00361037">
            <w:pPr>
              <w:pStyle w:val="a3"/>
              <w:tabs>
                <w:tab w:val="clear" w:pos="4153"/>
              </w:tabs>
              <w:jc w:val="right"/>
              <w:rPr>
                <w:rtl/>
              </w:rPr>
            </w:pPr>
            <w:r w:rsidRPr="002D5761">
              <w:rPr>
                <w:rFonts w:hint="cs"/>
                <w:b/>
                <w:bCs/>
                <w:rtl/>
              </w:rPr>
              <w:t>21 נובמבר 2021</w:t>
            </w:r>
          </w:p>
          <w:p w14:paraId="09A728DF" w14:textId="77777777" w:rsidR="00FC4FAC" w:rsidRPr="002D5761" w:rsidRDefault="00FC4FAC" w:rsidP="00361037">
            <w:pPr>
              <w:pStyle w:val="a3"/>
              <w:tabs>
                <w:tab w:val="clear" w:pos="4153"/>
              </w:tabs>
              <w:rPr>
                <w:b/>
                <w:bCs/>
                <w:rtl/>
              </w:rPr>
            </w:pPr>
          </w:p>
          <w:p w14:paraId="6CD7BA1E" w14:textId="77777777" w:rsidR="00FC4FAC" w:rsidRPr="002D5761" w:rsidRDefault="00FC4FAC" w:rsidP="00361037">
            <w:pPr>
              <w:jc w:val="right"/>
              <w:rPr>
                <w:rtl/>
              </w:rPr>
            </w:pPr>
            <w:r w:rsidRPr="002D5761">
              <w:rPr>
                <w:rFonts w:hint="cs"/>
                <w:b/>
                <w:bCs/>
                <w:rtl/>
              </w:rPr>
              <w:t>ת"פ 43009-08-20 מדינת ישראל נ' אבו גאמע(עצור/אסיר בפיקוח)</w:t>
            </w:r>
          </w:p>
        </w:tc>
      </w:tr>
    </w:tbl>
    <w:p w14:paraId="0563ED60" w14:textId="77777777" w:rsidR="00FC4FAC" w:rsidRPr="002D5761" w:rsidRDefault="00FC4FAC" w:rsidP="00FC4FAC">
      <w:pPr>
        <w:spacing w:line="360" w:lineRule="auto"/>
        <w:jc w:val="both"/>
        <w:rPr>
          <w:rtl/>
        </w:rPr>
      </w:pPr>
      <w:bookmarkStart w:id="0" w:name="LastJudge"/>
      <w:bookmarkEnd w:id="0"/>
    </w:p>
    <w:tbl>
      <w:tblPr>
        <w:bidiVisual/>
        <w:tblW w:w="8524" w:type="dxa"/>
        <w:tblInd w:w="250" w:type="dxa"/>
        <w:tblLook w:val="01E0" w:firstRow="1" w:lastRow="1" w:firstColumn="1" w:lastColumn="1" w:noHBand="0" w:noVBand="0"/>
      </w:tblPr>
      <w:tblGrid>
        <w:gridCol w:w="2242"/>
        <w:gridCol w:w="6226"/>
        <w:gridCol w:w="56"/>
      </w:tblGrid>
      <w:tr w:rsidR="00FC4FAC" w:rsidRPr="002D5761" w14:paraId="4F1BF06D" w14:textId="77777777" w:rsidTr="00FC4FAC">
        <w:trPr>
          <w:gridAfter w:val="1"/>
          <w:wAfter w:w="56" w:type="dxa"/>
        </w:trPr>
        <w:tc>
          <w:tcPr>
            <w:tcW w:w="8468" w:type="dxa"/>
            <w:gridSpan w:val="2"/>
            <w:shd w:val="clear" w:color="auto" w:fill="auto"/>
          </w:tcPr>
          <w:p w14:paraId="6596392A" w14:textId="77777777" w:rsidR="00FC4FAC" w:rsidRPr="002D5761" w:rsidRDefault="00FC4FAC" w:rsidP="00FC4FAC">
            <w:pPr>
              <w:spacing w:line="360" w:lineRule="auto"/>
              <w:jc w:val="both"/>
              <w:rPr>
                <w:rFonts w:ascii="David" w:hAnsi="David"/>
                <w:b/>
                <w:bCs/>
                <w:rtl/>
              </w:rPr>
            </w:pPr>
            <w:r w:rsidRPr="002D5761">
              <w:rPr>
                <w:rFonts w:ascii="David" w:hAnsi="David" w:hint="cs"/>
                <w:b/>
                <w:bCs/>
                <w:rtl/>
              </w:rPr>
              <w:t>בעניין:</w:t>
            </w:r>
          </w:p>
        </w:tc>
      </w:tr>
      <w:tr w:rsidR="00FC4FAC" w:rsidRPr="002D5761" w14:paraId="698C6296" w14:textId="77777777" w:rsidTr="00FC4FAC">
        <w:tc>
          <w:tcPr>
            <w:tcW w:w="2242" w:type="dxa"/>
            <w:shd w:val="clear" w:color="auto" w:fill="auto"/>
          </w:tcPr>
          <w:p w14:paraId="7DE35C36" w14:textId="77777777" w:rsidR="00FC4FAC" w:rsidRPr="002D5761" w:rsidRDefault="00FC4FAC" w:rsidP="00FC4FAC">
            <w:pPr>
              <w:spacing w:line="360" w:lineRule="auto"/>
              <w:ind w:left="26"/>
              <w:rPr>
                <w:rFonts w:ascii="David" w:hAnsi="David"/>
                <w:b/>
                <w:bCs/>
                <w:rtl/>
              </w:rPr>
            </w:pPr>
            <w:bookmarkStart w:id="1" w:name="FirstAppellant"/>
            <w:r w:rsidRPr="002D5761">
              <w:rPr>
                <w:rFonts w:ascii="David" w:hAnsi="David" w:hint="cs"/>
                <w:b/>
                <w:bCs/>
                <w:rtl/>
              </w:rPr>
              <w:t>המאשימה:</w:t>
            </w:r>
          </w:p>
        </w:tc>
        <w:tc>
          <w:tcPr>
            <w:tcW w:w="6282" w:type="dxa"/>
            <w:gridSpan w:val="2"/>
            <w:shd w:val="clear" w:color="auto" w:fill="auto"/>
          </w:tcPr>
          <w:p w14:paraId="165582EC" w14:textId="77777777" w:rsidR="00FC4FAC" w:rsidRPr="002D5761" w:rsidRDefault="00FC4FAC" w:rsidP="00FC4FAC">
            <w:pPr>
              <w:spacing w:line="360" w:lineRule="auto"/>
              <w:rPr>
                <w:rFonts w:ascii="David" w:hAnsi="David"/>
                <w:b/>
                <w:bCs/>
                <w:rtl/>
              </w:rPr>
            </w:pPr>
            <w:r w:rsidRPr="002D5761">
              <w:rPr>
                <w:rFonts w:ascii="David" w:hAnsi="David" w:hint="cs"/>
                <w:b/>
                <w:bCs/>
                <w:rtl/>
              </w:rPr>
              <w:t>מדינת ישראל</w:t>
            </w:r>
          </w:p>
        </w:tc>
      </w:tr>
      <w:bookmarkEnd w:id="1"/>
      <w:tr w:rsidR="00FC4FAC" w:rsidRPr="002D5761" w14:paraId="599D8628" w14:textId="77777777" w:rsidTr="00FC4FAC">
        <w:tc>
          <w:tcPr>
            <w:tcW w:w="8524" w:type="dxa"/>
            <w:gridSpan w:val="3"/>
            <w:shd w:val="clear" w:color="auto" w:fill="auto"/>
          </w:tcPr>
          <w:p w14:paraId="49AEFFF0" w14:textId="77777777" w:rsidR="00FC4FAC" w:rsidRPr="002D5761" w:rsidRDefault="00FC4FAC" w:rsidP="00FC4FAC">
            <w:pPr>
              <w:spacing w:line="360" w:lineRule="auto"/>
              <w:jc w:val="center"/>
              <w:rPr>
                <w:rFonts w:ascii="David" w:hAnsi="David"/>
                <w:b/>
                <w:bCs/>
                <w:rtl/>
              </w:rPr>
            </w:pPr>
            <w:r w:rsidRPr="002D5761">
              <w:rPr>
                <w:rFonts w:ascii="David" w:hAnsi="David" w:hint="cs"/>
                <w:b/>
                <w:bCs/>
                <w:rtl/>
              </w:rPr>
              <w:t>נגד</w:t>
            </w:r>
          </w:p>
        </w:tc>
      </w:tr>
      <w:tr w:rsidR="00FC4FAC" w:rsidRPr="002D5761" w14:paraId="2CCEC8CF" w14:textId="77777777" w:rsidTr="00FC4FAC">
        <w:tc>
          <w:tcPr>
            <w:tcW w:w="2242" w:type="dxa"/>
            <w:shd w:val="clear" w:color="auto" w:fill="auto"/>
          </w:tcPr>
          <w:p w14:paraId="0B30A2EC" w14:textId="77777777" w:rsidR="00FC4FAC" w:rsidRPr="002D5761" w:rsidRDefault="00FC4FAC" w:rsidP="00FC4FAC">
            <w:pPr>
              <w:spacing w:line="360" w:lineRule="auto"/>
              <w:ind w:left="26"/>
              <w:rPr>
                <w:rFonts w:ascii="David" w:hAnsi="David"/>
                <w:b/>
                <w:bCs/>
              </w:rPr>
            </w:pPr>
            <w:r w:rsidRPr="002D5761">
              <w:rPr>
                <w:rFonts w:ascii="David" w:hAnsi="David" w:hint="cs"/>
                <w:b/>
                <w:bCs/>
                <w:rtl/>
              </w:rPr>
              <w:t>הנאשם:</w:t>
            </w:r>
          </w:p>
        </w:tc>
        <w:tc>
          <w:tcPr>
            <w:tcW w:w="6282" w:type="dxa"/>
            <w:gridSpan w:val="2"/>
            <w:shd w:val="clear" w:color="auto" w:fill="auto"/>
          </w:tcPr>
          <w:p w14:paraId="63E6EAE9" w14:textId="77777777" w:rsidR="00FC4FAC" w:rsidRPr="002D5761" w:rsidRDefault="00FC4FAC" w:rsidP="00FC4FAC">
            <w:pPr>
              <w:spacing w:line="360" w:lineRule="auto"/>
              <w:rPr>
                <w:rFonts w:ascii="David" w:hAnsi="David"/>
                <w:b/>
                <w:bCs/>
                <w:rtl/>
              </w:rPr>
            </w:pPr>
            <w:r w:rsidRPr="002D5761">
              <w:rPr>
                <w:rFonts w:ascii="David" w:hAnsi="David"/>
                <w:b/>
                <w:bCs/>
                <w:rtl/>
              </w:rPr>
              <w:t>השאם אבו גאמע (עצור/אסיר בפיקוח)</w:t>
            </w:r>
          </w:p>
        </w:tc>
      </w:tr>
    </w:tbl>
    <w:p w14:paraId="13FA70B6" w14:textId="77777777" w:rsidR="00FC4FAC" w:rsidRPr="002D5761" w:rsidRDefault="00FC4FAC" w:rsidP="00FC4FAC">
      <w:pPr>
        <w:spacing w:line="360" w:lineRule="auto"/>
        <w:jc w:val="both"/>
        <w:rPr>
          <w:rFonts w:ascii="David" w:hAnsi="David"/>
          <w:rtl/>
        </w:rPr>
      </w:pPr>
      <w:r w:rsidRPr="002D5761">
        <w:rPr>
          <w:rFonts w:hint="cs"/>
          <w:rtl/>
        </w:rPr>
        <w:t>&lt;#1#&gt;</w:t>
      </w:r>
    </w:p>
    <w:p w14:paraId="09C2C2D9" w14:textId="77777777" w:rsidR="00FC4FAC" w:rsidRPr="002D5761" w:rsidRDefault="00FC4FAC" w:rsidP="00FC4FAC">
      <w:pPr>
        <w:pStyle w:val="12"/>
        <w:spacing w:line="360" w:lineRule="auto"/>
        <w:rPr>
          <w:rFonts w:ascii="David" w:hAnsi="David"/>
          <w:u w:val="none"/>
          <w:rtl/>
        </w:rPr>
      </w:pPr>
      <w:r w:rsidRPr="002D5761">
        <w:rPr>
          <w:rFonts w:ascii="David" w:hAnsi="David"/>
          <w:u w:val="none"/>
          <w:rtl/>
        </w:rPr>
        <w:t>נוכחים:</w:t>
      </w:r>
    </w:p>
    <w:p w14:paraId="0FB9B250" w14:textId="77777777" w:rsidR="00FC4FAC" w:rsidRPr="002D5761" w:rsidRDefault="00FC4FAC" w:rsidP="00FC4FAC">
      <w:pPr>
        <w:pStyle w:val="12"/>
        <w:spacing w:line="360" w:lineRule="auto"/>
        <w:rPr>
          <w:rFonts w:ascii="David" w:hAnsi="David"/>
          <w:b w:val="0"/>
          <w:bCs w:val="0"/>
          <w:u w:val="none"/>
          <w:rtl/>
        </w:rPr>
      </w:pPr>
      <w:bookmarkStart w:id="2" w:name="FirstLawyer"/>
      <w:r w:rsidRPr="002D5761">
        <w:rPr>
          <w:rFonts w:ascii="David" w:hAnsi="David"/>
          <w:b w:val="0"/>
          <w:bCs w:val="0"/>
          <w:u w:val="none"/>
          <w:rtl/>
        </w:rPr>
        <w:t>ב"כ</w:t>
      </w:r>
      <w:bookmarkEnd w:id="2"/>
      <w:r w:rsidRPr="002D5761">
        <w:rPr>
          <w:rFonts w:ascii="David" w:hAnsi="David"/>
          <w:b w:val="0"/>
          <w:bCs w:val="0"/>
          <w:u w:val="none"/>
          <w:rtl/>
        </w:rPr>
        <w:t xml:space="preserve"> המאשימה, עו"ד נועה שוקר</w:t>
      </w:r>
    </w:p>
    <w:p w14:paraId="61FA525F" w14:textId="77777777" w:rsidR="004A0EC5" w:rsidRDefault="00FC4FAC" w:rsidP="00FC4FAC">
      <w:pPr>
        <w:pStyle w:val="12"/>
        <w:spacing w:line="360" w:lineRule="auto"/>
        <w:rPr>
          <w:rFonts w:ascii="David" w:hAnsi="David"/>
          <w:b w:val="0"/>
          <w:bCs w:val="0"/>
          <w:u w:val="none"/>
          <w:rtl/>
        </w:rPr>
      </w:pPr>
      <w:r w:rsidRPr="002D5761">
        <w:rPr>
          <w:rFonts w:ascii="David" w:hAnsi="David"/>
          <w:b w:val="0"/>
          <w:bCs w:val="0"/>
          <w:u w:val="none"/>
          <w:rtl/>
        </w:rPr>
        <w:t xml:space="preserve">הנאשם ובא-כוחו, עו"ד רן אבינועם </w:t>
      </w:r>
    </w:p>
    <w:p w14:paraId="5B36DFE6" w14:textId="77777777" w:rsidR="004A0EC5" w:rsidRPr="004A0EC5" w:rsidRDefault="004A0EC5" w:rsidP="004A0EC5">
      <w:pPr>
        <w:pStyle w:val="12"/>
        <w:spacing w:after="120" w:line="240" w:lineRule="exact"/>
        <w:ind w:left="283" w:hanging="283"/>
        <w:jc w:val="both"/>
        <w:rPr>
          <w:rFonts w:ascii="FrankRuehl" w:hAnsi="FrankRuehl" w:cs="FrankRuehl"/>
          <w:b w:val="0"/>
          <w:bCs w:val="0"/>
          <w:u w:val="none"/>
          <w:rtl/>
        </w:rPr>
      </w:pPr>
    </w:p>
    <w:p w14:paraId="63386F24" w14:textId="77777777" w:rsidR="00463160" w:rsidRDefault="00463160" w:rsidP="00463160">
      <w:pPr>
        <w:spacing w:line="360" w:lineRule="auto"/>
        <w:ind w:left="3600" w:firstLine="720"/>
        <w:rPr>
          <w:sz w:val="28"/>
          <w:szCs w:val="28"/>
          <w:rtl/>
        </w:rPr>
      </w:pPr>
      <w:bookmarkStart w:id="3" w:name="LawTable"/>
      <w:bookmarkEnd w:id="3"/>
    </w:p>
    <w:p w14:paraId="070CAA33" w14:textId="77777777" w:rsidR="00463160" w:rsidRPr="00463160" w:rsidRDefault="00463160" w:rsidP="00463160">
      <w:pPr>
        <w:spacing w:before="120" w:after="120" w:line="240" w:lineRule="exact"/>
        <w:ind w:left="283" w:hanging="283"/>
        <w:jc w:val="both"/>
        <w:rPr>
          <w:rFonts w:ascii="FrankRuehl" w:hAnsi="FrankRuehl" w:cs="FrankRuehl"/>
          <w:rtl/>
        </w:rPr>
      </w:pPr>
    </w:p>
    <w:p w14:paraId="0BEA0C25" w14:textId="77777777" w:rsidR="00463160" w:rsidRPr="00463160" w:rsidRDefault="00463160" w:rsidP="00463160">
      <w:pPr>
        <w:spacing w:before="120" w:after="120" w:line="240" w:lineRule="exact"/>
        <w:ind w:left="283" w:hanging="283"/>
        <w:jc w:val="both"/>
        <w:rPr>
          <w:rFonts w:ascii="FrankRuehl" w:hAnsi="FrankRuehl" w:cs="FrankRuehl"/>
          <w:rtl/>
        </w:rPr>
      </w:pPr>
    </w:p>
    <w:p w14:paraId="2CE0A1F6" w14:textId="77777777" w:rsidR="00463160" w:rsidRPr="00463160" w:rsidRDefault="00463160" w:rsidP="00463160">
      <w:pPr>
        <w:spacing w:before="120" w:after="120" w:line="240" w:lineRule="exact"/>
        <w:ind w:left="283" w:hanging="283"/>
        <w:jc w:val="both"/>
        <w:rPr>
          <w:rFonts w:ascii="FrankRuehl" w:hAnsi="FrankRuehl" w:cs="FrankRuehl"/>
          <w:rtl/>
        </w:rPr>
      </w:pPr>
      <w:r w:rsidRPr="00463160">
        <w:rPr>
          <w:rFonts w:ascii="FrankRuehl" w:hAnsi="FrankRuehl" w:cs="FrankRuehl"/>
          <w:rtl/>
        </w:rPr>
        <w:t xml:space="preserve">חקיקה שאוזכרה: </w:t>
      </w:r>
    </w:p>
    <w:p w14:paraId="40B22EE3" w14:textId="77777777" w:rsidR="00463160" w:rsidRPr="00463160" w:rsidRDefault="00463160" w:rsidP="00463160">
      <w:pPr>
        <w:spacing w:before="120" w:after="120" w:line="240" w:lineRule="exact"/>
        <w:ind w:left="283" w:hanging="283"/>
        <w:jc w:val="both"/>
        <w:rPr>
          <w:rFonts w:ascii="FrankRuehl" w:hAnsi="FrankRuehl" w:cs="FrankRuehl"/>
          <w:rtl/>
        </w:rPr>
      </w:pPr>
      <w:hyperlink r:id="rId6" w:history="1">
        <w:r w:rsidRPr="00463160">
          <w:rPr>
            <w:rFonts w:ascii="FrankRuehl" w:hAnsi="FrankRuehl" w:cs="FrankRuehl"/>
            <w:color w:val="0000FF"/>
            <w:rtl/>
          </w:rPr>
          <w:t>חוק העונשין, תשל"ז-1977</w:t>
        </w:r>
      </w:hyperlink>
      <w:r w:rsidRPr="00463160">
        <w:rPr>
          <w:rFonts w:ascii="FrankRuehl" w:hAnsi="FrankRuehl" w:cs="FrankRuehl"/>
          <w:rtl/>
        </w:rPr>
        <w:t xml:space="preserve">: סע'  </w:t>
      </w:r>
      <w:hyperlink r:id="rId7" w:history="1">
        <w:r w:rsidRPr="00463160">
          <w:rPr>
            <w:rFonts w:ascii="FrankRuehl" w:hAnsi="FrankRuehl" w:cs="FrankRuehl"/>
            <w:color w:val="0000FF"/>
            <w:rtl/>
          </w:rPr>
          <w:t>40 י'(ב)(1)</w:t>
        </w:r>
      </w:hyperlink>
      <w:r w:rsidRPr="00463160">
        <w:rPr>
          <w:rFonts w:ascii="FrankRuehl" w:hAnsi="FrankRuehl" w:cs="FrankRuehl"/>
          <w:rtl/>
        </w:rPr>
        <w:t xml:space="preserve">, </w:t>
      </w:r>
      <w:hyperlink r:id="rId8" w:history="1">
        <w:r w:rsidRPr="00463160">
          <w:rPr>
            <w:rFonts w:ascii="FrankRuehl" w:hAnsi="FrankRuehl" w:cs="FrankRuehl"/>
            <w:color w:val="0000FF"/>
            <w:rtl/>
          </w:rPr>
          <w:t>144</w:t>
        </w:r>
      </w:hyperlink>
      <w:r w:rsidRPr="00463160">
        <w:rPr>
          <w:rFonts w:ascii="FrankRuehl" w:hAnsi="FrankRuehl" w:cs="FrankRuehl"/>
          <w:rtl/>
        </w:rPr>
        <w:t xml:space="preserve">, </w:t>
      </w:r>
      <w:hyperlink r:id="rId9" w:history="1">
        <w:r w:rsidRPr="00463160">
          <w:rPr>
            <w:rFonts w:ascii="FrankRuehl" w:hAnsi="FrankRuehl" w:cs="FrankRuehl"/>
            <w:color w:val="0000FF"/>
            <w:rtl/>
          </w:rPr>
          <w:t>144(ב)</w:t>
        </w:r>
      </w:hyperlink>
      <w:r w:rsidRPr="00463160">
        <w:rPr>
          <w:rFonts w:ascii="FrankRuehl" w:hAnsi="FrankRuehl" w:cs="FrankRuehl"/>
          <w:rtl/>
        </w:rPr>
        <w:t xml:space="preserve">, </w:t>
      </w:r>
      <w:hyperlink r:id="rId10" w:history="1">
        <w:r w:rsidRPr="00463160">
          <w:rPr>
            <w:rFonts w:ascii="FrankRuehl" w:hAnsi="FrankRuehl" w:cs="FrankRuehl"/>
            <w:color w:val="0000FF"/>
            <w:rtl/>
          </w:rPr>
          <w:t>275</w:t>
        </w:r>
      </w:hyperlink>
    </w:p>
    <w:p w14:paraId="0EBD901C" w14:textId="77777777" w:rsidR="00463160" w:rsidRPr="00463160" w:rsidRDefault="00463160" w:rsidP="00463160">
      <w:pPr>
        <w:spacing w:line="360" w:lineRule="auto"/>
        <w:ind w:left="3600" w:firstLine="720"/>
        <w:rPr>
          <w:sz w:val="28"/>
          <w:szCs w:val="28"/>
          <w:rtl/>
        </w:rPr>
      </w:pPr>
      <w:bookmarkStart w:id="4" w:name="LawTable_End"/>
      <w:bookmarkEnd w:id="4"/>
    </w:p>
    <w:p w14:paraId="194E4D41" w14:textId="77777777" w:rsidR="002D5761" w:rsidRPr="002D5761" w:rsidRDefault="002D5761" w:rsidP="00FC4FAC">
      <w:pPr>
        <w:spacing w:line="360" w:lineRule="auto"/>
        <w:ind w:left="3600" w:firstLine="720"/>
        <w:rPr>
          <w:b/>
          <w:bCs/>
          <w:sz w:val="28"/>
          <w:szCs w:val="28"/>
          <w:rtl/>
        </w:rPr>
      </w:pPr>
    </w:p>
    <w:p w14:paraId="6BF66A3D" w14:textId="77777777" w:rsidR="002D5761" w:rsidRPr="002D5761" w:rsidRDefault="002D5761" w:rsidP="002D5761">
      <w:pPr>
        <w:spacing w:line="360" w:lineRule="auto"/>
        <w:jc w:val="center"/>
        <w:rPr>
          <w:b/>
          <w:bCs/>
          <w:sz w:val="28"/>
          <w:szCs w:val="28"/>
          <w:u w:val="single"/>
          <w:rtl/>
        </w:rPr>
      </w:pPr>
      <w:bookmarkStart w:id="5" w:name="PsakDin"/>
      <w:r w:rsidRPr="002D5761">
        <w:rPr>
          <w:b/>
          <w:bCs/>
          <w:sz w:val="28"/>
          <w:szCs w:val="28"/>
          <w:u w:val="single"/>
          <w:rtl/>
        </w:rPr>
        <w:t>גזר דין</w:t>
      </w:r>
    </w:p>
    <w:bookmarkEnd w:id="5"/>
    <w:p w14:paraId="675685C4" w14:textId="77777777" w:rsidR="00FC4FAC" w:rsidRPr="007159C5" w:rsidRDefault="00FC4FAC" w:rsidP="00FC4FAC">
      <w:pPr>
        <w:spacing w:line="360" w:lineRule="auto"/>
        <w:rPr>
          <w:rtl/>
        </w:rPr>
      </w:pPr>
    </w:p>
    <w:p w14:paraId="7D56A7B6" w14:textId="77777777" w:rsidR="00FC4FAC" w:rsidRPr="007159C5" w:rsidRDefault="00FC4FAC" w:rsidP="00FC4FAC">
      <w:pPr>
        <w:spacing w:line="360" w:lineRule="auto"/>
        <w:ind w:left="720" w:hanging="720"/>
        <w:jc w:val="both"/>
        <w:rPr>
          <w:rtl/>
        </w:rPr>
      </w:pPr>
      <w:r w:rsidRPr="007159C5">
        <w:rPr>
          <w:rFonts w:hint="cs"/>
          <w:rtl/>
        </w:rPr>
        <w:t>1.</w:t>
      </w:r>
      <w:r w:rsidRPr="007159C5">
        <w:rPr>
          <w:rFonts w:hint="cs"/>
          <w:rtl/>
        </w:rPr>
        <w:tab/>
      </w:r>
      <w:bookmarkStart w:id="6" w:name="ABSTRACT_START"/>
      <w:bookmarkEnd w:id="6"/>
      <w:r w:rsidRPr="007159C5">
        <w:rPr>
          <w:rFonts w:hint="cs"/>
          <w:rtl/>
        </w:rPr>
        <w:t xml:space="preserve">הנאשם הורשע, על פי הודאתו בעובדות כתב אישום מתוקן במסגרת הסדר טיעון, בעבירות של נשיאת והובלת נשק, לפי </w:t>
      </w:r>
      <w:hyperlink r:id="rId11" w:history="1">
        <w:r w:rsidR="004A0EC5" w:rsidRPr="004A0EC5">
          <w:rPr>
            <w:rStyle w:val="Hyperlink"/>
            <w:rFonts w:hint="eastAsia"/>
            <w:rtl/>
          </w:rPr>
          <w:t>סעיף</w:t>
        </w:r>
        <w:r w:rsidR="004A0EC5" w:rsidRPr="004A0EC5">
          <w:rPr>
            <w:rStyle w:val="Hyperlink"/>
            <w:rtl/>
          </w:rPr>
          <w:t xml:space="preserve"> 144(ב)</w:t>
        </w:r>
      </w:hyperlink>
      <w:r w:rsidRPr="007159C5">
        <w:rPr>
          <w:rFonts w:hint="cs"/>
          <w:rtl/>
        </w:rPr>
        <w:t xml:space="preserve"> רישא וסיפא ב</w:t>
      </w:r>
      <w:hyperlink r:id="rId12" w:history="1">
        <w:r w:rsidR="002D5761" w:rsidRPr="002D5761">
          <w:rPr>
            <w:color w:val="0000FF"/>
            <w:u w:val="single"/>
            <w:rtl/>
          </w:rPr>
          <w:t>חוק העונשין</w:t>
        </w:r>
      </w:hyperlink>
      <w:r w:rsidRPr="007159C5">
        <w:rPr>
          <w:rFonts w:hint="cs"/>
          <w:rtl/>
        </w:rPr>
        <w:t xml:space="preserve"> התשל"ז-1977 (להלן: "חוק העונשין"), והפרעה לשוטר במילוי תפקידו, לפי </w:t>
      </w:r>
      <w:hyperlink r:id="rId13" w:history="1">
        <w:r w:rsidR="004A0EC5" w:rsidRPr="004A0EC5">
          <w:rPr>
            <w:rStyle w:val="Hyperlink"/>
            <w:rFonts w:hint="eastAsia"/>
            <w:rtl/>
          </w:rPr>
          <w:t>סעיף</w:t>
        </w:r>
        <w:r w:rsidR="004A0EC5" w:rsidRPr="004A0EC5">
          <w:rPr>
            <w:rStyle w:val="Hyperlink"/>
            <w:rtl/>
          </w:rPr>
          <w:t xml:space="preserve"> 275</w:t>
        </w:r>
      </w:hyperlink>
      <w:r w:rsidRPr="007159C5">
        <w:rPr>
          <w:rFonts w:hint="cs"/>
          <w:rtl/>
        </w:rPr>
        <w:t xml:space="preserve"> בחוק העונשין. </w:t>
      </w:r>
    </w:p>
    <w:p w14:paraId="006CE676" w14:textId="77777777" w:rsidR="00FC4FAC" w:rsidRPr="007159C5" w:rsidRDefault="00FC4FAC" w:rsidP="00FC4FAC">
      <w:pPr>
        <w:spacing w:line="360" w:lineRule="auto"/>
        <w:jc w:val="both"/>
        <w:rPr>
          <w:rtl/>
        </w:rPr>
      </w:pPr>
      <w:bookmarkStart w:id="7" w:name="ABSTRACT_END"/>
      <w:bookmarkEnd w:id="7"/>
    </w:p>
    <w:p w14:paraId="6CD1DB5C" w14:textId="77777777" w:rsidR="00FC4FAC" w:rsidRPr="007159C5" w:rsidRDefault="00FC4FAC" w:rsidP="00FC4FAC">
      <w:pPr>
        <w:spacing w:line="360" w:lineRule="auto"/>
        <w:ind w:left="720" w:hanging="720"/>
        <w:jc w:val="both"/>
        <w:rPr>
          <w:rtl/>
        </w:rPr>
      </w:pPr>
      <w:r w:rsidRPr="007159C5">
        <w:rPr>
          <w:rFonts w:hint="cs"/>
          <w:rtl/>
        </w:rPr>
        <w:t>2.</w:t>
      </w:r>
      <w:r w:rsidRPr="007159C5">
        <w:rPr>
          <w:rFonts w:hint="cs"/>
          <w:rtl/>
        </w:rPr>
        <w:tab/>
        <w:t xml:space="preserve">על פי המתואר בכתב האישום המתוקן, ביום 13.08.20 סמוך לשעה 01:00 הנאשם נסע  ברכבו בכביש 40 כשהוא מחזיק ברכב אקדח 9 מ"מ תוצרת </w:t>
      </w:r>
      <w:r w:rsidRPr="007159C5">
        <w:t>FN</w:t>
      </w:r>
      <w:r w:rsidRPr="007159C5">
        <w:rPr>
          <w:rFonts w:hint="cs"/>
          <w:rtl/>
        </w:rPr>
        <w:t xml:space="preserve"> ובו מחסנית ריקה, ו- 7 כדורי תחמושת 9 מ"מ. בלשי ימ"ר נגב ביצעו  פעילות משטרתית יזומה ובמסגרתה הם חסמו את נתיב נסיעתו של הנאשם באזור צומת גבעות גורל. הנאשם הבחין בחסימה המשטרתית ועצר את רכבו בצד הדרך. שוטרים שהגיעו מכיוון נסיעת הנאשם עצרו בסמוך לרכב הנאשם והנאשם נסע באיטיות לכיוון החסימה, ובשלב מסוים יצא מהרכב כשהוא אוחז בידו את האקדח ונמלט בריצה לעבר שטח סמוך, מעבר לנתיב הנגדי של הכביש. קצין </w:t>
      </w:r>
      <w:r w:rsidRPr="007159C5">
        <w:rPr>
          <w:rFonts w:hint="cs"/>
          <w:rtl/>
        </w:rPr>
        <w:lastRenderedPageBreak/>
        <w:t xml:space="preserve">משטרה הבחין בו ורדף אחריו. ולאחר כ- 500 מטר הנאשם מעד, והשוטרים השיגו אותו ועצרו אותו ותפסו את האקדח. </w:t>
      </w:r>
    </w:p>
    <w:p w14:paraId="49D955DA" w14:textId="77777777" w:rsidR="00FC4FAC" w:rsidRPr="007159C5" w:rsidRDefault="00FC4FAC" w:rsidP="00FC4FAC">
      <w:pPr>
        <w:spacing w:line="360" w:lineRule="auto"/>
        <w:jc w:val="both"/>
        <w:rPr>
          <w:rtl/>
        </w:rPr>
      </w:pPr>
    </w:p>
    <w:p w14:paraId="31BF741F" w14:textId="77777777" w:rsidR="00FC4FAC" w:rsidRPr="007159C5" w:rsidRDefault="00FC4FAC" w:rsidP="00FC4FAC">
      <w:pPr>
        <w:spacing w:line="360" w:lineRule="auto"/>
        <w:ind w:left="720" w:hanging="720"/>
        <w:jc w:val="both"/>
        <w:rPr>
          <w:rtl/>
        </w:rPr>
      </w:pPr>
      <w:r w:rsidRPr="007159C5">
        <w:rPr>
          <w:rFonts w:hint="cs"/>
          <w:rtl/>
        </w:rPr>
        <w:t>3.</w:t>
      </w:r>
      <w:r w:rsidRPr="007159C5">
        <w:rPr>
          <w:rFonts w:hint="cs"/>
          <w:rtl/>
        </w:rPr>
        <w:tab/>
        <w:t xml:space="preserve">הסדר הטיעון לא כלל הסכמה לעניין העונש, לבד מההסכמה ששירות המבחן יערוך תסקיר על הנאשם. </w:t>
      </w:r>
    </w:p>
    <w:p w14:paraId="18D6A0A1" w14:textId="77777777" w:rsidR="00FC4FAC" w:rsidRPr="007159C5" w:rsidRDefault="00FC4FAC" w:rsidP="00FC4FAC">
      <w:pPr>
        <w:spacing w:line="360" w:lineRule="auto"/>
        <w:ind w:left="720" w:hanging="720"/>
        <w:jc w:val="both"/>
        <w:rPr>
          <w:rtl/>
        </w:rPr>
      </w:pPr>
    </w:p>
    <w:p w14:paraId="7CDD1262" w14:textId="77777777" w:rsidR="00FC4FAC" w:rsidRPr="007159C5" w:rsidRDefault="00FC4FAC" w:rsidP="00FC4FAC">
      <w:pPr>
        <w:spacing w:line="360" w:lineRule="auto"/>
        <w:ind w:left="720" w:hanging="720"/>
        <w:jc w:val="both"/>
        <w:rPr>
          <w:b/>
          <w:bCs/>
          <w:u w:val="single"/>
          <w:rtl/>
        </w:rPr>
      </w:pPr>
    </w:p>
    <w:p w14:paraId="481727E5" w14:textId="77777777" w:rsidR="00FC4FAC" w:rsidRPr="007159C5" w:rsidRDefault="00FC4FAC" w:rsidP="00FC4FAC">
      <w:pPr>
        <w:spacing w:line="360" w:lineRule="auto"/>
        <w:ind w:left="720" w:hanging="720"/>
        <w:jc w:val="both"/>
        <w:rPr>
          <w:b/>
          <w:bCs/>
          <w:u w:val="single"/>
          <w:rtl/>
        </w:rPr>
      </w:pPr>
    </w:p>
    <w:p w14:paraId="3B62646B" w14:textId="77777777" w:rsidR="00FC4FAC" w:rsidRPr="007159C5" w:rsidRDefault="00FC4FAC" w:rsidP="00FC4FAC">
      <w:pPr>
        <w:spacing w:line="360" w:lineRule="auto"/>
        <w:ind w:left="720" w:hanging="720"/>
        <w:jc w:val="both"/>
        <w:rPr>
          <w:b/>
          <w:bCs/>
          <w:u w:val="single"/>
          <w:rtl/>
        </w:rPr>
      </w:pPr>
    </w:p>
    <w:p w14:paraId="48B329BF" w14:textId="77777777" w:rsidR="00FC4FAC" w:rsidRPr="007159C5" w:rsidRDefault="00FC4FAC" w:rsidP="00FC4FAC">
      <w:pPr>
        <w:spacing w:line="360" w:lineRule="auto"/>
        <w:ind w:left="720" w:hanging="720"/>
        <w:jc w:val="both"/>
        <w:rPr>
          <w:b/>
          <w:bCs/>
          <w:u w:val="single"/>
          <w:rtl/>
        </w:rPr>
      </w:pPr>
    </w:p>
    <w:p w14:paraId="1C556C2A" w14:textId="77777777" w:rsidR="00FC4FAC" w:rsidRPr="007159C5" w:rsidRDefault="00FC4FAC" w:rsidP="00FC4FAC">
      <w:pPr>
        <w:spacing w:line="360" w:lineRule="auto"/>
        <w:ind w:left="720" w:hanging="720"/>
        <w:jc w:val="both"/>
        <w:rPr>
          <w:b/>
          <w:bCs/>
          <w:u w:val="single"/>
          <w:rtl/>
        </w:rPr>
      </w:pPr>
    </w:p>
    <w:p w14:paraId="142350B1" w14:textId="77777777" w:rsidR="00FC4FAC" w:rsidRPr="007159C5" w:rsidRDefault="00FC4FAC" w:rsidP="00FC4FAC">
      <w:pPr>
        <w:spacing w:line="360" w:lineRule="auto"/>
        <w:ind w:left="720" w:hanging="720"/>
        <w:jc w:val="both"/>
        <w:rPr>
          <w:b/>
          <w:bCs/>
          <w:u w:val="single"/>
          <w:rtl/>
        </w:rPr>
      </w:pPr>
      <w:r w:rsidRPr="007159C5">
        <w:rPr>
          <w:rFonts w:hint="cs"/>
          <w:b/>
          <w:bCs/>
          <w:u w:val="single"/>
          <w:rtl/>
        </w:rPr>
        <w:t>תסקיר שירות המבחן</w:t>
      </w:r>
    </w:p>
    <w:p w14:paraId="29DB4A14" w14:textId="77777777" w:rsidR="00FC4FAC" w:rsidRPr="007159C5" w:rsidRDefault="00FC4FAC" w:rsidP="00FC4FAC">
      <w:pPr>
        <w:spacing w:line="360" w:lineRule="auto"/>
        <w:ind w:left="720" w:hanging="720"/>
        <w:jc w:val="both"/>
        <w:rPr>
          <w:rtl/>
        </w:rPr>
      </w:pPr>
    </w:p>
    <w:p w14:paraId="5CB5A872" w14:textId="77777777" w:rsidR="00FC4FAC" w:rsidRPr="007159C5" w:rsidRDefault="00FC4FAC" w:rsidP="00FC4FAC">
      <w:pPr>
        <w:spacing w:line="360" w:lineRule="auto"/>
        <w:ind w:left="720" w:hanging="720"/>
        <w:jc w:val="both"/>
        <w:rPr>
          <w:rtl/>
        </w:rPr>
      </w:pPr>
      <w:r w:rsidRPr="007159C5">
        <w:rPr>
          <w:rFonts w:hint="cs"/>
          <w:rtl/>
        </w:rPr>
        <w:t>4.</w:t>
      </w:r>
      <w:r w:rsidRPr="007159C5">
        <w:rPr>
          <w:rFonts w:hint="cs"/>
          <w:rtl/>
        </w:rPr>
        <w:tab/>
        <w:t xml:space="preserve">בתסקיר שירות המבחן על הנאשם צוינו בין היתר הדברים הבאים - הנאשם בן 26, נשוי ואב לארבעה ילדים. בוגר 10 שנות לימוד. טרם מעצרו עבד כסדרן בבית קפה. שלל שימוש בסמים. שיתף כי עד גיל 5 כאשר אביו נפטר, התגורר עם משפחתו הגרעינית בנתיבות ולאחר מכן המשפחה עברה לרהט. וכי בעבר ביצע ניסיון אובדני על רקע ריב בינו ובין אשתו. שיתף כי לאורך חייו משפחתו חוותה קשיים כלכליים. </w:t>
      </w:r>
    </w:p>
    <w:p w14:paraId="400C0CAF" w14:textId="77777777" w:rsidR="00FC4FAC" w:rsidRPr="007159C5" w:rsidRDefault="00FC4FAC" w:rsidP="00FC4FAC">
      <w:pPr>
        <w:spacing w:line="360" w:lineRule="auto"/>
        <w:ind w:left="720"/>
        <w:jc w:val="both"/>
        <w:rPr>
          <w:rtl/>
        </w:rPr>
      </w:pPr>
      <w:r w:rsidRPr="007159C5">
        <w:rPr>
          <w:rFonts w:hint="cs"/>
          <w:rtl/>
        </w:rPr>
        <w:t xml:space="preserve">אשר לעבירה, הוא מודה בביצועה. טען, כי נכח במפגש חברתי והתבקש על ידי חבריו להעביר שקית לגורם שלישי והוא ראה בכך מחווה והסכים, ורק כאשר הגיע לרכבו הבחין שמדובר בנשק. כשהגיע למחסום לא ידע כיצד לפעול, אחז בידו את הנשק וברח. וטען, שחבריו תכננו את העבירה יחד עם גורמי אכיפת החוק והוא נקלע לסיטואציה. שירות המבחן התרשם שהנאשם מודה בעבירה באופן פורמלי אך מתקשה לבחון את חלקו, נוטה להטיל אחריות על אחרים, מביע עמדה קורבנית, ומתייחס לעבירה באופן מטשטש. וכי העבירה בוצעה על רקע מעורבות בחברה שולית בה קיימת לגיטימציה לביצוע עבירות אלימות ושימוש בנשק. שירות המבחן שקל את גורמי הסיכוי והסיכון של הנאשם, נמנע מהמלצה טיפולית, והמליץ להטיל על הנאשם ענישה הכוללת מאסר בעבודות שירות ומאסר על תנאי. </w:t>
      </w:r>
    </w:p>
    <w:p w14:paraId="294F654D" w14:textId="77777777" w:rsidR="00FC4FAC" w:rsidRPr="007159C5" w:rsidRDefault="00FC4FAC" w:rsidP="00FC4FAC">
      <w:pPr>
        <w:spacing w:line="360" w:lineRule="auto"/>
        <w:jc w:val="both"/>
        <w:rPr>
          <w:b/>
          <w:bCs/>
          <w:u w:val="single"/>
        </w:rPr>
      </w:pPr>
    </w:p>
    <w:p w14:paraId="65EDF8A3" w14:textId="77777777" w:rsidR="00FC4FAC" w:rsidRPr="007159C5" w:rsidRDefault="00FC4FAC" w:rsidP="00FC4FAC">
      <w:pPr>
        <w:spacing w:line="360" w:lineRule="auto"/>
        <w:jc w:val="both"/>
        <w:rPr>
          <w:b/>
          <w:bCs/>
          <w:u w:val="single"/>
          <w:rtl/>
        </w:rPr>
      </w:pPr>
    </w:p>
    <w:p w14:paraId="756871DC" w14:textId="77777777" w:rsidR="00FC4FAC" w:rsidRPr="007159C5" w:rsidRDefault="00FC4FAC" w:rsidP="00FC4FAC">
      <w:pPr>
        <w:spacing w:line="360" w:lineRule="auto"/>
        <w:jc w:val="both"/>
        <w:rPr>
          <w:b/>
          <w:bCs/>
          <w:u w:val="single"/>
          <w:rtl/>
        </w:rPr>
      </w:pPr>
      <w:r w:rsidRPr="007159C5">
        <w:rPr>
          <w:rFonts w:hint="cs"/>
          <w:b/>
          <w:bCs/>
          <w:u w:val="single"/>
          <w:rtl/>
        </w:rPr>
        <w:t>טענות הצדדים</w:t>
      </w:r>
    </w:p>
    <w:p w14:paraId="42E4ED4C" w14:textId="77777777" w:rsidR="00FC4FAC" w:rsidRPr="007159C5" w:rsidRDefault="00FC4FAC" w:rsidP="00FC4FAC">
      <w:pPr>
        <w:spacing w:line="360" w:lineRule="auto"/>
        <w:jc w:val="both"/>
        <w:rPr>
          <w:b/>
          <w:bCs/>
          <w:u w:val="single"/>
          <w:rtl/>
        </w:rPr>
      </w:pPr>
    </w:p>
    <w:p w14:paraId="6370577F" w14:textId="77777777" w:rsidR="00FC4FAC" w:rsidRPr="007159C5" w:rsidRDefault="00FC4FAC" w:rsidP="00FC4FAC">
      <w:pPr>
        <w:spacing w:line="360" w:lineRule="auto"/>
        <w:ind w:left="720" w:hanging="720"/>
        <w:jc w:val="both"/>
        <w:rPr>
          <w:rtl/>
        </w:rPr>
      </w:pPr>
      <w:r w:rsidRPr="007159C5">
        <w:rPr>
          <w:rFonts w:hint="cs"/>
          <w:rtl/>
        </w:rPr>
        <w:t>5.</w:t>
      </w:r>
      <w:r w:rsidRPr="007159C5">
        <w:rPr>
          <w:rFonts w:hint="cs"/>
          <w:rtl/>
        </w:rPr>
        <w:tab/>
        <w:t xml:space="preserve">ב"כ המאשימה עמדה על הערכים המוגנים בעבירות בהן הורשע הנאשם; על מידת הפגיעה בהם במקרה זה; ועל נסיבות ביצוע העבירות; הדגישה את חומרת תופעת השימוש בנשק במגזר הערבי ואת הצורך בענישה מרתיעה; עמדה על מדיניות הענישה הנוהגת בעבירות </w:t>
      </w:r>
      <w:r w:rsidRPr="007159C5">
        <w:rPr>
          <w:rFonts w:hint="cs"/>
          <w:rtl/>
        </w:rPr>
        <w:lastRenderedPageBreak/>
        <w:t xml:space="preserve">נשק, תוך הפנייה לפסיקה; וטענה כי מתחם העונש ההולם נע בין 2.5 ל- 4 שנות מאסר בפועל. ציינה כי הנחיות פרקליט המדינה בנוגע לענישה בעבירות נשק מורות כי בעבירה של נשיאת נשק יש לטעון למתחם המתחיל ב- 18 חודשי מאסר, ומדובר במתחם מוצא, ובענייננו הנאשם החזיק גם בתחמושת, דבר המהווה נסיבה מחמירה, גם על פי ההנחיות. ובנוסף לכך, הנאשם הורשע גם בעבירה של הפרעה לשוטר במילוי תפקידו. ביחס לטענת הנאשם על משך ההחזקה בנשק, נטען שחומר הראיות אינו תומך בכך. אשר לעונש הראוי לנאשם בתוך המתחם, ציינה כי לנאשם הרשעה קודמת אחת בעבירה של הסגת גבול פלילית; והוא הודה במיוחס לו וחסך זמן שיפוטי. וטענה כי הנאשם לא עבר הליך שיקומי, והמלצת שירות המבחן אינה עומדת בהלימה לחומרת המעשים. ועתרה למקם את עונש המאסר בפועל של הנאשם במרכז המתחם שנטען ולהטיל עליו גם מאסר על תנאי. </w:t>
      </w:r>
    </w:p>
    <w:p w14:paraId="67D989A3" w14:textId="77777777" w:rsidR="00FC4FAC" w:rsidRPr="007159C5" w:rsidRDefault="00FC4FAC" w:rsidP="00FC4FAC">
      <w:pPr>
        <w:spacing w:line="360" w:lineRule="auto"/>
        <w:ind w:left="720" w:hanging="720"/>
        <w:jc w:val="both"/>
        <w:rPr>
          <w:rtl/>
        </w:rPr>
      </w:pPr>
    </w:p>
    <w:p w14:paraId="1F821EA3" w14:textId="77777777" w:rsidR="00FC4FAC" w:rsidRPr="007159C5" w:rsidRDefault="00FC4FAC" w:rsidP="00FC4FAC">
      <w:pPr>
        <w:spacing w:line="360" w:lineRule="auto"/>
        <w:ind w:left="720" w:hanging="720"/>
        <w:jc w:val="both"/>
        <w:rPr>
          <w:rtl/>
        </w:rPr>
      </w:pPr>
      <w:r w:rsidRPr="007159C5">
        <w:rPr>
          <w:rFonts w:hint="cs"/>
          <w:rtl/>
        </w:rPr>
        <w:t>6.</w:t>
      </w:r>
      <w:r w:rsidRPr="007159C5">
        <w:rPr>
          <w:rFonts w:hint="cs"/>
          <w:rtl/>
        </w:rPr>
        <w:tab/>
        <w:t xml:space="preserve">ב"כ הנאשם טען כי מתחם העונש ההולם בעבירות שביצע הנאשם מתחיל מ-9 חודשי מאסר בפועל, שכן משך ההחזקה של הנאשם בנשק היה קצר; ציין כי המדובר באקדח ולא בנשק אוטומטי; המחסנית היתה מופרדת מהנשק; לא קדם לעבירה תכנון; ומספר כדורי התחמושת שנתפסו קטן. עוד טען, כי נסיבות הנאשם מצדיקות לקבוע את עונשו בתחתית המתחם - הנאשם צעיר, בעל משפחה, אב לארבעה ילדים, הודה במעשה מיד כשנתפס ושיתף פעולה, לחובתו רישום פלילי יחיד שאינו ממין העניין, והוא לא מנהל אורח חיים עברייני. הוסיף, שהנאשם שהה בתנאים מגבילים תקופה המצטברת ל- 14 חודשים, כאשר שלושה מתוכם שהה במעצר של ממש, ובמשך תקופה ארוכה הוא היה רחוק ממשפחתו ולא עבד. ושליחתו למאסר תמשיך לפגוע במשפחתו הגרעינית. ביקש להטיל על נאשם עונש שירוצה בעבודות שירות או לחילופין שנת מאסר ממנה ינוכו 3 חודשי המעצר והתקופה הנותרת תהיה בעבודות שירות. </w:t>
      </w:r>
    </w:p>
    <w:p w14:paraId="5DDE26AF" w14:textId="77777777" w:rsidR="00FC4FAC" w:rsidRPr="007159C5" w:rsidRDefault="00FC4FAC" w:rsidP="00FC4FAC">
      <w:pPr>
        <w:spacing w:line="360" w:lineRule="auto"/>
        <w:ind w:left="720" w:hanging="720"/>
        <w:jc w:val="both"/>
        <w:rPr>
          <w:rtl/>
        </w:rPr>
      </w:pPr>
    </w:p>
    <w:p w14:paraId="2E7EEEC0" w14:textId="77777777" w:rsidR="00FC4FAC" w:rsidRPr="007159C5" w:rsidRDefault="00FC4FAC" w:rsidP="00FC4FAC">
      <w:pPr>
        <w:spacing w:line="360" w:lineRule="auto"/>
        <w:ind w:left="720" w:hanging="720"/>
        <w:jc w:val="both"/>
        <w:rPr>
          <w:rtl/>
        </w:rPr>
      </w:pPr>
      <w:r w:rsidRPr="007159C5">
        <w:rPr>
          <w:rFonts w:hint="cs"/>
          <w:rtl/>
        </w:rPr>
        <w:t>7.</w:t>
      </w:r>
      <w:r w:rsidRPr="007159C5">
        <w:rPr>
          <w:rFonts w:hint="cs"/>
          <w:rtl/>
        </w:rPr>
        <w:tab/>
        <w:t>הנאשם הביע צער על מעשיו.</w:t>
      </w:r>
    </w:p>
    <w:p w14:paraId="569A1A29" w14:textId="77777777" w:rsidR="00FC4FAC" w:rsidRPr="007159C5" w:rsidRDefault="00FC4FAC" w:rsidP="00FC4FAC">
      <w:pPr>
        <w:spacing w:line="360" w:lineRule="auto"/>
        <w:ind w:left="720" w:hanging="720"/>
        <w:jc w:val="both"/>
        <w:rPr>
          <w:rtl/>
        </w:rPr>
      </w:pPr>
    </w:p>
    <w:p w14:paraId="70EA6BA3" w14:textId="77777777" w:rsidR="00FC4FAC" w:rsidRPr="007159C5" w:rsidRDefault="00FC4FAC" w:rsidP="00FC4FAC">
      <w:pPr>
        <w:spacing w:line="360" w:lineRule="auto"/>
        <w:jc w:val="both"/>
        <w:rPr>
          <w:b/>
          <w:bCs/>
          <w:u w:val="single"/>
          <w:rtl/>
        </w:rPr>
      </w:pPr>
    </w:p>
    <w:p w14:paraId="6C3036C3" w14:textId="77777777" w:rsidR="00FC4FAC" w:rsidRPr="007159C5" w:rsidRDefault="00FC4FAC" w:rsidP="00FC4FAC">
      <w:pPr>
        <w:spacing w:line="360" w:lineRule="auto"/>
        <w:jc w:val="both"/>
        <w:rPr>
          <w:b/>
          <w:bCs/>
          <w:u w:val="single"/>
          <w:rtl/>
        </w:rPr>
      </w:pPr>
      <w:r w:rsidRPr="007159C5">
        <w:rPr>
          <w:rFonts w:hint="cs"/>
          <w:b/>
          <w:bCs/>
          <w:u w:val="single"/>
          <w:rtl/>
        </w:rPr>
        <w:t>דיון והכרעה</w:t>
      </w:r>
    </w:p>
    <w:p w14:paraId="10B1BC12" w14:textId="77777777" w:rsidR="00FC4FAC" w:rsidRPr="007159C5" w:rsidRDefault="00FC4FAC" w:rsidP="00FC4FAC">
      <w:pPr>
        <w:spacing w:line="360" w:lineRule="auto"/>
        <w:ind w:left="720" w:hanging="720"/>
        <w:jc w:val="both"/>
        <w:rPr>
          <w:rtl/>
        </w:rPr>
      </w:pPr>
    </w:p>
    <w:p w14:paraId="0D88C14E" w14:textId="77777777" w:rsidR="00FC4FAC" w:rsidRPr="007159C5" w:rsidRDefault="00FC4FAC" w:rsidP="00FC4FAC">
      <w:pPr>
        <w:spacing w:line="360" w:lineRule="auto"/>
        <w:ind w:left="720" w:hanging="720"/>
        <w:jc w:val="both"/>
        <w:rPr>
          <w:rtl/>
          <w:lang w:eastAsia="he-IL"/>
        </w:rPr>
      </w:pPr>
      <w:r w:rsidRPr="007159C5">
        <w:rPr>
          <w:rFonts w:hint="cs"/>
          <w:rtl/>
        </w:rPr>
        <w:t>8.</w:t>
      </w:r>
      <w:r w:rsidRPr="007159C5">
        <w:rPr>
          <w:rFonts w:hint="cs"/>
          <w:rtl/>
        </w:rPr>
        <w:tab/>
      </w:r>
      <w:r w:rsidRPr="007159C5">
        <w:rPr>
          <w:rFonts w:hint="cs"/>
          <w:rtl/>
          <w:lang w:eastAsia="he-IL"/>
        </w:rPr>
        <w:t xml:space="preserve">הנאשם הורשע בעבירות של נשיאה והובלת נשק והפרעה לשוטר במילוי תפקידו. העבירות בוצעו במהלך אירוע אחד, באותו זמן ומקום, ובאותו הקשר. ובהתאם לכך יש לראות בהן כמהוות אירוע אחד, לקבוע מתחם עונש הולם לשתי העבירות ולגזור עונש כולל. </w:t>
      </w:r>
    </w:p>
    <w:p w14:paraId="526C7ABE" w14:textId="77777777" w:rsidR="00FC4FAC" w:rsidRPr="007159C5" w:rsidRDefault="00FC4FAC" w:rsidP="00FC4FAC">
      <w:pPr>
        <w:spacing w:line="360" w:lineRule="auto"/>
        <w:ind w:left="720" w:hanging="720"/>
        <w:jc w:val="both"/>
        <w:rPr>
          <w:rtl/>
          <w:lang w:eastAsia="he-IL"/>
        </w:rPr>
      </w:pPr>
    </w:p>
    <w:p w14:paraId="26ADA7B6" w14:textId="77777777" w:rsidR="00FC4FAC" w:rsidRPr="007159C5" w:rsidRDefault="00FC4FAC" w:rsidP="00FC4FAC">
      <w:pPr>
        <w:spacing w:line="360" w:lineRule="auto"/>
        <w:ind w:left="720" w:hanging="720"/>
        <w:jc w:val="both"/>
        <w:rPr>
          <w:rtl/>
          <w:lang w:eastAsia="he-IL"/>
        </w:rPr>
      </w:pPr>
      <w:r w:rsidRPr="007159C5">
        <w:rPr>
          <w:rFonts w:hint="cs"/>
          <w:rtl/>
          <w:lang w:eastAsia="he-IL"/>
        </w:rPr>
        <w:t>9.</w:t>
      </w:r>
      <w:r w:rsidRPr="007159C5">
        <w:rPr>
          <w:rFonts w:hint="cs"/>
          <w:rtl/>
          <w:lang w:eastAsia="he-IL"/>
        </w:rPr>
        <w:tab/>
        <w:t xml:space="preserve">הנאשם נשא והוביל אקדח תקני בקוטר 9 מ"מ, ביחד עם מחסנית ותחמושת תואמות. </w:t>
      </w:r>
    </w:p>
    <w:p w14:paraId="6F07BF0A" w14:textId="77777777" w:rsidR="00FC4FAC" w:rsidRPr="007159C5" w:rsidRDefault="00FC4FAC" w:rsidP="00FC4FAC">
      <w:pPr>
        <w:spacing w:line="360" w:lineRule="auto"/>
        <w:ind w:left="720"/>
        <w:jc w:val="both"/>
        <w:rPr>
          <w:rtl/>
          <w:lang w:eastAsia="he-IL"/>
        </w:rPr>
      </w:pPr>
      <w:r w:rsidRPr="007159C5">
        <w:rPr>
          <w:rFonts w:hint="cs"/>
          <w:rtl/>
          <w:lang w:eastAsia="he-IL"/>
        </w:rPr>
        <w:lastRenderedPageBreak/>
        <w:t xml:space="preserve">אקדח הוא כלי קטלני. כוחו מאפשר למי שמחזיק בו לאיים בהפעלתו ואף להפעילו. ובפועל אקדחים מעורבים באירועים פליליים וביטחוניים והשימוש בהם מסלים את חומרת האירועים וגובה קרבנות. </w:t>
      </w:r>
    </w:p>
    <w:p w14:paraId="1738DF3E" w14:textId="77777777" w:rsidR="00FC4FAC" w:rsidRPr="007159C5" w:rsidRDefault="00FC4FAC" w:rsidP="00FC4FAC">
      <w:pPr>
        <w:spacing w:line="360" w:lineRule="auto"/>
        <w:ind w:left="720" w:hanging="720"/>
        <w:jc w:val="both"/>
        <w:rPr>
          <w:rtl/>
          <w:lang w:eastAsia="he-IL"/>
        </w:rPr>
      </w:pPr>
    </w:p>
    <w:p w14:paraId="7BD903B1" w14:textId="77777777" w:rsidR="00FC4FAC" w:rsidRPr="007159C5" w:rsidRDefault="00FC4FAC" w:rsidP="00FC4FAC">
      <w:pPr>
        <w:spacing w:line="360" w:lineRule="auto"/>
        <w:ind w:left="720" w:hanging="720"/>
        <w:jc w:val="both"/>
        <w:rPr>
          <w:rtl/>
        </w:rPr>
      </w:pPr>
      <w:r w:rsidRPr="007159C5">
        <w:rPr>
          <w:rFonts w:hint="cs"/>
          <w:rtl/>
          <w:lang w:eastAsia="he-IL"/>
        </w:rPr>
        <w:t>10.</w:t>
      </w:r>
      <w:r w:rsidRPr="007159C5">
        <w:rPr>
          <w:rFonts w:hint="cs"/>
          <w:rtl/>
          <w:lang w:eastAsia="he-IL"/>
        </w:rPr>
        <w:tab/>
      </w:r>
      <w:r w:rsidRPr="007159C5">
        <w:rPr>
          <w:rFonts w:hint="cs"/>
          <w:rtl/>
        </w:rPr>
        <w:t>הערכים החברתיים המרכזיים שנפגעו ממעשי הנאשם נוגעים לשמירת החיים והגוף; שלום הציבור ובטחונו; ושמירת הסדר הציבורי. ובנסיבות ענייננו מידת הפגיעה בהם הינה משמעותית.</w:t>
      </w:r>
    </w:p>
    <w:p w14:paraId="4F6FAA04" w14:textId="77777777" w:rsidR="00FC4FAC" w:rsidRPr="007159C5" w:rsidRDefault="00FC4FAC" w:rsidP="00FC4FAC">
      <w:pPr>
        <w:spacing w:line="360" w:lineRule="auto"/>
        <w:ind w:left="720" w:hanging="720"/>
        <w:jc w:val="both"/>
        <w:rPr>
          <w:rtl/>
          <w:lang w:eastAsia="he-IL"/>
        </w:rPr>
      </w:pPr>
    </w:p>
    <w:p w14:paraId="09DA3A17" w14:textId="77777777" w:rsidR="00FC4FAC" w:rsidRPr="007159C5" w:rsidRDefault="00FC4FAC" w:rsidP="00FC4FAC">
      <w:pPr>
        <w:spacing w:line="360" w:lineRule="auto"/>
        <w:ind w:left="720" w:hanging="720"/>
        <w:jc w:val="both"/>
        <w:rPr>
          <w:rtl/>
          <w:lang w:eastAsia="he-IL"/>
        </w:rPr>
      </w:pPr>
      <w:r w:rsidRPr="007159C5">
        <w:rPr>
          <w:rFonts w:hint="cs"/>
          <w:rtl/>
          <w:lang w:eastAsia="he-IL"/>
        </w:rPr>
        <w:t>11.</w:t>
      </w:r>
      <w:r w:rsidRPr="007159C5">
        <w:rPr>
          <w:rFonts w:hint="cs"/>
          <w:rtl/>
          <w:lang w:eastAsia="he-IL"/>
        </w:rPr>
        <w:tab/>
        <w:t xml:space="preserve">נפוצות עבירות הנשק, הסכנה הכרוכה בהן, והפגיעה הנגרמת לציבור בעטיין, הביאו לכך שבשנים האחרונות מדיניות הענישה בעבירות אלה הוחמרה באופן מובהק – </w:t>
      </w:r>
    </w:p>
    <w:p w14:paraId="13F347A5" w14:textId="77777777" w:rsidR="00FC4FAC" w:rsidRPr="007159C5" w:rsidRDefault="00FC4FAC" w:rsidP="00FC4FAC">
      <w:pPr>
        <w:spacing w:line="360" w:lineRule="auto"/>
        <w:ind w:left="2160"/>
        <w:jc w:val="both"/>
        <w:rPr>
          <w:rtl/>
          <w:lang w:eastAsia="he-IL"/>
        </w:rPr>
      </w:pPr>
    </w:p>
    <w:p w14:paraId="77103CC3" w14:textId="77777777" w:rsidR="00FC4FAC" w:rsidRPr="007159C5" w:rsidRDefault="00FC4FAC" w:rsidP="00FC4FAC">
      <w:pPr>
        <w:spacing w:line="360" w:lineRule="auto"/>
        <w:ind w:left="1440"/>
        <w:jc w:val="both"/>
        <w:rPr>
          <w:rtl/>
          <w:lang w:eastAsia="he-IL"/>
        </w:rPr>
      </w:pPr>
      <w:r w:rsidRPr="007159C5">
        <w:rPr>
          <w:rFonts w:hint="cs"/>
          <w:rtl/>
          <w:lang w:eastAsia="he-I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4" w:history="1">
        <w:r w:rsidR="002D5761" w:rsidRPr="002D5761">
          <w:rPr>
            <w:color w:val="0000FF"/>
            <w:u w:val="single"/>
            <w:rtl/>
            <w:lang w:eastAsia="he-IL"/>
          </w:rPr>
          <w:t>ע"פ 4406/19</w:t>
        </w:r>
      </w:hyperlink>
      <w:r w:rsidRPr="007159C5">
        <w:rPr>
          <w:rtl/>
          <w:lang w:eastAsia="he-IL"/>
        </w:rPr>
        <w:t xml:space="preserve"> </w:t>
      </w:r>
      <w:r w:rsidRPr="007159C5">
        <w:rPr>
          <w:rFonts w:hint="cs"/>
          <w:b/>
          <w:rtl/>
          <w:lang w:eastAsia="he-IL"/>
        </w:rPr>
        <w:t>מדינת ישראל נ' סובח</w:t>
      </w:r>
      <w:r w:rsidRPr="007159C5">
        <w:rPr>
          <w:rFonts w:hint="cs"/>
          <w:rtl/>
          <w:lang w:eastAsia="he-IL"/>
        </w:rPr>
        <w:t xml:space="preserve">, [פורסם בנבו] פסקאות 16–17 לחוות דעתי (5.11.2019); </w:t>
      </w:r>
      <w:hyperlink r:id="rId15" w:history="1">
        <w:r w:rsidR="002D5761" w:rsidRPr="002D5761">
          <w:rPr>
            <w:color w:val="0000FF"/>
            <w:u w:val="single"/>
            <w:rtl/>
            <w:lang w:eastAsia="he-IL"/>
          </w:rPr>
          <w:t>רע"פ 7344/18</w:t>
        </w:r>
      </w:hyperlink>
      <w:r w:rsidRPr="007159C5">
        <w:rPr>
          <w:rtl/>
          <w:lang w:eastAsia="he-IL"/>
        </w:rPr>
        <w:t xml:space="preserve"> </w:t>
      </w:r>
      <w:r w:rsidRPr="007159C5">
        <w:rPr>
          <w:rFonts w:hint="cs"/>
          <w:b/>
          <w:rtl/>
          <w:lang w:eastAsia="he-IL"/>
        </w:rPr>
        <w:t>מג'יד נ' מדינת ישראל</w:t>
      </w:r>
      <w:r w:rsidRPr="007159C5">
        <w:rPr>
          <w:rFonts w:hint="cs"/>
          <w:rtl/>
          <w:lang w:eastAsia="he-IL"/>
        </w:rPr>
        <w:t xml:space="preserve">, [פורסם בנבו] פסקה 10 (21.10.2018))." - </w:t>
      </w:r>
      <w:hyperlink r:id="rId16" w:history="1">
        <w:r w:rsidR="002D5761" w:rsidRPr="002D5761">
          <w:rPr>
            <w:color w:val="0000FF"/>
            <w:u w:val="single"/>
            <w:rtl/>
            <w:lang w:eastAsia="he-IL"/>
          </w:rPr>
          <w:t>רע"פ 5613-20</w:t>
        </w:r>
      </w:hyperlink>
      <w:r w:rsidRPr="007159C5">
        <w:rPr>
          <w:rFonts w:hint="cs"/>
          <w:rtl/>
          <w:lang w:eastAsia="he-IL"/>
        </w:rPr>
        <w:t xml:space="preserve"> </w:t>
      </w:r>
      <w:r w:rsidRPr="007159C5">
        <w:rPr>
          <w:rFonts w:hint="cs"/>
          <w:b/>
          <w:bCs/>
          <w:rtl/>
          <w:lang w:eastAsia="he-IL"/>
        </w:rPr>
        <w:t xml:space="preserve">זאקי אלהוזייל </w:t>
      </w:r>
      <w:r w:rsidRPr="007159C5">
        <w:rPr>
          <w:rFonts w:hint="cs"/>
          <w:rtl/>
          <w:lang w:eastAsia="he-IL"/>
        </w:rPr>
        <w:t xml:space="preserve">נ' </w:t>
      </w:r>
      <w:r w:rsidRPr="007159C5">
        <w:rPr>
          <w:rFonts w:hint="cs"/>
          <w:b/>
          <w:bCs/>
          <w:rtl/>
          <w:lang w:eastAsia="he-IL"/>
        </w:rPr>
        <w:t>מדינת ישראל</w:t>
      </w:r>
      <w:r w:rsidRPr="007159C5">
        <w:rPr>
          <w:rFonts w:hint="cs"/>
          <w:rtl/>
          <w:lang w:eastAsia="he-IL"/>
        </w:rPr>
        <w:t xml:space="preserve"> (נבו, 25/08/20)</w:t>
      </w:r>
    </w:p>
    <w:p w14:paraId="44F7EB0B" w14:textId="77777777" w:rsidR="00FC4FAC" w:rsidRPr="007159C5" w:rsidRDefault="00FC4FAC" w:rsidP="00FC4FAC">
      <w:pPr>
        <w:spacing w:line="360" w:lineRule="auto"/>
        <w:ind w:left="1440"/>
        <w:jc w:val="both"/>
        <w:rPr>
          <w:rtl/>
          <w:lang w:eastAsia="he-IL"/>
        </w:rPr>
      </w:pPr>
    </w:p>
    <w:p w14:paraId="7600D58B" w14:textId="77777777" w:rsidR="00FC4FAC" w:rsidRPr="007159C5" w:rsidRDefault="00FC4FAC" w:rsidP="00FC4FAC">
      <w:pPr>
        <w:spacing w:line="360" w:lineRule="auto"/>
        <w:ind w:left="720" w:hanging="720"/>
        <w:jc w:val="both"/>
        <w:rPr>
          <w:rtl/>
          <w:lang w:eastAsia="he-IL"/>
        </w:rPr>
      </w:pPr>
      <w:r w:rsidRPr="007159C5">
        <w:rPr>
          <w:rFonts w:hint="cs"/>
          <w:rtl/>
          <w:lang w:eastAsia="he-IL"/>
        </w:rPr>
        <w:t>12.</w:t>
      </w:r>
      <w:r w:rsidRPr="007159C5">
        <w:rPr>
          <w:rFonts w:hint="cs"/>
          <w:rtl/>
          <w:lang w:eastAsia="he-IL"/>
        </w:rPr>
        <w:tab/>
        <w:t xml:space="preserve">הלכה למעשה בתי המשפט מטילים על נאשמים שהחזיקו נשק בנסיבות הדומות לענייננו, עונשי מאסר לתקופות משמעותיות. </w:t>
      </w:r>
    </w:p>
    <w:p w14:paraId="190D1974" w14:textId="77777777" w:rsidR="00FC4FAC" w:rsidRPr="007159C5" w:rsidRDefault="00FC4FAC" w:rsidP="00FC4FAC">
      <w:pPr>
        <w:spacing w:line="360" w:lineRule="auto"/>
        <w:ind w:left="720" w:hanging="720"/>
        <w:jc w:val="both"/>
        <w:rPr>
          <w:rtl/>
        </w:rPr>
      </w:pPr>
    </w:p>
    <w:p w14:paraId="2696369B" w14:textId="77777777" w:rsidR="00FC4FAC" w:rsidRPr="007159C5" w:rsidRDefault="00FC4FAC" w:rsidP="00FC4FAC">
      <w:pPr>
        <w:spacing w:line="360" w:lineRule="auto"/>
        <w:ind w:left="720"/>
        <w:jc w:val="both"/>
        <w:rPr>
          <w:rtl/>
        </w:rPr>
      </w:pPr>
      <w:r w:rsidRPr="007159C5">
        <w:rPr>
          <w:rFonts w:hint="cs"/>
          <w:rtl/>
        </w:rPr>
        <w:t>ב</w:t>
      </w:r>
      <w:hyperlink r:id="rId17" w:history="1">
        <w:r w:rsidR="002D5761" w:rsidRPr="002D5761">
          <w:rPr>
            <w:color w:val="0000FF"/>
            <w:u w:val="single"/>
            <w:rtl/>
          </w:rPr>
          <w:t>ע"פ 2141-21</w:t>
        </w:r>
      </w:hyperlink>
      <w:r w:rsidRPr="007159C5">
        <w:rPr>
          <w:rFonts w:hint="cs"/>
          <w:rtl/>
        </w:rPr>
        <w:t xml:space="preserve"> </w:t>
      </w:r>
      <w:r w:rsidRPr="007159C5">
        <w:rPr>
          <w:rFonts w:hint="cs"/>
          <w:b/>
          <w:bCs/>
          <w:rtl/>
        </w:rPr>
        <w:t>איתן חניני</w:t>
      </w:r>
      <w:r w:rsidRPr="007159C5">
        <w:rPr>
          <w:rFonts w:hint="cs"/>
          <w:rtl/>
        </w:rPr>
        <w:t xml:space="preserve"> נ' </w:t>
      </w:r>
      <w:r w:rsidRPr="007159C5">
        <w:rPr>
          <w:rFonts w:hint="cs"/>
          <w:b/>
          <w:bCs/>
          <w:rtl/>
        </w:rPr>
        <w:t>מדינת ישראל</w:t>
      </w:r>
      <w:r w:rsidRPr="007159C5">
        <w:rPr>
          <w:rFonts w:hint="cs"/>
          <w:rtl/>
        </w:rPr>
        <w:t xml:space="preserve"> (27/05/21) המערער נשא בשעת לילה אקדח אוויר אשר בוצעו בו שינויים המאפשרים ירי של תחמושת בקליבר 7.65 מ"מ, ובו ארבעה כדורים. ונידון, בין היתר ל- </w:t>
      </w:r>
      <w:r w:rsidRPr="007159C5">
        <w:rPr>
          <w:rFonts w:hint="cs"/>
          <w:b/>
          <w:bCs/>
          <w:rtl/>
        </w:rPr>
        <w:t>20 חודשי מאסר בפועל</w:t>
      </w:r>
      <w:r w:rsidRPr="007159C5">
        <w:rPr>
          <w:rFonts w:hint="cs"/>
          <w:rtl/>
        </w:rPr>
        <w:t xml:space="preserve">. וערעורו על חומרת העונש נדחה. </w:t>
      </w:r>
    </w:p>
    <w:p w14:paraId="6BB9AC60" w14:textId="77777777" w:rsidR="00FC4FAC" w:rsidRPr="007159C5" w:rsidRDefault="00FC4FAC" w:rsidP="00FC4FAC">
      <w:pPr>
        <w:spacing w:line="360" w:lineRule="auto"/>
        <w:ind w:left="720" w:hanging="720"/>
        <w:jc w:val="both"/>
        <w:rPr>
          <w:rtl/>
        </w:rPr>
      </w:pPr>
    </w:p>
    <w:p w14:paraId="4D16D76F" w14:textId="77777777" w:rsidR="00FC4FAC" w:rsidRPr="007159C5" w:rsidRDefault="00FC4FAC" w:rsidP="00FC4FAC">
      <w:pPr>
        <w:spacing w:line="360" w:lineRule="auto"/>
        <w:ind w:left="720"/>
        <w:jc w:val="both"/>
        <w:rPr>
          <w:b/>
          <w:bCs/>
          <w:rtl/>
        </w:rPr>
      </w:pPr>
      <w:r w:rsidRPr="007159C5">
        <w:rPr>
          <w:rFonts w:hint="cs"/>
          <w:rtl/>
        </w:rPr>
        <w:t>ב</w:t>
      </w:r>
      <w:hyperlink r:id="rId18" w:history="1">
        <w:r w:rsidR="002D5761" w:rsidRPr="002D5761">
          <w:rPr>
            <w:color w:val="0000FF"/>
            <w:u w:val="single"/>
            <w:rtl/>
          </w:rPr>
          <w:t>ע"פ 545-20</w:t>
        </w:r>
      </w:hyperlink>
      <w:r w:rsidRPr="007159C5">
        <w:rPr>
          <w:rFonts w:hint="cs"/>
          <w:rtl/>
        </w:rPr>
        <w:t xml:space="preserve"> </w:t>
      </w:r>
      <w:r w:rsidRPr="007159C5">
        <w:rPr>
          <w:rFonts w:hint="cs"/>
          <w:b/>
          <w:bCs/>
          <w:rtl/>
        </w:rPr>
        <w:t>פלוני</w:t>
      </w:r>
      <w:r w:rsidRPr="007159C5">
        <w:rPr>
          <w:rFonts w:hint="cs"/>
          <w:rtl/>
        </w:rPr>
        <w:t xml:space="preserve"> נ' </w:t>
      </w:r>
      <w:r w:rsidRPr="007159C5">
        <w:rPr>
          <w:rFonts w:hint="cs"/>
          <w:b/>
          <w:bCs/>
          <w:rtl/>
        </w:rPr>
        <w:t>מדינת ישראל</w:t>
      </w:r>
      <w:r w:rsidRPr="007159C5">
        <w:rPr>
          <w:rFonts w:hint="cs"/>
          <w:rtl/>
        </w:rPr>
        <w:t xml:space="preserve"> (03/05/21) המערער נסע ברכב כשהוא מוביל ומחזיק אקדח חצי אוטומטי בקוטר 9 מ"מ, טעון במחסנית ריקה, ועל גופו 50 כדורי אקדח תואמים. הוסכם </w:t>
      </w:r>
      <w:r w:rsidRPr="007159C5">
        <w:rPr>
          <w:rFonts w:hint="cs"/>
          <w:b/>
          <w:bCs/>
          <w:rtl/>
        </w:rPr>
        <w:t>שהאקדח לא היה תקין</w:t>
      </w:r>
      <w:r w:rsidRPr="007159C5">
        <w:rPr>
          <w:rFonts w:hint="cs"/>
          <w:rtl/>
        </w:rPr>
        <w:t xml:space="preserve"> ולא ניתן היה לבצע בו ירי, הגם שהמערער לא היה מודע לכך. בית המשפט המחוזי קבע מתחם עונש הולם הנע בין 10 ל -24 חודשי מאסר בפועל, והטיל על המערער </w:t>
      </w:r>
      <w:r w:rsidRPr="007159C5">
        <w:rPr>
          <w:rFonts w:hint="cs"/>
          <w:b/>
          <w:bCs/>
          <w:rtl/>
        </w:rPr>
        <w:t xml:space="preserve">שנת מאסר בפועל. </w:t>
      </w:r>
    </w:p>
    <w:p w14:paraId="0053A135" w14:textId="77777777" w:rsidR="00FC4FAC" w:rsidRPr="007159C5" w:rsidRDefault="00FC4FAC" w:rsidP="00FC4FAC">
      <w:pPr>
        <w:spacing w:line="360" w:lineRule="auto"/>
        <w:ind w:left="720"/>
        <w:jc w:val="both"/>
        <w:rPr>
          <w:b/>
          <w:bCs/>
          <w:rtl/>
        </w:rPr>
      </w:pPr>
    </w:p>
    <w:p w14:paraId="235C269A" w14:textId="77777777" w:rsidR="00FC4FAC" w:rsidRPr="007159C5" w:rsidRDefault="00FC4FAC" w:rsidP="00FC4FAC">
      <w:pPr>
        <w:spacing w:line="360" w:lineRule="auto"/>
        <w:ind w:left="720"/>
        <w:jc w:val="both"/>
        <w:rPr>
          <w:rtl/>
        </w:rPr>
      </w:pPr>
      <w:r w:rsidRPr="007159C5">
        <w:rPr>
          <w:rFonts w:hint="cs"/>
          <w:rtl/>
        </w:rPr>
        <w:t>במסגרת הערעור התקבל תסקיר עדכני של שירות המבחן, ממנו עלה שהמערער החל בתהליך ראשוני של התבוננות פנימית ומבטא מוטיבציה לשינוי אורחות חייו.</w:t>
      </w:r>
    </w:p>
    <w:p w14:paraId="2141AC34" w14:textId="77777777" w:rsidR="00FC4FAC" w:rsidRPr="007159C5" w:rsidRDefault="00FC4FAC" w:rsidP="00FC4FAC">
      <w:pPr>
        <w:spacing w:line="360" w:lineRule="auto"/>
        <w:ind w:left="720" w:hanging="720"/>
        <w:jc w:val="both"/>
        <w:rPr>
          <w:rtl/>
        </w:rPr>
      </w:pPr>
    </w:p>
    <w:p w14:paraId="6F7808FA" w14:textId="77777777" w:rsidR="00FC4FAC" w:rsidRPr="007159C5" w:rsidRDefault="00FC4FAC" w:rsidP="00FC4FAC">
      <w:pPr>
        <w:spacing w:line="360" w:lineRule="auto"/>
        <w:ind w:left="720"/>
        <w:jc w:val="both"/>
        <w:rPr>
          <w:rtl/>
        </w:rPr>
      </w:pPr>
      <w:r w:rsidRPr="007159C5">
        <w:rPr>
          <w:rFonts w:hint="cs"/>
          <w:rtl/>
        </w:rPr>
        <w:t xml:space="preserve">בית המשפט העליון דחה את הערעור, תוך התייחסות למספר רב של פסקי דין, וקבע- </w:t>
      </w:r>
    </w:p>
    <w:p w14:paraId="6AFD4099" w14:textId="77777777" w:rsidR="00FC4FAC" w:rsidRPr="007159C5" w:rsidRDefault="00FC4FAC" w:rsidP="00FC4FAC">
      <w:pPr>
        <w:spacing w:line="360" w:lineRule="auto"/>
        <w:ind w:left="1440"/>
        <w:jc w:val="both"/>
        <w:rPr>
          <w:rtl/>
        </w:rPr>
      </w:pPr>
      <w:r w:rsidRPr="007159C5">
        <w:rPr>
          <w:rFonts w:hint="cs"/>
          <w:rtl/>
        </w:rPr>
        <w:t xml:space="preserve">"המערער נתפס כאשר הוא נושא אקדח ותחמושת ללא רישיון. בית משפט זה עמד לא פעם על חומרתן המיוחדת של עבירות נשק ועל פוטנציאל הנזק הכרוך בהן, בהיותן בסיס לפעילות עבריינית אלימה ומאיימות על שלום הציבור כולו (ראו מיני רבים, </w:t>
      </w:r>
      <w:hyperlink r:id="rId19" w:history="1">
        <w:r w:rsidR="002D5761" w:rsidRPr="002D5761">
          <w:rPr>
            <w:color w:val="0000FF"/>
            <w:u w:val="single"/>
            <w:rtl/>
          </w:rPr>
          <w:t>ע"פ 135/17</w:t>
        </w:r>
      </w:hyperlink>
      <w:r w:rsidRPr="007159C5">
        <w:rPr>
          <w:rFonts w:hint="cs"/>
          <w:rtl/>
        </w:rPr>
        <w:t xml:space="preserve"> מדינת ישראל נ' בסל, [פורסם בנבו] פסקה 10 (8.3.2017); 2251/11 נפעא נ' מדינת ישראל, [פורסם בנבו] פסקה 5 (4.12.2011); </w:t>
      </w:r>
      <w:hyperlink r:id="rId20" w:history="1">
        <w:r w:rsidR="002D5761" w:rsidRPr="002D5761">
          <w:rPr>
            <w:color w:val="0000FF"/>
            <w:u w:val="single"/>
            <w:rtl/>
          </w:rPr>
          <w:t>ע"פ 1397/16</w:t>
        </w:r>
      </w:hyperlink>
      <w:r w:rsidRPr="007159C5">
        <w:rPr>
          <w:rFonts w:hint="cs"/>
          <w:rtl/>
        </w:rPr>
        <w:t xml:space="preserve"> מדינת ישראל נ' חמאיל, [פורסם בנבו] פסקה 12 (6.9.2016); 315/20 אבו טאה נ' מדינת ישראל, [פורסם בנבו] פסקה 17-18 (7.6.2020)). לא אחת גם צוין כי מתחייבת החמרה ממשית בענישה על עבירות אלו, על מנת לשדר מסר מרתיע מפני ביצוען (ראו למשל 2422/14 ח'דר נ' מדינת ישראל, [פורסם בנבו] פסקה 10 (21.12.2014); </w:t>
      </w:r>
      <w:hyperlink r:id="rId21" w:history="1">
        <w:r w:rsidR="002D5761" w:rsidRPr="002D5761">
          <w:rPr>
            <w:color w:val="0000FF"/>
            <w:u w:val="single"/>
            <w:rtl/>
          </w:rPr>
          <w:t>ע"פ 2918/13</w:t>
        </w:r>
      </w:hyperlink>
      <w:r w:rsidRPr="007159C5">
        <w:rPr>
          <w:rFonts w:hint="cs"/>
          <w:rtl/>
        </w:rPr>
        <w:t xml:space="preserve"> דבס נ' מדינת ישראל, [פורסם בנבו] פסקה 8 (18.7.2013); 4945/13 מדינת ישראל נ' סלימאן, [פורסם בנבו] פסקה 14 (19.1.2014); </w:t>
      </w:r>
      <w:hyperlink r:id="rId22" w:history="1">
        <w:r w:rsidR="002D5761" w:rsidRPr="002D5761">
          <w:rPr>
            <w:color w:val="0000FF"/>
            <w:u w:val="single"/>
            <w:rtl/>
          </w:rPr>
          <w:t>ע"פ 4329/10</w:t>
        </w:r>
      </w:hyperlink>
      <w:r w:rsidRPr="007159C5">
        <w:rPr>
          <w:rFonts w:hint="cs"/>
          <w:rtl/>
        </w:rPr>
        <w:t xml:space="preserve"> אסמעאיל נ' מדינת ישראל [פורסם בנבו] (25.10.2010)). עיון בשורה ארוכה של פסקי דין שיצאו מלפני בית משפט זה בשנים האחרונות, לרבות באלה אשר אוזכרו לעיל, מגלה כי </w:t>
      </w:r>
      <w:r w:rsidRPr="007159C5">
        <w:rPr>
          <w:rFonts w:hint="cs"/>
          <w:b/>
          <w:bCs/>
          <w:rtl/>
        </w:rPr>
        <w:t>העונש שגזר בית המשפט המחוזי הוא על הצד המקל.</w:t>
      </w:r>
      <w:r w:rsidRPr="007159C5">
        <w:rPr>
          <w:rFonts w:hint="cs"/>
          <w:rtl/>
        </w:rPr>
        <w:t xml:space="preserve"> "</w:t>
      </w:r>
    </w:p>
    <w:p w14:paraId="10A42F70" w14:textId="77777777" w:rsidR="00FC4FAC" w:rsidRPr="007159C5" w:rsidRDefault="00FC4FAC" w:rsidP="00FC4FAC">
      <w:pPr>
        <w:spacing w:line="360" w:lineRule="auto"/>
        <w:ind w:left="720" w:hanging="720"/>
        <w:jc w:val="both"/>
        <w:rPr>
          <w:rtl/>
        </w:rPr>
      </w:pPr>
    </w:p>
    <w:p w14:paraId="05BC86ED" w14:textId="77777777" w:rsidR="00FC4FAC" w:rsidRPr="007159C5" w:rsidRDefault="00FC4FAC" w:rsidP="00FC4FAC">
      <w:pPr>
        <w:spacing w:line="360" w:lineRule="auto"/>
        <w:ind w:left="720"/>
        <w:jc w:val="both"/>
        <w:rPr>
          <w:rtl/>
        </w:rPr>
      </w:pPr>
      <w:r w:rsidRPr="007159C5">
        <w:rPr>
          <w:rFonts w:hint="cs"/>
          <w:rtl/>
        </w:rPr>
        <w:t>ב</w:t>
      </w:r>
      <w:hyperlink r:id="rId23" w:history="1">
        <w:r w:rsidR="002D5761" w:rsidRPr="002D5761">
          <w:rPr>
            <w:color w:val="0000FF"/>
            <w:u w:val="single"/>
            <w:rtl/>
          </w:rPr>
          <w:t>ע"פ 5765-20</w:t>
        </w:r>
      </w:hyperlink>
      <w:r w:rsidRPr="007159C5">
        <w:rPr>
          <w:rFonts w:hint="cs"/>
          <w:rtl/>
        </w:rPr>
        <w:t xml:space="preserve"> </w:t>
      </w:r>
      <w:r w:rsidRPr="007159C5">
        <w:rPr>
          <w:rFonts w:hint="cs"/>
          <w:b/>
          <w:bCs/>
          <w:rtl/>
        </w:rPr>
        <w:t>וסים אבו בכר</w:t>
      </w:r>
      <w:r w:rsidRPr="007159C5">
        <w:rPr>
          <w:rFonts w:hint="cs"/>
          <w:rtl/>
        </w:rPr>
        <w:t xml:space="preserve"> נ' </w:t>
      </w:r>
      <w:r w:rsidRPr="007159C5">
        <w:rPr>
          <w:rFonts w:hint="cs"/>
          <w:b/>
          <w:bCs/>
          <w:rtl/>
        </w:rPr>
        <w:t>מדינת ישראל</w:t>
      </w:r>
      <w:r w:rsidRPr="007159C5">
        <w:rPr>
          <w:rFonts w:hint="cs"/>
          <w:rtl/>
        </w:rPr>
        <w:t xml:space="preserve"> (22/03/21) המערערים נסעו ברכב בו נשאו והובילו שני אקדחים, שבכל אקדח מחסנית מלאה. שוטרים הבחינו ברכב נוסע במהירות וסימנו לו לעצור. הנהג המשיך בנסיעה קצרה ועצר את הרכב והמערער האחר יצא מהרכב, רץ אל חצר בית סמוך והשליך שם את האקדחים והמחסניות. בית המשפט הטיל על כל אחד מהם</w:t>
      </w:r>
      <w:r w:rsidRPr="007159C5">
        <w:rPr>
          <w:rFonts w:hint="cs"/>
          <w:b/>
          <w:bCs/>
          <w:rtl/>
        </w:rPr>
        <w:t xml:space="preserve"> 18 חודשי מאסר בפועל</w:t>
      </w:r>
      <w:r w:rsidRPr="007159C5">
        <w:rPr>
          <w:rFonts w:hint="cs"/>
          <w:rtl/>
        </w:rPr>
        <w:t xml:space="preserve">. </w:t>
      </w:r>
    </w:p>
    <w:p w14:paraId="2C90DE28" w14:textId="77777777" w:rsidR="00FC4FAC" w:rsidRPr="007159C5" w:rsidRDefault="00FC4FAC" w:rsidP="00FC4FAC">
      <w:pPr>
        <w:spacing w:line="360" w:lineRule="auto"/>
        <w:ind w:left="720"/>
        <w:jc w:val="both"/>
        <w:rPr>
          <w:rtl/>
        </w:rPr>
      </w:pPr>
    </w:p>
    <w:p w14:paraId="4CA776E1" w14:textId="77777777" w:rsidR="00FC4FAC" w:rsidRPr="007159C5" w:rsidRDefault="00FC4FAC" w:rsidP="00FC4FAC">
      <w:pPr>
        <w:spacing w:line="360" w:lineRule="auto"/>
        <w:ind w:left="720"/>
        <w:jc w:val="both"/>
        <w:rPr>
          <w:rtl/>
        </w:rPr>
      </w:pPr>
      <w:r w:rsidRPr="007159C5">
        <w:rPr>
          <w:rFonts w:hint="cs"/>
          <w:rtl/>
        </w:rPr>
        <w:t>בית המשפט העליון דחה את הערעור על חומרת העונש וקבע-</w:t>
      </w:r>
    </w:p>
    <w:p w14:paraId="4F88611E" w14:textId="77777777" w:rsidR="00FC4FAC" w:rsidRPr="007159C5" w:rsidRDefault="00FC4FAC" w:rsidP="00FC4FAC">
      <w:pPr>
        <w:spacing w:line="360" w:lineRule="auto"/>
        <w:ind w:left="1440"/>
        <w:jc w:val="both"/>
        <w:rPr>
          <w:rtl/>
        </w:rPr>
      </w:pPr>
      <w:r w:rsidRPr="007159C5">
        <w:rPr>
          <w:rFonts w:hint="cs"/>
          <w:rtl/>
        </w:rPr>
        <w:t>"... אכן, קיימת משרעת ענישה בעבירות נשק, אך העונש שהושת על המערערים אינו חורג כלל מרף הענישה הנוהג...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E028B66" w14:textId="77777777" w:rsidR="00FC4FAC" w:rsidRPr="007159C5" w:rsidRDefault="00FC4FAC" w:rsidP="00FC4FAC">
      <w:pPr>
        <w:spacing w:line="360" w:lineRule="auto"/>
        <w:ind w:left="720" w:hanging="720"/>
        <w:jc w:val="both"/>
        <w:rPr>
          <w:rtl/>
        </w:rPr>
      </w:pPr>
    </w:p>
    <w:p w14:paraId="02AA972F" w14:textId="77777777" w:rsidR="00FC4FAC" w:rsidRPr="007159C5" w:rsidRDefault="00FC4FAC" w:rsidP="00FC4FAC">
      <w:pPr>
        <w:spacing w:line="360" w:lineRule="auto"/>
        <w:ind w:left="720"/>
        <w:jc w:val="both"/>
        <w:rPr>
          <w:rtl/>
        </w:rPr>
      </w:pPr>
      <w:r w:rsidRPr="007159C5">
        <w:rPr>
          <w:rFonts w:hint="cs"/>
          <w:rtl/>
        </w:rPr>
        <w:t>ב</w:t>
      </w:r>
      <w:hyperlink r:id="rId24" w:history="1">
        <w:r w:rsidR="002D5761" w:rsidRPr="002D5761">
          <w:rPr>
            <w:color w:val="0000FF"/>
            <w:u w:val="single"/>
            <w:rtl/>
          </w:rPr>
          <w:t>ע"פ 7177-20</w:t>
        </w:r>
      </w:hyperlink>
      <w:r w:rsidRPr="007159C5">
        <w:rPr>
          <w:rFonts w:hint="cs"/>
          <w:rtl/>
        </w:rPr>
        <w:t xml:space="preserve"> </w:t>
      </w:r>
      <w:r w:rsidRPr="007159C5">
        <w:rPr>
          <w:rFonts w:hint="cs"/>
          <w:b/>
          <w:bCs/>
          <w:rtl/>
        </w:rPr>
        <w:t>ג'יהאד כנעאן</w:t>
      </w:r>
      <w:r w:rsidRPr="007159C5">
        <w:rPr>
          <w:rFonts w:hint="cs"/>
          <w:rtl/>
        </w:rPr>
        <w:t xml:space="preserve"> נ' </w:t>
      </w:r>
      <w:r w:rsidRPr="007159C5">
        <w:rPr>
          <w:rFonts w:hint="cs"/>
          <w:b/>
          <w:bCs/>
          <w:rtl/>
        </w:rPr>
        <w:t>מדינת ישראל</w:t>
      </w:r>
      <w:r w:rsidRPr="007159C5">
        <w:rPr>
          <w:rFonts w:hint="cs"/>
          <w:rtl/>
        </w:rPr>
        <w:t xml:space="preserve"> (27/01/21) המערער הורשע על פי הודאתו בעבירה של נשיאת נשק. נטען כי המערער יצא מפתח ביתו של שכנו, הוציא אקדח, הכניס </w:t>
      </w:r>
      <w:r w:rsidRPr="007159C5">
        <w:rPr>
          <w:rFonts w:hint="cs"/>
          <w:rtl/>
        </w:rPr>
        <w:lastRenderedPageBreak/>
        <w:t>לתוכו מחסנית טעונה, דרך את האקדח, וכעבור מספר דקות פרק את האקדח והעביר אותו לאחר. ובית המשפט הטיל עליו</w:t>
      </w:r>
      <w:r w:rsidRPr="007159C5">
        <w:rPr>
          <w:rFonts w:hint="cs"/>
          <w:b/>
          <w:bCs/>
          <w:rtl/>
        </w:rPr>
        <w:t xml:space="preserve"> 24 חודשי מאסר בפועל</w:t>
      </w:r>
      <w:r w:rsidRPr="007159C5">
        <w:rPr>
          <w:rFonts w:hint="cs"/>
          <w:rtl/>
        </w:rPr>
        <w:t xml:space="preserve">. הערעור על חומרת העונש נדחה. </w:t>
      </w:r>
    </w:p>
    <w:p w14:paraId="6576925B" w14:textId="77777777" w:rsidR="00FC4FAC" w:rsidRPr="007159C5" w:rsidRDefault="00FC4FAC" w:rsidP="00FC4FAC">
      <w:pPr>
        <w:spacing w:line="360" w:lineRule="auto"/>
        <w:ind w:left="720"/>
        <w:jc w:val="both"/>
        <w:rPr>
          <w:lang w:eastAsia="he-IL"/>
        </w:rPr>
      </w:pPr>
    </w:p>
    <w:p w14:paraId="10D99451" w14:textId="77777777" w:rsidR="00FC4FAC" w:rsidRPr="007159C5" w:rsidRDefault="00FC4FAC" w:rsidP="00FC4FAC">
      <w:pPr>
        <w:spacing w:line="360" w:lineRule="auto"/>
        <w:ind w:left="720"/>
        <w:jc w:val="both"/>
        <w:rPr>
          <w:rtl/>
          <w:lang w:eastAsia="he-IL"/>
        </w:rPr>
      </w:pPr>
      <w:r w:rsidRPr="007159C5">
        <w:rPr>
          <w:rFonts w:hint="cs"/>
          <w:rtl/>
          <w:lang w:eastAsia="he-IL"/>
        </w:rPr>
        <w:t>ב</w:t>
      </w:r>
      <w:hyperlink r:id="rId25" w:history="1">
        <w:r w:rsidR="002D5761" w:rsidRPr="002D5761">
          <w:rPr>
            <w:color w:val="0000FF"/>
            <w:u w:val="single"/>
            <w:rtl/>
            <w:lang w:eastAsia="he-IL"/>
          </w:rPr>
          <w:t>ע"פ 4345/18</w:t>
        </w:r>
      </w:hyperlink>
      <w:r w:rsidRPr="007159C5">
        <w:rPr>
          <w:rtl/>
          <w:lang w:eastAsia="he-IL"/>
        </w:rPr>
        <w:t xml:space="preserve"> </w:t>
      </w:r>
      <w:r w:rsidRPr="007159C5">
        <w:rPr>
          <w:rFonts w:hint="cs"/>
          <w:b/>
          <w:bCs/>
          <w:rtl/>
          <w:lang w:eastAsia="he-IL"/>
        </w:rPr>
        <w:t xml:space="preserve">חמודא אבו עמאר </w:t>
      </w:r>
      <w:r w:rsidRPr="007159C5">
        <w:rPr>
          <w:rFonts w:hint="cs"/>
          <w:rtl/>
          <w:lang w:eastAsia="he-IL"/>
        </w:rPr>
        <w:t>נ'</w:t>
      </w:r>
      <w:r w:rsidRPr="007159C5">
        <w:rPr>
          <w:rFonts w:hint="cs"/>
          <w:b/>
          <w:bCs/>
          <w:rtl/>
          <w:lang w:eastAsia="he-IL"/>
        </w:rPr>
        <w:t xml:space="preserve"> מדינת ישראל</w:t>
      </w:r>
      <w:r w:rsidRPr="007159C5">
        <w:rPr>
          <w:rFonts w:hint="cs"/>
          <w:rtl/>
          <w:lang w:eastAsia="he-IL"/>
        </w:rPr>
        <w:t xml:space="preserve"> ( 29.11.18)- המערער מצא נשק מאולתר טעון במחסנית, נשא את הנשק הטעון ברכבו, נסע בחוסר זהירות ונעצר. המערער נעדר עבר פלילי והוא שולב בטיפול, ושירות המבחן המליץ על צו מבחן ומאסר בעבודות שירות. </w:t>
      </w:r>
    </w:p>
    <w:p w14:paraId="061B9716" w14:textId="77777777" w:rsidR="00FC4FAC" w:rsidRPr="007159C5" w:rsidRDefault="00FC4FAC" w:rsidP="00FC4FAC">
      <w:pPr>
        <w:spacing w:line="360" w:lineRule="auto"/>
        <w:ind w:left="720"/>
        <w:jc w:val="both"/>
        <w:rPr>
          <w:lang w:eastAsia="he-IL"/>
        </w:rPr>
      </w:pPr>
      <w:r w:rsidRPr="007159C5">
        <w:rPr>
          <w:rFonts w:hint="cs"/>
          <w:rtl/>
          <w:lang w:eastAsia="he-IL"/>
        </w:rPr>
        <w:t xml:space="preserve">בית המשפט המחוזי קבע </w:t>
      </w:r>
      <w:r w:rsidRPr="007159C5">
        <w:rPr>
          <w:rFonts w:hint="cs"/>
          <w:b/>
          <w:bCs/>
          <w:rtl/>
          <w:lang w:eastAsia="he-IL"/>
        </w:rPr>
        <w:t>מתחם עונש הולם הנע בין 20 ל- 48</w:t>
      </w:r>
      <w:r w:rsidRPr="007159C5">
        <w:rPr>
          <w:rFonts w:hint="cs"/>
          <w:rtl/>
          <w:lang w:eastAsia="he-IL"/>
        </w:rPr>
        <w:t xml:space="preserve"> חודשי מאסר וגזר עליו 20 חודשי מאסר בפועל. </w:t>
      </w:r>
      <w:r w:rsidRPr="007159C5">
        <w:rPr>
          <w:rFonts w:hint="cs"/>
          <w:b/>
          <w:bCs/>
          <w:rtl/>
          <w:lang w:eastAsia="he-IL"/>
        </w:rPr>
        <w:t>בית המשפט העליון קבע כי אין מקום להתערב במתחם שנקבע.</w:t>
      </w:r>
      <w:r w:rsidRPr="007159C5">
        <w:rPr>
          <w:rFonts w:hint="cs"/>
          <w:rtl/>
          <w:lang w:eastAsia="he-IL"/>
        </w:rPr>
        <w:t xml:space="preserve"> ובשל שיקולי שיקום סטה לקולא מהמתחם שנקבע והטיל על המערער</w:t>
      </w:r>
      <w:r w:rsidRPr="007159C5">
        <w:rPr>
          <w:rFonts w:hint="cs"/>
          <w:b/>
          <w:bCs/>
          <w:rtl/>
          <w:lang w:eastAsia="he-IL"/>
        </w:rPr>
        <w:t xml:space="preserve"> 17 חודשי מאסר בפועל</w:t>
      </w:r>
      <w:r w:rsidRPr="007159C5">
        <w:rPr>
          <w:rFonts w:hint="cs"/>
          <w:rtl/>
          <w:lang w:eastAsia="he-IL"/>
        </w:rPr>
        <w:t>.</w:t>
      </w:r>
    </w:p>
    <w:p w14:paraId="6B7FC82F" w14:textId="77777777" w:rsidR="00FC4FAC" w:rsidRPr="007159C5" w:rsidRDefault="00FC4FAC" w:rsidP="00FC4FAC">
      <w:pPr>
        <w:spacing w:line="360" w:lineRule="auto"/>
        <w:ind w:left="720"/>
        <w:jc w:val="both"/>
        <w:rPr>
          <w:rtl/>
          <w:lang w:eastAsia="he-IL"/>
        </w:rPr>
      </w:pPr>
    </w:p>
    <w:p w14:paraId="202F9ED3" w14:textId="77777777" w:rsidR="00FC4FAC" w:rsidRPr="007159C5" w:rsidRDefault="00FC4FAC" w:rsidP="00FC4FAC">
      <w:pPr>
        <w:spacing w:line="360" w:lineRule="auto"/>
        <w:ind w:left="720"/>
        <w:jc w:val="both"/>
        <w:rPr>
          <w:rtl/>
          <w:lang w:eastAsia="he-IL"/>
        </w:rPr>
      </w:pPr>
      <w:r w:rsidRPr="007159C5">
        <w:rPr>
          <w:rFonts w:hint="cs"/>
          <w:rtl/>
          <w:lang w:eastAsia="he-IL"/>
        </w:rPr>
        <w:t>ב</w:t>
      </w:r>
      <w:hyperlink r:id="rId26" w:history="1">
        <w:r w:rsidR="002D5761" w:rsidRPr="002D5761">
          <w:rPr>
            <w:color w:val="0000FF"/>
            <w:u w:val="single"/>
            <w:rtl/>
            <w:lang w:eastAsia="he-IL"/>
          </w:rPr>
          <w:t>ע"פ 2892/13</w:t>
        </w:r>
      </w:hyperlink>
      <w:r w:rsidRPr="007159C5">
        <w:rPr>
          <w:rFonts w:hint="cs"/>
          <w:rtl/>
          <w:lang w:eastAsia="he-IL"/>
        </w:rPr>
        <w:t xml:space="preserve"> </w:t>
      </w:r>
      <w:r w:rsidRPr="007159C5">
        <w:rPr>
          <w:rFonts w:hint="cs"/>
          <w:b/>
          <w:bCs/>
          <w:rtl/>
          <w:lang w:eastAsia="he-IL"/>
        </w:rPr>
        <w:t>מוחמד עודתאללה</w:t>
      </w:r>
      <w:r w:rsidRPr="007159C5">
        <w:rPr>
          <w:rFonts w:hint="cs"/>
          <w:rtl/>
          <w:lang w:eastAsia="he-IL"/>
        </w:rPr>
        <w:t xml:space="preserve"> נ' </w:t>
      </w:r>
      <w:r w:rsidRPr="007159C5">
        <w:rPr>
          <w:rFonts w:hint="cs"/>
          <w:b/>
          <w:bCs/>
          <w:rtl/>
          <w:lang w:eastAsia="he-IL"/>
        </w:rPr>
        <w:t>מדינת ישראל</w:t>
      </w:r>
      <w:r w:rsidRPr="007159C5">
        <w:rPr>
          <w:rFonts w:hint="cs"/>
          <w:rtl/>
          <w:lang w:eastAsia="he-IL"/>
        </w:rPr>
        <w:t xml:space="preserve"> (נבו, 29.09.13)- המערער נתפס נוהג ברכב בו היו אקדח ובו מחסנית ריקה מכדורים. אין למערער עבר פלילי. בית המשפט המחוזי קבע מתחם ענישה שבין שנה לשלוש שנים, וגזר עליו</w:t>
      </w:r>
      <w:r w:rsidRPr="007159C5">
        <w:rPr>
          <w:rFonts w:hint="cs"/>
          <w:b/>
          <w:bCs/>
          <w:rtl/>
          <w:lang w:eastAsia="he-IL"/>
        </w:rPr>
        <w:t xml:space="preserve"> 21 חודשי מאסר</w:t>
      </w:r>
      <w:r w:rsidRPr="007159C5">
        <w:rPr>
          <w:rFonts w:hint="cs"/>
          <w:rtl/>
          <w:lang w:eastAsia="he-IL"/>
        </w:rPr>
        <w:t xml:space="preserve"> </w:t>
      </w:r>
      <w:r w:rsidRPr="007159C5">
        <w:rPr>
          <w:rFonts w:hint="cs"/>
          <w:b/>
          <w:bCs/>
          <w:rtl/>
          <w:lang w:eastAsia="he-IL"/>
        </w:rPr>
        <w:t>בפועל</w:t>
      </w:r>
      <w:r w:rsidRPr="007159C5">
        <w:rPr>
          <w:rFonts w:hint="cs"/>
          <w:rtl/>
          <w:lang w:eastAsia="he-IL"/>
        </w:rPr>
        <w:t xml:space="preserve">. הערעור על העונש נדחה. </w:t>
      </w:r>
    </w:p>
    <w:p w14:paraId="5DECBFEB" w14:textId="77777777" w:rsidR="00FC4FAC" w:rsidRPr="007159C5" w:rsidRDefault="00FC4FAC" w:rsidP="00FC4FAC">
      <w:pPr>
        <w:spacing w:line="360" w:lineRule="auto"/>
        <w:ind w:left="720"/>
        <w:jc w:val="both"/>
        <w:rPr>
          <w:rtl/>
          <w:lang w:eastAsia="he-IL"/>
        </w:rPr>
      </w:pPr>
    </w:p>
    <w:p w14:paraId="5E8B8E35" w14:textId="77777777" w:rsidR="00FC4FAC" w:rsidRPr="007159C5" w:rsidRDefault="00FC4FAC" w:rsidP="00FC4FAC">
      <w:pPr>
        <w:spacing w:line="360" w:lineRule="auto"/>
        <w:ind w:left="720"/>
        <w:jc w:val="both"/>
        <w:rPr>
          <w:rtl/>
          <w:lang w:eastAsia="he-IL"/>
        </w:rPr>
      </w:pPr>
      <w:r w:rsidRPr="007159C5">
        <w:rPr>
          <w:rFonts w:hint="cs"/>
          <w:rtl/>
          <w:lang w:eastAsia="he-IL"/>
        </w:rPr>
        <w:t>ב</w:t>
      </w:r>
      <w:hyperlink r:id="rId27" w:history="1">
        <w:r w:rsidR="002D5761" w:rsidRPr="002D5761">
          <w:rPr>
            <w:color w:val="0000FF"/>
            <w:u w:val="single"/>
            <w:rtl/>
            <w:lang w:eastAsia="he-IL"/>
          </w:rPr>
          <w:t>ע"פ 3156/11</w:t>
        </w:r>
      </w:hyperlink>
      <w:r w:rsidRPr="007159C5">
        <w:rPr>
          <w:rFonts w:hint="cs"/>
          <w:rtl/>
          <w:lang w:eastAsia="he-IL"/>
        </w:rPr>
        <w:t xml:space="preserve"> </w:t>
      </w:r>
      <w:r w:rsidRPr="007159C5">
        <w:rPr>
          <w:rFonts w:hint="cs"/>
          <w:b/>
          <w:bCs/>
          <w:rtl/>
          <w:lang w:eastAsia="he-IL"/>
        </w:rPr>
        <w:t>ג'מיל זראיעה</w:t>
      </w:r>
      <w:r w:rsidRPr="007159C5">
        <w:rPr>
          <w:rFonts w:hint="cs"/>
          <w:rtl/>
          <w:lang w:eastAsia="he-IL"/>
        </w:rPr>
        <w:t xml:space="preserve"> נ' </w:t>
      </w:r>
      <w:r w:rsidRPr="007159C5">
        <w:rPr>
          <w:rFonts w:hint="cs"/>
          <w:b/>
          <w:bCs/>
          <w:rtl/>
          <w:lang w:eastAsia="he-IL"/>
        </w:rPr>
        <w:t>מדינת ישראל</w:t>
      </w:r>
      <w:r w:rsidRPr="007159C5">
        <w:rPr>
          <w:rFonts w:hint="cs"/>
          <w:rtl/>
          <w:lang w:eastAsia="he-IL"/>
        </w:rPr>
        <w:t xml:space="preserve"> (נבו, 21.02.12)- המערער החזיק ברכב בו נסע, אקדח, מחסנית טעונה בכדורי אקדח 9 מ"מ וקופסאות עם כדורי אקדח. הוא הודה והביע חרטה. אין לו עבר פלילי. בית המשפט המחוזי גזר עליו</w:t>
      </w:r>
      <w:r w:rsidRPr="007159C5">
        <w:rPr>
          <w:rFonts w:hint="cs"/>
          <w:b/>
          <w:bCs/>
          <w:rtl/>
          <w:lang w:eastAsia="he-IL"/>
        </w:rPr>
        <w:t xml:space="preserve"> 24 חודשי מאסר בפועל</w:t>
      </w:r>
      <w:r w:rsidRPr="007159C5">
        <w:rPr>
          <w:rFonts w:hint="cs"/>
          <w:rtl/>
          <w:lang w:eastAsia="he-IL"/>
        </w:rPr>
        <w:t xml:space="preserve">. הערעור על חומרת העונש נדחה. </w:t>
      </w:r>
    </w:p>
    <w:p w14:paraId="2ADB806A" w14:textId="77777777" w:rsidR="00FC4FAC" w:rsidRPr="007159C5" w:rsidRDefault="00FC4FAC" w:rsidP="00FC4FAC">
      <w:pPr>
        <w:spacing w:line="360" w:lineRule="auto"/>
        <w:ind w:left="720"/>
        <w:jc w:val="both"/>
        <w:rPr>
          <w:rtl/>
          <w:lang w:eastAsia="he-IL"/>
        </w:rPr>
      </w:pPr>
    </w:p>
    <w:p w14:paraId="41DA3155" w14:textId="77777777" w:rsidR="00FC4FAC" w:rsidRPr="007159C5" w:rsidRDefault="00FC4FAC" w:rsidP="00FC4FAC">
      <w:pPr>
        <w:spacing w:line="360" w:lineRule="auto"/>
        <w:ind w:left="720" w:hanging="720"/>
        <w:jc w:val="both"/>
        <w:rPr>
          <w:rtl/>
          <w:lang w:eastAsia="he-IL"/>
        </w:rPr>
      </w:pPr>
      <w:r w:rsidRPr="007159C5">
        <w:rPr>
          <w:rFonts w:hint="cs"/>
          <w:rtl/>
          <w:lang w:eastAsia="he-IL"/>
        </w:rPr>
        <w:t>13.</w:t>
      </w:r>
      <w:r w:rsidRPr="007159C5">
        <w:rPr>
          <w:rFonts w:hint="cs"/>
          <w:rtl/>
          <w:lang w:eastAsia="he-IL"/>
        </w:rPr>
        <w:tab/>
        <w:t xml:space="preserve">נסיבות הקשורות בביצוע העבירות – </w:t>
      </w:r>
    </w:p>
    <w:p w14:paraId="6AA36703" w14:textId="77777777" w:rsidR="00FC4FAC" w:rsidRPr="007159C5" w:rsidRDefault="00FC4FAC" w:rsidP="00FC4FAC">
      <w:pPr>
        <w:spacing w:line="360" w:lineRule="auto"/>
        <w:ind w:left="720"/>
        <w:jc w:val="both"/>
        <w:rPr>
          <w:rtl/>
          <w:lang w:eastAsia="he-IL"/>
        </w:rPr>
      </w:pPr>
      <w:r w:rsidRPr="007159C5">
        <w:rPr>
          <w:rFonts w:hint="cs"/>
          <w:rtl/>
          <w:lang w:eastAsia="he-IL"/>
        </w:rPr>
        <w:t xml:space="preserve">הובלת נשק ותחמושת שלא כדין בנסיבות כבענייננו, מחייבת מטבעה פעולות מקדימות ויש לראות בה כעבירה מתוכננת. בריחת הנאשם מהשוטרים באה בעקבות התפתחות בלתי צפויה מצדו, והיא לא היתה מתוכננת.   </w:t>
      </w:r>
    </w:p>
    <w:p w14:paraId="19B3D5D4" w14:textId="77777777" w:rsidR="00FC4FAC" w:rsidRPr="007159C5" w:rsidRDefault="00FC4FAC" w:rsidP="00FC4FAC">
      <w:pPr>
        <w:spacing w:line="360" w:lineRule="auto"/>
        <w:ind w:left="720"/>
        <w:jc w:val="both"/>
        <w:rPr>
          <w:rtl/>
          <w:lang w:eastAsia="he-IL"/>
        </w:rPr>
      </w:pPr>
    </w:p>
    <w:p w14:paraId="231EE389" w14:textId="77777777" w:rsidR="00FC4FAC" w:rsidRPr="007159C5" w:rsidRDefault="00FC4FAC" w:rsidP="00FC4FAC">
      <w:pPr>
        <w:spacing w:line="360" w:lineRule="auto"/>
        <w:ind w:left="720"/>
        <w:jc w:val="both"/>
        <w:rPr>
          <w:rtl/>
          <w:lang w:eastAsia="he-IL"/>
        </w:rPr>
      </w:pPr>
      <w:r w:rsidRPr="007159C5">
        <w:rPr>
          <w:rFonts w:hint="cs"/>
          <w:rtl/>
          <w:lang w:eastAsia="he-IL"/>
        </w:rPr>
        <w:t>האקדח, המחסנית והתחמושת שהנאשם הוביל, נתפסו על ידי המשטרה. כך שהנזק שיכל להיגרם משימוש בנשק או מהעברתו לגורמים אחרים, לא התממש. אולם, פוטנציאל הנזק הטמון בהחזקת נשק והובלתו שלא כדין רב וחמור מאוד.</w:t>
      </w:r>
    </w:p>
    <w:p w14:paraId="730BB71D" w14:textId="77777777" w:rsidR="00FC4FAC" w:rsidRPr="007159C5" w:rsidRDefault="00FC4FAC" w:rsidP="00FC4FAC">
      <w:pPr>
        <w:spacing w:line="360" w:lineRule="auto"/>
        <w:ind w:left="720"/>
        <w:jc w:val="both"/>
        <w:rPr>
          <w:rtl/>
          <w:lang w:eastAsia="he-IL"/>
        </w:rPr>
      </w:pPr>
    </w:p>
    <w:p w14:paraId="237CC428" w14:textId="77777777" w:rsidR="00FC4FAC" w:rsidRPr="007159C5" w:rsidRDefault="00FC4FAC" w:rsidP="00FC4FAC">
      <w:pPr>
        <w:spacing w:line="360" w:lineRule="auto"/>
        <w:ind w:left="720"/>
        <w:jc w:val="both"/>
        <w:rPr>
          <w:rtl/>
          <w:lang w:eastAsia="he-IL"/>
        </w:rPr>
      </w:pPr>
      <w:r w:rsidRPr="007159C5">
        <w:rPr>
          <w:rFonts w:hint="cs"/>
          <w:rtl/>
          <w:lang w:eastAsia="he-IL"/>
        </w:rPr>
        <w:t xml:space="preserve">הנאשם נשא והוביל את הנשק בעצמו ולבדו. כך שחלקו בביצוע העבירה הוא מלא. הנאשם אמנם טען בפני שירות המבחן כי אדם אחר מסר לו שקית להעביר לאחר והוא הסכים לכך מבלי שידע מה תוכן השקית, ורק לאחר מכן הבחין שמדובר בנשק. אולם אין מקום לתת משקל לגרסה זו. סעיף </w:t>
      </w:r>
      <w:hyperlink r:id="rId28" w:history="1">
        <w:r w:rsidR="004A0EC5" w:rsidRPr="004A0EC5">
          <w:rPr>
            <w:rStyle w:val="Hyperlink"/>
            <w:rtl/>
            <w:lang w:eastAsia="he-IL"/>
          </w:rPr>
          <w:t>40 י'(ב)(1)</w:t>
        </w:r>
      </w:hyperlink>
      <w:r w:rsidRPr="007159C5">
        <w:rPr>
          <w:rFonts w:hint="cs"/>
          <w:rtl/>
          <w:lang w:eastAsia="he-IL"/>
        </w:rPr>
        <w:t xml:space="preserve"> ב</w:t>
      </w:r>
      <w:hyperlink r:id="rId29" w:history="1">
        <w:r w:rsidR="002D5761" w:rsidRPr="002D5761">
          <w:rPr>
            <w:color w:val="0000FF"/>
            <w:u w:val="single"/>
            <w:rtl/>
            <w:lang w:eastAsia="he-IL"/>
          </w:rPr>
          <w:t>חוק העונשין</w:t>
        </w:r>
      </w:hyperlink>
      <w:r w:rsidRPr="007159C5">
        <w:rPr>
          <w:rFonts w:hint="cs"/>
          <w:rtl/>
          <w:lang w:eastAsia="he-IL"/>
        </w:rPr>
        <w:t xml:space="preserve"> קובע, שבשלב הטיעונים לעונש נאשם רשאי להביא ראיות מטעמו "ובלבד שאינן סותרות את הנטען על ידו בשלב בירור האשמה..". והנאשם לא הציג בבית המשפט כל ראיה מטעמו באשר לנסיבות הקשורות </w:t>
      </w:r>
      <w:r w:rsidRPr="007159C5">
        <w:rPr>
          <w:rFonts w:hint="cs"/>
          <w:rtl/>
          <w:lang w:eastAsia="he-IL"/>
        </w:rPr>
        <w:lastRenderedPageBreak/>
        <w:t xml:space="preserve">בביצוע העבירה. </w:t>
      </w:r>
      <w:r w:rsidRPr="007159C5">
        <w:rPr>
          <w:rFonts w:hint="cs"/>
          <w:rtl/>
          <w:lang w:eastAsia="he-IL"/>
        </w:rPr>
        <w:br/>
      </w:r>
    </w:p>
    <w:p w14:paraId="047DE650" w14:textId="77777777" w:rsidR="00FC4FAC" w:rsidRPr="007159C5" w:rsidRDefault="00FC4FAC" w:rsidP="00FC4FAC">
      <w:pPr>
        <w:spacing w:line="360" w:lineRule="auto"/>
        <w:ind w:left="720"/>
        <w:jc w:val="both"/>
        <w:rPr>
          <w:rtl/>
          <w:lang w:eastAsia="he-IL"/>
        </w:rPr>
      </w:pPr>
      <w:r w:rsidRPr="007159C5">
        <w:rPr>
          <w:rFonts w:hint="cs"/>
          <w:rtl/>
          <w:lang w:eastAsia="he-IL"/>
        </w:rPr>
        <w:t>המניע המדויק לביצוע עבירת הנשק לא התברר, אם כי מובן שהוא איננו תמים. והמניע לעבירת ההפרעה לשוטר במילוי תפקידו היה להימלט מהשוטרים, כדי למנוע את תפיסת הנשק ואת הפללת הנאשם בביצוע עבירת הנשק.</w:t>
      </w:r>
    </w:p>
    <w:p w14:paraId="6CF92BE1" w14:textId="77777777" w:rsidR="00FC4FAC" w:rsidRPr="007159C5" w:rsidRDefault="00FC4FAC" w:rsidP="00FC4FAC">
      <w:pPr>
        <w:spacing w:line="360" w:lineRule="auto"/>
        <w:ind w:left="720"/>
        <w:jc w:val="both"/>
        <w:rPr>
          <w:rtl/>
          <w:lang w:eastAsia="he-IL"/>
        </w:rPr>
      </w:pPr>
    </w:p>
    <w:p w14:paraId="2E154602" w14:textId="77777777" w:rsidR="00FC4FAC" w:rsidRPr="007159C5" w:rsidRDefault="00FC4FAC" w:rsidP="00FC4FAC">
      <w:pPr>
        <w:spacing w:line="360" w:lineRule="auto"/>
        <w:ind w:left="720" w:hanging="720"/>
        <w:jc w:val="both"/>
        <w:rPr>
          <w:rtl/>
        </w:rPr>
      </w:pPr>
      <w:r w:rsidRPr="007159C5">
        <w:rPr>
          <w:rFonts w:hint="cs"/>
          <w:rtl/>
          <w:lang w:eastAsia="he-IL"/>
        </w:rPr>
        <w:t>14.</w:t>
      </w:r>
      <w:r w:rsidRPr="007159C5">
        <w:rPr>
          <w:rFonts w:hint="cs"/>
          <w:rtl/>
          <w:lang w:eastAsia="he-IL"/>
        </w:rPr>
        <w:tab/>
        <w:t xml:space="preserve">בהתחשב בחומרת מעשי העבירות בנסיבותיהם, במידת אשמו של הנאשם, בערכים החברתיים שנפגעו ובמידת הפגיעה בהם, במדיניות הענישה הנוהגת ובנסיבות הקשורות בביצוע העבירות, אני קובע שמתחם העונש ההולם למעשי הנאשם נע בין 18 ל- 36 חודשי מאסר בפועל. </w:t>
      </w:r>
    </w:p>
    <w:p w14:paraId="012B8A88" w14:textId="77777777" w:rsidR="00FC4FAC" w:rsidRPr="007159C5" w:rsidRDefault="00FC4FAC" w:rsidP="00FC4FAC">
      <w:pPr>
        <w:spacing w:line="360" w:lineRule="auto"/>
        <w:ind w:left="1440"/>
        <w:jc w:val="both"/>
        <w:rPr>
          <w:rtl/>
          <w:lang w:eastAsia="he-IL"/>
        </w:rPr>
      </w:pPr>
    </w:p>
    <w:p w14:paraId="7E6E21AC" w14:textId="77777777" w:rsidR="00FC4FAC" w:rsidRPr="007159C5" w:rsidRDefault="00FC4FAC" w:rsidP="00FC4FAC">
      <w:pPr>
        <w:spacing w:line="360" w:lineRule="auto"/>
        <w:ind w:left="720" w:hanging="720"/>
        <w:jc w:val="both"/>
        <w:rPr>
          <w:rtl/>
          <w:lang w:eastAsia="he-IL"/>
        </w:rPr>
      </w:pPr>
      <w:r w:rsidRPr="007159C5">
        <w:rPr>
          <w:rFonts w:hint="cs"/>
          <w:rtl/>
        </w:rPr>
        <w:t>15.</w:t>
      </w:r>
      <w:r w:rsidRPr="007159C5">
        <w:rPr>
          <w:rFonts w:hint="cs"/>
          <w:rtl/>
        </w:rPr>
        <w:tab/>
      </w:r>
      <w:r w:rsidRPr="007159C5">
        <w:rPr>
          <w:rFonts w:hint="cs"/>
          <w:rtl/>
          <w:lang w:eastAsia="he-IL"/>
        </w:rPr>
        <w:t xml:space="preserve">ב"כ הנאשם הפנה למספר פסקי דין וביקש ללמוד מהם לענייננו. עיינתי בכולם ולא מצאתי שיש בהם כדי להצדיק הקלה בדינו של הנאשם. </w:t>
      </w:r>
    </w:p>
    <w:p w14:paraId="620ED25F" w14:textId="77777777" w:rsidR="00FC4FAC" w:rsidRPr="007159C5" w:rsidRDefault="00FC4FAC" w:rsidP="00FC4FAC">
      <w:pPr>
        <w:spacing w:line="360" w:lineRule="auto"/>
        <w:ind w:left="720"/>
        <w:jc w:val="both"/>
        <w:rPr>
          <w:rtl/>
          <w:lang w:eastAsia="he-IL"/>
        </w:rPr>
      </w:pPr>
      <w:r w:rsidRPr="007159C5">
        <w:rPr>
          <w:rFonts w:hint="cs"/>
          <w:rtl/>
          <w:lang w:eastAsia="he-IL"/>
        </w:rPr>
        <w:t xml:space="preserve">בהקשר זה אחזור ואציין את מדיניות החומרה המובהקת בענישת עבירות נשק. את עונשי המאסר המשמעותיים המוטלים הלכה למעשה על נאשמים המורשעים בעבירות אלה. ואת העובדה שבכל אחד מפסקי הדין שהוצגו, הוטלו עונשי מאסר ממשיים תוך ציון חומרתן הרבה של עבירות הנשק והצורך בענישה מחמירה. כך שגם אם פה ושם ניתן למצוא מקרים בהם הוטלו עונשים קלים יחסית על עבירות נשק, המדובר בחריגים ולא בכלל. ואין בהם כדי לתמוך ברף התחתון של מתחם הענישה לו טוען הסנגור. </w:t>
      </w:r>
    </w:p>
    <w:p w14:paraId="6DA97ADF" w14:textId="77777777" w:rsidR="00FC4FAC" w:rsidRPr="007159C5" w:rsidRDefault="00FC4FAC" w:rsidP="00FC4FAC">
      <w:pPr>
        <w:spacing w:line="360" w:lineRule="auto"/>
        <w:ind w:left="720"/>
        <w:jc w:val="both"/>
        <w:rPr>
          <w:rtl/>
          <w:lang w:eastAsia="he-IL"/>
        </w:rPr>
      </w:pPr>
    </w:p>
    <w:p w14:paraId="19DBC097" w14:textId="77777777" w:rsidR="00FC4FAC" w:rsidRPr="007159C5" w:rsidRDefault="00FC4FAC" w:rsidP="00FC4FAC">
      <w:pPr>
        <w:spacing w:line="360" w:lineRule="auto"/>
        <w:ind w:left="720" w:hanging="720"/>
        <w:jc w:val="both"/>
        <w:rPr>
          <w:rtl/>
          <w:lang w:eastAsia="he-IL"/>
        </w:rPr>
      </w:pPr>
      <w:r w:rsidRPr="007159C5">
        <w:rPr>
          <w:rFonts w:hint="cs"/>
          <w:rtl/>
          <w:lang w:eastAsia="he-IL"/>
        </w:rPr>
        <w:t>16.</w:t>
      </w:r>
      <w:r w:rsidRPr="007159C5">
        <w:rPr>
          <w:rFonts w:hint="cs"/>
          <w:rtl/>
          <w:lang w:eastAsia="he-IL"/>
        </w:rPr>
        <w:tab/>
        <w:t xml:space="preserve">שירות המבחן המליץ להטיל על הנאשם מאסר בעבודת שירות. אינני מוצא לנכון לאמץ את ההמלצה. המלצות שירות המבחן הן אמנם חלק ממארג נתונים המובאים בחשבון בגזירת העונש והן נשקלות בכובד ראש, אך יש לזכור שבעוד שירות המבחן מתמקד בעיקר בנאשם ובהשלכות גזר הדין עליו, על בית המשפט להביא בחשבון לעניין גזר הדין, שיקולים נוספים, רבים ורחבים מאלה של שירות המבחן. ואלה מחייבים במקרה זה ענישה הכוללת מאסר בפועל לתקופה משמעותית. </w:t>
      </w:r>
    </w:p>
    <w:p w14:paraId="1E7812D6" w14:textId="77777777" w:rsidR="00FC4FAC" w:rsidRPr="007159C5" w:rsidRDefault="00FC4FAC" w:rsidP="00FC4FAC">
      <w:pPr>
        <w:spacing w:line="360" w:lineRule="auto"/>
        <w:ind w:left="720" w:hanging="720"/>
        <w:jc w:val="both"/>
        <w:rPr>
          <w:rtl/>
          <w:lang w:eastAsia="he-IL"/>
        </w:rPr>
      </w:pPr>
    </w:p>
    <w:p w14:paraId="7F775522" w14:textId="77777777" w:rsidR="00FC4FAC" w:rsidRDefault="00FC4FAC" w:rsidP="00FC4FAC">
      <w:pPr>
        <w:spacing w:line="360" w:lineRule="auto"/>
        <w:ind w:left="720" w:hanging="720"/>
        <w:jc w:val="both"/>
        <w:rPr>
          <w:rtl/>
          <w:lang w:eastAsia="he-IL"/>
        </w:rPr>
      </w:pPr>
      <w:r w:rsidRPr="007159C5">
        <w:rPr>
          <w:rFonts w:hint="cs"/>
          <w:rtl/>
          <w:lang w:eastAsia="he-IL"/>
        </w:rPr>
        <w:t>17.</w:t>
      </w:r>
      <w:r w:rsidRPr="007159C5">
        <w:rPr>
          <w:rFonts w:hint="cs"/>
          <w:rtl/>
          <w:lang w:eastAsia="he-IL"/>
        </w:rPr>
        <w:tab/>
        <w:t>בגזירת עונשו של הנאשם אני מביא בחשבון גם את גילו הצעיר של הנאשם; את הפגיעה הצפויה לו ולמשפחתו מהמאסר; ואת הודאתו, על משמעויותיה.</w:t>
      </w:r>
    </w:p>
    <w:p w14:paraId="2009FECD" w14:textId="77777777" w:rsidR="00FC4FAC" w:rsidRPr="007159C5" w:rsidRDefault="00FC4FAC" w:rsidP="00FC4FAC">
      <w:pPr>
        <w:spacing w:line="360" w:lineRule="auto"/>
        <w:ind w:left="720" w:hanging="720"/>
        <w:jc w:val="both"/>
        <w:rPr>
          <w:rtl/>
          <w:lang w:eastAsia="he-IL"/>
        </w:rPr>
      </w:pPr>
    </w:p>
    <w:p w14:paraId="3A80C548" w14:textId="77777777" w:rsidR="00FC4FAC" w:rsidRPr="007159C5" w:rsidRDefault="00FC4FAC" w:rsidP="00FC4FAC">
      <w:pPr>
        <w:spacing w:line="360" w:lineRule="auto"/>
        <w:ind w:left="720" w:hanging="720"/>
        <w:jc w:val="both"/>
        <w:rPr>
          <w:rtl/>
          <w:lang w:eastAsia="he-IL"/>
        </w:rPr>
      </w:pPr>
    </w:p>
    <w:p w14:paraId="791D2794" w14:textId="77777777" w:rsidR="00FC4FAC" w:rsidRPr="007159C5" w:rsidRDefault="00FC4FAC" w:rsidP="00FC4FAC">
      <w:pPr>
        <w:spacing w:line="360" w:lineRule="auto"/>
        <w:ind w:left="720" w:hanging="720"/>
        <w:jc w:val="both"/>
        <w:rPr>
          <w:rtl/>
          <w:lang w:eastAsia="he-IL"/>
        </w:rPr>
      </w:pPr>
      <w:r w:rsidRPr="007159C5">
        <w:rPr>
          <w:rFonts w:hint="cs"/>
          <w:rtl/>
          <w:lang w:eastAsia="he-IL"/>
        </w:rPr>
        <w:t>18.</w:t>
      </w:r>
      <w:r w:rsidRPr="007159C5">
        <w:rPr>
          <w:rFonts w:hint="cs"/>
          <w:rtl/>
          <w:lang w:eastAsia="he-IL"/>
        </w:rPr>
        <w:tab/>
        <w:t xml:space="preserve">התופעה של החזקת נשק שלא כדין נפוצה, במיוחד באזורים מסוימים במדינה ובהם אזור הדרום. השלכותיה על הפשיעה, על שלום הציבור וביטחונו, ועל תחושת הביטחון האישי במרחב הציבורי, ניכרות ובולטות. גורמי האכיפה וההנהגה הציבורית רואים בה גורם משמעותי הדורש טיפול עומק. והציבור משווע לשינוי המצב. </w:t>
      </w:r>
    </w:p>
    <w:p w14:paraId="6E846375" w14:textId="77777777" w:rsidR="00FC4FAC" w:rsidRPr="007159C5" w:rsidRDefault="00FC4FAC" w:rsidP="00FC4FAC">
      <w:pPr>
        <w:spacing w:line="360" w:lineRule="auto"/>
        <w:ind w:left="720" w:hanging="720"/>
        <w:jc w:val="both"/>
        <w:rPr>
          <w:rtl/>
          <w:lang w:eastAsia="he-IL"/>
        </w:rPr>
      </w:pPr>
    </w:p>
    <w:p w14:paraId="67E861BC" w14:textId="77777777" w:rsidR="00FC4FAC" w:rsidRPr="007159C5" w:rsidRDefault="00FC4FAC" w:rsidP="00FC4FAC">
      <w:pPr>
        <w:spacing w:line="360" w:lineRule="auto"/>
        <w:ind w:left="720"/>
        <w:jc w:val="both"/>
        <w:rPr>
          <w:rtl/>
          <w:lang w:eastAsia="he-IL"/>
        </w:rPr>
      </w:pPr>
      <w:r w:rsidRPr="007159C5">
        <w:rPr>
          <w:rFonts w:hint="cs"/>
          <w:rtl/>
          <w:lang w:eastAsia="he-IL"/>
        </w:rPr>
        <w:t>על בית המשפט לתרום את תרומתו למאבק בתופעה, בהטלת ענישה שיהיה בה כדי להטמיע בציבור את הפסול העמוק הטבוע בהחזקת נשק שלא כדין ואת המחיר העונשי הכרוך בה.</w:t>
      </w:r>
    </w:p>
    <w:p w14:paraId="58FA483B" w14:textId="77777777" w:rsidR="00FC4FAC" w:rsidRPr="007159C5" w:rsidRDefault="00FC4FAC" w:rsidP="00FC4FAC">
      <w:pPr>
        <w:spacing w:line="360" w:lineRule="auto"/>
        <w:ind w:left="720" w:hanging="720"/>
        <w:jc w:val="both"/>
        <w:rPr>
          <w:rtl/>
          <w:lang w:eastAsia="he-IL"/>
        </w:rPr>
      </w:pPr>
    </w:p>
    <w:p w14:paraId="14B1DE98" w14:textId="77777777" w:rsidR="00FC4FAC" w:rsidRPr="007159C5" w:rsidRDefault="00FC4FAC" w:rsidP="00FC4FAC">
      <w:pPr>
        <w:spacing w:line="360" w:lineRule="auto"/>
        <w:jc w:val="both"/>
        <w:rPr>
          <w:rtl/>
          <w:lang w:eastAsia="he-IL"/>
        </w:rPr>
      </w:pPr>
      <w:r w:rsidRPr="007159C5">
        <w:rPr>
          <w:rFonts w:hint="cs"/>
          <w:rtl/>
          <w:lang w:eastAsia="he-IL"/>
        </w:rPr>
        <w:t>19.</w:t>
      </w:r>
      <w:r w:rsidRPr="007159C5">
        <w:rPr>
          <w:rFonts w:hint="cs"/>
          <w:rtl/>
          <w:lang w:eastAsia="he-IL"/>
        </w:rPr>
        <w:tab/>
        <w:t xml:space="preserve">הדברים הבאים, מתוך  </w:t>
      </w:r>
      <w:hyperlink r:id="rId30" w:history="1">
        <w:r w:rsidR="002D5761" w:rsidRPr="002D5761">
          <w:rPr>
            <w:color w:val="0000FF"/>
            <w:u w:val="single"/>
            <w:rtl/>
            <w:lang w:eastAsia="he-IL"/>
          </w:rPr>
          <w:t>ע"פ 4406-19</w:t>
        </w:r>
      </w:hyperlink>
      <w:r w:rsidRPr="007159C5">
        <w:rPr>
          <w:rFonts w:hint="cs"/>
          <w:rtl/>
          <w:lang w:eastAsia="he-IL"/>
        </w:rPr>
        <w:t xml:space="preserve"> </w:t>
      </w:r>
      <w:r w:rsidRPr="007159C5">
        <w:rPr>
          <w:rFonts w:hint="cs"/>
          <w:b/>
          <w:bCs/>
          <w:rtl/>
          <w:lang w:eastAsia="he-IL"/>
        </w:rPr>
        <w:t>מדינת ישראל</w:t>
      </w:r>
      <w:r w:rsidRPr="007159C5">
        <w:rPr>
          <w:rFonts w:hint="cs"/>
          <w:rtl/>
          <w:lang w:eastAsia="he-IL"/>
        </w:rPr>
        <w:t xml:space="preserve"> נ' </w:t>
      </w:r>
      <w:r w:rsidRPr="007159C5">
        <w:rPr>
          <w:rFonts w:hint="cs"/>
          <w:b/>
          <w:bCs/>
          <w:rtl/>
          <w:lang w:eastAsia="he-IL"/>
        </w:rPr>
        <w:t>יונס סובח</w:t>
      </w:r>
      <w:r w:rsidRPr="007159C5">
        <w:rPr>
          <w:rFonts w:hint="cs"/>
          <w:rtl/>
          <w:lang w:eastAsia="he-IL"/>
        </w:rPr>
        <w:t xml:space="preserve"> (נבו, 05.11.19),</w:t>
      </w:r>
    </w:p>
    <w:p w14:paraId="06B53AEC" w14:textId="77777777" w:rsidR="00FC4FAC" w:rsidRPr="007159C5" w:rsidRDefault="00FC4FAC" w:rsidP="00FC4FAC">
      <w:pPr>
        <w:spacing w:line="360" w:lineRule="auto"/>
        <w:ind w:left="720" w:hanging="720"/>
        <w:jc w:val="both"/>
        <w:rPr>
          <w:rtl/>
          <w:lang w:eastAsia="he-IL"/>
        </w:rPr>
      </w:pPr>
      <w:r w:rsidRPr="007159C5">
        <w:rPr>
          <w:rFonts w:hint="cs"/>
          <w:rtl/>
          <w:lang w:eastAsia="he-IL"/>
        </w:rPr>
        <w:t xml:space="preserve">             מתארים היטב את המצב ומדברים בעד עצמם. </w:t>
      </w:r>
    </w:p>
    <w:p w14:paraId="71A23112" w14:textId="77777777" w:rsidR="00FC4FAC" w:rsidRPr="007159C5" w:rsidRDefault="00FC4FAC" w:rsidP="00FC4FAC">
      <w:pPr>
        <w:spacing w:line="360" w:lineRule="auto"/>
        <w:ind w:left="1440"/>
        <w:jc w:val="both"/>
        <w:rPr>
          <w:rtl/>
          <w:lang w:eastAsia="he-IL"/>
        </w:rPr>
      </w:pPr>
      <w:r w:rsidRPr="007159C5">
        <w:rPr>
          <w:rFonts w:hint="cs"/>
          <w:rtl/>
          <w:lang w:eastAsia="he-IL"/>
        </w:rPr>
        <w:t>"התופעה של החזקת נשק שלא כדין על ידי אזרחים מהווה איום על שלום הציבור ועל הסדר הציבורי. היא התשתית ו"הגורם בלעדו איין" (</w:t>
      </w:r>
      <w:r w:rsidRPr="007159C5">
        <w:rPr>
          <w:lang w:eastAsia="he-IL"/>
        </w:rPr>
        <w:t>causa sine qua non</w:t>
      </w:r>
      <w:r w:rsidRPr="007159C5">
        <w:rPr>
          <w:rFonts w:hint="cs"/>
          <w:rtl/>
          <w:lang w:eastAsia="he-I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hyperlink r:id="rId31" w:history="1">
        <w:r w:rsidR="004A0EC5" w:rsidRPr="004A0EC5">
          <w:rPr>
            <w:rStyle w:val="Hyperlink"/>
            <w:rFonts w:hint="eastAsia"/>
            <w:rtl/>
            <w:lang w:eastAsia="he-IL"/>
          </w:rPr>
          <w:t>סעיף</w:t>
        </w:r>
        <w:r w:rsidR="004A0EC5" w:rsidRPr="004A0EC5">
          <w:rPr>
            <w:rStyle w:val="Hyperlink"/>
            <w:rtl/>
            <w:lang w:eastAsia="he-IL"/>
          </w:rPr>
          <w:t xml:space="preserve"> 144</w:t>
        </w:r>
      </w:hyperlink>
      <w:r w:rsidRPr="007159C5">
        <w:rPr>
          <w:rFonts w:hint="cs"/>
          <w:rtl/>
          <w:lang w:eastAsia="he-IL"/>
        </w:rPr>
        <w:t xml:space="preserve"> ל</w:t>
      </w:r>
      <w:hyperlink r:id="rId32" w:history="1">
        <w:r w:rsidR="002D5761" w:rsidRPr="002D5761">
          <w:rPr>
            <w:color w:val="0000FF"/>
            <w:u w:val="single"/>
            <w:rtl/>
            <w:lang w:eastAsia="he-IL"/>
          </w:rPr>
          <w:t>חוק העונשין</w:t>
        </w:r>
      </w:hyperlink>
      <w:r w:rsidRPr="007159C5">
        <w:rPr>
          <w:rFonts w:hint="cs"/>
          <w:rtl/>
          <w:lang w:eastAsia="he-IL"/>
        </w:rPr>
        <w:t xml:space="preserve">, התשל"ז-1977); זאת אף בלא שנעשה בנשק שימוש לביצוע עבירה נוספת. </w:t>
      </w:r>
      <w:r w:rsidRPr="007159C5">
        <w:rPr>
          <w:rFonts w:hint="cs"/>
          <w:b/>
          <w:bCs/>
          <w:rtl/>
          <w:lang w:eastAsia="he-I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7159C5">
        <w:rPr>
          <w:rFonts w:hint="cs"/>
          <w:rtl/>
          <w:lang w:eastAsia="he-IL"/>
        </w:rPr>
        <w:t xml:space="preserve">, וכל שכן מקום שנעשה בנשק כזה שימוש בביצוע עבירות אלימות לסוגיהן." </w:t>
      </w:r>
    </w:p>
    <w:p w14:paraId="7641685C" w14:textId="77777777" w:rsidR="00FC4FAC" w:rsidRPr="007159C5" w:rsidRDefault="00FC4FAC" w:rsidP="00FC4FAC">
      <w:pPr>
        <w:spacing w:line="360" w:lineRule="auto"/>
        <w:ind w:left="720" w:hanging="720"/>
        <w:jc w:val="both"/>
        <w:rPr>
          <w:rtl/>
          <w:lang w:eastAsia="he-IL"/>
        </w:rPr>
      </w:pPr>
    </w:p>
    <w:p w14:paraId="464D961F" w14:textId="77777777" w:rsidR="00FC4FAC" w:rsidRPr="007159C5" w:rsidRDefault="00FC4FAC" w:rsidP="00FC4FAC">
      <w:pPr>
        <w:spacing w:line="360" w:lineRule="auto"/>
        <w:ind w:left="720" w:hanging="720"/>
        <w:jc w:val="both"/>
        <w:rPr>
          <w:rtl/>
          <w:lang w:eastAsia="he-IL"/>
        </w:rPr>
      </w:pPr>
    </w:p>
    <w:p w14:paraId="2984F11D" w14:textId="77777777" w:rsidR="00FC4FAC" w:rsidRPr="007159C5" w:rsidRDefault="00FC4FAC" w:rsidP="00FC4FAC">
      <w:pPr>
        <w:spacing w:line="360" w:lineRule="auto"/>
        <w:ind w:left="720" w:hanging="720"/>
        <w:jc w:val="both"/>
        <w:rPr>
          <w:rtl/>
          <w:lang w:eastAsia="he-IL"/>
        </w:rPr>
      </w:pPr>
      <w:r w:rsidRPr="007159C5">
        <w:rPr>
          <w:rFonts w:hint="cs"/>
          <w:rtl/>
          <w:lang w:eastAsia="he-IL"/>
        </w:rPr>
        <w:t>20.</w:t>
      </w:r>
      <w:r w:rsidRPr="007159C5">
        <w:rPr>
          <w:rFonts w:hint="cs"/>
          <w:rtl/>
          <w:lang w:eastAsia="he-IL"/>
        </w:rPr>
        <w:tab/>
        <w:t>בהתחשב בכל האמור, אני גוזר על הנאשם את  העונשים הבאים:</w:t>
      </w:r>
    </w:p>
    <w:p w14:paraId="6C22B4CF" w14:textId="77777777" w:rsidR="00FC4FAC" w:rsidRPr="007159C5" w:rsidRDefault="00FC4FAC" w:rsidP="00FC4FAC">
      <w:pPr>
        <w:spacing w:line="360" w:lineRule="auto"/>
        <w:ind w:left="720" w:hanging="720"/>
        <w:jc w:val="both"/>
        <w:rPr>
          <w:rtl/>
          <w:lang w:eastAsia="he-IL"/>
        </w:rPr>
      </w:pPr>
    </w:p>
    <w:p w14:paraId="0A7F49C9" w14:textId="77777777" w:rsidR="00FC4FAC" w:rsidRPr="007159C5" w:rsidRDefault="00FC4FAC" w:rsidP="00FC4FAC">
      <w:pPr>
        <w:spacing w:line="360" w:lineRule="auto"/>
        <w:ind w:left="720" w:hanging="720"/>
        <w:jc w:val="both"/>
        <w:rPr>
          <w:rtl/>
          <w:lang w:eastAsia="he-IL"/>
        </w:rPr>
      </w:pPr>
    </w:p>
    <w:p w14:paraId="503E5CBD" w14:textId="77777777" w:rsidR="00FC4FAC" w:rsidRPr="007159C5" w:rsidRDefault="00FC4FAC" w:rsidP="00FC4FAC">
      <w:pPr>
        <w:spacing w:line="360" w:lineRule="auto"/>
        <w:ind w:left="720" w:hanging="720"/>
        <w:jc w:val="both"/>
        <w:rPr>
          <w:rtl/>
          <w:lang w:eastAsia="he-IL"/>
        </w:rPr>
      </w:pPr>
      <w:r w:rsidRPr="007159C5">
        <w:rPr>
          <w:rFonts w:hint="cs"/>
          <w:rtl/>
          <w:lang w:eastAsia="he-IL"/>
        </w:rPr>
        <w:tab/>
        <w:t>א.</w:t>
      </w:r>
      <w:r w:rsidRPr="007159C5">
        <w:rPr>
          <w:rFonts w:hint="cs"/>
          <w:rtl/>
          <w:lang w:eastAsia="he-IL"/>
        </w:rPr>
        <w:tab/>
        <w:t>24 חודשי מאסר בפועל, בניכוי ימי מעצרו.</w:t>
      </w:r>
    </w:p>
    <w:p w14:paraId="0378ABC3" w14:textId="77777777" w:rsidR="00FC4FAC" w:rsidRPr="007159C5" w:rsidRDefault="00FC4FAC" w:rsidP="00FC4FAC">
      <w:pPr>
        <w:spacing w:line="360" w:lineRule="auto"/>
        <w:ind w:left="720" w:hanging="720"/>
        <w:jc w:val="both"/>
        <w:rPr>
          <w:rtl/>
          <w:lang w:eastAsia="he-IL"/>
        </w:rPr>
      </w:pPr>
    </w:p>
    <w:p w14:paraId="4761F6EF" w14:textId="77777777" w:rsidR="00FC4FAC" w:rsidRPr="007159C5" w:rsidRDefault="00FC4FAC" w:rsidP="00FC4FAC">
      <w:pPr>
        <w:spacing w:line="360" w:lineRule="auto"/>
        <w:ind w:left="1440" w:hanging="720"/>
        <w:jc w:val="both"/>
        <w:rPr>
          <w:rtl/>
          <w:lang w:eastAsia="he-IL"/>
        </w:rPr>
      </w:pPr>
      <w:r w:rsidRPr="007159C5">
        <w:rPr>
          <w:rFonts w:hint="cs"/>
          <w:rtl/>
          <w:lang w:eastAsia="he-IL"/>
        </w:rPr>
        <w:t>ב.</w:t>
      </w:r>
      <w:r w:rsidRPr="007159C5">
        <w:rPr>
          <w:rFonts w:hint="cs"/>
          <w:rtl/>
          <w:lang w:eastAsia="he-IL"/>
        </w:rPr>
        <w:tab/>
        <w:t xml:space="preserve">9 חודשי מאסר על תנאי למשך שלוש שנים מיום שחרורו מהמאסר שלא יעבור עבירת </w:t>
      </w:r>
    </w:p>
    <w:p w14:paraId="144B1747" w14:textId="77777777" w:rsidR="00FC4FAC" w:rsidRPr="007159C5" w:rsidRDefault="00FC4FAC" w:rsidP="00FC4FAC">
      <w:pPr>
        <w:spacing w:line="360" w:lineRule="auto"/>
        <w:ind w:left="1440"/>
        <w:jc w:val="both"/>
        <w:rPr>
          <w:rtl/>
          <w:lang w:eastAsia="he-IL"/>
        </w:rPr>
      </w:pPr>
      <w:r w:rsidRPr="007159C5">
        <w:rPr>
          <w:rFonts w:hint="cs"/>
          <w:rtl/>
          <w:lang w:eastAsia="he-IL"/>
        </w:rPr>
        <w:t>נשק המסווגת כפשע.</w:t>
      </w:r>
    </w:p>
    <w:p w14:paraId="1FC8BA37" w14:textId="77777777" w:rsidR="00FC4FAC" w:rsidRPr="007159C5" w:rsidRDefault="00FC4FAC" w:rsidP="00FC4FAC">
      <w:pPr>
        <w:spacing w:line="360" w:lineRule="auto"/>
        <w:ind w:left="1440" w:hanging="720"/>
        <w:jc w:val="both"/>
        <w:rPr>
          <w:rtl/>
          <w:lang w:eastAsia="he-IL"/>
        </w:rPr>
      </w:pPr>
    </w:p>
    <w:p w14:paraId="729C8507" w14:textId="77777777" w:rsidR="00FC4FAC" w:rsidRPr="007159C5" w:rsidRDefault="00FC4FAC" w:rsidP="00FC4FAC">
      <w:pPr>
        <w:spacing w:line="360" w:lineRule="auto"/>
        <w:ind w:left="1440" w:hanging="720"/>
        <w:jc w:val="both"/>
        <w:rPr>
          <w:rtl/>
          <w:lang w:eastAsia="he-IL"/>
        </w:rPr>
      </w:pPr>
    </w:p>
    <w:p w14:paraId="79A84E75" w14:textId="77777777" w:rsidR="00FC4FAC" w:rsidRPr="007159C5" w:rsidRDefault="00FC4FAC" w:rsidP="00FC4FAC">
      <w:pPr>
        <w:spacing w:line="360" w:lineRule="auto"/>
        <w:ind w:left="1440" w:hanging="720"/>
        <w:jc w:val="both"/>
        <w:rPr>
          <w:rtl/>
          <w:lang w:eastAsia="he-IL"/>
        </w:rPr>
      </w:pPr>
    </w:p>
    <w:p w14:paraId="48D6D484" w14:textId="77777777" w:rsidR="00FC4FAC" w:rsidRPr="007159C5" w:rsidRDefault="00FC4FAC" w:rsidP="00FC4FAC">
      <w:pPr>
        <w:spacing w:line="360" w:lineRule="auto"/>
        <w:ind w:left="1440" w:hanging="720"/>
        <w:jc w:val="both"/>
        <w:rPr>
          <w:rtl/>
          <w:lang w:eastAsia="he-IL"/>
        </w:rPr>
      </w:pPr>
      <w:r w:rsidRPr="007159C5">
        <w:rPr>
          <w:rFonts w:hint="cs"/>
          <w:rtl/>
          <w:lang w:eastAsia="he-IL"/>
        </w:rPr>
        <w:t xml:space="preserve">זכות ערעור בתוך 45 יום. </w:t>
      </w:r>
    </w:p>
    <w:p w14:paraId="74A3A916" w14:textId="77777777" w:rsidR="00FC4FAC" w:rsidRPr="007159C5" w:rsidRDefault="00FC4FAC" w:rsidP="00FC4FAC">
      <w:pPr>
        <w:spacing w:line="360" w:lineRule="auto"/>
        <w:ind w:left="1440"/>
        <w:jc w:val="both"/>
        <w:rPr>
          <w:rtl/>
        </w:rPr>
      </w:pPr>
    </w:p>
    <w:p w14:paraId="459AA8BA" w14:textId="77777777" w:rsidR="00FC4FAC" w:rsidRPr="007159C5" w:rsidRDefault="00FC4FAC" w:rsidP="00FC4FAC">
      <w:pPr>
        <w:spacing w:line="360" w:lineRule="auto"/>
        <w:jc w:val="both"/>
        <w:rPr>
          <w:rFonts w:eastAsia="David"/>
          <w:rtl/>
        </w:rPr>
      </w:pPr>
    </w:p>
    <w:p w14:paraId="5947CB99" w14:textId="77777777" w:rsidR="00FC4FAC" w:rsidRPr="007159C5" w:rsidRDefault="00FC4FAC" w:rsidP="00FC4FAC">
      <w:pPr>
        <w:spacing w:line="360" w:lineRule="auto"/>
        <w:jc w:val="both"/>
        <w:rPr>
          <w:rtl/>
        </w:rPr>
      </w:pPr>
      <w:r w:rsidRPr="007159C5">
        <w:rPr>
          <w:rFonts w:hint="cs"/>
          <w:rtl/>
        </w:rPr>
        <w:t>&lt;#2#&gt;</w:t>
      </w:r>
    </w:p>
    <w:p w14:paraId="325A993B" w14:textId="77777777" w:rsidR="00FC4FAC" w:rsidRPr="007159C5" w:rsidRDefault="00FC4FAC" w:rsidP="00FC4FAC">
      <w:pPr>
        <w:spacing w:line="360" w:lineRule="auto"/>
        <w:jc w:val="right"/>
        <w:rPr>
          <w:rtl/>
        </w:rPr>
      </w:pPr>
    </w:p>
    <w:p w14:paraId="58B52E72" w14:textId="77777777" w:rsidR="00FC4FAC" w:rsidRPr="007159C5" w:rsidRDefault="002D5761" w:rsidP="00FC4FAC">
      <w:pPr>
        <w:spacing w:line="360" w:lineRule="auto"/>
        <w:jc w:val="center"/>
        <w:rPr>
          <w:rtl/>
        </w:rPr>
      </w:pPr>
      <w:bookmarkStart w:id="8" w:name="Nitan"/>
      <w:r>
        <w:rPr>
          <w:b/>
          <w:bCs/>
          <w:rtl/>
        </w:rPr>
        <w:t xml:space="preserve">ניתנה והודעה היום י"ז כסלו תשפ"ב, 21/11/2021 במעמד הנוכחים. </w:t>
      </w:r>
      <w:bookmarkEnd w:id="8"/>
    </w:p>
    <w:p w14:paraId="39C3A63A" w14:textId="77777777" w:rsidR="00FC4FAC" w:rsidRPr="002D5761" w:rsidRDefault="002D5761" w:rsidP="00FC4FAC">
      <w:pPr>
        <w:spacing w:line="360" w:lineRule="auto"/>
        <w:jc w:val="right"/>
        <w:rPr>
          <w:rFonts w:ascii="David" w:hAnsi="David"/>
          <w:color w:val="FFFFFF"/>
          <w:sz w:val="2"/>
          <w:szCs w:val="2"/>
          <w:rtl/>
        </w:rPr>
      </w:pPr>
      <w:r w:rsidRPr="002D5761">
        <w:rPr>
          <w:rFonts w:ascii="David" w:hAnsi="David"/>
          <w:color w:val="FFFFFF"/>
          <w:sz w:val="2"/>
          <w:szCs w:val="2"/>
          <w:rtl/>
        </w:rPr>
        <w:t>5129371</w:t>
      </w:r>
    </w:p>
    <w:tbl>
      <w:tblPr>
        <w:bidiVisual/>
        <w:tblW w:w="0" w:type="auto"/>
        <w:tblInd w:w="5110" w:type="dxa"/>
        <w:tblBorders>
          <w:insideH w:val="single" w:sz="4" w:space="0" w:color="auto"/>
          <w:insideV w:val="single" w:sz="4" w:space="0" w:color="auto"/>
        </w:tblBorders>
        <w:tblLook w:val="01E0" w:firstRow="1" w:lastRow="1" w:firstColumn="1" w:lastColumn="1" w:noHBand="0" w:noVBand="0"/>
      </w:tblPr>
      <w:tblGrid>
        <w:gridCol w:w="3259"/>
      </w:tblGrid>
      <w:tr w:rsidR="00FC4FAC" w:rsidRPr="007159C5" w14:paraId="3B8D5082" w14:textId="77777777" w:rsidTr="00FC4FAC">
        <w:trPr>
          <w:trHeight w:val="316"/>
        </w:trPr>
        <w:tc>
          <w:tcPr>
            <w:tcW w:w="3259" w:type="dxa"/>
            <w:tcBorders>
              <w:top w:val="nil"/>
              <w:left w:val="nil"/>
              <w:bottom w:val="single" w:sz="4" w:space="0" w:color="auto"/>
              <w:right w:val="nil"/>
            </w:tcBorders>
            <w:shd w:val="clear" w:color="auto" w:fill="auto"/>
          </w:tcPr>
          <w:p w14:paraId="21CCDE9B" w14:textId="77777777" w:rsidR="00FC4FAC" w:rsidRPr="002D5761" w:rsidRDefault="002D5761" w:rsidP="00FC4FAC">
            <w:pPr>
              <w:spacing w:line="360" w:lineRule="auto"/>
              <w:jc w:val="center"/>
              <w:rPr>
                <w:rFonts w:ascii="David" w:hAnsi="David"/>
                <w:color w:val="FFFFFF"/>
                <w:sz w:val="2"/>
                <w:szCs w:val="2"/>
                <w:rtl/>
              </w:rPr>
            </w:pPr>
            <w:r w:rsidRPr="002D5761">
              <w:rPr>
                <w:rFonts w:ascii="David" w:hAnsi="David"/>
                <w:color w:val="FFFFFF"/>
                <w:sz w:val="2"/>
                <w:szCs w:val="2"/>
                <w:rtl/>
              </w:rPr>
              <w:t>54678313</w:t>
            </w:r>
          </w:p>
          <w:p w14:paraId="4B84AA7D" w14:textId="77777777" w:rsidR="00FC4FAC" w:rsidRPr="00FC4FAC" w:rsidRDefault="00FC4FAC" w:rsidP="00FC4FAC">
            <w:pPr>
              <w:spacing w:line="360" w:lineRule="auto"/>
              <w:jc w:val="center"/>
              <w:rPr>
                <w:rFonts w:ascii="David" w:hAnsi="David"/>
              </w:rPr>
            </w:pPr>
          </w:p>
        </w:tc>
      </w:tr>
      <w:tr w:rsidR="00FC4FAC" w:rsidRPr="007159C5" w14:paraId="2D05BD9A" w14:textId="77777777" w:rsidTr="00FC4FAC">
        <w:trPr>
          <w:trHeight w:val="361"/>
        </w:trPr>
        <w:tc>
          <w:tcPr>
            <w:tcW w:w="3259" w:type="dxa"/>
            <w:tcBorders>
              <w:top w:val="single" w:sz="4" w:space="0" w:color="auto"/>
              <w:left w:val="nil"/>
              <w:bottom w:val="nil"/>
              <w:right w:val="nil"/>
            </w:tcBorders>
            <w:shd w:val="clear" w:color="auto" w:fill="auto"/>
          </w:tcPr>
          <w:p w14:paraId="37564F90" w14:textId="77777777" w:rsidR="00FC4FAC" w:rsidRPr="00FC4FAC" w:rsidRDefault="00FC4FAC" w:rsidP="00FC4FAC">
            <w:pPr>
              <w:spacing w:line="360" w:lineRule="auto"/>
              <w:jc w:val="center"/>
              <w:rPr>
                <w:rFonts w:ascii="David" w:hAnsi="David"/>
                <w:b/>
                <w:bCs/>
                <w:rtl/>
              </w:rPr>
            </w:pPr>
            <w:r w:rsidRPr="00FC4FAC">
              <w:rPr>
                <w:rFonts w:ascii="David" w:hAnsi="David" w:hint="cs"/>
                <w:b/>
                <w:bCs/>
                <w:rtl/>
              </w:rPr>
              <w:t>אליהו ביתן, שופט</w:t>
            </w:r>
          </w:p>
          <w:p w14:paraId="053713F8" w14:textId="77777777" w:rsidR="00FC4FAC" w:rsidRPr="00FC4FAC" w:rsidRDefault="00FC4FAC" w:rsidP="00FC4FAC">
            <w:pPr>
              <w:spacing w:line="360" w:lineRule="auto"/>
              <w:jc w:val="center"/>
              <w:rPr>
                <w:rFonts w:ascii="David" w:hAnsi="David"/>
                <w:b/>
                <w:bCs/>
                <w:rtl/>
              </w:rPr>
            </w:pPr>
            <w:r w:rsidRPr="00FC4FAC">
              <w:rPr>
                <w:rFonts w:ascii="David" w:hAnsi="David" w:hint="cs"/>
                <w:b/>
                <w:bCs/>
                <w:rtl/>
              </w:rPr>
              <w:t>סגן הנשיאה</w:t>
            </w:r>
          </w:p>
        </w:tc>
      </w:tr>
    </w:tbl>
    <w:p w14:paraId="504792BD" w14:textId="77777777" w:rsidR="00FC4FAC" w:rsidRPr="004A0EC5" w:rsidRDefault="004A0EC5" w:rsidP="00FC4FAC">
      <w:pPr>
        <w:spacing w:line="360" w:lineRule="auto"/>
        <w:jc w:val="right"/>
        <w:rPr>
          <w:rFonts w:ascii="David" w:hAnsi="David"/>
          <w:color w:val="FFFFFF"/>
          <w:sz w:val="2"/>
          <w:szCs w:val="2"/>
          <w:rtl/>
        </w:rPr>
      </w:pPr>
      <w:r w:rsidRPr="004A0EC5">
        <w:rPr>
          <w:rFonts w:ascii="David" w:hAnsi="David"/>
          <w:color w:val="FFFFFF"/>
          <w:sz w:val="2"/>
          <w:szCs w:val="2"/>
          <w:rtl/>
        </w:rPr>
        <w:t>5129371</w:t>
      </w:r>
    </w:p>
    <w:p w14:paraId="64D535AC" w14:textId="77777777" w:rsidR="00230654" w:rsidRPr="004A0EC5" w:rsidRDefault="004A0EC5" w:rsidP="002D5761">
      <w:pPr>
        <w:keepNext/>
        <w:rPr>
          <w:rFonts w:ascii="David" w:hAnsi="David"/>
          <w:color w:val="FFFFFF"/>
          <w:sz w:val="2"/>
          <w:szCs w:val="2"/>
          <w:rtl/>
        </w:rPr>
      </w:pPr>
      <w:r w:rsidRPr="004A0EC5">
        <w:rPr>
          <w:rFonts w:ascii="David" w:hAnsi="David"/>
          <w:color w:val="FFFFFF"/>
          <w:sz w:val="2"/>
          <w:szCs w:val="2"/>
          <w:rtl/>
        </w:rPr>
        <w:t>54678313</w:t>
      </w:r>
    </w:p>
    <w:p w14:paraId="6278FF98" w14:textId="77777777" w:rsidR="002D5761" w:rsidRDefault="002D5761" w:rsidP="002D5761">
      <w:pPr>
        <w:rPr>
          <w:rtl/>
        </w:rPr>
      </w:pPr>
    </w:p>
    <w:p w14:paraId="56F24A93" w14:textId="77777777" w:rsidR="002D5761" w:rsidRDefault="002D5761" w:rsidP="002D576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823D9DF" w14:textId="77777777" w:rsidR="004A0EC5" w:rsidRPr="004A0EC5" w:rsidRDefault="004A0EC5" w:rsidP="004A0EC5">
      <w:pPr>
        <w:keepNext/>
        <w:rPr>
          <w:rFonts w:ascii="David" w:hAnsi="David"/>
          <w:color w:val="000000"/>
          <w:sz w:val="22"/>
          <w:szCs w:val="22"/>
          <w:rtl/>
        </w:rPr>
      </w:pPr>
    </w:p>
    <w:p w14:paraId="026A0C25" w14:textId="77777777" w:rsidR="004A0EC5" w:rsidRPr="004A0EC5" w:rsidRDefault="004A0EC5" w:rsidP="004A0EC5">
      <w:pPr>
        <w:keepNext/>
        <w:rPr>
          <w:rFonts w:ascii="David" w:hAnsi="David"/>
          <w:color w:val="000000"/>
          <w:sz w:val="22"/>
          <w:szCs w:val="22"/>
          <w:rtl/>
        </w:rPr>
      </w:pPr>
      <w:r w:rsidRPr="004A0EC5">
        <w:rPr>
          <w:rFonts w:ascii="David" w:hAnsi="David"/>
          <w:color w:val="000000"/>
          <w:sz w:val="22"/>
          <w:szCs w:val="22"/>
          <w:rtl/>
        </w:rPr>
        <w:t>אליהו ביתן 54678313-/</w:t>
      </w:r>
    </w:p>
    <w:p w14:paraId="39608989" w14:textId="77777777" w:rsidR="002D5761" w:rsidRPr="002D5761" w:rsidRDefault="004A0EC5" w:rsidP="004A0EC5">
      <w:pPr>
        <w:rPr>
          <w:rFonts w:hint="cs"/>
          <w:color w:val="0000FF"/>
          <w:u w:val="single"/>
        </w:rPr>
      </w:pPr>
      <w:r w:rsidRPr="004A0EC5">
        <w:rPr>
          <w:color w:val="000000"/>
          <w:u w:val="single"/>
          <w:rtl/>
        </w:rPr>
        <w:t>נוסח מסמך זה כפוף לשינויי ניסוח ועריכה</w:t>
      </w:r>
      <w:r w:rsidR="00C474EA">
        <w:rPr>
          <w:rFonts w:hint="cs"/>
          <w:color w:val="0000FF"/>
          <w:u w:val="single"/>
          <w:rtl/>
        </w:rPr>
        <w:t xml:space="preserve"> </w:t>
      </w:r>
    </w:p>
    <w:sectPr w:rsidR="002D5761" w:rsidRPr="002D5761" w:rsidSect="004A0EC5">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2A5AE" w14:textId="77777777" w:rsidR="00700809" w:rsidRDefault="00700809" w:rsidP="00BE626F">
      <w:r>
        <w:separator/>
      </w:r>
    </w:p>
  </w:endnote>
  <w:endnote w:type="continuationSeparator" w:id="0">
    <w:p w14:paraId="401553B1" w14:textId="77777777" w:rsidR="00700809" w:rsidRDefault="00700809" w:rsidP="00BE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01D1" w14:textId="77777777" w:rsidR="007A4468" w:rsidRDefault="007A4468" w:rsidP="004A0E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6680F9" w14:textId="77777777" w:rsidR="007A4468" w:rsidRPr="004A0EC5" w:rsidRDefault="007A4468" w:rsidP="004A0EC5">
    <w:pPr>
      <w:pStyle w:val="a5"/>
      <w:pBdr>
        <w:top w:val="single" w:sz="4" w:space="1" w:color="auto"/>
        <w:between w:val="single" w:sz="4" w:space="0" w:color="auto"/>
      </w:pBdr>
      <w:spacing w:after="60"/>
      <w:jc w:val="center"/>
      <w:rPr>
        <w:rFonts w:ascii="FrankRuehl" w:hAnsi="FrankRuehl" w:cs="FrankRuehl"/>
        <w:color w:val="000000"/>
      </w:rPr>
    </w:pPr>
    <w:r w:rsidRPr="004A0E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F9E22" w14:textId="77777777" w:rsidR="007A4468" w:rsidRDefault="007A4468" w:rsidP="004A0E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197F">
      <w:rPr>
        <w:rFonts w:ascii="FrankRuehl" w:hAnsi="FrankRuehl" w:cs="FrankRuehl"/>
        <w:noProof/>
        <w:rtl/>
      </w:rPr>
      <w:t>1</w:t>
    </w:r>
    <w:r>
      <w:rPr>
        <w:rFonts w:ascii="FrankRuehl" w:hAnsi="FrankRuehl" w:cs="FrankRuehl"/>
        <w:rtl/>
      </w:rPr>
      <w:fldChar w:fldCharType="end"/>
    </w:r>
  </w:p>
  <w:p w14:paraId="4D92726A" w14:textId="77777777" w:rsidR="007A4468" w:rsidRPr="004A0EC5" w:rsidRDefault="007A4468" w:rsidP="004A0EC5">
    <w:pPr>
      <w:pStyle w:val="a5"/>
      <w:pBdr>
        <w:top w:val="single" w:sz="4" w:space="1" w:color="auto"/>
        <w:between w:val="single" w:sz="4" w:space="0" w:color="auto"/>
      </w:pBdr>
      <w:spacing w:after="60"/>
      <w:jc w:val="center"/>
      <w:rPr>
        <w:rFonts w:ascii="FrankRuehl" w:hAnsi="FrankRuehl" w:cs="FrankRuehl"/>
        <w:color w:val="000000"/>
      </w:rPr>
    </w:pPr>
    <w:r w:rsidRPr="004A0EC5">
      <w:rPr>
        <w:rFonts w:ascii="FrankRuehl" w:hAnsi="FrankRuehl" w:cs="FrankRuehl"/>
        <w:color w:val="000000"/>
      </w:rPr>
      <w:pict w14:anchorId="2DA7E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2CEC1" w14:textId="77777777" w:rsidR="00700809" w:rsidRDefault="00700809" w:rsidP="00BE626F">
      <w:r>
        <w:separator/>
      </w:r>
    </w:p>
  </w:footnote>
  <w:footnote w:type="continuationSeparator" w:id="0">
    <w:p w14:paraId="6E152474" w14:textId="77777777" w:rsidR="00700809" w:rsidRDefault="00700809" w:rsidP="00BE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D3FA0" w14:textId="77777777" w:rsidR="007A4468" w:rsidRPr="004A0EC5" w:rsidRDefault="007A4468" w:rsidP="004A0E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43009-08-20</w:t>
    </w:r>
    <w:r>
      <w:rPr>
        <w:rFonts w:ascii="David" w:hAnsi="David"/>
        <w:color w:val="000000"/>
        <w:sz w:val="22"/>
        <w:szCs w:val="22"/>
        <w:rtl/>
      </w:rPr>
      <w:tab/>
      <w:t xml:space="preserve"> מדינת ישראל נ' השאם אבו גאמע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A077" w14:textId="77777777" w:rsidR="007A4468" w:rsidRPr="004A0EC5" w:rsidRDefault="007A4468" w:rsidP="004A0E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43009-08-20</w:t>
    </w:r>
    <w:r>
      <w:rPr>
        <w:rFonts w:ascii="David" w:hAnsi="David"/>
        <w:color w:val="000000"/>
        <w:sz w:val="22"/>
        <w:szCs w:val="22"/>
        <w:rtl/>
      </w:rPr>
      <w:tab/>
      <w:t xml:space="preserve"> מדינת ישראל נ' השאם אבו גאמע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4FAC"/>
    <w:rsid w:val="001B5A3B"/>
    <w:rsid w:val="001D48F4"/>
    <w:rsid w:val="00230654"/>
    <w:rsid w:val="002D5761"/>
    <w:rsid w:val="00361037"/>
    <w:rsid w:val="00412192"/>
    <w:rsid w:val="00463160"/>
    <w:rsid w:val="004A0EC5"/>
    <w:rsid w:val="005611E1"/>
    <w:rsid w:val="00700809"/>
    <w:rsid w:val="007A4468"/>
    <w:rsid w:val="00926722"/>
    <w:rsid w:val="00BE626F"/>
    <w:rsid w:val="00C10B64"/>
    <w:rsid w:val="00C474EA"/>
    <w:rsid w:val="00D5197F"/>
    <w:rsid w:val="00DA35A3"/>
    <w:rsid w:val="00DE1E5D"/>
    <w:rsid w:val="00E15B12"/>
    <w:rsid w:val="00FC4F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B90FA0"/>
  <w15:chartTrackingRefBased/>
  <w15:docId w15:val="{B45188CF-E481-42A5-9EF3-18CFF50A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4F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4FAC"/>
    <w:pPr>
      <w:tabs>
        <w:tab w:val="center" w:pos="4153"/>
        <w:tab w:val="right" w:pos="8306"/>
      </w:tabs>
    </w:pPr>
  </w:style>
  <w:style w:type="character" w:customStyle="1" w:styleId="a4">
    <w:name w:val="כותרת עליונה תו"/>
    <w:link w:val="a3"/>
    <w:rsid w:val="00FC4FAC"/>
    <w:rPr>
      <w:rFonts w:ascii="Times New Roman" w:eastAsia="Times New Roman" w:hAnsi="Times New Roman" w:cs="David"/>
      <w:sz w:val="24"/>
      <w:szCs w:val="24"/>
    </w:rPr>
  </w:style>
  <w:style w:type="paragraph" w:styleId="a5">
    <w:name w:val="footer"/>
    <w:basedOn w:val="a"/>
    <w:link w:val="a6"/>
    <w:rsid w:val="00FC4FAC"/>
    <w:pPr>
      <w:tabs>
        <w:tab w:val="center" w:pos="4153"/>
        <w:tab w:val="right" w:pos="8306"/>
      </w:tabs>
    </w:pPr>
  </w:style>
  <w:style w:type="character" w:customStyle="1" w:styleId="a6">
    <w:name w:val="כותרת תחתונה תו"/>
    <w:link w:val="a5"/>
    <w:rsid w:val="00FC4FAC"/>
    <w:rPr>
      <w:rFonts w:ascii="Times New Roman" w:eastAsia="Times New Roman" w:hAnsi="Times New Roman" w:cs="David"/>
      <w:sz w:val="24"/>
      <w:szCs w:val="24"/>
    </w:rPr>
  </w:style>
  <w:style w:type="table" w:styleId="a7">
    <w:name w:val="Table Grid"/>
    <w:basedOn w:val="a1"/>
    <w:rsid w:val="00FC4F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4FAC"/>
  </w:style>
  <w:style w:type="paragraph" w:customStyle="1" w:styleId="12">
    <w:name w:val="רגיל + ‏12 נק'"/>
    <w:aliases w:val="מיושר לשני הצדדים,מרווח בין שורות:  שורה וחצי"/>
    <w:basedOn w:val="a"/>
    <w:rsid w:val="00FC4FAC"/>
    <w:rPr>
      <w:b/>
      <w:bCs/>
      <w:u w:val="single"/>
    </w:rPr>
  </w:style>
  <w:style w:type="character" w:styleId="Hyperlink">
    <w:name w:val="Hyperlink"/>
    <w:rsid w:val="00FC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26383419" TargetMode="External"/><Relationship Id="rId26" Type="http://schemas.openxmlformats.org/officeDocument/2006/relationships/hyperlink" Target="http://www.nevo.co.il/case/6949290" TargetMode="External"/><Relationship Id="rId39" Type="http://schemas.openxmlformats.org/officeDocument/2006/relationships/theme" Target="theme/theme1.xml"/><Relationship Id="rId21" Type="http://schemas.openxmlformats.org/officeDocument/2006/relationships/hyperlink" Target="http://www.nevo.co.il/case/6950458" TargetMode="External"/><Relationship Id="rId34" Type="http://schemas.openxmlformats.org/officeDocument/2006/relationships/header" Target="header1.xml"/><Relationship Id="rId7" Type="http://schemas.openxmlformats.org/officeDocument/2006/relationships/hyperlink" Target="http://www.nevo.co.il/law/70301/40j.b.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502726" TargetMode="External"/><Relationship Id="rId25" Type="http://schemas.openxmlformats.org/officeDocument/2006/relationships/hyperlink" Target="http://www.nevo.co.il/case/2426959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6913995" TargetMode="External"/><Relationship Id="rId20" Type="http://schemas.openxmlformats.org/officeDocument/2006/relationships/hyperlink" Target="http://www.nevo.co.il/case/21472788"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7087184"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5063920"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law/70301/40j.b.1" TargetMode="External"/><Relationship Id="rId36"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5950172"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25824863" TargetMode="External"/><Relationship Id="rId35"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13118</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15710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6619241</vt:i4>
      </vt:variant>
      <vt:variant>
        <vt:i4>66</vt:i4>
      </vt:variant>
      <vt:variant>
        <vt:i4>0</vt:i4>
      </vt:variant>
      <vt:variant>
        <vt:i4>5</vt:i4>
      </vt:variant>
      <vt:variant>
        <vt:lpwstr>http://www.nevo.co.il/law/70301/40j.b.1</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3145843</vt:i4>
      </vt:variant>
      <vt:variant>
        <vt:i4>57</vt:i4>
      </vt:variant>
      <vt:variant>
        <vt:i4>0</vt:i4>
      </vt:variant>
      <vt:variant>
        <vt:i4>5</vt:i4>
      </vt:variant>
      <vt:variant>
        <vt:lpwstr>http://www.nevo.co.il/case/24269595</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4128888</vt:i4>
      </vt:variant>
      <vt:variant>
        <vt:i4>45</vt:i4>
      </vt:variant>
      <vt:variant>
        <vt:i4>0</vt:i4>
      </vt:variant>
      <vt:variant>
        <vt:i4>5</vt:i4>
      </vt:variant>
      <vt:variant>
        <vt:lpwstr>http://www.nevo.co.il/case/6950458</vt:lpwstr>
      </vt:variant>
      <vt:variant>
        <vt:lpwstr/>
      </vt:variant>
      <vt:variant>
        <vt:i4>3932277</vt:i4>
      </vt:variant>
      <vt:variant>
        <vt:i4>42</vt:i4>
      </vt:variant>
      <vt:variant>
        <vt:i4>0</vt:i4>
      </vt:variant>
      <vt:variant>
        <vt:i4>5</vt:i4>
      </vt:variant>
      <vt:variant>
        <vt:lpwstr>http://www.nevo.co.il/case/21472788</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3342462</vt:i4>
      </vt:variant>
      <vt:variant>
        <vt:i4>36</vt:i4>
      </vt:variant>
      <vt:variant>
        <vt:i4>0</vt:i4>
      </vt:variant>
      <vt:variant>
        <vt:i4>5</vt:i4>
      </vt:variant>
      <vt:variant>
        <vt:lpwstr>http://www.nevo.co.il/case/26383419</vt:lpwstr>
      </vt:variant>
      <vt:variant>
        <vt:lpwstr/>
      </vt:variant>
      <vt:variant>
        <vt:i4>3604596</vt:i4>
      </vt:variant>
      <vt:variant>
        <vt:i4>33</vt:i4>
      </vt:variant>
      <vt:variant>
        <vt:i4>0</vt:i4>
      </vt:variant>
      <vt:variant>
        <vt:i4>5</vt:i4>
      </vt:variant>
      <vt:variant>
        <vt:lpwstr>http://www.nevo.co.il/case/27502726</vt:lpwstr>
      </vt:variant>
      <vt:variant>
        <vt:lpwstr/>
      </vt:variant>
      <vt:variant>
        <vt:i4>3211386</vt:i4>
      </vt:variant>
      <vt:variant>
        <vt:i4>30</vt:i4>
      </vt:variant>
      <vt:variant>
        <vt:i4>0</vt:i4>
      </vt:variant>
      <vt:variant>
        <vt:i4>5</vt:i4>
      </vt:variant>
      <vt:variant>
        <vt:lpwstr>http://www.nevo.co.il/case/26913995</vt:lpwstr>
      </vt:variant>
      <vt:variant>
        <vt:lpwstr/>
      </vt:variant>
      <vt:variant>
        <vt:i4>3342462</vt:i4>
      </vt:variant>
      <vt:variant>
        <vt:i4>27</vt:i4>
      </vt:variant>
      <vt:variant>
        <vt:i4>0</vt:i4>
      </vt:variant>
      <vt:variant>
        <vt:i4>5</vt:i4>
      </vt:variant>
      <vt:variant>
        <vt:lpwstr>http://www.nevo.co.il/case/25063920</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6619241</vt:i4>
      </vt:variant>
      <vt:variant>
        <vt:i4>3</vt:i4>
      </vt:variant>
      <vt:variant>
        <vt:i4>0</vt:i4>
      </vt:variant>
      <vt:variant>
        <vt:i4>5</vt:i4>
      </vt:variant>
      <vt:variant>
        <vt:lpwstr>http://www.nevo.co.il/law/70301/40j.b.1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2025-02-24T13:26:00Z</dcterms:created>
  <dcterms:modified xsi:type="dcterms:W3CDTF">2025-02-24T13:26:00Z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43009</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השאם אבו גאמע </vt:lpwstr>
  </property>
  <property fmtid="{D5CDD505-2E9C-101B-9397-08002B2CF9AE}" pid="10" name="LAWYER">
    <vt:lpwstr>נועה שוקר;רן אבינועם</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20211121</vt:lpwstr>
  </property>
  <property fmtid="{D5CDD505-2E9C-101B-9397-08002B2CF9AE}" pid="14" name="TYPE_N_DATE">
    <vt:lpwstr>39020211121</vt:lpwstr>
  </property>
  <property fmtid="{D5CDD505-2E9C-101B-9397-08002B2CF9AE}" pid="15" name="WORDNUMPAGES">
    <vt:lpwstr>9</vt:lpwstr>
  </property>
  <property fmtid="{D5CDD505-2E9C-101B-9397-08002B2CF9AE}" pid="16" name="TYPE_ABS_DATE">
    <vt:lpwstr>390020211121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25824863:2;25063920;26913995;27502726;26383419;22006503;21472788;6950458;5950172;26931111;27087184;24269595;6949290;5878682</vt:lpwstr>
  </property>
  <property fmtid="{D5CDD505-2E9C-101B-9397-08002B2CF9AE}" pid="36" name="LAWLISTTMP1">
    <vt:lpwstr>70301/144.b;275;040j.b.1;144</vt:lpwstr>
  </property>
</Properties>
</file>