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3"/>
        <w:gridCol w:w="3658"/>
      </w:tblGrid>
      <w:tr w:rsidR="001D6899" w:rsidRPr="001D6899" w14:paraId="6C3B68E7" w14:textId="77777777" w:rsidTr="00A21B55">
        <w:trPr>
          <w:trHeight w:hRule="exact" w:val="418"/>
          <w:jc w:val="center"/>
        </w:trPr>
        <w:tc>
          <w:tcPr>
            <w:tcW w:w="8721" w:type="dxa"/>
            <w:gridSpan w:val="2"/>
          </w:tcPr>
          <w:p w14:paraId="30D8121B" w14:textId="77777777" w:rsidR="001D6899" w:rsidRPr="001D6899" w:rsidRDefault="001D6899" w:rsidP="00555246">
            <w:pPr>
              <w:pStyle w:val="a3"/>
              <w:jc w:val="center"/>
              <w:rPr>
                <w:rFonts w:ascii="Tahoma" w:hAnsi="Tahoma" w:cs="Tahoma"/>
                <w:color w:val="000080"/>
                <w:rtl/>
              </w:rPr>
            </w:pPr>
            <w:bookmarkStart w:id="0" w:name="LastJudge"/>
            <w:r w:rsidRPr="001D6899">
              <w:rPr>
                <w:rFonts w:ascii="Tahoma" w:hAnsi="Tahoma" w:cs="Tahoma"/>
                <w:b/>
                <w:bCs/>
                <w:color w:val="000080"/>
                <w:rtl/>
              </w:rPr>
              <w:t>בית המשפט המחוזי בבאר שבע</w:t>
            </w:r>
          </w:p>
        </w:tc>
      </w:tr>
      <w:tr w:rsidR="001D6899" w:rsidRPr="001D6899" w14:paraId="69FA8829" w14:textId="77777777" w:rsidTr="00A21B55">
        <w:trPr>
          <w:trHeight w:val="337"/>
          <w:jc w:val="center"/>
        </w:trPr>
        <w:tc>
          <w:tcPr>
            <w:tcW w:w="5063" w:type="dxa"/>
          </w:tcPr>
          <w:p w14:paraId="3E34509E" w14:textId="77777777" w:rsidR="001D6899" w:rsidRPr="001D6899" w:rsidRDefault="001D6899" w:rsidP="00555246">
            <w:pPr>
              <w:rPr>
                <w:rFonts w:cs="FrankRuehl"/>
                <w:sz w:val="28"/>
                <w:szCs w:val="28"/>
                <w:rtl/>
              </w:rPr>
            </w:pPr>
            <w:r w:rsidRPr="001D6899">
              <w:rPr>
                <w:rFonts w:cs="FrankRuehl"/>
                <w:sz w:val="28"/>
                <w:szCs w:val="28"/>
                <w:rtl/>
              </w:rPr>
              <w:t>תפ"ח 13491-09-20 מדינת ישראל נ' THAWEESIT  ט' 9138858(עציר)</w:t>
            </w:r>
          </w:p>
          <w:p w14:paraId="78058A0C" w14:textId="77777777" w:rsidR="001D6899" w:rsidRPr="001D6899" w:rsidRDefault="001D6899" w:rsidP="00555246">
            <w:pPr>
              <w:pStyle w:val="a3"/>
              <w:rPr>
                <w:rFonts w:cs="FrankRuehl"/>
                <w:sz w:val="28"/>
                <w:szCs w:val="28"/>
                <w:rtl/>
              </w:rPr>
            </w:pPr>
          </w:p>
        </w:tc>
        <w:tc>
          <w:tcPr>
            <w:tcW w:w="3658" w:type="dxa"/>
          </w:tcPr>
          <w:p w14:paraId="078DE799" w14:textId="77777777" w:rsidR="001D6899" w:rsidRPr="001D6899" w:rsidRDefault="001D6899" w:rsidP="00555246">
            <w:pPr>
              <w:pStyle w:val="a3"/>
              <w:jc w:val="right"/>
              <w:rPr>
                <w:rFonts w:cs="FrankRuehl"/>
                <w:sz w:val="28"/>
                <w:szCs w:val="28"/>
                <w:rtl/>
              </w:rPr>
            </w:pPr>
          </w:p>
        </w:tc>
      </w:tr>
    </w:tbl>
    <w:p w14:paraId="4B4673D8" w14:textId="77777777" w:rsidR="001D6899" w:rsidRPr="001D6899" w:rsidRDefault="001D6899" w:rsidP="001D6899">
      <w:pPr>
        <w:pStyle w:val="a3"/>
        <w:rPr>
          <w:rtl/>
        </w:rPr>
      </w:pPr>
      <w:r w:rsidRPr="001D6899">
        <w:rPr>
          <w:rtl/>
        </w:rPr>
        <w:t xml:space="preserve"> </w:t>
      </w:r>
    </w:p>
    <w:p w14:paraId="68D71556" w14:textId="77777777" w:rsidR="00C257E3" w:rsidRPr="001D6899" w:rsidRDefault="00C257E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C257E3" w:rsidRPr="001D6899" w14:paraId="060A370C" w14:textId="77777777" w:rsidTr="00562527">
        <w:trPr>
          <w:trHeight w:val="295"/>
          <w:jc w:val="center"/>
        </w:trPr>
        <w:tc>
          <w:tcPr>
            <w:tcW w:w="923" w:type="dxa"/>
            <w:tcBorders>
              <w:top w:val="nil"/>
              <w:left w:val="nil"/>
              <w:bottom w:val="nil"/>
              <w:right w:val="nil"/>
            </w:tcBorders>
          </w:tcPr>
          <w:p w14:paraId="1E5A655A" w14:textId="77777777" w:rsidR="00C257E3" w:rsidRPr="001D6899" w:rsidRDefault="00C257E3" w:rsidP="00562527">
            <w:pPr>
              <w:jc w:val="both"/>
              <w:rPr>
                <w:rFonts w:ascii="David" w:hAnsi="David"/>
                <w:sz w:val="26"/>
                <w:szCs w:val="26"/>
              </w:rPr>
            </w:pPr>
            <w:r w:rsidRPr="001D6899">
              <w:rPr>
                <w:rFonts w:ascii="David" w:hAnsi="David"/>
                <w:sz w:val="26"/>
                <w:szCs w:val="26"/>
                <w:rtl/>
              </w:rPr>
              <w:t xml:space="preserve">בפני </w:t>
            </w:r>
          </w:p>
        </w:tc>
        <w:tc>
          <w:tcPr>
            <w:tcW w:w="7897" w:type="dxa"/>
            <w:gridSpan w:val="2"/>
            <w:tcBorders>
              <w:top w:val="nil"/>
              <w:left w:val="nil"/>
              <w:bottom w:val="nil"/>
              <w:right w:val="nil"/>
            </w:tcBorders>
          </w:tcPr>
          <w:p w14:paraId="0CEEF0C2" w14:textId="77777777" w:rsidR="00C257E3" w:rsidRPr="001D6899" w:rsidRDefault="00C257E3" w:rsidP="00562527">
            <w:pPr>
              <w:jc w:val="both"/>
              <w:rPr>
                <w:rFonts w:ascii="David" w:hAnsi="David"/>
                <w:sz w:val="26"/>
                <w:szCs w:val="26"/>
              </w:rPr>
            </w:pPr>
          </w:p>
          <w:p w14:paraId="45970BC2" w14:textId="77777777" w:rsidR="00C257E3" w:rsidRPr="001D6899" w:rsidRDefault="00C257E3">
            <w:pPr>
              <w:rPr>
                <w:rFonts w:ascii="David" w:hAnsi="David"/>
                <w:b/>
                <w:bCs/>
                <w:sz w:val="26"/>
                <w:szCs w:val="26"/>
                <w:rtl/>
              </w:rPr>
            </w:pPr>
            <w:r w:rsidRPr="001D6899">
              <w:rPr>
                <w:rFonts w:ascii="David" w:hAnsi="David"/>
                <w:b/>
                <w:bCs/>
                <w:sz w:val="26"/>
                <w:szCs w:val="26"/>
                <w:rtl/>
              </w:rPr>
              <w:t>כבוד השופטת  רז-לוי</w:t>
            </w:r>
          </w:p>
          <w:p w14:paraId="4EAADDAE" w14:textId="77777777" w:rsidR="00C257E3" w:rsidRPr="001D6899" w:rsidRDefault="00C257E3">
            <w:pPr>
              <w:rPr>
                <w:rFonts w:ascii="David" w:hAnsi="David"/>
                <w:sz w:val="26"/>
                <w:szCs w:val="26"/>
                <w:rtl/>
              </w:rPr>
            </w:pPr>
          </w:p>
          <w:p w14:paraId="0C072BA3" w14:textId="77777777" w:rsidR="00C257E3" w:rsidRPr="001D6899" w:rsidRDefault="00C257E3">
            <w:pPr>
              <w:rPr>
                <w:rFonts w:ascii="David" w:hAnsi="David"/>
                <w:b/>
                <w:bCs/>
                <w:sz w:val="26"/>
                <w:szCs w:val="26"/>
                <w:rtl/>
              </w:rPr>
            </w:pPr>
            <w:r w:rsidRPr="001D6899">
              <w:rPr>
                <w:rFonts w:ascii="David" w:hAnsi="David"/>
                <w:b/>
                <w:bCs/>
                <w:sz w:val="26"/>
                <w:szCs w:val="26"/>
                <w:rtl/>
              </w:rPr>
              <w:t>כבוד השופטת  שלו</w:t>
            </w:r>
          </w:p>
          <w:p w14:paraId="0A21D460" w14:textId="77777777" w:rsidR="00C257E3" w:rsidRPr="001D6899" w:rsidRDefault="00C257E3">
            <w:pPr>
              <w:rPr>
                <w:rFonts w:ascii="David" w:hAnsi="David"/>
                <w:sz w:val="26"/>
                <w:szCs w:val="26"/>
                <w:rtl/>
              </w:rPr>
            </w:pPr>
          </w:p>
          <w:p w14:paraId="4EDD1747" w14:textId="77777777" w:rsidR="00C257E3" w:rsidRPr="001D6899" w:rsidRDefault="00C257E3">
            <w:pPr>
              <w:rPr>
                <w:rFonts w:ascii="David" w:hAnsi="David"/>
                <w:sz w:val="26"/>
                <w:szCs w:val="26"/>
                <w:rtl/>
              </w:rPr>
            </w:pPr>
            <w:r w:rsidRPr="001D6899">
              <w:rPr>
                <w:rFonts w:ascii="David" w:hAnsi="David"/>
                <w:b/>
                <w:bCs/>
                <w:sz w:val="26"/>
                <w:szCs w:val="26"/>
                <w:rtl/>
              </w:rPr>
              <w:t>כבוד השופט  משניות</w:t>
            </w:r>
          </w:p>
          <w:p w14:paraId="12D2E5AC" w14:textId="77777777" w:rsidR="00C257E3" w:rsidRPr="001D6899" w:rsidRDefault="00C257E3">
            <w:pPr>
              <w:rPr>
                <w:rFonts w:ascii="David" w:hAnsi="David"/>
                <w:b/>
                <w:bCs/>
                <w:sz w:val="26"/>
                <w:szCs w:val="26"/>
                <w:rtl/>
              </w:rPr>
            </w:pPr>
          </w:p>
          <w:p w14:paraId="3FC1BA05" w14:textId="77777777" w:rsidR="00C257E3" w:rsidRPr="001D6899" w:rsidRDefault="00C257E3">
            <w:pPr>
              <w:rPr>
                <w:rFonts w:ascii="David" w:hAnsi="David"/>
                <w:sz w:val="26"/>
                <w:szCs w:val="26"/>
                <w:rtl/>
              </w:rPr>
            </w:pPr>
          </w:p>
        </w:tc>
      </w:tr>
      <w:tr w:rsidR="00C257E3" w:rsidRPr="001D6899" w14:paraId="28E3E322" w14:textId="77777777" w:rsidTr="00562527">
        <w:trPr>
          <w:trHeight w:val="355"/>
          <w:jc w:val="center"/>
        </w:trPr>
        <w:tc>
          <w:tcPr>
            <w:tcW w:w="923" w:type="dxa"/>
            <w:tcBorders>
              <w:top w:val="nil"/>
              <w:left w:val="nil"/>
              <w:bottom w:val="nil"/>
              <w:right w:val="nil"/>
            </w:tcBorders>
          </w:tcPr>
          <w:p w14:paraId="50EE8A0B" w14:textId="77777777" w:rsidR="00C257E3" w:rsidRPr="001D6899" w:rsidRDefault="00C257E3" w:rsidP="00562527">
            <w:pPr>
              <w:jc w:val="both"/>
              <w:rPr>
                <w:rFonts w:ascii="David" w:hAnsi="David"/>
                <w:sz w:val="26"/>
                <w:szCs w:val="26"/>
              </w:rPr>
            </w:pPr>
            <w:bookmarkStart w:id="1" w:name="FirstAppellant"/>
            <w:r w:rsidRPr="001D6899">
              <w:rPr>
                <w:rFonts w:ascii="David" w:hAnsi="David"/>
                <w:sz w:val="26"/>
                <w:szCs w:val="26"/>
                <w:rtl/>
              </w:rPr>
              <w:t>בעניין:</w:t>
            </w:r>
          </w:p>
        </w:tc>
        <w:tc>
          <w:tcPr>
            <w:tcW w:w="3219" w:type="dxa"/>
            <w:tcBorders>
              <w:top w:val="nil"/>
              <w:left w:val="nil"/>
              <w:bottom w:val="nil"/>
              <w:right w:val="nil"/>
            </w:tcBorders>
          </w:tcPr>
          <w:p w14:paraId="6A32BB29" w14:textId="77777777" w:rsidR="00C257E3" w:rsidRPr="001D6899" w:rsidRDefault="00C257E3" w:rsidP="00562527">
            <w:pPr>
              <w:suppressLineNumbers/>
            </w:pPr>
            <w:r w:rsidRPr="001D6899">
              <w:rPr>
                <w:rFonts w:ascii="Arial" w:hAnsi="Arial"/>
                <w:b/>
                <w:bCs/>
                <w:sz w:val="26"/>
                <w:szCs w:val="26"/>
                <w:rtl/>
              </w:rPr>
              <w:t>המאשימה</w:t>
            </w:r>
          </w:p>
          <w:p w14:paraId="3742F4B4" w14:textId="77777777" w:rsidR="00C257E3" w:rsidRPr="001D6899" w:rsidRDefault="00C257E3" w:rsidP="003E0C9F">
            <w:pPr>
              <w:rPr>
                <w:rFonts w:ascii="David" w:hAnsi="David"/>
                <w:sz w:val="26"/>
                <w:szCs w:val="26"/>
              </w:rPr>
            </w:pPr>
          </w:p>
        </w:tc>
        <w:tc>
          <w:tcPr>
            <w:tcW w:w="4678" w:type="dxa"/>
            <w:tcBorders>
              <w:top w:val="nil"/>
              <w:left w:val="nil"/>
              <w:bottom w:val="nil"/>
              <w:right w:val="nil"/>
            </w:tcBorders>
            <w:vAlign w:val="center"/>
          </w:tcPr>
          <w:p w14:paraId="1EB26AF2" w14:textId="77777777" w:rsidR="00C257E3" w:rsidRPr="001D6899" w:rsidRDefault="00C257E3" w:rsidP="00562527">
            <w:pPr>
              <w:suppressLineNumbers/>
            </w:pPr>
            <w:r w:rsidRPr="001D6899">
              <w:rPr>
                <w:rFonts w:ascii="Arial" w:hAnsi="Arial"/>
                <w:b/>
                <w:bCs/>
                <w:sz w:val="26"/>
                <w:szCs w:val="26"/>
                <w:rtl/>
              </w:rPr>
              <w:t>מדינת ישראל</w:t>
            </w:r>
          </w:p>
          <w:p w14:paraId="3DBD7951" w14:textId="77777777" w:rsidR="00C257E3" w:rsidRPr="001D6899" w:rsidRDefault="00C257E3" w:rsidP="000F2247">
            <w:pPr>
              <w:rPr>
                <w:rFonts w:ascii="David" w:hAnsi="David"/>
                <w:sz w:val="26"/>
                <w:szCs w:val="26"/>
              </w:rPr>
            </w:pPr>
          </w:p>
        </w:tc>
      </w:tr>
      <w:bookmarkEnd w:id="1"/>
      <w:tr w:rsidR="00C257E3" w:rsidRPr="001D6899" w14:paraId="6BD462EE" w14:textId="77777777" w:rsidTr="00562527">
        <w:trPr>
          <w:trHeight w:val="355"/>
          <w:jc w:val="center"/>
        </w:trPr>
        <w:tc>
          <w:tcPr>
            <w:tcW w:w="923" w:type="dxa"/>
            <w:tcBorders>
              <w:top w:val="nil"/>
              <w:left w:val="nil"/>
              <w:bottom w:val="nil"/>
              <w:right w:val="nil"/>
            </w:tcBorders>
          </w:tcPr>
          <w:p w14:paraId="498D4680" w14:textId="77777777" w:rsidR="00C257E3" w:rsidRPr="001D6899" w:rsidRDefault="00C257E3" w:rsidP="00562527">
            <w:pPr>
              <w:jc w:val="both"/>
              <w:rPr>
                <w:rFonts w:ascii="David" w:hAnsi="David"/>
                <w:sz w:val="26"/>
                <w:szCs w:val="26"/>
                <w:rtl/>
              </w:rPr>
            </w:pPr>
          </w:p>
        </w:tc>
        <w:tc>
          <w:tcPr>
            <w:tcW w:w="7897" w:type="dxa"/>
            <w:gridSpan w:val="2"/>
            <w:tcBorders>
              <w:top w:val="nil"/>
              <w:left w:val="nil"/>
              <w:bottom w:val="nil"/>
              <w:right w:val="nil"/>
            </w:tcBorders>
          </w:tcPr>
          <w:p w14:paraId="4BD66A5A" w14:textId="77777777" w:rsidR="00C257E3" w:rsidRPr="001D6899" w:rsidRDefault="00C257E3" w:rsidP="00562527">
            <w:pPr>
              <w:jc w:val="center"/>
              <w:rPr>
                <w:rFonts w:ascii="David" w:hAnsi="David"/>
                <w:b/>
                <w:bCs/>
                <w:sz w:val="26"/>
                <w:szCs w:val="26"/>
                <w:rtl/>
              </w:rPr>
            </w:pPr>
          </w:p>
          <w:p w14:paraId="7BBACDF7" w14:textId="77777777" w:rsidR="00C257E3" w:rsidRPr="001D6899" w:rsidRDefault="00C257E3" w:rsidP="00562527">
            <w:pPr>
              <w:jc w:val="center"/>
              <w:rPr>
                <w:rFonts w:ascii="David" w:hAnsi="David"/>
                <w:b/>
                <w:bCs/>
                <w:sz w:val="26"/>
                <w:szCs w:val="26"/>
                <w:rtl/>
              </w:rPr>
            </w:pPr>
            <w:r w:rsidRPr="001D6899">
              <w:rPr>
                <w:rFonts w:ascii="David" w:hAnsi="David"/>
                <w:b/>
                <w:bCs/>
                <w:sz w:val="26"/>
                <w:szCs w:val="26"/>
                <w:rtl/>
              </w:rPr>
              <w:t>נגד</w:t>
            </w:r>
          </w:p>
          <w:p w14:paraId="487C83AD" w14:textId="77777777" w:rsidR="00C257E3" w:rsidRPr="001D6899" w:rsidRDefault="00C257E3" w:rsidP="00562527">
            <w:pPr>
              <w:jc w:val="both"/>
              <w:rPr>
                <w:rFonts w:ascii="David" w:hAnsi="David"/>
                <w:sz w:val="26"/>
                <w:szCs w:val="26"/>
              </w:rPr>
            </w:pPr>
          </w:p>
        </w:tc>
      </w:tr>
      <w:tr w:rsidR="00C257E3" w:rsidRPr="001D6899" w14:paraId="4F5A3C64" w14:textId="77777777" w:rsidTr="00562527">
        <w:trPr>
          <w:trHeight w:val="355"/>
          <w:jc w:val="center"/>
        </w:trPr>
        <w:tc>
          <w:tcPr>
            <w:tcW w:w="923" w:type="dxa"/>
            <w:tcBorders>
              <w:top w:val="nil"/>
              <w:left w:val="nil"/>
              <w:bottom w:val="nil"/>
              <w:right w:val="nil"/>
            </w:tcBorders>
          </w:tcPr>
          <w:p w14:paraId="4DE4318E" w14:textId="77777777" w:rsidR="00C257E3" w:rsidRPr="001D6899" w:rsidRDefault="00C257E3" w:rsidP="003E0C9F">
            <w:pPr>
              <w:rPr>
                <w:rFonts w:ascii="David" w:hAnsi="David"/>
                <w:sz w:val="26"/>
                <w:szCs w:val="26"/>
                <w:rtl/>
              </w:rPr>
            </w:pPr>
          </w:p>
        </w:tc>
        <w:tc>
          <w:tcPr>
            <w:tcW w:w="3219" w:type="dxa"/>
            <w:tcBorders>
              <w:top w:val="nil"/>
              <w:left w:val="nil"/>
              <w:bottom w:val="nil"/>
              <w:right w:val="nil"/>
            </w:tcBorders>
          </w:tcPr>
          <w:p w14:paraId="464E0068" w14:textId="77777777" w:rsidR="00C257E3" w:rsidRPr="001D6899" w:rsidRDefault="00C257E3" w:rsidP="003E0C9F">
            <w:pPr>
              <w:rPr>
                <w:rFonts w:ascii="Arial" w:hAnsi="Arial"/>
                <w:b/>
                <w:bCs/>
                <w:sz w:val="26"/>
                <w:szCs w:val="26"/>
                <w:rtl/>
              </w:rPr>
            </w:pPr>
            <w:r w:rsidRPr="001D6899">
              <w:rPr>
                <w:rFonts w:ascii="Arial" w:hAnsi="Arial"/>
                <w:b/>
                <w:bCs/>
                <w:sz w:val="26"/>
                <w:szCs w:val="26"/>
                <w:rtl/>
              </w:rPr>
              <w:t>הנאשמים</w:t>
            </w:r>
          </w:p>
        </w:tc>
        <w:tc>
          <w:tcPr>
            <w:tcW w:w="4678" w:type="dxa"/>
            <w:tcBorders>
              <w:top w:val="nil"/>
              <w:left w:val="nil"/>
              <w:bottom w:val="nil"/>
              <w:right w:val="nil"/>
            </w:tcBorders>
            <w:vAlign w:val="center"/>
          </w:tcPr>
          <w:p w14:paraId="39727E3B" w14:textId="77777777" w:rsidR="00C257E3" w:rsidRPr="001D6899" w:rsidRDefault="00C257E3" w:rsidP="00562527">
            <w:pPr>
              <w:suppressLineNumbers/>
            </w:pPr>
            <w:r w:rsidRPr="001D6899">
              <w:rPr>
                <w:rFonts w:ascii="Arial" w:hAnsi="Arial"/>
                <w:b/>
                <w:bCs/>
                <w:sz w:val="26"/>
                <w:szCs w:val="26"/>
                <w:rtl/>
              </w:rPr>
              <w:t>ANANTAPHAK THAWEESIT  ט' 9138858 (עציר)</w:t>
            </w:r>
          </w:p>
          <w:p w14:paraId="78617F36" w14:textId="77777777" w:rsidR="00C257E3" w:rsidRPr="001D6899" w:rsidRDefault="00C257E3" w:rsidP="000F2247">
            <w:pPr>
              <w:rPr>
                <w:rFonts w:ascii="David" w:hAnsi="David"/>
                <w:sz w:val="26"/>
                <w:szCs w:val="26"/>
              </w:rPr>
            </w:pPr>
          </w:p>
        </w:tc>
      </w:tr>
      <w:tr w:rsidR="00C257E3" w:rsidRPr="001D6899" w14:paraId="351A7CE5" w14:textId="77777777" w:rsidTr="00562527">
        <w:trPr>
          <w:trHeight w:val="355"/>
          <w:jc w:val="center"/>
        </w:trPr>
        <w:tc>
          <w:tcPr>
            <w:tcW w:w="923" w:type="dxa"/>
            <w:tcBorders>
              <w:top w:val="nil"/>
              <w:left w:val="nil"/>
              <w:bottom w:val="nil"/>
              <w:right w:val="nil"/>
            </w:tcBorders>
          </w:tcPr>
          <w:p w14:paraId="53CBB93F" w14:textId="77777777" w:rsidR="00C257E3" w:rsidRPr="001D6899" w:rsidRDefault="00C257E3" w:rsidP="00562527">
            <w:pPr>
              <w:jc w:val="both"/>
              <w:rPr>
                <w:rFonts w:ascii="David" w:hAnsi="David"/>
                <w:sz w:val="26"/>
                <w:szCs w:val="26"/>
                <w:rtl/>
              </w:rPr>
            </w:pPr>
          </w:p>
        </w:tc>
        <w:tc>
          <w:tcPr>
            <w:tcW w:w="3219" w:type="dxa"/>
            <w:tcBorders>
              <w:top w:val="nil"/>
              <w:left w:val="nil"/>
              <w:bottom w:val="nil"/>
              <w:right w:val="nil"/>
            </w:tcBorders>
          </w:tcPr>
          <w:p w14:paraId="498E7576" w14:textId="77777777" w:rsidR="00C257E3" w:rsidRPr="001D6899" w:rsidRDefault="00C257E3" w:rsidP="00562527">
            <w:pPr>
              <w:jc w:val="both"/>
              <w:rPr>
                <w:rFonts w:ascii="David" w:hAnsi="David"/>
                <w:sz w:val="26"/>
                <w:szCs w:val="26"/>
                <w:rtl/>
              </w:rPr>
            </w:pPr>
          </w:p>
        </w:tc>
        <w:tc>
          <w:tcPr>
            <w:tcW w:w="4678" w:type="dxa"/>
            <w:tcBorders>
              <w:top w:val="nil"/>
              <w:left w:val="nil"/>
              <w:bottom w:val="nil"/>
              <w:right w:val="nil"/>
            </w:tcBorders>
          </w:tcPr>
          <w:p w14:paraId="793D05F5" w14:textId="77777777" w:rsidR="00C257E3" w:rsidRPr="001D6899" w:rsidRDefault="00C257E3" w:rsidP="00562527">
            <w:pPr>
              <w:jc w:val="right"/>
              <w:rPr>
                <w:rFonts w:ascii="David" w:hAnsi="David"/>
                <w:sz w:val="26"/>
                <w:szCs w:val="26"/>
              </w:rPr>
            </w:pPr>
          </w:p>
        </w:tc>
      </w:tr>
    </w:tbl>
    <w:p w14:paraId="54361E74" w14:textId="77777777" w:rsidR="00C257E3" w:rsidRPr="001D6899" w:rsidRDefault="00C257E3">
      <w:pPr>
        <w:rPr>
          <w:rFonts w:hint="cs"/>
          <w:sz w:val="26"/>
          <w:szCs w:val="26"/>
          <w:rtl/>
        </w:rPr>
      </w:pPr>
    </w:p>
    <w:p w14:paraId="3B3B29FF" w14:textId="77777777" w:rsidR="00A21B55" w:rsidRPr="00A21B55" w:rsidRDefault="00A21B55" w:rsidP="00A21B55">
      <w:pPr>
        <w:spacing w:before="120" w:after="120" w:line="240" w:lineRule="exact"/>
        <w:ind w:left="283" w:hanging="283"/>
        <w:jc w:val="both"/>
        <w:rPr>
          <w:rFonts w:ascii="FrankRuehl" w:hAnsi="FrankRuehl" w:cs="FrankRuehl"/>
          <w:rtl/>
        </w:rPr>
      </w:pPr>
    </w:p>
    <w:p w14:paraId="67C6FE04" w14:textId="77777777" w:rsidR="00EA6EFB" w:rsidRDefault="00EA6EFB" w:rsidP="00EA6EFB">
      <w:pPr>
        <w:spacing w:before="120" w:after="120" w:line="240" w:lineRule="exact"/>
        <w:ind w:left="283" w:hanging="283"/>
        <w:jc w:val="both"/>
        <w:rPr>
          <w:rFonts w:ascii="FrankRuehl" w:hAnsi="FrankRuehl" w:cs="FrankRuehl"/>
          <w:rtl/>
        </w:rPr>
      </w:pPr>
      <w:bookmarkStart w:id="2" w:name="LawTable"/>
      <w:bookmarkEnd w:id="2"/>
    </w:p>
    <w:p w14:paraId="580BCC3F" w14:textId="77777777" w:rsidR="00EA6EFB" w:rsidRPr="00EA6EFB" w:rsidRDefault="00EA6EFB" w:rsidP="00EA6EFB">
      <w:pPr>
        <w:spacing w:before="120" w:after="120" w:line="240" w:lineRule="exact"/>
        <w:ind w:left="283" w:hanging="283"/>
        <w:jc w:val="both"/>
        <w:rPr>
          <w:rFonts w:ascii="FrankRuehl" w:hAnsi="FrankRuehl" w:cs="FrankRuehl"/>
          <w:rtl/>
        </w:rPr>
      </w:pPr>
    </w:p>
    <w:p w14:paraId="57A78333" w14:textId="77777777" w:rsidR="00EA6EFB" w:rsidRPr="00EA6EFB" w:rsidRDefault="00EA6EFB" w:rsidP="00EA6EFB">
      <w:pPr>
        <w:spacing w:before="120" w:after="120" w:line="240" w:lineRule="exact"/>
        <w:ind w:left="283" w:hanging="283"/>
        <w:jc w:val="both"/>
        <w:rPr>
          <w:rFonts w:ascii="FrankRuehl" w:hAnsi="FrankRuehl" w:cs="FrankRuehl"/>
          <w:rtl/>
        </w:rPr>
      </w:pPr>
    </w:p>
    <w:p w14:paraId="50610E19" w14:textId="77777777" w:rsidR="00EA6EFB" w:rsidRPr="00EA6EFB" w:rsidRDefault="00EA6EFB" w:rsidP="00EA6EFB">
      <w:pPr>
        <w:spacing w:before="120" w:after="120" w:line="240" w:lineRule="exact"/>
        <w:ind w:left="283" w:hanging="283"/>
        <w:jc w:val="both"/>
        <w:rPr>
          <w:rFonts w:ascii="FrankRuehl" w:hAnsi="FrankRuehl" w:cs="FrankRuehl"/>
          <w:rtl/>
        </w:rPr>
      </w:pPr>
      <w:r w:rsidRPr="00EA6EFB">
        <w:rPr>
          <w:rFonts w:ascii="FrankRuehl" w:hAnsi="FrankRuehl" w:cs="FrankRuehl"/>
          <w:rtl/>
        </w:rPr>
        <w:t xml:space="preserve">חקיקה שאוזכרה: </w:t>
      </w:r>
    </w:p>
    <w:p w14:paraId="3666B55E" w14:textId="77777777" w:rsidR="00EA6EFB" w:rsidRPr="00EA6EFB" w:rsidRDefault="00EA6EFB" w:rsidP="00EA6EFB">
      <w:pPr>
        <w:spacing w:before="120" w:after="120" w:line="240" w:lineRule="exact"/>
        <w:ind w:left="283" w:hanging="283"/>
        <w:jc w:val="both"/>
        <w:rPr>
          <w:rFonts w:ascii="FrankRuehl" w:hAnsi="FrankRuehl" w:cs="FrankRuehl"/>
          <w:rtl/>
        </w:rPr>
      </w:pPr>
      <w:hyperlink r:id="rId7" w:history="1">
        <w:r w:rsidRPr="00EA6EFB">
          <w:rPr>
            <w:rFonts w:ascii="FrankRuehl" w:hAnsi="FrankRuehl" w:cs="FrankRuehl"/>
            <w:color w:val="0000FF"/>
            <w:rtl/>
          </w:rPr>
          <w:t>חוק העונשין, תשל"ז-1977</w:t>
        </w:r>
      </w:hyperlink>
      <w:r w:rsidRPr="00EA6EFB">
        <w:rPr>
          <w:rFonts w:ascii="FrankRuehl" w:hAnsi="FrankRuehl" w:cs="FrankRuehl"/>
          <w:rtl/>
        </w:rPr>
        <w:t xml:space="preserve">: סע'  </w:t>
      </w:r>
      <w:hyperlink r:id="rId8" w:history="1">
        <w:r w:rsidRPr="00EA6EFB">
          <w:rPr>
            <w:rFonts w:ascii="FrankRuehl" w:hAnsi="FrankRuehl" w:cs="FrankRuehl"/>
            <w:color w:val="0000FF"/>
            <w:rtl/>
          </w:rPr>
          <w:t>40ג(א)</w:t>
        </w:r>
      </w:hyperlink>
      <w:r w:rsidRPr="00EA6EFB">
        <w:rPr>
          <w:rFonts w:ascii="FrankRuehl" w:hAnsi="FrankRuehl" w:cs="FrankRuehl"/>
          <w:rtl/>
        </w:rPr>
        <w:t xml:space="preserve">, </w:t>
      </w:r>
      <w:hyperlink r:id="rId9" w:history="1">
        <w:r w:rsidRPr="00EA6EFB">
          <w:rPr>
            <w:rFonts w:ascii="FrankRuehl" w:hAnsi="FrankRuehl" w:cs="FrankRuehl"/>
            <w:color w:val="0000FF"/>
            <w:rtl/>
          </w:rPr>
          <w:t>40ט(א)</w:t>
        </w:r>
      </w:hyperlink>
      <w:r w:rsidRPr="00EA6EFB">
        <w:rPr>
          <w:rFonts w:ascii="FrankRuehl" w:hAnsi="FrankRuehl" w:cs="FrankRuehl"/>
          <w:rtl/>
        </w:rPr>
        <w:t xml:space="preserve">, </w:t>
      </w:r>
      <w:hyperlink r:id="rId10" w:history="1">
        <w:r w:rsidRPr="00EA6EFB">
          <w:rPr>
            <w:rFonts w:ascii="FrankRuehl" w:hAnsi="FrankRuehl" w:cs="FrankRuehl"/>
            <w:color w:val="0000FF"/>
            <w:rtl/>
          </w:rPr>
          <w:t>144.א.</w:t>
        </w:r>
      </w:hyperlink>
      <w:r w:rsidRPr="00EA6EFB">
        <w:rPr>
          <w:rFonts w:ascii="FrankRuehl" w:hAnsi="FrankRuehl" w:cs="FrankRuehl"/>
          <w:rtl/>
        </w:rPr>
        <w:t xml:space="preserve">, </w:t>
      </w:r>
      <w:hyperlink r:id="rId11" w:history="1">
        <w:r w:rsidRPr="00EA6EFB">
          <w:rPr>
            <w:rFonts w:ascii="FrankRuehl" w:hAnsi="FrankRuehl" w:cs="FrankRuehl"/>
            <w:color w:val="0000FF"/>
            <w:rtl/>
          </w:rPr>
          <w:t>144 (ב)</w:t>
        </w:r>
      </w:hyperlink>
      <w:r w:rsidRPr="00EA6EFB">
        <w:rPr>
          <w:rFonts w:ascii="FrankRuehl" w:hAnsi="FrankRuehl" w:cs="FrankRuehl"/>
          <w:rtl/>
        </w:rPr>
        <w:t xml:space="preserve">, </w:t>
      </w:r>
      <w:hyperlink r:id="rId12" w:history="1">
        <w:r w:rsidRPr="00EA6EFB">
          <w:rPr>
            <w:rFonts w:ascii="FrankRuehl" w:hAnsi="FrankRuehl" w:cs="FrankRuehl"/>
            <w:color w:val="0000FF"/>
            <w:rtl/>
          </w:rPr>
          <w:t>300(א)</w:t>
        </w:r>
      </w:hyperlink>
      <w:r w:rsidRPr="00EA6EFB">
        <w:rPr>
          <w:rFonts w:ascii="FrankRuehl" w:hAnsi="FrankRuehl" w:cs="FrankRuehl"/>
          <w:rtl/>
        </w:rPr>
        <w:t xml:space="preserve">, </w:t>
      </w:r>
      <w:hyperlink r:id="rId13" w:history="1">
        <w:r w:rsidRPr="00EA6EFB">
          <w:rPr>
            <w:rFonts w:ascii="FrankRuehl" w:hAnsi="FrankRuehl" w:cs="FrankRuehl"/>
            <w:color w:val="0000FF"/>
            <w:rtl/>
          </w:rPr>
          <w:t>329 (א)(2)</w:t>
        </w:r>
      </w:hyperlink>
      <w:r w:rsidRPr="00EA6EFB">
        <w:rPr>
          <w:rFonts w:ascii="FrankRuehl" w:hAnsi="FrankRuehl" w:cs="FrankRuehl"/>
          <w:rtl/>
        </w:rPr>
        <w:t xml:space="preserve">, </w:t>
      </w:r>
      <w:hyperlink r:id="rId14" w:history="1">
        <w:r w:rsidRPr="00EA6EFB">
          <w:rPr>
            <w:rFonts w:ascii="FrankRuehl" w:hAnsi="FrankRuehl" w:cs="FrankRuehl"/>
            <w:color w:val="0000FF"/>
            <w:rtl/>
          </w:rPr>
          <w:t>40יא</w:t>
        </w:r>
      </w:hyperlink>
    </w:p>
    <w:p w14:paraId="1D489A49" w14:textId="77777777" w:rsidR="00EA6EFB" w:rsidRPr="00EA6EFB" w:rsidRDefault="00EA6EFB" w:rsidP="00EA6EFB">
      <w:pPr>
        <w:spacing w:before="120" w:after="120" w:line="240" w:lineRule="exact"/>
        <w:ind w:left="283" w:hanging="283"/>
        <w:jc w:val="both"/>
        <w:rPr>
          <w:rFonts w:ascii="FrankRuehl" w:hAnsi="FrankRuehl" w:cs="FrankRuehl"/>
          <w:rtl/>
        </w:rPr>
      </w:pPr>
      <w:bookmarkStart w:id="3" w:name="LawTable_End"/>
      <w:bookmarkEnd w:id="3"/>
    </w:p>
    <w:p w14:paraId="0553B2C6" w14:textId="77777777" w:rsidR="001D6899" w:rsidRPr="00A21B55" w:rsidRDefault="001D6899" w:rsidP="00A21B55">
      <w:pPr>
        <w:spacing w:before="120" w:after="120" w:line="240" w:lineRule="exact"/>
        <w:ind w:left="283" w:hanging="283"/>
        <w:jc w:val="both"/>
        <w:rPr>
          <w:rFonts w:ascii="FrankRuehl" w:hAnsi="FrankRuehl" w:cs="FrankRuehl" w:hint="cs"/>
          <w:rtl/>
        </w:rPr>
      </w:pPr>
    </w:p>
    <w:p w14:paraId="76FDF7A5" w14:textId="77777777" w:rsidR="001D6899" w:rsidRPr="001D6899" w:rsidRDefault="001D6899" w:rsidP="001D6899">
      <w:pPr>
        <w:spacing w:before="160" w:line="360" w:lineRule="auto"/>
        <w:jc w:val="center"/>
        <w:rPr>
          <w:rFonts w:ascii="David" w:hAnsi="David"/>
          <w:b/>
          <w:bCs/>
          <w:sz w:val="32"/>
          <w:szCs w:val="32"/>
          <w:u w:val="single"/>
          <w:rtl/>
        </w:rPr>
      </w:pPr>
      <w:bookmarkStart w:id="4" w:name="PsakDin"/>
      <w:bookmarkEnd w:id="0"/>
      <w:r w:rsidRPr="001D6899">
        <w:rPr>
          <w:rFonts w:ascii="David" w:hAnsi="David"/>
          <w:b/>
          <w:bCs/>
          <w:sz w:val="32"/>
          <w:szCs w:val="32"/>
          <w:u w:val="single"/>
          <w:rtl/>
        </w:rPr>
        <w:t>גזר דין</w:t>
      </w:r>
    </w:p>
    <w:bookmarkEnd w:id="4"/>
    <w:p w14:paraId="08126B1B" w14:textId="77777777" w:rsidR="004E7F8A" w:rsidRPr="00562527" w:rsidRDefault="004E7F8A" w:rsidP="00562527">
      <w:pPr>
        <w:spacing w:before="160" w:line="360" w:lineRule="auto"/>
        <w:rPr>
          <w:rFonts w:ascii="David" w:hAnsi="David"/>
          <w:b/>
          <w:bCs/>
          <w:u w:val="single"/>
          <w:rtl/>
        </w:rPr>
      </w:pPr>
      <w:r w:rsidRPr="00562527">
        <w:rPr>
          <w:rFonts w:ascii="David" w:hAnsi="David"/>
          <w:b/>
          <w:bCs/>
          <w:u w:val="single"/>
          <w:rtl/>
        </w:rPr>
        <w:t>השופט אהרון משניות:</w:t>
      </w:r>
    </w:p>
    <w:p w14:paraId="45A3AF85" w14:textId="77777777" w:rsidR="004E7F8A" w:rsidRPr="00562527" w:rsidRDefault="004E7F8A" w:rsidP="00562527">
      <w:pPr>
        <w:pStyle w:val="ab"/>
        <w:numPr>
          <w:ilvl w:val="0"/>
          <w:numId w:val="3"/>
        </w:numPr>
        <w:spacing w:before="160" w:after="0" w:line="360" w:lineRule="auto"/>
        <w:jc w:val="both"/>
        <w:rPr>
          <w:rFonts w:ascii="David" w:hAnsi="David" w:cs="David"/>
          <w:b/>
          <w:bCs/>
          <w:sz w:val="24"/>
          <w:szCs w:val="24"/>
          <w:rtl/>
        </w:rPr>
      </w:pPr>
      <w:r w:rsidRPr="00562527">
        <w:rPr>
          <w:rFonts w:ascii="David" w:hAnsi="David" w:cs="David"/>
          <w:b/>
          <w:bCs/>
          <w:sz w:val="24"/>
          <w:szCs w:val="24"/>
          <w:rtl/>
        </w:rPr>
        <w:t xml:space="preserve">כללי </w:t>
      </w:r>
    </w:p>
    <w:p w14:paraId="33914A73" w14:textId="77777777" w:rsidR="004E7F8A" w:rsidRPr="00562527" w:rsidRDefault="004E7F8A" w:rsidP="00562527">
      <w:pPr>
        <w:spacing w:before="160" w:line="360" w:lineRule="auto"/>
        <w:jc w:val="both"/>
        <w:rPr>
          <w:rFonts w:ascii="David" w:hAnsi="David"/>
        </w:rPr>
      </w:pPr>
      <w:bookmarkStart w:id="5" w:name="ABSTRACT_START"/>
      <w:bookmarkEnd w:id="5"/>
      <w:r w:rsidRPr="00562527">
        <w:rPr>
          <w:rFonts w:ascii="David" w:hAnsi="David"/>
          <w:rtl/>
        </w:rPr>
        <w:t xml:space="preserve">הנאשם הורשע במסגרת הסדר טיעון בכתב אישום מתוקן בעבירת רצח, לפי </w:t>
      </w:r>
      <w:hyperlink r:id="rId15" w:history="1">
        <w:r w:rsidR="00A21B55" w:rsidRPr="00A21B55">
          <w:rPr>
            <w:rStyle w:val="Hyperlink"/>
            <w:rFonts w:ascii="David" w:hAnsi="David"/>
            <w:rtl/>
          </w:rPr>
          <w:t>סעיף 300(א)</w:t>
        </w:r>
      </w:hyperlink>
      <w:r w:rsidRPr="00562527">
        <w:rPr>
          <w:rFonts w:ascii="David" w:hAnsi="David"/>
          <w:rtl/>
        </w:rPr>
        <w:t xml:space="preserve"> ל</w:t>
      </w:r>
      <w:hyperlink r:id="rId16" w:history="1">
        <w:r w:rsidR="001D6899" w:rsidRPr="001D6899">
          <w:rPr>
            <w:rFonts w:ascii="David" w:hAnsi="David"/>
            <w:color w:val="0000FF"/>
            <w:u w:val="single"/>
            <w:rtl/>
          </w:rPr>
          <w:t>חוק העונשין</w:t>
        </w:r>
      </w:hyperlink>
      <w:r w:rsidRPr="00562527">
        <w:rPr>
          <w:rFonts w:ascii="David" w:hAnsi="David"/>
          <w:rtl/>
        </w:rPr>
        <w:t xml:space="preserve">, התשל"ז – 1977. במסגרת ההסדר לא הושגו הסכמות בין הצדדים לעניין העונש והוסכם כי כל צד יהיה חופשי בטיעוניו. </w:t>
      </w:r>
    </w:p>
    <w:p w14:paraId="67E1DC0A" w14:textId="77777777" w:rsidR="004E7F8A" w:rsidRPr="00562527" w:rsidRDefault="004E7F8A" w:rsidP="00562527">
      <w:pPr>
        <w:spacing w:before="160" w:line="360" w:lineRule="auto"/>
        <w:jc w:val="both"/>
        <w:rPr>
          <w:rFonts w:ascii="David" w:hAnsi="David"/>
          <w:rtl/>
        </w:rPr>
      </w:pPr>
      <w:bookmarkStart w:id="6" w:name="ABSTRACT_END"/>
      <w:bookmarkEnd w:id="6"/>
      <w:r w:rsidRPr="00562527">
        <w:rPr>
          <w:rFonts w:ascii="David" w:hAnsi="David"/>
          <w:rtl/>
        </w:rPr>
        <w:t xml:space="preserve">כמפורט בכתב האישום המתוקן, הנאשם ומר פרונצאי פראסיאין (להלן: המנוח) הינם אזרחים תאילנדים שמועסקים בחקלאות בישראל, והם התגוררו יחד ועבדו יחד במשק 22, במושב עין יהב. </w:t>
      </w:r>
      <w:r w:rsidRPr="00562527">
        <w:rPr>
          <w:rFonts w:ascii="David" w:hAnsi="David"/>
          <w:rtl/>
        </w:rPr>
        <w:lastRenderedPageBreak/>
        <w:t>בתאריך 11.8.20 בסמוך לשעה 12:00, ישבו הנאשם, המנוח ואחרים ושתו וויסקי, וכעבור כמה שעות, בשעות הערב, סמוך לשעות 20:00 – 21:00, החל וויכוח וריב בין הנאשם ובין המנוח, ובמהלך המריבה בין השניים, הם השליכו זה על זה בקבוקים וכסאות פלסטיק, ואף דחפו זה את זה בחזה, עד שאחד הנוכחים במקום, מכר משותף של השניים בשם אמנאט הפריד בין הניצים, והנאשם עזב לחדרו.</w:t>
      </w:r>
    </w:p>
    <w:p w14:paraId="5EC369A9" w14:textId="77777777" w:rsidR="004E7F8A" w:rsidRPr="00562527" w:rsidRDefault="004E7F8A" w:rsidP="00562527">
      <w:pPr>
        <w:spacing w:before="160" w:line="360" w:lineRule="auto"/>
        <w:jc w:val="both"/>
        <w:rPr>
          <w:rFonts w:ascii="David" w:hAnsi="David"/>
          <w:rtl/>
        </w:rPr>
      </w:pPr>
      <w:r w:rsidRPr="00562527">
        <w:rPr>
          <w:rFonts w:ascii="David" w:hAnsi="David"/>
          <w:rtl/>
        </w:rPr>
        <w:t>כעבור זמן מה, ליווה אמנאט את המנוח לחדרו אשר היה אל מול חדרו של הנאשם, תוך שהוא מבקש מהמנוח לבקש את סליחתו של הנאשם, ושהוא והנאשם ישלימו ביניהם, ובשלב זה עמדו אמנאט והמנוח במסדרון הצר שבין שני החדרים. לאחר מכן, הנאשם פתח את דלת חדרו כשבכוונתו ללכת לשירותים, והמנוח אמר לו: "אם אתה רוצה לעשות סולחה על הרגליים שלי" או "תשתחווה לרגליי" או "אתה מוכן להפסיד לי" או משהו דומה לכך, וכן אמר לו "בוא נראה אותך". אמנאט חצץ בין השניים כשפניו מול המנוח וגבו מופנה אל הנאשם והוא אוחז במנוח במטרה להרגיעו.</w:t>
      </w:r>
    </w:p>
    <w:p w14:paraId="09B9662B" w14:textId="77777777" w:rsidR="004E7F8A" w:rsidRPr="00562527" w:rsidRDefault="004E7F8A" w:rsidP="00562527">
      <w:pPr>
        <w:spacing w:before="160" w:line="360" w:lineRule="auto"/>
        <w:jc w:val="both"/>
        <w:rPr>
          <w:rFonts w:ascii="David" w:hAnsi="David"/>
          <w:rtl/>
        </w:rPr>
      </w:pPr>
      <w:r w:rsidRPr="00562527">
        <w:rPr>
          <w:rFonts w:ascii="David" w:hAnsi="David"/>
          <w:rtl/>
        </w:rPr>
        <w:t>לאחר מכן, הנאשם הלך לשירותים, חזר לחדרו וסגר את הדלת. המנוח המשיך לצעוק במסדרון כשאמנאט מנסה להרגיעו ופניו לכיוון המנוח וגבו מופנה לדלת חדרו של הנאשם. הנאשם נטל מארון בחדרו סכין עם להב באורך של כ-10 ס"מ וברוחב של כ- 1.5 ס"מ, פתח את דלת חדרו ודקר את  המנוח דקירה אחת בצד שמאל של בית החזה, כשהוא שווה נפש לאפשרות גרימת תוצאה קטלנית בשל כך. הנאשם הוציא את הסכין מגופו של המנוח, נכנס מיד לחדרו, והטמין את הסכין עמה ביצע את הדקירה בתוך קפלי שק אורז שהיה בחדרו.</w:t>
      </w:r>
    </w:p>
    <w:p w14:paraId="28913712" w14:textId="77777777" w:rsidR="004E7F8A" w:rsidRPr="00562527" w:rsidRDefault="004E7F8A" w:rsidP="00562527">
      <w:pPr>
        <w:spacing w:before="160" w:line="360" w:lineRule="auto"/>
        <w:jc w:val="both"/>
        <w:rPr>
          <w:rFonts w:ascii="David" w:hAnsi="David"/>
          <w:rtl/>
        </w:rPr>
      </w:pPr>
      <w:r w:rsidRPr="00562527">
        <w:rPr>
          <w:rFonts w:ascii="David" w:hAnsi="David"/>
          <w:rtl/>
        </w:rPr>
        <w:t>המנוח נכנס גם הוא לחדרו ושם התמוטט כשפלג גופו העליון על מיטתו והוא מתבוסס בדמו. אמנאט אשר לא היה מודע לכך שהמנוח נדקר, היה בדרכו לחדרו כששמע רעשים מהם הבין שמשהו קורה. הוא רץ לעבר חדרו של המנוח והבחין בו מדמם; הוא החל לבצע בו פעולות החייאה תוך שהוא צועק לעזרה ומבקש מהעובדים האחרים להזמין אמבולנס.</w:t>
      </w:r>
    </w:p>
    <w:p w14:paraId="65FA70E6" w14:textId="77777777" w:rsidR="004E7F8A" w:rsidRPr="00562527" w:rsidRDefault="004E7F8A" w:rsidP="00562527">
      <w:pPr>
        <w:spacing w:before="160" w:line="360" w:lineRule="auto"/>
        <w:jc w:val="both"/>
        <w:rPr>
          <w:rFonts w:ascii="David" w:hAnsi="David"/>
          <w:rtl/>
        </w:rPr>
      </w:pPr>
      <w:r w:rsidRPr="00562527">
        <w:rPr>
          <w:rFonts w:ascii="David" w:hAnsi="David"/>
          <w:rtl/>
        </w:rPr>
        <w:t xml:space="preserve">בסופו של דבר, המנוח מת כתוצאה מהלם תת-נפחי בשל דימום מסיבי ונזק שנגרם לשריר הלב כתוצאה מפצע הדקירה בחזה. במסגרת הסדר הטיעון שנזכר לעיל, הנאשם הודה במיוחס לו בכתב האישום, כי במעשים שביצע הוא גרם באדישות למותו של המנוח. </w:t>
      </w:r>
    </w:p>
    <w:p w14:paraId="53CA0CB5" w14:textId="77777777" w:rsidR="004E7F8A" w:rsidRPr="00562527" w:rsidRDefault="004E7F8A" w:rsidP="00562527">
      <w:pPr>
        <w:pStyle w:val="ab"/>
        <w:numPr>
          <w:ilvl w:val="0"/>
          <w:numId w:val="3"/>
        </w:numPr>
        <w:spacing w:before="160" w:after="0" w:line="360" w:lineRule="auto"/>
        <w:jc w:val="both"/>
        <w:rPr>
          <w:rFonts w:ascii="David" w:hAnsi="David" w:cs="David"/>
          <w:b/>
          <w:bCs/>
          <w:sz w:val="24"/>
          <w:szCs w:val="24"/>
          <w:rtl/>
        </w:rPr>
      </w:pPr>
      <w:r w:rsidRPr="00562527">
        <w:rPr>
          <w:rFonts w:ascii="David" w:hAnsi="David" w:cs="David"/>
          <w:b/>
          <w:bCs/>
          <w:sz w:val="24"/>
          <w:szCs w:val="24"/>
          <w:rtl/>
        </w:rPr>
        <w:t xml:space="preserve">טיעוני ב"כ המאשימה </w:t>
      </w:r>
    </w:p>
    <w:p w14:paraId="09565DD7" w14:textId="77777777" w:rsidR="004E7F8A" w:rsidRPr="00562527" w:rsidRDefault="004E7F8A" w:rsidP="00562527">
      <w:pPr>
        <w:spacing w:before="160" w:line="360" w:lineRule="auto"/>
        <w:jc w:val="both"/>
        <w:rPr>
          <w:rFonts w:ascii="David" w:hAnsi="David"/>
          <w:rtl/>
        </w:rPr>
      </w:pPr>
      <w:r w:rsidRPr="00562527">
        <w:rPr>
          <w:rFonts w:ascii="David" w:hAnsi="David"/>
          <w:rtl/>
        </w:rPr>
        <w:t xml:space="preserve">בתחילת טיעוניה הגישה ב"כ המאשימה מסמך בשפה התאית, עם תרגום לעברית, מיום 23.11.21, אשר לדבריה וכעולה ממסמך שהוגש לנו מהשגרירות התאילנדית, מדובר במכתב שנכתב ע"י אלמנתו של המנוח ושהועבר באמצעות השגרירות לפרקליטות. במכתב כותבת האלמנה שהיא בת 28, ויש לה בת אחת בת 4 שהמנוח השאיר אחריו, ומתארת כיצד השפיע מותו של המנוח לרעה על כל המשפחה, וכי מאז הרצח נותרה המשפחה בחוסר פרנסה, עם חובות והוצאות כספיות גבוהות שאיתם היא נאלצת להתמודד לבדה. בתו של המנוח בגן חובה, היא במצב נפשי לא טוב, מרגישה בחסרונו של האב ושואלת עליו כל הזמן. מותו של המנוח הביא להפסקת התמיכה הכספית שלו בהוריו המבוגרים, שנזקקים לטיפולים רפואיים מעת לעת, ועכשיו בעקבות מותו של המנוח הם צריכים לעבוד לפרנסתם למרות גילם. אביו של המנוח אינו יכול להשלים עם מותו של הבן האהוב, </w:t>
      </w:r>
      <w:r w:rsidRPr="00562527">
        <w:rPr>
          <w:rFonts w:ascii="David" w:hAnsi="David"/>
          <w:rtl/>
        </w:rPr>
        <w:lastRenderedPageBreak/>
        <w:t xml:space="preserve">נמצא במצוקה נפשית ומוצא מפלט מצרותיו בשתייה כל יום. בסיום מכתבה מבקשת האלמנה כי ייעשה צדק למנוח ולמשפחתו, כי ימוצה הדין עם הנאשם, וכי תימצא דרך לסייע גם למשפחתו של המנוח. </w:t>
      </w:r>
    </w:p>
    <w:p w14:paraId="515AABAA" w14:textId="77777777" w:rsidR="004E7F8A" w:rsidRPr="00562527" w:rsidRDefault="004E7F8A" w:rsidP="00562527">
      <w:pPr>
        <w:spacing w:before="160" w:line="360" w:lineRule="auto"/>
        <w:jc w:val="both"/>
        <w:rPr>
          <w:rFonts w:ascii="David" w:hAnsi="David"/>
          <w:rtl/>
        </w:rPr>
      </w:pPr>
      <w:r w:rsidRPr="00562527">
        <w:rPr>
          <w:rFonts w:ascii="David" w:hAnsi="David"/>
          <w:rtl/>
        </w:rPr>
        <w:t xml:space="preserve">ב"כ המאשימה הגישה טיעוניה בכתב וציינה כי במעשיו פגע הנאשם בערכים המוגנים של שלמות הגוף, כבוד האדם ושלוות הנפש, וכן פגע בערכי יסוד בסיסיים ביותר, ובראשם הערך של קדושת החיים. היא ציינה עוד כי דברים על מעמדו המיוחד של הערך של קדושת החיים, ועל החובה של בתי המשפט לתת לחומרה היתירה של הפגיעה בערך נעלה זה ביטוי בענישה הולמת של מי שפוגע בערכים בסיסיים אלו, חזרו ונשנו בפסיקת בית המשפט העליון.  </w:t>
      </w:r>
    </w:p>
    <w:p w14:paraId="1E787931" w14:textId="77777777" w:rsidR="004E7F8A" w:rsidRPr="00562527" w:rsidRDefault="004E7F8A" w:rsidP="00562527">
      <w:pPr>
        <w:spacing w:before="160" w:line="360" w:lineRule="auto"/>
        <w:jc w:val="both"/>
        <w:rPr>
          <w:rFonts w:ascii="David" w:hAnsi="David"/>
          <w:rtl/>
        </w:rPr>
      </w:pPr>
      <w:r w:rsidRPr="00562527">
        <w:rPr>
          <w:rFonts w:ascii="David" w:hAnsi="David"/>
          <w:rtl/>
        </w:rPr>
        <w:t xml:space="preserve">בהמשך טיעוניה התייחסה ב"כ המאשימה בהרחבה להשפעת הרפורמה בעבירות המתה על רמת הענישה בעבירות אלה, תוך שהיא מציינת כי אין כמעט פסיקה על ענישה בעבירה של רצח ביסוד נפשי של אדישות, ולכן מוטלת אחריות על כתפי בית המשפט, שפסיקתו עשויה להתוות את הדרך בנושא חדש זה. לדבריה, הכללת מעשה המתה ביסוד נפשי של אדישות בגדר עבירת הרצח, מהווה את אחד החידושים החשובים ברפורמה האמורה, מפני </w:t>
      </w:r>
      <w:r w:rsidRPr="00562527">
        <w:rPr>
          <w:rFonts w:ascii="David" w:hAnsi="David"/>
          <w:b/>
          <w:bCs/>
          <w:rtl/>
        </w:rPr>
        <w:t>"שמאחוריה תפיסה נורמטיבית סדורה וברורה באשר לחומרה שביסוד נפשי זה וקרבתו הגדולה ליחס החפצי של הכוונה"</w:t>
      </w:r>
      <w:r w:rsidRPr="00562527">
        <w:rPr>
          <w:rFonts w:ascii="David" w:hAnsi="David"/>
          <w:rtl/>
        </w:rPr>
        <w:t xml:space="preserve"> כלשונה בסעיף 8 לטיעוניה.  </w:t>
      </w:r>
    </w:p>
    <w:p w14:paraId="0ECE1DE0" w14:textId="77777777" w:rsidR="004E7F8A" w:rsidRPr="00562527" w:rsidRDefault="004E7F8A" w:rsidP="00562527">
      <w:pPr>
        <w:spacing w:before="160" w:line="360" w:lineRule="auto"/>
        <w:jc w:val="both"/>
        <w:rPr>
          <w:rFonts w:ascii="David" w:hAnsi="David"/>
          <w:rtl/>
        </w:rPr>
      </w:pPr>
      <w:r w:rsidRPr="00562527">
        <w:rPr>
          <w:rFonts w:ascii="David" w:hAnsi="David"/>
          <w:rtl/>
        </w:rPr>
        <w:t xml:space="preserve">ב"כ המאשימה הדגישה, כי בעבירת הרצח בנסיבות מחמירות קיימת חובה להשית עונש מאסר עולם, בשונה מעבירת הרצח הבסיסית במסגרתה ניתן להשית עונש מאסר עולם כעונש מרבי ולא כעונש חובה. לטענתה, משמעות הדברים היא שניתן להשית גם בעבירה של רצח בסיסי הכוללת מקרים דומים לזה של הנאשם שלפנינו, עונש של מאסר עולם או מאסר קצוב לתקופה שלא תעלה על 30 שנה, וכי המחוקק הכליל את יסוד האדישות תחת אותה אכסניה של יסוד הכוונה, כדי ללמד כי מידת האשם של הרוצח באדישות דומה למידת האשם של רוצח בכוונה, ויש בכך אמירה נורמטיבית שמשקפת </w:t>
      </w:r>
      <w:r w:rsidRPr="00562527">
        <w:rPr>
          <w:rFonts w:ascii="David" w:hAnsi="David"/>
          <w:b/>
          <w:bCs/>
          <w:rtl/>
        </w:rPr>
        <w:t>"את התפיסה העדכנית של החברה בישראל באשר לקדושת ערך חיי האדם ואת הקרבה המוסרית שבין הכוונה והאדישות"</w:t>
      </w:r>
      <w:r w:rsidRPr="00562527">
        <w:rPr>
          <w:rFonts w:ascii="David" w:hAnsi="David"/>
          <w:rtl/>
        </w:rPr>
        <w:t xml:space="preserve">. מכאן עתירתה </w:t>
      </w:r>
      <w:r w:rsidRPr="00562527">
        <w:rPr>
          <w:rFonts w:ascii="David" w:hAnsi="David"/>
          <w:b/>
          <w:bCs/>
          <w:rtl/>
        </w:rPr>
        <w:t>"לזכור שינוי זה בחוק ולצקת לו תוכן באמצעות רמת ענישה מתאימה, גבוהה משמעותית מזו אשר הייתה נהוגה טרם התיקון"</w:t>
      </w:r>
      <w:r w:rsidRPr="00562527">
        <w:rPr>
          <w:rFonts w:ascii="David" w:hAnsi="David"/>
          <w:rtl/>
        </w:rPr>
        <w:t xml:space="preserve">. </w:t>
      </w:r>
    </w:p>
    <w:p w14:paraId="145CE262" w14:textId="77777777" w:rsidR="004E7F8A" w:rsidRPr="00562527" w:rsidRDefault="004E7F8A" w:rsidP="00562527">
      <w:pPr>
        <w:spacing w:before="160" w:line="360" w:lineRule="auto"/>
        <w:jc w:val="both"/>
        <w:rPr>
          <w:rFonts w:ascii="David" w:hAnsi="David"/>
          <w:rtl/>
        </w:rPr>
      </w:pPr>
      <w:r w:rsidRPr="00562527">
        <w:rPr>
          <w:rFonts w:ascii="David" w:hAnsi="David"/>
          <w:rtl/>
        </w:rPr>
        <w:t xml:space="preserve">אשר לנסיבות ביצוע העבירה, ציינה ב"כ המאשימה כי מדובר באדישות ברף הגבוה, בנסיבות שקרובות לנסיבות של רצח בכוונה, בשל העובדה שהנאשם הצטייד בסכין בטרם יצא מחדרו, ובשל מיקום הדקירה בחזה. ב"כ המאשימה טענה עוד כי על חומרת האדישות ניתן ללמוד גם מהתנהגותו של הנאשם לאחר הדקירה, שכן הוא חזר לחדרו והסתיר את הסכין בין קפלי שק אורז בחדרו, ולא טרח להושיט עזרה כלשהי למנוח או להזעיק עזרה רפואית עבורו, ולכן מדובר בחוסר אכפתיות מוחלט לתוצאה הקטלנית של מעשיו. </w:t>
      </w:r>
    </w:p>
    <w:p w14:paraId="4A65926E" w14:textId="77777777" w:rsidR="004E7F8A" w:rsidRPr="00562527" w:rsidRDefault="004E7F8A" w:rsidP="00562527">
      <w:pPr>
        <w:spacing w:before="160" w:line="360" w:lineRule="auto"/>
        <w:jc w:val="both"/>
        <w:rPr>
          <w:rFonts w:ascii="David" w:hAnsi="David"/>
          <w:rtl/>
        </w:rPr>
      </w:pPr>
      <w:r w:rsidRPr="00562527">
        <w:rPr>
          <w:rFonts w:ascii="David" w:hAnsi="David"/>
          <w:rtl/>
        </w:rPr>
        <w:t xml:space="preserve">ב"כ המאשימה ציינה עוד, כי לא מדובר בנסיבות של קנטור ואף לא בנסיבות קרובות לכך, מפני שהנאשם הלך לחדרו לאחר חילופי הצעקות והדחיפות עם המנוח, ובכך יכול היה לסיים את האירוע, ובכל זאת הוא בחר לצאת מחדרו כשסכין בידו, שבה דקר את המנוח וגרם למותו, ובכך המיט חורבן גם על משפחתו של המנוח, כפי שהדברים פורטו במכתבה של אלמנת המנוח, שהוגש בפתח טיעוני המאשימה. </w:t>
      </w:r>
    </w:p>
    <w:p w14:paraId="35AF7515" w14:textId="77777777" w:rsidR="004E7F8A" w:rsidRPr="00562527" w:rsidRDefault="004E7F8A" w:rsidP="00562527">
      <w:pPr>
        <w:spacing w:before="160" w:line="360" w:lineRule="auto"/>
        <w:jc w:val="both"/>
        <w:rPr>
          <w:rFonts w:ascii="David" w:hAnsi="David"/>
          <w:rtl/>
        </w:rPr>
      </w:pPr>
      <w:r w:rsidRPr="00562527">
        <w:rPr>
          <w:rFonts w:ascii="David" w:hAnsi="David"/>
          <w:rtl/>
        </w:rPr>
        <w:t xml:space="preserve">ב"כ המאשימה הפנתה לגזר דין שניתן בבית משפט זה בעניין </w:t>
      </w:r>
      <w:r w:rsidRPr="00562527">
        <w:rPr>
          <w:rFonts w:ascii="David" w:hAnsi="David"/>
          <w:b/>
          <w:bCs/>
          <w:rtl/>
        </w:rPr>
        <w:t>קפוסטין</w:t>
      </w:r>
      <w:r w:rsidRPr="00562527">
        <w:rPr>
          <w:rFonts w:ascii="David" w:hAnsi="David"/>
          <w:rtl/>
        </w:rPr>
        <w:t xml:space="preserve"> (</w:t>
      </w:r>
      <w:hyperlink r:id="rId17" w:history="1">
        <w:r w:rsidR="001D6899" w:rsidRPr="001D6899">
          <w:rPr>
            <w:rFonts w:ascii="David" w:hAnsi="David"/>
            <w:color w:val="0000FF"/>
            <w:u w:val="single"/>
            <w:rtl/>
          </w:rPr>
          <w:t>תפ"ח 51134-02-17</w:t>
        </w:r>
      </w:hyperlink>
      <w:r w:rsidRPr="00562527">
        <w:rPr>
          <w:rFonts w:ascii="David" w:hAnsi="David"/>
          <w:rtl/>
        </w:rPr>
        <w:t xml:space="preserve">, פורסם בנבו, 21.1.2021), אשר בו נגזרו על הנאשם שהורשע לאחר שמיעת ראיות בעבירה של רצח באדישות, 18 שנות מאסר בפועל,  וציינה כי המדינה ערערה על קולת העונש, וטרם ניתן פסק דין בערעור. בסופו של דבר, עתרה ב"כ המאשימה למתחם ענישה הנע בין 22 ל-27 שנות מאסר וטענה כי יש למקם את עונשו של הנאשם באמצע המתחם, בתוספת מאסר מותנה ופיצוי למשפחת המנוח. </w:t>
      </w:r>
    </w:p>
    <w:p w14:paraId="272B686B" w14:textId="77777777" w:rsidR="004E7F8A" w:rsidRPr="00562527" w:rsidRDefault="004E7F8A" w:rsidP="00562527">
      <w:pPr>
        <w:spacing w:before="160" w:line="360" w:lineRule="auto"/>
        <w:jc w:val="both"/>
        <w:rPr>
          <w:rFonts w:ascii="David" w:hAnsi="David"/>
          <w:rtl/>
        </w:rPr>
      </w:pPr>
    </w:p>
    <w:p w14:paraId="475196C7" w14:textId="77777777" w:rsidR="004E7F8A" w:rsidRPr="00562527" w:rsidRDefault="004E7F8A" w:rsidP="00562527">
      <w:pPr>
        <w:pStyle w:val="ab"/>
        <w:numPr>
          <w:ilvl w:val="0"/>
          <w:numId w:val="3"/>
        </w:numPr>
        <w:spacing w:before="160" w:after="0" w:line="360" w:lineRule="auto"/>
        <w:jc w:val="both"/>
        <w:rPr>
          <w:rFonts w:ascii="David" w:hAnsi="David" w:cs="David"/>
          <w:b/>
          <w:bCs/>
          <w:sz w:val="24"/>
          <w:szCs w:val="24"/>
          <w:rtl/>
        </w:rPr>
      </w:pPr>
      <w:r w:rsidRPr="00562527">
        <w:rPr>
          <w:rFonts w:ascii="David" w:hAnsi="David" w:cs="David"/>
          <w:b/>
          <w:bCs/>
          <w:sz w:val="24"/>
          <w:szCs w:val="24"/>
          <w:rtl/>
        </w:rPr>
        <w:t>טיעוני ב"כ הנאשם</w:t>
      </w:r>
    </w:p>
    <w:p w14:paraId="20123C31" w14:textId="77777777" w:rsidR="004E7F8A" w:rsidRPr="00562527" w:rsidRDefault="004E7F8A" w:rsidP="00562527">
      <w:pPr>
        <w:spacing w:before="160" w:line="360" w:lineRule="auto"/>
        <w:jc w:val="both"/>
        <w:rPr>
          <w:rFonts w:ascii="David" w:hAnsi="David"/>
          <w:rtl/>
        </w:rPr>
      </w:pPr>
      <w:r w:rsidRPr="00562527">
        <w:rPr>
          <w:rFonts w:ascii="David" w:hAnsi="David"/>
          <w:rtl/>
        </w:rPr>
        <w:t xml:space="preserve">ב"כ הנאשם טען, כי אין בסיס לטענת המאשימה כי אחת המטרות של תיקון 137 היא החמרה בעבירה של המתה באדישות, שנובעת מכך שלפי הדין החדש שלאחר התיקון, מדובר בעבירה של רצח, בשונה מהדין הישן שבו עבירה זו של המתה באדישות הוגדרה כעבירה של הריגה. לדבריו, הרפורמה בעבירות המתה יצרה למעשה קבוצה חדשה של עבירות המתה, אשר בה תחת הכותרת של עבירת הרצח הבסיסית כלולות גם העבירה של המתה באדישות, שכאמור הוגדרה בעבר כעבירת הריגה שהעונש המרבי עליה היה 20 שנות מאסר, וגם עבירה של רצח, בלי נסיבות מחמירות, שבה לפי הדין הישן, העונש הוא מאסר עולם חובה, ואין כל אזכור לכוונתו של המחוקק להעלות את רף הענישה בגין עבירות ההמתה שבוצעו באדישות, לעומת רף הענישה שהיה קיים לפי הדין הישן. לכן, למרות שהעונש המרבי על כל העבירות בקבוצה זו הוא מאסר עולם, עדיין יש להבחין בין העבירות השונות בקבוצה, ולדבריו מקובל על כולם שהעונש על רצח באדישות צריך להיות פחות חמור מהעונש על רצח בכוונה. </w:t>
      </w:r>
    </w:p>
    <w:p w14:paraId="769BECDA" w14:textId="77777777" w:rsidR="004E7F8A" w:rsidRPr="00562527" w:rsidRDefault="004E7F8A" w:rsidP="00562527">
      <w:pPr>
        <w:spacing w:before="160" w:line="360" w:lineRule="auto"/>
        <w:jc w:val="both"/>
        <w:rPr>
          <w:rFonts w:ascii="David" w:hAnsi="David"/>
        </w:rPr>
      </w:pPr>
      <w:r w:rsidRPr="00562527">
        <w:rPr>
          <w:rFonts w:ascii="David" w:hAnsi="David"/>
          <w:rtl/>
        </w:rPr>
        <w:t xml:space="preserve">בהמשך טיעוניו הפנה ב"כ הנאשם לגזר דין שניתן בבית משפט זה בעניין </w:t>
      </w:r>
      <w:r w:rsidRPr="00562527">
        <w:rPr>
          <w:rFonts w:ascii="David" w:hAnsi="David"/>
          <w:b/>
          <w:bCs/>
          <w:rtl/>
        </w:rPr>
        <w:t>שלו מורי</w:t>
      </w:r>
      <w:r w:rsidRPr="00562527">
        <w:rPr>
          <w:rFonts w:ascii="David" w:hAnsi="David"/>
          <w:rtl/>
        </w:rPr>
        <w:t xml:space="preserve"> (</w:t>
      </w:r>
      <w:hyperlink r:id="rId18" w:history="1">
        <w:r w:rsidR="001D6899" w:rsidRPr="001D6899">
          <w:rPr>
            <w:rFonts w:ascii="David" w:hAnsi="David"/>
            <w:color w:val="0000FF"/>
            <w:u w:val="single"/>
            <w:rtl/>
          </w:rPr>
          <w:t>תפ"ח 49705-06-20</w:t>
        </w:r>
      </w:hyperlink>
      <w:r w:rsidRPr="00562527">
        <w:rPr>
          <w:rFonts w:ascii="David" w:hAnsi="David"/>
          <w:rtl/>
        </w:rPr>
        <w:t>, פורסם בנבו, 27.12.2021), אשר בו נגזר על הנאשם שהורשע בעבירה של רצח באדישות עונש של 12 שנות מאסר, ביחד עם עונשים נלווים, וטען כי עניינו של הנאשם דהתם, שהורשע גם בעבירה נוספת של נשיאת נשק, חמור יותר מעניינו של הנאשם דהכא, שהורשע רק בעבירה אחת של רצח. זאת, מפני שבנוסף לעבירה הנוספת שבה הורשע מורי, הרצח שם בוצע לאחר שהנאשם חבר לכמה אנשים נוספים, ולפי התכנון המקורי היה אמור לדקור את המנוח, בגלל סכסוך עם אחד מהם. כמו כן, הנאשם שם היה בעל עבר פלילי שכולל מאסר מותנה בר הפעלה, בשונה מהנאשם דנא, שאין לו רישום פלילי בישראל .</w:t>
      </w:r>
    </w:p>
    <w:p w14:paraId="56DA6B38" w14:textId="77777777" w:rsidR="004E7F8A" w:rsidRPr="00562527" w:rsidRDefault="004E7F8A" w:rsidP="00562527">
      <w:pPr>
        <w:spacing w:before="160" w:line="360" w:lineRule="auto"/>
        <w:jc w:val="both"/>
        <w:rPr>
          <w:rFonts w:ascii="David" w:hAnsi="David"/>
          <w:rtl/>
        </w:rPr>
      </w:pPr>
      <w:r w:rsidRPr="00562527">
        <w:rPr>
          <w:rFonts w:ascii="David" w:hAnsi="David"/>
          <w:rtl/>
        </w:rPr>
        <w:t xml:space="preserve">כמו כן הפנה ב"כ הנאשם לגזר דין נוסף שניתן לאחרונה בעבירה של רצח באדישות בעניין </w:t>
      </w:r>
      <w:r w:rsidRPr="00562527">
        <w:rPr>
          <w:rFonts w:ascii="David" w:hAnsi="David"/>
          <w:b/>
          <w:bCs/>
          <w:rtl/>
        </w:rPr>
        <w:t>חוג'יראת</w:t>
      </w:r>
      <w:r w:rsidRPr="00562527">
        <w:rPr>
          <w:rFonts w:ascii="David" w:hAnsi="David"/>
          <w:rtl/>
        </w:rPr>
        <w:t xml:space="preserve"> (</w:t>
      </w:r>
      <w:hyperlink r:id="rId19" w:history="1">
        <w:r w:rsidR="00F42DF7" w:rsidRPr="00F42DF7">
          <w:rPr>
            <w:rStyle w:val="Hyperlink"/>
            <w:rFonts w:ascii="David" w:hAnsi="David"/>
            <w:rtl/>
          </w:rPr>
          <w:t>תפ"ח (חיפה) 2690-09-19</w:t>
        </w:r>
      </w:hyperlink>
      <w:r w:rsidRPr="00562527">
        <w:rPr>
          <w:rFonts w:ascii="David" w:hAnsi="David"/>
          <w:rtl/>
        </w:rPr>
        <w:t xml:space="preserve">, פורסם בנבו, 7.2.2022), שבו נדון עניינו של נאשם שהורשע בעבירה של רצח באדישות ובעבירות נוספות של חבלה בכוונה מחמירה ועבירות בנשק.  המדינה עתרה שם למתחם ענישה שנע בין 20 ל-26 שנות מאסר, וב"כ הנאשם טען כי הנסיבות שם חמורות בהרבה מהנסיבות שלפנינו, מפני ששם היה מדובר </w:t>
      </w:r>
      <w:r w:rsidRPr="00562527">
        <w:rPr>
          <w:rFonts w:ascii="David" w:hAnsi="David"/>
          <w:b/>
          <w:bCs/>
          <w:rtl/>
        </w:rPr>
        <w:t>"בירי מכוון אחרי שיקול דעת מלא שבוצע ע"י הנאשם שהצטייד מבעוד מועד בנשק אוטומטי"</w:t>
      </w:r>
      <w:r w:rsidRPr="00562527">
        <w:rPr>
          <w:rFonts w:ascii="David" w:hAnsi="David"/>
          <w:rtl/>
        </w:rPr>
        <w:t xml:space="preserve">, בשונה מהמקרה דנן שבו </w:t>
      </w:r>
      <w:r w:rsidRPr="00562527">
        <w:rPr>
          <w:rFonts w:ascii="David" w:hAnsi="David"/>
          <w:b/>
          <w:bCs/>
          <w:rtl/>
        </w:rPr>
        <w:t xml:space="preserve">"מדובר באירוע ספונטני, שקרה בביתו של הנאשם, כשלמנוח תרומה להסלמת האירוע", </w:t>
      </w:r>
      <w:r w:rsidRPr="00562527">
        <w:rPr>
          <w:rFonts w:ascii="David" w:hAnsi="David"/>
          <w:rtl/>
        </w:rPr>
        <w:t>ומכאן</w:t>
      </w:r>
      <w:r w:rsidRPr="00562527">
        <w:rPr>
          <w:rFonts w:ascii="David" w:hAnsi="David"/>
          <w:b/>
          <w:bCs/>
          <w:rtl/>
        </w:rPr>
        <w:t xml:space="preserve"> </w:t>
      </w:r>
      <w:r w:rsidRPr="00562527">
        <w:rPr>
          <w:rFonts w:ascii="David" w:hAnsi="David"/>
          <w:rtl/>
        </w:rPr>
        <w:t xml:space="preserve">תמיהתו על עתירת המאשימה בעניינינו למתחם ענישה גבוה יותר שנע בין  22 ל-27 שנות מאסר. </w:t>
      </w:r>
    </w:p>
    <w:p w14:paraId="14501F49" w14:textId="77777777" w:rsidR="004E7F8A" w:rsidRPr="00562527" w:rsidRDefault="004E7F8A" w:rsidP="00562527">
      <w:pPr>
        <w:spacing w:before="160" w:line="360" w:lineRule="auto"/>
        <w:jc w:val="both"/>
        <w:rPr>
          <w:rFonts w:ascii="David" w:hAnsi="David"/>
          <w:rtl/>
        </w:rPr>
      </w:pPr>
      <w:r w:rsidRPr="00562527">
        <w:rPr>
          <w:rFonts w:ascii="David" w:hAnsi="David"/>
          <w:rtl/>
        </w:rPr>
        <w:t xml:space="preserve">בסוף טיעוניו טען ב"כ הנאשם כי מדובר בנאשם שהודה בהזדמנות הראשונה, וכי אלמלא הודאתו של הנאשם ספק אם היה ניתן להרשיעו בעבירה זו, והוסיף כי מדובר באדם שאינו דובר השפה העברית, ויצטרך לרצות את מאסרו בין דוברי השפה העברית, עובדה שיש בה קושי, ולעניין זה הפנה לפסיקה שבה בית המשפט העליון הקל בענישה אך משום שמדובר באנשים שתנאי הכליאה קשים עבורם. מכאן עתירתו למתחם שנע בין 10 ל-16 שנות מאסר, שנסמכת בין היתר על גזרי דין שניתנו לטענתו בנסיבות דומות, בעבירות הריגה, על פי הדין הישן. </w:t>
      </w:r>
    </w:p>
    <w:p w14:paraId="60CCE220" w14:textId="77777777" w:rsidR="004E7F8A" w:rsidRPr="00562527" w:rsidRDefault="004E7F8A" w:rsidP="00562527">
      <w:pPr>
        <w:pStyle w:val="ab"/>
        <w:numPr>
          <w:ilvl w:val="0"/>
          <w:numId w:val="3"/>
        </w:numPr>
        <w:spacing w:before="160" w:after="0" w:line="360" w:lineRule="auto"/>
        <w:jc w:val="both"/>
        <w:rPr>
          <w:rFonts w:ascii="David" w:hAnsi="David" w:cs="David"/>
          <w:b/>
          <w:bCs/>
          <w:sz w:val="24"/>
          <w:szCs w:val="24"/>
        </w:rPr>
      </w:pPr>
      <w:r w:rsidRPr="00562527">
        <w:rPr>
          <w:rFonts w:ascii="David" w:hAnsi="David" w:cs="David"/>
          <w:b/>
          <w:bCs/>
          <w:sz w:val="24"/>
          <w:szCs w:val="24"/>
          <w:rtl/>
        </w:rPr>
        <w:t>דיון והכרעה</w:t>
      </w:r>
    </w:p>
    <w:p w14:paraId="2F0BBEB7" w14:textId="77777777" w:rsidR="004E7F8A" w:rsidRPr="00562527" w:rsidRDefault="004E7F8A" w:rsidP="00562527">
      <w:pPr>
        <w:spacing w:before="160" w:line="360" w:lineRule="auto"/>
        <w:jc w:val="both"/>
        <w:rPr>
          <w:rFonts w:ascii="David" w:hAnsi="David"/>
          <w:rtl/>
        </w:rPr>
      </w:pPr>
      <w:r w:rsidRPr="00562527">
        <w:rPr>
          <w:rFonts w:ascii="David" w:hAnsi="David"/>
          <w:rtl/>
        </w:rPr>
        <w:t xml:space="preserve">הנאשם הורשע בעבירה של רצח לפי </w:t>
      </w:r>
      <w:hyperlink r:id="rId20" w:history="1">
        <w:r w:rsidR="00A21B55" w:rsidRPr="00A21B55">
          <w:rPr>
            <w:rStyle w:val="Hyperlink"/>
            <w:rFonts w:ascii="David" w:hAnsi="David"/>
            <w:rtl/>
          </w:rPr>
          <w:t>סעיף 300 (א)</w:t>
        </w:r>
      </w:hyperlink>
      <w:r w:rsidRPr="00562527">
        <w:rPr>
          <w:rFonts w:ascii="David" w:hAnsi="David"/>
          <w:rtl/>
        </w:rPr>
        <w:t xml:space="preserve"> ל</w:t>
      </w:r>
      <w:hyperlink r:id="rId21" w:history="1">
        <w:r w:rsidR="001D6899" w:rsidRPr="001D6899">
          <w:rPr>
            <w:rFonts w:ascii="David" w:hAnsi="David"/>
            <w:color w:val="0000FF"/>
            <w:u w:val="single"/>
            <w:rtl/>
          </w:rPr>
          <w:t>חוק העונשין</w:t>
        </w:r>
      </w:hyperlink>
      <w:r w:rsidRPr="00562527">
        <w:rPr>
          <w:rFonts w:ascii="David" w:hAnsi="David"/>
          <w:rtl/>
        </w:rPr>
        <w:t xml:space="preserve"> ביסוד נפשי של אדישות. בפתח הדברים, ראוי לציין את המובן מאליו, כי לא יכולה להיות מחלוקת בדבר החומרה הרבה שיש בעבירות אלימות בכלל, ובעבירות הרצח בפרט, גם אם מדובר ביסוד נפשי של אדישות, ויפים לעניין זה דברי ההסבר שנאמרו בהצעת החוק של תיקון 137:</w:t>
      </w:r>
    </w:p>
    <w:p w14:paraId="70A04B31" w14:textId="77777777" w:rsidR="004E7F8A" w:rsidRPr="00562527" w:rsidRDefault="004E7F8A" w:rsidP="00562527">
      <w:pPr>
        <w:pStyle w:val="Ruller40"/>
        <w:spacing w:before="160"/>
        <w:ind w:left="1134" w:right="1134"/>
        <w:rPr>
          <w:rStyle w:val="Ruller4"/>
          <w:rFonts w:ascii="David" w:hAnsi="David" w:cs="David"/>
          <w:b/>
          <w:bCs/>
          <w:spacing w:val="0"/>
          <w:sz w:val="20"/>
          <w:szCs w:val="24"/>
          <w:u w:val="single"/>
          <w:rtl/>
        </w:rPr>
      </w:pPr>
      <w:r w:rsidRPr="00562527">
        <w:rPr>
          <w:rFonts w:ascii="David" w:hAnsi="David" w:cs="David"/>
          <w:b/>
          <w:bCs/>
          <w:spacing w:val="0"/>
          <w:sz w:val="24"/>
          <w:szCs w:val="24"/>
          <w:rtl/>
        </w:rPr>
        <w:t>היסוד</w:t>
      </w:r>
      <w:r w:rsidRPr="00562527">
        <w:rPr>
          <w:rFonts w:ascii="David" w:hAnsi="David" w:cs="David"/>
          <w:b/>
          <w:bCs/>
          <w:spacing w:val="0"/>
          <w:sz w:val="24"/>
          <w:szCs w:val="24"/>
        </w:rPr>
        <w:t xml:space="preserve"> </w:t>
      </w:r>
      <w:r w:rsidRPr="00562527">
        <w:rPr>
          <w:rFonts w:ascii="David" w:hAnsi="David" w:cs="David"/>
          <w:b/>
          <w:bCs/>
          <w:spacing w:val="0"/>
          <w:sz w:val="24"/>
          <w:szCs w:val="24"/>
          <w:rtl/>
        </w:rPr>
        <w:t>הנפשי</w:t>
      </w:r>
      <w:r w:rsidRPr="00562527">
        <w:rPr>
          <w:rFonts w:ascii="David" w:hAnsi="David" w:cs="David"/>
          <w:b/>
          <w:bCs/>
          <w:spacing w:val="0"/>
          <w:sz w:val="24"/>
          <w:szCs w:val="24"/>
        </w:rPr>
        <w:t xml:space="preserve"> </w:t>
      </w:r>
      <w:r w:rsidRPr="00562527">
        <w:rPr>
          <w:rFonts w:ascii="David" w:hAnsi="David" w:cs="David"/>
          <w:b/>
          <w:bCs/>
          <w:spacing w:val="0"/>
          <w:sz w:val="24"/>
          <w:szCs w:val="24"/>
          <w:rtl/>
        </w:rPr>
        <w:t>של</w:t>
      </w:r>
      <w:r w:rsidRPr="00562527">
        <w:rPr>
          <w:rFonts w:ascii="David" w:hAnsi="David" w:cs="David"/>
          <w:b/>
          <w:bCs/>
          <w:spacing w:val="0"/>
          <w:sz w:val="24"/>
          <w:szCs w:val="24"/>
        </w:rPr>
        <w:t xml:space="preserve"> </w:t>
      </w:r>
      <w:r w:rsidRPr="00562527">
        <w:rPr>
          <w:rFonts w:ascii="David" w:hAnsi="David" w:cs="David"/>
          <w:b/>
          <w:bCs/>
          <w:spacing w:val="0"/>
          <w:sz w:val="24"/>
          <w:szCs w:val="24"/>
          <w:rtl/>
        </w:rPr>
        <w:t>אדישות</w:t>
      </w:r>
      <w:r w:rsidRPr="00562527">
        <w:rPr>
          <w:rFonts w:ascii="David" w:hAnsi="David" w:cs="David"/>
          <w:b/>
          <w:bCs/>
          <w:spacing w:val="0"/>
          <w:sz w:val="24"/>
          <w:szCs w:val="24"/>
        </w:rPr>
        <w:t xml:space="preserve"> </w:t>
      </w:r>
      <w:r w:rsidRPr="00562527">
        <w:rPr>
          <w:rFonts w:ascii="David" w:hAnsi="David" w:cs="David"/>
          <w:b/>
          <w:bCs/>
          <w:spacing w:val="0"/>
          <w:sz w:val="24"/>
          <w:szCs w:val="24"/>
          <w:rtl/>
        </w:rPr>
        <w:t>הולם</w:t>
      </w:r>
      <w:r w:rsidRPr="00562527">
        <w:rPr>
          <w:rFonts w:ascii="David" w:hAnsi="David" w:cs="David"/>
          <w:b/>
          <w:bCs/>
          <w:spacing w:val="0"/>
          <w:sz w:val="24"/>
          <w:szCs w:val="24"/>
        </w:rPr>
        <w:t xml:space="preserve"> </w:t>
      </w:r>
      <w:r w:rsidRPr="00562527">
        <w:rPr>
          <w:rFonts w:ascii="David" w:hAnsi="David" w:cs="David"/>
          <w:b/>
          <w:bCs/>
          <w:spacing w:val="0"/>
          <w:sz w:val="24"/>
          <w:szCs w:val="24"/>
          <w:rtl/>
        </w:rPr>
        <w:t>את</w:t>
      </w:r>
      <w:r w:rsidRPr="00562527">
        <w:rPr>
          <w:rFonts w:ascii="David" w:hAnsi="David" w:cs="David"/>
          <w:b/>
          <w:bCs/>
          <w:spacing w:val="0"/>
          <w:sz w:val="24"/>
          <w:szCs w:val="24"/>
        </w:rPr>
        <w:t xml:space="preserve"> </w:t>
      </w:r>
      <w:r w:rsidRPr="00562527">
        <w:rPr>
          <w:rFonts w:ascii="David" w:hAnsi="David" w:cs="David"/>
          <w:b/>
          <w:bCs/>
          <w:spacing w:val="0"/>
          <w:sz w:val="24"/>
          <w:szCs w:val="24"/>
          <w:rtl/>
        </w:rPr>
        <w:t>עבירת</w:t>
      </w:r>
      <w:r w:rsidRPr="00562527">
        <w:rPr>
          <w:rFonts w:ascii="David" w:hAnsi="David" w:cs="David"/>
          <w:b/>
          <w:bCs/>
          <w:spacing w:val="0"/>
          <w:sz w:val="24"/>
          <w:szCs w:val="24"/>
        </w:rPr>
        <w:t xml:space="preserve"> </w:t>
      </w:r>
      <w:r w:rsidRPr="00562527">
        <w:rPr>
          <w:rFonts w:ascii="David" w:hAnsi="David" w:cs="David"/>
          <w:b/>
          <w:bCs/>
          <w:spacing w:val="0"/>
          <w:sz w:val="24"/>
          <w:szCs w:val="24"/>
          <w:rtl/>
        </w:rPr>
        <w:t>הרצח</w:t>
      </w:r>
      <w:r w:rsidRPr="00562527">
        <w:rPr>
          <w:rStyle w:val="Ruller4"/>
          <w:rFonts w:ascii="David" w:hAnsi="David" w:cs="David"/>
          <w:b/>
          <w:bCs/>
          <w:spacing w:val="0"/>
          <w:sz w:val="20"/>
          <w:rtl/>
        </w:rPr>
        <w:t xml:space="preserve"> </w:t>
      </w:r>
      <w:r w:rsidRPr="00562527">
        <w:rPr>
          <w:rFonts w:ascii="David" w:hAnsi="David" w:cs="David"/>
          <w:b/>
          <w:bCs/>
          <w:spacing w:val="0"/>
          <w:sz w:val="24"/>
          <w:szCs w:val="24"/>
          <w:rtl/>
        </w:rPr>
        <w:t>בנוסחה</w:t>
      </w:r>
      <w:r w:rsidRPr="00562527">
        <w:rPr>
          <w:rFonts w:ascii="David" w:hAnsi="David" w:cs="David"/>
          <w:b/>
          <w:bCs/>
          <w:spacing w:val="0"/>
          <w:sz w:val="24"/>
          <w:szCs w:val="24"/>
        </w:rPr>
        <w:t xml:space="preserve"> </w:t>
      </w:r>
      <w:r w:rsidRPr="00562527">
        <w:rPr>
          <w:rFonts w:ascii="David" w:hAnsi="David" w:cs="David"/>
          <w:b/>
          <w:bCs/>
          <w:spacing w:val="0"/>
          <w:sz w:val="24"/>
          <w:szCs w:val="24"/>
          <w:rtl/>
        </w:rPr>
        <w:t>המוצע,</w:t>
      </w:r>
      <w:r w:rsidRPr="00562527">
        <w:rPr>
          <w:rFonts w:ascii="David" w:hAnsi="David" w:cs="David"/>
          <w:b/>
          <w:bCs/>
          <w:spacing w:val="0"/>
          <w:sz w:val="24"/>
          <w:szCs w:val="24"/>
        </w:rPr>
        <w:t xml:space="preserve"> </w:t>
      </w:r>
      <w:r w:rsidRPr="00562527">
        <w:rPr>
          <w:rFonts w:ascii="David" w:hAnsi="David" w:cs="David"/>
          <w:b/>
          <w:bCs/>
          <w:spacing w:val="0"/>
          <w:sz w:val="24"/>
          <w:szCs w:val="24"/>
          <w:u w:val="single"/>
          <w:rtl/>
        </w:rPr>
        <w:t>משום</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שהוא</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מגלם</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עמדה</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שלילית</w:t>
      </w:r>
      <w:r w:rsidRPr="00562527">
        <w:rPr>
          <w:rStyle w:val="Ruller4"/>
          <w:rFonts w:ascii="David" w:hAnsi="David" w:cs="David"/>
          <w:b/>
          <w:bCs/>
          <w:spacing w:val="0"/>
          <w:sz w:val="20"/>
          <w:u w:val="single"/>
          <w:rtl/>
        </w:rPr>
        <w:t xml:space="preserve"> </w:t>
      </w:r>
      <w:r w:rsidRPr="00562527">
        <w:rPr>
          <w:rFonts w:ascii="David" w:hAnsi="David" w:cs="David"/>
          <w:b/>
          <w:bCs/>
          <w:spacing w:val="0"/>
          <w:sz w:val="24"/>
          <w:szCs w:val="24"/>
          <w:u w:val="single"/>
          <w:rtl/>
        </w:rPr>
        <w:t>מובהקת</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ויסוד</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נפשי</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מגונה</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כלפי</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הערך</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של</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חיי</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אדם</w:t>
      </w:r>
      <w:r w:rsidRPr="00562527">
        <w:rPr>
          <w:rFonts w:ascii="David" w:hAnsi="David" w:cs="David"/>
          <w:b/>
          <w:bCs/>
          <w:spacing w:val="0"/>
          <w:sz w:val="24"/>
          <w:szCs w:val="24"/>
        </w:rPr>
        <w:t>.</w:t>
      </w:r>
      <w:r w:rsidRPr="00562527">
        <w:rPr>
          <w:rFonts w:ascii="David" w:hAnsi="David" w:cs="David"/>
          <w:b/>
          <w:bCs/>
          <w:spacing w:val="0"/>
          <w:sz w:val="24"/>
          <w:szCs w:val="24"/>
          <w:rtl/>
        </w:rPr>
        <w:t xml:space="preserve"> היסוד הנפשי</w:t>
      </w:r>
      <w:r w:rsidRPr="00562527">
        <w:rPr>
          <w:rFonts w:ascii="David" w:hAnsi="David" w:cs="David"/>
          <w:b/>
          <w:bCs/>
          <w:spacing w:val="0"/>
          <w:sz w:val="24"/>
          <w:szCs w:val="24"/>
        </w:rPr>
        <w:t xml:space="preserve"> </w:t>
      </w:r>
      <w:r w:rsidRPr="00562527">
        <w:rPr>
          <w:rFonts w:ascii="David" w:hAnsi="David" w:cs="David"/>
          <w:b/>
          <w:bCs/>
          <w:spacing w:val="0"/>
          <w:sz w:val="24"/>
          <w:szCs w:val="24"/>
          <w:rtl/>
        </w:rPr>
        <w:t>של</w:t>
      </w:r>
      <w:r w:rsidRPr="00562527">
        <w:rPr>
          <w:rFonts w:ascii="David" w:hAnsi="David" w:cs="David"/>
          <w:b/>
          <w:bCs/>
          <w:spacing w:val="0"/>
          <w:sz w:val="24"/>
          <w:szCs w:val="24"/>
        </w:rPr>
        <w:t xml:space="preserve"> </w:t>
      </w:r>
      <w:r w:rsidRPr="00562527">
        <w:rPr>
          <w:rFonts w:ascii="David" w:hAnsi="David" w:cs="David"/>
          <w:b/>
          <w:bCs/>
          <w:spacing w:val="0"/>
          <w:sz w:val="24"/>
          <w:szCs w:val="24"/>
          <w:rtl/>
        </w:rPr>
        <w:t>אדישות</w:t>
      </w:r>
      <w:r w:rsidRPr="00562527">
        <w:rPr>
          <w:rFonts w:ascii="David" w:hAnsi="David" w:cs="David"/>
          <w:b/>
          <w:bCs/>
          <w:spacing w:val="0"/>
          <w:sz w:val="24"/>
          <w:szCs w:val="24"/>
        </w:rPr>
        <w:t xml:space="preserve"> </w:t>
      </w:r>
      <w:r w:rsidRPr="00562527">
        <w:rPr>
          <w:rFonts w:ascii="David" w:hAnsi="David" w:cs="David"/>
          <w:b/>
          <w:bCs/>
          <w:spacing w:val="0"/>
          <w:sz w:val="24"/>
          <w:szCs w:val="24"/>
          <w:rtl/>
        </w:rPr>
        <w:t>מוגדר</w:t>
      </w:r>
      <w:r w:rsidRPr="00562527">
        <w:rPr>
          <w:rFonts w:ascii="David" w:hAnsi="David" w:cs="David"/>
          <w:b/>
          <w:bCs/>
          <w:spacing w:val="0"/>
          <w:sz w:val="24"/>
          <w:szCs w:val="24"/>
        </w:rPr>
        <w:t xml:space="preserve"> </w:t>
      </w:r>
      <w:r w:rsidRPr="00562527">
        <w:rPr>
          <w:rFonts w:ascii="David" w:hAnsi="David" w:cs="David"/>
          <w:b/>
          <w:bCs/>
          <w:spacing w:val="0"/>
          <w:sz w:val="24"/>
          <w:szCs w:val="24"/>
          <w:rtl/>
        </w:rPr>
        <w:t>בסעיף</w:t>
      </w:r>
      <w:r w:rsidRPr="00562527">
        <w:rPr>
          <w:rFonts w:ascii="David" w:hAnsi="David" w:cs="David"/>
          <w:b/>
          <w:bCs/>
          <w:spacing w:val="0"/>
          <w:sz w:val="24"/>
          <w:szCs w:val="24"/>
        </w:rPr>
        <w:t xml:space="preserve"> 20</w:t>
      </w:r>
      <w:r w:rsidRPr="00562527">
        <w:rPr>
          <w:rFonts w:ascii="David" w:hAnsi="David" w:cs="David"/>
          <w:b/>
          <w:bCs/>
          <w:spacing w:val="0"/>
          <w:sz w:val="24"/>
          <w:szCs w:val="24"/>
          <w:rtl/>
        </w:rPr>
        <w:t>(א)(2)(א) ל</w:t>
      </w:r>
      <w:hyperlink r:id="rId22" w:history="1">
        <w:r w:rsidR="001D6899" w:rsidRPr="001D6899">
          <w:rPr>
            <w:rFonts w:ascii="David" w:hAnsi="David" w:cs="David"/>
            <w:b/>
            <w:bCs/>
            <w:color w:val="0000FF"/>
            <w:spacing w:val="0"/>
            <w:sz w:val="24"/>
            <w:szCs w:val="24"/>
            <w:u w:val="single"/>
            <w:rtl/>
          </w:rPr>
          <w:t>חוק העונשין</w:t>
        </w:r>
      </w:hyperlink>
      <w:r w:rsidRPr="00562527">
        <w:rPr>
          <w:rFonts w:ascii="David" w:hAnsi="David" w:cs="David"/>
          <w:b/>
          <w:bCs/>
          <w:spacing w:val="0"/>
          <w:sz w:val="24"/>
          <w:szCs w:val="24"/>
          <w:rtl/>
        </w:rPr>
        <w:t xml:space="preserve"> כשוויון</w:t>
      </w:r>
      <w:r w:rsidRPr="00562527">
        <w:rPr>
          <w:rFonts w:ascii="David" w:hAnsi="David" w:cs="David"/>
          <w:b/>
          <w:bCs/>
          <w:spacing w:val="0"/>
          <w:sz w:val="24"/>
          <w:szCs w:val="24"/>
        </w:rPr>
        <w:t xml:space="preserve"> </w:t>
      </w:r>
      <w:r w:rsidRPr="00562527">
        <w:rPr>
          <w:rFonts w:ascii="David" w:hAnsi="David" w:cs="David"/>
          <w:b/>
          <w:bCs/>
          <w:spacing w:val="0"/>
          <w:sz w:val="24"/>
          <w:szCs w:val="24"/>
          <w:rtl/>
        </w:rPr>
        <w:t>נפש</w:t>
      </w:r>
      <w:r w:rsidRPr="00562527">
        <w:rPr>
          <w:rFonts w:ascii="David" w:hAnsi="David" w:cs="David"/>
          <w:b/>
          <w:bCs/>
          <w:spacing w:val="0"/>
          <w:sz w:val="24"/>
          <w:szCs w:val="24"/>
        </w:rPr>
        <w:t xml:space="preserve"> </w:t>
      </w:r>
      <w:r w:rsidRPr="00562527">
        <w:rPr>
          <w:rFonts w:ascii="David" w:hAnsi="David" w:cs="David"/>
          <w:b/>
          <w:bCs/>
          <w:spacing w:val="0"/>
          <w:sz w:val="24"/>
          <w:szCs w:val="24"/>
          <w:rtl/>
        </w:rPr>
        <w:t>לאפשרות</w:t>
      </w:r>
      <w:r w:rsidRPr="00562527">
        <w:rPr>
          <w:rFonts w:ascii="David" w:hAnsi="David" w:cs="David"/>
          <w:b/>
          <w:bCs/>
          <w:spacing w:val="0"/>
          <w:sz w:val="24"/>
          <w:szCs w:val="24"/>
        </w:rPr>
        <w:t xml:space="preserve"> </w:t>
      </w:r>
      <w:r w:rsidRPr="00562527">
        <w:rPr>
          <w:rFonts w:ascii="David" w:hAnsi="David" w:cs="David"/>
          <w:b/>
          <w:bCs/>
          <w:spacing w:val="0"/>
          <w:sz w:val="24"/>
          <w:szCs w:val="24"/>
          <w:rtl/>
        </w:rPr>
        <w:t>גרימת</w:t>
      </w:r>
      <w:r w:rsidRPr="00562527">
        <w:rPr>
          <w:rFonts w:ascii="David" w:hAnsi="David" w:cs="David"/>
          <w:b/>
          <w:bCs/>
          <w:spacing w:val="0"/>
          <w:sz w:val="24"/>
          <w:szCs w:val="24"/>
        </w:rPr>
        <w:t xml:space="preserve"> </w:t>
      </w:r>
      <w:r w:rsidRPr="00562527">
        <w:rPr>
          <w:rFonts w:ascii="David" w:hAnsi="David" w:cs="David"/>
          <w:b/>
          <w:bCs/>
          <w:spacing w:val="0"/>
          <w:sz w:val="24"/>
          <w:szCs w:val="24"/>
          <w:rtl/>
        </w:rPr>
        <w:t>תוצאות</w:t>
      </w:r>
      <w:r w:rsidRPr="00562527">
        <w:rPr>
          <w:rFonts w:ascii="David" w:hAnsi="David" w:cs="David"/>
          <w:b/>
          <w:bCs/>
          <w:spacing w:val="0"/>
          <w:sz w:val="24"/>
          <w:szCs w:val="24"/>
        </w:rPr>
        <w:t xml:space="preserve"> </w:t>
      </w:r>
      <w:r w:rsidRPr="00562527">
        <w:rPr>
          <w:rFonts w:ascii="David" w:hAnsi="David" w:cs="David"/>
          <w:b/>
          <w:bCs/>
          <w:spacing w:val="0"/>
          <w:sz w:val="24"/>
          <w:szCs w:val="24"/>
          <w:rtl/>
        </w:rPr>
        <w:t>המעשה</w:t>
      </w:r>
      <w:r w:rsidRPr="00562527">
        <w:rPr>
          <w:rFonts w:ascii="David" w:hAnsi="David" w:cs="David"/>
          <w:b/>
          <w:bCs/>
          <w:spacing w:val="0"/>
          <w:sz w:val="24"/>
          <w:szCs w:val="24"/>
        </w:rPr>
        <w:t xml:space="preserve"> </w:t>
      </w:r>
      <w:r w:rsidRPr="00562527">
        <w:rPr>
          <w:rFonts w:ascii="David" w:hAnsi="David" w:cs="David"/>
          <w:b/>
          <w:bCs/>
          <w:spacing w:val="0"/>
          <w:sz w:val="24"/>
          <w:szCs w:val="24"/>
          <w:rtl/>
        </w:rPr>
        <w:t>הנמנות עם</w:t>
      </w:r>
      <w:r w:rsidRPr="00562527">
        <w:rPr>
          <w:rFonts w:ascii="David" w:hAnsi="David" w:cs="David"/>
          <w:b/>
          <w:bCs/>
          <w:spacing w:val="0"/>
          <w:sz w:val="24"/>
          <w:szCs w:val="24"/>
        </w:rPr>
        <w:t xml:space="preserve"> </w:t>
      </w:r>
      <w:r w:rsidRPr="00562527">
        <w:rPr>
          <w:rFonts w:ascii="David" w:hAnsi="David" w:cs="David"/>
          <w:b/>
          <w:bCs/>
          <w:spacing w:val="0"/>
          <w:sz w:val="24"/>
          <w:szCs w:val="24"/>
          <w:rtl/>
        </w:rPr>
        <w:t>פרטי</w:t>
      </w:r>
      <w:r w:rsidRPr="00562527">
        <w:rPr>
          <w:rFonts w:ascii="David" w:hAnsi="David" w:cs="David"/>
          <w:b/>
          <w:bCs/>
          <w:spacing w:val="0"/>
          <w:sz w:val="24"/>
          <w:szCs w:val="24"/>
        </w:rPr>
        <w:t xml:space="preserve"> </w:t>
      </w:r>
      <w:r w:rsidRPr="00562527">
        <w:rPr>
          <w:rFonts w:ascii="David" w:hAnsi="David" w:cs="David"/>
          <w:b/>
          <w:bCs/>
          <w:spacing w:val="0"/>
          <w:sz w:val="24"/>
          <w:szCs w:val="24"/>
          <w:rtl/>
        </w:rPr>
        <w:t>העבירה</w:t>
      </w:r>
      <w:r w:rsidRPr="00562527">
        <w:rPr>
          <w:rFonts w:ascii="David" w:hAnsi="David" w:cs="David"/>
          <w:b/>
          <w:bCs/>
          <w:spacing w:val="0"/>
          <w:sz w:val="24"/>
          <w:szCs w:val="24"/>
        </w:rPr>
        <w:t>.</w:t>
      </w:r>
      <w:r w:rsidRPr="00562527">
        <w:rPr>
          <w:rFonts w:ascii="David" w:hAnsi="David" w:cs="David"/>
          <w:b/>
          <w:bCs/>
          <w:spacing w:val="0"/>
          <w:sz w:val="24"/>
          <w:szCs w:val="24"/>
          <w:rtl/>
        </w:rPr>
        <w:t xml:space="preserve"> העושה</w:t>
      </w:r>
      <w:r w:rsidRPr="00562527">
        <w:rPr>
          <w:rFonts w:ascii="David" w:hAnsi="David" w:cs="David"/>
          <w:b/>
          <w:bCs/>
          <w:spacing w:val="0"/>
          <w:sz w:val="24"/>
          <w:szCs w:val="24"/>
        </w:rPr>
        <w:t xml:space="preserve"> </w:t>
      </w:r>
      <w:r w:rsidRPr="00562527">
        <w:rPr>
          <w:rFonts w:ascii="David" w:hAnsi="David" w:cs="David"/>
          <w:b/>
          <w:bCs/>
          <w:spacing w:val="0"/>
          <w:sz w:val="24"/>
          <w:szCs w:val="24"/>
          <w:rtl/>
        </w:rPr>
        <w:t>האדיש</w:t>
      </w:r>
      <w:r w:rsidRPr="00562527">
        <w:rPr>
          <w:rFonts w:ascii="David" w:hAnsi="David" w:cs="David"/>
          <w:b/>
          <w:bCs/>
          <w:spacing w:val="0"/>
          <w:sz w:val="24"/>
          <w:szCs w:val="24"/>
        </w:rPr>
        <w:t xml:space="preserve"> </w:t>
      </w:r>
      <w:r w:rsidRPr="00562527">
        <w:rPr>
          <w:rFonts w:ascii="David" w:hAnsi="David" w:cs="David"/>
          <w:b/>
          <w:bCs/>
          <w:spacing w:val="0"/>
          <w:sz w:val="24"/>
          <w:szCs w:val="24"/>
          <w:rtl/>
        </w:rPr>
        <w:t>אינו</w:t>
      </w:r>
      <w:r w:rsidRPr="00562527">
        <w:rPr>
          <w:rFonts w:ascii="David" w:hAnsi="David" w:cs="David"/>
          <w:b/>
          <w:bCs/>
          <w:spacing w:val="0"/>
          <w:sz w:val="24"/>
          <w:szCs w:val="24"/>
        </w:rPr>
        <w:t xml:space="preserve"> </w:t>
      </w:r>
      <w:r w:rsidRPr="00562527">
        <w:rPr>
          <w:rFonts w:ascii="David" w:hAnsi="David" w:cs="David"/>
          <w:b/>
          <w:bCs/>
          <w:spacing w:val="0"/>
          <w:sz w:val="24"/>
          <w:szCs w:val="24"/>
          <w:rtl/>
        </w:rPr>
        <w:t>חפץ</w:t>
      </w:r>
      <w:r w:rsidRPr="00562527">
        <w:rPr>
          <w:rFonts w:ascii="David" w:hAnsi="David" w:cs="David"/>
          <w:b/>
          <w:bCs/>
          <w:spacing w:val="0"/>
          <w:sz w:val="24"/>
          <w:szCs w:val="24"/>
        </w:rPr>
        <w:t xml:space="preserve"> </w:t>
      </w:r>
      <w:r w:rsidRPr="00562527">
        <w:rPr>
          <w:rFonts w:ascii="David" w:hAnsi="David" w:cs="David"/>
          <w:b/>
          <w:bCs/>
          <w:spacing w:val="0"/>
          <w:sz w:val="24"/>
          <w:szCs w:val="24"/>
          <w:rtl/>
        </w:rPr>
        <w:t>בהשגת התוצאה</w:t>
      </w:r>
      <w:r w:rsidRPr="00562527">
        <w:rPr>
          <w:rFonts w:ascii="David" w:hAnsi="David" w:cs="David"/>
          <w:b/>
          <w:bCs/>
          <w:spacing w:val="0"/>
          <w:sz w:val="24"/>
          <w:szCs w:val="24"/>
        </w:rPr>
        <w:t xml:space="preserve"> </w:t>
      </w:r>
      <w:r w:rsidRPr="00562527">
        <w:rPr>
          <w:rFonts w:ascii="David" w:hAnsi="David" w:cs="David"/>
          <w:b/>
          <w:bCs/>
          <w:spacing w:val="0"/>
          <w:sz w:val="24"/>
          <w:szCs w:val="24"/>
          <w:rtl/>
        </w:rPr>
        <w:t>הקטלנית,</w:t>
      </w:r>
      <w:r w:rsidRPr="00562527">
        <w:rPr>
          <w:rFonts w:ascii="David" w:hAnsi="David" w:cs="David"/>
          <w:b/>
          <w:bCs/>
          <w:spacing w:val="0"/>
          <w:sz w:val="24"/>
          <w:szCs w:val="24"/>
        </w:rPr>
        <w:t xml:space="preserve"> </w:t>
      </w:r>
      <w:r w:rsidRPr="00562527">
        <w:rPr>
          <w:rFonts w:ascii="David" w:hAnsi="David" w:cs="David"/>
          <w:b/>
          <w:bCs/>
          <w:spacing w:val="0"/>
          <w:sz w:val="24"/>
          <w:szCs w:val="24"/>
          <w:rtl/>
        </w:rPr>
        <w:t>אך</w:t>
      </w:r>
      <w:r w:rsidRPr="00562527">
        <w:rPr>
          <w:rFonts w:ascii="David" w:hAnsi="David" w:cs="David"/>
          <w:b/>
          <w:bCs/>
          <w:spacing w:val="0"/>
          <w:sz w:val="24"/>
          <w:szCs w:val="24"/>
        </w:rPr>
        <w:t xml:space="preserve"> </w:t>
      </w:r>
      <w:r w:rsidRPr="00562527">
        <w:rPr>
          <w:rFonts w:ascii="David" w:hAnsi="David" w:cs="David"/>
          <w:b/>
          <w:bCs/>
          <w:spacing w:val="0"/>
          <w:sz w:val="24"/>
          <w:szCs w:val="24"/>
          <w:rtl/>
        </w:rPr>
        <w:t>דווקא</w:t>
      </w:r>
      <w:r w:rsidRPr="00562527">
        <w:rPr>
          <w:rFonts w:ascii="David" w:hAnsi="David" w:cs="David"/>
          <w:b/>
          <w:bCs/>
          <w:spacing w:val="0"/>
          <w:sz w:val="24"/>
          <w:szCs w:val="24"/>
        </w:rPr>
        <w:t xml:space="preserve"> </w:t>
      </w:r>
      <w:r w:rsidRPr="00562527">
        <w:rPr>
          <w:rFonts w:ascii="David" w:hAnsi="David" w:cs="David"/>
          <w:b/>
          <w:bCs/>
          <w:spacing w:val="0"/>
          <w:sz w:val="24"/>
          <w:szCs w:val="24"/>
          <w:rtl/>
        </w:rPr>
        <w:t>על</w:t>
      </w:r>
      <w:r w:rsidRPr="00562527">
        <w:rPr>
          <w:rFonts w:ascii="David" w:hAnsi="David" w:cs="David"/>
          <w:b/>
          <w:bCs/>
          <w:spacing w:val="0"/>
          <w:sz w:val="24"/>
          <w:szCs w:val="24"/>
        </w:rPr>
        <w:t xml:space="preserve"> </w:t>
      </w:r>
      <w:r w:rsidRPr="00562527">
        <w:rPr>
          <w:rFonts w:ascii="David" w:hAnsi="David" w:cs="David"/>
          <w:b/>
          <w:bCs/>
          <w:spacing w:val="0"/>
          <w:sz w:val="24"/>
          <w:szCs w:val="24"/>
          <w:rtl/>
        </w:rPr>
        <w:t>רקע</w:t>
      </w:r>
      <w:r w:rsidRPr="00562527">
        <w:rPr>
          <w:rFonts w:ascii="David" w:hAnsi="David" w:cs="David"/>
          <w:b/>
          <w:bCs/>
          <w:spacing w:val="0"/>
          <w:sz w:val="24"/>
          <w:szCs w:val="24"/>
        </w:rPr>
        <w:t xml:space="preserve"> </w:t>
      </w:r>
      <w:r w:rsidRPr="00562527">
        <w:rPr>
          <w:rFonts w:ascii="David" w:hAnsi="David" w:cs="David"/>
          <w:b/>
          <w:bCs/>
          <w:spacing w:val="0"/>
          <w:sz w:val="24"/>
          <w:szCs w:val="24"/>
          <w:rtl/>
        </w:rPr>
        <w:t>זה</w:t>
      </w:r>
      <w:r w:rsidRPr="00562527">
        <w:rPr>
          <w:rFonts w:ascii="David" w:hAnsi="David" w:cs="David"/>
          <w:b/>
          <w:bCs/>
          <w:spacing w:val="0"/>
          <w:sz w:val="24"/>
          <w:szCs w:val="24"/>
        </w:rPr>
        <w:t xml:space="preserve"> </w:t>
      </w:r>
      <w:r w:rsidRPr="00562527">
        <w:rPr>
          <w:rFonts w:ascii="David" w:hAnsi="David" w:cs="David"/>
          <w:b/>
          <w:bCs/>
          <w:spacing w:val="0"/>
          <w:sz w:val="24"/>
          <w:szCs w:val="24"/>
          <w:rtl/>
        </w:rPr>
        <w:t>ולאור</w:t>
      </w:r>
      <w:r w:rsidRPr="00562527">
        <w:rPr>
          <w:rFonts w:ascii="David" w:hAnsi="David" w:cs="David"/>
          <w:b/>
          <w:bCs/>
          <w:spacing w:val="0"/>
          <w:sz w:val="24"/>
          <w:szCs w:val="24"/>
        </w:rPr>
        <w:t xml:space="preserve"> </w:t>
      </w:r>
      <w:r w:rsidRPr="00562527">
        <w:rPr>
          <w:rFonts w:ascii="David" w:hAnsi="David" w:cs="David"/>
          <w:b/>
          <w:bCs/>
          <w:spacing w:val="0"/>
          <w:sz w:val="24"/>
          <w:szCs w:val="24"/>
          <w:rtl/>
        </w:rPr>
        <w:t>חשיבות הערך</w:t>
      </w:r>
      <w:r w:rsidRPr="00562527">
        <w:rPr>
          <w:rFonts w:ascii="David" w:hAnsi="David" w:cs="David"/>
          <w:b/>
          <w:bCs/>
          <w:spacing w:val="0"/>
          <w:sz w:val="24"/>
          <w:szCs w:val="24"/>
        </w:rPr>
        <w:t xml:space="preserve"> </w:t>
      </w:r>
      <w:r w:rsidRPr="00562527">
        <w:rPr>
          <w:rFonts w:ascii="David" w:hAnsi="David" w:cs="David"/>
          <w:b/>
          <w:bCs/>
          <w:spacing w:val="0"/>
          <w:sz w:val="24"/>
          <w:szCs w:val="24"/>
          <w:rtl/>
        </w:rPr>
        <w:t>של</w:t>
      </w:r>
      <w:r w:rsidRPr="00562527">
        <w:rPr>
          <w:rFonts w:ascii="David" w:hAnsi="David" w:cs="David"/>
          <w:b/>
          <w:bCs/>
          <w:spacing w:val="0"/>
          <w:sz w:val="24"/>
          <w:szCs w:val="24"/>
        </w:rPr>
        <w:t xml:space="preserve"> </w:t>
      </w:r>
      <w:r w:rsidRPr="00562527">
        <w:rPr>
          <w:rFonts w:ascii="David" w:hAnsi="David" w:cs="David"/>
          <w:b/>
          <w:bCs/>
          <w:spacing w:val="0"/>
          <w:sz w:val="24"/>
          <w:szCs w:val="24"/>
          <w:rtl/>
        </w:rPr>
        <w:t>חיי</w:t>
      </w:r>
      <w:r w:rsidRPr="00562527">
        <w:rPr>
          <w:rFonts w:ascii="David" w:hAnsi="David" w:cs="David"/>
          <w:b/>
          <w:bCs/>
          <w:spacing w:val="0"/>
          <w:sz w:val="24"/>
          <w:szCs w:val="24"/>
        </w:rPr>
        <w:t xml:space="preserve"> </w:t>
      </w:r>
      <w:r w:rsidRPr="00562527">
        <w:rPr>
          <w:rFonts w:ascii="David" w:hAnsi="David" w:cs="David"/>
          <w:b/>
          <w:bCs/>
          <w:spacing w:val="0"/>
          <w:sz w:val="24"/>
          <w:szCs w:val="24"/>
          <w:rtl/>
        </w:rPr>
        <w:t>אדם,</w:t>
      </w:r>
      <w:r w:rsidRPr="00562527">
        <w:rPr>
          <w:rFonts w:ascii="David" w:hAnsi="David" w:cs="David"/>
          <w:b/>
          <w:bCs/>
          <w:spacing w:val="0"/>
          <w:sz w:val="24"/>
          <w:szCs w:val="24"/>
        </w:rPr>
        <w:t xml:space="preserve"> </w:t>
      </w:r>
      <w:r w:rsidRPr="00562527">
        <w:rPr>
          <w:rFonts w:ascii="David" w:hAnsi="David" w:cs="David"/>
          <w:b/>
          <w:bCs/>
          <w:spacing w:val="0"/>
          <w:sz w:val="24"/>
          <w:szCs w:val="24"/>
          <w:rtl/>
        </w:rPr>
        <w:t>ניתן</w:t>
      </w:r>
      <w:r w:rsidRPr="00562527">
        <w:rPr>
          <w:rFonts w:ascii="David" w:hAnsi="David" w:cs="David"/>
          <w:b/>
          <w:bCs/>
          <w:spacing w:val="0"/>
          <w:sz w:val="24"/>
          <w:szCs w:val="24"/>
        </w:rPr>
        <w:t xml:space="preserve"> </w:t>
      </w:r>
      <w:r w:rsidRPr="00562527">
        <w:rPr>
          <w:rFonts w:ascii="David" w:hAnsi="David" w:cs="David"/>
          <w:b/>
          <w:bCs/>
          <w:spacing w:val="0"/>
          <w:sz w:val="24"/>
          <w:szCs w:val="24"/>
          <w:rtl/>
        </w:rPr>
        <w:t>לצפות</w:t>
      </w:r>
      <w:r w:rsidRPr="00562527">
        <w:rPr>
          <w:rFonts w:ascii="David" w:hAnsi="David" w:cs="David"/>
          <w:b/>
          <w:bCs/>
          <w:spacing w:val="0"/>
          <w:sz w:val="24"/>
          <w:szCs w:val="24"/>
        </w:rPr>
        <w:t xml:space="preserve"> </w:t>
      </w:r>
      <w:r w:rsidRPr="00562527">
        <w:rPr>
          <w:rFonts w:ascii="David" w:hAnsi="David" w:cs="David"/>
          <w:b/>
          <w:bCs/>
          <w:spacing w:val="0"/>
          <w:sz w:val="24"/>
          <w:szCs w:val="24"/>
          <w:rtl/>
        </w:rPr>
        <w:t>מהעושה</w:t>
      </w:r>
      <w:r w:rsidRPr="00562527">
        <w:rPr>
          <w:rFonts w:ascii="David" w:hAnsi="David" w:cs="David"/>
          <w:b/>
          <w:bCs/>
          <w:spacing w:val="0"/>
          <w:sz w:val="24"/>
          <w:szCs w:val="24"/>
        </w:rPr>
        <w:t xml:space="preserve"> </w:t>
      </w:r>
      <w:r w:rsidRPr="00562527">
        <w:rPr>
          <w:rFonts w:ascii="David" w:hAnsi="David" w:cs="David"/>
          <w:b/>
          <w:bCs/>
          <w:spacing w:val="0"/>
          <w:sz w:val="24"/>
          <w:szCs w:val="24"/>
          <w:rtl/>
        </w:rPr>
        <w:t>להעדיף</w:t>
      </w:r>
      <w:r w:rsidRPr="00562527">
        <w:rPr>
          <w:rFonts w:ascii="David" w:hAnsi="David" w:cs="David"/>
          <w:b/>
          <w:bCs/>
          <w:spacing w:val="0"/>
          <w:sz w:val="24"/>
          <w:szCs w:val="24"/>
        </w:rPr>
        <w:t xml:space="preserve"> </w:t>
      </w:r>
      <w:r w:rsidRPr="00562527">
        <w:rPr>
          <w:rFonts w:ascii="David" w:hAnsi="David" w:cs="David"/>
          <w:b/>
          <w:bCs/>
          <w:spacing w:val="0"/>
          <w:sz w:val="24"/>
          <w:szCs w:val="24"/>
          <w:rtl/>
        </w:rPr>
        <w:t>בבירור להימנע</w:t>
      </w:r>
      <w:r w:rsidRPr="00562527">
        <w:rPr>
          <w:rFonts w:ascii="David" w:hAnsi="David" w:cs="David"/>
          <w:b/>
          <w:bCs/>
          <w:spacing w:val="0"/>
          <w:sz w:val="24"/>
          <w:szCs w:val="24"/>
        </w:rPr>
        <w:t xml:space="preserve"> </w:t>
      </w:r>
      <w:r w:rsidRPr="00562527">
        <w:rPr>
          <w:rFonts w:ascii="David" w:hAnsi="David" w:cs="David"/>
          <w:b/>
          <w:bCs/>
          <w:spacing w:val="0"/>
          <w:sz w:val="24"/>
          <w:szCs w:val="24"/>
          <w:rtl/>
        </w:rPr>
        <w:t>ממעשה</w:t>
      </w:r>
      <w:r w:rsidRPr="00562527">
        <w:rPr>
          <w:rFonts w:ascii="David" w:hAnsi="David" w:cs="David"/>
          <w:b/>
          <w:bCs/>
          <w:spacing w:val="0"/>
          <w:sz w:val="24"/>
          <w:szCs w:val="24"/>
        </w:rPr>
        <w:t xml:space="preserve"> </w:t>
      </w:r>
      <w:r w:rsidRPr="00562527">
        <w:rPr>
          <w:rFonts w:ascii="David" w:hAnsi="David" w:cs="David"/>
          <w:b/>
          <w:bCs/>
          <w:spacing w:val="0"/>
          <w:sz w:val="24"/>
          <w:szCs w:val="24"/>
          <w:rtl/>
        </w:rPr>
        <w:t>שהוא</w:t>
      </w:r>
      <w:r w:rsidRPr="00562527">
        <w:rPr>
          <w:rFonts w:ascii="David" w:hAnsi="David" w:cs="David"/>
          <w:b/>
          <w:bCs/>
          <w:spacing w:val="0"/>
          <w:sz w:val="24"/>
          <w:szCs w:val="24"/>
        </w:rPr>
        <w:t xml:space="preserve"> </w:t>
      </w:r>
      <w:r w:rsidRPr="00562527">
        <w:rPr>
          <w:rFonts w:ascii="David" w:hAnsi="David" w:cs="David"/>
          <w:b/>
          <w:bCs/>
          <w:spacing w:val="0"/>
          <w:sz w:val="24"/>
          <w:szCs w:val="24"/>
          <w:rtl/>
        </w:rPr>
        <w:t>צופה</w:t>
      </w:r>
      <w:r w:rsidRPr="00562527">
        <w:rPr>
          <w:rFonts w:ascii="David" w:hAnsi="David" w:cs="David"/>
          <w:b/>
          <w:bCs/>
          <w:spacing w:val="0"/>
          <w:sz w:val="24"/>
          <w:szCs w:val="24"/>
        </w:rPr>
        <w:t xml:space="preserve"> </w:t>
      </w:r>
      <w:r w:rsidRPr="00562527">
        <w:rPr>
          <w:rFonts w:ascii="David" w:hAnsi="David" w:cs="David"/>
          <w:b/>
          <w:bCs/>
          <w:spacing w:val="0"/>
          <w:sz w:val="24"/>
          <w:szCs w:val="24"/>
          <w:rtl/>
        </w:rPr>
        <w:t>שיביא</w:t>
      </w:r>
      <w:r w:rsidRPr="00562527">
        <w:rPr>
          <w:rFonts w:ascii="David" w:hAnsi="David" w:cs="David"/>
          <w:b/>
          <w:bCs/>
          <w:spacing w:val="0"/>
          <w:sz w:val="24"/>
          <w:szCs w:val="24"/>
        </w:rPr>
        <w:t xml:space="preserve"> </w:t>
      </w:r>
      <w:r w:rsidRPr="00562527">
        <w:rPr>
          <w:rFonts w:ascii="David" w:hAnsi="David" w:cs="David"/>
          <w:b/>
          <w:bCs/>
          <w:spacing w:val="0"/>
          <w:sz w:val="24"/>
          <w:szCs w:val="24"/>
          <w:rtl/>
        </w:rPr>
        <w:t>להתרחשות</w:t>
      </w:r>
      <w:r w:rsidRPr="00562527">
        <w:rPr>
          <w:rFonts w:ascii="David" w:hAnsi="David" w:cs="David"/>
          <w:b/>
          <w:bCs/>
          <w:spacing w:val="0"/>
          <w:sz w:val="24"/>
          <w:szCs w:val="24"/>
        </w:rPr>
        <w:t xml:space="preserve"> </w:t>
      </w:r>
      <w:r w:rsidRPr="00562527">
        <w:rPr>
          <w:rFonts w:ascii="David" w:hAnsi="David" w:cs="David"/>
          <w:b/>
          <w:bCs/>
          <w:spacing w:val="0"/>
          <w:sz w:val="24"/>
          <w:szCs w:val="24"/>
          <w:rtl/>
        </w:rPr>
        <w:t>תוצאה זו,</w:t>
      </w:r>
      <w:r w:rsidRPr="00562527">
        <w:rPr>
          <w:rFonts w:ascii="David" w:hAnsi="David" w:cs="David"/>
          <w:b/>
          <w:bCs/>
          <w:spacing w:val="0"/>
          <w:sz w:val="24"/>
          <w:szCs w:val="24"/>
        </w:rPr>
        <w:t xml:space="preserve"> </w:t>
      </w:r>
      <w:r w:rsidRPr="00562527">
        <w:rPr>
          <w:rFonts w:ascii="David" w:hAnsi="David" w:cs="David"/>
          <w:b/>
          <w:bCs/>
          <w:spacing w:val="0"/>
          <w:sz w:val="24"/>
          <w:szCs w:val="24"/>
          <w:rtl/>
        </w:rPr>
        <w:t>ואולם</w:t>
      </w:r>
      <w:r w:rsidRPr="00562527">
        <w:rPr>
          <w:rFonts w:ascii="David" w:hAnsi="David" w:cs="David"/>
          <w:b/>
          <w:bCs/>
          <w:spacing w:val="0"/>
          <w:sz w:val="24"/>
          <w:szCs w:val="24"/>
        </w:rPr>
        <w:t xml:space="preserve"> </w:t>
      </w:r>
      <w:r w:rsidRPr="00562527">
        <w:rPr>
          <w:rFonts w:ascii="David" w:hAnsi="David" w:cs="David"/>
          <w:b/>
          <w:bCs/>
          <w:spacing w:val="0"/>
          <w:sz w:val="24"/>
          <w:szCs w:val="24"/>
          <w:rtl/>
        </w:rPr>
        <w:t>לאדיש</w:t>
      </w:r>
      <w:r w:rsidRPr="00562527">
        <w:rPr>
          <w:rFonts w:ascii="David" w:hAnsi="David" w:cs="David"/>
          <w:b/>
          <w:bCs/>
          <w:spacing w:val="0"/>
          <w:sz w:val="24"/>
          <w:szCs w:val="24"/>
        </w:rPr>
        <w:t>,</w:t>
      </w:r>
      <w:r w:rsidRPr="00562527">
        <w:rPr>
          <w:rFonts w:ascii="David" w:hAnsi="David" w:cs="David"/>
          <w:b/>
          <w:bCs/>
          <w:spacing w:val="0"/>
          <w:sz w:val="24"/>
          <w:szCs w:val="24"/>
          <w:rtl/>
        </w:rPr>
        <w:t xml:space="preserve"> בניגוד</w:t>
      </w:r>
      <w:r w:rsidRPr="00562527">
        <w:rPr>
          <w:rFonts w:ascii="David" w:hAnsi="David" w:cs="David"/>
          <w:b/>
          <w:bCs/>
          <w:spacing w:val="0"/>
          <w:sz w:val="24"/>
          <w:szCs w:val="24"/>
        </w:rPr>
        <w:t xml:space="preserve"> </w:t>
      </w:r>
      <w:r w:rsidRPr="00562527">
        <w:rPr>
          <w:rFonts w:ascii="David" w:hAnsi="David" w:cs="David"/>
          <w:b/>
          <w:bCs/>
          <w:spacing w:val="0"/>
          <w:sz w:val="24"/>
          <w:szCs w:val="24"/>
          <w:rtl/>
        </w:rPr>
        <w:t>לקל</w:t>
      </w:r>
      <w:r w:rsidRPr="00562527">
        <w:rPr>
          <w:rFonts w:ascii="David" w:hAnsi="David" w:cs="David"/>
          <w:b/>
          <w:bCs/>
          <w:spacing w:val="0"/>
          <w:sz w:val="24"/>
          <w:szCs w:val="24"/>
        </w:rPr>
        <w:t xml:space="preserve"> </w:t>
      </w:r>
      <w:r w:rsidRPr="00562527">
        <w:rPr>
          <w:rFonts w:ascii="David" w:hAnsi="David" w:cs="David"/>
          <w:b/>
          <w:bCs/>
          <w:spacing w:val="0"/>
          <w:sz w:val="24"/>
          <w:szCs w:val="24"/>
          <w:rtl/>
        </w:rPr>
        <w:t>הדעת</w:t>
      </w:r>
      <w:r w:rsidRPr="00562527">
        <w:rPr>
          <w:rFonts w:ascii="David" w:hAnsi="David" w:cs="David"/>
          <w:b/>
          <w:bCs/>
          <w:spacing w:val="0"/>
          <w:sz w:val="24"/>
          <w:szCs w:val="24"/>
        </w:rPr>
        <w:t>,</w:t>
      </w:r>
      <w:r w:rsidRPr="00562527">
        <w:rPr>
          <w:rFonts w:ascii="David" w:hAnsi="David" w:cs="David"/>
          <w:b/>
          <w:bCs/>
          <w:spacing w:val="0"/>
          <w:sz w:val="24"/>
          <w:szCs w:val="24"/>
          <w:rtl/>
        </w:rPr>
        <w:t xml:space="preserve"> אין</w:t>
      </w:r>
      <w:r w:rsidRPr="00562527">
        <w:rPr>
          <w:rFonts w:ascii="David" w:hAnsi="David" w:cs="David"/>
          <w:b/>
          <w:bCs/>
          <w:spacing w:val="0"/>
          <w:sz w:val="24"/>
          <w:szCs w:val="24"/>
        </w:rPr>
        <w:t xml:space="preserve"> </w:t>
      </w:r>
      <w:r w:rsidRPr="00562527">
        <w:rPr>
          <w:rFonts w:ascii="David" w:hAnsi="David" w:cs="David"/>
          <w:b/>
          <w:bCs/>
          <w:spacing w:val="0"/>
          <w:sz w:val="24"/>
          <w:szCs w:val="24"/>
          <w:rtl/>
        </w:rPr>
        <w:t>העדפה</w:t>
      </w:r>
      <w:r w:rsidRPr="00562527">
        <w:rPr>
          <w:rFonts w:ascii="David" w:hAnsi="David" w:cs="David"/>
          <w:b/>
          <w:bCs/>
          <w:spacing w:val="0"/>
          <w:sz w:val="24"/>
          <w:szCs w:val="24"/>
        </w:rPr>
        <w:t xml:space="preserve"> </w:t>
      </w:r>
      <w:r w:rsidRPr="00562527">
        <w:rPr>
          <w:rFonts w:ascii="David" w:hAnsi="David" w:cs="David"/>
          <w:b/>
          <w:bCs/>
          <w:spacing w:val="0"/>
          <w:sz w:val="24"/>
          <w:szCs w:val="24"/>
          <w:rtl/>
        </w:rPr>
        <w:t>לעניין אפשרות</w:t>
      </w:r>
      <w:r w:rsidRPr="00562527">
        <w:rPr>
          <w:rFonts w:ascii="David" w:hAnsi="David" w:cs="David"/>
          <w:b/>
          <w:bCs/>
          <w:spacing w:val="0"/>
          <w:sz w:val="24"/>
          <w:szCs w:val="24"/>
        </w:rPr>
        <w:t xml:space="preserve"> </w:t>
      </w:r>
      <w:r w:rsidRPr="00562527">
        <w:rPr>
          <w:rFonts w:ascii="David" w:hAnsi="David" w:cs="David"/>
          <w:b/>
          <w:bCs/>
          <w:spacing w:val="0"/>
          <w:sz w:val="24"/>
          <w:szCs w:val="24"/>
          <w:rtl/>
        </w:rPr>
        <w:t>גרימת</w:t>
      </w:r>
      <w:r w:rsidRPr="00562527">
        <w:rPr>
          <w:rFonts w:ascii="David" w:hAnsi="David" w:cs="David"/>
          <w:b/>
          <w:bCs/>
          <w:spacing w:val="0"/>
          <w:sz w:val="24"/>
          <w:szCs w:val="24"/>
        </w:rPr>
        <w:t xml:space="preserve"> </w:t>
      </w:r>
      <w:r w:rsidRPr="00562527">
        <w:rPr>
          <w:rFonts w:ascii="David" w:hAnsi="David" w:cs="David"/>
          <w:b/>
          <w:bCs/>
          <w:spacing w:val="0"/>
          <w:sz w:val="24"/>
          <w:szCs w:val="24"/>
          <w:rtl/>
        </w:rPr>
        <w:t>התוצאה.</w:t>
      </w:r>
      <w:r w:rsidRPr="00562527">
        <w:rPr>
          <w:rFonts w:ascii="David" w:hAnsi="David" w:cs="David"/>
          <w:b/>
          <w:bCs/>
          <w:spacing w:val="0"/>
          <w:sz w:val="24"/>
          <w:szCs w:val="24"/>
        </w:rPr>
        <w:t xml:space="preserve"> </w:t>
      </w:r>
      <w:r w:rsidRPr="00562527">
        <w:rPr>
          <w:rFonts w:ascii="David" w:hAnsi="David" w:cs="David"/>
          <w:b/>
          <w:bCs/>
          <w:spacing w:val="0"/>
          <w:sz w:val="24"/>
          <w:szCs w:val="24"/>
          <w:rtl/>
        </w:rPr>
        <w:t>אחת</w:t>
      </w:r>
      <w:r w:rsidRPr="00562527">
        <w:rPr>
          <w:rFonts w:ascii="David" w:hAnsi="David" w:cs="David"/>
          <w:b/>
          <w:bCs/>
          <w:spacing w:val="0"/>
          <w:sz w:val="24"/>
          <w:szCs w:val="24"/>
        </w:rPr>
        <w:t xml:space="preserve"> </w:t>
      </w:r>
      <w:r w:rsidRPr="00562527">
        <w:rPr>
          <w:rFonts w:ascii="David" w:hAnsi="David" w:cs="David"/>
          <w:b/>
          <w:bCs/>
          <w:spacing w:val="0"/>
          <w:sz w:val="24"/>
          <w:szCs w:val="24"/>
          <w:rtl/>
        </w:rPr>
        <w:t>היא</w:t>
      </w:r>
      <w:r w:rsidRPr="00562527">
        <w:rPr>
          <w:rFonts w:ascii="David" w:hAnsi="David" w:cs="David"/>
          <w:b/>
          <w:bCs/>
          <w:spacing w:val="0"/>
          <w:sz w:val="24"/>
          <w:szCs w:val="24"/>
        </w:rPr>
        <w:t xml:space="preserve"> </w:t>
      </w:r>
      <w:r w:rsidRPr="00562527">
        <w:rPr>
          <w:rFonts w:ascii="David" w:hAnsi="David" w:cs="David"/>
          <w:b/>
          <w:bCs/>
          <w:spacing w:val="0"/>
          <w:sz w:val="24"/>
          <w:szCs w:val="24"/>
          <w:rtl/>
        </w:rPr>
        <w:t>לו</w:t>
      </w:r>
      <w:r w:rsidRPr="00562527">
        <w:rPr>
          <w:rFonts w:ascii="David" w:hAnsi="David" w:cs="David"/>
          <w:b/>
          <w:bCs/>
          <w:spacing w:val="0"/>
          <w:sz w:val="24"/>
          <w:szCs w:val="24"/>
        </w:rPr>
        <w:t xml:space="preserve"> </w:t>
      </w:r>
      <w:r w:rsidRPr="00562527">
        <w:rPr>
          <w:rFonts w:ascii="David" w:hAnsi="David" w:cs="David"/>
          <w:b/>
          <w:bCs/>
          <w:spacing w:val="0"/>
          <w:sz w:val="24"/>
          <w:szCs w:val="24"/>
          <w:rtl/>
        </w:rPr>
        <w:t>אם</w:t>
      </w:r>
      <w:r w:rsidRPr="00562527">
        <w:rPr>
          <w:rFonts w:ascii="David" w:hAnsi="David" w:cs="David"/>
          <w:b/>
          <w:bCs/>
          <w:spacing w:val="0"/>
          <w:sz w:val="24"/>
          <w:szCs w:val="24"/>
        </w:rPr>
        <w:t xml:space="preserve"> </w:t>
      </w:r>
      <w:r w:rsidRPr="00562527">
        <w:rPr>
          <w:rFonts w:ascii="David" w:hAnsi="David" w:cs="David"/>
          <w:b/>
          <w:bCs/>
          <w:spacing w:val="0"/>
          <w:sz w:val="24"/>
          <w:szCs w:val="24"/>
          <w:rtl/>
        </w:rPr>
        <w:t>יקופחו</w:t>
      </w:r>
      <w:r w:rsidRPr="00562527">
        <w:rPr>
          <w:rFonts w:ascii="David" w:hAnsi="David" w:cs="David"/>
          <w:b/>
          <w:bCs/>
          <w:spacing w:val="0"/>
          <w:sz w:val="24"/>
          <w:szCs w:val="24"/>
        </w:rPr>
        <w:t xml:space="preserve"> </w:t>
      </w:r>
      <w:r w:rsidRPr="00562527">
        <w:rPr>
          <w:rFonts w:ascii="David" w:hAnsi="David" w:cs="David"/>
          <w:b/>
          <w:bCs/>
          <w:spacing w:val="0"/>
          <w:sz w:val="24"/>
          <w:szCs w:val="24"/>
          <w:rtl/>
        </w:rPr>
        <w:t>חיי</w:t>
      </w:r>
      <w:r w:rsidRPr="00562527">
        <w:rPr>
          <w:rFonts w:ascii="David" w:hAnsi="David" w:cs="David"/>
          <w:b/>
          <w:bCs/>
          <w:spacing w:val="0"/>
          <w:sz w:val="24"/>
          <w:szCs w:val="24"/>
        </w:rPr>
        <w:t xml:space="preserve"> </w:t>
      </w:r>
      <w:r w:rsidRPr="00562527">
        <w:rPr>
          <w:rFonts w:ascii="David" w:hAnsi="David" w:cs="David"/>
          <w:b/>
          <w:bCs/>
          <w:spacing w:val="0"/>
          <w:sz w:val="24"/>
          <w:szCs w:val="24"/>
          <w:rtl/>
        </w:rPr>
        <w:t>אדם אם</w:t>
      </w:r>
      <w:r w:rsidRPr="00562527">
        <w:rPr>
          <w:rFonts w:ascii="David" w:hAnsi="David" w:cs="David"/>
          <w:b/>
          <w:bCs/>
          <w:spacing w:val="0"/>
          <w:sz w:val="24"/>
          <w:szCs w:val="24"/>
        </w:rPr>
        <w:t xml:space="preserve"> </w:t>
      </w:r>
      <w:r w:rsidRPr="00562527">
        <w:rPr>
          <w:rFonts w:ascii="David" w:hAnsi="David" w:cs="David"/>
          <w:b/>
          <w:bCs/>
          <w:spacing w:val="0"/>
          <w:sz w:val="24"/>
          <w:szCs w:val="24"/>
          <w:rtl/>
        </w:rPr>
        <w:t>לאו</w:t>
      </w:r>
      <w:r w:rsidRPr="00562527">
        <w:rPr>
          <w:rFonts w:ascii="David" w:hAnsi="David" w:cs="David"/>
          <w:b/>
          <w:bCs/>
          <w:spacing w:val="0"/>
          <w:sz w:val="24"/>
          <w:szCs w:val="24"/>
        </w:rPr>
        <w:t>.</w:t>
      </w:r>
      <w:r w:rsidRPr="00562527">
        <w:rPr>
          <w:rFonts w:ascii="David" w:hAnsi="David" w:cs="David"/>
          <w:b/>
          <w:bCs/>
          <w:spacing w:val="0"/>
          <w:sz w:val="24"/>
          <w:szCs w:val="24"/>
          <w:rtl/>
        </w:rPr>
        <w:t xml:space="preserve"> </w:t>
      </w:r>
      <w:r w:rsidRPr="00562527">
        <w:rPr>
          <w:rFonts w:ascii="David" w:hAnsi="David" w:cs="David"/>
          <w:b/>
          <w:bCs/>
          <w:spacing w:val="0"/>
          <w:sz w:val="24"/>
          <w:szCs w:val="24"/>
          <w:u w:val="single"/>
          <w:rtl/>
        </w:rPr>
        <w:t>על</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כן</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יסוד</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נפשי</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זה</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מבטא</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זלזול</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מובהק</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והתנכרות קשה</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וחמורה</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לערך</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של</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חיי</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אדם,</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שבעטיים</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מעשה</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ההמתה הוא</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מעשה</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חמור</w:t>
      </w:r>
      <w:r w:rsidRPr="00562527">
        <w:rPr>
          <w:rFonts w:ascii="David" w:hAnsi="David" w:cs="David"/>
          <w:b/>
          <w:bCs/>
          <w:spacing w:val="0"/>
          <w:sz w:val="24"/>
          <w:szCs w:val="24"/>
          <w:u w:val="single"/>
        </w:rPr>
        <w:t xml:space="preserve"> </w:t>
      </w:r>
      <w:r w:rsidRPr="00562527">
        <w:rPr>
          <w:rFonts w:ascii="David" w:hAnsi="David" w:cs="David"/>
          <w:b/>
          <w:bCs/>
          <w:spacing w:val="0"/>
          <w:sz w:val="24"/>
          <w:szCs w:val="24"/>
          <w:u w:val="single"/>
          <w:rtl/>
        </w:rPr>
        <w:t>מובהק</w:t>
      </w:r>
      <w:r w:rsidRPr="00562527">
        <w:rPr>
          <w:rFonts w:ascii="David" w:hAnsi="David" w:cs="David"/>
          <w:b/>
          <w:bCs/>
          <w:spacing w:val="0"/>
          <w:sz w:val="24"/>
          <w:szCs w:val="24"/>
          <w:rtl/>
        </w:rPr>
        <w:t xml:space="preserve"> </w:t>
      </w:r>
      <w:r w:rsidRPr="00562527">
        <w:rPr>
          <w:rFonts w:ascii="David" w:hAnsi="David" w:cs="David"/>
          <w:spacing w:val="0"/>
          <w:sz w:val="24"/>
          <w:szCs w:val="24"/>
          <w:rtl/>
        </w:rPr>
        <w:t>(ההדגשות אינן במקור – א.מ.).</w:t>
      </w:r>
    </w:p>
    <w:p w14:paraId="50719966" w14:textId="77777777" w:rsidR="004E7F8A" w:rsidRDefault="004E7F8A" w:rsidP="00562527">
      <w:pPr>
        <w:spacing w:before="160" w:line="360" w:lineRule="auto"/>
        <w:jc w:val="both"/>
        <w:rPr>
          <w:rtl/>
        </w:rPr>
      </w:pPr>
      <w:r w:rsidRPr="00562527">
        <w:rPr>
          <w:rFonts w:ascii="David" w:hAnsi="David"/>
          <w:rtl/>
        </w:rPr>
        <w:t>שנים אחדות לפני הרפורמה בעבירות המתה, ב</w:t>
      </w:r>
      <w:hyperlink r:id="rId23" w:history="1">
        <w:r w:rsidR="001D6899" w:rsidRPr="001D6899">
          <w:rPr>
            <w:rFonts w:ascii="David" w:hAnsi="David"/>
            <w:color w:val="0000FF"/>
            <w:u w:val="single"/>
            <w:rtl/>
          </w:rPr>
          <w:t>ע"פ 8134/10</w:t>
        </w:r>
      </w:hyperlink>
      <w:r w:rsidRPr="00562527">
        <w:rPr>
          <w:rFonts w:ascii="David" w:hAnsi="David"/>
          <w:rtl/>
        </w:rPr>
        <w:t xml:space="preserve"> </w:t>
      </w:r>
      <w:r w:rsidRPr="00562527">
        <w:rPr>
          <w:rFonts w:ascii="David" w:hAnsi="David"/>
          <w:b/>
          <w:bCs/>
          <w:rtl/>
        </w:rPr>
        <w:t>פלוני</w:t>
      </w:r>
      <w:r w:rsidRPr="00562527">
        <w:rPr>
          <w:rFonts w:ascii="David" w:hAnsi="David"/>
          <w:rtl/>
        </w:rPr>
        <w:t xml:space="preserve"> </w:t>
      </w:r>
      <w:r w:rsidRPr="00562527">
        <w:rPr>
          <w:rFonts w:ascii="David" w:hAnsi="David"/>
          <w:b/>
          <w:bCs/>
          <w:rtl/>
        </w:rPr>
        <w:t>נ' מדינת ישראל</w:t>
      </w:r>
      <w:r w:rsidRPr="00562527">
        <w:rPr>
          <w:rFonts w:ascii="David" w:hAnsi="David"/>
          <w:rtl/>
        </w:rPr>
        <w:t xml:space="preserve"> (פורסם בנבו, 25.11.2012) פס' 13, עמד בית המשפט העליון על תרומתה של האדישות להתפשטות האלימות בחברה הישראלית, וכך נוסחו הדברים מפי השופט ניל הנדל:  </w:t>
      </w:r>
    </w:p>
    <w:p w14:paraId="3116CEF9" w14:textId="77777777" w:rsidR="004E7F8A" w:rsidRPr="00562527" w:rsidRDefault="004E7F8A" w:rsidP="00562527">
      <w:pPr>
        <w:overflowPunct w:val="0"/>
        <w:autoSpaceDE w:val="0"/>
        <w:autoSpaceDN w:val="0"/>
        <w:spacing w:before="160" w:line="360" w:lineRule="auto"/>
        <w:ind w:left="1134" w:right="1134"/>
        <w:jc w:val="both"/>
        <w:rPr>
          <w:rFonts w:ascii="David" w:hAnsi="David"/>
          <w:b/>
          <w:bCs/>
          <w:u w:val="single"/>
          <w:rtl/>
        </w:rPr>
      </w:pPr>
      <w:r w:rsidRPr="00562527">
        <w:rPr>
          <w:rFonts w:ascii="David" w:hAnsi="David"/>
          <w:b/>
          <w:bCs/>
          <w:rtl/>
        </w:rPr>
        <w:t xml:space="preserve">לדאבוננו, בעשורים האחרונים, מוצא עצמו הציבור מול הסלמה מתמשכת במקרי האלימות הפוגעים בחברה. אחד ממלבי הבעירה של הסלמה זו הינו אדישות, המהווה קרקע פורה להסלמה שכזו. אדישות – אפתיה – הוגדרה ביוון העתיקה כחוסר עניין בסוגיות בהן אין האדם יכול לשלוט. לשון אחר, זוהי תחושת חוסר האונים של הפרט הסבור שאין הוא מחזיק ביכולות להתמודד עם האתגר. </w:t>
      </w:r>
      <w:r w:rsidRPr="00562527">
        <w:rPr>
          <w:rFonts w:ascii="David" w:hAnsi="David"/>
          <w:b/>
          <w:bCs/>
          <w:u w:val="single"/>
          <w:rtl/>
        </w:rPr>
        <w:t>על קרקע אדישה זו, צומחים עשבי האלימות השוטים. מערכת אכיפת החוק אינה יכולה לעמוד מנגד. עליה לעקור את עשבי האלימות מן השורש. אין היא יכולה לתת ידה לאדישות, שסופה באלימות</w:t>
      </w:r>
      <w:r w:rsidRPr="00562527">
        <w:rPr>
          <w:rFonts w:ascii="David" w:hAnsi="David"/>
          <w:rtl/>
        </w:rPr>
        <w:t xml:space="preserve"> (ההדגשה אינה במקור – א.מ.).</w:t>
      </w:r>
    </w:p>
    <w:p w14:paraId="530EF608" w14:textId="77777777" w:rsidR="004E7F8A" w:rsidRPr="00562527" w:rsidRDefault="004E7F8A" w:rsidP="00562527">
      <w:pPr>
        <w:overflowPunct w:val="0"/>
        <w:autoSpaceDE w:val="0"/>
        <w:autoSpaceDN w:val="0"/>
        <w:spacing w:before="160" w:line="360" w:lineRule="auto"/>
        <w:jc w:val="both"/>
        <w:rPr>
          <w:rFonts w:ascii="David" w:hAnsi="David"/>
          <w:rtl/>
        </w:rPr>
      </w:pPr>
      <w:r w:rsidRPr="00562527">
        <w:rPr>
          <w:rFonts w:ascii="David" w:hAnsi="David"/>
          <w:rtl/>
        </w:rPr>
        <w:t xml:space="preserve">הדברים הללו שנאמרו לפני תיקון 137, ביחס למערער שנגזרו עליו 12 שנות מאסר לאחר שהורשע בעבירה של </w:t>
      </w:r>
      <w:r w:rsidRPr="00562527">
        <w:rPr>
          <w:rFonts w:ascii="David" w:hAnsi="David"/>
          <w:b/>
          <w:bCs/>
          <w:rtl/>
        </w:rPr>
        <w:t>הריגה</w:t>
      </w:r>
      <w:r w:rsidRPr="00562527">
        <w:rPr>
          <w:rFonts w:ascii="David" w:hAnsi="David"/>
          <w:rtl/>
        </w:rPr>
        <w:t xml:space="preserve"> כמבצע בצוותא, וערעורו על חומרת העונש נדחה, יפים מקל וחומר לאחר תיקון 137, אשר כאמור העלה את מדרג החומרה של הממית באדישות בכך שכלל אותו בגדרה של עבירת </w:t>
      </w:r>
      <w:r w:rsidRPr="00562527">
        <w:rPr>
          <w:rFonts w:ascii="David" w:hAnsi="David"/>
          <w:b/>
          <w:bCs/>
          <w:rtl/>
        </w:rPr>
        <w:t>הרצח</w:t>
      </w:r>
      <w:r w:rsidRPr="00562527">
        <w:rPr>
          <w:rFonts w:ascii="David" w:hAnsi="David"/>
          <w:rtl/>
        </w:rPr>
        <w:t xml:space="preserve">. </w:t>
      </w:r>
    </w:p>
    <w:p w14:paraId="00016701" w14:textId="77777777" w:rsidR="004E7F8A" w:rsidRPr="00562527" w:rsidRDefault="004E7F8A" w:rsidP="00562527">
      <w:pPr>
        <w:overflowPunct w:val="0"/>
        <w:autoSpaceDE w:val="0"/>
        <w:autoSpaceDN w:val="0"/>
        <w:spacing w:before="160" w:line="360" w:lineRule="auto"/>
        <w:jc w:val="both"/>
        <w:rPr>
          <w:rFonts w:ascii="David" w:hAnsi="David"/>
          <w:spacing w:val="10"/>
          <w:rtl/>
        </w:rPr>
      </w:pPr>
      <w:r w:rsidRPr="00562527">
        <w:rPr>
          <w:rFonts w:ascii="David" w:hAnsi="David"/>
          <w:b/>
          <w:bCs/>
          <w:rtl/>
        </w:rPr>
        <w:t>קביעת מתחם העונש ההולם</w:t>
      </w:r>
    </w:p>
    <w:p w14:paraId="50D93986" w14:textId="77777777" w:rsidR="004E7F8A" w:rsidRPr="00562527" w:rsidRDefault="004E7F8A" w:rsidP="00562527">
      <w:pPr>
        <w:overflowPunct w:val="0"/>
        <w:autoSpaceDE w:val="0"/>
        <w:autoSpaceDN w:val="0"/>
        <w:spacing w:before="160" w:line="360" w:lineRule="auto"/>
        <w:jc w:val="both"/>
        <w:rPr>
          <w:rFonts w:ascii="David" w:hAnsi="David"/>
        </w:rPr>
      </w:pPr>
      <w:r w:rsidRPr="00562527">
        <w:rPr>
          <w:rFonts w:ascii="David" w:hAnsi="David"/>
          <w:rtl/>
        </w:rPr>
        <w:t xml:space="preserve">על פי </w:t>
      </w:r>
      <w:hyperlink r:id="rId24" w:history="1">
        <w:r w:rsidR="00A21B55" w:rsidRPr="00A21B55">
          <w:rPr>
            <w:rStyle w:val="Hyperlink"/>
            <w:rFonts w:ascii="David" w:hAnsi="David"/>
            <w:rtl/>
          </w:rPr>
          <w:t>סעיף 40ג(א)</w:t>
        </w:r>
      </w:hyperlink>
      <w:r w:rsidRPr="00562527">
        <w:rPr>
          <w:rFonts w:ascii="David" w:hAnsi="David"/>
          <w:rtl/>
        </w:rPr>
        <w:t xml:space="preserve"> ל</w:t>
      </w:r>
      <w:hyperlink r:id="rId25" w:history="1">
        <w:r w:rsidR="001D6899" w:rsidRPr="001D6899">
          <w:rPr>
            <w:rFonts w:ascii="David" w:hAnsi="David"/>
            <w:color w:val="0000FF"/>
            <w:u w:val="single"/>
            <w:rtl/>
          </w:rPr>
          <w:t>חוק העונשין</w:t>
        </w:r>
      </w:hyperlink>
      <w:r w:rsidRPr="00562527">
        <w:rPr>
          <w:rFonts w:ascii="David" w:hAnsi="David"/>
          <w:rtl/>
        </w:rPr>
        <w:t xml:space="preserve">, לצורך קביעת מתחם העונש ההולם, יש להתחשב </w:t>
      </w:r>
      <w:r w:rsidRPr="00562527">
        <w:rPr>
          <w:rFonts w:ascii="David" w:hAnsi="David"/>
          <w:b/>
          <w:bCs/>
          <w:rtl/>
        </w:rPr>
        <w:t>"בערך החברתי שנפגע מביצוע העבירה, במידת הפגיעה בו, במדיניות הענישה הנהוגה ובנסיבות הקשורות בביצוע העבירה כאמור בסעיף 40ט"</w:t>
      </w:r>
      <w:r w:rsidRPr="00562527">
        <w:rPr>
          <w:rFonts w:ascii="David" w:hAnsi="David"/>
          <w:rtl/>
        </w:rPr>
        <w:t>.</w:t>
      </w:r>
      <w:r w:rsidRPr="00562527">
        <w:rPr>
          <w:rFonts w:ascii="David" w:hAnsi="David"/>
          <w:b/>
          <w:bCs/>
          <w:rtl/>
        </w:rPr>
        <w:t xml:space="preserve"> </w:t>
      </w:r>
      <w:r w:rsidRPr="00562527">
        <w:rPr>
          <w:rFonts w:ascii="David" w:hAnsi="David"/>
          <w:rtl/>
        </w:rPr>
        <w:t>כאמור לעיל,</w:t>
      </w:r>
      <w:r w:rsidRPr="00562527">
        <w:rPr>
          <w:rFonts w:ascii="David" w:hAnsi="David"/>
          <w:b/>
          <w:bCs/>
          <w:rtl/>
        </w:rPr>
        <w:t xml:space="preserve"> </w:t>
      </w:r>
      <w:r w:rsidRPr="00562527">
        <w:rPr>
          <w:rFonts w:ascii="David" w:hAnsi="David"/>
          <w:rtl/>
        </w:rPr>
        <w:t xml:space="preserve">הנאשם הורשע על פי הודאתו בעבירה של רצח לפי </w:t>
      </w:r>
      <w:hyperlink r:id="rId26" w:history="1">
        <w:r w:rsidR="00A21B55" w:rsidRPr="00A21B55">
          <w:rPr>
            <w:rStyle w:val="Hyperlink"/>
            <w:rFonts w:ascii="David" w:hAnsi="David"/>
            <w:rtl/>
          </w:rPr>
          <w:t>סעיף 300(א)</w:t>
        </w:r>
      </w:hyperlink>
      <w:r w:rsidRPr="00562527">
        <w:rPr>
          <w:rFonts w:ascii="David" w:hAnsi="David"/>
          <w:rtl/>
        </w:rPr>
        <w:t xml:space="preserve"> ל</w:t>
      </w:r>
      <w:hyperlink r:id="rId27" w:history="1">
        <w:r w:rsidR="001D6899" w:rsidRPr="001D6899">
          <w:rPr>
            <w:rFonts w:ascii="David" w:hAnsi="David"/>
            <w:color w:val="0000FF"/>
            <w:u w:val="single"/>
            <w:rtl/>
          </w:rPr>
          <w:t>חוק העונשין</w:t>
        </w:r>
      </w:hyperlink>
      <w:r w:rsidRPr="00562527">
        <w:rPr>
          <w:rFonts w:ascii="David" w:hAnsi="David"/>
          <w:rtl/>
        </w:rPr>
        <w:t>, ביסוד נפשי של אדישות, ובכך פגע הנאשם בערכים המוגנים של שלמות הגוף וכבוד האדם, וכן בערך העליון של קדושת החיים, אשר עליו נאמר כי "</w:t>
      </w:r>
      <w:r w:rsidRPr="00562527">
        <w:rPr>
          <w:rFonts w:ascii="David" w:hAnsi="David"/>
          <w:b/>
          <w:bCs/>
          <w:rtl/>
        </w:rPr>
        <w:t xml:space="preserve">קדושת חיי האדם עומדת בראש סולם הערכים החברתיים, וחובתנו לשקף את חשיבותו של ערך זה במידת העונש שתיגזר על העבריין" </w:t>
      </w:r>
      <w:r w:rsidRPr="00562527">
        <w:rPr>
          <w:rFonts w:ascii="David" w:hAnsi="David"/>
          <w:rtl/>
        </w:rPr>
        <w:t>(</w:t>
      </w:r>
      <w:hyperlink r:id="rId28" w:history="1">
        <w:r w:rsidR="001D6899" w:rsidRPr="001D6899">
          <w:rPr>
            <w:rFonts w:ascii="David" w:hAnsi="David"/>
            <w:color w:val="0000FF"/>
            <w:u w:val="single"/>
            <w:rtl/>
          </w:rPr>
          <w:t>ע"פ 3617/13</w:t>
        </w:r>
      </w:hyperlink>
      <w:r w:rsidRPr="00562527">
        <w:rPr>
          <w:rFonts w:ascii="David" w:hAnsi="David"/>
          <w:rtl/>
        </w:rPr>
        <w:t xml:space="preserve"> </w:t>
      </w:r>
      <w:r w:rsidRPr="00562527">
        <w:rPr>
          <w:rFonts w:ascii="David" w:hAnsi="David"/>
          <w:b/>
          <w:bCs/>
          <w:rtl/>
        </w:rPr>
        <w:t>טייטל נ'</w:t>
      </w:r>
      <w:r w:rsidRPr="00562527">
        <w:rPr>
          <w:rFonts w:ascii="David" w:hAnsi="David"/>
          <w:rtl/>
        </w:rPr>
        <w:t xml:space="preserve"> </w:t>
      </w:r>
      <w:r w:rsidRPr="00562527">
        <w:rPr>
          <w:rFonts w:ascii="David" w:hAnsi="David"/>
          <w:b/>
          <w:bCs/>
          <w:rtl/>
        </w:rPr>
        <w:t>מדינת ישראל</w:t>
      </w:r>
      <w:r w:rsidRPr="00562527">
        <w:rPr>
          <w:rFonts w:ascii="David" w:hAnsi="David"/>
          <w:rtl/>
        </w:rPr>
        <w:t xml:space="preserve"> (פורסם בנבו, 28.6.2016).</w:t>
      </w:r>
      <w:r w:rsidRPr="00562527">
        <w:rPr>
          <w:rFonts w:ascii="David" w:hAnsi="David"/>
          <w:b/>
          <w:bCs/>
          <w:rtl/>
        </w:rPr>
        <w:t xml:space="preserve"> </w:t>
      </w:r>
    </w:p>
    <w:p w14:paraId="3880B14F" w14:textId="77777777" w:rsidR="004E7F8A" w:rsidRPr="00562527" w:rsidRDefault="004E7F8A" w:rsidP="00562527">
      <w:pPr>
        <w:spacing w:before="160" w:line="360" w:lineRule="auto"/>
        <w:jc w:val="both"/>
        <w:rPr>
          <w:rtl/>
        </w:rPr>
      </w:pPr>
      <w:r w:rsidRPr="00562527">
        <w:rPr>
          <w:rFonts w:ascii="David" w:hAnsi="David"/>
          <w:rtl/>
        </w:rPr>
        <w:t xml:space="preserve">על חומרת מעשיו של הנאשם ניתן ללמוד גם מקיומן של חלק מהנסיבות שקשורות בביצוע העבירה שמפורטות </w:t>
      </w:r>
      <w:hyperlink r:id="rId29" w:history="1">
        <w:r w:rsidR="00A21B55" w:rsidRPr="00A21B55">
          <w:rPr>
            <w:rStyle w:val="Hyperlink"/>
            <w:rFonts w:ascii="David" w:hAnsi="David"/>
            <w:rtl/>
          </w:rPr>
          <w:t>בסעיף 40ט(א)</w:t>
        </w:r>
      </w:hyperlink>
      <w:r w:rsidRPr="00562527">
        <w:rPr>
          <w:rFonts w:ascii="David" w:hAnsi="David"/>
          <w:rtl/>
        </w:rPr>
        <w:t xml:space="preserve"> ל</w:t>
      </w:r>
      <w:hyperlink r:id="rId30" w:history="1">
        <w:r w:rsidR="001D6899" w:rsidRPr="001D6899">
          <w:rPr>
            <w:rFonts w:ascii="David" w:hAnsi="David"/>
            <w:color w:val="0000FF"/>
            <w:u w:val="single"/>
            <w:rtl/>
          </w:rPr>
          <w:t>חוק העונשין</w:t>
        </w:r>
      </w:hyperlink>
      <w:r w:rsidRPr="00562527">
        <w:rPr>
          <w:rFonts w:ascii="David" w:hAnsi="David"/>
          <w:b/>
          <w:bCs/>
          <w:rtl/>
        </w:rPr>
        <w:t xml:space="preserve">. </w:t>
      </w:r>
      <w:r w:rsidRPr="00562527">
        <w:rPr>
          <w:rFonts w:ascii="David" w:hAnsi="David"/>
          <w:rtl/>
        </w:rPr>
        <w:t xml:space="preserve">אומנם מעשיו של הנאשם לא נעשו </w:t>
      </w:r>
      <w:r w:rsidRPr="00562527">
        <w:rPr>
          <w:rStyle w:val="default"/>
          <w:rFonts w:ascii="David" w:hAnsi="David"/>
          <w:b/>
          <w:bCs/>
          <w:rtl/>
        </w:rPr>
        <w:t>"לאחר תכנון או לאחר הליך ממשי של שקילה וגיבוש החלטה להמית",</w:t>
      </w:r>
      <w:r w:rsidRPr="00562527">
        <w:rPr>
          <w:rFonts w:ascii="David" w:hAnsi="David"/>
          <w:b/>
          <w:bCs/>
          <w:rtl/>
        </w:rPr>
        <w:t xml:space="preserve"> </w:t>
      </w:r>
      <w:r w:rsidRPr="00562527">
        <w:rPr>
          <w:rFonts w:ascii="David" w:hAnsi="David"/>
          <w:rtl/>
        </w:rPr>
        <w:t xml:space="preserve">אך כמפורט בכתב האישום המתוקן, הנאשם חזר לחדרו במהלך הריב המילולי שהתפתח בינו ובין המנוח, ובעוד המנוח ממשיך לצעוק במסדרון כשאחר מנסה להרגיעו, ניגש הנאשם לארון שבחדרו, נטל משם סכין, פתח את דלת החדר ודקר את המנוח דקירה קטלנית אחת בצד שמאל של בית החזה. התנהגותו של הנאשם לאחר הדקירה מעצימה את חומרת מעשיו, שכן הוא חזר לחדרו והסתיר את הסכין בין קפלי שק אורז בחדרו, ולא טרח להושיט עזרה כלשהי למנוח או להזעיק עזרה רפואית עבורו, ובכך הפגין אדישות בולטת וחוסר אכפתיות מוחלט לתוצאה הקטלנית של מעשיו.  </w:t>
      </w:r>
    </w:p>
    <w:p w14:paraId="3C1EED0E" w14:textId="77777777" w:rsidR="004E7F8A" w:rsidRPr="00562527" w:rsidRDefault="004E7F8A" w:rsidP="00562527">
      <w:pPr>
        <w:overflowPunct w:val="0"/>
        <w:autoSpaceDE w:val="0"/>
        <w:autoSpaceDN w:val="0"/>
        <w:spacing w:before="160" w:line="360" w:lineRule="auto"/>
        <w:jc w:val="both"/>
        <w:rPr>
          <w:rFonts w:ascii="David" w:hAnsi="David"/>
          <w:b/>
          <w:bCs/>
          <w:rtl/>
        </w:rPr>
      </w:pPr>
      <w:r w:rsidRPr="00562527">
        <w:rPr>
          <w:rFonts w:ascii="David" w:hAnsi="David"/>
          <w:rtl/>
        </w:rPr>
        <w:t xml:space="preserve">הנאשם הוא המבצע היחיד של מעשה העבירה ואחראי באופן מלא ובלעדי למעשיו; הנזק שנגרם ממעשיו הוא איום ונורא, מפני שהנאשם גדע את פתיל חייו של אדם צעיר, נשוי לאישה צעירה שלא תוכל עוד להתרפק על כתפי בעלה, אב לילדה קטנה שלא תזכה עוד להכיר את אביה, ובן להורים מבוגרים אשר בנם האהוב שתמך בהם נרצח באחת, והם לא יוכלו עוד להסתייע בעזרה שבנם היה נוהג להושיט להם בזקנתם; וכל זאת בשל ריב של מה בכך. זאת ועוד, ניתן להניח שהנאשם היה מודע לתוצאה החמורה שעלולה לקרות בשל דקירה בבית החזה, ולנזק הנורא והבלתי הפיך שנגרם כתוצאה מכך. הנאשם יכול היה להבין את משמעות מעשיו, ויכול היה בנקל להימנע מהמעשה, שהרי היה מי שהפריד בין הניצים, והנאשם נכנס כבר לחדרו ויכול היה להישאר בו, ומשום מה החליט לצאת לעבר המנוח כשסכין בידו.  </w:t>
      </w:r>
    </w:p>
    <w:p w14:paraId="09790543" w14:textId="77777777" w:rsidR="004E7F8A" w:rsidRPr="00562527" w:rsidRDefault="004E7F8A" w:rsidP="00562527">
      <w:pPr>
        <w:overflowPunct w:val="0"/>
        <w:autoSpaceDE w:val="0"/>
        <w:autoSpaceDN w:val="0"/>
        <w:spacing w:before="160" w:line="360" w:lineRule="auto"/>
        <w:jc w:val="both"/>
        <w:rPr>
          <w:rFonts w:ascii="David" w:hAnsi="David"/>
          <w:b/>
          <w:bCs/>
          <w:rtl/>
        </w:rPr>
      </w:pPr>
      <w:r w:rsidRPr="00562527">
        <w:rPr>
          <w:rFonts w:ascii="David" w:hAnsi="David"/>
          <w:b/>
          <w:bCs/>
          <w:rtl/>
        </w:rPr>
        <w:t>מדיניות הענישה הנוהגת</w:t>
      </w:r>
    </w:p>
    <w:p w14:paraId="02CB8049" w14:textId="77777777" w:rsidR="004E7F8A" w:rsidRPr="00562527" w:rsidRDefault="004E7F8A" w:rsidP="00562527">
      <w:pPr>
        <w:overflowPunct w:val="0"/>
        <w:autoSpaceDE w:val="0"/>
        <w:autoSpaceDN w:val="0"/>
        <w:spacing w:before="160" w:line="360" w:lineRule="auto"/>
        <w:jc w:val="both"/>
        <w:rPr>
          <w:rFonts w:ascii="David" w:hAnsi="David"/>
          <w:rtl/>
        </w:rPr>
      </w:pPr>
      <w:r w:rsidRPr="00562527">
        <w:rPr>
          <w:rFonts w:ascii="David" w:hAnsi="David"/>
          <w:rtl/>
        </w:rPr>
        <w:t>הנאשם הורשע כאמור בעבירה של רצח באדישות על פי הדין החדש שלאחר תיקון 137, שנכנס לתוקפו בחודש יוני 2019, ולכן הפסיקה הקיימת ביחס לענישה בעבירה של רצח באדישות היא מועטה ביותר. מותב זה גזר לאחרונה, ביום 12.4.22, את דינו של נאשם אחר שהורשע בעבירה של רצח בכוונה, אף היא על פי הדין החדש שלאחר תיקון 137 (</w:t>
      </w:r>
      <w:hyperlink r:id="rId31" w:history="1">
        <w:r w:rsidR="001D6899" w:rsidRPr="001D6899">
          <w:rPr>
            <w:rFonts w:ascii="David" w:hAnsi="David"/>
            <w:color w:val="0000FF"/>
            <w:u w:val="single"/>
            <w:rtl/>
          </w:rPr>
          <w:t>תפ"ח 70897-07-18</w:t>
        </w:r>
      </w:hyperlink>
      <w:r w:rsidRPr="00562527">
        <w:rPr>
          <w:rFonts w:ascii="David" w:hAnsi="David"/>
          <w:rtl/>
        </w:rPr>
        <w:t xml:space="preserve"> </w:t>
      </w:r>
      <w:r w:rsidRPr="00562527">
        <w:rPr>
          <w:rFonts w:ascii="David" w:hAnsi="David"/>
          <w:b/>
          <w:bCs/>
          <w:rtl/>
        </w:rPr>
        <w:t>מדינת ישראל נ' ג'אבר</w:t>
      </w:r>
      <w:r w:rsidRPr="00562527">
        <w:rPr>
          <w:rFonts w:ascii="David" w:hAnsi="David"/>
          <w:rtl/>
        </w:rPr>
        <w:t xml:space="preserve">), אלא שביחס לעבירה זו ניתן זמן קצר קודם לכן פסק דין בבית המשפט העליון, שהכריע בסוגיות שונות שעמדו על הפרק ביחס לענישה הראויה בעבירה זו, ובכך התווה את הדרך לערכאות הדיוניות שדנות בעבירות מסוג זה. </w:t>
      </w:r>
    </w:p>
    <w:p w14:paraId="540512B0" w14:textId="77777777" w:rsidR="004E7F8A" w:rsidRPr="00562527" w:rsidRDefault="004E7F8A" w:rsidP="00562527">
      <w:pPr>
        <w:overflowPunct w:val="0"/>
        <w:autoSpaceDE w:val="0"/>
        <w:autoSpaceDN w:val="0"/>
        <w:spacing w:before="160" w:line="360" w:lineRule="auto"/>
        <w:jc w:val="both"/>
        <w:rPr>
          <w:rFonts w:ascii="David" w:hAnsi="David"/>
          <w:rtl/>
        </w:rPr>
      </w:pPr>
      <w:r w:rsidRPr="00562527">
        <w:rPr>
          <w:rFonts w:ascii="David" w:hAnsi="David"/>
          <w:rtl/>
        </w:rPr>
        <w:t xml:space="preserve">אולם ביחס לעבירה של רצח באדישות, ככל הידוע לנו, אין עדיין פסיקה של בית המשפט העליון, ולכן אין מנוס מלבחון את מדיניות הענישה הנוהגת, בהתאם לגזרי הדין הבודדים שניתנו עד כה בבתי המשפט המחוזיים בעניין זה, אשר שניים מהם ניתנו ע"י מותב אחר בבית משפט זה. יצוין עוד, כי ב"כ הנאשם הפנה בסוף טיעוניו בעל פה לשורה של פסקי דין שניתנו בבית המשפט העליון ביחס לענישה בעבירה של הריגה לפי הדין הישן, אולם אין הנדון דומה לראיה, שכן בסופו של דבר לא הרי הרשעה בעבירה של רצח, שהעונש המרבי בצידה הוא מאסר עולם או 30 שנות מאסר, כהרי הרשעה בעבירה של הריגה, שהעונש המרבי בצידה הוא 20 שנות מאסר. </w:t>
      </w:r>
    </w:p>
    <w:p w14:paraId="61AABD2F" w14:textId="77777777" w:rsidR="004E7F8A" w:rsidRPr="00562527" w:rsidRDefault="004E7F8A" w:rsidP="00562527">
      <w:pPr>
        <w:overflowPunct w:val="0"/>
        <w:autoSpaceDE w:val="0"/>
        <w:autoSpaceDN w:val="0"/>
        <w:spacing w:before="160" w:line="360" w:lineRule="auto"/>
        <w:jc w:val="both"/>
        <w:rPr>
          <w:rFonts w:ascii="David" w:hAnsi="David"/>
          <w:rtl/>
        </w:rPr>
      </w:pPr>
      <w:r w:rsidRPr="00562527">
        <w:rPr>
          <w:rFonts w:ascii="David" w:hAnsi="David"/>
          <w:rtl/>
        </w:rPr>
        <w:t>לא למותר להפנות שוב לדברי ההסבר להצעת החוק של תיקון 137, בהם נאמר בין היתר כי בשל החומרה המיוחדת בעבירות המתה, יש</w:t>
      </w:r>
      <w:r w:rsidRPr="00562527">
        <w:rPr>
          <w:rStyle w:val="Ruller4"/>
          <w:rFonts w:ascii="Times New Roman" w:hAnsi="Times New Roman" w:cs="FrankRuehl"/>
          <w:sz w:val="24"/>
          <w:szCs w:val="28"/>
          <w:rtl/>
        </w:rPr>
        <w:t xml:space="preserve"> </w:t>
      </w:r>
      <w:r w:rsidRPr="00562527">
        <w:rPr>
          <w:rFonts w:ascii="David" w:hAnsi="David"/>
          <w:rtl/>
        </w:rPr>
        <w:t xml:space="preserve">הצדקה בעבירות אלה </w:t>
      </w:r>
      <w:r w:rsidRPr="00562527">
        <w:rPr>
          <w:rFonts w:ascii="David" w:hAnsi="David"/>
          <w:b/>
          <w:bCs/>
        </w:rPr>
        <w:t>"</w:t>
      </w:r>
      <w:r w:rsidRPr="00562527">
        <w:rPr>
          <w:rFonts w:ascii="David" w:hAnsi="David"/>
          <w:b/>
          <w:bCs/>
          <w:rtl/>
        </w:rPr>
        <w:t>להבחנה</w:t>
      </w:r>
      <w:r w:rsidRPr="00562527">
        <w:rPr>
          <w:rFonts w:ascii="David" w:hAnsi="David"/>
          <w:b/>
          <w:bCs/>
        </w:rPr>
        <w:t xml:space="preserve"> </w:t>
      </w:r>
      <w:r w:rsidRPr="00562527">
        <w:rPr>
          <w:rFonts w:ascii="David" w:hAnsi="David"/>
          <w:b/>
          <w:bCs/>
          <w:rtl/>
        </w:rPr>
        <w:t>בין</w:t>
      </w:r>
      <w:r w:rsidRPr="00562527">
        <w:rPr>
          <w:rFonts w:ascii="David" w:hAnsi="David"/>
          <w:b/>
          <w:bCs/>
        </w:rPr>
        <w:t xml:space="preserve"> </w:t>
      </w:r>
      <w:r w:rsidRPr="00562527">
        <w:rPr>
          <w:rFonts w:ascii="David" w:hAnsi="David"/>
          <w:b/>
          <w:bCs/>
          <w:rtl/>
        </w:rPr>
        <w:t>היסוד</w:t>
      </w:r>
      <w:r w:rsidRPr="00562527">
        <w:rPr>
          <w:rFonts w:ascii="David" w:hAnsi="David"/>
          <w:b/>
          <w:bCs/>
        </w:rPr>
        <w:t xml:space="preserve"> </w:t>
      </w:r>
      <w:r w:rsidRPr="00562527">
        <w:rPr>
          <w:rFonts w:ascii="David" w:hAnsi="David"/>
          <w:b/>
          <w:bCs/>
          <w:rtl/>
        </w:rPr>
        <w:t>הנפשי</w:t>
      </w:r>
      <w:r w:rsidRPr="00562527">
        <w:rPr>
          <w:rFonts w:ascii="David" w:hAnsi="David"/>
          <w:b/>
          <w:bCs/>
        </w:rPr>
        <w:t xml:space="preserve"> </w:t>
      </w:r>
      <w:r w:rsidRPr="00562527">
        <w:rPr>
          <w:rFonts w:ascii="David" w:hAnsi="David"/>
          <w:b/>
          <w:bCs/>
          <w:rtl/>
        </w:rPr>
        <w:t>של</w:t>
      </w:r>
      <w:r w:rsidRPr="00562527">
        <w:rPr>
          <w:rFonts w:ascii="David" w:hAnsi="David"/>
          <w:b/>
          <w:bCs/>
        </w:rPr>
        <w:t xml:space="preserve"> </w:t>
      </w:r>
      <w:r w:rsidRPr="00562527">
        <w:rPr>
          <w:rFonts w:ascii="David" w:hAnsi="David"/>
          <w:b/>
          <w:bCs/>
          <w:rtl/>
        </w:rPr>
        <w:t>אדישות</w:t>
      </w:r>
      <w:r w:rsidRPr="00562527">
        <w:rPr>
          <w:rFonts w:ascii="David" w:hAnsi="David"/>
          <w:b/>
          <w:bCs/>
        </w:rPr>
        <w:t xml:space="preserve">- </w:t>
      </w:r>
      <w:r w:rsidRPr="00562527">
        <w:rPr>
          <w:rFonts w:ascii="David" w:hAnsi="David"/>
          <w:b/>
          <w:bCs/>
          <w:rtl/>
        </w:rPr>
        <w:t xml:space="preserve"> המבטא</w:t>
      </w:r>
      <w:r w:rsidRPr="00562527">
        <w:rPr>
          <w:rFonts w:ascii="David" w:hAnsi="David"/>
          <w:b/>
          <w:bCs/>
        </w:rPr>
        <w:t xml:space="preserve"> </w:t>
      </w:r>
      <w:r w:rsidRPr="00562527">
        <w:rPr>
          <w:rFonts w:ascii="David" w:hAnsi="David"/>
          <w:b/>
          <w:bCs/>
          <w:rtl/>
        </w:rPr>
        <w:t>כאמור</w:t>
      </w:r>
      <w:r w:rsidRPr="00562527">
        <w:rPr>
          <w:rFonts w:ascii="David" w:hAnsi="David"/>
          <w:b/>
          <w:bCs/>
        </w:rPr>
        <w:t xml:space="preserve"> </w:t>
      </w:r>
      <w:r w:rsidRPr="00562527">
        <w:rPr>
          <w:rFonts w:ascii="David" w:hAnsi="David"/>
          <w:b/>
          <w:bCs/>
          <w:rtl/>
        </w:rPr>
        <w:t>זלזול</w:t>
      </w:r>
      <w:r w:rsidRPr="00562527">
        <w:rPr>
          <w:rFonts w:ascii="David" w:hAnsi="David"/>
          <w:b/>
          <w:bCs/>
        </w:rPr>
        <w:t xml:space="preserve"> </w:t>
      </w:r>
      <w:r w:rsidRPr="00562527">
        <w:rPr>
          <w:rFonts w:ascii="David" w:hAnsi="David"/>
          <w:b/>
          <w:bCs/>
          <w:rtl/>
        </w:rPr>
        <w:t>מובהק</w:t>
      </w:r>
      <w:r w:rsidRPr="00562527">
        <w:rPr>
          <w:rFonts w:ascii="David" w:hAnsi="David"/>
          <w:b/>
          <w:bCs/>
        </w:rPr>
        <w:t xml:space="preserve"> </w:t>
      </w:r>
      <w:r w:rsidRPr="00562527">
        <w:rPr>
          <w:rFonts w:ascii="David" w:hAnsi="David"/>
          <w:b/>
          <w:bCs/>
          <w:rtl/>
        </w:rPr>
        <w:t>בערך</w:t>
      </w:r>
      <w:r w:rsidRPr="00562527">
        <w:rPr>
          <w:rFonts w:ascii="David" w:hAnsi="David"/>
          <w:b/>
          <w:bCs/>
        </w:rPr>
        <w:t xml:space="preserve"> </w:t>
      </w:r>
      <w:r w:rsidRPr="00562527">
        <w:rPr>
          <w:rFonts w:ascii="David" w:hAnsi="David"/>
          <w:b/>
          <w:bCs/>
          <w:rtl/>
        </w:rPr>
        <w:t>של</w:t>
      </w:r>
      <w:r w:rsidRPr="00562527">
        <w:rPr>
          <w:rFonts w:ascii="David" w:hAnsi="David"/>
          <w:b/>
          <w:bCs/>
        </w:rPr>
        <w:t xml:space="preserve"> </w:t>
      </w:r>
      <w:r w:rsidRPr="00562527">
        <w:rPr>
          <w:rFonts w:ascii="David" w:hAnsi="David"/>
          <w:b/>
          <w:bCs/>
          <w:rtl/>
        </w:rPr>
        <w:t>חיי</w:t>
      </w:r>
      <w:r w:rsidRPr="00562527">
        <w:rPr>
          <w:rFonts w:ascii="David" w:hAnsi="David"/>
          <w:b/>
          <w:bCs/>
        </w:rPr>
        <w:t xml:space="preserve"> </w:t>
      </w:r>
      <w:r w:rsidRPr="00562527">
        <w:rPr>
          <w:rFonts w:ascii="David" w:hAnsi="David"/>
          <w:b/>
          <w:bCs/>
          <w:rtl/>
        </w:rPr>
        <w:t>אדם</w:t>
      </w:r>
      <w:r w:rsidRPr="00562527">
        <w:rPr>
          <w:rFonts w:ascii="David" w:hAnsi="David"/>
          <w:b/>
          <w:bCs/>
        </w:rPr>
        <w:t xml:space="preserve"> – </w:t>
      </w:r>
      <w:r w:rsidRPr="00562527">
        <w:rPr>
          <w:rFonts w:ascii="David" w:hAnsi="David"/>
          <w:b/>
          <w:bCs/>
          <w:rtl/>
        </w:rPr>
        <w:t xml:space="preserve"> לבין היסוד</w:t>
      </w:r>
      <w:r w:rsidRPr="00562527">
        <w:rPr>
          <w:rFonts w:ascii="David" w:hAnsi="David"/>
          <w:b/>
          <w:bCs/>
        </w:rPr>
        <w:t xml:space="preserve"> </w:t>
      </w:r>
      <w:r w:rsidRPr="00562527">
        <w:rPr>
          <w:rFonts w:ascii="David" w:hAnsi="David"/>
          <w:b/>
          <w:bCs/>
          <w:rtl/>
        </w:rPr>
        <w:t>הנפשי</w:t>
      </w:r>
      <w:r w:rsidRPr="00562527">
        <w:rPr>
          <w:rFonts w:ascii="David" w:hAnsi="David"/>
          <w:b/>
          <w:bCs/>
        </w:rPr>
        <w:t xml:space="preserve"> </w:t>
      </w:r>
      <w:r w:rsidRPr="00562527">
        <w:rPr>
          <w:rFonts w:ascii="David" w:hAnsi="David"/>
          <w:b/>
          <w:bCs/>
          <w:rtl/>
        </w:rPr>
        <w:t>של</w:t>
      </w:r>
      <w:r w:rsidRPr="00562527">
        <w:rPr>
          <w:rFonts w:ascii="David" w:hAnsi="David"/>
          <w:b/>
          <w:bCs/>
        </w:rPr>
        <w:t xml:space="preserve"> </w:t>
      </w:r>
      <w:r w:rsidRPr="00562527">
        <w:rPr>
          <w:rFonts w:ascii="David" w:hAnsi="David"/>
          <w:b/>
          <w:bCs/>
          <w:rtl/>
        </w:rPr>
        <w:t>קלות</w:t>
      </w:r>
      <w:r w:rsidRPr="00562527">
        <w:rPr>
          <w:rFonts w:ascii="David" w:hAnsi="David"/>
          <w:b/>
          <w:bCs/>
        </w:rPr>
        <w:t xml:space="preserve"> </w:t>
      </w:r>
      <w:r w:rsidRPr="00562527">
        <w:rPr>
          <w:rFonts w:ascii="David" w:hAnsi="David"/>
          <w:b/>
          <w:bCs/>
          <w:rtl/>
        </w:rPr>
        <w:t>דעת</w:t>
      </w:r>
      <w:r w:rsidRPr="00562527">
        <w:rPr>
          <w:rFonts w:ascii="David" w:hAnsi="David"/>
          <w:b/>
          <w:bCs/>
        </w:rPr>
        <w:t xml:space="preserve"> </w:t>
      </w:r>
      <w:r w:rsidRPr="00562527">
        <w:rPr>
          <w:rFonts w:ascii="David" w:hAnsi="David"/>
          <w:b/>
          <w:bCs/>
          <w:rtl/>
        </w:rPr>
        <w:t>שמבטא</w:t>
      </w:r>
      <w:r w:rsidRPr="00562527">
        <w:rPr>
          <w:rFonts w:ascii="David" w:hAnsi="David"/>
          <w:b/>
          <w:bCs/>
        </w:rPr>
        <w:t xml:space="preserve"> </w:t>
      </w:r>
      <w:r w:rsidRPr="00562527">
        <w:rPr>
          <w:rFonts w:ascii="David" w:hAnsi="David"/>
          <w:b/>
          <w:bCs/>
          <w:rtl/>
        </w:rPr>
        <w:t>חומרה</w:t>
      </w:r>
      <w:r w:rsidRPr="00562527">
        <w:rPr>
          <w:rFonts w:ascii="David" w:hAnsi="David"/>
          <w:b/>
          <w:bCs/>
        </w:rPr>
        <w:t xml:space="preserve"> </w:t>
      </w:r>
      <w:r w:rsidRPr="00562527">
        <w:rPr>
          <w:rFonts w:ascii="David" w:hAnsi="David"/>
          <w:b/>
          <w:bCs/>
          <w:rtl/>
        </w:rPr>
        <w:t>פחותה, וכן לכריכה</w:t>
      </w:r>
      <w:r w:rsidRPr="00562527">
        <w:rPr>
          <w:rFonts w:ascii="David" w:hAnsi="David"/>
          <w:b/>
          <w:bCs/>
        </w:rPr>
        <w:t xml:space="preserve"> </w:t>
      </w:r>
      <w:r w:rsidRPr="00562527">
        <w:rPr>
          <w:rFonts w:ascii="David" w:hAnsi="David"/>
          <w:b/>
          <w:bCs/>
          <w:rtl/>
        </w:rPr>
        <w:t>של</w:t>
      </w:r>
      <w:r w:rsidRPr="00562527">
        <w:rPr>
          <w:rFonts w:ascii="David" w:hAnsi="David"/>
          <w:b/>
          <w:bCs/>
        </w:rPr>
        <w:t xml:space="preserve"> </w:t>
      </w:r>
      <w:r w:rsidRPr="00562527">
        <w:rPr>
          <w:rFonts w:ascii="David" w:hAnsi="David"/>
          <w:b/>
          <w:bCs/>
          <w:rtl/>
        </w:rPr>
        <w:t>האדישות</w:t>
      </w:r>
      <w:r w:rsidRPr="00562527">
        <w:rPr>
          <w:rFonts w:ascii="David" w:hAnsi="David"/>
          <w:b/>
          <w:bCs/>
        </w:rPr>
        <w:t xml:space="preserve"> </w:t>
      </w:r>
      <w:r w:rsidRPr="00562527">
        <w:rPr>
          <w:rFonts w:ascii="David" w:hAnsi="David"/>
          <w:b/>
          <w:bCs/>
          <w:rtl/>
        </w:rPr>
        <w:t>והכוונה</w:t>
      </w:r>
      <w:r w:rsidRPr="00562527">
        <w:rPr>
          <w:rFonts w:ascii="David" w:hAnsi="David"/>
          <w:b/>
          <w:bCs/>
        </w:rPr>
        <w:t xml:space="preserve"> </w:t>
      </w:r>
      <w:r w:rsidRPr="00562527">
        <w:rPr>
          <w:rFonts w:ascii="David" w:hAnsi="David"/>
          <w:b/>
          <w:bCs/>
          <w:rtl/>
        </w:rPr>
        <w:t>יחד, תוך</w:t>
      </w:r>
      <w:r w:rsidRPr="00562527">
        <w:rPr>
          <w:rFonts w:ascii="David" w:hAnsi="David"/>
          <w:b/>
          <w:bCs/>
        </w:rPr>
        <w:t xml:space="preserve"> </w:t>
      </w:r>
      <w:r w:rsidRPr="00562527">
        <w:rPr>
          <w:rFonts w:ascii="David" w:hAnsi="David"/>
          <w:b/>
          <w:bCs/>
          <w:rtl/>
        </w:rPr>
        <w:t>הבחנה</w:t>
      </w:r>
      <w:r w:rsidRPr="00562527">
        <w:rPr>
          <w:rFonts w:ascii="David" w:hAnsi="David"/>
          <w:b/>
          <w:bCs/>
        </w:rPr>
        <w:t xml:space="preserve"> </w:t>
      </w:r>
      <w:r w:rsidRPr="00562527">
        <w:rPr>
          <w:rFonts w:ascii="David" w:hAnsi="David"/>
          <w:b/>
          <w:bCs/>
          <w:rtl/>
        </w:rPr>
        <w:t>בינן</w:t>
      </w:r>
      <w:r w:rsidRPr="00562527">
        <w:rPr>
          <w:rFonts w:ascii="David" w:hAnsi="David"/>
          <w:b/>
          <w:bCs/>
        </w:rPr>
        <w:t xml:space="preserve"> </w:t>
      </w:r>
      <w:r w:rsidRPr="00562527">
        <w:rPr>
          <w:rFonts w:ascii="David" w:hAnsi="David"/>
          <w:b/>
          <w:bCs/>
          <w:rtl/>
        </w:rPr>
        <w:t>לבין קלות</w:t>
      </w:r>
      <w:r w:rsidRPr="00562527">
        <w:rPr>
          <w:rFonts w:ascii="David" w:hAnsi="David"/>
          <w:b/>
          <w:bCs/>
        </w:rPr>
        <w:t xml:space="preserve"> </w:t>
      </w:r>
      <w:r w:rsidRPr="00562527">
        <w:rPr>
          <w:rFonts w:ascii="David" w:hAnsi="David"/>
          <w:b/>
          <w:bCs/>
          <w:rtl/>
        </w:rPr>
        <w:t>דעת</w:t>
      </w:r>
      <w:r w:rsidRPr="00562527">
        <w:rPr>
          <w:rFonts w:ascii="David" w:hAnsi="David"/>
        </w:rPr>
        <w:t>.</w:t>
      </w:r>
      <w:r w:rsidRPr="00562527">
        <w:rPr>
          <w:rFonts w:ascii="David" w:hAnsi="David"/>
          <w:b/>
          <w:bCs/>
        </w:rPr>
        <w:t>"</w:t>
      </w:r>
      <w:r w:rsidRPr="00562527">
        <w:rPr>
          <w:rStyle w:val="Ruller4"/>
          <w:rFonts w:ascii="Times New Roman" w:hAnsi="Times New Roman" w:cs="FrankRuehl"/>
          <w:sz w:val="24"/>
          <w:szCs w:val="28"/>
          <w:rtl/>
        </w:rPr>
        <w:t xml:space="preserve"> </w:t>
      </w:r>
      <w:r w:rsidRPr="00562527">
        <w:rPr>
          <w:rFonts w:ascii="David" w:hAnsi="David"/>
          <w:rtl/>
        </w:rPr>
        <w:t xml:space="preserve">לטעמנו ברור כי הכללת מעשה המתה באדישות בגדרה של עבירת הרצח, שמעבר לכותרתה גם העונש בגינה גבוה יותר, נועדה לבטא גם החמרה בענישה, ולכן לא ראינו מקום להתייחס לפסקי הדין של ענישה בעבירה של הריגה, בבואנו לדון במדיניות הענישה הנוהגת בעבירה חדשה זו של רצח באדישות.  </w:t>
      </w:r>
    </w:p>
    <w:p w14:paraId="6E289D59" w14:textId="77777777" w:rsidR="004E7F8A" w:rsidRPr="00562527" w:rsidRDefault="004E7F8A" w:rsidP="00562527">
      <w:pPr>
        <w:spacing w:before="160" w:line="360" w:lineRule="auto"/>
        <w:jc w:val="both"/>
        <w:rPr>
          <w:rFonts w:cs="Arial"/>
          <w:sz w:val="22"/>
          <w:szCs w:val="22"/>
          <w:rtl/>
        </w:rPr>
      </w:pPr>
      <w:r w:rsidRPr="00562527">
        <w:rPr>
          <w:rFonts w:ascii="David" w:hAnsi="David"/>
          <w:rtl/>
        </w:rPr>
        <w:t>ב</w:t>
      </w:r>
      <w:hyperlink r:id="rId32" w:history="1">
        <w:r w:rsidR="001D6899" w:rsidRPr="001D6899">
          <w:rPr>
            <w:rFonts w:ascii="David" w:hAnsi="David"/>
            <w:color w:val="0000FF"/>
            <w:u w:val="single"/>
            <w:rtl/>
          </w:rPr>
          <w:t>תפ"ח 51134-02-17</w:t>
        </w:r>
      </w:hyperlink>
      <w:r w:rsidRPr="00562527">
        <w:rPr>
          <w:rFonts w:ascii="David" w:hAnsi="David"/>
          <w:rtl/>
        </w:rPr>
        <w:t xml:space="preserve"> </w:t>
      </w:r>
      <w:r w:rsidRPr="00562527">
        <w:rPr>
          <w:rFonts w:ascii="David" w:hAnsi="David"/>
          <w:b/>
          <w:bCs/>
          <w:rtl/>
        </w:rPr>
        <w:t>מדינת ישראל נ' קפוסטין</w:t>
      </w:r>
      <w:r w:rsidRPr="00562527">
        <w:rPr>
          <w:rFonts w:ascii="David" w:hAnsi="David"/>
          <w:rtl/>
        </w:rPr>
        <w:t xml:space="preserve"> (פורסם בנבו, 21.1.2021) שהוזכר ע"י ב"כ המאשימה, דובר בנאשם שהורשע לאחר הוכחות בעבירה של רצח באדישות. בית המשפט קבע מתחם ענישה שבין 15 ל-22 שנות מאסר, וגזר על הנאשם 18 שנות מאסר, באמצע המתחם. אולם נראה כי הנסיבות שם חמורות יותר מהנסיבות שלפנינו, מפני שהנאשם שם היכה למוות את אמו הקשישה שהייתה בת 66, וגרם לה לחבלות רבות, בהן שבר בעצם החזה, מספר שברים במספר צלעות, שבר בחוליות הגב, הפרדת הקרקפת מהראש, דימומים פנימיים ועמוקים בכל חלקי גופה, כשהוא משתמש לצורך הכאתה בין השאר גם בחפץ או בחפצים שונים.</w:t>
      </w:r>
      <w:r>
        <w:rPr>
          <w:rtl/>
        </w:rPr>
        <w:t xml:space="preserve"> </w:t>
      </w:r>
      <w:r w:rsidRPr="00562527">
        <w:rPr>
          <w:rFonts w:ascii="David" w:hAnsi="David"/>
          <w:rtl/>
        </w:rPr>
        <w:t>בסופו של דבר המנוחה מתה מחנק, בשל אי ספיקה נשימתית בעקבות שברים מרובים בצלעות.</w:t>
      </w:r>
      <w:r w:rsidRPr="00562527">
        <w:rPr>
          <w:rFonts w:ascii="Calibri" w:hAnsi="Calibri"/>
          <w:rtl/>
        </w:rPr>
        <w:t xml:space="preserve"> </w:t>
      </w:r>
      <w:r w:rsidRPr="00562527">
        <w:rPr>
          <w:rFonts w:ascii="David" w:hAnsi="David"/>
          <w:rtl/>
        </w:rPr>
        <w:t xml:space="preserve">זאת ועוד, הנאשם שם לא לקח אחריות על מעשיו, והורשע לאחר משפט הוכחות ממושך, ובנוסף לכך היו לנאשם הרשעות קודמות בעבירות איומים ואלימות. </w:t>
      </w:r>
    </w:p>
    <w:p w14:paraId="2729410A" w14:textId="77777777" w:rsidR="004E7F8A" w:rsidRDefault="004E7F8A" w:rsidP="00562527">
      <w:pPr>
        <w:spacing w:before="160" w:line="360" w:lineRule="auto"/>
        <w:jc w:val="both"/>
        <w:rPr>
          <w:rtl/>
        </w:rPr>
      </w:pPr>
      <w:r w:rsidRPr="00562527">
        <w:rPr>
          <w:rFonts w:ascii="David" w:hAnsi="David"/>
          <w:rtl/>
        </w:rPr>
        <w:t>עם זאת, בית המשפט קבע שם כי הנאשם היה קרוב לסייג של שכרות חלקית, ושקל לזכותו גם את העובדה שלאחר מעשי האלימות הנאשם ניסה להציל את המנוחה ואף הזעיק את המשטרה, שהגיעה לזירה כשהמנוחה עוד הייתה בחיים. ועדיין נראה כי בבחינה כוללת של מכלול הנסיבות, עניינו של הנאשם דנן פחות חמור מעניינו של קפוסטין, מפני שהנאשם לקח אחריות על מעשיו והודה כבר בתחילת החקירה, ומפני שהנאשם תקף את המנוח בדקירה אחת, שלא הייתה מלווה  באכזריות כה רבה, וכן לא היה לנאשם עבר פלילי. לא למותר לציין כי המדינה ערערה על קולת העונש, וטרם ניתן פסק דין בערעור.</w:t>
      </w:r>
    </w:p>
    <w:p w14:paraId="74B0F113" w14:textId="77777777" w:rsidR="004E7F8A" w:rsidRPr="00562527" w:rsidRDefault="004E7F8A" w:rsidP="00562527">
      <w:pPr>
        <w:overflowPunct w:val="0"/>
        <w:autoSpaceDE w:val="0"/>
        <w:autoSpaceDN w:val="0"/>
        <w:spacing w:before="160" w:line="360" w:lineRule="auto"/>
        <w:jc w:val="both"/>
        <w:rPr>
          <w:rFonts w:ascii="David" w:hAnsi="David"/>
          <w:rtl/>
        </w:rPr>
      </w:pPr>
      <w:r w:rsidRPr="00562527">
        <w:rPr>
          <w:rFonts w:ascii="David" w:hAnsi="David"/>
          <w:rtl/>
        </w:rPr>
        <w:t>ב</w:t>
      </w:r>
      <w:hyperlink r:id="rId33" w:history="1">
        <w:r w:rsidR="001D6899" w:rsidRPr="001D6899">
          <w:rPr>
            <w:rFonts w:ascii="David" w:hAnsi="David"/>
            <w:color w:val="0000FF"/>
            <w:u w:val="single"/>
            <w:rtl/>
          </w:rPr>
          <w:t>תפ"ח 49705-06-20</w:t>
        </w:r>
      </w:hyperlink>
      <w:r w:rsidRPr="00562527">
        <w:rPr>
          <w:rFonts w:ascii="David" w:hAnsi="David"/>
          <w:rtl/>
        </w:rPr>
        <w:t xml:space="preserve"> </w:t>
      </w:r>
      <w:r w:rsidRPr="00562527">
        <w:rPr>
          <w:rFonts w:ascii="David" w:hAnsi="David"/>
          <w:b/>
          <w:bCs/>
          <w:rtl/>
        </w:rPr>
        <w:t>מדינת ישראל נ' שלו מורי</w:t>
      </w:r>
      <w:r w:rsidRPr="00562527">
        <w:rPr>
          <w:rFonts w:ascii="David" w:hAnsi="David"/>
          <w:rtl/>
        </w:rPr>
        <w:t xml:space="preserve"> (פורסם בנבו, 27.12.21), נדון עניינו של הנאשם יליד 2001, אשר הורשע על פי הודאתו בכתב אישום מתוקן בעבירה של רצח באדישות לפי </w:t>
      </w:r>
      <w:hyperlink r:id="rId34" w:history="1">
        <w:r w:rsidR="00A21B55" w:rsidRPr="00A21B55">
          <w:rPr>
            <w:rStyle w:val="Hyperlink"/>
            <w:rFonts w:ascii="David" w:hAnsi="David"/>
            <w:rtl/>
          </w:rPr>
          <w:t>ס' 300(א)</w:t>
        </w:r>
      </w:hyperlink>
      <w:r w:rsidRPr="00562527">
        <w:rPr>
          <w:rFonts w:ascii="David" w:hAnsi="David"/>
          <w:rtl/>
        </w:rPr>
        <w:t xml:space="preserve"> ל</w:t>
      </w:r>
      <w:hyperlink r:id="rId35" w:history="1">
        <w:r w:rsidR="001D6899" w:rsidRPr="001D6899">
          <w:rPr>
            <w:rFonts w:ascii="David" w:hAnsi="David"/>
            <w:color w:val="0000FF"/>
            <w:u w:val="single"/>
            <w:rtl/>
          </w:rPr>
          <w:t>חוק העונשין</w:t>
        </w:r>
      </w:hyperlink>
      <w:r w:rsidRPr="00562527">
        <w:rPr>
          <w:rFonts w:ascii="David" w:hAnsi="David"/>
          <w:rtl/>
        </w:rPr>
        <w:t xml:space="preserve"> ובעבירה נוספת של נשיאת נשק לפי </w:t>
      </w:r>
      <w:hyperlink r:id="rId36" w:history="1">
        <w:r w:rsidR="00A21B55" w:rsidRPr="00A21B55">
          <w:rPr>
            <w:rStyle w:val="Hyperlink"/>
            <w:rFonts w:ascii="David" w:hAnsi="David"/>
            <w:rtl/>
          </w:rPr>
          <w:t>סעיף 144 (ב)</w:t>
        </w:r>
      </w:hyperlink>
      <w:r w:rsidRPr="00562527">
        <w:rPr>
          <w:rFonts w:ascii="David" w:hAnsi="David"/>
          <w:rtl/>
        </w:rPr>
        <w:t xml:space="preserve"> לחוק האמור. הסדר הטיעון לא כלל הסכמה לעניין העונש, פרט לכך שהמאשימה הודיעה, כי תעתור ל- 20 שנות מאסר בפועל, לצד עונשים נלווים. מדובר בנאשם בעל עבר פלילי והרשעות קודמות, כולל מאסר מותנה בר הפעלה, שהורשע כאמור גם בעבירה של נשיאת נשק, בנוסף לעבירת הרצח, ובכך נסיבותיו חמורות מהנסיבות של הנאשם דנן. בית המשפט קבע מתחם ענישה שבין 10 ל-15 שנות מאסר, וגזר על הנאשם 12 שנות מאסר, כאשר המאסר המותנה ירוצה בחופף למאסרו. </w:t>
      </w:r>
    </w:p>
    <w:p w14:paraId="431D5AF1" w14:textId="77777777" w:rsidR="004E7F8A" w:rsidRPr="00562527" w:rsidRDefault="004E7F8A" w:rsidP="00562527">
      <w:pPr>
        <w:pStyle w:val="a6"/>
        <w:spacing w:before="160" w:line="360" w:lineRule="auto"/>
        <w:jc w:val="both"/>
        <w:rPr>
          <w:rFonts w:cs="David"/>
          <w:rtl/>
        </w:rPr>
      </w:pPr>
      <w:r w:rsidRPr="00562527">
        <w:rPr>
          <w:rFonts w:ascii="David" w:hAnsi="David" w:cs="David"/>
          <w:rtl/>
        </w:rPr>
        <w:t>עם זאת, לא מצאנו כי ניתן ללמוד מגזר דין זה על ענייננו, וזאת נוכח הנסיבות המיוחדות שהצטברו בתיק זה: הסדר טיעון בו הגבילה המאשימה את עתירתה לעונש של 20 שנה, כמו העונש על עבירת הריגה שלפני תיקון 137, וכן העובדה כי מורי הורשע בעבירת הרצח כמבצע בצוותא, וחלקו בעבירה הוגדר ע"י בית המשפט כ"פסיבי", כאשר אדם אחר ירה במנוח וגרם למותו. כמו כן, מדובר שם בנאשם צעיר שאך בגר לפני ביצוע העבירה -  כבן 18 ו-9 חודשים. מכל מקום נעיר, כי לטעמנו קשה ליישב עונש של 12 שנות מאסר עם הרשעה בעבירת רצח, גם כאשר מדובר ביסוד נפשי של אדישות.</w:t>
      </w:r>
    </w:p>
    <w:p w14:paraId="58369EE6" w14:textId="77777777" w:rsidR="004E7F8A" w:rsidRPr="00562527" w:rsidRDefault="00F42DF7" w:rsidP="00562527">
      <w:pPr>
        <w:overflowPunct w:val="0"/>
        <w:autoSpaceDE w:val="0"/>
        <w:autoSpaceDN w:val="0"/>
        <w:spacing w:before="160" w:line="360" w:lineRule="auto"/>
        <w:jc w:val="both"/>
        <w:rPr>
          <w:rFonts w:ascii="David" w:hAnsi="David"/>
          <w:rtl/>
        </w:rPr>
      </w:pPr>
      <w:hyperlink r:id="rId37" w:history="1">
        <w:r w:rsidRPr="00F42DF7">
          <w:rPr>
            <w:rStyle w:val="Hyperlink"/>
            <w:rFonts w:ascii="David" w:hAnsi="David"/>
            <w:rtl/>
          </w:rPr>
          <w:t>בתפ"ח (חיפה) 2690-09-19</w:t>
        </w:r>
      </w:hyperlink>
      <w:r w:rsidR="004E7F8A" w:rsidRPr="00562527">
        <w:rPr>
          <w:rFonts w:ascii="David" w:hAnsi="David"/>
          <w:rtl/>
        </w:rPr>
        <w:t xml:space="preserve"> </w:t>
      </w:r>
      <w:r w:rsidR="004E7F8A" w:rsidRPr="00562527">
        <w:rPr>
          <w:rFonts w:ascii="David" w:hAnsi="David"/>
          <w:b/>
          <w:bCs/>
          <w:rtl/>
        </w:rPr>
        <w:t>מדינת ישראל נ'</w:t>
      </w:r>
      <w:r w:rsidR="004E7F8A" w:rsidRPr="00562527">
        <w:rPr>
          <w:rFonts w:ascii="David" w:hAnsi="David"/>
          <w:rtl/>
        </w:rPr>
        <w:t xml:space="preserve"> </w:t>
      </w:r>
      <w:r w:rsidR="004E7F8A" w:rsidRPr="00562527">
        <w:rPr>
          <w:rFonts w:ascii="David" w:hAnsi="David"/>
          <w:b/>
          <w:bCs/>
          <w:rtl/>
        </w:rPr>
        <w:t>יחיא חוג'יראת</w:t>
      </w:r>
      <w:r w:rsidR="004E7F8A" w:rsidRPr="00562527">
        <w:rPr>
          <w:rFonts w:ascii="David" w:hAnsi="David"/>
          <w:rtl/>
        </w:rPr>
        <w:t xml:space="preserve"> (פורסם בנבו, 7.2.22), נדון עניינו של נאשם  שהורשע על פי הודאתו בכתב אישום מתוקן בעבירה של רצח ביסוד נפשי של אדישות, לפי </w:t>
      </w:r>
      <w:hyperlink r:id="rId38" w:history="1">
        <w:r w:rsidR="00A21B55" w:rsidRPr="00A21B55">
          <w:rPr>
            <w:rStyle w:val="Hyperlink"/>
            <w:rFonts w:ascii="David" w:hAnsi="David"/>
            <w:rtl/>
          </w:rPr>
          <w:t>סעיף 300(א)</w:t>
        </w:r>
      </w:hyperlink>
      <w:r w:rsidR="004E7F8A" w:rsidRPr="00562527">
        <w:rPr>
          <w:rFonts w:ascii="David" w:hAnsi="David"/>
          <w:rtl/>
        </w:rPr>
        <w:t xml:space="preserve"> לחוק, בעבירה של חבלה בכוונה מחמירה, לפי </w:t>
      </w:r>
      <w:hyperlink r:id="rId39" w:history="1">
        <w:r w:rsidR="00A21B55" w:rsidRPr="00A21B55">
          <w:rPr>
            <w:rStyle w:val="Hyperlink"/>
            <w:rFonts w:ascii="David" w:hAnsi="David"/>
            <w:rtl/>
          </w:rPr>
          <w:t>סעיף 329 (א)(2)</w:t>
        </w:r>
      </w:hyperlink>
      <w:r w:rsidR="004E7F8A" w:rsidRPr="00562527">
        <w:rPr>
          <w:rFonts w:ascii="David" w:hAnsi="David"/>
          <w:rtl/>
        </w:rPr>
        <w:t xml:space="preserve"> לחוק וכן בעבירות נשק, לפי </w:t>
      </w:r>
      <w:hyperlink r:id="rId40" w:history="1">
        <w:r w:rsidR="00A21B55" w:rsidRPr="00A21B55">
          <w:rPr>
            <w:rStyle w:val="Hyperlink"/>
            <w:rFonts w:ascii="David" w:hAnsi="David"/>
            <w:rtl/>
          </w:rPr>
          <w:t>סעיף 144 (א) ו- (ב)</w:t>
        </w:r>
      </w:hyperlink>
      <w:r w:rsidR="004E7F8A" w:rsidRPr="00562527">
        <w:rPr>
          <w:rFonts w:ascii="David" w:hAnsi="David"/>
          <w:rtl/>
        </w:rPr>
        <w:t xml:space="preserve">. הנאשם הועמד לדין ביחד עם בן דודו, שהוא גם חברו ושכנו (להלן: בן הדוד), כאשר ברקע העבירות שביצע הנאשם קיימת העובדה  שאחותו של הנאשם התגרשה מבעלה, ועל רקע זה נוצר סכסוך בין משפחתו של הנאשם ובין משפחתו של הגרוש. במועד האירוע, התלוננה אחותו של הנאשם כי אנשים מהמשפחה היריבה חסמו את דרכה בעת שנסעה במכוניתה, ועל רקע זה, החליט הנאשם לנקום במשפחה היריבה, ופנה לבן דודו שיסייע לו בכך. בן הדוד אכן סייע לנאשם והשיג עבורו נשק מאולתר ותחמושת מתאימה, ובשלב מסוים לאחר חצות הלילה, הנאשם ובן דודו הגיעו ברכב לאזור מגוריהם של בני המשפחה היריבה, ירדו מהרכב והתקדמו רגלית, והבחינו באחיינו של הגרוש שיושב עם חברו (להלן: המנוח) ברכב שחונה בשולי הכביש. בשלב זה החליט הנאשם לירות לעבר השניים בכוונה להטיל בהם נכות או מום או לגרום להם חבלה חמורה, כשהוא שווה נפש לאפשרות שיגרום למותם, ובן דודו החליט לסייע לו בכך שעמד לצדו בעת הירי, אבטח אותו והקל עליו לבצע את הירי. </w:t>
      </w:r>
    </w:p>
    <w:p w14:paraId="427AC51B" w14:textId="77777777" w:rsidR="004E7F8A" w:rsidRPr="00562527" w:rsidRDefault="004E7F8A" w:rsidP="00562527">
      <w:pPr>
        <w:overflowPunct w:val="0"/>
        <w:autoSpaceDE w:val="0"/>
        <w:autoSpaceDN w:val="0"/>
        <w:spacing w:before="160" w:line="360" w:lineRule="auto"/>
        <w:jc w:val="both"/>
        <w:rPr>
          <w:rFonts w:ascii="David" w:hAnsi="David"/>
          <w:rtl/>
        </w:rPr>
      </w:pPr>
      <w:r w:rsidRPr="00562527">
        <w:rPr>
          <w:rFonts w:ascii="David" w:hAnsi="David"/>
          <w:rtl/>
        </w:rPr>
        <w:t xml:space="preserve">אחד הקליעים שירה הנאשם פגע בדלת השמאלית אחורית של הרכב, חדר אותה, פגע בצידה האחורי של זרוע שמאל של המנוח, ומשם חדר לגופו של המנוח בצד שמאל של החזה ושל הריאה השמאלית. המנוח הובהל באמבולנס לבית החולים ושם נקבע מותו. בית המשפט קבע מתחם ענישה שבין 18 ל-25 שנות מאסר, וגזר על הנאשם עונש ברף התחתון של המתחם – 18 שנות מאסר. הנסיבות שם חמורות יותר מהנסיבות שלפנינו, ולו בשל העובדה שהנאשם שם הורשע בשתי עבירות חמורות נוספות: עבירה של חבלה הכוונה מחמירה שהעונד המרבי עליה כשלעצמה הוא 20 שנות מאסר, וכן בעבירות בנשק.  </w:t>
      </w:r>
    </w:p>
    <w:p w14:paraId="7AE877B1" w14:textId="77777777" w:rsidR="004E7F8A" w:rsidRPr="00562527" w:rsidRDefault="004E7F8A" w:rsidP="00562527">
      <w:pPr>
        <w:overflowPunct w:val="0"/>
        <w:autoSpaceDE w:val="0"/>
        <w:autoSpaceDN w:val="0"/>
        <w:spacing w:before="160" w:line="360" w:lineRule="auto"/>
        <w:jc w:val="both"/>
        <w:rPr>
          <w:rFonts w:ascii="David" w:hAnsi="David"/>
          <w:rtl/>
        </w:rPr>
      </w:pPr>
      <w:r w:rsidRPr="00562527">
        <w:rPr>
          <w:rFonts w:ascii="David" w:hAnsi="David"/>
          <w:rtl/>
        </w:rPr>
        <w:t>בגזר הדין, התייחס בית המשפט גם לשינוי שחל ביחס לעבירה זו בעקבות תיקון 137 ל</w:t>
      </w:r>
      <w:hyperlink r:id="rId41" w:history="1">
        <w:r w:rsidR="001D6899" w:rsidRPr="001D6899">
          <w:rPr>
            <w:rFonts w:ascii="David" w:hAnsi="David"/>
            <w:color w:val="0000FF"/>
            <w:u w:val="single"/>
            <w:rtl/>
          </w:rPr>
          <w:t>חוק העונשין</w:t>
        </w:r>
      </w:hyperlink>
      <w:r w:rsidRPr="00562527">
        <w:rPr>
          <w:rFonts w:ascii="David" w:hAnsi="David"/>
          <w:rtl/>
        </w:rPr>
        <w:t>, ולנו לא נותר אלא להצטרף בהסכמה לדברים הנכוחים שנאמרו שם, אשר יובאו בשם אומרם, כלשונם:</w:t>
      </w:r>
    </w:p>
    <w:p w14:paraId="4344CE2B" w14:textId="77777777" w:rsidR="004E7F8A" w:rsidRPr="00562527" w:rsidRDefault="004E7F8A" w:rsidP="00562527">
      <w:pPr>
        <w:spacing w:before="160" w:line="360" w:lineRule="auto"/>
        <w:ind w:left="1134" w:right="1134"/>
        <w:jc w:val="both"/>
        <w:rPr>
          <w:rtl/>
        </w:rPr>
      </w:pPr>
      <w:r w:rsidRPr="00562527">
        <w:rPr>
          <w:rFonts w:ascii="David" w:hAnsi="David"/>
          <w:b/>
          <w:bCs/>
          <w:rtl/>
        </w:rPr>
        <w:t xml:space="preserve">[...] פסיקה אשר התבססה על הוראת </w:t>
      </w:r>
      <w:r w:rsidRPr="001D6899">
        <w:rPr>
          <w:rFonts w:ascii="David" w:hAnsi="David"/>
          <w:b/>
          <w:bCs/>
          <w:color w:val="000000"/>
          <w:rtl/>
        </w:rPr>
        <w:t>סעיף 298</w:t>
      </w:r>
      <w:r w:rsidRPr="00562527">
        <w:rPr>
          <w:rFonts w:ascii="David" w:hAnsi="David"/>
          <w:b/>
          <w:bCs/>
          <w:rtl/>
        </w:rPr>
        <w:t xml:space="preserve"> לחוק (עבירת הריגה, גם אם במצב נפשי של אי - אכפתיות או אדישות) איננה עוד רלבנטית כעת. המחוקק אמר דברו – העונש המרבי הוחמר באורח מהותי (מ-20 שנות מאסר למאסר עולם או 30 שנות מאסר); ההגדרה איננה עוד "הריגה" אלא "רצח"; התפיסה איננה עוד של גרימת מוות בשגגה אלא של גרימת מוות מתוך התנכרות לערך קדושת – החיים. </w:t>
      </w:r>
      <w:r w:rsidRPr="00562527">
        <w:rPr>
          <w:rFonts w:ascii="David" w:hAnsi="David"/>
          <w:b/>
          <w:bCs/>
          <w:u w:val="single"/>
          <w:rtl/>
        </w:rPr>
        <w:t xml:space="preserve">לכל אלה נודעות, מטבע הדברים, משמעויות מחמירות על רמת - הענישה וצפויה, לטעמנו, החמרה ברמת הענישה הננקטת ביחס למעשי עבירה בעלת אופי זהה לאחר שאלו ידונו לפי הדין שלאחר כניסת הרפורמה לתוקף </w:t>
      </w:r>
      <w:r w:rsidRPr="00562527">
        <w:rPr>
          <w:rFonts w:ascii="David" w:hAnsi="David"/>
          <w:rtl/>
        </w:rPr>
        <w:t xml:space="preserve">(ההדגשה במקור – א.מ.).  </w:t>
      </w:r>
    </w:p>
    <w:p w14:paraId="41A60DAE" w14:textId="77777777" w:rsidR="004E7F8A" w:rsidRPr="00562527" w:rsidRDefault="004E7F8A" w:rsidP="00562527">
      <w:pPr>
        <w:overflowPunct w:val="0"/>
        <w:autoSpaceDE w:val="0"/>
        <w:autoSpaceDN w:val="0"/>
        <w:spacing w:before="160" w:line="360" w:lineRule="auto"/>
        <w:jc w:val="both"/>
        <w:rPr>
          <w:rFonts w:ascii="David" w:hAnsi="David"/>
          <w:highlight w:val="yellow"/>
          <w:rtl/>
        </w:rPr>
      </w:pPr>
      <w:r w:rsidRPr="00562527">
        <w:rPr>
          <w:rFonts w:ascii="David" w:hAnsi="David"/>
          <w:rtl/>
        </w:rPr>
        <w:t xml:space="preserve">בהתחשב במכלול השיקולים שפורטו לעיל, ובכללם הפגיעה החמורה בערכים מוגנים, והנזק הקשה והבלתי הפיך שנגרם כתוצאה מהמעשה החמור שביצע הנאשם, ובהינתן מדיניות הענישה הנוהגת, כפי שהיא עולה מפסקי הדין שפורטו לעיל, מצאנו לקבוע כי מתחם העונש ההולם נע בין 16 ל-22 שנות מאסר לריצוי בפועל לצד עונשים נלווים. </w:t>
      </w:r>
    </w:p>
    <w:p w14:paraId="1A679FAF" w14:textId="77777777" w:rsidR="004E7F8A" w:rsidRPr="00562527" w:rsidRDefault="004E7F8A" w:rsidP="00562527">
      <w:pPr>
        <w:overflowPunct w:val="0"/>
        <w:autoSpaceDE w:val="0"/>
        <w:autoSpaceDN w:val="0"/>
        <w:spacing w:before="160" w:line="360" w:lineRule="auto"/>
        <w:jc w:val="both"/>
        <w:rPr>
          <w:rFonts w:ascii="David" w:hAnsi="David"/>
          <w:b/>
          <w:bCs/>
          <w:rtl/>
        </w:rPr>
      </w:pPr>
      <w:r w:rsidRPr="00562527">
        <w:rPr>
          <w:rFonts w:ascii="David" w:hAnsi="David"/>
          <w:rtl/>
        </w:rPr>
        <w:t>עם זאת, אנו מוצאים לנכון להדגיש כי לטעמנו, ראוי היה לקבוע בעבירה זו בנסיבות אלה מתחם גבוה יותר, שיהלום את החומרה היתירה של עבירת הרצח, גם אם מדובר ביסוד נפשי של אדישות, ואת הפגיעה החמורה והבלתי הפיכה שיש בה בערך העליון של קדושת החיים. ואולם, בהתחשב ברמת הענישה שנקבעה בפסקי הדין הבודדים שניתנו עד כה, שכן מדובר בעבירה חדשה שבאה לעולם בתיקון 137 ל</w:t>
      </w:r>
      <w:hyperlink r:id="rId42" w:history="1">
        <w:r w:rsidR="001D6899" w:rsidRPr="001D6899">
          <w:rPr>
            <w:rFonts w:ascii="David" w:hAnsi="David"/>
            <w:color w:val="0000FF"/>
            <w:u w:val="single"/>
            <w:rtl/>
          </w:rPr>
          <w:t>חוק העונשין</w:t>
        </w:r>
      </w:hyperlink>
      <w:r w:rsidRPr="00562527">
        <w:rPr>
          <w:rFonts w:ascii="David" w:hAnsi="David"/>
          <w:rtl/>
        </w:rPr>
        <w:t>, קבענו מתחם מקל יותר, אשר יש בו כדי לבטא מידה מתונה של החמרה.</w:t>
      </w:r>
    </w:p>
    <w:p w14:paraId="1465BD64" w14:textId="77777777" w:rsidR="004E7F8A" w:rsidRPr="00562527" w:rsidRDefault="004E7F8A" w:rsidP="00562527">
      <w:pPr>
        <w:overflowPunct w:val="0"/>
        <w:autoSpaceDE w:val="0"/>
        <w:autoSpaceDN w:val="0"/>
        <w:spacing w:before="160" w:line="360" w:lineRule="auto"/>
        <w:jc w:val="both"/>
        <w:rPr>
          <w:rFonts w:ascii="David" w:hAnsi="David"/>
          <w:b/>
          <w:bCs/>
          <w:rtl/>
        </w:rPr>
      </w:pPr>
      <w:r w:rsidRPr="00562527">
        <w:rPr>
          <w:rFonts w:ascii="David" w:hAnsi="David"/>
          <w:b/>
          <w:bCs/>
          <w:rtl/>
        </w:rPr>
        <w:t>קביעת העונש בתוך המתחם</w:t>
      </w:r>
    </w:p>
    <w:p w14:paraId="1E1F5D60" w14:textId="77777777" w:rsidR="004E7F8A" w:rsidRPr="00562527" w:rsidRDefault="004E7F8A" w:rsidP="00562527">
      <w:pPr>
        <w:overflowPunct w:val="0"/>
        <w:autoSpaceDE w:val="0"/>
        <w:autoSpaceDN w:val="0"/>
        <w:spacing w:before="160" w:line="360" w:lineRule="auto"/>
        <w:jc w:val="both"/>
        <w:rPr>
          <w:rFonts w:ascii="David" w:hAnsi="David"/>
          <w:rtl/>
        </w:rPr>
      </w:pPr>
      <w:r w:rsidRPr="00562527">
        <w:rPr>
          <w:rFonts w:ascii="David" w:hAnsi="David"/>
          <w:rtl/>
        </w:rPr>
        <w:t xml:space="preserve">בבואנו לקבוע את עונשו של הנאשם בתוך המתחם, יש מקום להתחשב גם בנסיבות שאינן קשורות בביצוע העבירה, כעולה </w:t>
      </w:r>
      <w:hyperlink r:id="rId43" w:history="1">
        <w:r w:rsidR="00A21B55" w:rsidRPr="00A21B55">
          <w:rPr>
            <w:rStyle w:val="Hyperlink"/>
            <w:rFonts w:ascii="David" w:hAnsi="David"/>
            <w:rtl/>
          </w:rPr>
          <w:t>מסעיף 40יא</w:t>
        </w:r>
      </w:hyperlink>
      <w:r w:rsidRPr="00562527">
        <w:rPr>
          <w:rFonts w:ascii="David" w:hAnsi="David"/>
          <w:rtl/>
        </w:rPr>
        <w:t xml:space="preserve"> ל</w:t>
      </w:r>
      <w:hyperlink r:id="rId44" w:history="1">
        <w:r w:rsidR="001D6899" w:rsidRPr="001D6899">
          <w:rPr>
            <w:rFonts w:ascii="David" w:hAnsi="David"/>
            <w:color w:val="0000FF"/>
            <w:u w:val="single"/>
            <w:rtl/>
          </w:rPr>
          <w:t>חוק העונשין</w:t>
        </w:r>
      </w:hyperlink>
      <w:r w:rsidRPr="00562527">
        <w:rPr>
          <w:rFonts w:ascii="David" w:hAnsi="David"/>
          <w:rtl/>
        </w:rPr>
        <w:t>. לזכותו של הנאשם יש לזקוף את האחריות  המלאה שנטל על מעשיו והביע חרטה עליהם, ובכך חסך לא רק בזמן שיפוטי יקר, אלא גם חסך ממשפחתו של המנוח לחוות את הכאב הכרוך מטבע הדברים בניהול ההליך.</w:t>
      </w:r>
    </w:p>
    <w:p w14:paraId="344E009F" w14:textId="77777777" w:rsidR="004E7F8A" w:rsidRPr="00562527" w:rsidRDefault="004E7F8A" w:rsidP="00562527">
      <w:pPr>
        <w:overflowPunct w:val="0"/>
        <w:autoSpaceDE w:val="0"/>
        <w:autoSpaceDN w:val="0"/>
        <w:spacing w:before="160" w:line="360" w:lineRule="auto"/>
        <w:jc w:val="both"/>
        <w:rPr>
          <w:rFonts w:ascii="David" w:hAnsi="David"/>
          <w:rtl/>
        </w:rPr>
      </w:pPr>
      <w:r w:rsidRPr="00562527">
        <w:rPr>
          <w:rFonts w:ascii="David" w:hAnsi="David"/>
          <w:rtl/>
        </w:rPr>
        <w:t>בנוסף, לא נעלמה מעניינו העובדה כי מדובר במאסרו הראשון של הנאשם, ונתנו דעתנו גם לפגיעה המשמעותית של עונש מאסר ממושך בנאשם ובעיקר העובדה כי הנאשם נמצא בארץ בגפו ללא תמיכה משפחתית כלשהי, וכשהוא אינו דובר את השפה בכלא, עובדה אשר יש בה בכדי להעצים את הקושי בריצוי המאסר. כמו כן, הנאשם נעדר עבר פלילי, לפחות מאז שהוא נמצא בארץ.</w:t>
      </w:r>
    </w:p>
    <w:p w14:paraId="2F7A97F3" w14:textId="77777777" w:rsidR="004E7F8A" w:rsidRPr="00562527" w:rsidRDefault="004E7F8A" w:rsidP="00562527">
      <w:pPr>
        <w:overflowPunct w:val="0"/>
        <w:autoSpaceDE w:val="0"/>
        <w:autoSpaceDN w:val="0"/>
        <w:spacing w:before="160" w:line="360" w:lineRule="auto"/>
        <w:jc w:val="both"/>
        <w:rPr>
          <w:rFonts w:ascii="David" w:hAnsi="David"/>
          <w:rtl/>
        </w:rPr>
      </w:pPr>
    </w:p>
    <w:p w14:paraId="0D2403FF" w14:textId="77777777" w:rsidR="004E7F8A" w:rsidRPr="00562527" w:rsidRDefault="004E7F8A" w:rsidP="00562527">
      <w:pPr>
        <w:overflowPunct w:val="0"/>
        <w:autoSpaceDE w:val="0"/>
        <w:autoSpaceDN w:val="0"/>
        <w:spacing w:before="160" w:line="360" w:lineRule="auto"/>
        <w:jc w:val="both"/>
        <w:rPr>
          <w:rFonts w:ascii="David" w:hAnsi="David"/>
          <w:rtl/>
        </w:rPr>
      </w:pPr>
      <w:r w:rsidRPr="00562527">
        <w:rPr>
          <w:rFonts w:ascii="David" w:hAnsi="David"/>
          <w:rtl/>
        </w:rPr>
        <w:t>בסופו של יום, לאחר ששקלנו את מכלול נסיבותיו של הנאשם, ואת השיקולים לקולא ולחומרה שפורטו לעיל, בהינתן העובדה שהנאשם הודה בהזדמנות הראשונה ולקח אחריות על מעשיו, ובשים לב לרמת הענישה שנקבעה בנסיבות דומות, החלטנו למקם את עונש המאסר של הנאשם בשליש התחתון של מתחם העונש ההולם שקבענו לעיל.</w:t>
      </w:r>
    </w:p>
    <w:p w14:paraId="39BA0263" w14:textId="77777777" w:rsidR="004E7F8A" w:rsidRPr="00562527" w:rsidRDefault="004E7F8A" w:rsidP="00562527">
      <w:pPr>
        <w:pStyle w:val="ab"/>
        <w:numPr>
          <w:ilvl w:val="0"/>
          <w:numId w:val="3"/>
        </w:numPr>
        <w:overflowPunct w:val="0"/>
        <w:autoSpaceDE w:val="0"/>
        <w:autoSpaceDN w:val="0"/>
        <w:spacing w:before="160" w:line="360" w:lineRule="auto"/>
        <w:jc w:val="both"/>
        <w:rPr>
          <w:rFonts w:ascii="David" w:hAnsi="David" w:cs="David"/>
          <w:b/>
          <w:bCs/>
          <w:rtl/>
        </w:rPr>
      </w:pPr>
      <w:r w:rsidRPr="00562527">
        <w:rPr>
          <w:rFonts w:ascii="David" w:hAnsi="David" w:cs="David"/>
          <w:b/>
          <w:bCs/>
          <w:rtl/>
        </w:rPr>
        <w:t>סוף דבר</w:t>
      </w:r>
    </w:p>
    <w:p w14:paraId="2FFA6502" w14:textId="77777777" w:rsidR="004E7F8A" w:rsidRPr="00562527" w:rsidRDefault="004E7F8A" w:rsidP="00562527">
      <w:pPr>
        <w:overflowPunct w:val="0"/>
        <w:autoSpaceDE w:val="0"/>
        <w:autoSpaceDN w:val="0"/>
        <w:spacing w:before="160" w:line="360" w:lineRule="auto"/>
        <w:jc w:val="both"/>
        <w:rPr>
          <w:rFonts w:ascii="David" w:hAnsi="David"/>
          <w:rtl/>
        </w:rPr>
      </w:pPr>
      <w:r w:rsidRPr="00562527">
        <w:rPr>
          <w:rFonts w:ascii="David" w:hAnsi="David"/>
          <w:rtl/>
        </w:rPr>
        <w:t>סוף דבר, נוכח כל האמור לעיל, אנו גוזרים על הנאשם את העונשים הבאים:</w:t>
      </w:r>
    </w:p>
    <w:p w14:paraId="3401DDC9" w14:textId="77777777" w:rsidR="004E7F8A" w:rsidRPr="00562527" w:rsidRDefault="004E7F8A" w:rsidP="00562527">
      <w:pPr>
        <w:pStyle w:val="ab"/>
        <w:numPr>
          <w:ilvl w:val="0"/>
          <w:numId w:val="4"/>
        </w:numPr>
        <w:overflowPunct w:val="0"/>
        <w:autoSpaceDE w:val="0"/>
        <w:autoSpaceDN w:val="0"/>
        <w:spacing w:before="160" w:after="0" w:line="360" w:lineRule="auto"/>
        <w:jc w:val="both"/>
        <w:rPr>
          <w:rFonts w:ascii="David" w:hAnsi="David" w:cs="David"/>
          <w:sz w:val="24"/>
          <w:szCs w:val="24"/>
          <w:rtl/>
        </w:rPr>
      </w:pPr>
      <w:r w:rsidRPr="00562527">
        <w:rPr>
          <w:rFonts w:ascii="David" w:hAnsi="David" w:cs="David"/>
          <w:sz w:val="24"/>
          <w:szCs w:val="24"/>
          <w:rtl/>
        </w:rPr>
        <w:t>17 שנות מאסר בפועל שיימנו החל מיום מעצרו.</w:t>
      </w:r>
    </w:p>
    <w:p w14:paraId="46A63C9D" w14:textId="77777777" w:rsidR="004E7F8A" w:rsidRPr="00562527" w:rsidRDefault="004E7F8A" w:rsidP="00562527">
      <w:pPr>
        <w:pStyle w:val="ab"/>
        <w:numPr>
          <w:ilvl w:val="0"/>
          <w:numId w:val="4"/>
        </w:numPr>
        <w:overflowPunct w:val="0"/>
        <w:autoSpaceDE w:val="0"/>
        <w:autoSpaceDN w:val="0"/>
        <w:spacing w:before="160" w:after="0" w:line="360" w:lineRule="auto"/>
        <w:jc w:val="both"/>
        <w:rPr>
          <w:rFonts w:ascii="David" w:hAnsi="David" w:cs="David"/>
          <w:sz w:val="24"/>
          <w:szCs w:val="24"/>
        </w:rPr>
      </w:pPr>
      <w:r w:rsidRPr="00562527">
        <w:rPr>
          <w:rFonts w:ascii="David" w:hAnsi="David" w:cs="David"/>
          <w:sz w:val="24"/>
          <w:szCs w:val="24"/>
          <w:rtl/>
        </w:rPr>
        <w:t>18 חודשי מאסר על תנאי למשך 3 שנים מיום שחרורו ממאסר, שלא יעבור כל עבירת אלימות מסוג פשע.</w:t>
      </w:r>
    </w:p>
    <w:p w14:paraId="72702FA5" w14:textId="77777777" w:rsidR="004E7F8A" w:rsidRPr="00562527" w:rsidRDefault="004E7F8A" w:rsidP="00562527">
      <w:pPr>
        <w:pStyle w:val="ab"/>
        <w:numPr>
          <w:ilvl w:val="0"/>
          <w:numId w:val="4"/>
        </w:numPr>
        <w:overflowPunct w:val="0"/>
        <w:autoSpaceDE w:val="0"/>
        <w:autoSpaceDN w:val="0"/>
        <w:spacing w:before="160" w:after="0" w:line="360" w:lineRule="auto"/>
        <w:jc w:val="both"/>
        <w:rPr>
          <w:rFonts w:ascii="David" w:hAnsi="David" w:cs="David"/>
          <w:sz w:val="24"/>
          <w:szCs w:val="24"/>
        </w:rPr>
      </w:pPr>
      <w:r w:rsidRPr="00562527">
        <w:rPr>
          <w:rFonts w:ascii="David" w:hAnsi="David" w:cs="David"/>
          <w:sz w:val="24"/>
          <w:szCs w:val="24"/>
          <w:rtl/>
        </w:rPr>
        <w:t>9 חודשי מאסר על תנאי, למשך 3 שנים מיום שחרורו ממאסר, שלא יעבור כל עבירת אלימות מסוג עוון.</w:t>
      </w:r>
    </w:p>
    <w:p w14:paraId="54E0BA43" w14:textId="77777777" w:rsidR="004E7F8A" w:rsidRPr="00562527" w:rsidRDefault="004E7F8A" w:rsidP="00562527">
      <w:pPr>
        <w:pStyle w:val="ab"/>
        <w:numPr>
          <w:ilvl w:val="0"/>
          <w:numId w:val="4"/>
        </w:numPr>
        <w:overflowPunct w:val="0"/>
        <w:autoSpaceDE w:val="0"/>
        <w:autoSpaceDN w:val="0"/>
        <w:spacing w:before="160" w:after="0" w:line="360" w:lineRule="auto"/>
        <w:jc w:val="both"/>
        <w:rPr>
          <w:rFonts w:ascii="David" w:hAnsi="David" w:cs="David"/>
          <w:sz w:val="24"/>
          <w:szCs w:val="24"/>
        </w:rPr>
      </w:pPr>
      <w:r w:rsidRPr="00562527">
        <w:rPr>
          <w:rFonts w:ascii="David" w:hAnsi="David" w:cs="David"/>
          <w:sz w:val="24"/>
          <w:szCs w:val="24"/>
          <w:rtl/>
        </w:rPr>
        <w:t>פיצוי בשיעור המרבי שנקבע בחוק, בסך 258,000 ₪ אשר יחולקו בין רעייתו של המנוח ובין הוריו של המנוח, בהתאם לפרטים שיימסרו ע"י ב"כ המאשימה.</w:t>
      </w:r>
    </w:p>
    <w:p w14:paraId="4C5676C7" w14:textId="77777777" w:rsidR="004E7F8A" w:rsidRPr="00562527" w:rsidRDefault="004E7F8A" w:rsidP="00562527">
      <w:pPr>
        <w:overflowPunct w:val="0"/>
        <w:autoSpaceDE w:val="0"/>
        <w:autoSpaceDN w:val="0"/>
        <w:spacing w:before="160" w:line="360" w:lineRule="auto"/>
        <w:jc w:val="both"/>
        <w:rPr>
          <w:rFonts w:ascii="David" w:hAnsi="David"/>
          <w:b/>
          <w:bCs/>
          <w:rtl/>
        </w:rPr>
      </w:pPr>
      <w:r w:rsidRPr="00562527">
        <w:rPr>
          <w:rFonts w:ascii="David" w:hAnsi="David"/>
          <w:b/>
          <w:bCs/>
          <w:rtl/>
        </w:rPr>
        <w:t>זכות ערעור לבית המשפט העליון בתוך 45 יום.</w:t>
      </w:r>
    </w:p>
    <w:p w14:paraId="2C17935A" w14:textId="77777777" w:rsidR="004E7F8A" w:rsidRPr="00562527" w:rsidRDefault="004E7F8A" w:rsidP="00562527">
      <w:pPr>
        <w:overflowPunct w:val="0"/>
        <w:autoSpaceDE w:val="0"/>
        <w:autoSpaceDN w:val="0"/>
        <w:spacing w:before="160" w:line="360" w:lineRule="auto"/>
        <w:jc w:val="both"/>
        <w:rPr>
          <w:rFonts w:ascii="David" w:hAnsi="David"/>
          <w:b/>
          <w:bCs/>
          <w:rtl/>
        </w:rPr>
      </w:pPr>
    </w:p>
    <w:p w14:paraId="1F7C9C1E" w14:textId="77777777" w:rsidR="004E7F8A" w:rsidRPr="00562527" w:rsidRDefault="001D6899" w:rsidP="00562527">
      <w:pPr>
        <w:widowControl w:val="0"/>
        <w:spacing w:before="240" w:after="240"/>
        <w:jc w:val="center"/>
        <w:rPr>
          <w:rFonts w:ascii="Courier New" w:hAnsi="Courier New" w:cs="Times New Roman"/>
          <w:b/>
          <w:bCs/>
          <w:sz w:val="20"/>
          <w:szCs w:val="20"/>
        </w:rPr>
      </w:pPr>
      <w:bookmarkStart w:id="7" w:name="Nitan"/>
      <w:r>
        <w:rPr>
          <w:rFonts w:ascii="David" w:hAnsi="David"/>
          <w:rtl/>
        </w:rPr>
        <w:t xml:space="preserve">ניתן היום, ב' אייר תשפ"ב, 03 מאי 2022, במעמד הצדדים.  </w:t>
      </w:r>
      <w:bookmarkEnd w:id="7"/>
    </w:p>
    <w:p w14:paraId="0A7DFC20" w14:textId="77777777" w:rsidR="004E7F8A" w:rsidRPr="00562527" w:rsidRDefault="004E7F8A" w:rsidP="00562527">
      <w:pPr>
        <w:widowControl w:val="0"/>
        <w:spacing w:before="240" w:after="240"/>
        <w:jc w:val="center"/>
        <w:rPr>
          <w:rFonts w:ascii="Courier New" w:hAnsi="Courier New"/>
          <w:b/>
          <w:bCs/>
          <w:sz w:val="20"/>
          <w:szCs w:val="20"/>
          <w:rtl/>
        </w:rPr>
      </w:pPr>
    </w:p>
    <w:p w14:paraId="1E3E0735" w14:textId="77777777" w:rsidR="004E7F8A" w:rsidRPr="00562527" w:rsidRDefault="004E7F8A" w:rsidP="00562527">
      <w:pPr>
        <w:widowControl w:val="0"/>
        <w:spacing w:before="240" w:after="240"/>
        <w:jc w:val="center"/>
        <w:rPr>
          <w:rFonts w:ascii="Courier New" w:hAnsi="Courier New"/>
          <w:b/>
          <w:bCs/>
          <w:sz w:val="20"/>
          <w:szCs w:val="20"/>
          <w:rtl/>
        </w:rPr>
      </w:pPr>
    </w:p>
    <w:p w14:paraId="4CA73CD7" w14:textId="77777777" w:rsidR="004E7F8A" w:rsidRPr="00562527" w:rsidRDefault="004E7F8A" w:rsidP="00562527">
      <w:pPr>
        <w:widowControl w:val="0"/>
        <w:spacing w:before="240" w:after="240"/>
        <w:jc w:val="center"/>
        <w:rPr>
          <w:rFonts w:ascii="Courier New" w:hAnsi="Courier New"/>
          <w:b/>
          <w:bCs/>
          <w:sz w:val="20"/>
          <w:szCs w:val="20"/>
          <w:rtl/>
        </w:rPr>
      </w:pPr>
    </w:p>
    <w:p w14:paraId="46D5F3F9" w14:textId="77777777" w:rsidR="004E7F8A" w:rsidRPr="00562527" w:rsidRDefault="004E7F8A" w:rsidP="00562527">
      <w:pPr>
        <w:widowControl w:val="0"/>
        <w:spacing w:before="240" w:after="240"/>
        <w:jc w:val="center"/>
        <w:rPr>
          <w:rFonts w:ascii="Courier New" w:hAnsi="Courier New"/>
          <w:b/>
          <w:bCs/>
          <w:sz w:val="20"/>
          <w:szCs w:val="20"/>
          <w:rtl/>
        </w:rPr>
      </w:pPr>
    </w:p>
    <w:p w14:paraId="18FD7891" w14:textId="77777777" w:rsidR="004E7F8A" w:rsidRPr="00562527" w:rsidRDefault="004E7F8A" w:rsidP="00562527">
      <w:pPr>
        <w:widowControl w:val="0"/>
        <w:spacing w:before="240" w:after="240"/>
        <w:jc w:val="center"/>
        <w:rPr>
          <w:rFonts w:ascii="David" w:hAnsi="David"/>
          <w:b/>
          <w:bCs/>
        </w:rPr>
      </w:pPr>
      <w:r w:rsidRPr="00562527">
        <w:rPr>
          <w:rFonts w:ascii="David" w:hAnsi="David"/>
          <w:b/>
          <w:bCs/>
          <w:rtl/>
        </w:rPr>
        <w:t>יעל רז- לוי, אב"ד</w:t>
      </w:r>
    </w:p>
    <w:p w14:paraId="4F0715BC" w14:textId="77777777" w:rsidR="004E7F8A" w:rsidRPr="00562527" w:rsidRDefault="004E7F8A" w:rsidP="00562527">
      <w:pPr>
        <w:widowControl w:val="0"/>
        <w:spacing w:before="240" w:after="240"/>
        <w:jc w:val="center"/>
        <w:rPr>
          <w:rFonts w:ascii="David" w:hAnsi="David"/>
          <w:b/>
          <w:bCs/>
        </w:rPr>
      </w:pPr>
    </w:p>
    <w:p w14:paraId="5DD9BCF0" w14:textId="77777777" w:rsidR="004E7F8A" w:rsidRPr="00562527" w:rsidRDefault="004E7F8A" w:rsidP="00562527">
      <w:pPr>
        <w:widowControl w:val="0"/>
        <w:spacing w:before="240" w:after="240"/>
        <w:jc w:val="center"/>
        <w:rPr>
          <w:rFonts w:ascii="David" w:hAnsi="David"/>
          <w:b/>
          <w:bCs/>
        </w:rPr>
      </w:pPr>
      <w:r w:rsidRPr="00562527">
        <w:rPr>
          <w:rFonts w:ascii="David" w:hAnsi="David"/>
          <w:b/>
          <w:bCs/>
          <w:rtl/>
        </w:rPr>
        <w:t>גילת שלו, שופטת</w:t>
      </w:r>
    </w:p>
    <w:p w14:paraId="053235C2" w14:textId="77777777" w:rsidR="004E7F8A" w:rsidRPr="00562527" w:rsidRDefault="004E7F8A" w:rsidP="00562527">
      <w:pPr>
        <w:widowControl w:val="0"/>
        <w:spacing w:before="240" w:after="240"/>
        <w:jc w:val="center"/>
        <w:rPr>
          <w:rFonts w:ascii="David" w:hAnsi="David"/>
          <w:b/>
          <w:bCs/>
        </w:rPr>
      </w:pPr>
    </w:p>
    <w:p w14:paraId="7244FC89" w14:textId="77777777" w:rsidR="004E7F8A" w:rsidRPr="00562527" w:rsidRDefault="001D6899" w:rsidP="00562527">
      <w:pPr>
        <w:widowControl w:val="0"/>
        <w:spacing w:before="240" w:after="240"/>
        <w:jc w:val="center"/>
        <w:rPr>
          <w:rFonts w:ascii="David" w:hAnsi="David"/>
          <w:b/>
          <w:bCs/>
        </w:rPr>
      </w:pPr>
      <w:r w:rsidRPr="001D6899">
        <w:rPr>
          <w:rFonts w:ascii="David" w:hAnsi="David"/>
          <w:b/>
          <w:bCs/>
          <w:color w:val="FFFFFF"/>
          <w:sz w:val="2"/>
          <w:szCs w:val="2"/>
          <w:rtl/>
        </w:rPr>
        <w:t>5129371</w:t>
      </w:r>
      <w:r w:rsidR="004E7F8A" w:rsidRPr="00562527">
        <w:rPr>
          <w:rFonts w:ascii="David" w:hAnsi="David"/>
          <w:b/>
          <w:bCs/>
          <w:rtl/>
        </w:rPr>
        <w:t>אהרון משניות, שופט</w:t>
      </w:r>
    </w:p>
    <w:p w14:paraId="5B99024A" w14:textId="77777777" w:rsidR="004E7F8A" w:rsidRPr="001D6899" w:rsidRDefault="001D6899" w:rsidP="00562527">
      <w:pPr>
        <w:overflowPunct w:val="0"/>
        <w:autoSpaceDE w:val="0"/>
        <w:autoSpaceDN w:val="0"/>
        <w:spacing w:before="160" w:line="360" w:lineRule="auto"/>
        <w:jc w:val="both"/>
        <w:rPr>
          <w:rFonts w:ascii="David" w:hAnsi="David"/>
          <w:color w:val="FFFFFF"/>
          <w:sz w:val="2"/>
          <w:szCs w:val="2"/>
          <w:rtl/>
        </w:rPr>
      </w:pPr>
      <w:r w:rsidRPr="001D6899">
        <w:rPr>
          <w:rFonts w:ascii="David" w:hAnsi="David"/>
          <w:color w:val="FFFFFF"/>
          <w:sz w:val="2"/>
          <w:szCs w:val="2"/>
          <w:rtl/>
        </w:rPr>
        <w:t>54678313</w:t>
      </w:r>
    </w:p>
    <w:p w14:paraId="17F9A7BA" w14:textId="77777777" w:rsidR="004E7F8A" w:rsidRPr="00562527" w:rsidRDefault="004E7F8A" w:rsidP="00562527">
      <w:pPr>
        <w:overflowPunct w:val="0"/>
        <w:autoSpaceDE w:val="0"/>
        <w:autoSpaceDN w:val="0"/>
        <w:spacing w:before="160" w:line="360" w:lineRule="auto"/>
        <w:jc w:val="both"/>
        <w:rPr>
          <w:rFonts w:ascii="David" w:hAnsi="David"/>
          <w:rtl/>
        </w:rPr>
      </w:pPr>
    </w:p>
    <w:p w14:paraId="5FA4520D" w14:textId="77777777" w:rsidR="004E7F8A" w:rsidRPr="00562527" w:rsidRDefault="004E7F8A" w:rsidP="00562527">
      <w:pPr>
        <w:overflowPunct w:val="0"/>
        <w:autoSpaceDE w:val="0"/>
        <w:autoSpaceDN w:val="0"/>
        <w:spacing w:before="160" w:line="360" w:lineRule="auto"/>
        <w:jc w:val="both"/>
        <w:rPr>
          <w:rFonts w:ascii="David" w:hAnsi="David"/>
          <w:rtl/>
        </w:rPr>
      </w:pPr>
    </w:p>
    <w:p w14:paraId="3DECA180" w14:textId="77777777" w:rsidR="004E7F8A" w:rsidRPr="00562527" w:rsidRDefault="004E7F8A" w:rsidP="00562527">
      <w:pPr>
        <w:overflowPunct w:val="0"/>
        <w:autoSpaceDE w:val="0"/>
        <w:autoSpaceDN w:val="0"/>
        <w:spacing w:before="160" w:line="360" w:lineRule="auto"/>
        <w:jc w:val="both"/>
        <w:rPr>
          <w:rFonts w:ascii="David" w:hAnsi="David"/>
          <w:rtl/>
        </w:rPr>
      </w:pPr>
    </w:p>
    <w:p w14:paraId="39FC911A" w14:textId="77777777" w:rsidR="004E7F8A" w:rsidRPr="00A21B55" w:rsidRDefault="00A21B55" w:rsidP="00562527">
      <w:pPr>
        <w:spacing w:before="160" w:line="360" w:lineRule="auto"/>
        <w:rPr>
          <w:rFonts w:ascii="David" w:hAnsi="David"/>
          <w:color w:val="FFFFFF"/>
          <w:sz w:val="2"/>
          <w:szCs w:val="2"/>
          <w:u w:val="single"/>
          <w:rtl/>
        </w:rPr>
      </w:pPr>
      <w:r w:rsidRPr="00A21B55">
        <w:rPr>
          <w:rFonts w:ascii="David" w:hAnsi="David"/>
          <w:color w:val="FFFFFF"/>
          <w:sz w:val="2"/>
          <w:szCs w:val="2"/>
          <w:u w:val="single"/>
          <w:rtl/>
        </w:rPr>
        <w:t>5129371</w:t>
      </w:r>
    </w:p>
    <w:p w14:paraId="295777FA" w14:textId="77777777" w:rsidR="00C257E3" w:rsidRPr="00A21B55" w:rsidRDefault="00A21B55" w:rsidP="001D6899">
      <w:pPr>
        <w:keepNext/>
        <w:spacing w:line="360" w:lineRule="auto"/>
        <w:rPr>
          <w:rFonts w:ascii="David" w:hAnsi="David"/>
          <w:color w:val="FFFFFF"/>
          <w:sz w:val="2"/>
          <w:szCs w:val="2"/>
          <w:rtl/>
        </w:rPr>
      </w:pPr>
      <w:r w:rsidRPr="00A21B55">
        <w:rPr>
          <w:rFonts w:ascii="David" w:hAnsi="David"/>
          <w:color w:val="FFFFFF"/>
          <w:sz w:val="2"/>
          <w:szCs w:val="2"/>
          <w:rtl/>
        </w:rPr>
        <w:t>54678313</w:t>
      </w:r>
    </w:p>
    <w:p w14:paraId="1BA26A05" w14:textId="77777777" w:rsidR="001D6899" w:rsidRDefault="001D6899" w:rsidP="001D6899">
      <w:pPr>
        <w:spacing w:before="160" w:line="360" w:lineRule="auto"/>
        <w:rPr>
          <w:rFonts w:ascii="Arial" w:hAnsi="Arial"/>
          <w:b/>
          <w:bCs/>
          <w:sz w:val="26"/>
          <w:szCs w:val="26"/>
          <w:rtl/>
        </w:rPr>
      </w:pPr>
    </w:p>
    <w:p w14:paraId="40C9FE22" w14:textId="77777777" w:rsidR="001D6899" w:rsidRDefault="001D6899" w:rsidP="001D6899">
      <w:pPr>
        <w:spacing w:before="160" w:line="360" w:lineRule="auto"/>
        <w:jc w:val="center"/>
        <w:rPr>
          <w:rFonts w:ascii="Arial" w:hAnsi="Arial"/>
          <w:b/>
          <w:bCs/>
          <w:color w:val="0000FF"/>
          <w:sz w:val="26"/>
          <w:u w:val="single"/>
          <w:rtl/>
        </w:rPr>
      </w:pPr>
      <w:hyperlink r:id="rId45" w:history="1">
        <w:r>
          <w:rPr>
            <w:rFonts w:ascii="Arial" w:hAnsi="Arial"/>
            <w:b/>
            <w:bCs/>
            <w:color w:val="0000FF"/>
            <w:sz w:val="26"/>
            <w:u w:val="single"/>
            <w:rtl/>
          </w:rPr>
          <w:t>בעניין עריכה ושינויים במסמכי פסיקה, חקיקה ועוד באתר נבו – הקש כאן</w:t>
        </w:r>
      </w:hyperlink>
    </w:p>
    <w:p w14:paraId="202740A9" w14:textId="77777777" w:rsidR="00A21B55" w:rsidRPr="00A21B55" w:rsidRDefault="00A21B55" w:rsidP="00A21B55">
      <w:pPr>
        <w:keepNext/>
        <w:spacing w:line="360" w:lineRule="auto"/>
        <w:rPr>
          <w:rFonts w:ascii="David" w:hAnsi="David"/>
          <w:color w:val="000000"/>
          <w:sz w:val="22"/>
          <w:szCs w:val="22"/>
          <w:rtl/>
        </w:rPr>
      </w:pPr>
    </w:p>
    <w:p w14:paraId="1CE852DC" w14:textId="77777777" w:rsidR="00A21B55" w:rsidRPr="00A21B55" w:rsidRDefault="00A21B55" w:rsidP="00A21B55">
      <w:pPr>
        <w:keepNext/>
        <w:spacing w:line="360" w:lineRule="auto"/>
        <w:rPr>
          <w:rFonts w:ascii="David" w:hAnsi="David"/>
          <w:color w:val="000000"/>
          <w:sz w:val="22"/>
          <w:szCs w:val="22"/>
          <w:rtl/>
        </w:rPr>
      </w:pPr>
      <w:r w:rsidRPr="00A21B55">
        <w:rPr>
          <w:rFonts w:ascii="David" w:hAnsi="David"/>
          <w:color w:val="000000"/>
          <w:sz w:val="22"/>
          <w:szCs w:val="22"/>
          <w:rtl/>
        </w:rPr>
        <w:t>רז לוי 54678313-/</w:t>
      </w:r>
    </w:p>
    <w:p w14:paraId="17BF95FF" w14:textId="77777777" w:rsidR="001D6899" w:rsidRPr="001D6899" w:rsidRDefault="00A21B55" w:rsidP="00A21B55">
      <w:pPr>
        <w:spacing w:before="160" w:line="360" w:lineRule="auto"/>
        <w:rPr>
          <w:rFonts w:ascii="Arial" w:hAnsi="Arial"/>
          <w:b/>
          <w:bCs/>
          <w:color w:val="0000FF"/>
          <w:sz w:val="26"/>
          <w:u w:val="single"/>
          <w:rtl/>
        </w:rPr>
      </w:pPr>
      <w:r w:rsidRPr="00A21B55">
        <w:rPr>
          <w:rFonts w:ascii="Arial" w:hAnsi="Arial"/>
          <w:b/>
          <w:bCs/>
          <w:color w:val="000000"/>
          <w:sz w:val="26"/>
          <w:u w:val="single"/>
          <w:rtl/>
        </w:rPr>
        <w:t>נוסח מסמך זה כפוף לשינויי ניסוח ועריכה</w:t>
      </w:r>
    </w:p>
    <w:sectPr w:rsidR="001D6899" w:rsidRPr="001D6899" w:rsidSect="00A21B55">
      <w:headerReference w:type="even" r:id="rId46"/>
      <w:headerReference w:type="default" r:id="rId47"/>
      <w:footerReference w:type="even" r:id="rId48"/>
      <w:footerReference w:type="default" r:id="rId49"/>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28E264" w14:textId="77777777" w:rsidR="00950329" w:rsidRDefault="00950329">
      <w:r>
        <w:separator/>
      </w:r>
    </w:p>
  </w:endnote>
  <w:endnote w:type="continuationSeparator" w:id="0">
    <w:p w14:paraId="78D223B3" w14:textId="77777777" w:rsidR="00950329" w:rsidRDefault="00950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6ECC6" w14:textId="77777777" w:rsidR="00A21B55" w:rsidRDefault="00A21B55" w:rsidP="00A21B55">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1065B53" w14:textId="77777777" w:rsidR="00C257E3" w:rsidRPr="00A21B55" w:rsidRDefault="00A21B55" w:rsidP="00A21B55">
    <w:pPr>
      <w:pStyle w:val="a4"/>
      <w:pBdr>
        <w:top w:val="single" w:sz="4" w:space="1" w:color="auto"/>
        <w:between w:val="single" w:sz="4" w:space="0" w:color="auto"/>
      </w:pBdr>
      <w:spacing w:after="60"/>
      <w:jc w:val="center"/>
      <w:rPr>
        <w:rFonts w:ascii="FrankRuehl" w:hAnsi="FrankRuehl" w:cs="FrankRuehl"/>
        <w:color w:val="000000"/>
      </w:rPr>
    </w:pPr>
    <w:r w:rsidRPr="00A21B5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2AE45" w14:textId="77777777" w:rsidR="00A21B55" w:rsidRDefault="00A21B55" w:rsidP="00A21B55">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207C4">
      <w:rPr>
        <w:rFonts w:ascii="FrankRuehl" w:hAnsi="FrankRuehl" w:cs="FrankRuehl"/>
        <w:noProof/>
        <w:rtl/>
      </w:rPr>
      <w:t>1</w:t>
    </w:r>
    <w:r>
      <w:rPr>
        <w:rFonts w:ascii="FrankRuehl" w:hAnsi="FrankRuehl" w:cs="FrankRuehl"/>
        <w:rtl/>
      </w:rPr>
      <w:fldChar w:fldCharType="end"/>
    </w:r>
  </w:p>
  <w:p w14:paraId="14B44D22" w14:textId="77777777" w:rsidR="00C257E3" w:rsidRPr="00A21B55" w:rsidRDefault="00A21B55" w:rsidP="00A21B55">
    <w:pPr>
      <w:pStyle w:val="a4"/>
      <w:pBdr>
        <w:top w:val="single" w:sz="4" w:space="1" w:color="auto"/>
        <w:between w:val="single" w:sz="4" w:space="0" w:color="auto"/>
      </w:pBdr>
      <w:spacing w:after="60"/>
      <w:jc w:val="center"/>
      <w:rPr>
        <w:rFonts w:ascii="FrankRuehl" w:hAnsi="FrankRuehl" w:cs="FrankRuehl"/>
        <w:color w:val="000000"/>
      </w:rPr>
    </w:pPr>
    <w:r w:rsidRPr="00A21B55">
      <w:rPr>
        <w:rFonts w:ascii="FrankRuehl" w:hAnsi="FrankRuehl" w:cs="FrankRuehl"/>
        <w:color w:val="000000"/>
      </w:rPr>
      <w:pict w14:anchorId="70C4B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3F666" w14:textId="77777777" w:rsidR="00950329" w:rsidRDefault="00950329">
      <w:r>
        <w:separator/>
      </w:r>
    </w:p>
  </w:footnote>
  <w:footnote w:type="continuationSeparator" w:id="0">
    <w:p w14:paraId="3EED267C" w14:textId="77777777" w:rsidR="00950329" w:rsidRDefault="00950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3CB2D" w14:textId="77777777" w:rsidR="001D6899" w:rsidRPr="00A21B55" w:rsidRDefault="00A21B55" w:rsidP="00A21B5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(ב"ש) 13491-09-20</w:t>
    </w:r>
    <w:r>
      <w:rPr>
        <w:rFonts w:ascii="David" w:hAnsi="David"/>
        <w:color w:val="000000"/>
        <w:sz w:val="22"/>
        <w:szCs w:val="22"/>
        <w:rtl/>
      </w:rPr>
      <w:tab/>
      <w:t xml:space="preserve"> מדינת ישראל נ' </w:t>
    </w:r>
    <w:r>
      <w:rPr>
        <w:rFonts w:ascii="David" w:hAnsi="David"/>
        <w:color w:val="000000"/>
        <w:sz w:val="22"/>
        <w:szCs w:val="22"/>
      </w:rPr>
      <w:t>ANANTAPHAK THAWEESIT</w:t>
    </w:r>
    <w:r>
      <w:rPr>
        <w:rFonts w:ascii="David" w:hAnsi="David"/>
        <w:color w:val="000000"/>
        <w:sz w:val="22"/>
        <w:szCs w:val="22"/>
        <w:rt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570CB" w14:textId="77777777" w:rsidR="00C257E3" w:rsidRPr="00A21B55" w:rsidRDefault="00A21B55" w:rsidP="00A21B5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(ב"ש) 13491-09-20</w:t>
    </w:r>
    <w:r>
      <w:rPr>
        <w:rFonts w:ascii="David" w:hAnsi="David"/>
        <w:color w:val="000000"/>
        <w:sz w:val="22"/>
        <w:szCs w:val="22"/>
        <w:rtl/>
      </w:rPr>
      <w:tab/>
      <w:t xml:space="preserve"> מדינת ישראל נ' </w:t>
    </w:r>
    <w:r>
      <w:rPr>
        <w:rFonts w:ascii="David" w:hAnsi="David"/>
        <w:color w:val="000000"/>
        <w:sz w:val="22"/>
        <w:szCs w:val="22"/>
      </w:rPr>
      <w:t>ANANTAPHAK THAWEESIT</w:t>
    </w:r>
    <w:r>
      <w:rPr>
        <w:rFonts w:ascii="David" w:hAnsi="David"/>
        <w:color w:val="000000"/>
        <w:sz w:val="22"/>
        <w:szCs w:val="22"/>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A5E1F"/>
    <w:multiLevelType w:val="hybridMultilevel"/>
    <w:tmpl w:val="AFE436CE"/>
    <w:lvl w:ilvl="0" w:tplc="972E3A22">
      <w:start w:val="1"/>
      <w:numFmt w:val="hebrew1"/>
      <w:lvlText w:val="%1."/>
      <w:lvlJc w:val="left"/>
      <w:pPr>
        <w:ind w:left="856" w:hanging="360"/>
      </w:pPr>
      <w:rPr>
        <w:rFonts w:cs="Times New Roman"/>
      </w:rPr>
    </w:lvl>
    <w:lvl w:ilvl="1" w:tplc="04090019">
      <w:start w:val="1"/>
      <w:numFmt w:val="lowerLetter"/>
      <w:lvlText w:val="%2."/>
      <w:lvlJc w:val="left"/>
      <w:pPr>
        <w:ind w:left="1576" w:hanging="360"/>
      </w:pPr>
      <w:rPr>
        <w:rFonts w:cs="Times New Roman"/>
      </w:rPr>
    </w:lvl>
    <w:lvl w:ilvl="2" w:tplc="0409001B">
      <w:start w:val="1"/>
      <w:numFmt w:val="lowerRoman"/>
      <w:lvlText w:val="%3."/>
      <w:lvlJc w:val="right"/>
      <w:pPr>
        <w:ind w:left="2296" w:hanging="180"/>
      </w:pPr>
      <w:rPr>
        <w:rFonts w:cs="Times New Roman"/>
      </w:rPr>
    </w:lvl>
    <w:lvl w:ilvl="3" w:tplc="0409000F">
      <w:start w:val="1"/>
      <w:numFmt w:val="decimal"/>
      <w:lvlText w:val="%4."/>
      <w:lvlJc w:val="left"/>
      <w:pPr>
        <w:ind w:left="3016" w:hanging="360"/>
      </w:pPr>
      <w:rPr>
        <w:rFonts w:cs="Times New Roman"/>
      </w:rPr>
    </w:lvl>
    <w:lvl w:ilvl="4" w:tplc="04090019">
      <w:start w:val="1"/>
      <w:numFmt w:val="lowerLetter"/>
      <w:lvlText w:val="%5."/>
      <w:lvlJc w:val="left"/>
      <w:pPr>
        <w:ind w:left="3736" w:hanging="360"/>
      </w:pPr>
      <w:rPr>
        <w:rFonts w:cs="Times New Roman"/>
      </w:rPr>
    </w:lvl>
    <w:lvl w:ilvl="5" w:tplc="0409001B">
      <w:start w:val="1"/>
      <w:numFmt w:val="lowerRoman"/>
      <w:lvlText w:val="%6."/>
      <w:lvlJc w:val="right"/>
      <w:pPr>
        <w:ind w:left="4456" w:hanging="180"/>
      </w:pPr>
      <w:rPr>
        <w:rFonts w:cs="Times New Roman"/>
      </w:rPr>
    </w:lvl>
    <w:lvl w:ilvl="6" w:tplc="0409000F">
      <w:start w:val="1"/>
      <w:numFmt w:val="decimal"/>
      <w:lvlText w:val="%7."/>
      <w:lvlJc w:val="left"/>
      <w:pPr>
        <w:ind w:left="5176" w:hanging="360"/>
      </w:pPr>
      <w:rPr>
        <w:rFonts w:cs="Times New Roman"/>
      </w:rPr>
    </w:lvl>
    <w:lvl w:ilvl="7" w:tplc="04090019">
      <w:start w:val="1"/>
      <w:numFmt w:val="lowerLetter"/>
      <w:lvlText w:val="%8."/>
      <w:lvlJc w:val="left"/>
      <w:pPr>
        <w:ind w:left="5896" w:hanging="360"/>
      </w:pPr>
      <w:rPr>
        <w:rFonts w:cs="Times New Roman"/>
      </w:rPr>
    </w:lvl>
    <w:lvl w:ilvl="8" w:tplc="0409001B">
      <w:start w:val="1"/>
      <w:numFmt w:val="lowerRoman"/>
      <w:lvlText w:val="%9."/>
      <w:lvlJc w:val="right"/>
      <w:pPr>
        <w:ind w:left="6616"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C175B9F"/>
    <w:multiLevelType w:val="hybridMultilevel"/>
    <w:tmpl w:val="AFE436CE"/>
    <w:lvl w:ilvl="0" w:tplc="972E3A22">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6A116669"/>
    <w:multiLevelType w:val="hybridMultilevel"/>
    <w:tmpl w:val="8040A01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518857612">
    <w:abstractNumId w:val="3"/>
  </w:num>
  <w:num w:numId="2" w16cid:durableId="1981574142">
    <w:abstractNumId w:val="1"/>
  </w:num>
  <w:num w:numId="3" w16cid:durableId="10588206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68950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30462808">
    <w:abstractNumId w:val="2"/>
  </w:num>
  <w:num w:numId="6" w16cid:durableId="1012486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0752B"/>
    <w:rsid w:val="0001123A"/>
    <w:rsid w:val="00031F8A"/>
    <w:rsid w:val="000454A8"/>
    <w:rsid w:val="00054FC4"/>
    <w:rsid w:val="0006726A"/>
    <w:rsid w:val="000F2247"/>
    <w:rsid w:val="00100577"/>
    <w:rsid w:val="001352F8"/>
    <w:rsid w:val="001D6899"/>
    <w:rsid w:val="00212125"/>
    <w:rsid w:val="00224AC0"/>
    <w:rsid w:val="002B7D23"/>
    <w:rsid w:val="002D6C61"/>
    <w:rsid w:val="0034112E"/>
    <w:rsid w:val="00367565"/>
    <w:rsid w:val="003E0C9F"/>
    <w:rsid w:val="004047C3"/>
    <w:rsid w:val="004215DC"/>
    <w:rsid w:val="004C7BA3"/>
    <w:rsid w:val="004E7F8A"/>
    <w:rsid w:val="00507694"/>
    <w:rsid w:val="005318F2"/>
    <w:rsid w:val="005535C9"/>
    <w:rsid w:val="00555246"/>
    <w:rsid w:val="00562527"/>
    <w:rsid w:val="005A7921"/>
    <w:rsid w:val="005C7B0B"/>
    <w:rsid w:val="00683ABD"/>
    <w:rsid w:val="00684E84"/>
    <w:rsid w:val="006C2095"/>
    <w:rsid w:val="00757983"/>
    <w:rsid w:val="007D46DD"/>
    <w:rsid w:val="008207C4"/>
    <w:rsid w:val="00821F29"/>
    <w:rsid w:val="00822550"/>
    <w:rsid w:val="00830B6F"/>
    <w:rsid w:val="00832D73"/>
    <w:rsid w:val="00842A13"/>
    <w:rsid w:val="008819B4"/>
    <w:rsid w:val="008B09B3"/>
    <w:rsid w:val="00950329"/>
    <w:rsid w:val="009A730D"/>
    <w:rsid w:val="009E35A7"/>
    <w:rsid w:val="009E49A1"/>
    <w:rsid w:val="009F504D"/>
    <w:rsid w:val="00A21B55"/>
    <w:rsid w:val="00A504C4"/>
    <w:rsid w:val="00B05847"/>
    <w:rsid w:val="00B22E0A"/>
    <w:rsid w:val="00BB418E"/>
    <w:rsid w:val="00BD67E7"/>
    <w:rsid w:val="00BE0015"/>
    <w:rsid w:val="00BE1EF7"/>
    <w:rsid w:val="00C02463"/>
    <w:rsid w:val="00C257E3"/>
    <w:rsid w:val="00C264D4"/>
    <w:rsid w:val="00C51FAA"/>
    <w:rsid w:val="00C55E62"/>
    <w:rsid w:val="00C572E8"/>
    <w:rsid w:val="00C7384B"/>
    <w:rsid w:val="00D202F4"/>
    <w:rsid w:val="00D3203D"/>
    <w:rsid w:val="00D95A44"/>
    <w:rsid w:val="00E70F9C"/>
    <w:rsid w:val="00EA6EFB"/>
    <w:rsid w:val="00F159C0"/>
    <w:rsid w:val="00F1793B"/>
    <w:rsid w:val="00F42DF7"/>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37B20C"/>
  <w15:chartTrackingRefBased/>
  <w15:docId w15:val="{E0143135-F569-4022-BC8F-D91E560E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sz w:val="16"/>
    </w:rPr>
  </w:style>
  <w:style w:type="paragraph" w:styleId="a6">
    <w:name w:val="annotation text"/>
    <w:basedOn w:val="a"/>
    <w:link w:val="a7"/>
    <w:semiHidden/>
    <w:rPr>
      <w:rFonts w:cs="Times New Roman"/>
      <w:lang w:eastAsia="he-IL"/>
    </w:rPr>
  </w:style>
  <w:style w:type="paragraph" w:styleId="a8">
    <w:name w:val="Balloon Text"/>
    <w:basedOn w:val="a"/>
    <w:semiHidden/>
    <w:rPr>
      <w:rFonts w:ascii="Tahoma" w:hAnsi="Tahoma" w:cs="Tahoma"/>
      <w:sz w:val="16"/>
      <w:szCs w:val="16"/>
    </w:rPr>
  </w:style>
  <w:style w:type="table" w:styleId="a9">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BD67E7"/>
    <w:rPr>
      <w:rFonts w:cs="Times New Roman"/>
    </w:rPr>
  </w:style>
  <w:style w:type="character" w:styleId="Hyperlink">
    <w:name w:val="Hyperlink"/>
    <w:semiHidden/>
    <w:rsid w:val="005A7921"/>
    <w:rPr>
      <w:color w:val="0000FF"/>
      <w:u w:val="single"/>
    </w:rPr>
  </w:style>
  <w:style w:type="character" w:customStyle="1" w:styleId="a7">
    <w:name w:val="טקסט הערה תו"/>
    <w:link w:val="a6"/>
    <w:semiHidden/>
    <w:locked/>
    <w:rsid w:val="005A7921"/>
    <w:rPr>
      <w:sz w:val="24"/>
      <w:lang w:val="x-none" w:eastAsia="he-IL" w:bidi="he-IL"/>
    </w:rPr>
  </w:style>
  <w:style w:type="paragraph" w:styleId="ab">
    <w:name w:val="List Paragraph"/>
    <w:basedOn w:val="a"/>
    <w:qFormat/>
    <w:rsid w:val="005A7921"/>
    <w:pPr>
      <w:spacing w:after="160" w:line="256" w:lineRule="auto"/>
      <w:ind w:left="720"/>
      <w:contextualSpacing/>
    </w:pPr>
    <w:rPr>
      <w:rFonts w:ascii="Calibri" w:hAnsi="Calibri" w:cs="Arial"/>
      <w:sz w:val="22"/>
      <w:szCs w:val="22"/>
    </w:rPr>
  </w:style>
  <w:style w:type="character" w:customStyle="1" w:styleId="Ruller4">
    <w:name w:val="Ruller4 תו"/>
    <w:link w:val="Ruller40"/>
    <w:locked/>
    <w:rsid w:val="005A7921"/>
    <w:rPr>
      <w:rFonts w:ascii="Arial TUR" w:hAnsi="Arial TUR"/>
      <w:spacing w:val="10"/>
      <w:sz w:val="28"/>
    </w:rPr>
  </w:style>
  <w:style w:type="paragraph" w:customStyle="1" w:styleId="Ruller40">
    <w:name w:val="Ruller4"/>
    <w:basedOn w:val="a"/>
    <w:link w:val="Ruller4"/>
    <w:rsid w:val="005A7921"/>
    <w:pPr>
      <w:tabs>
        <w:tab w:val="left" w:pos="800"/>
      </w:tabs>
      <w:overflowPunct w:val="0"/>
      <w:autoSpaceDE w:val="0"/>
      <w:autoSpaceDN w:val="0"/>
      <w:adjustRightInd w:val="0"/>
      <w:spacing w:line="360" w:lineRule="auto"/>
      <w:jc w:val="both"/>
    </w:pPr>
    <w:rPr>
      <w:rFonts w:ascii="Arial TUR" w:hAnsi="Arial TUR" w:cs="FrankRuehl"/>
      <w:spacing w:val="10"/>
      <w:sz w:val="20"/>
      <w:szCs w:val="28"/>
    </w:rPr>
  </w:style>
  <w:style w:type="character" w:customStyle="1" w:styleId="default">
    <w:name w:val="default"/>
    <w:rsid w:val="005A7921"/>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a.2" TargetMode="External"/><Relationship Id="rId18" Type="http://schemas.openxmlformats.org/officeDocument/2006/relationships/hyperlink" Target="http://www.nevo.co.il/case/26776067" TargetMode="External"/><Relationship Id="rId26" Type="http://schemas.openxmlformats.org/officeDocument/2006/relationships/hyperlink" Target="http://www.nevo.co.il/law/70301/300.a" TargetMode="External"/><Relationship Id="rId39" Type="http://schemas.openxmlformats.org/officeDocument/2006/relationships/hyperlink" Target="http://www.nevo.co.il/law/70301/329.a.2"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300.a" TargetMode="External"/><Relationship Id="rId42" Type="http://schemas.openxmlformats.org/officeDocument/2006/relationships/hyperlink" Target="http://www.nevo.co.il/law/70301"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70301/40i.a"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40c.a" TargetMode="External"/><Relationship Id="rId32" Type="http://schemas.openxmlformats.org/officeDocument/2006/relationships/hyperlink" Target="http://www.nevo.co.il/case/22269131" TargetMode="External"/><Relationship Id="rId37" Type="http://schemas.openxmlformats.org/officeDocument/2006/relationships/hyperlink" Target="http://www.nevo.co.il/case/29110556" TargetMode="External"/><Relationship Id="rId40" Type="http://schemas.openxmlformats.org/officeDocument/2006/relationships/hyperlink" Target="http://www.nevo.co.il/law/70301/144.a.;144.b"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300.a" TargetMode="External"/><Relationship Id="rId23" Type="http://schemas.openxmlformats.org/officeDocument/2006/relationships/hyperlink" Target="http://www.nevo.co.il/case/6248245" TargetMode="External"/><Relationship Id="rId28" Type="http://schemas.openxmlformats.org/officeDocument/2006/relationships/hyperlink" Target="http://www.nevo.co.il/case/7012276" TargetMode="External"/><Relationship Id="rId36" Type="http://schemas.openxmlformats.org/officeDocument/2006/relationships/hyperlink" Target="http://www.nevo.co.il/law/70301/144.b" TargetMode="External"/><Relationship Id="rId49"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case/29110556" TargetMode="External"/><Relationship Id="rId31" Type="http://schemas.openxmlformats.org/officeDocument/2006/relationships/hyperlink" Target="http://www.nevo.co.il/case/24882870" TargetMode="External"/><Relationship Id="rId44"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0i.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40ja" TargetMode="External"/><Relationship Id="rId48" Type="http://schemas.openxmlformats.org/officeDocument/2006/relationships/footer" Target="footer1.xml"/><Relationship Id="rId8" Type="http://schemas.openxmlformats.org/officeDocument/2006/relationships/hyperlink" Target="http://www.nevo.co.il/law/70301/40c.a"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300.a" TargetMode="External"/><Relationship Id="rId17" Type="http://schemas.openxmlformats.org/officeDocument/2006/relationships/hyperlink" Target="http://www.nevo.co.il/case/2226913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6776067" TargetMode="External"/><Relationship Id="rId38" Type="http://schemas.openxmlformats.org/officeDocument/2006/relationships/hyperlink" Target="http://www.nevo.co.il/law/70301/300.a" TargetMode="External"/><Relationship Id="rId46" Type="http://schemas.openxmlformats.org/officeDocument/2006/relationships/header" Target="header1.xml"/><Relationship Id="rId20" Type="http://schemas.openxmlformats.org/officeDocument/2006/relationships/hyperlink" Target="http://www.nevo.co.il/law/70301/300.a"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3977</Words>
  <Characters>19889</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23819</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7995492</vt:i4>
      </vt:variant>
      <vt:variant>
        <vt:i4>111</vt:i4>
      </vt:variant>
      <vt:variant>
        <vt:i4>0</vt:i4>
      </vt:variant>
      <vt:variant>
        <vt:i4>5</vt:i4>
      </vt:variant>
      <vt:variant>
        <vt:lpwstr>http://www.nevo.co.il/law/70301</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393232</vt:i4>
      </vt:variant>
      <vt:variant>
        <vt:i4>99</vt:i4>
      </vt:variant>
      <vt:variant>
        <vt:i4>0</vt:i4>
      </vt:variant>
      <vt:variant>
        <vt:i4>5</vt:i4>
      </vt:variant>
      <vt:variant>
        <vt:lpwstr>http://www.nevo.co.il/law/70301/144.a.;144.b</vt:lpwstr>
      </vt:variant>
      <vt:variant>
        <vt:lpwstr/>
      </vt:variant>
      <vt:variant>
        <vt:i4>6750270</vt:i4>
      </vt:variant>
      <vt:variant>
        <vt:i4>96</vt:i4>
      </vt:variant>
      <vt:variant>
        <vt:i4>0</vt:i4>
      </vt:variant>
      <vt:variant>
        <vt:i4>5</vt:i4>
      </vt:variant>
      <vt:variant>
        <vt:lpwstr>http://www.nevo.co.il/law/70301/329.a.2</vt:lpwstr>
      </vt:variant>
      <vt:variant>
        <vt:lpwstr/>
      </vt:variant>
      <vt:variant>
        <vt:i4>4915286</vt:i4>
      </vt:variant>
      <vt:variant>
        <vt:i4>93</vt:i4>
      </vt:variant>
      <vt:variant>
        <vt:i4>0</vt:i4>
      </vt:variant>
      <vt:variant>
        <vt:i4>5</vt:i4>
      </vt:variant>
      <vt:variant>
        <vt:lpwstr>http://www.nevo.co.il/law/70301/300.a</vt:lpwstr>
      </vt:variant>
      <vt:variant>
        <vt:lpwstr/>
      </vt:variant>
      <vt:variant>
        <vt:i4>3539065</vt:i4>
      </vt:variant>
      <vt:variant>
        <vt:i4>90</vt:i4>
      </vt:variant>
      <vt:variant>
        <vt:i4>0</vt:i4>
      </vt:variant>
      <vt:variant>
        <vt:i4>5</vt:i4>
      </vt:variant>
      <vt:variant>
        <vt:lpwstr>http://www.nevo.co.il/case/29110556</vt:lpwstr>
      </vt:variant>
      <vt:variant>
        <vt:lpwstr/>
      </vt:variant>
      <vt:variant>
        <vt:i4>5177424</vt:i4>
      </vt:variant>
      <vt:variant>
        <vt:i4>87</vt:i4>
      </vt:variant>
      <vt:variant>
        <vt:i4>0</vt:i4>
      </vt:variant>
      <vt:variant>
        <vt:i4>5</vt:i4>
      </vt:variant>
      <vt:variant>
        <vt:lpwstr>http://www.nevo.co.il/law/70301/144.b</vt:lpwstr>
      </vt:variant>
      <vt:variant>
        <vt:lpwstr/>
      </vt:variant>
      <vt:variant>
        <vt:i4>7995492</vt:i4>
      </vt:variant>
      <vt:variant>
        <vt:i4>84</vt:i4>
      </vt:variant>
      <vt:variant>
        <vt:i4>0</vt:i4>
      </vt:variant>
      <vt:variant>
        <vt:i4>5</vt:i4>
      </vt:variant>
      <vt:variant>
        <vt:lpwstr>http://www.nevo.co.il/law/70301</vt:lpwstr>
      </vt:variant>
      <vt:variant>
        <vt:lpwstr/>
      </vt:variant>
      <vt:variant>
        <vt:i4>4915286</vt:i4>
      </vt:variant>
      <vt:variant>
        <vt:i4>81</vt:i4>
      </vt:variant>
      <vt:variant>
        <vt:i4>0</vt:i4>
      </vt:variant>
      <vt:variant>
        <vt:i4>5</vt:i4>
      </vt:variant>
      <vt:variant>
        <vt:lpwstr>http://www.nevo.co.il/law/70301/300.a</vt:lpwstr>
      </vt:variant>
      <vt:variant>
        <vt:lpwstr/>
      </vt:variant>
      <vt:variant>
        <vt:i4>3473525</vt:i4>
      </vt:variant>
      <vt:variant>
        <vt:i4>78</vt:i4>
      </vt:variant>
      <vt:variant>
        <vt:i4>0</vt:i4>
      </vt:variant>
      <vt:variant>
        <vt:i4>5</vt:i4>
      </vt:variant>
      <vt:variant>
        <vt:lpwstr>http://www.nevo.co.il/case/26776067</vt:lpwstr>
      </vt:variant>
      <vt:variant>
        <vt:lpwstr/>
      </vt:variant>
      <vt:variant>
        <vt:i4>3801201</vt:i4>
      </vt:variant>
      <vt:variant>
        <vt:i4>75</vt:i4>
      </vt:variant>
      <vt:variant>
        <vt:i4>0</vt:i4>
      </vt:variant>
      <vt:variant>
        <vt:i4>5</vt:i4>
      </vt:variant>
      <vt:variant>
        <vt:lpwstr>http://www.nevo.co.il/case/22269131</vt:lpwstr>
      </vt:variant>
      <vt:variant>
        <vt:lpwstr/>
      </vt:variant>
      <vt:variant>
        <vt:i4>4128880</vt:i4>
      </vt:variant>
      <vt:variant>
        <vt:i4>72</vt:i4>
      </vt:variant>
      <vt:variant>
        <vt:i4>0</vt:i4>
      </vt:variant>
      <vt:variant>
        <vt:i4>5</vt:i4>
      </vt:variant>
      <vt:variant>
        <vt:lpwstr>http://www.nevo.co.il/case/24882870</vt:lpwstr>
      </vt:variant>
      <vt:variant>
        <vt:lpwstr/>
      </vt:variant>
      <vt:variant>
        <vt:i4>7995492</vt:i4>
      </vt:variant>
      <vt:variant>
        <vt:i4>69</vt:i4>
      </vt:variant>
      <vt:variant>
        <vt:i4>0</vt:i4>
      </vt:variant>
      <vt:variant>
        <vt:i4>5</vt:i4>
      </vt:variant>
      <vt:variant>
        <vt:lpwstr>http://www.nevo.co.il/law/70301</vt:lpwstr>
      </vt:variant>
      <vt:variant>
        <vt:lpwstr/>
      </vt:variant>
      <vt:variant>
        <vt:i4>4915208</vt:i4>
      </vt:variant>
      <vt:variant>
        <vt:i4>66</vt:i4>
      </vt:variant>
      <vt:variant>
        <vt:i4>0</vt:i4>
      </vt:variant>
      <vt:variant>
        <vt:i4>5</vt:i4>
      </vt:variant>
      <vt:variant>
        <vt:lpwstr>http://www.nevo.co.il/law/70301/40i.a</vt:lpwstr>
      </vt:variant>
      <vt:variant>
        <vt:lpwstr/>
      </vt:variant>
      <vt:variant>
        <vt:i4>3276913</vt:i4>
      </vt:variant>
      <vt:variant>
        <vt:i4>63</vt:i4>
      </vt:variant>
      <vt:variant>
        <vt:i4>0</vt:i4>
      </vt:variant>
      <vt:variant>
        <vt:i4>5</vt:i4>
      </vt:variant>
      <vt:variant>
        <vt:lpwstr>http://www.nevo.co.il/case/7012276</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4915286</vt:i4>
      </vt:variant>
      <vt:variant>
        <vt:i4>57</vt:i4>
      </vt:variant>
      <vt:variant>
        <vt:i4>0</vt:i4>
      </vt:variant>
      <vt:variant>
        <vt:i4>5</vt:i4>
      </vt:variant>
      <vt:variant>
        <vt:lpwstr>http://www.nevo.co.il/law/70301/300.a</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3473530</vt:i4>
      </vt:variant>
      <vt:variant>
        <vt:i4>48</vt:i4>
      </vt:variant>
      <vt:variant>
        <vt:i4>0</vt:i4>
      </vt:variant>
      <vt:variant>
        <vt:i4>5</vt:i4>
      </vt:variant>
      <vt:variant>
        <vt:lpwstr>http://www.nevo.co.il/case/6248245</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4915286</vt:i4>
      </vt:variant>
      <vt:variant>
        <vt:i4>39</vt:i4>
      </vt:variant>
      <vt:variant>
        <vt:i4>0</vt:i4>
      </vt:variant>
      <vt:variant>
        <vt:i4>5</vt:i4>
      </vt:variant>
      <vt:variant>
        <vt:lpwstr>http://www.nevo.co.il/law/70301/300.a</vt:lpwstr>
      </vt:variant>
      <vt:variant>
        <vt:lpwstr/>
      </vt:variant>
      <vt:variant>
        <vt:i4>3539065</vt:i4>
      </vt:variant>
      <vt:variant>
        <vt:i4>36</vt:i4>
      </vt:variant>
      <vt:variant>
        <vt:i4>0</vt:i4>
      </vt:variant>
      <vt:variant>
        <vt:i4>5</vt:i4>
      </vt:variant>
      <vt:variant>
        <vt:lpwstr>http://www.nevo.co.il/case/29110556</vt:lpwstr>
      </vt:variant>
      <vt:variant>
        <vt:lpwstr/>
      </vt:variant>
      <vt:variant>
        <vt:i4>3473525</vt:i4>
      </vt:variant>
      <vt:variant>
        <vt:i4>33</vt:i4>
      </vt:variant>
      <vt:variant>
        <vt:i4>0</vt:i4>
      </vt:variant>
      <vt:variant>
        <vt:i4>5</vt:i4>
      </vt:variant>
      <vt:variant>
        <vt:lpwstr>http://www.nevo.co.il/case/26776067</vt:lpwstr>
      </vt:variant>
      <vt:variant>
        <vt:lpwstr/>
      </vt:variant>
      <vt:variant>
        <vt:i4>3801201</vt:i4>
      </vt:variant>
      <vt:variant>
        <vt:i4>30</vt:i4>
      </vt:variant>
      <vt:variant>
        <vt:i4>0</vt:i4>
      </vt:variant>
      <vt:variant>
        <vt:i4>5</vt:i4>
      </vt:variant>
      <vt:variant>
        <vt:lpwstr>http://www.nevo.co.il/case/22269131</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4915286</vt:i4>
      </vt:variant>
      <vt:variant>
        <vt:i4>24</vt:i4>
      </vt:variant>
      <vt:variant>
        <vt:i4>0</vt:i4>
      </vt:variant>
      <vt:variant>
        <vt:i4>5</vt:i4>
      </vt:variant>
      <vt:variant>
        <vt:lpwstr>http://www.nevo.co.il/law/70301/300.a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6750270</vt:i4>
      </vt:variant>
      <vt:variant>
        <vt:i4>18</vt:i4>
      </vt:variant>
      <vt:variant>
        <vt:i4>0</vt:i4>
      </vt:variant>
      <vt:variant>
        <vt:i4>5</vt:i4>
      </vt:variant>
      <vt:variant>
        <vt:lpwstr>http://www.nevo.co.il/law/70301/329.a.2</vt:lpwstr>
      </vt:variant>
      <vt:variant>
        <vt:lpwstr/>
      </vt:variant>
      <vt:variant>
        <vt:i4>4915286</vt:i4>
      </vt:variant>
      <vt:variant>
        <vt:i4>15</vt:i4>
      </vt:variant>
      <vt:variant>
        <vt:i4>0</vt:i4>
      </vt:variant>
      <vt:variant>
        <vt:i4>5</vt:i4>
      </vt:variant>
      <vt:variant>
        <vt:lpwstr>http://www.nevo.co.il/law/70301/300.a</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6357041</vt:i4>
      </vt:variant>
      <vt:variant>
        <vt:i4>9</vt:i4>
      </vt:variant>
      <vt:variant>
        <vt:i4>0</vt:i4>
      </vt:variant>
      <vt:variant>
        <vt:i4>5</vt:i4>
      </vt:variant>
      <vt:variant>
        <vt:lpwstr>http://www.nevo.co.il/law/70301/144.a.</vt:lpwstr>
      </vt:variant>
      <vt:variant>
        <vt:lpwstr/>
      </vt:variant>
      <vt:variant>
        <vt:i4>4915208</vt:i4>
      </vt:variant>
      <vt:variant>
        <vt:i4>6</vt:i4>
      </vt:variant>
      <vt:variant>
        <vt:i4>0</vt:i4>
      </vt:variant>
      <vt:variant>
        <vt:i4>5</vt:i4>
      </vt:variant>
      <vt:variant>
        <vt:lpwstr>http://www.nevo.co.il/law/70301/40i.a</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2022-05-03T11:51:00Z</cp:lastPrinted>
  <dcterms:created xsi:type="dcterms:W3CDTF">2025-01-19T16:37:00Z</dcterms:created>
  <dcterms:modified xsi:type="dcterms:W3CDTF">2025-01-19T16:37:00Z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13491</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ANANTAPHAK THAWEESIT </vt:lpwstr>
  </property>
  <property fmtid="{D5CDD505-2E9C-101B-9397-08002B2CF9AE}" pid="10" name="JUDGE">
    <vt:lpwstr>רז לוי;שלו;משניות</vt:lpwstr>
  </property>
  <property fmtid="{D5CDD505-2E9C-101B-9397-08002B2CF9AE}" pid="11" name="CITY">
    <vt:lpwstr>ב"ש</vt:lpwstr>
  </property>
  <property fmtid="{D5CDD505-2E9C-101B-9397-08002B2CF9AE}" pid="12" name="DATE">
    <vt:lpwstr>20220503</vt:lpwstr>
  </property>
  <property fmtid="{D5CDD505-2E9C-101B-9397-08002B2CF9AE}" pid="13" name="TYPE_N_DATE">
    <vt:lpwstr>39020220503</vt:lpwstr>
  </property>
  <property fmtid="{D5CDD505-2E9C-101B-9397-08002B2CF9AE}" pid="14" name="WORDNUMPAGES">
    <vt:lpwstr>11</vt:lpwstr>
  </property>
  <property fmtid="{D5CDD505-2E9C-101B-9397-08002B2CF9AE}" pid="15" name="TYPE_ABS_DATE">
    <vt:lpwstr>390020220503</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22269131:2;26776067:2;29110556:2;6248245;7012276;24882870</vt:lpwstr>
  </property>
  <property fmtid="{D5CDD505-2E9C-101B-9397-08002B2CF9AE}" pid="36" name="LAWLISTTMP1">
    <vt:lpwstr>70301/300.a:5;040c.a;040i.a;144.b:2;329.a.2;144.a;40ja</vt:lpwstr>
  </property>
</Properties>
</file>