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C7496C" w:rsidRPr="006E4335" w14:paraId="76F97D4F" w14:textId="77777777" w:rsidTr="00A016CD">
        <w:trPr>
          <w:trHeight w:val="418"/>
          <w:jc w:val="center"/>
        </w:trPr>
        <w:tc>
          <w:tcPr>
            <w:tcW w:w="8504" w:type="dxa"/>
            <w:gridSpan w:val="3"/>
          </w:tcPr>
          <w:p w14:paraId="42CE149C" w14:textId="77777777" w:rsidR="00C7496C" w:rsidRPr="006E4335" w:rsidRDefault="00C7496C" w:rsidP="00A016CD">
            <w:pPr>
              <w:pStyle w:val="a3"/>
              <w:jc w:val="center"/>
              <w:rPr>
                <w:rtl/>
              </w:rPr>
            </w:pPr>
            <w:r w:rsidRPr="006E4335">
              <w:rPr>
                <w:rFonts w:ascii="Tahoma" w:hAnsi="Tahoma" w:cs="Tahoma"/>
                <w:b/>
                <w:bCs/>
                <w:color w:val="000080"/>
                <w:sz w:val="20"/>
                <w:szCs w:val="20"/>
                <w:rtl/>
              </w:rPr>
              <w:t>בית המשפט המחוזי בבאר שבע</w:t>
            </w:r>
          </w:p>
        </w:tc>
      </w:tr>
      <w:tr w:rsidR="00C7496C" w:rsidRPr="006E4335" w14:paraId="7CB74B97" w14:textId="77777777" w:rsidTr="00A016CD">
        <w:trPr>
          <w:trHeight w:val="337"/>
          <w:jc w:val="center"/>
        </w:trPr>
        <w:tc>
          <w:tcPr>
            <w:tcW w:w="4676" w:type="dxa"/>
          </w:tcPr>
          <w:p w14:paraId="5C493B54" w14:textId="77777777" w:rsidR="00C7496C" w:rsidRPr="006E4335" w:rsidRDefault="00C7496C" w:rsidP="00A016CD">
            <w:pPr>
              <w:spacing w:line="360" w:lineRule="auto"/>
              <w:jc w:val="both"/>
              <w:rPr>
                <w:b/>
                <w:bCs/>
                <w:rtl/>
              </w:rPr>
            </w:pPr>
            <w:r w:rsidRPr="006E4335">
              <w:rPr>
                <w:rFonts w:hint="cs"/>
                <w:b/>
                <w:bCs/>
                <w:rtl/>
              </w:rPr>
              <w:t>לפני כבוד סגן הנשיאה, השופט אליהו ביתן</w:t>
            </w:r>
          </w:p>
        </w:tc>
        <w:tc>
          <w:tcPr>
            <w:tcW w:w="241" w:type="dxa"/>
          </w:tcPr>
          <w:p w14:paraId="0075FAA2" w14:textId="77777777" w:rsidR="00C7496C" w:rsidRPr="006E4335" w:rsidRDefault="00C7496C" w:rsidP="00A016CD">
            <w:pPr>
              <w:pStyle w:val="a3"/>
              <w:jc w:val="right"/>
              <w:rPr>
                <w:b/>
                <w:bCs/>
                <w:rtl/>
              </w:rPr>
            </w:pPr>
          </w:p>
        </w:tc>
        <w:tc>
          <w:tcPr>
            <w:tcW w:w="3587" w:type="dxa"/>
          </w:tcPr>
          <w:p w14:paraId="491CC8A8" w14:textId="77777777" w:rsidR="00C7496C" w:rsidRPr="006E4335" w:rsidRDefault="00C7496C" w:rsidP="00A016CD">
            <w:pPr>
              <w:pStyle w:val="a3"/>
              <w:tabs>
                <w:tab w:val="clear" w:pos="4153"/>
              </w:tabs>
              <w:jc w:val="right"/>
              <w:rPr>
                <w:rtl/>
              </w:rPr>
            </w:pPr>
            <w:r w:rsidRPr="006E4335">
              <w:rPr>
                <w:rFonts w:hint="cs"/>
                <w:b/>
                <w:bCs/>
                <w:rtl/>
              </w:rPr>
              <w:t>13 מרץ 2022</w:t>
            </w:r>
          </w:p>
          <w:p w14:paraId="704AAA86" w14:textId="77777777" w:rsidR="00C7496C" w:rsidRPr="006E4335" w:rsidRDefault="00C7496C" w:rsidP="00A016CD">
            <w:pPr>
              <w:pStyle w:val="a3"/>
              <w:tabs>
                <w:tab w:val="clear" w:pos="4153"/>
              </w:tabs>
              <w:rPr>
                <w:b/>
                <w:bCs/>
                <w:rtl/>
              </w:rPr>
            </w:pPr>
          </w:p>
          <w:p w14:paraId="7B7CC5A5" w14:textId="77777777" w:rsidR="00C7496C" w:rsidRPr="006E4335" w:rsidRDefault="00C7496C" w:rsidP="00A016CD">
            <w:pPr>
              <w:jc w:val="right"/>
              <w:rPr>
                <w:rtl/>
              </w:rPr>
            </w:pPr>
            <w:r w:rsidRPr="006E4335">
              <w:rPr>
                <w:rFonts w:hint="cs"/>
                <w:b/>
                <w:bCs/>
                <w:rtl/>
              </w:rPr>
              <w:t>ת"פ 25017-09-20 מדינת ישראל נ' קרעאן</w:t>
            </w:r>
          </w:p>
        </w:tc>
      </w:tr>
    </w:tbl>
    <w:p w14:paraId="1EDBDB6A" w14:textId="77777777" w:rsidR="00C7496C" w:rsidRPr="006E4335" w:rsidRDefault="00C7496C" w:rsidP="00C7496C">
      <w:pPr>
        <w:pStyle w:val="a3"/>
        <w:jc w:val="center"/>
        <w:rPr>
          <w:rFonts w:ascii="Tahoma" w:hAnsi="Tahoma" w:cs="Tahoma"/>
          <w:b/>
          <w:bCs/>
          <w:color w:val="000080"/>
          <w:sz w:val="20"/>
          <w:szCs w:val="20"/>
          <w:rtl/>
        </w:rPr>
      </w:pPr>
      <w:bookmarkStart w:id="0" w:name="LastJudge"/>
      <w:bookmarkEnd w:id="0"/>
    </w:p>
    <w:p w14:paraId="737D3936" w14:textId="77777777" w:rsidR="00C7496C" w:rsidRPr="006E4335" w:rsidRDefault="00C7496C" w:rsidP="00C7496C">
      <w:pPr>
        <w:pStyle w:val="a3"/>
        <w:rPr>
          <w:rtl/>
        </w:rPr>
      </w:pPr>
    </w:p>
    <w:p w14:paraId="2608C64D" w14:textId="77777777" w:rsidR="00C7496C" w:rsidRPr="006E4335" w:rsidRDefault="00C7496C" w:rsidP="00C7496C">
      <w:pPr>
        <w:spacing w:line="360" w:lineRule="auto"/>
        <w:jc w:val="both"/>
        <w:rPr>
          <w:sz w:val="6"/>
          <w:szCs w:val="6"/>
          <w:rtl/>
        </w:rPr>
      </w:pPr>
    </w:p>
    <w:p w14:paraId="39AC5137" w14:textId="77777777" w:rsidR="00C7496C" w:rsidRPr="006E4335" w:rsidRDefault="00C7496C" w:rsidP="00C7496C">
      <w:pPr>
        <w:spacing w:line="360" w:lineRule="auto"/>
        <w:jc w:val="both"/>
        <w:rPr>
          <w:sz w:val="6"/>
          <w:szCs w:val="6"/>
          <w:rtl/>
        </w:rPr>
      </w:pPr>
    </w:p>
    <w:tbl>
      <w:tblPr>
        <w:bidiVisual/>
        <w:tblW w:w="8524" w:type="dxa"/>
        <w:tblInd w:w="250" w:type="dxa"/>
        <w:tblLook w:val="01E0" w:firstRow="1" w:lastRow="1" w:firstColumn="1" w:lastColumn="1" w:noHBand="0" w:noVBand="0"/>
      </w:tblPr>
      <w:tblGrid>
        <w:gridCol w:w="2242"/>
        <w:gridCol w:w="6282"/>
      </w:tblGrid>
      <w:tr w:rsidR="00C7496C" w:rsidRPr="006E4335" w14:paraId="2A82D30B" w14:textId="77777777" w:rsidTr="00C7496C">
        <w:tc>
          <w:tcPr>
            <w:tcW w:w="2242" w:type="dxa"/>
            <w:shd w:val="clear" w:color="auto" w:fill="auto"/>
          </w:tcPr>
          <w:p w14:paraId="22B46B45" w14:textId="77777777" w:rsidR="00C7496C" w:rsidRPr="006E4335" w:rsidRDefault="00C7496C" w:rsidP="00C7496C">
            <w:pPr>
              <w:spacing w:line="360" w:lineRule="auto"/>
              <w:ind w:left="26"/>
              <w:jc w:val="both"/>
              <w:rPr>
                <w:rFonts w:ascii="David" w:hAnsi="David"/>
                <w:b/>
                <w:bCs/>
              </w:rPr>
            </w:pPr>
            <w:bookmarkStart w:id="1" w:name="FirstAppellant"/>
            <w:r w:rsidRPr="006E4335">
              <w:rPr>
                <w:rFonts w:ascii="David" w:hAnsi="David" w:hint="cs"/>
                <w:b/>
                <w:bCs/>
                <w:rtl/>
              </w:rPr>
              <w:t>המאשימה:</w:t>
            </w:r>
          </w:p>
        </w:tc>
        <w:tc>
          <w:tcPr>
            <w:tcW w:w="6282" w:type="dxa"/>
            <w:shd w:val="clear" w:color="auto" w:fill="auto"/>
          </w:tcPr>
          <w:p w14:paraId="7E840A0F" w14:textId="77777777" w:rsidR="00C7496C" w:rsidRPr="006E4335" w:rsidRDefault="00C7496C" w:rsidP="00C7496C">
            <w:pPr>
              <w:spacing w:line="360" w:lineRule="auto"/>
              <w:rPr>
                <w:rFonts w:ascii="David" w:hAnsi="David"/>
                <w:b/>
                <w:bCs/>
                <w:rtl/>
              </w:rPr>
            </w:pPr>
            <w:r w:rsidRPr="006E4335">
              <w:rPr>
                <w:rFonts w:ascii="David" w:hAnsi="David" w:hint="cs"/>
                <w:b/>
                <w:bCs/>
                <w:rtl/>
              </w:rPr>
              <w:t>מדינת ישראל</w:t>
            </w:r>
          </w:p>
        </w:tc>
      </w:tr>
      <w:bookmarkEnd w:id="1"/>
      <w:tr w:rsidR="00C7496C" w:rsidRPr="006E4335" w14:paraId="76265B50" w14:textId="77777777" w:rsidTr="00C7496C">
        <w:tc>
          <w:tcPr>
            <w:tcW w:w="8524" w:type="dxa"/>
            <w:gridSpan w:val="2"/>
            <w:shd w:val="clear" w:color="auto" w:fill="auto"/>
          </w:tcPr>
          <w:p w14:paraId="77E70E8E" w14:textId="77777777" w:rsidR="00C7496C" w:rsidRPr="006E4335" w:rsidRDefault="00C7496C" w:rsidP="00C7496C">
            <w:pPr>
              <w:spacing w:line="360" w:lineRule="auto"/>
              <w:jc w:val="center"/>
              <w:rPr>
                <w:rFonts w:ascii="David" w:hAnsi="David"/>
                <w:b/>
                <w:bCs/>
                <w:sz w:val="28"/>
                <w:szCs w:val="28"/>
                <w:rtl/>
              </w:rPr>
            </w:pPr>
            <w:r w:rsidRPr="006E4335">
              <w:rPr>
                <w:rFonts w:ascii="David" w:hAnsi="David" w:hint="cs"/>
                <w:b/>
                <w:bCs/>
                <w:sz w:val="28"/>
                <w:szCs w:val="28"/>
                <w:rtl/>
              </w:rPr>
              <w:t>נגד</w:t>
            </w:r>
          </w:p>
        </w:tc>
      </w:tr>
      <w:tr w:rsidR="00C7496C" w:rsidRPr="006E4335" w14:paraId="536A3D81" w14:textId="77777777" w:rsidTr="00C7496C">
        <w:tc>
          <w:tcPr>
            <w:tcW w:w="2242" w:type="dxa"/>
            <w:shd w:val="clear" w:color="auto" w:fill="auto"/>
          </w:tcPr>
          <w:p w14:paraId="388A0479" w14:textId="77777777" w:rsidR="00C7496C" w:rsidRPr="006E4335" w:rsidRDefault="00C7496C" w:rsidP="00C7496C">
            <w:pPr>
              <w:spacing w:line="360" w:lineRule="auto"/>
              <w:ind w:left="26"/>
              <w:rPr>
                <w:rFonts w:ascii="David" w:hAnsi="David"/>
                <w:b/>
                <w:bCs/>
              </w:rPr>
            </w:pPr>
            <w:r w:rsidRPr="006E4335">
              <w:rPr>
                <w:rFonts w:ascii="David" w:hAnsi="David" w:hint="cs"/>
                <w:b/>
                <w:bCs/>
                <w:rtl/>
              </w:rPr>
              <w:t>הנאשם:</w:t>
            </w:r>
          </w:p>
        </w:tc>
        <w:tc>
          <w:tcPr>
            <w:tcW w:w="6282" w:type="dxa"/>
            <w:shd w:val="clear" w:color="auto" w:fill="auto"/>
          </w:tcPr>
          <w:p w14:paraId="21DA6BE7" w14:textId="77777777" w:rsidR="00C7496C" w:rsidRPr="006E4335" w:rsidRDefault="00C7496C" w:rsidP="00C7496C">
            <w:pPr>
              <w:spacing w:line="360" w:lineRule="auto"/>
              <w:rPr>
                <w:rFonts w:ascii="David" w:hAnsi="David"/>
                <w:b/>
                <w:bCs/>
                <w:rtl/>
              </w:rPr>
            </w:pPr>
            <w:r w:rsidRPr="006E4335">
              <w:rPr>
                <w:rFonts w:ascii="David" w:hAnsi="David" w:hint="cs"/>
                <w:b/>
                <w:bCs/>
                <w:rtl/>
              </w:rPr>
              <w:t>עלי קרעאן</w:t>
            </w:r>
          </w:p>
        </w:tc>
      </w:tr>
    </w:tbl>
    <w:p w14:paraId="2DC66DBC" w14:textId="77777777" w:rsidR="00C7496C" w:rsidRPr="006E4335" w:rsidRDefault="00C7496C" w:rsidP="00C7496C">
      <w:pPr>
        <w:spacing w:line="360" w:lineRule="auto"/>
        <w:jc w:val="both"/>
        <w:rPr>
          <w:rFonts w:ascii="David" w:hAnsi="David"/>
          <w:sz w:val="6"/>
          <w:szCs w:val="6"/>
          <w:rtl/>
        </w:rPr>
      </w:pPr>
      <w:r w:rsidRPr="006E4335">
        <w:rPr>
          <w:rFonts w:hint="cs"/>
          <w:sz w:val="6"/>
          <w:szCs w:val="6"/>
          <w:rtl/>
        </w:rPr>
        <w:t>&lt;#1#&gt;</w:t>
      </w:r>
    </w:p>
    <w:p w14:paraId="306C800B" w14:textId="77777777" w:rsidR="00C7496C" w:rsidRPr="006E4335" w:rsidRDefault="00C7496C" w:rsidP="00C7496C">
      <w:pPr>
        <w:pStyle w:val="12"/>
        <w:spacing w:line="360" w:lineRule="auto"/>
        <w:rPr>
          <w:u w:val="none"/>
          <w:rtl/>
        </w:rPr>
      </w:pPr>
      <w:r w:rsidRPr="006E4335">
        <w:rPr>
          <w:u w:val="none"/>
          <w:rtl/>
        </w:rPr>
        <w:t>נוכחים:</w:t>
      </w:r>
    </w:p>
    <w:p w14:paraId="4D78E90E" w14:textId="77777777" w:rsidR="00C7496C" w:rsidRPr="006E4335" w:rsidRDefault="00C7496C" w:rsidP="00C7496C">
      <w:pPr>
        <w:pStyle w:val="12"/>
        <w:spacing w:line="360" w:lineRule="auto"/>
        <w:rPr>
          <w:b w:val="0"/>
          <w:bCs w:val="0"/>
          <w:u w:val="none"/>
          <w:rtl/>
        </w:rPr>
      </w:pPr>
      <w:bookmarkStart w:id="2" w:name="FirstLawyer"/>
      <w:r w:rsidRPr="006E4335">
        <w:rPr>
          <w:b w:val="0"/>
          <w:bCs w:val="0"/>
          <w:u w:val="none"/>
          <w:rtl/>
        </w:rPr>
        <w:t>ב"כ</w:t>
      </w:r>
      <w:bookmarkEnd w:id="2"/>
      <w:r w:rsidRPr="006E4335">
        <w:rPr>
          <w:b w:val="0"/>
          <w:bCs w:val="0"/>
          <w:u w:val="none"/>
          <w:rtl/>
        </w:rPr>
        <w:t xml:space="preserve"> המאשימה, עו"ד הדס עמר </w:t>
      </w:r>
    </w:p>
    <w:p w14:paraId="3291ADBB" w14:textId="77777777" w:rsidR="00C7496C" w:rsidRPr="006E4335" w:rsidRDefault="00C7496C" w:rsidP="00C7496C">
      <w:pPr>
        <w:pStyle w:val="12"/>
        <w:spacing w:line="360" w:lineRule="auto"/>
        <w:rPr>
          <w:b w:val="0"/>
          <w:bCs w:val="0"/>
          <w:u w:val="none"/>
          <w:rtl/>
        </w:rPr>
      </w:pPr>
      <w:r w:rsidRPr="006E4335">
        <w:rPr>
          <w:b w:val="0"/>
          <w:bCs w:val="0"/>
          <w:u w:val="none"/>
          <w:rtl/>
        </w:rPr>
        <w:t>ב"כ הנאשם, עו"ד ויקטור אוזן</w:t>
      </w:r>
    </w:p>
    <w:p w14:paraId="19C2AB23" w14:textId="77777777" w:rsidR="009D4DF6" w:rsidRDefault="00C7496C" w:rsidP="00C7496C">
      <w:pPr>
        <w:spacing w:line="360" w:lineRule="auto"/>
        <w:jc w:val="both"/>
        <w:rPr>
          <w:sz w:val="6"/>
          <w:szCs w:val="6"/>
          <w:rtl/>
        </w:rPr>
      </w:pPr>
      <w:r w:rsidRPr="006E4335">
        <w:rPr>
          <w:rFonts w:hint="cs"/>
          <w:sz w:val="6"/>
          <w:szCs w:val="6"/>
          <w:rtl/>
        </w:rPr>
        <w:t>&lt;#3#&gt;</w:t>
      </w:r>
      <w:bookmarkStart w:id="3" w:name="LawTable"/>
      <w:bookmarkEnd w:id="3"/>
    </w:p>
    <w:p w14:paraId="5C2C2D23" w14:textId="77777777" w:rsidR="009D4DF6" w:rsidRPr="009D4DF6" w:rsidRDefault="009D4DF6" w:rsidP="009D4DF6">
      <w:pPr>
        <w:spacing w:after="120" w:line="240" w:lineRule="exact"/>
        <w:ind w:left="283" w:hanging="283"/>
        <w:jc w:val="both"/>
        <w:rPr>
          <w:rFonts w:ascii="FrankRuehl" w:hAnsi="FrankRuehl" w:cs="FrankRuehl"/>
          <w:rtl/>
        </w:rPr>
      </w:pPr>
    </w:p>
    <w:p w14:paraId="25CC863C" w14:textId="77777777" w:rsidR="009D4DF6" w:rsidRPr="009D4DF6" w:rsidRDefault="009D4DF6" w:rsidP="009D4DF6">
      <w:pPr>
        <w:spacing w:after="120" w:line="240" w:lineRule="exact"/>
        <w:ind w:left="283" w:hanging="283"/>
        <w:jc w:val="both"/>
        <w:rPr>
          <w:rFonts w:ascii="FrankRuehl" w:hAnsi="FrankRuehl" w:cs="FrankRuehl"/>
          <w:rtl/>
        </w:rPr>
      </w:pPr>
      <w:r w:rsidRPr="009D4DF6">
        <w:rPr>
          <w:rFonts w:ascii="FrankRuehl" w:hAnsi="FrankRuehl" w:cs="FrankRuehl"/>
          <w:rtl/>
        </w:rPr>
        <w:t xml:space="preserve">חקיקה שאוזכרה: </w:t>
      </w:r>
    </w:p>
    <w:p w14:paraId="32468291" w14:textId="77777777" w:rsidR="009D4DF6" w:rsidRPr="009D4DF6" w:rsidRDefault="009D4DF6" w:rsidP="009D4DF6">
      <w:pPr>
        <w:spacing w:after="120" w:line="240" w:lineRule="exact"/>
        <w:ind w:left="283" w:hanging="283"/>
        <w:jc w:val="both"/>
        <w:rPr>
          <w:rFonts w:ascii="FrankRuehl" w:hAnsi="FrankRuehl" w:cs="FrankRuehl"/>
          <w:color w:val="0000FF"/>
          <w:u w:val="single"/>
          <w:rtl/>
        </w:rPr>
      </w:pPr>
      <w:hyperlink r:id="rId6" w:history="1">
        <w:r w:rsidRPr="009D4DF6">
          <w:rPr>
            <w:rStyle w:val="Hyperlink"/>
            <w:rFonts w:ascii="FrankRuehl" w:hAnsi="FrankRuehl" w:cs="FrankRuehl"/>
            <w:rtl/>
          </w:rPr>
          <w:t>חוק העונשין, תשל"ז-1977</w:t>
        </w:r>
      </w:hyperlink>
      <w:r w:rsidRPr="009D4DF6">
        <w:rPr>
          <w:rFonts w:ascii="FrankRuehl" w:hAnsi="FrankRuehl" w:cs="FrankRuehl"/>
          <w:color w:val="0000FF"/>
          <w:u w:val="single"/>
          <w:rtl/>
        </w:rPr>
        <w:t xml:space="preserve">: סע'  </w:t>
      </w:r>
      <w:hyperlink r:id="rId7" w:history="1">
        <w:r w:rsidRPr="009D4DF6">
          <w:rPr>
            <w:rStyle w:val="Hyperlink"/>
            <w:rFonts w:ascii="FrankRuehl" w:hAnsi="FrankRuehl" w:cs="FrankRuehl"/>
          </w:rPr>
          <w:t>144(</w:t>
        </w:r>
        <w:r w:rsidRPr="009D4DF6">
          <w:rPr>
            <w:rStyle w:val="Hyperlink"/>
            <w:rFonts w:ascii="FrankRuehl" w:hAnsi="FrankRuehl" w:cs="FrankRuehl"/>
            <w:rtl/>
          </w:rPr>
          <w:t>א</w:t>
        </w:r>
        <w:r w:rsidRPr="009D4DF6">
          <w:rPr>
            <w:rStyle w:val="Hyperlink"/>
            <w:rFonts w:ascii="FrankRuehl" w:hAnsi="FrankRuehl" w:cs="FrankRuehl"/>
          </w:rPr>
          <w:t>)</w:t>
        </w:r>
      </w:hyperlink>
    </w:p>
    <w:p w14:paraId="560BB530" w14:textId="77777777" w:rsidR="009D4DF6" w:rsidRPr="009D4DF6" w:rsidRDefault="009D4DF6" w:rsidP="009D4DF6">
      <w:pPr>
        <w:spacing w:after="120" w:line="240" w:lineRule="exact"/>
        <w:ind w:left="283" w:hanging="283"/>
        <w:jc w:val="both"/>
        <w:rPr>
          <w:rFonts w:ascii="FrankRuehl" w:hAnsi="FrankRuehl" w:cs="FrankRuehl"/>
          <w:rtl/>
        </w:rPr>
      </w:pPr>
    </w:p>
    <w:p w14:paraId="1A32DB57" w14:textId="77777777" w:rsidR="009D4DF6" w:rsidRPr="009D4DF6" w:rsidRDefault="009D4DF6" w:rsidP="00C7496C">
      <w:pPr>
        <w:spacing w:line="360" w:lineRule="auto"/>
        <w:jc w:val="both"/>
        <w:rPr>
          <w:sz w:val="6"/>
          <w:szCs w:val="6"/>
          <w:rtl/>
        </w:rPr>
      </w:pPr>
      <w:bookmarkStart w:id="4" w:name="LawTable_End"/>
      <w:bookmarkEnd w:id="4"/>
    </w:p>
    <w:p w14:paraId="2C155779" w14:textId="77777777" w:rsidR="009D4DF6" w:rsidRPr="009D4DF6" w:rsidRDefault="009D4DF6" w:rsidP="00C7496C">
      <w:pPr>
        <w:spacing w:line="360" w:lineRule="auto"/>
        <w:jc w:val="both"/>
        <w:rPr>
          <w:sz w:val="6"/>
          <w:szCs w:val="6"/>
          <w:rtl/>
        </w:rPr>
      </w:pPr>
    </w:p>
    <w:p w14:paraId="49C97FA5" w14:textId="77777777" w:rsidR="00C7496C" w:rsidRPr="009D4DF6" w:rsidRDefault="00C7496C" w:rsidP="00C7496C">
      <w:pPr>
        <w:spacing w:line="360" w:lineRule="auto"/>
        <w:jc w:val="both"/>
        <w:rPr>
          <w:sz w:val="6"/>
          <w:szCs w:val="6"/>
          <w:rtl/>
        </w:rPr>
      </w:pPr>
    </w:p>
    <w:p w14:paraId="5232A9BE" w14:textId="77777777" w:rsidR="006E4335" w:rsidRPr="006E4335" w:rsidRDefault="006E4335" w:rsidP="006E4335">
      <w:pPr>
        <w:spacing w:line="360" w:lineRule="auto"/>
        <w:jc w:val="center"/>
        <w:rPr>
          <w:rFonts w:ascii="Arial" w:hAnsi="Arial"/>
          <w:sz w:val="28"/>
          <w:szCs w:val="28"/>
          <w:rtl/>
        </w:rPr>
      </w:pPr>
    </w:p>
    <w:p w14:paraId="7CA6BED4" w14:textId="77777777" w:rsidR="006E4335" w:rsidRPr="006E4335" w:rsidRDefault="006E4335" w:rsidP="00C7496C">
      <w:pPr>
        <w:spacing w:line="360" w:lineRule="auto"/>
        <w:jc w:val="center"/>
        <w:rPr>
          <w:rFonts w:ascii="Arial" w:hAnsi="Arial"/>
          <w:b/>
          <w:bCs/>
          <w:sz w:val="28"/>
          <w:szCs w:val="28"/>
          <w:rtl/>
        </w:rPr>
      </w:pPr>
    </w:p>
    <w:p w14:paraId="23F3BEEF" w14:textId="77777777" w:rsidR="006E4335" w:rsidRPr="006E4335" w:rsidRDefault="006E4335" w:rsidP="006E4335">
      <w:pPr>
        <w:autoSpaceDE w:val="0"/>
        <w:autoSpaceDN w:val="0"/>
        <w:adjustRightInd w:val="0"/>
        <w:spacing w:line="360" w:lineRule="auto"/>
        <w:ind w:left="1440" w:firstLine="720"/>
        <w:jc w:val="center"/>
        <w:rPr>
          <w:rFonts w:ascii="Arial" w:hAnsi="Arial"/>
          <w:b/>
          <w:bCs/>
          <w:sz w:val="28"/>
          <w:szCs w:val="28"/>
          <w:u w:val="single"/>
          <w:rtl/>
        </w:rPr>
      </w:pPr>
      <w:bookmarkStart w:id="5" w:name="PsakDin"/>
      <w:r w:rsidRPr="006E4335">
        <w:rPr>
          <w:rFonts w:ascii="Arial" w:hAnsi="Arial"/>
          <w:b/>
          <w:bCs/>
          <w:sz w:val="28"/>
          <w:szCs w:val="28"/>
          <w:u w:val="single"/>
          <w:rtl/>
        </w:rPr>
        <w:t>גזר דין</w:t>
      </w:r>
    </w:p>
    <w:bookmarkEnd w:id="5"/>
    <w:p w14:paraId="58F08A4C" w14:textId="77777777" w:rsidR="00C7496C" w:rsidRDefault="00C7496C" w:rsidP="00C7496C">
      <w:pPr>
        <w:autoSpaceDE w:val="0"/>
        <w:autoSpaceDN w:val="0"/>
        <w:adjustRightInd w:val="0"/>
        <w:spacing w:line="360" w:lineRule="auto"/>
        <w:ind w:left="1440" w:firstLine="720"/>
        <w:jc w:val="both"/>
        <w:rPr>
          <w:rFonts w:ascii="David"/>
          <w:b/>
          <w:bCs/>
          <w:sz w:val="28"/>
          <w:szCs w:val="28"/>
          <w:u w:val="single"/>
          <w:rtl/>
        </w:rPr>
      </w:pPr>
    </w:p>
    <w:p w14:paraId="1EF67DA6" w14:textId="77777777" w:rsidR="00C7496C" w:rsidRDefault="00C7496C" w:rsidP="00C7496C">
      <w:pPr>
        <w:autoSpaceDE w:val="0"/>
        <w:autoSpaceDN w:val="0"/>
        <w:adjustRightInd w:val="0"/>
        <w:spacing w:line="360" w:lineRule="auto"/>
        <w:ind w:left="720" w:hanging="720"/>
        <w:jc w:val="both"/>
      </w:pPr>
      <w:r>
        <w:rPr>
          <w:rFonts w:hint="cs"/>
          <w:rtl/>
        </w:rPr>
        <w:t>1.</w:t>
      </w:r>
      <w:r>
        <w:rPr>
          <w:rFonts w:hint="cs"/>
          <w:rtl/>
        </w:rPr>
        <w:tab/>
      </w:r>
      <w:bookmarkStart w:id="6" w:name="ABSTRACT_START"/>
      <w:bookmarkEnd w:id="6"/>
      <w:r>
        <w:rPr>
          <w:rFonts w:hint="cs"/>
          <w:rtl/>
        </w:rPr>
        <w:t xml:space="preserve">בטרם שמיעת הראיות בתיק הגיעו הצדדים להסדר טיעון במסגרתו הוגש נגד הנאשם כתב אישום מתוקן והנאשם הודה בעובדותיו. </w:t>
      </w:r>
    </w:p>
    <w:p w14:paraId="713EFC54" w14:textId="77777777" w:rsidR="00C7496C" w:rsidRDefault="00C7496C" w:rsidP="00C7496C">
      <w:pPr>
        <w:autoSpaceDE w:val="0"/>
        <w:autoSpaceDN w:val="0"/>
        <w:adjustRightInd w:val="0"/>
        <w:spacing w:line="360" w:lineRule="auto"/>
        <w:ind w:left="720"/>
        <w:jc w:val="both"/>
        <w:rPr>
          <w:rtl/>
        </w:rPr>
      </w:pPr>
      <w:r>
        <w:rPr>
          <w:rFonts w:hint="cs"/>
          <w:rtl/>
        </w:rPr>
        <w:t xml:space="preserve">על פי עובדות כתב האישום המתוקן, בתאריך 30.08.20 הנאשם נסע יחד עם אחיו ברכב השייך לחברת הסעות בה עובד הנאשם, לתוך שטח ישראל דרך מחסום "מצודת יהודה". במהלך הנסיעה הנאשם הבחין בתא מתחת למשענת היד של הנהג, באקדח חצי אוטומטי שבכוחו להמית אדם (להלן: "הנשק"). הנאשם לא דיווח על כך ולא מסר את הנשק לכוחות הביטחון. ובמהלך פעילות משטרתית נתפסו הנשק ולצדו מחסנית ובה שלושה כדורים מסוג 9 מ"מ. בכך הנאשם החזיק נשק ותחמושת, שאינם שלו ולא היו בידיעתו עובר לנסיעה, ללא היתר כדין. </w:t>
      </w:r>
    </w:p>
    <w:p w14:paraId="1863171B" w14:textId="77777777" w:rsidR="00C7496C" w:rsidRDefault="00C7496C" w:rsidP="00C7496C">
      <w:pPr>
        <w:autoSpaceDE w:val="0"/>
        <w:autoSpaceDN w:val="0"/>
        <w:adjustRightInd w:val="0"/>
        <w:spacing w:line="360" w:lineRule="auto"/>
        <w:ind w:left="720"/>
        <w:jc w:val="both"/>
        <w:rPr>
          <w:rtl/>
        </w:rPr>
      </w:pPr>
      <w:bookmarkStart w:id="7" w:name="ABSTRACT_END"/>
      <w:bookmarkEnd w:id="7"/>
    </w:p>
    <w:p w14:paraId="2C7A3290" w14:textId="77777777" w:rsidR="00C7496C" w:rsidRDefault="00C7496C" w:rsidP="00C7496C">
      <w:pPr>
        <w:autoSpaceDE w:val="0"/>
        <w:autoSpaceDN w:val="0"/>
        <w:adjustRightInd w:val="0"/>
        <w:spacing w:line="360" w:lineRule="auto"/>
        <w:ind w:left="720" w:hanging="720"/>
        <w:jc w:val="both"/>
        <w:rPr>
          <w:rtl/>
        </w:rPr>
      </w:pPr>
      <w:r>
        <w:rPr>
          <w:rFonts w:hint="cs"/>
          <w:rtl/>
        </w:rPr>
        <w:t>2.</w:t>
      </w:r>
      <w:r>
        <w:rPr>
          <w:rFonts w:hint="cs"/>
          <w:rtl/>
        </w:rPr>
        <w:tab/>
        <w:t>הנאשם אישר שמהשלב שהוא הבחין בנשק הוא החליט להחזיק בו ובפועל החזיק בו עד שהנשק התגלה במהלך החיפוש שנערך ברכב.</w:t>
      </w:r>
    </w:p>
    <w:p w14:paraId="66F28A4A" w14:textId="77777777" w:rsidR="00C7496C" w:rsidRDefault="00C7496C" w:rsidP="00C7496C">
      <w:pPr>
        <w:autoSpaceDE w:val="0"/>
        <w:autoSpaceDN w:val="0"/>
        <w:adjustRightInd w:val="0"/>
        <w:spacing w:line="360" w:lineRule="auto"/>
        <w:ind w:left="720" w:hanging="720"/>
        <w:jc w:val="both"/>
        <w:rPr>
          <w:rtl/>
        </w:rPr>
      </w:pPr>
    </w:p>
    <w:p w14:paraId="01B019C5" w14:textId="77777777" w:rsidR="00C7496C" w:rsidRDefault="00C7496C" w:rsidP="00C7496C">
      <w:pPr>
        <w:autoSpaceDE w:val="0"/>
        <w:autoSpaceDN w:val="0"/>
        <w:adjustRightInd w:val="0"/>
        <w:spacing w:line="360" w:lineRule="auto"/>
        <w:ind w:left="720" w:hanging="720"/>
        <w:jc w:val="both"/>
        <w:rPr>
          <w:rtl/>
        </w:rPr>
      </w:pPr>
      <w:r>
        <w:rPr>
          <w:rFonts w:hint="cs"/>
          <w:rtl/>
        </w:rPr>
        <w:lastRenderedPageBreak/>
        <w:t>3.</w:t>
      </w:r>
      <w:r>
        <w:rPr>
          <w:rFonts w:hint="cs"/>
          <w:rtl/>
        </w:rPr>
        <w:tab/>
        <w:t xml:space="preserve">על יסוד הודאת הנאשם בעובדות כאמור, הוא הורשע בעבירה של החזקת נשק ותחמושת, לפי </w:t>
      </w:r>
      <w:hyperlink r:id="rId8" w:history="1">
        <w:r w:rsidR="009D4DF6" w:rsidRPr="009D4DF6">
          <w:rPr>
            <w:rStyle w:val="Hyperlink"/>
            <w:rFonts w:hint="eastAsia"/>
            <w:color w:val="0000FF"/>
            <w:rtl/>
          </w:rPr>
          <w:t>סעיף</w:t>
        </w:r>
        <w:r w:rsidR="009D4DF6" w:rsidRPr="009D4DF6">
          <w:rPr>
            <w:rStyle w:val="Hyperlink"/>
            <w:color w:val="0000FF"/>
            <w:rtl/>
          </w:rPr>
          <w:t xml:space="preserve"> 144(א)</w:t>
        </w:r>
      </w:hyperlink>
      <w:r>
        <w:rPr>
          <w:rFonts w:hint="cs"/>
          <w:rtl/>
        </w:rPr>
        <w:t xml:space="preserve"> רישא וסיפא ב</w:t>
      </w:r>
      <w:hyperlink r:id="rId9" w:history="1">
        <w:r w:rsidR="006E4335" w:rsidRPr="006E4335">
          <w:rPr>
            <w:color w:val="0000FF"/>
            <w:u w:val="single"/>
            <w:rtl/>
          </w:rPr>
          <w:t>חוק העונשין</w:t>
        </w:r>
      </w:hyperlink>
      <w:r>
        <w:rPr>
          <w:rFonts w:hint="cs"/>
          <w:rtl/>
        </w:rPr>
        <w:t xml:space="preserve"> התשל"ז-1977. </w:t>
      </w:r>
    </w:p>
    <w:p w14:paraId="5BD948B9" w14:textId="77777777" w:rsidR="00C7496C" w:rsidRDefault="00C7496C" w:rsidP="00C7496C">
      <w:pPr>
        <w:autoSpaceDE w:val="0"/>
        <w:autoSpaceDN w:val="0"/>
        <w:adjustRightInd w:val="0"/>
        <w:spacing w:line="360" w:lineRule="auto"/>
        <w:ind w:left="720" w:hanging="720"/>
        <w:jc w:val="both"/>
        <w:rPr>
          <w:rtl/>
        </w:rPr>
      </w:pPr>
    </w:p>
    <w:p w14:paraId="39C7B6DA" w14:textId="77777777" w:rsidR="00C7496C" w:rsidRDefault="00C7496C" w:rsidP="00C7496C">
      <w:pPr>
        <w:autoSpaceDE w:val="0"/>
        <w:autoSpaceDN w:val="0"/>
        <w:adjustRightInd w:val="0"/>
        <w:spacing w:line="360" w:lineRule="auto"/>
        <w:ind w:left="720" w:hanging="720"/>
        <w:jc w:val="both"/>
        <w:rPr>
          <w:rtl/>
        </w:rPr>
      </w:pPr>
      <w:r>
        <w:rPr>
          <w:rFonts w:hint="cs"/>
          <w:rtl/>
        </w:rPr>
        <w:t>4.</w:t>
      </w:r>
      <w:r>
        <w:rPr>
          <w:rFonts w:hint="cs"/>
          <w:rtl/>
        </w:rPr>
        <w:tab/>
        <w:t>במסגרת הסדר הטיעון ולאחר קבלת חוות דעת הממונה על עבודות השירות לפיה הנאשם מתאים לביצוע עבודות שירות, הצדדים המליצו לבית המשפט להטיל על הנאשם 9 חודשי מאסר  בעבודת שירות, מאסר על תנאי וקנס בסך 50,000 ₪.</w:t>
      </w:r>
    </w:p>
    <w:p w14:paraId="3DBEAB47" w14:textId="77777777" w:rsidR="00C7496C" w:rsidRDefault="00C7496C" w:rsidP="00C7496C">
      <w:pPr>
        <w:autoSpaceDE w:val="0"/>
        <w:autoSpaceDN w:val="0"/>
        <w:adjustRightInd w:val="0"/>
        <w:spacing w:line="360" w:lineRule="auto"/>
        <w:ind w:left="720" w:hanging="720"/>
        <w:jc w:val="both"/>
        <w:rPr>
          <w:rtl/>
        </w:rPr>
      </w:pPr>
    </w:p>
    <w:p w14:paraId="56BD93B7" w14:textId="77777777" w:rsidR="00C7496C" w:rsidRDefault="00C7496C" w:rsidP="00C7496C">
      <w:pPr>
        <w:spacing w:line="360" w:lineRule="auto"/>
        <w:ind w:left="720" w:hanging="720"/>
        <w:jc w:val="both"/>
        <w:rPr>
          <w:rFonts w:ascii="David" w:hAnsi="David"/>
          <w:rtl/>
        </w:rPr>
      </w:pPr>
      <w:r>
        <w:rPr>
          <w:rFonts w:hint="cs"/>
          <w:rtl/>
        </w:rPr>
        <w:t xml:space="preserve">5. </w:t>
      </w:r>
      <w:r>
        <w:rPr>
          <w:rFonts w:hint="cs"/>
          <w:rtl/>
        </w:rPr>
        <w:tab/>
        <w:t xml:space="preserve">ב"כ המאשימה ציינה כי העונש המוצע אמנם חורג מהעונשים המוטלים על החזקת נשק, בפרט לאחר התיקון לחוק ובהתחשב בהחמרת הענישה בעבירות נשק, אך הסבירה שהסדר הטיעון גובש לפני כשנה ובמסגרתו כתב האישום שונה באופן משמעותי הן בעובדות והן בסעיף האישום, על רקע קשיים ראייתיים. ציינה שהנאשם ללא עבר פלילי. ועתרה לאמץ את המלצת הצדדים. </w:t>
      </w:r>
    </w:p>
    <w:p w14:paraId="41D8B3EA" w14:textId="77777777" w:rsidR="00C7496C" w:rsidRDefault="00C7496C" w:rsidP="00C7496C">
      <w:pPr>
        <w:spacing w:line="360" w:lineRule="auto"/>
        <w:jc w:val="both"/>
        <w:rPr>
          <w:b/>
          <w:bCs/>
          <w:u w:val="single"/>
          <w:rtl/>
        </w:rPr>
      </w:pPr>
    </w:p>
    <w:p w14:paraId="317AE915" w14:textId="77777777" w:rsidR="00C7496C" w:rsidRDefault="00C7496C" w:rsidP="00C7496C">
      <w:pPr>
        <w:spacing w:line="360" w:lineRule="auto"/>
        <w:ind w:left="720"/>
        <w:jc w:val="both"/>
        <w:rPr>
          <w:rtl/>
        </w:rPr>
      </w:pPr>
      <w:r>
        <w:rPr>
          <w:rFonts w:hint="cs"/>
          <w:rtl/>
        </w:rPr>
        <w:t>ב"כ הנאשם הצטרף לדברי ב"כ המאשימה. ציין כי הצדדים ניהלו משא ומתן ממושך שכלל גישור. כתב האישום תוקן לקולה הן מבחינה עובדתית והן מבחינת העבירה שיוחסה לנאשם. הנאשם בן 22, ללא עבר פלילי. סיים 12 שנת לימוד, למד 4 שנים נוספות בירדן, סיעוד, וכיום הוא משלים את שלב ההסמכה כאח מוסמך, בישראל. הוא שהה כחודשיים במעצר ממש ולאחר מכן כחצי שנה במעצר בית. הוא מביע חרטה כנה והודאתו חסכה זמן שיפוטי. וביקש לכבד את הסדר הטיעון.</w:t>
      </w:r>
    </w:p>
    <w:p w14:paraId="534C92A2" w14:textId="77777777" w:rsidR="00C7496C" w:rsidRDefault="00C7496C" w:rsidP="00C7496C">
      <w:pPr>
        <w:spacing w:line="360" w:lineRule="auto"/>
        <w:jc w:val="both"/>
        <w:rPr>
          <w:rtl/>
        </w:rPr>
      </w:pPr>
    </w:p>
    <w:p w14:paraId="3BA2400C" w14:textId="77777777" w:rsidR="00C7496C" w:rsidRDefault="00C7496C" w:rsidP="00C7496C">
      <w:pPr>
        <w:spacing w:line="360" w:lineRule="auto"/>
        <w:ind w:firstLine="720"/>
        <w:jc w:val="both"/>
        <w:rPr>
          <w:rtl/>
        </w:rPr>
      </w:pPr>
      <w:r>
        <w:rPr>
          <w:rFonts w:hint="cs"/>
          <w:rtl/>
        </w:rPr>
        <w:t xml:space="preserve">הנאשם הביע צער על מעשיו. </w:t>
      </w:r>
    </w:p>
    <w:p w14:paraId="5A7FD51D" w14:textId="77777777" w:rsidR="00C7496C" w:rsidRDefault="00C7496C" w:rsidP="00C7496C">
      <w:pPr>
        <w:autoSpaceDE w:val="0"/>
        <w:autoSpaceDN w:val="0"/>
        <w:adjustRightInd w:val="0"/>
        <w:spacing w:line="360" w:lineRule="auto"/>
        <w:jc w:val="both"/>
        <w:rPr>
          <w:rtl/>
        </w:rPr>
      </w:pPr>
    </w:p>
    <w:p w14:paraId="751FA1AF" w14:textId="77777777" w:rsidR="00C7496C" w:rsidRDefault="00C7496C" w:rsidP="00C7496C">
      <w:pPr>
        <w:spacing w:line="360" w:lineRule="auto"/>
        <w:ind w:left="720" w:hanging="720"/>
        <w:jc w:val="both"/>
        <w:rPr>
          <w:sz w:val="28"/>
          <w:rtl/>
          <w:lang w:eastAsia="he-IL"/>
        </w:rPr>
      </w:pPr>
      <w:r>
        <w:rPr>
          <w:rFonts w:hint="cs"/>
          <w:rtl/>
        </w:rPr>
        <w:t>6.</w:t>
      </w:r>
      <w:r>
        <w:rPr>
          <w:rFonts w:hint="cs"/>
          <w:rtl/>
        </w:rPr>
        <w:tab/>
      </w:r>
      <w:r>
        <w:rPr>
          <w:rFonts w:hint="cs"/>
          <w:sz w:val="28"/>
          <w:rtl/>
          <w:lang w:eastAsia="he-IL"/>
        </w:rPr>
        <w:t xml:space="preserve">החזקת נשק ותחמושת שלא כדין הינה מעשה חמור ומסוכן, שמדיניות הענישה הנוהגת לגביו הינה של רצינות וחומרה. והלכה למעשה בתי המשפט מטילים על מי שהורשע בכך עונשי מאסר לתקופות משמעותיות, גם כשמדובר בנאשמים צעירים ללא עבר פלילי. </w:t>
      </w:r>
    </w:p>
    <w:p w14:paraId="598AA2D8" w14:textId="77777777" w:rsidR="00C7496C" w:rsidRDefault="00C7496C" w:rsidP="00C7496C">
      <w:pPr>
        <w:spacing w:line="360" w:lineRule="auto"/>
        <w:ind w:left="720" w:hanging="720"/>
        <w:jc w:val="both"/>
        <w:rPr>
          <w:sz w:val="28"/>
          <w:rtl/>
          <w:lang w:eastAsia="he-IL"/>
        </w:rPr>
      </w:pPr>
    </w:p>
    <w:p w14:paraId="36962471" w14:textId="77777777" w:rsidR="00C7496C" w:rsidRDefault="00C7496C" w:rsidP="00C7496C">
      <w:pPr>
        <w:spacing w:line="360" w:lineRule="auto"/>
        <w:ind w:left="720" w:hanging="720"/>
        <w:jc w:val="both"/>
        <w:rPr>
          <w:sz w:val="28"/>
          <w:rtl/>
          <w:lang w:eastAsia="he-IL"/>
        </w:rPr>
      </w:pPr>
      <w:r>
        <w:rPr>
          <w:rFonts w:hint="cs"/>
          <w:sz w:val="28"/>
          <w:rtl/>
          <w:lang w:eastAsia="he-IL"/>
        </w:rPr>
        <w:t>7.</w:t>
      </w:r>
      <w:r>
        <w:rPr>
          <w:rFonts w:hint="cs"/>
          <w:sz w:val="28"/>
          <w:rtl/>
          <w:lang w:eastAsia="he-IL"/>
        </w:rPr>
        <w:tab/>
        <w:t xml:space="preserve">מקרה זה יוצא דופן בחריגותו. על פי המתואר בכתב האישום שהנאשם הודה בעובדותיו, הנשק והתחמושת המדוברים היו ברכב של חברה שבה הנאשם עבד באותה עת, וביום האירוע הנאשם נהג ברכב כשאתו אחיו, מבלי לדעת על הימצאות הנשק והתחמושת בו. בשלב מסוים במהלך הנסיעה, הוא הבחין בנשק והחליט להחזיק בו וזמן קצר לאחר מכן נערך ברכב חיפוש והנשק נמצא. כך שהנאשם החזיק בנשק, שאיננו שייך לו, זמן קצר ביותר. ברקע שינוי עובדות כתב האישום ניצב קושי ראייתי של התביעה להוכיח מעבר לספק סביר שהנאשם "החזיק" בנשק. הודאת הנאשם הבטיחה לתביעה את הרשעתו וענישתו והיה בה משום ויתור מצדו על האפשרות לנהל את המשפט עד תום ולחייב את התביעה להציג ראיות מספקות להרשעתו. לכך יש להוסיף את העובדה שהנאשם שילם </w:t>
      </w:r>
      <w:r>
        <w:rPr>
          <w:rFonts w:hint="cs"/>
          <w:sz w:val="28"/>
          <w:rtl/>
          <w:lang w:eastAsia="he-IL"/>
        </w:rPr>
        <w:lastRenderedPageBreak/>
        <w:t xml:space="preserve">מחיר על מעשהו, היה במעצר למשך כחודשיים והיה תחת תנאים מגבילים במשך כ-6 חודשים; את הנתונים החיוביים של הנאשם - צעיר, ללא הרשעות קודמות, מנהל אורח חיים נורמטיבי, למד לימודי סיעוד ומתכוון לעסוק בתחום; את העובדה שהודאת הנאשם ניתנה במסגרת הסדר טיעון שבגדרו בסופו של דבר הצדדים המליצו לבית המשפט במשותף להטיל על הנאשם עונש מקל; ואת הכלל לפיו בתי המשפט נוטים לכבד הסדרי טיעון. והמסקנה העולה מהדברים הינה שיש לכבד את המלצת הצדדים לעונש. </w:t>
      </w:r>
    </w:p>
    <w:p w14:paraId="3900D313" w14:textId="77777777" w:rsidR="00C7496C" w:rsidRDefault="00C7496C" w:rsidP="00C7496C">
      <w:pPr>
        <w:spacing w:line="360" w:lineRule="auto"/>
        <w:ind w:left="720" w:hanging="720"/>
        <w:jc w:val="both"/>
        <w:rPr>
          <w:sz w:val="28"/>
          <w:rtl/>
          <w:lang w:eastAsia="he-IL"/>
        </w:rPr>
      </w:pPr>
    </w:p>
    <w:p w14:paraId="6FAE5970" w14:textId="77777777" w:rsidR="00C7496C" w:rsidRDefault="00C7496C" w:rsidP="00C7496C">
      <w:pPr>
        <w:spacing w:line="360" w:lineRule="auto"/>
        <w:ind w:left="720" w:hanging="720"/>
        <w:jc w:val="both"/>
        <w:rPr>
          <w:sz w:val="28"/>
          <w:rtl/>
          <w:lang w:eastAsia="he-IL"/>
        </w:rPr>
      </w:pPr>
      <w:r>
        <w:rPr>
          <w:rFonts w:hint="cs"/>
          <w:sz w:val="28"/>
          <w:rtl/>
          <w:lang w:eastAsia="he-IL"/>
        </w:rPr>
        <w:t>8.</w:t>
      </w:r>
      <w:r>
        <w:rPr>
          <w:rFonts w:hint="cs"/>
          <w:sz w:val="28"/>
          <w:rtl/>
          <w:lang w:eastAsia="he-IL"/>
        </w:rPr>
        <w:tab/>
        <w:t>נוכח האמור, אני מטיל על הנאשם את העונשים הבאים:</w:t>
      </w:r>
    </w:p>
    <w:p w14:paraId="0EAA2037" w14:textId="77777777" w:rsidR="00C7496C" w:rsidRDefault="00C7496C" w:rsidP="00C7496C">
      <w:pPr>
        <w:spacing w:line="360" w:lineRule="auto"/>
        <w:ind w:left="720" w:hanging="720"/>
        <w:jc w:val="both"/>
        <w:rPr>
          <w:sz w:val="28"/>
          <w:rtl/>
          <w:lang w:eastAsia="he-IL"/>
        </w:rPr>
      </w:pPr>
    </w:p>
    <w:p w14:paraId="2FA2A1A4" w14:textId="77777777" w:rsidR="00C7496C" w:rsidRDefault="00C7496C" w:rsidP="00C7496C">
      <w:pPr>
        <w:spacing w:line="360" w:lineRule="auto"/>
        <w:ind w:left="1440" w:hanging="720"/>
        <w:jc w:val="both"/>
        <w:rPr>
          <w:rFonts w:ascii="FrankRuehl" w:hAnsi="FrankRuehl"/>
          <w:color w:val="000000"/>
          <w:rtl/>
          <w:lang w:eastAsia="he-IL"/>
        </w:rPr>
      </w:pPr>
      <w:r>
        <w:rPr>
          <w:rFonts w:hint="cs"/>
          <w:sz w:val="28"/>
          <w:rtl/>
          <w:lang w:eastAsia="he-IL"/>
        </w:rPr>
        <w:t>א.</w:t>
      </w:r>
      <w:r>
        <w:rPr>
          <w:rFonts w:hint="cs"/>
          <w:sz w:val="28"/>
          <w:rtl/>
          <w:lang w:eastAsia="he-IL"/>
        </w:rPr>
        <w:tab/>
      </w:r>
      <w:r>
        <w:rPr>
          <w:rFonts w:ascii="FrankRuehl" w:hAnsi="FrankRuehl" w:hint="cs"/>
          <w:color w:val="000000"/>
          <w:rtl/>
          <w:lang w:eastAsia="he-IL"/>
        </w:rPr>
        <w:t xml:space="preserve">9 חודשי מאסר בפועל, ללא ניכוי תקופת מעצרו. הנאשם ישא את המאסר בעבודות שירות. </w:t>
      </w:r>
    </w:p>
    <w:p w14:paraId="0D1FEB3F" w14:textId="77777777" w:rsidR="00C7496C" w:rsidRDefault="00C7496C" w:rsidP="00C7496C">
      <w:pPr>
        <w:spacing w:line="360" w:lineRule="auto"/>
        <w:ind w:left="1440"/>
        <w:jc w:val="both"/>
        <w:rPr>
          <w:color w:val="000000"/>
          <w:rtl/>
          <w:lang w:eastAsia="he-IL"/>
        </w:rPr>
      </w:pPr>
      <w:r>
        <w:rPr>
          <w:rFonts w:ascii="FrankRuehl" w:hAnsi="FrankRuehl" w:hint="cs"/>
          <w:color w:val="000000"/>
          <w:rtl/>
          <w:lang w:eastAsia="he-IL"/>
        </w:rPr>
        <w:t>על הנאשם להתייצב ביום 06.04.22 עד השעה 09:00, במשרדי הממונה על עבודות השירות במפקדת מחוז דרום בשב"</w:t>
      </w:r>
      <w:r>
        <w:rPr>
          <w:rFonts w:hint="cs"/>
          <w:color w:val="000000"/>
          <w:rtl/>
          <w:lang w:eastAsia="he-IL"/>
        </w:rPr>
        <w:t xml:space="preserve">ס – במתחם בתי הכלא בבאר-שבע, לתחילת ביצוע עבודת השירות שלו. </w:t>
      </w:r>
    </w:p>
    <w:p w14:paraId="1C907B1F" w14:textId="77777777" w:rsidR="00C7496C" w:rsidRDefault="00C7496C" w:rsidP="00C7496C">
      <w:pPr>
        <w:spacing w:line="360" w:lineRule="auto"/>
        <w:ind w:left="1440" w:hanging="720"/>
        <w:jc w:val="both"/>
        <w:rPr>
          <w:rtl/>
          <w:lang w:eastAsia="he-IL"/>
        </w:rPr>
      </w:pPr>
      <w:r>
        <w:rPr>
          <w:rFonts w:hint="cs"/>
          <w:sz w:val="28"/>
          <w:rtl/>
          <w:lang w:eastAsia="he-IL"/>
        </w:rPr>
        <w:t>ב.</w:t>
      </w:r>
      <w:r>
        <w:rPr>
          <w:rFonts w:hint="cs"/>
          <w:sz w:val="28"/>
          <w:rtl/>
          <w:lang w:eastAsia="he-IL"/>
        </w:rPr>
        <w:tab/>
      </w:r>
      <w:r>
        <w:rPr>
          <w:rFonts w:hint="cs"/>
          <w:rtl/>
          <w:lang w:eastAsia="he-IL"/>
        </w:rPr>
        <w:t>9 חודשי מאסר על תנאי למשך שלוש שנים מהיום, שלא יעבור עבירת נשק המוגדרת כפשע.</w:t>
      </w:r>
    </w:p>
    <w:p w14:paraId="6DD026AE" w14:textId="77777777" w:rsidR="00C7496C" w:rsidRDefault="00C7496C" w:rsidP="00C7496C">
      <w:pPr>
        <w:spacing w:line="360" w:lineRule="auto"/>
        <w:ind w:left="1440" w:hanging="720"/>
        <w:jc w:val="both"/>
        <w:rPr>
          <w:sz w:val="28"/>
          <w:rtl/>
          <w:lang w:eastAsia="he-IL"/>
        </w:rPr>
      </w:pPr>
      <w:r>
        <w:rPr>
          <w:rFonts w:hint="cs"/>
          <w:rtl/>
          <w:lang w:eastAsia="he-IL"/>
        </w:rPr>
        <w:t>ג.</w:t>
      </w:r>
      <w:r>
        <w:rPr>
          <w:rFonts w:hint="cs"/>
          <w:rtl/>
          <w:lang w:eastAsia="he-IL"/>
        </w:rPr>
        <w:tab/>
        <w:t xml:space="preserve">קנס בסך 50,000 ₪ או 4 חודשי מאסר תחתיו. הקנס ישולם ב- 10 תשלומים חודשיים שווים ורצופים שהראשון בהם ביום 15.3.22 . תשלום שלא ישולם במועדו יעמיד את כל יתרת הסכום לפירעון מידי. </w:t>
      </w:r>
    </w:p>
    <w:p w14:paraId="6568D9EB" w14:textId="77777777" w:rsidR="00C7496C" w:rsidRDefault="00C7496C" w:rsidP="00C7496C">
      <w:pPr>
        <w:autoSpaceDE w:val="0"/>
        <w:autoSpaceDN w:val="0"/>
        <w:adjustRightInd w:val="0"/>
        <w:spacing w:line="360" w:lineRule="auto"/>
        <w:ind w:left="720" w:hanging="720"/>
        <w:jc w:val="both"/>
        <w:rPr>
          <w:rtl/>
        </w:rPr>
      </w:pPr>
    </w:p>
    <w:p w14:paraId="027CFE31" w14:textId="77777777" w:rsidR="00C7496C" w:rsidRDefault="00C7496C" w:rsidP="00C7496C">
      <w:pPr>
        <w:autoSpaceDE w:val="0"/>
        <w:autoSpaceDN w:val="0"/>
        <w:adjustRightInd w:val="0"/>
        <w:spacing w:line="360" w:lineRule="auto"/>
        <w:jc w:val="both"/>
        <w:rPr>
          <w:rtl/>
        </w:rPr>
      </w:pPr>
      <w:r>
        <w:rPr>
          <w:rFonts w:hint="cs"/>
          <w:rtl/>
        </w:rPr>
        <w:t>זכות</w:t>
      </w:r>
      <w:r>
        <w:rPr>
          <w:rFonts w:hint="cs"/>
        </w:rPr>
        <w:t xml:space="preserve"> </w:t>
      </w:r>
      <w:r>
        <w:rPr>
          <w:rFonts w:hint="cs"/>
          <w:rtl/>
        </w:rPr>
        <w:t>ערעור</w:t>
      </w:r>
      <w:r>
        <w:rPr>
          <w:rFonts w:hint="cs"/>
        </w:rPr>
        <w:t xml:space="preserve"> </w:t>
      </w:r>
      <w:r>
        <w:rPr>
          <w:rFonts w:hint="cs"/>
          <w:rtl/>
        </w:rPr>
        <w:t>תוך</w:t>
      </w:r>
      <w:r>
        <w:t xml:space="preserve"> 45 </w:t>
      </w:r>
      <w:r>
        <w:rPr>
          <w:rFonts w:hint="cs"/>
          <w:rtl/>
        </w:rPr>
        <w:t>יום</w:t>
      </w:r>
      <w:r>
        <w:rPr>
          <w:rFonts w:hint="cs"/>
        </w:rPr>
        <w:t xml:space="preserve"> </w:t>
      </w:r>
      <w:r>
        <w:rPr>
          <w:rFonts w:hint="cs"/>
          <w:rtl/>
        </w:rPr>
        <w:t>מהיום</w:t>
      </w:r>
      <w:r>
        <w:t xml:space="preserve"> .</w:t>
      </w:r>
    </w:p>
    <w:p w14:paraId="10304DE8" w14:textId="77777777" w:rsidR="00C7496C" w:rsidRDefault="00C7496C" w:rsidP="00C7496C">
      <w:pPr>
        <w:autoSpaceDE w:val="0"/>
        <w:autoSpaceDN w:val="0"/>
        <w:adjustRightInd w:val="0"/>
        <w:spacing w:line="360" w:lineRule="auto"/>
        <w:jc w:val="both"/>
        <w:rPr>
          <w:rtl/>
        </w:rPr>
      </w:pPr>
    </w:p>
    <w:p w14:paraId="2829884A" w14:textId="77777777" w:rsidR="00C7496C" w:rsidRDefault="00C7496C" w:rsidP="00C7496C">
      <w:pPr>
        <w:autoSpaceDE w:val="0"/>
        <w:autoSpaceDN w:val="0"/>
        <w:adjustRightInd w:val="0"/>
        <w:spacing w:line="360" w:lineRule="auto"/>
        <w:rPr>
          <w:sz w:val="6"/>
          <w:szCs w:val="6"/>
          <w:rtl/>
        </w:rPr>
      </w:pPr>
      <w:r>
        <w:rPr>
          <w:rFonts w:hint="cs"/>
          <w:sz w:val="6"/>
          <w:szCs w:val="6"/>
          <w:rtl/>
        </w:rPr>
        <w:t>&lt;#4#&gt;</w:t>
      </w:r>
    </w:p>
    <w:p w14:paraId="5C5E428B" w14:textId="77777777" w:rsidR="00C7496C" w:rsidRDefault="00C7496C" w:rsidP="00C7496C">
      <w:pPr>
        <w:jc w:val="right"/>
        <w:rPr>
          <w:rFonts w:ascii="David" w:eastAsia="David" w:hAnsi="David"/>
          <w:rtl/>
        </w:rPr>
      </w:pPr>
    </w:p>
    <w:p w14:paraId="272BA929" w14:textId="77777777" w:rsidR="00C7496C" w:rsidRDefault="006E4335" w:rsidP="00C7496C">
      <w:pPr>
        <w:jc w:val="right"/>
        <w:rPr>
          <w:rFonts w:ascii="David" w:hAnsi="David"/>
          <w:rtl/>
        </w:rPr>
      </w:pPr>
      <w:bookmarkStart w:id="8" w:name="Nitan"/>
      <w:r w:rsidRPr="006E4335">
        <w:rPr>
          <w:b/>
          <w:bCs/>
          <w:color w:val="FFFFFF"/>
          <w:sz w:val="2"/>
          <w:szCs w:val="2"/>
          <w:rtl/>
        </w:rPr>
        <w:t>5129371</w:t>
      </w:r>
      <w:r>
        <w:rPr>
          <w:b/>
          <w:bCs/>
          <w:rtl/>
        </w:rPr>
        <w:t xml:space="preserve">ניתנה והודעה היום י' אדר ב' תשפ"ב, 13/03/2022 במעמד הנוכחים. </w:t>
      </w:r>
      <w:bookmarkEnd w:id="8"/>
    </w:p>
    <w:tbl>
      <w:tblPr>
        <w:bidiVisual/>
        <w:tblW w:w="0" w:type="auto"/>
        <w:tblInd w:w="5245" w:type="dxa"/>
        <w:tblBorders>
          <w:insideH w:val="single" w:sz="4" w:space="0" w:color="auto"/>
          <w:insideV w:val="single" w:sz="4" w:space="0" w:color="auto"/>
        </w:tblBorders>
        <w:tblLook w:val="01E0" w:firstRow="1" w:lastRow="1" w:firstColumn="1" w:lastColumn="1" w:noHBand="0" w:noVBand="0"/>
      </w:tblPr>
      <w:tblGrid>
        <w:gridCol w:w="2840"/>
      </w:tblGrid>
      <w:tr w:rsidR="00C7496C" w14:paraId="5593C332" w14:textId="77777777" w:rsidTr="00C7496C">
        <w:trPr>
          <w:trHeight w:val="316"/>
        </w:trPr>
        <w:tc>
          <w:tcPr>
            <w:tcW w:w="2840" w:type="dxa"/>
            <w:tcBorders>
              <w:top w:val="nil"/>
              <w:left w:val="nil"/>
              <w:bottom w:val="single" w:sz="4" w:space="0" w:color="auto"/>
              <w:right w:val="nil"/>
            </w:tcBorders>
            <w:shd w:val="clear" w:color="auto" w:fill="auto"/>
          </w:tcPr>
          <w:p w14:paraId="51055B7E" w14:textId="77777777" w:rsidR="00C7496C" w:rsidRPr="006E4335" w:rsidRDefault="006E4335" w:rsidP="00C7496C">
            <w:pPr>
              <w:jc w:val="center"/>
              <w:rPr>
                <w:color w:val="FFFFFF"/>
                <w:sz w:val="2"/>
                <w:szCs w:val="2"/>
                <w:rtl/>
              </w:rPr>
            </w:pPr>
            <w:r w:rsidRPr="006E4335">
              <w:rPr>
                <w:color w:val="FFFFFF"/>
                <w:sz w:val="2"/>
                <w:szCs w:val="2"/>
                <w:rtl/>
              </w:rPr>
              <w:t>54678313</w:t>
            </w:r>
          </w:p>
        </w:tc>
      </w:tr>
      <w:tr w:rsidR="00C7496C" w14:paraId="0D3ED499" w14:textId="77777777" w:rsidTr="00C7496C">
        <w:trPr>
          <w:trHeight w:val="361"/>
        </w:trPr>
        <w:tc>
          <w:tcPr>
            <w:tcW w:w="2840" w:type="dxa"/>
            <w:tcBorders>
              <w:top w:val="single" w:sz="4" w:space="0" w:color="auto"/>
              <w:left w:val="nil"/>
              <w:bottom w:val="nil"/>
              <w:right w:val="nil"/>
            </w:tcBorders>
            <w:shd w:val="clear" w:color="auto" w:fill="auto"/>
          </w:tcPr>
          <w:p w14:paraId="20B42783" w14:textId="77777777" w:rsidR="00C7496C" w:rsidRPr="00C7496C" w:rsidRDefault="00C7496C" w:rsidP="00C7496C">
            <w:pPr>
              <w:jc w:val="center"/>
              <w:rPr>
                <w:b/>
                <w:bCs/>
                <w:rtl/>
              </w:rPr>
            </w:pPr>
            <w:r w:rsidRPr="00C7496C">
              <w:rPr>
                <w:rFonts w:hint="cs"/>
                <w:b/>
                <w:bCs/>
                <w:rtl/>
              </w:rPr>
              <w:t>אליהו ביתן, שופט</w:t>
            </w:r>
          </w:p>
          <w:p w14:paraId="3A5C97F8" w14:textId="77777777" w:rsidR="00C7496C" w:rsidRPr="00C7496C" w:rsidRDefault="00C7496C" w:rsidP="00C7496C">
            <w:pPr>
              <w:jc w:val="center"/>
              <w:rPr>
                <w:b/>
                <w:bCs/>
                <w:rtl/>
              </w:rPr>
            </w:pPr>
            <w:r w:rsidRPr="00C7496C">
              <w:rPr>
                <w:rFonts w:hint="cs"/>
                <w:b/>
                <w:bCs/>
                <w:rtl/>
              </w:rPr>
              <w:t>סגן הנשיאה</w:t>
            </w:r>
          </w:p>
        </w:tc>
      </w:tr>
    </w:tbl>
    <w:p w14:paraId="3E6E9A58" w14:textId="77777777" w:rsidR="00C7496C" w:rsidRDefault="00C7496C" w:rsidP="00C7496C">
      <w:pPr>
        <w:jc w:val="right"/>
        <w:rPr>
          <w:rFonts w:ascii="David" w:hAnsi="David"/>
          <w:rtl/>
        </w:rPr>
      </w:pPr>
    </w:p>
    <w:p w14:paraId="3423F49E" w14:textId="77777777" w:rsidR="009C59BA" w:rsidRPr="006E4335" w:rsidRDefault="009C59BA" w:rsidP="006E4335">
      <w:pPr>
        <w:keepNext/>
        <w:rPr>
          <w:rFonts w:ascii="David" w:hAnsi="David"/>
          <w:color w:val="000000"/>
          <w:sz w:val="22"/>
          <w:szCs w:val="22"/>
          <w:rtl/>
        </w:rPr>
      </w:pPr>
    </w:p>
    <w:p w14:paraId="626C1249" w14:textId="77777777" w:rsidR="006E4335" w:rsidRPr="006E4335" w:rsidRDefault="006E4335" w:rsidP="006E4335">
      <w:pPr>
        <w:keepNext/>
        <w:rPr>
          <w:rFonts w:ascii="David" w:hAnsi="David"/>
          <w:color w:val="000000"/>
          <w:sz w:val="22"/>
          <w:szCs w:val="22"/>
          <w:rtl/>
        </w:rPr>
      </w:pPr>
      <w:r w:rsidRPr="006E4335">
        <w:rPr>
          <w:rFonts w:ascii="David" w:hAnsi="David"/>
          <w:color w:val="000000"/>
          <w:sz w:val="22"/>
          <w:szCs w:val="22"/>
          <w:rtl/>
        </w:rPr>
        <w:t>אליהו ביתן 54678313</w:t>
      </w:r>
    </w:p>
    <w:p w14:paraId="67065FE5" w14:textId="77777777" w:rsidR="006E4335" w:rsidRDefault="006E4335" w:rsidP="006E4335">
      <w:r w:rsidRPr="006E4335">
        <w:rPr>
          <w:color w:val="000000"/>
          <w:rtl/>
        </w:rPr>
        <w:t>נוסח מסמך זה כפוף לשינויי ניסוח ועריכה</w:t>
      </w:r>
    </w:p>
    <w:p w14:paraId="7A99CB2D" w14:textId="77777777" w:rsidR="006E4335" w:rsidRDefault="006E4335" w:rsidP="006E4335">
      <w:pPr>
        <w:rPr>
          <w:rtl/>
        </w:rPr>
      </w:pPr>
    </w:p>
    <w:p w14:paraId="79146844" w14:textId="77777777" w:rsidR="006E4335" w:rsidRDefault="006E4335" w:rsidP="006E4335">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1EF100B3" w14:textId="77777777" w:rsidR="006E4335" w:rsidRPr="006E4335" w:rsidRDefault="006E4335" w:rsidP="006E4335">
      <w:pPr>
        <w:jc w:val="center"/>
        <w:rPr>
          <w:color w:val="0000FF"/>
          <w:u w:val="single"/>
        </w:rPr>
      </w:pPr>
    </w:p>
    <w:sectPr w:rsidR="006E4335" w:rsidRPr="006E4335" w:rsidSect="006E4335">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429DE" w14:textId="77777777" w:rsidR="002F5EB9" w:rsidRDefault="002F5EB9" w:rsidP="00456D1E">
      <w:r>
        <w:separator/>
      </w:r>
    </w:p>
  </w:endnote>
  <w:endnote w:type="continuationSeparator" w:id="0">
    <w:p w14:paraId="0715D60C" w14:textId="77777777" w:rsidR="002F5EB9" w:rsidRDefault="002F5EB9" w:rsidP="0045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A8176" w14:textId="77777777" w:rsidR="006E4335" w:rsidRDefault="006E4335" w:rsidP="006E43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F5706D" w14:textId="77777777" w:rsidR="00A016CD" w:rsidRPr="006E4335" w:rsidRDefault="006E4335" w:rsidP="006E43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82F5A" w14:textId="77777777" w:rsidR="006E4335" w:rsidRDefault="006E4335" w:rsidP="006E43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29E4">
      <w:rPr>
        <w:rFonts w:ascii="FrankRuehl" w:hAnsi="FrankRuehl" w:cs="FrankRuehl"/>
        <w:noProof/>
        <w:rtl/>
      </w:rPr>
      <w:t>1</w:t>
    </w:r>
    <w:r>
      <w:rPr>
        <w:rFonts w:ascii="FrankRuehl" w:hAnsi="FrankRuehl" w:cs="FrankRuehl"/>
        <w:rtl/>
      </w:rPr>
      <w:fldChar w:fldCharType="end"/>
    </w:r>
  </w:p>
  <w:p w14:paraId="143D6D22" w14:textId="77777777" w:rsidR="00A016CD" w:rsidRPr="006E4335" w:rsidRDefault="006E4335" w:rsidP="006E43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0D5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12788" w14:textId="77777777" w:rsidR="002F5EB9" w:rsidRDefault="002F5EB9" w:rsidP="00456D1E">
      <w:r>
        <w:separator/>
      </w:r>
    </w:p>
  </w:footnote>
  <w:footnote w:type="continuationSeparator" w:id="0">
    <w:p w14:paraId="5CD8AAAE" w14:textId="77777777" w:rsidR="002F5EB9" w:rsidRDefault="002F5EB9" w:rsidP="00456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49967" w14:textId="77777777" w:rsidR="006E4335" w:rsidRPr="006E4335" w:rsidRDefault="006E4335" w:rsidP="006E4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25017-09-20</w:t>
    </w:r>
    <w:r>
      <w:rPr>
        <w:rFonts w:ascii="David" w:hAnsi="David"/>
        <w:color w:val="000000"/>
        <w:sz w:val="22"/>
        <w:szCs w:val="22"/>
        <w:rtl/>
      </w:rPr>
      <w:tab/>
      <w:t xml:space="preserve"> מדינת ישראל נ' עלי קרעאן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98E88" w14:textId="77777777" w:rsidR="006E4335" w:rsidRPr="006E4335" w:rsidRDefault="006E4335" w:rsidP="006E4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25017-09-20</w:t>
    </w:r>
    <w:r>
      <w:rPr>
        <w:rFonts w:ascii="David" w:hAnsi="David"/>
        <w:color w:val="000000"/>
        <w:sz w:val="22"/>
        <w:szCs w:val="22"/>
        <w:rtl/>
      </w:rPr>
      <w:tab/>
      <w:t xml:space="preserve"> מדינת ישראל נ' עלי קרעאן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496C"/>
    <w:rsid w:val="001B5A3B"/>
    <w:rsid w:val="002F5EB9"/>
    <w:rsid w:val="00456D1E"/>
    <w:rsid w:val="00483637"/>
    <w:rsid w:val="006E4335"/>
    <w:rsid w:val="009C59BA"/>
    <w:rsid w:val="009D4DF6"/>
    <w:rsid w:val="00A016CD"/>
    <w:rsid w:val="00A829E4"/>
    <w:rsid w:val="00C749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01D058"/>
  <w15:chartTrackingRefBased/>
  <w15:docId w15:val="{10F1C066-31EA-4A91-85A2-983C2321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49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496C"/>
    <w:pPr>
      <w:tabs>
        <w:tab w:val="center" w:pos="4153"/>
        <w:tab w:val="right" w:pos="8306"/>
      </w:tabs>
    </w:pPr>
  </w:style>
  <w:style w:type="character" w:customStyle="1" w:styleId="a4">
    <w:name w:val="כותרת עליונה תו"/>
    <w:link w:val="a3"/>
    <w:rsid w:val="00C7496C"/>
    <w:rPr>
      <w:rFonts w:ascii="Times New Roman" w:eastAsia="Times New Roman" w:hAnsi="Times New Roman" w:cs="David"/>
      <w:sz w:val="24"/>
      <w:szCs w:val="24"/>
    </w:rPr>
  </w:style>
  <w:style w:type="paragraph" w:styleId="a5">
    <w:name w:val="footer"/>
    <w:basedOn w:val="a"/>
    <w:link w:val="a6"/>
    <w:rsid w:val="00C7496C"/>
    <w:pPr>
      <w:tabs>
        <w:tab w:val="center" w:pos="4153"/>
        <w:tab w:val="right" w:pos="8306"/>
      </w:tabs>
    </w:pPr>
  </w:style>
  <w:style w:type="character" w:customStyle="1" w:styleId="a6">
    <w:name w:val="כותרת תחתונה תו"/>
    <w:link w:val="a5"/>
    <w:rsid w:val="00C7496C"/>
    <w:rPr>
      <w:rFonts w:ascii="Times New Roman" w:eastAsia="Times New Roman" w:hAnsi="Times New Roman" w:cs="David"/>
      <w:sz w:val="24"/>
      <w:szCs w:val="24"/>
    </w:rPr>
  </w:style>
  <w:style w:type="table" w:styleId="a7">
    <w:name w:val="Table Grid"/>
    <w:basedOn w:val="a1"/>
    <w:rsid w:val="00C749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496C"/>
  </w:style>
  <w:style w:type="paragraph" w:customStyle="1" w:styleId="12">
    <w:name w:val="רגיל + ‏12 נק'"/>
    <w:aliases w:val="מיושר לשני הצדדים,מרווח בין שורות:  שורה וחצי"/>
    <w:basedOn w:val="a"/>
    <w:rsid w:val="00C7496C"/>
    <w:rPr>
      <w:b/>
      <w:bCs/>
      <w:u w:val="single"/>
    </w:rPr>
  </w:style>
  <w:style w:type="character" w:styleId="Hyperlink">
    <w:name w:val="Hyperlink"/>
    <w:rsid w:val="006E433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3764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4507</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25017</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עלי קרעאן</vt:lpwstr>
  </property>
  <property fmtid="{D5CDD505-2E9C-101B-9397-08002B2CF9AE}" pid="10" name="LAWYER">
    <vt:lpwstr>הדס עמר;ויקטור אוזן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20220313</vt:lpwstr>
  </property>
  <property fmtid="{D5CDD505-2E9C-101B-9397-08002B2CF9AE}" pid="14" name="TYPE_N_DATE">
    <vt:lpwstr>39020220313</vt:lpwstr>
  </property>
  <property fmtid="{D5CDD505-2E9C-101B-9397-08002B2CF9AE}" pid="15" name="WORDNUMPAGES">
    <vt:lpwstr>3</vt:lpwstr>
  </property>
  <property fmtid="{D5CDD505-2E9C-101B-9397-08002B2CF9AE}" pid="16" name="TYPE_ABS_DATE">
    <vt:lpwstr>390020220313</vt:lpwstr>
  </property>
  <property fmtid="{D5CDD505-2E9C-101B-9397-08002B2CF9AE}" pid="17" name="ISABSTRACT">
    <vt:lpwstr>Y</vt:lpwstr>
  </property>
  <property fmtid="{D5CDD505-2E9C-101B-9397-08002B2CF9AE}" pid="18" name="LAWLISTTMP1">
    <vt:lpwstr>70301/144.a</vt:lpwstr>
  </property>
</Properties>
</file>