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AF3494" w:rsidRPr="00A164F1" w14:paraId="7E8CBC44" w14:textId="77777777" w:rsidTr="001D6107">
        <w:trPr>
          <w:trHeight w:hRule="exact" w:val="418"/>
          <w:jc w:val="center"/>
        </w:trPr>
        <w:tc>
          <w:tcPr>
            <w:tcW w:w="8721" w:type="dxa"/>
            <w:gridSpan w:val="2"/>
          </w:tcPr>
          <w:p w14:paraId="550A1321" w14:textId="77777777" w:rsidR="00AF3494" w:rsidRPr="00A164F1" w:rsidRDefault="00AF3494" w:rsidP="002F1DF4">
            <w:pPr>
              <w:pStyle w:val="a3"/>
              <w:jc w:val="center"/>
              <w:rPr>
                <w:rFonts w:ascii="Tahoma" w:hAnsi="Tahoma" w:cs="Tahoma"/>
                <w:color w:val="000080"/>
                <w:rtl/>
              </w:rPr>
            </w:pPr>
            <w:bookmarkStart w:id="0" w:name="LastJudge"/>
            <w:r w:rsidRPr="00A164F1">
              <w:rPr>
                <w:rFonts w:ascii="Tahoma" w:hAnsi="Tahoma" w:cs="Tahoma"/>
                <w:b/>
                <w:bCs/>
                <w:color w:val="000080"/>
                <w:rtl/>
              </w:rPr>
              <w:t>בית המשפט המחוזי בחיפה</w:t>
            </w:r>
          </w:p>
        </w:tc>
      </w:tr>
      <w:tr w:rsidR="00AF3494" w:rsidRPr="00A164F1" w14:paraId="74D27A23" w14:textId="77777777" w:rsidTr="001D6107">
        <w:trPr>
          <w:trHeight w:val="337"/>
          <w:jc w:val="center"/>
        </w:trPr>
        <w:tc>
          <w:tcPr>
            <w:tcW w:w="5059" w:type="dxa"/>
          </w:tcPr>
          <w:p w14:paraId="781F7064" w14:textId="77777777" w:rsidR="00AF3494" w:rsidRPr="00A164F1" w:rsidRDefault="00AF3494" w:rsidP="002F1DF4">
            <w:pPr>
              <w:rPr>
                <w:rFonts w:cs="FrankRuehl"/>
                <w:sz w:val="28"/>
                <w:szCs w:val="28"/>
                <w:rtl/>
              </w:rPr>
            </w:pPr>
            <w:r w:rsidRPr="00A164F1">
              <w:rPr>
                <w:rFonts w:cs="FrankRuehl"/>
                <w:sz w:val="28"/>
                <w:szCs w:val="28"/>
                <w:rtl/>
              </w:rPr>
              <w:t>ת"פ</w:t>
            </w:r>
            <w:r w:rsidRPr="00A164F1">
              <w:rPr>
                <w:rFonts w:cs="FrankRuehl" w:hint="cs"/>
                <w:sz w:val="28"/>
                <w:szCs w:val="28"/>
                <w:rtl/>
              </w:rPr>
              <w:t xml:space="preserve"> </w:t>
            </w:r>
            <w:r w:rsidRPr="00A164F1">
              <w:rPr>
                <w:rFonts w:cs="FrankRuehl"/>
                <w:sz w:val="28"/>
                <w:szCs w:val="28"/>
                <w:rtl/>
              </w:rPr>
              <w:t>42324-09-20</w:t>
            </w:r>
            <w:r w:rsidRPr="00A164F1">
              <w:rPr>
                <w:rFonts w:cs="FrankRuehl" w:hint="cs"/>
                <w:sz w:val="28"/>
                <w:szCs w:val="28"/>
                <w:rtl/>
              </w:rPr>
              <w:t xml:space="preserve"> </w:t>
            </w:r>
            <w:r w:rsidRPr="00A164F1">
              <w:rPr>
                <w:rFonts w:cs="FrankRuehl"/>
                <w:sz w:val="28"/>
                <w:szCs w:val="28"/>
                <w:rtl/>
              </w:rPr>
              <w:t>מדינת ישראל נ' ואפיק ג'בארין(עציר)</w:t>
            </w:r>
          </w:p>
          <w:p w14:paraId="6927978C" w14:textId="77777777" w:rsidR="00AF3494" w:rsidRPr="00A164F1" w:rsidRDefault="00AF3494" w:rsidP="002F1DF4">
            <w:pPr>
              <w:pStyle w:val="a3"/>
              <w:rPr>
                <w:rFonts w:cs="FrankRuehl"/>
                <w:sz w:val="28"/>
                <w:szCs w:val="28"/>
                <w:rtl/>
              </w:rPr>
            </w:pPr>
          </w:p>
        </w:tc>
        <w:tc>
          <w:tcPr>
            <w:tcW w:w="3662" w:type="dxa"/>
          </w:tcPr>
          <w:p w14:paraId="2EEDD35E" w14:textId="77777777" w:rsidR="00AF3494" w:rsidRPr="00A164F1" w:rsidRDefault="00AF3494" w:rsidP="002F1DF4">
            <w:pPr>
              <w:pStyle w:val="a3"/>
              <w:jc w:val="right"/>
              <w:rPr>
                <w:rFonts w:cs="FrankRuehl"/>
                <w:sz w:val="28"/>
                <w:szCs w:val="28"/>
                <w:rtl/>
              </w:rPr>
            </w:pPr>
          </w:p>
        </w:tc>
      </w:tr>
    </w:tbl>
    <w:p w14:paraId="49A48B5F" w14:textId="77777777" w:rsidR="00AF3494" w:rsidRPr="00A164F1" w:rsidRDefault="00AF3494" w:rsidP="00AF3494">
      <w:pPr>
        <w:pStyle w:val="a3"/>
        <w:rPr>
          <w:rtl/>
        </w:rPr>
      </w:pPr>
      <w:r w:rsidRPr="00A164F1">
        <w:rPr>
          <w:rFonts w:hint="cs"/>
          <w:rtl/>
        </w:rPr>
        <w:t xml:space="preserve"> </w:t>
      </w:r>
    </w:p>
    <w:p w14:paraId="4883A2B0" w14:textId="77777777" w:rsidR="00AF3494" w:rsidRPr="00A164F1" w:rsidRDefault="00AF3494" w:rsidP="00AF3494">
      <w:pPr>
        <w:spacing w:line="360" w:lineRule="auto"/>
        <w:rPr>
          <w:rFonts w:ascii="David" w:hAnsi="David"/>
          <w:rtl/>
        </w:rPr>
      </w:pPr>
    </w:p>
    <w:p w14:paraId="7D051858" w14:textId="77777777" w:rsidR="00AF3494" w:rsidRPr="00A164F1" w:rsidRDefault="00AF3494" w:rsidP="00AF3494">
      <w:pPr>
        <w:spacing w:line="360" w:lineRule="auto"/>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F3494" w:rsidRPr="00A164F1" w14:paraId="1181A9BC" w14:textId="77777777" w:rsidTr="00AF3494">
        <w:trPr>
          <w:trHeight w:val="295"/>
          <w:jc w:val="center"/>
        </w:trPr>
        <w:tc>
          <w:tcPr>
            <w:tcW w:w="923" w:type="dxa"/>
            <w:tcBorders>
              <w:top w:val="nil"/>
              <w:left w:val="nil"/>
              <w:bottom w:val="nil"/>
              <w:right w:val="nil"/>
            </w:tcBorders>
            <w:shd w:val="clear" w:color="auto" w:fill="auto"/>
          </w:tcPr>
          <w:p w14:paraId="4783E313" w14:textId="77777777" w:rsidR="00AF3494" w:rsidRPr="00A164F1" w:rsidRDefault="00AF3494" w:rsidP="00AF3494">
            <w:pPr>
              <w:jc w:val="both"/>
              <w:rPr>
                <w:rFonts w:ascii="David" w:hAnsi="David"/>
                <w:b/>
                <w:bCs/>
                <w:sz w:val="26"/>
                <w:szCs w:val="26"/>
              </w:rPr>
            </w:pPr>
            <w:r w:rsidRPr="00A164F1">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29AB3A87" w14:textId="77777777" w:rsidR="00AF3494" w:rsidRPr="00A164F1" w:rsidRDefault="00AF3494" w:rsidP="002F1DF4">
            <w:pPr>
              <w:rPr>
                <w:rFonts w:ascii="David" w:hAnsi="David"/>
                <w:b/>
                <w:bCs/>
                <w:sz w:val="26"/>
                <w:szCs w:val="26"/>
                <w:rtl/>
              </w:rPr>
            </w:pPr>
            <w:r w:rsidRPr="00A164F1">
              <w:rPr>
                <w:rFonts w:ascii="David" w:hAnsi="David"/>
                <w:b/>
                <w:bCs/>
                <w:sz w:val="26"/>
                <w:szCs w:val="26"/>
                <w:rtl/>
              </w:rPr>
              <w:t>כבוד השופט  נאסר ג'השאן</w:t>
            </w:r>
          </w:p>
          <w:p w14:paraId="28F112BA" w14:textId="77777777" w:rsidR="00AF3494" w:rsidRPr="00A164F1" w:rsidRDefault="00AF3494" w:rsidP="002F1DF4">
            <w:pPr>
              <w:rPr>
                <w:rFonts w:ascii="David" w:hAnsi="David"/>
                <w:sz w:val="26"/>
                <w:szCs w:val="26"/>
                <w:rtl/>
              </w:rPr>
            </w:pPr>
          </w:p>
          <w:p w14:paraId="43684090" w14:textId="77777777" w:rsidR="00AF3494" w:rsidRPr="00A164F1" w:rsidRDefault="00AF3494" w:rsidP="00AF3494">
            <w:pPr>
              <w:jc w:val="both"/>
              <w:rPr>
                <w:rFonts w:ascii="David" w:hAnsi="David"/>
                <w:sz w:val="26"/>
                <w:szCs w:val="26"/>
              </w:rPr>
            </w:pPr>
          </w:p>
        </w:tc>
      </w:tr>
      <w:tr w:rsidR="00AF3494" w:rsidRPr="00A164F1" w14:paraId="6F7770F0" w14:textId="77777777" w:rsidTr="00AF3494">
        <w:trPr>
          <w:trHeight w:val="355"/>
          <w:jc w:val="center"/>
        </w:trPr>
        <w:tc>
          <w:tcPr>
            <w:tcW w:w="923" w:type="dxa"/>
            <w:tcBorders>
              <w:top w:val="nil"/>
              <w:left w:val="nil"/>
              <w:bottom w:val="nil"/>
              <w:right w:val="nil"/>
            </w:tcBorders>
            <w:shd w:val="clear" w:color="auto" w:fill="auto"/>
          </w:tcPr>
          <w:p w14:paraId="36594779" w14:textId="77777777" w:rsidR="00AF3494" w:rsidRPr="00A164F1" w:rsidRDefault="00AF3494" w:rsidP="00AF3494">
            <w:pPr>
              <w:jc w:val="both"/>
              <w:rPr>
                <w:rFonts w:ascii="David" w:hAnsi="David"/>
                <w:b/>
                <w:bCs/>
                <w:sz w:val="26"/>
                <w:szCs w:val="26"/>
              </w:rPr>
            </w:pPr>
            <w:bookmarkStart w:id="1" w:name="FirstAppellant"/>
            <w:r w:rsidRPr="00A164F1">
              <w:rPr>
                <w:rFonts w:ascii="David" w:hAnsi="David"/>
                <w:b/>
                <w:bCs/>
                <w:sz w:val="26"/>
                <w:szCs w:val="26"/>
                <w:rtl/>
              </w:rPr>
              <w:t>בעניין:</w:t>
            </w:r>
          </w:p>
        </w:tc>
        <w:tc>
          <w:tcPr>
            <w:tcW w:w="3219" w:type="dxa"/>
            <w:tcBorders>
              <w:top w:val="nil"/>
              <w:left w:val="nil"/>
              <w:bottom w:val="nil"/>
              <w:right w:val="nil"/>
            </w:tcBorders>
            <w:shd w:val="clear" w:color="auto" w:fill="auto"/>
          </w:tcPr>
          <w:p w14:paraId="1A17ACF3" w14:textId="77777777" w:rsidR="00AF3494" w:rsidRPr="00A164F1" w:rsidRDefault="00AF3494" w:rsidP="00AF3494">
            <w:pPr>
              <w:suppressLineNumbers/>
            </w:pPr>
            <w:r w:rsidRPr="00A164F1">
              <w:rPr>
                <w:rFonts w:ascii="Arial" w:hAnsi="Arial" w:hint="cs"/>
                <w:b/>
                <w:bCs/>
                <w:sz w:val="26"/>
                <w:szCs w:val="26"/>
                <w:rtl/>
              </w:rPr>
              <w:t>ה</w:t>
            </w:r>
            <w:r w:rsidRPr="00A164F1">
              <w:rPr>
                <w:rFonts w:ascii="Arial" w:hAnsi="Arial"/>
                <w:b/>
                <w:bCs/>
                <w:sz w:val="26"/>
                <w:szCs w:val="26"/>
                <w:rtl/>
              </w:rPr>
              <w:t>מאשימה</w:t>
            </w:r>
          </w:p>
          <w:p w14:paraId="19529E67" w14:textId="77777777" w:rsidR="00AF3494" w:rsidRPr="00A164F1" w:rsidRDefault="00AF3494" w:rsidP="002F1DF4">
            <w:pPr>
              <w:rPr>
                <w:rFonts w:ascii="David" w:hAnsi="David"/>
                <w:sz w:val="26"/>
                <w:szCs w:val="26"/>
              </w:rPr>
            </w:pPr>
          </w:p>
        </w:tc>
        <w:tc>
          <w:tcPr>
            <w:tcW w:w="4678" w:type="dxa"/>
            <w:tcBorders>
              <w:top w:val="nil"/>
              <w:left w:val="nil"/>
              <w:bottom w:val="nil"/>
              <w:right w:val="nil"/>
            </w:tcBorders>
            <w:shd w:val="clear" w:color="auto" w:fill="auto"/>
            <w:vAlign w:val="center"/>
          </w:tcPr>
          <w:p w14:paraId="11938AC5" w14:textId="77777777" w:rsidR="00AF3494" w:rsidRPr="00A164F1" w:rsidRDefault="00AF3494" w:rsidP="00AF3494">
            <w:pPr>
              <w:suppressLineNumbers/>
            </w:pPr>
            <w:r w:rsidRPr="00A164F1">
              <w:rPr>
                <w:rFonts w:ascii="Arial" w:hAnsi="Arial"/>
                <w:b/>
                <w:bCs/>
                <w:sz w:val="26"/>
                <w:szCs w:val="26"/>
                <w:rtl/>
              </w:rPr>
              <w:t>מדינת ישראל</w:t>
            </w:r>
          </w:p>
          <w:p w14:paraId="643F67A1" w14:textId="77777777" w:rsidR="00AF3494" w:rsidRPr="00A164F1" w:rsidRDefault="00AF3494" w:rsidP="002F1DF4">
            <w:pPr>
              <w:rPr>
                <w:rFonts w:ascii="David" w:hAnsi="David"/>
                <w:sz w:val="26"/>
                <w:szCs w:val="26"/>
              </w:rPr>
            </w:pPr>
          </w:p>
        </w:tc>
      </w:tr>
      <w:bookmarkEnd w:id="1"/>
      <w:tr w:rsidR="00AF3494" w:rsidRPr="00A164F1" w14:paraId="499D5D79" w14:textId="77777777" w:rsidTr="00AF3494">
        <w:trPr>
          <w:trHeight w:val="355"/>
          <w:jc w:val="center"/>
        </w:trPr>
        <w:tc>
          <w:tcPr>
            <w:tcW w:w="923" w:type="dxa"/>
            <w:tcBorders>
              <w:top w:val="nil"/>
              <w:left w:val="nil"/>
              <w:bottom w:val="nil"/>
              <w:right w:val="nil"/>
            </w:tcBorders>
            <w:shd w:val="clear" w:color="auto" w:fill="auto"/>
          </w:tcPr>
          <w:p w14:paraId="5434A524" w14:textId="77777777" w:rsidR="00AF3494" w:rsidRPr="00A164F1" w:rsidRDefault="00AF3494" w:rsidP="00AF3494">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2B03CF5" w14:textId="77777777" w:rsidR="00AF3494" w:rsidRPr="00A164F1" w:rsidRDefault="00AF3494" w:rsidP="00AF3494">
            <w:pPr>
              <w:jc w:val="center"/>
              <w:rPr>
                <w:rFonts w:ascii="David" w:hAnsi="David"/>
                <w:b/>
                <w:bCs/>
                <w:sz w:val="26"/>
                <w:szCs w:val="26"/>
                <w:rtl/>
              </w:rPr>
            </w:pPr>
          </w:p>
          <w:p w14:paraId="3E1F458A" w14:textId="77777777" w:rsidR="00AF3494" w:rsidRPr="00A164F1" w:rsidRDefault="00AF3494" w:rsidP="00AF3494">
            <w:pPr>
              <w:jc w:val="center"/>
              <w:rPr>
                <w:rFonts w:ascii="David" w:hAnsi="David"/>
                <w:b/>
                <w:bCs/>
                <w:sz w:val="26"/>
                <w:szCs w:val="26"/>
                <w:rtl/>
              </w:rPr>
            </w:pPr>
            <w:r w:rsidRPr="00A164F1">
              <w:rPr>
                <w:rFonts w:ascii="David" w:hAnsi="David"/>
                <w:b/>
                <w:bCs/>
                <w:sz w:val="26"/>
                <w:szCs w:val="26"/>
                <w:rtl/>
              </w:rPr>
              <w:t>נגד</w:t>
            </w:r>
          </w:p>
          <w:p w14:paraId="50BBA45D" w14:textId="77777777" w:rsidR="00AF3494" w:rsidRPr="00A164F1" w:rsidRDefault="00AF3494" w:rsidP="00AF3494">
            <w:pPr>
              <w:jc w:val="both"/>
              <w:rPr>
                <w:rFonts w:ascii="David" w:hAnsi="David"/>
                <w:sz w:val="26"/>
                <w:szCs w:val="26"/>
              </w:rPr>
            </w:pPr>
          </w:p>
        </w:tc>
      </w:tr>
      <w:tr w:rsidR="00AF3494" w:rsidRPr="00A164F1" w14:paraId="46C65C0F" w14:textId="77777777" w:rsidTr="00AF3494">
        <w:trPr>
          <w:trHeight w:val="355"/>
          <w:jc w:val="center"/>
        </w:trPr>
        <w:tc>
          <w:tcPr>
            <w:tcW w:w="923" w:type="dxa"/>
            <w:tcBorders>
              <w:top w:val="nil"/>
              <w:left w:val="nil"/>
              <w:bottom w:val="nil"/>
              <w:right w:val="nil"/>
            </w:tcBorders>
            <w:shd w:val="clear" w:color="auto" w:fill="auto"/>
          </w:tcPr>
          <w:p w14:paraId="3517D50E" w14:textId="77777777" w:rsidR="00AF3494" w:rsidRPr="00A164F1" w:rsidRDefault="00AF3494" w:rsidP="002F1DF4">
            <w:pPr>
              <w:rPr>
                <w:rFonts w:ascii="David" w:hAnsi="David"/>
                <w:sz w:val="26"/>
                <w:szCs w:val="26"/>
                <w:rtl/>
              </w:rPr>
            </w:pPr>
          </w:p>
        </w:tc>
        <w:tc>
          <w:tcPr>
            <w:tcW w:w="3219" w:type="dxa"/>
            <w:tcBorders>
              <w:top w:val="nil"/>
              <w:left w:val="nil"/>
              <w:bottom w:val="nil"/>
              <w:right w:val="nil"/>
            </w:tcBorders>
            <w:shd w:val="clear" w:color="auto" w:fill="auto"/>
          </w:tcPr>
          <w:p w14:paraId="6E555BB7" w14:textId="77777777" w:rsidR="00AF3494" w:rsidRPr="00A164F1" w:rsidRDefault="00AF3494" w:rsidP="002F1DF4">
            <w:pPr>
              <w:rPr>
                <w:rFonts w:ascii="Arial" w:hAnsi="Arial"/>
                <w:b/>
                <w:bCs/>
                <w:sz w:val="26"/>
                <w:szCs w:val="26"/>
                <w:rtl/>
              </w:rPr>
            </w:pPr>
            <w:r w:rsidRPr="00A164F1">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BAC6F51" w14:textId="77777777" w:rsidR="00AF3494" w:rsidRPr="00A164F1" w:rsidRDefault="00AF3494" w:rsidP="00AF3494">
            <w:pPr>
              <w:suppressLineNumbers/>
            </w:pPr>
            <w:r w:rsidRPr="00A164F1">
              <w:rPr>
                <w:rFonts w:ascii="Arial" w:hAnsi="Arial"/>
                <w:b/>
                <w:bCs/>
                <w:sz w:val="26"/>
                <w:szCs w:val="26"/>
                <w:rtl/>
              </w:rPr>
              <w:t>בלאל ואפיק ג'בארין (עציר)</w:t>
            </w:r>
          </w:p>
          <w:p w14:paraId="01376FBD" w14:textId="77777777" w:rsidR="00AF3494" w:rsidRPr="00A164F1" w:rsidRDefault="00AF3494" w:rsidP="002F1DF4">
            <w:pPr>
              <w:rPr>
                <w:rFonts w:ascii="David" w:hAnsi="David"/>
                <w:sz w:val="26"/>
                <w:szCs w:val="26"/>
              </w:rPr>
            </w:pPr>
          </w:p>
        </w:tc>
      </w:tr>
    </w:tbl>
    <w:p w14:paraId="42C68058" w14:textId="77777777" w:rsidR="00A164F1" w:rsidRPr="00A164F1" w:rsidRDefault="00A164F1" w:rsidP="00A164F1">
      <w:pPr>
        <w:spacing w:before="120" w:after="120" w:line="240" w:lineRule="exact"/>
        <w:ind w:left="283" w:hanging="283"/>
        <w:jc w:val="both"/>
        <w:rPr>
          <w:rFonts w:ascii="FrankRuehl" w:hAnsi="FrankRuehl" w:cs="FrankRuehl"/>
          <w:rtl/>
        </w:rPr>
      </w:pPr>
    </w:p>
    <w:p w14:paraId="54368D8E" w14:textId="77777777" w:rsidR="00C8032B" w:rsidRDefault="00C8032B" w:rsidP="00C8032B">
      <w:pPr>
        <w:rPr>
          <w:rtl/>
        </w:rPr>
      </w:pPr>
      <w:bookmarkStart w:id="2" w:name="LawTable"/>
      <w:bookmarkEnd w:id="2"/>
    </w:p>
    <w:p w14:paraId="4BE15568" w14:textId="77777777" w:rsidR="00C8032B" w:rsidRPr="00C8032B" w:rsidRDefault="00C8032B" w:rsidP="00C8032B">
      <w:pPr>
        <w:spacing w:before="120" w:after="120" w:line="240" w:lineRule="exact"/>
        <w:ind w:left="283" w:hanging="283"/>
        <w:jc w:val="both"/>
        <w:rPr>
          <w:rFonts w:ascii="FrankRuehl" w:hAnsi="FrankRuehl" w:cs="FrankRuehl"/>
          <w:rtl/>
        </w:rPr>
      </w:pPr>
    </w:p>
    <w:p w14:paraId="1E9641F0" w14:textId="77777777" w:rsidR="00C8032B" w:rsidRPr="00C8032B" w:rsidRDefault="00C8032B" w:rsidP="00C8032B">
      <w:pPr>
        <w:spacing w:before="120" w:after="120" w:line="240" w:lineRule="exact"/>
        <w:ind w:left="283" w:hanging="283"/>
        <w:jc w:val="both"/>
        <w:rPr>
          <w:rFonts w:ascii="FrankRuehl" w:hAnsi="FrankRuehl" w:cs="FrankRuehl"/>
          <w:rtl/>
        </w:rPr>
      </w:pPr>
    </w:p>
    <w:p w14:paraId="056C4EC9" w14:textId="77777777" w:rsidR="00C8032B" w:rsidRPr="00C8032B" w:rsidRDefault="00C8032B" w:rsidP="00C8032B">
      <w:pPr>
        <w:spacing w:before="120" w:after="120" w:line="240" w:lineRule="exact"/>
        <w:ind w:left="283" w:hanging="283"/>
        <w:jc w:val="both"/>
        <w:rPr>
          <w:rFonts w:ascii="FrankRuehl" w:hAnsi="FrankRuehl" w:cs="FrankRuehl"/>
          <w:rtl/>
        </w:rPr>
      </w:pPr>
      <w:r w:rsidRPr="00C8032B">
        <w:rPr>
          <w:rFonts w:ascii="FrankRuehl" w:hAnsi="FrankRuehl" w:cs="FrankRuehl"/>
          <w:rtl/>
        </w:rPr>
        <w:t xml:space="preserve">חקיקה שאוזכרה: </w:t>
      </w:r>
    </w:p>
    <w:p w14:paraId="27172A25" w14:textId="77777777" w:rsidR="00C8032B" w:rsidRPr="00C8032B" w:rsidRDefault="00C8032B" w:rsidP="00C8032B">
      <w:pPr>
        <w:spacing w:before="120" w:after="120" w:line="240" w:lineRule="exact"/>
        <w:ind w:left="283" w:hanging="283"/>
        <w:jc w:val="both"/>
        <w:rPr>
          <w:rFonts w:ascii="FrankRuehl" w:hAnsi="FrankRuehl" w:cs="FrankRuehl"/>
          <w:rtl/>
        </w:rPr>
      </w:pPr>
      <w:hyperlink r:id="rId7" w:history="1">
        <w:r w:rsidRPr="00C8032B">
          <w:rPr>
            <w:rFonts w:ascii="FrankRuehl" w:hAnsi="FrankRuehl" w:cs="FrankRuehl"/>
            <w:color w:val="0000FF"/>
            <w:rtl/>
          </w:rPr>
          <w:t>חוק העונשין, תשל"ז-1977</w:t>
        </w:r>
      </w:hyperlink>
      <w:r w:rsidRPr="00C8032B">
        <w:rPr>
          <w:rFonts w:ascii="FrankRuehl" w:hAnsi="FrankRuehl" w:cs="FrankRuehl"/>
          <w:rtl/>
        </w:rPr>
        <w:t xml:space="preserve">: סע'  </w:t>
      </w:r>
      <w:hyperlink r:id="rId8" w:history="1">
        <w:r w:rsidRPr="00C8032B">
          <w:rPr>
            <w:rFonts w:ascii="FrankRuehl" w:hAnsi="FrankRuehl" w:cs="FrankRuehl"/>
            <w:color w:val="0000FF"/>
            <w:rtl/>
          </w:rPr>
          <w:t>40ב</w:t>
        </w:r>
      </w:hyperlink>
      <w:r w:rsidRPr="00C8032B">
        <w:rPr>
          <w:rFonts w:ascii="FrankRuehl" w:hAnsi="FrankRuehl" w:cs="FrankRuehl"/>
          <w:rtl/>
        </w:rPr>
        <w:t xml:space="preserve">, </w:t>
      </w:r>
      <w:hyperlink r:id="rId9" w:history="1">
        <w:r w:rsidRPr="00C8032B">
          <w:rPr>
            <w:rFonts w:ascii="FrankRuehl" w:hAnsi="FrankRuehl" w:cs="FrankRuehl"/>
            <w:color w:val="0000FF"/>
            <w:rtl/>
          </w:rPr>
          <w:t>40ג</w:t>
        </w:r>
      </w:hyperlink>
      <w:r w:rsidRPr="00C8032B">
        <w:rPr>
          <w:rFonts w:ascii="FrankRuehl" w:hAnsi="FrankRuehl" w:cs="FrankRuehl"/>
          <w:rtl/>
        </w:rPr>
        <w:t xml:space="preserve">, </w:t>
      </w:r>
      <w:hyperlink r:id="rId10" w:history="1">
        <w:r w:rsidRPr="00C8032B">
          <w:rPr>
            <w:rFonts w:ascii="FrankRuehl" w:hAnsi="FrankRuehl" w:cs="FrankRuehl"/>
            <w:color w:val="0000FF"/>
            <w:rtl/>
          </w:rPr>
          <w:t>144(א)</w:t>
        </w:r>
      </w:hyperlink>
      <w:r w:rsidRPr="00C8032B">
        <w:rPr>
          <w:rFonts w:ascii="FrankRuehl" w:hAnsi="FrankRuehl" w:cs="FrankRuehl"/>
          <w:rtl/>
        </w:rPr>
        <w:t xml:space="preserve">, </w:t>
      </w:r>
      <w:hyperlink r:id="rId11" w:history="1">
        <w:r w:rsidRPr="00C8032B">
          <w:rPr>
            <w:rFonts w:ascii="FrankRuehl" w:hAnsi="FrankRuehl" w:cs="FrankRuehl"/>
            <w:color w:val="0000FF"/>
            <w:rtl/>
          </w:rPr>
          <w:t>144(ב2)</w:t>
        </w:r>
      </w:hyperlink>
      <w:r w:rsidRPr="00C8032B">
        <w:rPr>
          <w:rFonts w:ascii="FrankRuehl" w:hAnsi="FrankRuehl" w:cs="FrankRuehl"/>
          <w:rtl/>
        </w:rPr>
        <w:t xml:space="preserve">, </w:t>
      </w:r>
      <w:hyperlink r:id="rId12" w:history="1">
        <w:r w:rsidRPr="00C8032B">
          <w:rPr>
            <w:rFonts w:ascii="FrankRuehl" w:hAnsi="FrankRuehl" w:cs="FrankRuehl"/>
            <w:color w:val="0000FF"/>
            <w:rtl/>
          </w:rPr>
          <w:t>192</w:t>
        </w:r>
      </w:hyperlink>
      <w:r w:rsidRPr="00C8032B">
        <w:rPr>
          <w:rFonts w:ascii="FrankRuehl" w:hAnsi="FrankRuehl" w:cs="FrankRuehl"/>
          <w:rtl/>
        </w:rPr>
        <w:t xml:space="preserve">, </w:t>
      </w:r>
      <w:hyperlink r:id="rId13" w:history="1">
        <w:r w:rsidRPr="00C8032B">
          <w:rPr>
            <w:rFonts w:ascii="FrankRuehl" w:hAnsi="FrankRuehl" w:cs="FrankRuehl"/>
            <w:color w:val="0000FF"/>
            <w:rtl/>
          </w:rPr>
          <w:t>329(א)(2)</w:t>
        </w:r>
      </w:hyperlink>
      <w:r w:rsidRPr="00C8032B">
        <w:rPr>
          <w:rFonts w:ascii="FrankRuehl" w:hAnsi="FrankRuehl" w:cs="FrankRuehl"/>
          <w:rtl/>
        </w:rPr>
        <w:t xml:space="preserve">, </w:t>
      </w:r>
      <w:hyperlink r:id="rId14" w:history="1">
        <w:r w:rsidRPr="00C8032B">
          <w:rPr>
            <w:rFonts w:ascii="FrankRuehl" w:hAnsi="FrankRuehl" w:cs="FrankRuehl"/>
            <w:color w:val="0000FF"/>
            <w:rtl/>
          </w:rPr>
          <w:t>380</w:t>
        </w:r>
      </w:hyperlink>
    </w:p>
    <w:p w14:paraId="3EB89EF7" w14:textId="77777777" w:rsidR="00C8032B" w:rsidRPr="00C8032B" w:rsidRDefault="00C8032B" w:rsidP="00C8032B">
      <w:pPr>
        <w:rPr>
          <w:rtl/>
        </w:rPr>
      </w:pPr>
      <w:bookmarkStart w:id="3" w:name="LawTable_End"/>
      <w:bookmarkEnd w:id="3"/>
    </w:p>
    <w:p w14:paraId="4BB7352F" w14:textId="77777777" w:rsidR="00A164F1" w:rsidRPr="001D6107" w:rsidRDefault="00A164F1" w:rsidP="001D610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F3494" w:rsidRPr="009E5031" w14:paraId="0DA57686" w14:textId="77777777" w:rsidTr="00AF3494">
        <w:trPr>
          <w:trHeight w:val="355"/>
          <w:jc w:val="center"/>
        </w:trPr>
        <w:tc>
          <w:tcPr>
            <w:tcW w:w="8820" w:type="dxa"/>
            <w:tcBorders>
              <w:top w:val="nil"/>
              <w:left w:val="nil"/>
              <w:bottom w:val="nil"/>
              <w:right w:val="nil"/>
            </w:tcBorders>
            <w:shd w:val="clear" w:color="auto" w:fill="auto"/>
          </w:tcPr>
          <w:p w14:paraId="4E80228A" w14:textId="77777777" w:rsidR="00A164F1" w:rsidRPr="00A164F1" w:rsidRDefault="00A164F1" w:rsidP="00A164F1">
            <w:pPr>
              <w:jc w:val="center"/>
              <w:rPr>
                <w:rFonts w:ascii="David" w:hAnsi="David"/>
                <w:b/>
                <w:bCs/>
                <w:sz w:val="32"/>
                <w:szCs w:val="32"/>
                <w:rtl/>
              </w:rPr>
            </w:pPr>
            <w:bookmarkStart w:id="4" w:name="PsakDin" w:colFirst="0" w:colLast="0"/>
            <w:bookmarkEnd w:id="0"/>
            <w:r w:rsidRPr="00A164F1">
              <w:rPr>
                <w:rFonts w:ascii="David" w:hAnsi="David"/>
                <w:b/>
                <w:bCs/>
                <w:sz w:val="32"/>
                <w:szCs w:val="32"/>
                <w:rtl/>
              </w:rPr>
              <w:t>גזר דין</w:t>
            </w:r>
          </w:p>
          <w:p w14:paraId="24B9F980" w14:textId="77777777" w:rsidR="00AF3494" w:rsidRPr="00A164F1" w:rsidRDefault="00AF3494" w:rsidP="00A164F1">
            <w:pPr>
              <w:jc w:val="center"/>
              <w:rPr>
                <w:rFonts w:ascii="David" w:hAnsi="David"/>
                <w:bCs/>
                <w:sz w:val="32"/>
                <w:szCs w:val="32"/>
                <w:rtl/>
              </w:rPr>
            </w:pPr>
          </w:p>
        </w:tc>
      </w:tr>
      <w:bookmarkEnd w:id="4"/>
    </w:tbl>
    <w:p w14:paraId="1FC0B00C" w14:textId="77777777" w:rsidR="00AF3494" w:rsidRPr="001212AD" w:rsidRDefault="00AF3494" w:rsidP="00AF3494">
      <w:pPr>
        <w:spacing w:line="360" w:lineRule="auto"/>
        <w:rPr>
          <w:rFonts w:ascii="David" w:hAnsi="David"/>
          <w:rtl/>
        </w:rPr>
      </w:pPr>
    </w:p>
    <w:p w14:paraId="3E2E8D22" w14:textId="77777777" w:rsidR="00AF3494" w:rsidRPr="001212AD" w:rsidRDefault="00AF3494" w:rsidP="00AF3494">
      <w:pPr>
        <w:spacing w:line="360" w:lineRule="auto"/>
        <w:rPr>
          <w:rFonts w:ascii="David" w:hAnsi="David"/>
          <w:b/>
          <w:bCs/>
          <w:u w:val="single"/>
          <w:rtl/>
        </w:rPr>
      </w:pPr>
      <w:r w:rsidRPr="001212AD">
        <w:rPr>
          <w:rFonts w:ascii="David" w:hAnsi="David"/>
          <w:b/>
          <w:bCs/>
          <w:u w:val="single"/>
          <w:rtl/>
        </w:rPr>
        <w:t>מבוא:</w:t>
      </w:r>
    </w:p>
    <w:p w14:paraId="1AE923DA" w14:textId="77777777" w:rsidR="00AF3494" w:rsidRPr="001212AD" w:rsidRDefault="00AF3494" w:rsidP="00AF3494">
      <w:pPr>
        <w:spacing w:line="360" w:lineRule="auto"/>
        <w:rPr>
          <w:rFonts w:ascii="David" w:hAnsi="David"/>
          <w:rtl/>
        </w:rPr>
      </w:pPr>
    </w:p>
    <w:p w14:paraId="7D111525" w14:textId="77777777" w:rsidR="00AF3494" w:rsidRPr="001212AD" w:rsidRDefault="00AF3494" w:rsidP="00AF3494">
      <w:pPr>
        <w:spacing w:line="360" w:lineRule="auto"/>
        <w:ind w:left="720" w:right="-426" w:hanging="720"/>
        <w:jc w:val="both"/>
        <w:rPr>
          <w:rFonts w:ascii="David" w:hAnsi="David"/>
          <w:rtl/>
        </w:rPr>
      </w:pPr>
      <w:r w:rsidRPr="001212AD">
        <w:rPr>
          <w:rFonts w:ascii="David" w:hAnsi="David"/>
          <w:rtl/>
        </w:rPr>
        <w:t>1.</w:t>
      </w:r>
      <w:r w:rsidRPr="001212AD">
        <w:rPr>
          <w:rFonts w:ascii="David" w:hAnsi="David"/>
          <w:rtl/>
        </w:rPr>
        <w:tab/>
      </w:r>
      <w:bookmarkStart w:id="5" w:name="ABSTRACT_START"/>
      <w:bookmarkEnd w:id="5"/>
      <w:r w:rsidRPr="001212AD">
        <w:rPr>
          <w:rFonts w:ascii="David" w:hAnsi="David"/>
          <w:rtl/>
        </w:rPr>
        <w:t xml:space="preserve">הנאשם הורשע, לאחר שמיעת ראיות, בביצוע עבירות של חבלה בכוונה מחמירה, לפי </w:t>
      </w:r>
      <w:hyperlink r:id="rId15" w:history="1">
        <w:r w:rsidR="001D6107" w:rsidRPr="001D6107">
          <w:rPr>
            <w:rStyle w:val="Hyperlink"/>
            <w:rFonts w:ascii="David" w:hAnsi="David"/>
            <w:rtl/>
          </w:rPr>
          <w:t>סעיף 329(א)(2)</w:t>
        </w:r>
      </w:hyperlink>
      <w:r w:rsidRPr="001212AD">
        <w:rPr>
          <w:rFonts w:ascii="David" w:hAnsi="David"/>
          <w:rtl/>
        </w:rPr>
        <w:t xml:space="preserve"> ל</w:t>
      </w:r>
      <w:hyperlink r:id="rId16" w:history="1">
        <w:r w:rsidR="00A164F1" w:rsidRPr="00A164F1">
          <w:rPr>
            <w:rFonts w:ascii="David" w:hAnsi="David"/>
            <w:color w:val="0000FF"/>
            <w:u w:val="single"/>
            <w:rtl/>
          </w:rPr>
          <w:t>חוק העונשין</w:t>
        </w:r>
      </w:hyperlink>
      <w:r w:rsidRPr="001212AD">
        <w:rPr>
          <w:rFonts w:ascii="David" w:hAnsi="David"/>
          <w:rtl/>
        </w:rPr>
        <w:t>, התשל"ז-1977 (להלן: "</w:t>
      </w:r>
      <w:r w:rsidRPr="001212AD">
        <w:rPr>
          <w:rFonts w:ascii="David" w:hAnsi="David"/>
          <w:b/>
          <w:bCs/>
          <w:rtl/>
        </w:rPr>
        <w:t>חוק העונשין</w:t>
      </w:r>
      <w:r w:rsidRPr="001212AD">
        <w:rPr>
          <w:rFonts w:ascii="David" w:hAnsi="David"/>
          <w:rtl/>
        </w:rPr>
        <w:t xml:space="preserve">") (ריבוי עבירות); ייצור נשק עבירה לפי </w:t>
      </w:r>
      <w:hyperlink r:id="rId17" w:history="1">
        <w:r w:rsidR="001D6107" w:rsidRPr="001D6107">
          <w:rPr>
            <w:rStyle w:val="Hyperlink"/>
            <w:rFonts w:ascii="David" w:hAnsi="David"/>
            <w:rtl/>
          </w:rPr>
          <w:t>סעיף 144(ב2)</w:t>
        </w:r>
      </w:hyperlink>
      <w:r w:rsidRPr="001212AD">
        <w:rPr>
          <w:rFonts w:ascii="David" w:hAnsi="David"/>
          <w:rtl/>
        </w:rPr>
        <w:t xml:space="preserve"> לחוק העונשין (ריבוי עבירות); החזקת נשק עבירה לפי </w:t>
      </w:r>
      <w:hyperlink r:id="rId18" w:history="1">
        <w:r w:rsidR="001D6107" w:rsidRPr="001D6107">
          <w:rPr>
            <w:rStyle w:val="Hyperlink"/>
            <w:rFonts w:ascii="David" w:hAnsi="David"/>
            <w:rtl/>
          </w:rPr>
          <w:t>סעיף 144(א)</w:t>
        </w:r>
      </w:hyperlink>
      <w:r w:rsidRPr="001212AD">
        <w:rPr>
          <w:rFonts w:ascii="David" w:hAnsi="David"/>
          <w:rtl/>
        </w:rPr>
        <w:t xml:space="preserve"> לחוק העונשין; תקיפה הגורמת חבלה ממשית עבירה לפי </w:t>
      </w:r>
      <w:hyperlink r:id="rId19" w:history="1">
        <w:r w:rsidR="001D6107" w:rsidRPr="001D6107">
          <w:rPr>
            <w:rStyle w:val="Hyperlink"/>
            <w:rFonts w:ascii="David" w:hAnsi="David"/>
            <w:rtl/>
          </w:rPr>
          <w:t>סעיף 380</w:t>
        </w:r>
      </w:hyperlink>
      <w:r w:rsidRPr="001212AD">
        <w:rPr>
          <w:rFonts w:ascii="David" w:hAnsi="David"/>
          <w:rtl/>
        </w:rPr>
        <w:t xml:space="preserve"> לחוק העונשין</w:t>
      </w:r>
      <w:r w:rsidRPr="001212AD">
        <w:rPr>
          <w:rFonts w:ascii="David" w:hAnsi="David"/>
        </w:rPr>
        <w:t xml:space="preserve"> </w:t>
      </w:r>
      <w:r w:rsidRPr="001212AD">
        <w:rPr>
          <w:rFonts w:ascii="David" w:hAnsi="David"/>
          <w:rtl/>
        </w:rPr>
        <w:t xml:space="preserve">(ריבוי עבירות) ועבירה של איומים לפי </w:t>
      </w:r>
      <w:hyperlink r:id="rId20" w:history="1">
        <w:r w:rsidR="001D6107" w:rsidRPr="001D6107">
          <w:rPr>
            <w:rStyle w:val="Hyperlink"/>
            <w:rFonts w:ascii="David" w:hAnsi="David"/>
            <w:rtl/>
          </w:rPr>
          <w:t>סעיף 192</w:t>
        </w:r>
      </w:hyperlink>
      <w:r w:rsidRPr="001212AD">
        <w:rPr>
          <w:rFonts w:ascii="David" w:hAnsi="David"/>
          <w:rtl/>
        </w:rPr>
        <w:t xml:space="preserve"> לחוק העונשין.</w:t>
      </w:r>
    </w:p>
    <w:p w14:paraId="13651A11" w14:textId="77777777" w:rsidR="00AF3494" w:rsidRPr="001212AD" w:rsidRDefault="00AF3494" w:rsidP="00AF3494">
      <w:pPr>
        <w:spacing w:line="360" w:lineRule="auto"/>
        <w:ind w:right="-426"/>
        <w:jc w:val="both"/>
        <w:rPr>
          <w:rFonts w:ascii="David" w:hAnsi="David"/>
          <w:rtl/>
        </w:rPr>
      </w:pPr>
      <w:bookmarkStart w:id="6" w:name="ABSTRACT_END"/>
      <w:bookmarkEnd w:id="6"/>
    </w:p>
    <w:p w14:paraId="28A5A7C3" w14:textId="77777777" w:rsidR="00AF3494" w:rsidRPr="001212AD" w:rsidRDefault="00AF3494" w:rsidP="00AF3494">
      <w:pPr>
        <w:spacing w:line="360" w:lineRule="auto"/>
        <w:ind w:left="720" w:right="-426" w:hanging="720"/>
        <w:jc w:val="both"/>
        <w:rPr>
          <w:rFonts w:ascii="David" w:hAnsi="David"/>
          <w:rtl/>
        </w:rPr>
      </w:pPr>
      <w:r w:rsidRPr="001212AD">
        <w:rPr>
          <w:rFonts w:ascii="David" w:hAnsi="David"/>
          <w:rtl/>
        </w:rPr>
        <w:t>2.</w:t>
      </w:r>
      <w:r w:rsidRPr="001212AD">
        <w:rPr>
          <w:rFonts w:ascii="David" w:hAnsi="David"/>
          <w:rtl/>
        </w:rPr>
        <w:tab/>
        <w:t>עובדות המעשה פורטו בהרחבה בהכרעת הדין ולכן אחזור בקצרה על עיקרי הדברים:</w:t>
      </w:r>
    </w:p>
    <w:p w14:paraId="7621B668" w14:textId="77777777" w:rsidR="00AF3494" w:rsidRPr="001212AD" w:rsidRDefault="00AF3494" w:rsidP="00AF3494">
      <w:pPr>
        <w:spacing w:line="360" w:lineRule="auto"/>
        <w:ind w:left="720" w:right="-426" w:hanging="720"/>
        <w:jc w:val="both"/>
        <w:rPr>
          <w:rFonts w:ascii="David" w:hAnsi="David"/>
          <w:rtl/>
        </w:rPr>
      </w:pPr>
    </w:p>
    <w:p w14:paraId="065FBA6E" w14:textId="77777777" w:rsidR="00AF3494" w:rsidRPr="001212AD" w:rsidRDefault="00AF3494" w:rsidP="00AF3494">
      <w:pPr>
        <w:spacing w:line="360" w:lineRule="auto"/>
        <w:ind w:left="720" w:right="-426"/>
        <w:jc w:val="both"/>
        <w:rPr>
          <w:rFonts w:ascii="David" w:hAnsi="David"/>
          <w:rtl/>
        </w:rPr>
      </w:pPr>
      <w:r w:rsidRPr="001212AD">
        <w:rPr>
          <w:rFonts w:ascii="David" w:hAnsi="David"/>
          <w:rtl/>
        </w:rPr>
        <w:lastRenderedPageBreak/>
        <w:t>על רקע סכסוך בין הנאשם לבין המתלוננים מחמוד ג'בארין (להלן: "</w:t>
      </w:r>
      <w:r w:rsidRPr="001212AD">
        <w:rPr>
          <w:rFonts w:ascii="David" w:hAnsi="David"/>
          <w:b/>
          <w:bCs/>
          <w:rtl/>
        </w:rPr>
        <w:t>מחמוד</w:t>
      </w:r>
      <w:r w:rsidRPr="001212AD">
        <w:rPr>
          <w:rFonts w:ascii="David" w:hAnsi="David"/>
          <w:rtl/>
        </w:rPr>
        <w:t>"), פאיזה ג'בארין (להלן: "</w:t>
      </w:r>
      <w:r w:rsidRPr="001212AD">
        <w:rPr>
          <w:rFonts w:ascii="David" w:hAnsi="David"/>
          <w:b/>
          <w:bCs/>
          <w:rtl/>
        </w:rPr>
        <w:t>פאיזה</w:t>
      </w:r>
      <w:r w:rsidRPr="001212AD">
        <w:rPr>
          <w:rFonts w:ascii="David" w:hAnsi="David"/>
          <w:rtl/>
        </w:rPr>
        <w:t>"), חאלד ג'בארין (להלן: "</w:t>
      </w:r>
      <w:r w:rsidRPr="001212AD">
        <w:rPr>
          <w:rFonts w:ascii="David" w:hAnsi="David"/>
          <w:b/>
          <w:bCs/>
          <w:rtl/>
        </w:rPr>
        <w:t>חאלד</w:t>
      </w:r>
      <w:r w:rsidRPr="001212AD">
        <w:rPr>
          <w:rFonts w:ascii="David" w:hAnsi="David"/>
          <w:rtl/>
        </w:rPr>
        <w:t>") ומנאל ג'בארין (להלן: "</w:t>
      </w:r>
      <w:r w:rsidRPr="001212AD">
        <w:rPr>
          <w:rFonts w:ascii="David" w:hAnsi="David"/>
          <w:b/>
          <w:bCs/>
          <w:rtl/>
        </w:rPr>
        <w:t>מנאל</w:t>
      </w:r>
      <w:r w:rsidRPr="001212AD">
        <w:rPr>
          <w:rFonts w:ascii="David" w:hAnsi="David"/>
          <w:rtl/>
        </w:rPr>
        <w:t>") (להלן כולם: "</w:t>
      </w:r>
      <w:r w:rsidRPr="001212AD">
        <w:rPr>
          <w:rFonts w:ascii="David" w:hAnsi="David"/>
          <w:b/>
          <w:bCs/>
          <w:rtl/>
        </w:rPr>
        <w:t>המתלוננים</w:t>
      </w:r>
      <w:r w:rsidRPr="001212AD">
        <w:rPr>
          <w:rFonts w:ascii="David" w:hAnsi="David"/>
          <w:rtl/>
        </w:rPr>
        <w:t>"), גמלה בלבו של הנאשם ההחלטה להכין בקבוקי תבע</w:t>
      </w:r>
      <w:r w:rsidRPr="001212AD">
        <w:rPr>
          <w:rFonts w:ascii="David" w:hAnsi="David" w:hint="cs"/>
          <w:rtl/>
        </w:rPr>
        <w:t>ר</w:t>
      </w:r>
      <w:r w:rsidRPr="001212AD">
        <w:rPr>
          <w:rFonts w:ascii="David" w:hAnsi="David"/>
          <w:rtl/>
        </w:rPr>
        <w:t xml:space="preserve">ה, המהווים כלי שמסוגל לפלוט חומר הנועד להזיק לאדם, אותם ישליך לעבר המתלוננים בכוונה להטיל בהם מום, נכות או לגרום להם חבלה חמורה. </w:t>
      </w:r>
    </w:p>
    <w:p w14:paraId="217FD12C" w14:textId="77777777" w:rsidR="00AF3494" w:rsidRPr="001212AD" w:rsidRDefault="00AF3494" w:rsidP="00AF3494">
      <w:pPr>
        <w:spacing w:line="360" w:lineRule="auto"/>
        <w:ind w:left="720" w:right="-426"/>
        <w:jc w:val="both"/>
        <w:rPr>
          <w:rFonts w:ascii="David" w:hAnsi="David"/>
          <w:rtl/>
        </w:rPr>
      </w:pPr>
    </w:p>
    <w:p w14:paraId="3F885C34" w14:textId="77777777" w:rsidR="00AF3494" w:rsidRPr="001212AD" w:rsidRDefault="00AF3494" w:rsidP="00AF3494">
      <w:pPr>
        <w:spacing w:line="360" w:lineRule="auto"/>
        <w:ind w:left="720" w:right="-426" w:hanging="720"/>
        <w:jc w:val="both"/>
        <w:rPr>
          <w:rFonts w:ascii="David" w:hAnsi="David"/>
          <w:rtl/>
        </w:rPr>
      </w:pPr>
      <w:r w:rsidRPr="001212AD">
        <w:rPr>
          <w:rFonts w:ascii="David" w:hAnsi="David"/>
          <w:rtl/>
        </w:rPr>
        <w:tab/>
        <w:t xml:space="preserve">במועד שאינו ידוע במדויק למאשימה, עובר ליום 02.09.2020 בשעה 19:30, ייצר והחזיק הנאשם בדירתו, ללא רשות על-פי דין, לכל הפחות שבעה בקבוקי תבערה, באופן ששפך לתוך הבקבוקים נוזל מאיץ מסוג בנזין, כשהבקבוקים מלאים בחלקם, וכרך סביב פיית כל אחד מהם חתיכת בד ספוגה בנוזל מאיץ מסוג בנזין, על מנת שתשמש כפתיל בערה. </w:t>
      </w:r>
    </w:p>
    <w:p w14:paraId="6D45FAD9" w14:textId="77777777" w:rsidR="00AF3494" w:rsidRPr="001212AD" w:rsidRDefault="00AF3494" w:rsidP="00AF3494">
      <w:pPr>
        <w:spacing w:line="360" w:lineRule="auto"/>
        <w:ind w:left="720" w:right="-426" w:hanging="720"/>
        <w:jc w:val="both"/>
        <w:rPr>
          <w:rFonts w:ascii="David" w:hAnsi="David"/>
          <w:rtl/>
        </w:rPr>
      </w:pPr>
    </w:p>
    <w:p w14:paraId="30B54D5F" w14:textId="77777777" w:rsidR="00AF3494" w:rsidRPr="001212AD" w:rsidRDefault="00AF3494" w:rsidP="00AF3494">
      <w:pPr>
        <w:spacing w:line="360" w:lineRule="auto"/>
        <w:ind w:left="720" w:right="-426" w:hanging="720"/>
        <w:jc w:val="both"/>
        <w:rPr>
          <w:rFonts w:ascii="David" w:hAnsi="David"/>
          <w:rtl/>
        </w:rPr>
      </w:pPr>
    </w:p>
    <w:p w14:paraId="3665F6C6" w14:textId="77777777" w:rsidR="00AF3494" w:rsidRPr="001212AD" w:rsidRDefault="00AF3494" w:rsidP="00AF3494">
      <w:pPr>
        <w:spacing w:line="360" w:lineRule="auto"/>
        <w:ind w:left="720" w:right="-426" w:hanging="720"/>
        <w:jc w:val="both"/>
        <w:rPr>
          <w:rFonts w:ascii="David" w:hAnsi="David"/>
          <w:rtl/>
        </w:rPr>
      </w:pPr>
      <w:r w:rsidRPr="001212AD">
        <w:rPr>
          <w:rFonts w:ascii="David" w:hAnsi="David"/>
          <w:rtl/>
        </w:rPr>
        <w:t>3.</w:t>
      </w:r>
      <w:r w:rsidRPr="001212AD">
        <w:rPr>
          <w:rFonts w:ascii="David" w:hAnsi="David"/>
          <w:rtl/>
        </w:rPr>
        <w:tab/>
        <w:t>ביום 02.09.2020 סמוך לשעה 19:30 הבחין הנאשם במחמוד יושב ברכב מסוג שברולט, אשר החנה סמוך לדירת הנאשם וכן בפאיזה, חאלד ומנאל שעמדו בסמוך לרכב. הנאשם נעמד במפרסת דירתו, הדליק חלק מבקבוקי התבערה וזרק אותם כאשר חלקם בוערים לעבר המתלוננים, זאת בכוונה להטיל בהם מום, נכות או לגרום להם לחבלה חמורה. בקבוק תבערה אחד, אותו השליך הנאשם, פגע ברכב ובקבוק אחר אותו השליך הנאשם פגע בחזהו של חאלד. בנוסף, שפך הנאשם לעבר מנאל נוזל שטיבו אינו ידוע למאשימה במדויק, אשר פגע בפניה של מנאל.</w:t>
      </w:r>
    </w:p>
    <w:p w14:paraId="00B8EBCA" w14:textId="77777777" w:rsidR="00AF3494" w:rsidRPr="001212AD" w:rsidRDefault="00AF3494" w:rsidP="00AF3494">
      <w:pPr>
        <w:spacing w:line="360" w:lineRule="auto"/>
        <w:ind w:left="720" w:right="-426" w:hanging="720"/>
        <w:jc w:val="both"/>
        <w:rPr>
          <w:rFonts w:ascii="David" w:hAnsi="David"/>
          <w:rtl/>
        </w:rPr>
      </w:pPr>
      <w:r w:rsidRPr="001212AD">
        <w:rPr>
          <w:rFonts w:ascii="David" w:hAnsi="David"/>
          <w:rtl/>
        </w:rPr>
        <w:tab/>
        <w:t xml:space="preserve">בד בבד יצא אחיו של הנאשם – נביל, מדירתו אל חצר הבניין ומשהבחין בו הנאשם, זרק לעברו בקבוק תבערה שלישי בכוונה להטיל בו מום, נכות או לגרום לו חבלה חמורה והבקבוק פגע במעקה הדירה. </w:t>
      </w:r>
    </w:p>
    <w:p w14:paraId="513A6066" w14:textId="77777777" w:rsidR="00AF3494" w:rsidRPr="001212AD" w:rsidRDefault="00AF3494" w:rsidP="00AF3494">
      <w:pPr>
        <w:spacing w:line="360" w:lineRule="auto"/>
        <w:ind w:left="720" w:right="-426" w:hanging="720"/>
        <w:jc w:val="both"/>
        <w:rPr>
          <w:rFonts w:ascii="David" w:hAnsi="David"/>
          <w:rtl/>
        </w:rPr>
      </w:pPr>
    </w:p>
    <w:p w14:paraId="479115DA" w14:textId="77777777" w:rsidR="00AF3494" w:rsidRPr="001212AD" w:rsidRDefault="00AF3494" w:rsidP="00AF3494">
      <w:pPr>
        <w:spacing w:line="360" w:lineRule="auto"/>
        <w:ind w:left="720" w:right="-426" w:hanging="720"/>
        <w:jc w:val="both"/>
        <w:rPr>
          <w:rFonts w:ascii="David" w:hAnsi="David"/>
          <w:rtl/>
        </w:rPr>
      </w:pPr>
      <w:r w:rsidRPr="001212AD">
        <w:rPr>
          <w:rFonts w:ascii="David" w:hAnsi="David"/>
          <w:rtl/>
        </w:rPr>
        <w:t>4.</w:t>
      </w:r>
      <w:r w:rsidRPr="001212AD">
        <w:rPr>
          <w:rFonts w:ascii="David" w:hAnsi="David"/>
          <w:rtl/>
        </w:rPr>
        <w:tab/>
        <w:t>בעקבות האמור לעיל, נמלטו פאיזה, מנאל וחאלד מן המקום, ומחמוד נסע מן המקום ברכבו למרחק של כ-20 מטר, ויצא מן הרכב, או אז, השליך הנאשם בקבוק תבערה רביעי לעבר מחמוד, וזאת בכוונה להטיל במחמוד מום נכות או לגרום לו חבלה חמורה. הבקבוק פגע ברגלו הימנית של מחמוד והת</w:t>
      </w:r>
      <w:r w:rsidRPr="001212AD">
        <w:rPr>
          <w:rFonts w:ascii="David" w:hAnsi="David" w:hint="cs"/>
          <w:rtl/>
        </w:rPr>
        <w:t>לק</w:t>
      </w:r>
      <w:r w:rsidRPr="001212AD">
        <w:rPr>
          <w:rFonts w:ascii="David" w:hAnsi="David"/>
          <w:rtl/>
        </w:rPr>
        <w:t xml:space="preserve">ח ומיד מחמוד כיבה את האש שאחזה ברגלו. </w:t>
      </w:r>
    </w:p>
    <w:p w14:paraId="2400279C" w14:textId="77777777" w:rsidR="00AF3494" w:rsidRPr="001212AD" w:rsidRDefault="00AF3494" w:rsidP="00AF3494">
      <w:pPr>
        <w:spacing w:line="360" w:lineRule="auto"/>
        <w:ind w:left="720" w:right="-426" w:hanging="720"/>
        <w:jc w:val="both"/>
        <w:rPr>
          <w:rFonts w:ascii="David" w:hAnsi="David"/>
          <w:rtl/>
        </w:rPr>
      </w:pPr>
    </w:p>
    <w:p w14:paraId="34FC563A" w14:textId="77777777" w:rsidR="00AF3494" w:rsidRPr="001212AD" w:rsidRDefault="00AF3494" w:rsidP="00AF3494">
      <w:pPr>
        <w:spacing w:line="360" w:lineRule="auto"/>
        <w:ind w:left="720" w:right="-426" w:hanging="720"/>
        <w:jc w:val="both"/>
        <w:rPr>
          <w:rFonts w:ascii="David" w:hAnsi="David"/>
          <w:rtl/>
        </w:rPr>
      </w:pPr>
      <w:r w:rsidRPr="001212AD">
        <w:rPr>
          <w:rFonts w:ascii="David" w:hAnsi="David"/>
          <w:rtl/>
        </w:rPr>
        <w:t>5.</w:t>
      </w:r>
      <w:r w:rsidRPr="001212AD">
        <w:rPr>
          <w:rFonts w:ascii="David" w:hAnsi="David"/>
          <w:rtl/>
        </w:rPr>
        <w:tab/>
        <w:t>למשמע צעקות והמולה יצא מביתו מוחמד ואפיק ג'בארין – אביו של הנאשם המתגורר בסמיכות והנאשם השליך בקבוק תבערה חמישי לעברו, אשר התלקח ופגע ברגלו הימנית. בעקבות מעשיו של הנאשם נגרמה למוחמד כוויה בדרגה 1 ברגלו הימנית, ואילו למנאל נגרמה צריבה בעיניה והפרשות בפורניקסים.</w:t>
      </w:r>
    </w:p>
    <w:p w14:paraId="4F84BEA5" w14:textId="77777777" w:rsidR="00AF3494" w:rsidRPr="001212AD" w:rsidRDefault="00AF3494" w:rsidP="00AF3494">
      <w:pPr>
        <w:spacing w:line="360" w:lineRule="auto"/>
        <w:ind w:left="720" w:right="-426" w:hanging="720"/>
        <w:jc w:val="both"/>
        <w:rPr>
          <w:rFonts w:ascii="David" w:hAnsi="David"/>
          <w:rtl/>
        </w:rPr>
      </w:pPr>
    </w:p>
    <w:p w14:paraId="32929609" w14:textId="77777777" w:rsidR="00AF3494" w:rsidRPr="001212AD" w:rsidRDefault="00AF3494" w:rsidP="00AF3494">
      <w:pPr>
        <w:spacing w:line="360" w:lineRule="auto"/>
        <w:ind w:left="720" w:right="-426"/>
        <w:jc w:val="both"/>
        <w:rPr>
          <w:rFonts w:ascii="David" w:hAnsi="David"/>
          <w:rtl/>
        </w:rPr>
      </w:pPr>
      <w:r w:rsidRPr="001212AD">
        <w:rPr>
          <w:rFonts w:ascii="David" w:hAnsi="David"/>
          <w:rtl/>
        </w:rPr>
        <w:t>בהמשך, ג'לאל ג'בארין (להלן: "</w:t>
      </w:r>
      <w:r w:rsidRPr="001212AD">
        <w:rPr>
          <w:rFonts w:ascii="David" w:hAnsi="David"/>
          <w:b/>
          <w:bCs/>
          <w:rtl/>
        </w:rPr>
        <w:t>ג'לאל</w:t>
      </w:r>
      <w:r w:rsidRPr="001212AD">
        <w:rPr>
          <w:rFonts w:ascii="David" w:hAnsi="David"/>
          <w:rtl/>
        </w:rPr>
        <w:t xml:space="preserve">"), מוחמד ג'בארין ומחמוד ג'בארין המתגוררים בסמיכות, הגיעו למקום בעקבות מעשי הנאשם וניגשו לעבר מדרגות דירת הנאשם במטרה להרגיעו, ואז </w:t>
      </w:r>
      <w:r w:rsidRPr="001212AD">
        <w:rPr>
          <w:rFonts w:ascii="David" w:hAnsi="David"/>
          <w:rtl/>
        </w:rPr>
        <w:lastRenderedPageBreak/>
        <w:t>יצא הנאשם מפתח דירתו לעבר ג'לאל בעודו אוחז בגרזן ביד ואיים עליו באומרו "</w:t>
      </w:r>
      <w:r w:rsidRPr="001212AD">
        <w:rPr>
          <w:rFonts w:ascii="David" w:hAnsi="David"/>
          <w:b/>
          <w:bCs/>
          <w:rtl/>
        </w:rPr>
        <w:t>מי שמתקרב אני ארצח אותו</w:t>
      </w:r>
      <w:r w:rsidRPr="001212AD">
        <w:rPr>
          <w:rFonts w:ascii="David" w:hAnsi="David"/>
          <w:rtl/>
        </w:rPr>
        <w:t>", וזאת בכוונה להפחידו או להקניטו.</w:t>
      </w:r>
    </w:p>
    <w:p w14:paraId="3C92A5CB" w14:textId="77777777" w:rsidR="00AF3494" w:rsidRPr="001212AD" w:rsidRDefault="00AF3494" w:rsidP="00AF3494">
      <w:pPr>
        <w:spacing w:line="360" w:lineRule="auto"/>
        <w:ind w:left="720" w:right="-426" w:hanging="720"/>
        <w:jc w:val="both"/>
        <w:rPr>
          <w:rFonts w:ascii="David" w:hAnsi="David"/>
          <w:rtl/>
        </w:rPr>
      </w:pPr>
    </w:p>
    <w:p w14:paraId="60EF445F" w14:textId="77777777" w:rsidR="00AF3494" w:rsidRPr="001212AD" w:rsidRDefault="00AF3494" w:rsidP="00AF3494">
      <w:pPr>
        <w:spacing w:line="360" w:lineRule="auto"/>
        <w:ind w:left="720" w:right="-426" w:hanging="720"/>
        <w:jc w:val="both"/>
        <w:rPr>
          <w:rFonts w:ascii="David" w:hAnsi="David"/>
          <w:rtl/>
        </w:rPr>
      </w:pPr>
      <w:r w:rsidRPr="001212AD">
        <w:rPr>
          <w:rFonts w:ascii="David" w:hAnsi="David"/>
          <w:rtl/>
        </w:rPr>
        <w:t>6.</w:t>
      </w:r>
      <w:r w:rsidRPr="001212AD">
        <w:rPr>
          <w:rFonts w:ascii="David" w:hAnsi="David"/>
          <w:rtl/>
        </w:rPr>
        <w:tab/>
        <w:t xml:space="preserve">בהכרעת הדין מיום 01.03.2022, </w:t>
      </w:r>
      <w:r w:rsidRPr="001212AD">
        <w:rPr>
          <w:rFonts w:ascii="David" w:hAnsi="David" w:hint="cs"/>
          <w:rtl/>
        </w:rPr>
        <w:t>קבעתי כי</w:t>
      </w:r>
      <w:r w:rsidRPr="001212AD">
        <w:rPr>
          <w:rFonts w:ascii="David" w:hAnsi="David"/>
          <w:rtl/>
        </w:rPr>
        <w:t xml:space="preserve"> המאשימה הוכיחה מעבר לכל ספק סביר את האמור בכתב האישום </w:t>
      </w:r>
      <w:r w:rsidRPr="001212AD">
        <w:rPr>
          <w:rFonts w:ascii="David" w:hAnsi="David" w:hint="cs"/>
          <w:rtl/>
        </w:rPr>
        <w:t xml:space="preserve">ולפיכך הרשעתי </w:t>
      </w:r>
      <w:r w:rsidRPr="001212AD">
        <w:rPr>
          <w:rFonts w:ascii="David" w:hAnsi="David"/>
          <w:rtl/>
        </w:rPr>
        <w:t xml:space="preserve">הנאשם בכל העבירות שיוחסו לו בכתב האישום. </w:t>
      </w:r>
    </w:p>
    <w:p w14:paraId="561ED25E" w14:textId="77777777" w:rsidR="00AF3494" w:rsidRPr="001212AD" w:rsidRDefault="00AF3494" w:rsidP="00AF3494">
      <w:pPr>
        <w:spacing w:line="360" w:lineRule="auto"/>
        <w:ind w:right="-426"/>
        <w:jc w:val="both"/>
        <w:rPr>
          <w:rFonts w:ascii="David" w:hAnsi="David"/>
          <w:rtl/>
        </w:rPr>
      </w:pPr>
    </w:p>
    <w:p w14:paraId="77794287" w14:textId="77777777" w:rsidR="00AF3494" w:rsidRPr="00AF3494" w:rsidRDefault="00AF3494" w:rsidP="00AF3494">
      <w:pPr>
        <w:spacing w:line="360" w:lineRule="auto"/>
        <w:ind w:left="720" w:hanging="720"/>
        <w:jc w:val="both"/>
        <w:rPr>
          <w:rFonts w:ascii="David" w:eastAsia="Calibri" w:hAnsi="David"/>
          <w:rtl/>
        </w:rPr>
      </w:pPr>
      <w:r w:rsidRPr="001212AD">
        <w:rPr>
          <w:rFonts w:ascii="David" w:hAnsi="David"/>
          <w:b/>
          <w:bCs/>
          <w:u w:val="single"/>
          <w:rtl/>
        </w:rPr>
        <w:t>תמצית טענות הצדדים</w:t>
      </w:r>
      <w:r w:rsidRPr="001212AD">
        <w:rPr>
          <w:rFonts w:ascii="David" w:hAnsi="David"/>
          <w:rtl/>
        </w:rPr>
        <w:t>:</w:t>
      </w:r>
    </w:p>
    <w:p w14:paraId="01FA21D8" w14:textId="77777777" w:rsidR="00AF3494" w:rsidRPr="001212AD" w:rsidRDefault="00AF3494" w:rsidP="00AF3494">
      <w:pPr>
        <w:spacing w:line="360" w:lineRule="auto"/>
        <w:ind w:left="720" w:hanging="720"/>
        <w:jc w:val="both"/>
        <w:rPr>
          <w:rFonts w:ascii="David" w:hAnsi="David"/>
          <w:rtl/>
        </w:rPr>
      </w:pPr>
    </w:p>
    <w:p w14:paraId="73F1050D" w14:textId="77777777" w:rsidR="00AF3494" w:rsidRPr="001212AD" w:rsidRDefault="00AF3494" w:rsidP="00AF3494">
      <w:pPr>
        <w:spacing w:line="360" w:lineRule="auto"/>
        <w:ind w:left="720" w:hanging="720"/>
        <w:jc w:val="both"/>
        <w:rPr>
          <w:rFonts w:ascii="David" w:hAnsi="David"/>
          <w:rtl/>
        </w:rPr>
      </w:pPr>
      <w:r w:rsidRPr="001212AD">
        <w:rPr>
          <w:rFonts w:ascii="David" w:hAnsi="David"/>
          <w:rtl/>
        </w:rPr>
        <w:t>7.</w:t>
      </w:r>
      <w:r w:rsidRPr="001212AD">
        <w:rPr>
          <w:rFonts w:ascii="David" w:hAnsi="David"/>
          <w:rtl/>
        </w:rPr>
        <w:tab/>
        <w:t>לא הוגשו ראיות לעונש מטעם הצדדים.</w:t>
      </w:r>
    </w:p>
    <w:p w14:paraId="005BBCAA" w14:textId="77777777" w:rsidR="00AF3494" w:rsidRPr="001212AD" w:rsidRDefault="00AF3494" w:rsidP="00AF3494">
      <w:pPr>
        <w:spacing w:line="360" w:lineRule="auto"/>
        <w:ind w:left="720" w:hanging="720"/>
        <w:jc w:val="both"/>
        <w:rPr>
          <w:rFonts w:ascii="David" w:hAnsi="David"/>
          <w:rtl/>
        </w:rPr>
      </w:pPr>
    </w:p>
    <w:p w14:paraId="5A617064" w14:textId="77777777" w:rsidR="00AF3494" w:rsidRPr="001212AD" w:rsidRDefault="00AF3494" w:rsidP="00AF3494">
      <w:pPr>
        <w:spacing w:line="360" w:lineRule="auto"/>
        <w:ind w:left="720" w:hanging="720"/>
        <w:jc w:val="both"/>
        <w:rPr>
          <w:rFonts w:ascii="David" w:hAnsi="David"/>
          <w:rtl/>
        </w:rPr>
      </w:pPr>
      <w:r w:rsidRPr="001212AD">
        <w:rPr>
          <w:rFonts w:ascii="David" w:hAnsi="David"/>
          <w:rtl/>
        </w:rPr>
        <w:t>8.</w:t>
      </w:r>
      <w:r w:rsidRPr="001212AD">
        <w:rPr>
          <w:rFonts w:ascii="David" w:hAnsi="David"/>
          <w:rtl/>
        </w:rPr>
        <w:tab/>
        <w:t>בטיעוני המאשימה לעונש שהוגשו בכתב ובטיעוניו בפניי, פירט ב"כ המאשימה את עובדות כתב האישום ועמד על חומרת מעשיו של הנאשם. נטען כי הערכים המוגנים שנפגעו מביצוע העבירות הם שלום הציבור וביטחונו והערך של חיי האדם ושלמות גופו. בהתייחסו לנסיבות ביצוע העבירה נטען כי העבירות אות</w:t>
      </w:r>
      <w:r w:rsidRPr="001212AD">
        <w:rPr>
          <w:rFonts w:ascii="David" w:hAnsi="David" w:hint="cs"/>
          <w:rtl/>
        </w:rPr>
        <w:t>ן ביצע</w:t>
      </w:r>
      <w:r w:rsidRPr="001212AD">
        <w:rPr>
          <w:rFonts w:ascii="David" w:hAnsi="David"/>
          <w:rtl/>
        </w:rPr>
        <w:t xml:space="preserve"> הנאשם חמורות, שכן בשל סכסוך של מה בכך תכנן הנאשם לפגוע במתלוננים, יצר לכל הפחות שבעה בקבוקי תבערה, שהם נשק לכל דבר והשליך חמישה מהם בכוונה לפגוע ולגרום למתלוננים ולאחרים חבלה חמורה.</w:t>
      </w:r>
    </w:p>
    <w:p w14:paraId="672193BB" w14:textId="77777777" w:rsidR="00AF3494" w:rsidRPr="001212AD" w:rsidRDefault="00AF3494" w:rsidP="00AF3494">
      <w:pPr>
        <w:spacing w:line="360" w:lineRule="auto"/>
        <w:ind w:left="720" w:hanging="720"/>
        <w:jc w:val="both"/>
        <w:rPr>
          <w:rFonts w:ascii="David" w:hAnsi="David"/>
          <w:rtl/>
        </w:rPr>
      </w:pPr>
    </w:p>
    <w:p w14:paraId="0E2D4846" w14:textId="77777777" w:rsidR="00AF3494" w:rsidRPr="001212AD" w:rsidRDefault="00AF3494" w:rsidP="00AF3494">
      <w:pPr>
        <w:spacing w:line="360" w:lineRule="auto"/>
        <w:ind w:left="720" w:hanging="720"/>
        <w:jc w:val="both"/>
        <w:rPr>
          <w:rFonts w:ascii="David" w:hAnsi="David"/>
          <w:rtl/>
        </w:rPr>
      </w:pPr>
      <w:r w:rsidRPr="001212AD">
        <w:rPr>
          <w:rFonts w:ascii="David" w:hAnsi="David"/>
          <w:rtl/>
        </w:rPr>
        <w:tab/>
        <w:t>נטען כי מעשיו של הנאשם לא נבעו מהחלטה ספונטנית ואינם בגדר מעידה, שכן המעשים בוצעו לאחר תכנון מוקפד, הכנה יסודית, שכללה הבאת דלק והכנת בקבוקי התבערה. נטען כי אמנם המתלוננים לא נפגעו באופן קשה כתוצאה מהשלכת הבקבוקים, אך זאת הודות לכך שהנוכחים במקום כיבו באופן מיידי את האש שאחזה בשניים מהקורבנות. נטען כי קל לשער את הנזק שהיה צפוי להיגרם אילו לא היו מצליחים לכבות את האש.</w:t>
      </w:r>
    </w:p>
    <w:p w14:paraId="7A3A6903" w14:textId="77777777" w:rsidR="00AF3494" w:rsidRPr="001212AD" w:rsidRDefault="00AF3494" w:rsidP="00AF3494">
      <w:pPr>
        <w:spacing w:line="360" w:lineRule="auto"/>
        <w:ind w:left="720" w:hanging="720"/>
        <w:jc w:val="both"/>
        <w:rPr>
          <w:rFonts w:ascii="David" w:hAnsi="David"/>
          <w:rtl/>
        </w:rPr>
      </w:pPr>
    </w:p>
    <w:p w14:paraId="2DDB9226" w14:textId="77777777" w:rsidR="00AF3494" w:rsidRPr="001212AD" w:rsidRDefault="00AF3494" w:rsidP="00AF3494">
      <w:pPr>
        <w:spacing w:line="360" w:lineRule="auto"/>
        <w:ind w:left="720" w:hanging="720"/>
        <w:jc w:val="both"/>
        <w:rPr>
          <w:rFonts w:ascii="David" w:hAnsi="David"/>
          <w:rtl/>
        </w:rPr>
      </w:pPr>
      <w:r w:rsidRPr="001212AD">
        <w:rPr>
          <w:rFonts w:ascii="David" w:hAnsi="David"/>
          <w:rtl/>
        </w:rPr>
        <w:t>9.</w:t>
      </w:r>
      <w:r w:rsidRPr="001212AD">
        <w:rPr>
          <w:rFonts w:ascii="David" w:hAnsi="David"/>
          <w:rtl/>
        </w:rPr>
        <w:tab/>
        <w:t>לאחר שהפנה למדיניות הענישה, ביקש ב"כ המאשימה לקבוע את מתחם העונש ההולם בין 5 עד 7 שנות מאסר בפועל, לצד ענישה נלווית של מאסר על תנאי, קנס ופיצוי למתלוננים. נטען כי על אף שהנאשם לא הביע חרטה ולא נטל אחריות על מעשיו, נוכח העדר עבר פלילי יש לקבוע את עונשו של הנאשם בחלקו התחתון של המתחם.</w:t>
      </w:r>
    </w:p>
    <w:p w14:paraId="5B829199" w14:textId="77777777" w:rsidR="00AF3494" w:rsidRPr="001212AD" w:rsidRDefault="00AF3494" w:rsidP="00AF3494">
      <w:pPr>
        <w:spacing w:line="360" w:lineRule="auto"/>
        <w:ind w:left="720" w:hanging="720"/>
        <w:jc w:val="both"/>
        <w:rPr>
          <w:rFonts w:ascii="David" w:hAnsi="David"/>
          <w:rtl/>
        </w:rPr>
      </w:pPr>
    </w:p>
    <w:p w14:paraId="3B187399" w14:textId="77777777" w:rsidR="00AF3494" w:rsidRPr="001212AD" w:rsidRDefault="00AF3494" w:rsidP="00AF3494">
      <w:pPr>
        <w:spacing w:line="360" w:lineRule="auto"/>
        <w:ind w:left="720" w:hanging="720"/>
        <w:jc w:val="both"/>
        <w:rPr>
          <w:rFonts w:ascii="David" w:hAnsi="David"/>
          <w:rtl/>
        </w:rPr>
      </w:pPr>
      <w:r w:rsidRPr="001212AD">
        <w:rPr>
          <w:rFonts w:ascii="David" w:hAnsi="David"/>
          <w:rtl/>
        </w:rPr>
        <w:t>10.</w:t>
      </w:r>
      <w:r w:rsidRPr="001212AD">
        <w:rPr>
          <w:rFonts w:ascii="David" w:hAnsi="David"/>
          <w:rtl/>
        </w:rPr>
        <w:tab/>
        <w:t>מנגד, ב"כ הנאשם בטיעוניו בפניי טען כי מתחם העונש ההולם נע בין שנה עד ל-3 שנים וביקש להסתפק בימי מעצרו של הנאשם בצירוף למאסר על תנאי. נטען כי מדובר בנאשם יליד 1979, אין לחובתו הרשעות קודמות וניהל אורח חיים נורמטיבי. נטען כי הנאשם נמצא במעצר מזה תקופה ארוכה וממושכת, החל מיום 02.09.2020, כאשר מדובר בנאשם שזו הפעם הראשונה בחייו שחווה חוויה כזו</w:t>
      </w:r>
      <w:r w:rsidRPr="001212AD">
        <w:rPr>
          <w:rFonts w:ascii="David" w:hAnsi="David" w:hint="cs"/>
          <w:rtl/>
        </w:rPr>
        <w:t>,</w:t>
      </w:r>
      <w:r w:rsidRPr="001212AD">
        <w:rPr>
          <w:rFonts w:ascii="David" w:hAnsi="David"/>
          <w:rtl/>
        </w:rPr>
        <w:t xml:space="preserve"> והדבר מהווה עונש חמור וקשה בפני עצמו הממחיש לו היטב את חומרת מעשיו.</w:t>
      </w:r>
    </w:p>
    <w:p w14:paraId="34178654" w14:textId="77777777" w:rsidR="00AF3494" w:rsidRPr="001212AD" w:rsidRDefault="00AF3494" w:rsidP="00AF3494">
      <w:pPr>
        <w:spacing w:line="360" w:lineRule="auto"/>
        <w:ind w:left="720" w:hanging="720"/>
        <w:jc w:val="both"/>
        <w:rPr>
          <w:rFonts w:ascii="David" w:hAnsi="David"/>
          <w:rtl/>
        </w:rPr>
      </w:pPr>
    </w:p>
    <w:p w14:paraId="058924E1" w14:textId="77777777" w:rsidR="00AF3494" w:rsidRPr="001212AD" w:rsidRDefault="00AF3494" w:rsidP="00AF3494">
      <w:pPr>
        <w:spacing w:line="360" w:lineRule="auto"/>
        <w:ind w:left="720" w:hanging="720"/>
        <w:jc w:val="both"/>
        <w:rPr>
          <w:rFonts w:ascii="David" w:hAnsi="David"/>
          <w:rtl/>
        </w:rPr>
      </w:pPr>
      <w:r w:rsidRPr="001212AD">
        <w:rPr>
          <w:rFonts w:ascii="David" w:hAnsi="David"/>
          <w:rtl/>
        </w:rPr>
        <w:t>11.</w:t>
      </w:r>
      <w:r w:rsidRPr="001212AD">
        <w:rPr>
          <w:rFonts w:ascii="David" w:hAnsi="David"/>
          <w:rtl/>
        </w:rPr>
        <w:tab/>
        <w:t>בהתייחסו לנסיבות ביצוע העבירה נטען, כי המתלוננים התעללו בנאשם במשך תקופה ארוכה, כאשר לאחר האירוע ביצעו ירי לכיוון ביתו של הנאשם. נטען</w:t>
      </w:r>
      <w:r w:rsidRPr="001212AD">
        <w:rPr>
          <w:rFonts w:ascii="David" w:hAnsi="David" w:hint="cs"/>
          <w:rtl/>
        </w:rPr>
        <w:t>,</w:t>
      </w:r>
      <w:r w:rsidRPr="001212AD">
        <w:rPr>
          <w:rFonts w:ascii="David" w:hAnsi="David"/>
          <w:rtl/>
        </w:rPr>
        <w:t xml:space="preserve"> כי יש להבחין בין עבירת ייצור נשק שנועד לשימוש אישי</w:t>
      </w:r>
      <w:r w:rsidRPr="001212AD">
        <w:rPr>
          <w:rFonts w:ascii="David" w:hAnsi="David" w:hint="cs"/>
          <w:rtl/>
        </w:rPr>
        <w:t>,</w:t>
      </w:r>
      <w:r w:rsidRPr="001212AD">
        <w:rPr>
          <w:rFonts w:ascii="David" w:hAnsi="David"/>
          <w:rtl/>
        </w:rPr>
        <w:t xml:space="preserve"> לבין ייצור שנועד למכירה לגורמים עבריינים אשר ה</w:t>
      </w:r>
      <w:r w:rsidRPr="001212AD">
        <w:rPr>
          <w:rFonts w:ascii="David" w:hAnsi="David" w:hint="cs"/>
          <w:rtl/>
        </w:rPr>
        <w:t>עונשים המוטלים</w:t>
      </w:r>
      <w:r w:rsidRPr="001212AD">
        <w:rPr>
          <w:rFonts w:ascii="David" w:hAnsi="David"/>
          <w:rtl/>
        </w:rPr>
        <w:t xml:space="preserve"> בעבירות כאלה </w:t>
      </w:r>
      <w:r w:rsidRPr="001212AD">
        <w:rPr>
          <w:rFonts w:ascii="David" w:hAnsi="David" w:hint="cs"/>
          <w:rtl/>
        </w:rPr>
        <w:t>חמורים</w:t>
      </w:r>
      <w:r w:rsidRPr="001212AD">
        <w:rPr>
          <w:rFonts w:ascii="David" w:hAnsi="David"/>
          <w:rtl/>
        </w:rPr>
        <w:t xml:space="preserve"> יותר. עוד נטען כי יש להתחשב בכך שלא נגרם נזק ממשי מביצוע העבירות בנסיבות העניין.  </w:t>
      </w:r>
    </w:p>
    <w:p w14:paraId="79586F7A" w14:textId="77777777" w:rsidR="00AF3494" w:rsidRPr="001212AD" w:rsidRDefault="00AF3494" w:rsidP="00AF3494">
      <w:pPr>
        <w:spacing w:line="360" w:lineRule="auto"/>
        <w:ind w:right="-426"/>
        <w:jc w:val="both"/>
        <w:rPr>
          <w:rFonts w:ascii="David" w:hAnsi="David"/>
          <w:rtl/>
        </w:rPr>
      </w:pPr>
    </w:p>
    <w:p w14:paraId="50B98DCF" w14:textId="77777777" w:rsidR="00AF3494" w:rsidRPr="001212AD" w:rsidRDefault="00AF3494" w:rsidP="00AF3494">
      <w:pPr>
        <w:spacing w:line="360" w:lineRule="auto"/>
        <w:ind w:left="720" w:hanging="720"/>
        <w:jc w:val="both"/>
        <w:rPr>
          <w:rFonts w:ascii="David" w:hAnsi="David"/>
          <w:b/>
          <w:bCs/>
          <w:u w:val="single"/>
          <w:rtl/>
        </w:rPr>
      </w:pPr>
    </w:p>
    <w:p w14:paraId="79822D04" w14:textId="77777777" w:rsidR="00AF3494" w:rsidRPr="001212AD" w:rsidRDefault="00AF3494" w:rsidP="00AF3494">
      <w:pPr>
        <w:spacing w:line="360" w:lineRule="auto"/>
        <w:ind w:left="720" w:hanging="720"/>
        <w:jc w:val="both"/>
        <w:rPr>
          <w:rFonts w:ascii="David" w:hAnsi="David"/>
          <w:b/>
          <w:bCs/>
          <w:u w:val="single"/>
          <w:rtl/>
        </w:rPr>
      </w:pPr>
    </w:p>
    <w:p w14:paraId="1205E519" w14:textId="77777777" w:rsidR="00AF3494" w:rsidRPr="00AF3494" w:rsidRDefault="00AF3494" w:rsidP="00AF3494">
      <w:pPr>
        <w:spacing w:line="360" w:lineRule="auto"/>
        <w:ind w:left="720" w:hanging="720"/>
        <w:jc w:val="both"/>
        <w:rPr>
          <w:rFonts w:ascii="David" w:eastAsia="Calibri" w:hAnsi="David"/>
          <w:rtl/>
        </w:rPr>
      </w:pPr>
      <w:r w:rsidRPr="001212AD">
        <w:rPr>
          <w:rFonts w:ascii="David" w:hAnsi="David"/>
          <w:b/>
          <w:bCs/>
          <w:u w:val="single"/>
          <w:rtl/>
        </w:rPr>
        <w:t>דיון והכרעה</w:t>
      </w:r>
      <w:r w:rsidRPr="001212AD">
        <w:rPr>
          <w:rFonts w:ascii="David" w:hAnsi="David"/>
          <w:b/>
          <w:bCs/>
          <w:rtl/>
        </w:rPr>
        <w:t>:</w:t>
      </w:r>
    </w:p>
    <w:p w14:paraId="0732A044" w14:textId="77777777" w:rsidR="00AF3494" w:rsidRPr="001212AD" w:rsidRDefault="00AF3494" w:rsidP="00AF3494">
      <w:pPr>
        <w:spacing w:line="360" w:lineRule="auto"/>
        <w:ind w:left="720" w:right="-426" w:hanging="720"/>
        <w:jc w:val="both"/>
        <w:rPr>
          <w:rFonts w:ascii="David" w:hAnsi="David"/>
          <w:rtl/>
        </w:rPr>
      </w:pPr>
    </w:p>
    <w:p w14:paraId="3C3AFC50" w14:textId="77777777" w:rsidR="00AF3494" w:rsidRPr="00AF3494" w:rsidRDefault="00AF3494" w:rsidP="00AF3494">
      <w:pPr>
        <w:spacing w:line="360" w:lineRule="auto"/>
        <w:ind w:left="720" w:hanging="720"/>
        <w:jc w:val="both"/>
        <w:rPr>
          <w:rFonts w:ascii="David" w:eastAsia="Calibri" w:hAnsi="David"/>
          <w:rtl/>
        </w:rPr>
      </w:pPr>
      <w:r w:rsidRPr="001212AD">
        <w:rPr>
          <w:rFonts w:ascii="David" w:hAnsi="David"/>
          <w:rtl/>
        </w:rPr>
        <w:t>12.</w:t>
      </w:r>
      <w:r w:rsidRPr="001212AD">
        <w:rPr>
          <w:rFonts w:ascii="David" w:hAnsi="David"/>
          <w:rtl/>
        </w:rPr>
        <w:tab/>
        <w:t>כידוע, העיקרון המנחה בענישה בהתאם לתיקון 113 ל</w:t>
      </w:r>
      <w:hyperlink r:id="rId21" w:history="1">
        <w:r w:rsidR="00A164F1" w:rsidRPr="00A164F1">
          <w:rPr>
            <w:rFonts w:ascii="David" w:hAnsi="David"/>
            <w:color w:val="0000FF"/>
            <w:u w:val="single"/>
            <w:rtl/>
          </w:rPr>
          <w:t>חוק העונשין</w:t>
        </w:r>
      </w:hyperlink>
      <w:r w:rsidRPr="001212AD">
        <w:rPr>
          <w:rFonts w:ascii="David" w:hAnsi="David"/>
          <w:rtl/>
        </w:rPr>
        <w:t xml:space="preserve"> הוא עקרון ההלימה, דהיינו, "</w:t>
      </w:r>
      <w:r w:rsidRPr="001212AD">
        <w:rPr>
          <w:rFonts w:ascii="David" w:hAnsi="David"/>
          <w:b/>
          <w:bCs/>
          <w:rtl/>
        </w:rPr>
        <w:t>קיומו של יחס הולם בין חומרת מעשה העבירה בנסיבותיו ומידת אשמו של הנאשם ובין סוג ומידת העונש המוטל עליו</w:t>
      </w:r>
      <w:r w:rsidRPr="001212AD">
        <w:rPr>
          <w:rFonts w:ascii="David" w:hAnsi="David"/>
          <w:rtl/>
        </w:rPr>
        <w:t>" (</w:t>
      </w:r>
      <w:hyperlink r:id="rId22" w:history="1">
        <w:r w:rsidR="001D6107" w:rsidRPr="001D6107">
          <w:rPr>
            <w:rStyle w:val="Hyperlink"/>
            <w:rFonts w:ascii="David" w:hAnsi="David"/>
            <w:rtl/>
          </w:rPr>
          <w:t>סעיף 40ב</w:t>
        </w:r>
      </w:hyperlink>
      <w:r w:rsidRPr="001212AD">
        <w:rPr>
          <w:rFonts w:ascii="David" w:hAnsi="David"/>
          <w:rtl/>
        </w:rPr>
        <w:t xml:space="preserve"> לחוק העונשין). בהתאם לאמור, תיקון 113 מתווה שלושה שלבים לקביעת עונשו של נאשם: בשלב הראשון, יש לקבוע את מתחם העונש ההולם לכל עבירה ולאור נסיבות ביצועה. יצוין כי ככל והנאשם הורשע במספר עבירות על בית המשפט לבחון האם מדובר בעבירות המהוות אירוע אחד, או מספר אירועים ובהתאם</w:t>
      </w:r>
      <w:r w:rsidRPr="001212AD">
        <w:rPr>
          <w:rFonts w:ascii="David" w:hAnsi="David" w:hint="cs"/>
          <w:rtl/>
        </w:rPr>
        <w:t>,</w:t>
      </w:r>
      <w:r w:rsidRPr="001212AD">
        <w:rPr>
          <w:rFonts w:ascii="David" w:hAnsi="David"/>
          <w:rtl/>
        </w:rPr>
        <w:t xml:space="preserve"> לקבוע מתחם ענישה הולם לכל אירוע בנפרד; בשלב השני, יש לבחון אם יש מקום לחרוג מן המתחם עקב שיקולי שיקום, או שלום הציבור הנוגעים לנאשם; בשלב השלישי, אם נמצא שאין מקום לחרוג מהמתחם כאמור, יגזור בית המשפט את עונשו של הנאשם בתוך המתחם, תוך בחינת נסיבותיו האישיות שאינן קשורות לביצוע העבירה (</w:t>
      </w:r>
      <w:hyperlink r:id="rId23" w:history="1">
        <w:r w:rsidR="00A164F1" w:rsidRPr="00A164F1">
          <w:rPr>
            <w:rFonts w:ascii="David" w:hAnsi="David"/>
            <w:color w:val="0000FF"/>
            <w:u w:val="single"/>
            <w:rtl/>
          </w:rPr>
          <w:t>ע"פ 5214/13</w:t>
        </w:r>
      </w:hyperlink>
      <w:r w:rsidRPr="001212AD">
        <w:rPr>
          <w:rFonts w:ascii="David" w:hAnsi="David"/>
          <w:rtl/>
        </w:rPr>
        <w:t xml:space="preserve"> </w:t>
      </w:r>
      <w:r w:rsidRPr="001212AD">
        <w:rPr>
          <w:rFonts w:ascii="David" w:hAnsi="David"/>
          <w:b/>
          <w:bCs/>
          <w:rtl/>
        </w:rPr>
        <w:t xml:space="preserve">סירחאן נ' מדינת ישראל </w:t>
      </w:r>
      <w:r w:rsidRPr="001212AD">
        <w:rPr>
          <w:rFonts w:ascii="David" w:hAnsi="David"/>
          <w:rtl/>
        </w:rPr>
        <w:t xml:space="preserve">(30.12.2013)). </w:t>
      </w:r>
    </w:p>
    <w:p w14:paraId="3DEE57F6" w14:textId="77777777" w:rsidR="00AF3494" w:rsidRPr="001212AD" w:rsidRDefault="00AF3494" w:rsidP="00AF3494">
      <w:pPr>
        <w:spacing w:line="360" w:lineRule="auto"/>
        <w:ind w:left="720" w:hanging="720"/>
        <w:jc w:val="both"/>
        <w:rPr>
          <w:rFonts w:ascii="David" w:hAnsi="David"/>
          <w:rtl/>
        </w:rPr>
      </w:pPr>
    </w:p>
    <w:p w14:paraId="7BB15C78" w14:textId="77777777" w:rsidR="00AF3494" w:rsidRPr="001212AD" w:rsidRDefault="00AF3494" w:rsidP="00AF3494">
      <w:pPr>
        <w:spacing w:line="360" w:lineRule="auto"/>
        <w:ind w:left="720" w:hanging="720"/>
        <w:jc w:val="both"/>
        <w:rPr>
          <w:rFonts w:ascii="David" w:hAnsi="David"/>
          <w:rtl/>
        </w:rPr>
      </w:pPr>
      <w:r w:rsidRPr="001212AD">
        <w:rPr>
          <w:rFonts w:ascii="David" w:hAnsi="David"/>
          <w:rtl/>
        </w:rPr>
        <w:t>13.</w:t>
      </w:r>
      <w:r w:rsidRPr="001212AD">
        <w:rPr>
          <w:rFonts w:ascii="David" w:hAnsi="David"/>
          <w:rtl/>
        </w:rPr>
        <w:tab/>
        <w:t>הנאשם הורשע במספר עבירות אך מאחר וההתנהגות העבריינית מהווה אירוע אחד, כאשר המעשים נעשו בסמיכות זמן, עבור אותה מטרה, העבירות שלובות זו בזו וקיים קשר הדוק ביניה</w:t>
      </w:r>
      <w:r w:rsidRPr="001212AD">
        <w:rPr>
          <w:rFonts w:ascii="David" w:hAnsi="David" w:hint="cs"/>
          <w:rtl/>
        </w:rPr>
        <w:t>ן</w:t>
      </w:r>
      <w:r w:rsidRPr="001212AD">
        <w:rPr>
          <w:rFonts w:ascii="David" w:hAnsi="David"/>
          <w:rtl/>
        </w:rPr>
        <w:t>, לכן יש לקבוע מתחם עונש הולם אחד למכלול העבירות</w:t>
      </w:r>
      <w:r w:rsidRPr="001212AD">
        <w:rPr>
          <w:rFonts w:ascii="David" w:hAnsi="David" w:hint="cs"/>
          <w:rtl/>
        </w:rPr>
        <w:t>, המהוות, כאמור, אירוע אחד</w:t>
      </w:r>
      <w:r w:rsidRPr="001212AD">
        <w:rPr>
          <w:rFonts w:ascii="David" w:hAnsi="David"/>
          <w:rtl/>
        </w:rPr>
        <w:t>.</w:t>
      </w:r>
    </w:p>
    <w:p w14:paraId="5E355B35" w14:textId="77777777" w:rsidR="00AF3494" w:rsidRPr="001212AD" w:rsidRDefault="00AF3494" w:rsidP="00AF3494">
      <w:pPr>
        <w:spacing w:line="360" w:lineRule="auto"/>
        <w:ind w:left="720" w:hanging="720"/>
        <w:jc w:val="both"/>
        <w:rPr>
          <w:rFonts w:ascii="David" w:hAnsi="David"/>
          <w:rtl/>
        </w:rPr>
      </w:pPr>
    </w:p>
    <w:p w14:paraId="3FF8E495" w14:textId="77777777" w:rsidR="00AF3494" w:rsidRPr="001212AD" w:rsidRDefault="00AF3494" w:rsidP="00AF3494">
      <w:pPr>
        <w:spacing w:line="360" w:lineRule="auto"/>
        <w:ind w:left="720" w:hanging="720"/>
        <w:jc w:val="both"/>
        <w:rPr>
          <w:rFonts w:ascii="David" w:hAnsi="David"/>
          <w:rtl/>
        </w:rPr>
      </w:pPr>
      <w:r w:rsidRPr="001212AD">
        <w:rPr>
          <w:rFonts w:ascii="David" w:hAnsi="David"/>
          <w:rtl/>
        </w:rPr>
        <w:t>14.</w:t>
      </w:r>
      <w:r w:rsidRPr="001212AD">
        <w:rPr>
          <w:rFonts w:ascii="David" w:hAnsi="David"/>
          <w:rtl/>
        </w:rPr>
        <w:tab/>
      </w:r>
      <w:hyperlink r:id="rId24" w:history="1">
        <w:r w:rsidR="001D6107" w:rsidRPr="001D6107">
          <w:rPr>
            <w:rStyle w:val="Hyperlink"/>
            <w:rFonts w:ascii="David" w:hAnsi="David"/>
            <w:rtl/>
          </w:rPr>
          <w:t>סעיף 40ג</w:t>
        </w:r>
      </w:hyperlink>
      <w:r w:rsidRPr="001212AD">
        <w:rPr>
          <w:rFonts w:ascii="David" w:hAnsi="David"/>
          <w:rtl/>
        </w:rPr>
        <w:t xml:space="preserve"> ל</w:t>
      </w:r>
      <w:hyperlink r:id="rId25" w:history="1">
        <w:r w:rsidR="00A164F1" w:rsidRPr="00A164F1">
          <w:rPr>
            <w:rFonts w:ascii="David" w:hAnsi="David"/>
            <w:color w:val="0000FF"/>
            <w:u w:val="single"/>
            <w:rtl/>
          </w:rPr>
          <w:t>חוק העונשין</w:t>
        </w:r>
      </w:hyperlink>
      <w:r w:rsidRPr="001212AD">
        <w:rPr>
          <w:rFonts w:ascii="David" w:hAnsi="David"/>
          <w:rtl/>
        </w:rPr>
        <w:t xml:space="preserve"> קובע, כי בקביעת מתחם העונש ההולם למעשה העבירה, על בית המשפט להתחשב בערך החברתי שנפגע מביצוע העבירה, במידת הפגיעה בו, במדיניות הענישה הנהוגה ובנסיבות הקשורות בביצוע העבירה.</w:t>
      </w:r>
    </w:p>
    <w:p w14:paraId="4A660A49" w14:textId="77777777" w:rsidR="00AF3494" w:rsidRPr="001212AD" w:rsidRDefault="00AF3494" w:rsidP="00AF3494">
      <w:pPr>
        <w:spacing w:line="360" w:lineRule="auto"/>
        <w:jc w:val="both"/>
        <w:rPr>
          <w:rFonts w:ascii="David" w:hAnsi="David"/>
          <w:rtl/>
        </w:rPr>
      </w:pPr>
    </w:p>
    <w:p w14:paraId="47A56A69" w14:textId="77777777" w:rsidR="00AF3494" w:rsidRPr="001212AD" w:rsidRDefault="00AF3494" w:rsidP="00AF3494">
      <w:pPr>
        <w:spacing w:line="360" w:lineRule="auto"/>
        <w:ind w:left="720" w:hanging="720"/>
        <w:jc w:val="both"/>
        <w:rPr>
          <w:rFonts w:ascii="David" w:hAnsi="David"/>
          <w:rtl/>
        </w:rPr>
      </w:pPr>
      <w:r w:rsidRPr="001212AD">
        <w:rPr>
          <w:rFonts w:ascii="David" w:hAnsi="David"/>
          <w:rtl/>
        </w:rPr>
        <w:t>15.</w:t>
      </w:r>
      <w:r w:rsidRPr="001212AD">
        <w:rPr>
          <w:rFonts w:ascii="David" w:hAnsi="David"/>
          <w:rtl/>
        </w:rPr>
        <w:tab/>
      </w:r>
      <w:r w:rsidRPr="001212AD">
        <w:rPr>
          <w:rFonts w:ascii="David" w:hAnsi="David"/>
          <w:b/>
          <w:bCs/>
          <w:rtl/>
        </w:rPr>
        <w:t>הערכים החברתיים המוגנים</w:t>
      </w:r>
      <w:r w:rsidRPr="001212AD">
        <w:rPr>
          <w:rFonts w:ascii="David" w:hAnsi="David"/>
          <w:rtl/>
        </w:rPr>
        <w:t xml:space="preserve"> שנפגעו כתוצאה מביצוע עבירת החבלה בכוונה מחמירה ותקיפה הגורמת חבלה ממשית</w:t>
      </w:r>
      <w:r w:rsidRPr="001212AD">
        <w:rPr>
          <w:rFonts w:ascii="David" w:hAnsi="David" w:hint="cs"/>
          <w:rtl/>
        </w:rPr>
        <w:t>,</w:t>
      </w:r>
      <w:r w:rsidRPr="001212AD">
        <w:rPr>
          <w:rFonts w:ascii="David" w:hAnsi="David"/>
          <w:rtl/>
        </w:rPr>
        <w:t xml:space="preserve"> הנם שמירה של שלמות הגוף והנפש והגנה על בטחונו האישי של האדם ועל שלום הציבור.</w:t>
      </w:r>
      <w:r w:rsidRPr="001212AD">
        <w:rPr>
          <w:rFonts w:ascii="David" w:hAnsi="David"/>
          <w:b/>
          <w:bCs/>
          <w:rtl/>
        </w:rPr>
        <w:t xml:space="preserve"> </w:t>
      </w:r>
      <w:r w:rsidRPr="001212AD">
        <w:rPr>
          <w:rFonts w:ascii="David" w:hAnsi="David"/>
          <w:rtl/>
        </w:rPr>
        <w:t xml:space="preserve">לא בכדי נקבע בצידה של </w:t>
      </w:r>
      <w:r w:rsidRPr="001212AD">
        <w:rPr>
          <w:rFonts w:ascii="David" w:hAnsi="David" w:hint="cs"/>
          <w:rtl/>
        </w:rPr>
        <w:t>עבירת החבלה בכוונה מחמירה</w:t>
      </w:r>
      <w:r w:rsidRPr="001212AD">
        <w:rPr>
          <w:rFonts w:ascii="David" w:hAnsi="David"/>
          <w:rtl/>
        </w:rPr>
        <w:t xml:space="preserve"> עונש מרבי של 20 שנות מאסר, בגדרו ביטא המחוקק את החומרה הרבה שנודעת לפגיעה בשלמות גופו של אדם, אשר בוצעה מתוך כוונה מיוחדת להטלת נכות, מום או חבלה חמורה ויש בו כדי להצביע על סלידתו העמוקה של המחוקק מהעבירה. </w:t>
      </w:r>
    </w:p>
    <w:p w14:paraId="2FF01A75" w14:textId="77777777" w:rsidR="00AF3494" w:rsidRPr="001212AD" w:rsidRDefault="00AF3494" w:rsidP="00AF3494">
      <w:pPr>
        <w:spacing w:line="360" w:lineRule="auto"/>
        <w:ind w:left="720"/>
        <w:jc w:val="both"/>
        <w:rPr>
          <w:rFonts w:ascii="David" w:hAnsi="David"/>
          <w:rtl/>
        </w:rPr>
      </w:pPr>
      <w:r w:rsidRPr="001212AD">
        <w:rPr>
          <w:rFonts w:ascii="David" w:hAnsi="David"/>
          <w:rtl/>
        </w:rPr>
        <w:t>בית המשפט העליון עמד לא אחת על כך ש"</w:t>
      </w:r>
      <w:r w:rsidRPr="001212AD">
        <w:rPr>
          <w:rFonts w:ascii="David" w:hAnsi="David"/>
          <w:b/>
          <w:bCs/>
          <w:rtl/>
        </w:rPr>
        <w:t>חברה מתוקנת אינה יכולה להשלים עם פתרון סכסוכים בנשק קר או חם ועל בתי המשפט לתרום למאמץ למגר את הנגע</w:t>
      </w:r>
      <w:r w:rsidRPr="001212AD">
        <w:rPr>
          <w:rFonts w:ascii="David" w:hAnsi="David"/>
          <w:rtl/>
        </w:rPr>
        <w:t>" (</w:t>
      </w:r>
      <w:hyperlink r:id="rId26" w:history="1">
        <w:r w:rsidR="00A164F1" w:rsidRPr="00A164F1">
          <w:rPr>
            <w:rFonts w:ascii="David" w:hAnsi="David"/>
            <w:color w:val="0000FF"/>
            <w:u w:val="single"/>
            <w:rtl/>
          </w:rPr>
          <w:t>ע"פ 2161/13</w:t>
        </w:r>
      </w:hyperlink>
      <w:r w:rsidRPr="001212AD">
        <w:rPr>
          <w:rFonts w:ascii="David" w:hAnsi="David"/>
          <w:rtl/>
        </w:rPr>
        <w:t xml:space="preserve"> </w:t>
      </w:r>
      <w:r w:rsidRPr="001212AD">
        <w:rPr>
          <w:rFonts w:ascii="David" w:hAnsi="David"/>
          <w:b/>
          <w:bCs/>
          <w:rtl/>
        </w:rPr>
        <w:t>חבשי נ' מדינת ישראל</w:t>
      </w:r>
      <w:r w:rsidRPr="001212AD">
        <w:rPr>
          <w:rFonts w:ascii="David" w:hAnsi="David"/>
          <w:rtl/>
        </w:rPr>
        <w:t xml:space="preserve"> (16.05.2013), שכן התנהגות אלימה זו מובילה פעמים רבות לפגיעה בגוף ובנפש, עלולה לגרום לאובדן חיי אדם ומשכך מסכנת את שלום הציבור וביטחונו (</w:t>
      </w:r>
      <w:hyperlink r:id="rId27" w:history="1">
        <w:r w:rsidR="00A164F1" w:rsidRPr="00A164F1">
          <w:rPr>
            <w:rFonts w:ascii="David" w:hAnsi="David"/>
            <w:color w:val="0000FF"/>
            <w:u w:val="single"/>
            <w:rtl/>
          </w:rPr>
          <w:t>ע"פ 8381/17</w:t>
        </w:r>
      </w:hyperlink>
      <w:r w:rsidRPr="001212AD">
        <w:rPr>
          <w:rFonts w:ascii="David" w:hAnsi="David"/>
          <w:rtl/>
        </w:rPr>
        <w:t xml:space="preserve"> </w:t>
      </w:r>
      <w:r w:rsidRPr="001212AD">
        <w:rPr>
          <w:rFonts w:ascii="David" w:hAnsi="David"/>
          <w:b/>
          <w:bCs/>
          <w:rtl/>
        </w:rPr>
        <w:t>מדינת ישראל נ' איכילוב</w:t>
      </w:r>
      <w:r w:rsidRPr="001212AD">
        <w:rPr>
          <w:rFonts w:ascii="David" w:hAnsi="David"/>
          <w:rtl/>
        </w:rPr>
        <w:t xml:space="preserve">, פסקה 16 (24.04.2018); </w:t>
      </w:r>
      <w:hyperlink r:id="rId28" w:history="1">
        <w:r w:rsidR="00A164F1" w:rsidRPr="00A164F1">
          <w:rPr>
            <w:rFonts w:ascii="David" w:hAnsi="David"/>
            <w:color w:val="0000FF"/>
            <w:u w:val="single"/>
            <w:rtl/>
          </w:rPr>
          <w:t>ע"פ 6310/14</w:t>
        </w:r>
      </w:hyperlink>
      <w:r w:rsidRPr="001212AD">
        <w:rPr>
          <w:rFonts w:ascii="David" w:hAnsi="David"/>
          <w:rtl/>
        </w:rPr>
        <w:t xml:space="preserve"> </w:t>
      </w:r>
      <w:r w:rsidRPr="001212AD">
        <w:rPr>
          <w:rFonts w:ascii="David" w:hAnsi="David"/>
          <w:b/>
          <w:bCs/>
          <w:rtl/>
        </w:rPr>
        <w:t>פלוני נ' מדינת ישראל</w:t>
      </w:r>
      <w:r w:rsidRPr="001212AD">
        <w:rPr>
          <w:rFonts w:ascii="David" w:hAnsi="David"/>
          <w:rtl/>
        </w:rPr>
        <w:t>, פסקה 9</w:t>
      </w:r>
      <w:r w:rsidRPr="001212AD">
        <w:rPr>
          <w:rFonts w:ascii="David" w:hAnsi="David"/>
          <w:b/>
          <w:bCs/>
          <w:rtl/>
        </w:rPr>
        <w:t xml:space="preserve"> </w:t>
      </w:r>
      <w:r w:rsidRPr="001212AD">
        <w:rPr>
          <w:rFonts w:ascii="David" w:hAnsi="David"/>
          <w:rtl/>
        </w:rPr>
        <w:t xml:space="preserve">(16.06.2015); </w:t>
      </w:r>
      <w:hyperlink r:id="rId29" w:history="1">
        <w:r w:rsidR="00A164F1" w:rsidRPr="00A164F1">
          <w:rPr>
            <w:rFonts w:ascii="David" w:hAnsi="David"/>
            <w:color w:val="0000FF"/>
            <w:u w:val="single"/>
            <w:rtl/>
          </w:rPr>
          <w:t>ע"פ 5794/13</w:t>
        </w:r>
      </w:hyperlink>
      <w:r w:rsidRPr="001212AD">
        <w:rPr>
          <w:rFonts w:ascii="David" w:hAnsi="David"/>
          <w:rtl/>
        </w:rPr>
        <w:t xml:space="preserve"> </w:t>
      </w:r>
      <w:r w:rsidRPr="001212AD">
        <w:rPr>
          <w:rFonts w:ascii="David" w:hAnsi="David"/>
          <w:b/>
          <w:bCs/>
          <w:rtl/>
        </w:rPr>
        <w:t>מדינת ישראל נ' שיכה</w:t>
      </w:r>
      <w:r w:rsidRPr="001212AD">
        <w:rPr>
          <w:rFonts w:ascii="David" w:hAnsi="David"/>
          <w:rtl/>
        </w:rPr>
        <w:t>, פסקה 6</w:t>
      </w:r>
      <w:r w:rsidRPr="001212AD">
        <w:rPr>
          <w:rFonts w:ascii="David" w:hAnsi="David"/>
          <w:b/>
          <w:bCs/>
          <w:rtl/>
        </w:rPr>
        <w:t xml:space="preserve"> </w:t>
      </w:r>
      <w:r w:rsidRPr="001212AD">
        <w:rPr>
          <w:rFonts w:ascii="David" w:hAnsi="David"/>
          <w:rtl/>
        </w:rPr>
        <w:t>(02.04.2014)).</w:t>
      </w:r>
    </w:p>
    <w:p w14:paraId="2933CBF4" w14:textId="77777777" w:rsidR="00AF3494" w:rsidRPr="001212AD" w:rsidRDefault="00AF3494" w:rsidP="00AF3494">
      <w:pPr>
        <w:spacing w:line="360" w:lineRule="auto"/>
        <w:ind w:left="720"/>
        <w:jc w:val="both"/>
        <w:rPr>
          <w:rFonts w:ascii="David" w:hAnsi="David"/>
          <w:rtl/>
        </w:rPr>
      </w:pPr>
      <w:r w:rsidRPr="001212AD">
        <w:rPr>
          <w:rFonts w:ascii="David" w:hAnsi="David"/>
          <w:rtl/>
        </w:rPr>
        <w:t>יפים לעניין זה הדברים שנקבעו ב</w:t>
      </w:r>
      <w:hyperlink r:id="rId30" w:history="1">
        <w:r w:rsidR="00A164F1" w:rsidRPr="00A164F1">
          <w:rPr>
            <w:rFonts w:ascii="David" w:hAnsi="David"/>
            <w:color w:val="0000FF"/>
            <w:u w:val="single"/>
            <w:rtl/>
          </w:rPr>
          <w:t>ע"פ 8823/12</w:t>
        </w:r>
      </w:hyperlink>
      <w:r w:rsidRPr="001212AD">
        <w:rPr>
          <w:rFonts w:ascii="David" w:hAnsi="David"/>
          <w:rtl/>
        </w:rPr>
        <w:t xml:space="preserve"> </w:t>
      </w:r>
      <w:r w:rsidRPr="001212AD">
        <w:rPr>
          <w:rFonts w:ascii="David" w:hAnsi="David"/>
          <w:b/>
          <w:bCs/>
          <w:rtl/>
        </w:rPr>
        <w:t>שבתאי נ' מדינת ישראל</w:t>
      </w:r>
      <w:r w:rsidRPr="001212AD">
        <w:rPr>
          <w:rFonts w:ascii="David" w:hAnsi="David"/>
          <w:rtl/>
        </w:rPr>
        <w:t>, פסקה 39 (01.07.2014):</w:t>
      </w:r>
    </w:p>
    <w:p w14:paraId="43241420" w14:textId="77777777" w:rsidR="00AF3494" w:rsidRPr="001212AD" w:rsidRDefault="00AF3494" w:rsidP="00AF3494">
      <w:pPr>
        <w:spacing w:line="360" w:lineRule="auto"/>
        <w:ind w:left="720"/>
        <w:jc w:val="both"/>
        <w:rPr>
          <w:rFonts w:ascii="David" w:hAnsi="David"/>
          <w:rtl/>
        </w:rPr>
      </w:pPr>
    </w:p>
    <w:p w14:paraId="5A24EA36" w14:textId="77777777" w:rsidR="00AF3494" w:rsidRPr="001212AD" w:rsidRDefault="00AF3494" w:rsidP="00AF3494">
      <w:pPr>
        <w:spacing w:line="360" w:lineRule="auto"/>
        <w:ind w:left="1076" w:right="567"/>
        <w:jc w:val="both"/>
        <w:rPr>
          <w:rFonts w:ascii="David" w:hAnsi="David"/>
          <w:rtl/>
        </w:rPr>
      </w:pPr>
      <w:r w:rsidRPr="001212AD">
        <w:rPr>
          <w:rFonts w:ascii="David" w:hAnsi="David"/>
          <w:rtl/>
        </w:rPr>
        <w:t>"</w:t>
      </w:r>
      <w:r w:rsidRPr="001212AD">
        <w:rPr>
          <w:rFonts w:ascii="David" w:hAnsi="David"/>
          <w:b/>
          <w:bCs/>
          <w:rtl/>
        </w:rPr>
        <w:t>החומרה הניבטת ממעשיו של המערער היא ברורה וחד משמעית. לצערנו, אין מדובר במקרה חריג ונדיר במחוזותינו, כאשר אנו עדים, חדשות לבקרים, לוויכוחים ומחלוקות על עניינים של מה בכך, אשר מתדרדרים במהירות הבזק להחלפת מהלומות ולשימוש בנשק קר, ולעיתים גם בנשק חם. המדובר בתופעה קשה, שאין ניתן להשלים עימה, שכן היא פוגעת אנושות בזכות לחיים ולשלמות הגוף, ועל בתי המשפט לתרום את תרומתם במאבק להדברת התופעה</w:t>
      </w:r>
      <w:r w:rsidRPr="001212AD">
        <w:rPr>
          <w:rFonts w:ascii="David" w:hAnsi="David"/>
          <w:b/>
          <w:bCs/>
        </w:rPr>
        <w:t>.</w:t>
      </w:r>
      <w:r w:rsidRPr="001212AD">
        <w:rPr>
          <w:rFonts w:ascii="David" w:hAnsi="David"/>
          <w:b/>
          <w:bCs/>
          <w:rtl/>
        </w:rPr>
        <w:t>.. 'האלימות המתפשטת חושפת את החברה במערומיה מדי יום ביומו. האלימות אינה מפלה בין עיר לכפר, בין צפון לדרום, ובין זקן לצעיר.</w:t>
      </w:r>
      <w:r w:rsidR="00A164F1">
        <w:rPr>
          <w:rFonts w:ascii="David" w:hAnsi="David"/>
          <w:b/>
          <w:bCs/>
          <w:rtl/>
        </w:rPr>
        <w:t xml:space="preserve"> </w:t>
      </w:r>
      <w:r w:rsidRPr="001212AD">
        <w:rPr>
          <w:rFonts w:ascii="David" w:hAnsi="David"/>
          <w:b/>
          <w:bCs/>
          <w:rtl/>
        </w:rPr>
        <w:t>בצוק העתים אין מנוס מלנהוג במידת החומרה היתרה, יותר משהעבריינים צריכים לכך - הציבור צריך לכך. אחת המטרות המרכזיות של הענישה הפלילית היא כאמור הרתעת עבריינים בכוח, ל'מען יראו וייראו'..</w:t>
      </w:r>
      <w:r w:rsidRPr="001212AD">
        <w:rPr>
          <w:rFonts w:ascii="David" w:hAnsi="David"/>
          <w:rtl/>
        </w:rPr>
        <w:t xml:space="preserve">". </w:t>
      </w:r>
    </w:p>
    <w:p w14:paraId="553A0A9C" w14:textId="77777777" w:rsidR="00AF3494" w:rsidRPr="001212AD" w:rsidRDefault="00AF3494" w:rsidP="00AF3494">
      <w:pPr>
        <w:spacing w:line="360" w:lineRule="auto"/>
        <w:ind w:left="720" w:hanging="720"/>
        <w:jc w:val="both"/>
        <w:rPr>
          <w:rFonts w:ascii="David" w:hAnsi="David"/>
          <w:b/>
          <w:bCs/>
          <w:rtl/>
        </w:rPr>
      </w:pPr>
    </w:p>
    <w:p w14:paraId="2EB5D937" w14:textId="77777777" w:rsidR="00AF3494" w:rsidRPr="001212AD" w:rsidRDefault="00AF3494" w:rsidP="00AF3494">
      <w:pPr>
        <w:spacing w:line="360" w:lineRule="auto"/>
        <w:ind w:left="720" w:hanging="720"/>
        <w:jc w:val="both"/>
        <w:rPr>
          <w:rFonts w:ascii="David" w:hAnsi="David"/>
          <w:rtl/>
        </w:rPr>
      </w:pPr>
      <w:r w:rsidRPr="001212AD">
        <w:rPr>
          <w:rFonts w:ascii="David" w:hAnsi="David"/>
          <w:rtl/>
        </w:rPr>
        <w:t>16.</w:t>
      </w:r>
      <w:r w:rsidRPr="001212AD">
        <w:rPr>
          <w:rFonts w:ascii="David" w:hAnsi="David"/>
          <w:rtl/>
        </w:rPr>
        <w:tab/>
        <w:t>חומרה יתרה במעשיו של הנאשם מתבטאת בכך שהוא פגע במתלוננים באמצעות בקבוקי תבערה</w:t>
      </w:r>
      <w:r w:rsidRPr="001212AD">
        <w:rPr>
          <w:rFonts w:ascii="David" w:hAnsi="David" w:hint="cs"/>
          <w:rtl/>
        </w:rPr>
        <w:t xml:space="preserve"> שנזרקו לכל עבר וללא כל אבחנה</w:t>
      </w:r>
      <w:r w:rsidRPr="001212AD">
        <w:rPr>
          <w:rFonts w:ascii="David" w:hAnsi="David"/>
          <w:rtl/>
        </w:rPr>
        <w:t>. פוטנציאל הנזק הגלום בהשלכת בקבוקי תבערה הנו עצום, ולא בכדי נקבע כי מדובר בנשק חם וקטלני לכל דבר ועניין. "</w:t>
      </w:r>
      <w:r w:rsidRPr="001212AD">
        <w:rPr>
          <w:rFonts w:ascii="David" w:hAnsi="David"/>
          <w:b/>
          <w:bCs/>
          <w:rtl/>
        </w:rPr>
        <w:t>סוג עבירות זה, שעניינן בקבוקי תבערה, מחייב ענישה מחמירה. תוצאותיו של בקבוק תבערה, וכבר היו דברים מעולם, עלולות להיות קשות ביותר, וראוי איפוא כי ייצא הקול שהענישה בכגון דא לא תהא קלה. בטחון הציבור אינו יכול להיות הפקר ונתון לאימה..</w:t>
      </w:r>
      <w:r w:rsidRPr="001212AD">
        <w:rPr>
          <w:rFonts w:ascii="David" w:hAnsi="David"/>
          <w:rtl/>
        </w:rPr>
        <w:t>" (</w:t>
      </w:r>
      <w:hyperlink r:id="rId31" w:history="1">
        <w:r w:rsidR="00A164F1" w:rsidRPr="00A164F1">
          <w:rPr>
            <w:rFonts w:ascii="David" w:hAnsi="David"/>
            <w:color w:val="0000FF"/>
            <w:u w:val="single"/>
            <w:rtl/>
          </w:rPr>
          <w:t>ע"פ 262/06</w:t>
        </w:r>
      </w:hyperlink>
      <w:r w:rsidRPr="001212AD">
        <w:rPr>
          <w:rFonts w:ascii="David" w:hAnsi="David"/>
          <w:rtl/>
        </w:rPr>
        <w:t xml:space="preserve"> </w:t>
      </w:r>
      <w:r w:rsidRPr="001212AD">
        <w:rPr>
          <w:rFonts w:ascii="David" w:hAnsi="David"/>
          <w:b/>
          <w:bCs/>
          <w:rtl/>
        </w:rPr>
        <w:t>פלוני נ' מדינת ישראל</w:t>
      </w:r>
      <w:r w:rsidRPr="001212AD">
        <w:rPr>
          <w:rFonts w:ascii="David" w:hAnsi="David"/>
          <w:rtl/>
        </w:rPr>
        <w:t xml:space="preserve"> (06.07.2006); </w:t>
      </w:r>
      <w:hyperlink r:id="rId32" w:history="1">
        <w:r w:rsidR="00A164F1" w:rsidRPr="00A164F1">
          <w:rPr>
            <w:rFonts w:ascii="David" w:hAnsi="David"/>
            <w:color w:val="0000FF"/>
            <w:u w:val="single"/>
            <w:rtl/>
          </w:rPr>
          <w:t>ע"פ 3702/14</w:t>
        </w:r>
      </w:hyperlink>
      <w:r w:rsidRPr="001212AD">
        <w:rPr>
          <w:rFonts w:ascii="David" w:hAnsi="David"/>
          <w:rtl/>
        </w:rPr>
        <w:t xml:space="preserve"> </w:t>
      </w:r>
      <w:r w:rsidRPr="001212AD">
        <w:rPr>
          <w:rFonts w:ascii="David" w:hAnsi="David"/>
          <w:b/>
          <w:bCs/>
          <w:rtl/>
        </w:rPr>
        <w:t>פלוני נ' מדינת ישראל</w:t>
      </w:r>
      <w:r w:rsidRPr="001212AD">
        <w:rPr>
          <w:rFonts w:ascii="David" w:hAnsi="David"/>
          <w:rtl/>
        </w:rPr>
        <w:t xml:space="preserve">, פסקה 11 (28.09.2014); </w:t>
      </w:r>
      <w:hyperlink r:id="rId33" w:history="1">
        <w:r w:rsidR="00A164F1" w:rsidRPr="00A164F1">
          <w:rPr>
            <w:rFonts w:ascii="David" w:hAnsi="David"/>
            <w:color w:val="0000FF"/>
            <w:u w:val="single"/>
            <w:rtl/>
          </w:rPr>
          <w:t>ע"פ 3057/13</w:t>
        </w:r>
      </w:hyperlink>
      <w:r w:rsidRPr="001212AD">
        <w:rPr>
          <w:rFonts w:ascii="David" w:hAnsi="David"/>
          <w:rtl/>
        </w:rPr>
        <w:t xml:space="preserve"> </w:t>
      </w:r>
      <w:r w:rsidRPr="001212AD">
        <w:rPr>
          <w:rFonts w:ascii="David" w:hAnsi="David"/>
          <w:b/>
          <w:bCs/>
          <w:rtl/>
        </w:rPr>
        <w:t>מדינת ישראל נ' פלוני</w:t>
      </w:r>
      <w:r w:rsidRPr="001212AD">
        <w:rPr>
          <w:rFonts w:ascii="David" w:hAnsi="David"/>
          <w:rtl/>
        </w:rPr>
        <w:t>, פסקה 12 (02.07.2013)).</w:t>
      </w:r>
    </w:p>
    <w:p w14:paraId="115AE4F5" w14:textId="77777777" w:rsidR="00AF3494" w:rsidRPr="001212AD" w:rsidRDefault="00AF3494" w:rsidP="00AF3494">
      <w:pPr>
        <w:spacing w:line="360" w:lineRule="auto"/>
        <w:ind w:left="720" w:hanging="720"/>
        <w:jc w:val="both"/>
        <w:rPr>
          <w:rFonts w:ascii="David" w:hAnsi="David"/>
          <w:rtl/>
        </w:rPr>
      </w:pPr>
    </w:p>
    <w:p w14:paraId="670E338A" w14:textId="77777777" w:rsidR="00AF3494" w:rsidRPr="001212AD" w:rsidRDefault="00AF3494" w:rsidP="00AF3494">
      <w:pPr>
        <w:spacing w:line="360" w:lineRule="auto"/>
        <w:ind w:left="720" w:hanging="720"/>
        <w:jc w:val="both"/>
        <w:rPr>
          <w:rFonts w:ascii="David" w:hAnsi="David"/>
          <w:rtl/>
        </w:rPr>
      </w:pPr>
      <w:r w:rsidRPr="001212AD">
        <w:rPr>
          <w:rFonts w:ascii="David" w:hAnsi="David"/>
          <w:rtl/>
        </w:rPr>
        <w:t>17.</w:t>
      </w:r>
      <w:r w:rsidRPr="001212AD">
        <w:rPr>
          <w:rFonts w:ascii="David" w:hAnsi="David"/>
          <w:rtl/>
        </w:rPr>
        <w:tab/>
        <w:t xml:space="preserve">לא אחת עמד בית המשפט העליון על החומרה </w:t>
      </w:r>
      <w:r w:rsidRPr="001212AD">
        <w:rPr>
          <w:rFonts w:ascii="David" w:hAnsi="David" w:hint="cs"/>
          <w:rtl/>
        </w:rPr>
        <w:t>שבעבירות</w:t>
      </w:r>
      <w:r w:rsidRPr="001212AD">
        <w:rPr>
          <w:rFonts w:ascii="David" w:hAnsi="David"/>
          <w:rtl/>
        </w:rPr>
        <w:t xml:space="preserve"> נשק, אשר הפכו למכת מדינה ומאיימות באופן ממשי על שלום הציבור ועל ביטוחנו (</w:t>
      </w:r>
      <w:hyperlink r:id="rId34" w:history="1">
        <w:r w:rsidR="00A164F1" w:rsidRPr="00A164F1">
          <w:rPr>
            <w:rFonts w:ascii="David" w:hAnsi="David"/>
            <w:color w:val="0000FF"/>
            <w:u w:val="single"/>
            <w:rtl/>
          </w:rPr>
          <w:t>ע"פ 1695/22</w:t>
        </w:r>
      </w:hyperlink>
      <w:r w:rsidRPr="001212AD">
        <w:rPr>
          <w:rFonts w:ascii="David" w:hAnsi="David"/>
          <w:rtl/>
        </w:rPr>
        <w:t xml:space="preserve"> </w:t>
      </w:r>
      <w:r w:rsidRPr="001212AD">
        <w:rPr>
          <w:rFonts w:ascii="David" w:hAnsi="David"/>
          <w:b/>
          <w:bCs/>
          <w:rtl/>
        </w:rPr>
        <w:t>מדינת ישראל נ' גנאים</w:t>
      </w:r>
      <w:r w:rsidRPr="001212AD">
        <w:rPr>
          <w:rFonts w:ascii="David" w:hAnsi="David"/>
          <w:rtl/>
        </w:rPr>
        <w:t xml:space="preserve">, פסקה 11 (29.03.2022); </w:t>
      </w:r>
      <w:hyperlink r:id="rId35" w:history="1">
        <w:r w:rsidR="00A164F1" w:rsidRPr="00A164F1">
          <w:rPr>
            <w:rFonts w:ascii="David" w:hAnsi="David"/>
            <w:color w:val="0000FF"/>
            <w:u w:val="single"/>
            <w:rtl/>
          </w:rPr>
          <w:t>ע"פ 2251/21</w:t>
        </w:r>
      </w:hyperlink>
      <w:r w:rsidRPr="001212AD">
        <w:rPr>
          <w:rFonts w:ascii="David" w:hAnsi="David"/>
          <w:rtl/>
        </w:rPr>
        <w:t xml:space="preserve"> </w:t>
      </w:r>
      <w:r w:rsidRPr="001212AD">
        <w:rPr>
          <w:rFonts w:ascii="David" w:hAnsi="David"/>
          <w:b/>
          <w:bCs/>
          <w:rtl/>
        </w:rPr>
        <w:t>אבו עראר נ' מדינת ישראל</w:t>
      </w:r>
      <w:r w:rsidRPr="001212AD">
        <w:rPr>
          <w:rFonts w:ascii="David" w:hAnsi="David"/>
          <w:rtl/>
        </w:rPr>
        <w:t>, פסקה 25 (15.12.2021) וההפניות שם (להלן: "</w:t>
      </w:r>
      <w:r w:rsidRPr="001212AD">
        <w:rPr>
          <w:rFonts w:ascii="David" w:hAnsi="David"/>
          <w:b/>
          <w:bCs/>
          <w:rtl/>
        </w:rPr>
        <w:t>עניין אבו עראר</w:t>
      </w:r>
      <w:r w:rsidRPr="001212AD">
        <w:rPr>
          <w:rFonts w:ascii="David" w:hAnsi="David"/>
          <w:rtl/>
        </w:rPr>
        <w:t xml:space="preserve">")). לא בכדי תוקן </w:t>
      </w:r>
      <w:hyperlink r:id="rId36" w:history="1">
        <w:r w:rsidR="00A164F1" w:rsidRPr="00A164F1">
          <w:rPr>
            <w:rFonts w:ascii="David" w:hAnsi="David"/>
            <w:color w:val="0000FF"/>
            <w:u w:val="single"/>
            <w:rtl/>
          </w:rPr>
          <w:t>חוק העונשין</w:t>
        </w:r>
      </w:hyperlink>
      <w:r w:rsidRPr="001212AD">
        <w:rPr>
          <w:rFonts w:ascii="David" w:hAnsi="David"/>
          <w:rtl/>
        </w:rPr>
        <w:t xml:space="preserve"> (תיקון מס' 140 – הוראת שעה), התשפ"ב-2021, אשר עיגן באופן חריג עונש מינימום לעבירות נשק, בקביעתו כי העונש שיושת על נאשם שהורשע בעבירת נשק, לא יפחת מרבע העונש המרבי שנקבע לאותה עבירה, אלא אם כן החליט בית המשפט, מטעמים מיוחדים שיירשמו, להקל בעונשו (שם בעניין גנאים ואבו עראר; </w:t>
      </w:r>
      <w:hyperlink r:id="rId37" w:history="1">
        <w:r w:rsidR="00A164F1" w:rsidRPr="00A164F1">
          <w:rPr>
            <w:rFonts w:ascii="David" w:hAnsi="David"/>
            <w:color w:val="0000FF"/>
            <w:u w:val="single"/>
            <w:rtl/>
          </w:rPr>
          <w:t>ע"פ 4456/21</w:t>
        </w:r>
      </w:hyperlink>
      <w:r w:rsidRPr="001212AD">
        <w:rPr>
          <w:rFonts w:ascii="David" w:hAnsi="David"/>
          <w:rtl/>
        </w:rPr>
        <w:t xml:space="preserve"> </w:t>
      </w:r>
      <w:r w:rsidRPr="001212AD">
        <w:rPr>
          <w:rFonts w:ascii="David" w:hAnsi="David"/>
          <w:b/>
          <w:bCs/>
          <w:rtl/>
        </w:rPr>
        <w:t>מדינת ישראל נ' אבו עסבה</w:t>
      </w:r>
      <w:r w:rsidRPr="001212AD">
        <w:rPr>
          <w:rFonts w:ascii="David" w:hAnsi="David"/>
          <w:rtl/>
        </w:rPr>
        <w:t>, פסקה 15 (23.01.2022)). אמנם, תיקון 140 אינו חל מטבע הדברים על ענייננו, בהינתן שהמעשים נשוא כתב האישום בוצעו עובר לתיקון, אולם קביעת המחוקק משקפת את הצורך בלמגר תופעה זו. "</w:t>
      </w:r>
      <w:r w:rsidRPr="001212AD">
        <w:rPr>
          <w:rFonts w:ascii="David" w:hAnsi="David"/>
          <w:b/>
          <w:bCs/>
          <w:rtl/>
        </w:rPr>
        <w:t>מצויים אנו לעת הזאת במצב חירום של ממש בעניין עבירות נשק, ולא בכדי נתקבל עתה תיקון ל</w:t>
      </w:r>
      <w:hyperlink r:id="rId38" w:history="1">
        <w:r w:rsidR="00A164F1" w:rsidRPr="00A164F1">
          <w:rPr>
            <w:rFonts w:ascii="David" w:hAnsi="David"/>
            <w:b/>
            <w:bCs/>
            <w:color w:val="0000FF"/>
            <w:u w:val="single"/>
            <w:rtl/>
          </w:rPr>
          <w:t>חוק העונשין</w:t>
        </w:r>
      </w:hyperlink>
      <w:r w:rsidR="00A164F1">
        <w:rPr>
          <w:rFonts w:ascii="David" w:hAnsi="David"/>
          <w:b/>
          <w:bCs/>
        </w:rPr>
        <w:t xml:space="preserve"> </w:t>
      </w:r>
      <w:r w:rsidRPr="001212AD">
        <w:rPr>
          <w:rFonts w:ascii="David" w:hAnsi="David"/>
          <w:b/>
          <w:bCs/>
          <w:rtl/>
        </w:rPr>
        <w:t>(חוק העונשין (תיקון מס' 140 – הוראת שעה), התשפ"ב-2021) – שלא חל בענייננו – הקובע עונשי מינימום לעבירות נשק. הדברים האמורים מקבלים משנה תוקף במקרה זה בו כאמור הייתה כוונת מכוון לפגוע במתלונן ולפצעו. קשה להלום, זולת עבירת המתה על כל גווניה, עבירת אלימות קשה יותר</w:t>
      </w:r>
      <w:r w:rsidRPr="001212AD">
        <w:rPr>
          <w:rFonts w:ascii="David" w:hAnsi="David"/>
          <w:rtl/>
        </w:rPr>
        <w:t xml:space="preserve">" (עניין אבו עראר, פסקה 25). </w:t>
      </w:r>
      <w:r w:rsidRPr="001212AD">
        <w:rPr>
          <w:rFonts w:ascii="David" w:hAnsi="David" w:hint="cs"/>
          <w:rtl/>
        </w:rPr>
        <w:t xml:space="preserve">נראה, כי אין הבדל של ממש בין עבירות נשק מן הסוג הרגיל, לבין נשק שיוצר על ידי הנאשם, שיש בו כדי לגרום נזק גדול לרכוש ולגוף. </w:t>
      </w:r>
    </w:p>
    <w:p w14:paraId="26DC193D" w14:textId="77777777" w:rsidR="00AF3494" w:rsidRPr="001212AD" w:rsidRDefault="00AF3494" w:rsidP="00AF3494">
      <w:pPr>
        <w:spacing w:line="360" w:lineRule="auto"/>
        <w:jc w:val="both"/>
        <w:rPr>
          <w:rFonts w:ascii="David" w:hAnsi="David"/>
          <w:rtl/>
        </w:rPr>
      </w:pPr>
    </w:p>
    <w:p w14:paraId="64C10669" w14:textId="77777777" w:rsidR="00AF3494" w:rsidRPr="001212AD" w:rsidRDefault="00AF3494" w:rsidP="00AF3494">
      <w:pPr>
        <w:spacing w:line="360" w:lineRule="auto"/>
        <w:ind w:left="720" w:hanging="720"/>
        <w:jc w:val="both"/>
        <w:rPr>
          <w:rFonts w:ascii="David" w:hAnsi="David"/>
          <w:rtl/>
        </w:rPr>
      </w:pPr>
      <w:r w:rsidRPr="001212AD">
        <w:rPr>
          <w:rFonts w:ascii="David" w:hAnsi="David"/>
          <w:rtl/>
        </w:rPr>
        <w:t>18.</w:t>
      </w:r>
      <w:r w:rsidRPr="001212AD">
        <w:rPr>
          <w:rFonts w:ascii="David" w:hAnsi="David"/>
          <w:rtl/>
        </w:rPr>
        <w:tab/>
        <w:t>מידת הפגיעה בערכים החברתיים המוגנים במקרה שלפנינו הנה חמורה, והיא נגזרת בין היתר, מנסיבות ביצוע העבירה</w:t>
      </w:r>
      <w:r w:rsidRPr="001212AD">
        <w:rPr>
          <w:rFonts w:ascii="David" w:hAnsi="David" w:hint="cs"/>
          <w:rtl/>
        </w:rPr>
        <w:t xml:space="preserve">, מן הפוטנציאל לגרימת נזקי רכוש וגוף חמורים במיוחד, וכן מתוצאות העבירה. </w:t>
      </w:r>
    </w:p>
    <w:p w14:paraId="5C1FCE66" w14:textId="77777777" w:rsidR="00AF3494" w:rsidRPr="001212AD" w:rsidRDefault="00AF3494" w:rsidP="00AF3494">
      <w:pPr>
        <w:spacing w:line="360" w:lineRule="auto"/>
        <w:ind w:left="720"/>
        <w:jc w:val="both"/>
        <w:rPr>
          <w:rFonts w:ascii="David" w:hAnsi="David"/>
          <w:rtl/>
        </w:rPr>
      </w:pPr>
      <w:r w:rsidRPr="001212AD">
        <w:rPr>
          <w:rFonts w:ascii="David" w:hAnsi="David" w:hint="cs"/>
          <w:rtl/>
        </w:rPr>
        <w:t xml:space="preserve">המעשה בוצע תוך תכנון מוקדם והכנה יסודית; על רקע סכסוך בינו לבין קרובי משפחתו, </w:t>
      </w:r>
      <w:r w:rsidRPr="001212AD">
        <w:rPr>
          <w:rFonts w:ascii="David" w:hAnsi="David"/>
          <w:rtl/>
        </w:rPr>
        <w:t>הצטייד הנאשם מבעוד מועד בדלק, בקבוקים מזכוכית וחתיכת בד ספוגה בבנזין על מנת שתשמש כפתיל בערה ובאמצעותם הכין בקבוקי תבערה שמספרם אינו פוחת משבע</w:t>
      </w:r>
      <w:r w:rsidRPr="001212AD">
        <w:rPr>
          <w:rFonts w:ascii="David" w:hAnsi="David" w:hint="cs"/>
          <w:rtl/>
        </w:rPr>
        <w:t>ה</w:t>
      </w:r>
      <w:r w:rsidRPr="001212AD">
        <w:rPr>
          <w:rFonts w:ascii="David" w:hAnsi="David"/>
          <w:rtl/>
        </w:rPr>
        <w:t xml:space="preserve">. </w:t>
      </w:r>
    </w:p>
    <w:p w14:paraId="4B3DFA3E" w14:textId="77777777" w:rsidR="00AF3494" w:rsidRPr="001212AD" w:rsidRDefault="00AF3494" w:rsidP="00AF3494">
      <w:pPr>
        <w:spacing w:line="360" w:lineRule="auto"/>
        <w:ind w:left="720"/>
        <w:jc w:val="both"/>
        <w:rPr>
          <w:rFonts w:ascii="David" w:hAnsi="David"/>
          <w:rtl/>
        </w:rPr>
      </w:pPr>
      <w:r w:rsidRPr="001212AD">
        <w:rPr>
          <w:rFonts w:ascii="David" w:hAnsi="David"/>
          <w:rtl/>
        </w:rPr>
        <w:t xml:space="preserve">בהמשך לכך ומשהבחין הנאשם במתלוננים, </w:t>
      </w:r>
      <w:r w:rsidRPr="001212AD">
        <w:rPr>
          <w:rFonts w:ascii="David" w:hAnsi="David" w:hint="cs"/>
          <w:rtl/>
        </w:rPr>
        <w:t>נעמד במפרסת ביתו והחל מצית</w:t>
      </w:r>
      <w:r w:rsidRPr="001212AD">
        <w:rPr>
          <w:rFonts w:ascii="David" w:hAnsi="David"/>
          <w:rtl/>
        </w:rPr>
        <w:t xml:space="preserve"> בקבוקי התבערה וז</w:t>
      </w:r>
      <w:r w:rsidRPr="001212AD">
        <w:rPr>
          <w:rFonts w:ascii="David" w:hAnsi="David" w:hint="cs"/>
          <w:rtl/>
        </w:rPr>
        <w:t>ו</w:t>
      </w:r>
      <w:r w:rsidRPr="001212AD">
        <w:rPr>
          <w:rFonts w:ascii="David" w:hAnsi="David"/>
          <w:rtl/>
        </w:rPr>
        <w:t>רק אותם כשחלקם בוערים לעבר המתלוננים וזאת בכוונה להטיל בהם מום, נכות או לגרום להם חבלה חמורה. בנוסף הנאשם שפך לעבר מנאל נוזל, אשר טיבו אינו ידוע, שפגע בפניה וכתוצאה מכך נגרמה לה צריבה בעיניה והפרשות בפורינקיסם.</w:t>
      </w:r>
    </w:p>
    <w:p w14:paraId="23B5F88A" w14:textId="77777777" w:rsidR="00AF3494" w:rsidRPr="001212AD" w:rsidRDefault="00AF3494" w:rsidP="00AF3494">
      <w:pPr>
        <w:spacing w:line="360" w:lineRule="auto"/>
        <w:ind w:left="720"/>
        <w:jc w:val="both"/>
        <w:rPr>
          <w:rFonts w:ascii="David" w:hAnsi="David"/>
          <w:rtl/>
        </w:rPr>
      </w:pPr>
      <w:r w:rsidRPr="001212AD">
        <w:rPr>
          <w:rFonts w:ascii="David" w:hAnsi="David"/>
          <w:rtl/>
        </w:rPr>
        <w:t>הנאשם אף זרק לעבר בני משפחתו – אחיו ואביו מוחמד בקבוקי תבערה, אשר אחד מהם פגע ברגלו הימנית של אביו ונגרמה לו כוויה בדרגה 1.</w:t>
      </w:r>
    </w:p>
    <w:p w14:paraId="170C7BB6" w14:textId="77777777" w:rsidR="00AF3494" w:rsidRPr="001212AD" w:rsidRDefault="00AF3494" w:rsidP="00AF3494">
      <w:pPr>
        <w:spacing w:line="360" w:lineRule="auto"/>
        <w:ind w:left="720"/>
        <w:jc w:val="both"/>
        <w:rPr>
          <w:rFonts w:ascii="David" w:hAnsi="David"/>
        </w:rPr>
      </w:pPr>
      <w:r w:rsidRPr="001212AD">
        <w:rPr>
          <w:rFonts w:ascii="David" w:hAnsi="David"/>
          <w:rtl/>
        </w:rPr>
        <w:t xml:space="preserve">בנוסף לאמור הנאשם איים על ג'לאל, בעודו אוחז בגרזן בידו, בפגיעה בגופו באומרו "מי שמתקרב אני ארצח אותו" וזאת בכוונה להפחידו או להקניטו. </w:t>
      </w:r>
    </w:p>
    <w:p w14:paraId="54F2A3B9" w14:textId="77777777" w:rsidR="00AF3494" w:rsidRPr="001212AD" w:rsidRDefault="00AF3494" w:rsidP="00AF3494">
      <w:pPr>
        <w:spacing w:line="360" w:lineRule="auto"/>
        <w:ind w:left="720"/>
        <w:jc w:val="both"/>
        <w:rPr>
          <w:rFonts w:ascii="David" w:hAnsi="David"/>
          <w:rtl/>
        </w:rPr>
      </w:pPr>
    </w:p>
    <w:p w14:paraId="7B7FC94B" w14:textId="77777777" w:rsidR="00AF3494" w:rsidRPr="001212AD" w:rsidRDefault="00AF3494" w:rsidP="00AF3494">
      <w:pPr>
        <w:spacing w:line="360" w:lineRule="auto"/>
        <w:ind w:left="720"/>
        <w:jc w:val="both"/>
        <w:rPr>
          <w:rFonts w:ascii="David" w:hAnsi="David"/>
          <w:rtl/>
        </w:rPr>
      </w:pPr>
      <w:r w:rsidRPr="001212AD">
        <w:rPr>
          <w:rFonts w:ascii="David" w:hAnsi="David"/>
          <w:rtl/>
        </w:rPr>
        <w:t>פוטנציאל הנזק הגלום בהשלכת בקבוקי תבערה</w:t>
      </w:r>
      <w:r w:rsidRPr="001212AD">
        <w:rPr>
          <w:rFonts w:ascii="David" w:hAnsi="David" w:hint="cs"/>
          <w:rtl/>
        </w:rPr>
        <w:t xml:space="preserve"> מגובה לעבר רכבים, חצרות ואנשים ללא אבחנה </w:t>
      </w:r>
      <w:r w:rsidRPr="001212AD">
        <w:rPr>
          <w:rFonts w:ascii="David" w:hAnsi="David"/>
          <w:rtl/>
        </w:rPr>
        <w:t>ה</w:t>
      </w:r>
      <w:r w:rsidRPr="001212AD">
        <w:rPr>
          <w:rFonts w:ascii="David" w:hAnsi="David" w:hint="cs"/>
          <w:rtl/>
        </w:rPr>
        <w:t xml:space="preserve">וא </w:t>
      </w:r>
      <w:r w:rsidRPr="001212AD">
        <w:rPr>
          <w:rFonts w:ascii="David" w:hAnsi="David"/>
          <w:rtl/>
        </w:rPr>
        <w:t>עצום</w:t>
      </w:r>
      <w:r w:rsidRPr="001212AD">
        <w:rPr>
          <w:rFonts w:ascii="David" w:hAnsi="David" w:hint="cs"/>
          <w:rtl/>
        </w:rPr>
        <w:t xml:space="preserve"> ויכול היה להצית רכבים על היושבים בהם, יכול היה להצית חצרות, ויכול היה לפגוע במתלוננים ובאחרים ולסכן את חייהם ושלמות גופם. אין חולק שיכול היה להיגרם נזק מאוד חמור כתוצאה ממעשיו של הנאשם, ונראה, כי יד המזל היא שמנעה נזק יותר גדול, ואף על פי כן נגרמו נזקי גוף לאביו של הנאשם (כוויה בדרגה 1) ולמנאל (</w:t>
      </w:r>
      <w:r w:rsidRPr="001212AD">
        <w:rPr>
          <w:rFonts w:ascii="David" w:hAnsi="David"/>
          <w:rtl/>
        </w:rPr>
        <w:t>צריבה בעיניה והפרשות בפורניק</w:t>
      </w:r>
      <w:r w:rsidRPr="001212AD">
        <w:rPr>
          <w:rFonts w:ascii="David" w:hAnsi="David" w:hint="cs"/>
          <w:rtl/>
        </w:rPr>
        <w:t>י</w:t>
      </w:r>
      <w:r w:rsidRPr="001212AD">
        <w:rPr>
          <w:rFonts w:ascii="David" w:hAnsi="David"/>
          <w:rtl/>
        </w:rPr>
        <w:t>סם</w:t>
      </w:r>
      <w:r w:rsidRPr="001212AD">
        <w:rPr>
          <w:rFonts w:ascii="David" w:hAnsi="David" w:hint="cs"/>
          <w:rtl/>
        </w:rPr>
        <w:t>)</w:t>
      </w:r>
      <w:r w:rsidRPr="001212AD">
        <w:rPr>
          <w:rFonts w:ascii="David" w:hAnsi="David"/>
          <w:rtl/>
        </w:rPr>
        <w:t>.</w:t>
      </w:r>
    </w:p>
    <w:p w14:paraId="705A4152" w14:textId="77777777" w:rsidR="00AF3494" w:rsidRPr="001212AD" w:rsidRDefault="00AF3494" w:rsidP="00AF3494">
      <w:pPr>
        <w:spacing w:line="360" w:lineRule="auto"/>
        <w:ind w:left="720" w:hanging="720"/>
        <w:jc w:val="both"/>
        <w:rPr>
          <w:rFonts w:ascii="David" w:hAnsi="David"/>
        </w:rPr>
      </w:pPr>
      <w:r w:rsidRPr="001212AD">
        <w:rPr>
          <w:rFonts w:ascii="David" w:hAnsi="David"/>
          <w:rtl/>
        </w:rPr>
        <w:tab/>
        <w:t xml:space="preserve"> </w:t>
      </w:r>
    </w:p>
    <w:p w14:paraId="5188E963" w14:textId="77777777" w:rsidR="00AF3494" w:rsidRPr="001212AD" w:rsidRDefault="00AF3494" w:rsidP="00AF3494">
      <w:pPr>
        <w:spacing w:line="360" w:lineRule="auto"/>
        <w:ind w:left="720" w:hanging="720"/>
        <w:jc w:val="both"/>
        <w:rPr>
          <w:rFonts w:ascii="David" w:hAnsi="David"/>
          <w:rtl/>
        </w:rPr>
      </w:pPr>
      <w:r w:rsidRPr="001212AD">
        <w:rPr>
          <w:rFonts w:ascii="David" w:hAnsi="David"/>
          <w:rtl/>
        </w:rPr>
        <w:tab/>
        <w:t>הסיבה שהביאה את הנאשם לביצוע העבירה היא קיומו של סכסוך בינו לבין המתלוננים, אולם יצוין כי אין בעובדה זו כדי להצדיק את מעשיו החמורים, כאשר בנס לא הסתיים האירוע בפגיעה חמורה יותר</w:t>
      </w:r>
      <w:r w:rsidRPr="001212AD">
        <w:rPr>
          <w:rFonts w:ascii="David" w:hAnsi="David" w:hint="cs"/>
          <w:rtl/>
        </w:rPr>
        <w:t xml:space="preserve"> בגוף וברכוש,</w:t>
      </w:r>
      <w:r w:rsidRPr="001212AD">
        <w:rPr>
          <w:rFonts w:ascii="David" w:hAnsi="David"/>
          <w:rtl/>
        </w:rPr>
        <w:t xml:space="preserve"> ובאסון של ממש. </w:t>
      </w:r>
    </w:p>
    <w:p w14:paraId="0C6E6BE3" w14:textId="77777777" w:rsidR="00AF3494" w:rsidRPr="001212AD" w:rsidRDefault="00AF3494" w:rsidP="00AF3494">
      <w:pPr>
        <w:spacing w:line="360" w:lineRule="auto"/>
        <w:ind w:left="720" w:hanging="720"/>
        <w:jc w:val="both"/>
        <w:rPr>
          <w:rFonts w:ascii="David" w:hAnsi="David"/>
          <w:rtl/>
        </w:rPr>
      </w:pPr>
      <w:r w:rsidRPr="001212AD">
        <w:rPr>
          <w:rFonts w:ascii="David" w:hAnsi="David"/>
          <w:rtl/>
        </w:rPr>
        <w:tab/>
        <w:t>ובכן, הנזק שנגרם כתוצאה ממעשיו של הנאשם, אמנם אינו ברף הגבוה, אולם, חומרת מעשיו של הנאשם נובעת בעיקר מהנזק שהיה צפוי להיגרם מביצוע העבירות הן כלפי המתלוננים והן כלפי שאר הנוכחים במקום כמפורט לעיל</w:t>
      </w:r>
      <w:r w:rsidRPr="001212AD">
        <w:rPr>
          <w:rFonts w:ascii="David" w:hAnsi="David" w:hint="cs"/>
          <w:rtl/>
        </w:rPr>
        <w:t xml:space="preserve"> וכפי שצויין לעיל, יד המזל היא שמנעה נזק גדול יותר לרכוש ולגוף</w:t>
      </w:r>
      <w:r w:rsidRPr="001212AD">
        <w:rPr>
          <w:rFonts w:ascii="David" w:hAnsi="David"/>
          <w:rtl/>
        </w:rPr>
        <w:t xml:space="preserve"> (ראו והשוו דברי בית המשפט העליון ב</w:t>
      </w:r>
      <w:hyperlink r:id="rId39" w:history="1">
        <w:r w:rsidR="00A164F1" w:rsidRPr="00A164F1">
          <w:rPr>
            <w:rFonts w:ascii="David" w:hAnsi="David"/>
            <w:color w:val="0000FF"/>
            <w:u w:val="single"/>
            <w:rtl/>
          </w:rPr>
          <w:t>ע"פ 3063/12</w:t>
        </w:r>
      </w:hyperlink>
      <w:r w:rsidRPr="001212AD">
        <w:rPr>
          <w:rFonts w:ascii="David" w:hAnsi="David"/>
          <w:rtl/>
        </w:rPr>
        <w:t xml:space="preserve"> </w:t>
      </w:r>
      <w:r w:rsidRPr="001212AD">
        <w:rPr>
          <w:rFonts w:ascii="David" w:hAnsi="David"/>
          <w:b/>
          <w:bCs/>
          <w:rtl/>
        </w:rPr>
        <w:t>מדינת ישראל נ' עודה</w:t>
      </w:r>
      <w:r w:rsidRPr="001212AD">
        <w:rPr>
          <w:rFonts w:ascii="David" w:hAnsi="David"/>
          <w:rtl/>
        </w:rPr>
        <w:t>, פסקה 7 (08.05.2012)). אין צורך להכביר במילים אודות תחושת הפחד והאימה שאחזו במתלוננים, עת הושלך לעברם בקבוקי תבערה אשר התלקחו ופגעו בחלק מהם.</w:t>
      </w:r>
    </w:p>
    <w:p w14:paraId="032D8CAE" w14:textId="77777777" w:rsidR="00AF3494" w:rsidRPr="001212AD" w:rsidRDefault="00AF3494" w:rsidP="00AF3494">
      <w:pPr>
        <w:spacing w:line="360" w:lineRule="auto"/>
        <w:ind w:left="720" w:hanging="720"/>
        <w:jc w:val="both"/>
        <w:rPr>
          <w:rFonts w:ascii="David" w:hAnsi="David"/>
          <w:rtl/>
        </w:rPr>
      </w:pPr>
      <w:r w:rsidRPr="001212AD">
        <w:rPr>
          <w:rFonts w:ascii="David" w:hAnsi="David"/>
          <w:rtl/>
        </w:rPr>
        <w:tab/>
        <w:t xml:space="preserve"> </w:t>
      </w:r>
    </w:p>
    <w:p w14:paraId="057A9EF2" w14:textId="77777777" w:rsidR="00AF3494" w:rsidRPr="001212AD" w:rsidRDefault="00AF3494" w:rsidP="00AF3494">
      <w:pPr>
        <w:spacing w:line="360" w:lineRule="auto"/>
        <w:ind w:left="720" w:hanging="720"/>
        <w:jc w:val="both"/>
        <w:rPr>
          <w:rFonts w:ascii="David" w:hAnsi="David"/>
          <w:rtl/>
        </w:rPr>
      </w:pPr>
      <w:r w:rsidRPr="001212AD">
        <w:rPr>
          <w:rFonts w:ascii="David" w:hAnsi="David"/>
          <w:rtl/>
        </w:rPr>
        <w:t>19.</w:t>
      </w:r>
      <w:r w:rsidRPr="001212AD">
        <w:rPr>
          <w:rFonts w:ascii="David" w:hAnsi="David"/>
          <w:rtl/>
        </w:rPr>
        <w:tab/>
      </w:r>
      <w:r w:rsidRPr="001212AD">
        <w:rPr>
          <w:rFonts w:ascii="David" w:hAnsi="David"/>
          <w:b/>
          <w:bCs/>
          <w:rtl/>
        </w:rPr>
        <w:t xml:space="preserve">בחינת מדיניות הענישה הנהוגה </w:t>
      </w:r>
      <w:r w:rsidRPr="001212AD">
        <w:rPr>
          <w:rFonts w:ascii="David" w:hAnsi="David"/>
          <w:rtl/>
        </w:rPr>
        <w:t>בעבירות נשק וגרימת חבלה בכוונה מחמירה מעלה</w:t>
      </w:r>
      <w:r w:rsidRPr="001212AD">
        <w:rPr>
          <w:rFonts w:ascii="David" w:hAnsi="David" w:hint="cs"/>
          <w:rtl/>
        </w:rPr>
        <w:t>,</w:t>
      </w:r>
      <w:r w:rsidRPr="001212AD">
        <w:rPr>
          <w:rFonts w:ascii="David" w:hAnsi="David"/>
          <w:rtl/>
        </w:rPr>
        <w:t xml:space="preserve"> כי היא כוללת מנעד רחב של רמות ענישה, בהתאם לטיב המעשה ונסיבותיו של הנאשם, כאשר מעיון בפסיקה נראה כי רוב המקרים התייחסו לאירועים של ידוי בקבוקי תבערה לעבר כוחות הביטחון ומתוך מניע אידיאולוגי-לאומני, </w:t>
      </w:r>
      <w:r w:rsidRPr="001212AD">
        <w:rPr>
          <w:rFonts w:ascii="David" w:hAnsi="David" w:hint="cs"/>
          <w:rtl/>
        </w:rPr>
        <w:t xml:space="preserve">ששונים מן המקרה שלפניי. </w:t>
      </w:r>
      <w:r w:rsidRPr="001212AD">
        <w:rPr>
          <w:rFonts w:ascii="David" w:hAnsi="David"/>
          <w:rtl/>
        </w:rPr>
        <w:t>יחד עם האמור אפנה להלן לחלק מהמקרים אשר ניתן להקיש מהם לענייננו:</w:t>
      </w:r>
    </w:p>
    <w:p w14:paraId="4C305214" w14:textId="77777777" w:rsidR="00AF3494" w:rsidRPr="001212AD" w:rsidRDefault="00AF3494" w:rsidP="00AF3494">
      <w:pPr>
        <w:spacing w:line="360" w:lineRule="auto"/>
        <w:ind w:left="720" w:hanging="720"/>
        <w:jc w:val="both"/>
        <w:rPr>
          <w:rFonts w:ascii="David" w:hAnsi="David"/>
          <w:rtl/>
        </w:rPr>
      </w:pPr>
    </w:p>
    <w:p w14:paraId="74C9A185" w14:textId="77777777" w:rsidR="00AF3494" w:rsidRPr="001212AD" w:rsidRDefault="00AF3494" w:rsidP="00AF3494">
      <w:pPr>
        <w:spacing w:line="360" w:lineRule="auto"/>
        <w:ind w:left="1440" w:hanging="720"/>
        <w:jc w:val="both"/>
        <w:rPr>
          <w:rFonts w:ascii="David" w:hAnsi="David"/>
          <w:rtl/>
        </w:rPr>
      </w:pPr>
      <w:r w:rsidRPr="001212AD">
        <w:rPr>
          <w:rFonts w:ascii="David" w:hAnsi="David"/>
          <w:rtl/>
        </w:rPr>
        <w:t>א.</w:t>
      </w:r>
      <w:r w:rsidRPr="001212AD">
        <w:rPr>
          <w:rFonts w:ascii="David" w:hAnsi="David"/>
          <w:rtl/>
        </w:rPr>
        <w:tab/>
      </w:r>
      <w:hyperlink r:id="rId40" w:history="1">
        <w:r w:rsidR="00A164F1" w:rsidRPr="00A164F1">
          <w:rPr>
            <w:rFonts w:ascii="David" w:hAnsi="David"/>
            <w:color w:val="0000FF"/>
            <w:u w:val="single"/>
            <w:rtl/>
          </w:rPr>
          <w:t>ע"פ 2337/13</w:t>
        </w:r>
      </w:hyperlink>
      <w:r w:rsidRPr="001212AD">
        <w:rPr>
          <w:rFonts w:ascii="David" w:hAnsi="David"/>
          <w:rtl/>
        </w:rPr>
        <w:t xml:space="preserve"> </w:t>
      </w:r>
      <w:r w:rsidRPr="001212AD">
        <w:rPr>
          <w:rFonts w:ascii="David" w:hAnsi="David"/>
          <w:b/>
          <w:bCs/>
          <w:rtl/>
        </w:rPr>
        <w:t>קואסמה נ' מדינת ישראל</w:t>
      </w:r>
      <w:r w:rsidRPr="001212AD">
        <w:rPr>
          <w:rFonts w:ascii="David" w:hAnsi="David"/>
          <w:rtl/>
        </w:rPr>
        <w:t xml:space="preserve"> (16.09.2013) – בגדרו אישר בית המשפט העליון את מתחם העונש ההולם שנקבע על-ידי בית המשפט המחוזי ולפיו "</w:t>
      </w:r>
      <w:r w:rsidRPr="001212AD">
        <w:rPr>
          <w:rFonts w:ascii="David" w:hAnsi="David"/>
          <w:b/>
          <w:bCs/>
          <w:rtl/>
        </w:rPr>
        <w:t>מתחם הענישה ההולם בכל אישום הכולל עבירות של יידוי בקבוק תבערה לעבר כלי רכב או לעבר בניין מגורים, שבו הייתה הרשעה בעבירות של ייצור נשק, ניסיון הצתה וניסיון לגרימת חבלה בכוונה מחמירה הוא בין 12 חודשים ל-40 חודשי מאסר למבצע העיקרי</w:t>
      </w:r>
      <w:r w:rsidRPr="001212AD">
        <w:rPr>
          <w:rFonts w:ascii="David" w:hAnsi="David"/>
          <w:rtl/>
        </w:rPr>
        <w:t>" (פסקה 14). באותו מקרה הורשעו המערערים בעבירות של ייצור נשק, גרימת חבלה בכוונה מחמירה, ניסיון הצתה, ניסיון תקיפת שוטרים והתפרעות, בכך שמתוך מניע אידיא</w:t>
      </w:r>
      <w:r w:rsidRPr="001212AD">
        <w:rPr>
          <w:rFonts w:ascii="David" w:hAnsi="David" w:hint="cs"/>
          <w:rtl/>
        </w:rPr>
        <w:t>ו</w:t>
      </w:r>
      <w:r w:rsidRPr="001212AD">
        <w:rPr>
          <w:rFonts w:ascii="David" w:hAnsi="David"/>
          <w:rtl/>
        </w:rPr>
        <w:t xml:space="preserve">לוגי יידו הנאשמים בקבוקי תבערה לעבר כוחות הביטחון והתושבים היהודים בשכונה. על הנאשמים הוטלו עונשים אשר נעים בין 36 עד 40 חודשי מאסר בפועל. </w:t>
      </w:r>
    </w:p>
    <w:p w14:paraId="76465B2E" w14:textId="77777777" w:rsidR="00AF3494" w:rsidRPr="001212AD" w:rsidRDefault="00AF3494" w:rsidP="00AF3494">
      <w:pPr>
        <w:spacing w:line="360" w:lineRule="auto"/>
        <w:ind w:left="1440" w:hanging="720"/>
        <w:jc w:val="both"/>
        <w:rPr>
          <w:rFonts w:ascii="David" w:hAnsi="David"/>
          <w:rtl/>
        </w:rPr>
      </w:pPr>
    </w:p>
    <w:p w14:paraId="0424FB43" w14:textId="77777777" w:rsidR="00AF3494" w:rsidRPr="001212AD" w:rsidRDefault="00AF3494" w:rsidP="00AF3494">
      <w:pPr>
        <w:spacing w:line="360" w:lineRule="auto"/>
        <w:ind w:left="1440" w:hanging="720"/>
        <w:jc w:val="both"/>
        <w:rPr>
          <w:rFonts w:ascii="David" w:hAnsi="David"/>
          <w:rtl/>
        </w:rPr>
      </w:pPr>
      <w:r w:rsidRPr="001212AD">
        <w:rPr>
          <w:rFonts w:ascii="David" w:hAnsi="David"/>
          <w:rtl/>
        </w:rPr>
        <w:t>ב.</w:t>
      </w:r>
      <w:r w:rsidRPr="001212AD">
        <w:rPr>
          <w:rFonts w:ascii="David" w:hAnsi="David"/>
          <w:rtl/>
        </w:rPr>
        <w:tab/>
      </w:r>
      <w:hyperlink r:id="rId41" w:history="1">
        <w:r w:rsidR="00F50D82" w:rsidRPr="00F50D82">
          <w:rPr>
            <w:rFonts w:ascii="David" w:hAnsi="David"/>
            <w:color w:val="0000FF"/>
            <w:u w:val="single"/>
            <w:rtl/>
          </w:rPr>
          <w:t xml:space="preserve">בע"פ 258/17 </w:t>
        </w:r>
      </w:hyperlink>
      <w:r w:rsidRPr="001212AD">
        <w:rPr>
          <w:rFonts w:ascii="David" w:hAnsi="David"/>
          <w:rtl/>
        </w:rPr>
        <w:t xml:space="preserve"> </w:t>
      </w:r>
      <w:r w:rsidRPr="001212AD">
        <w:rPr>
          <w:rFonts w:ascii="David" w:hAnsi="David"/>
          <w:b/>
          <w:bCs/>
          <w:rtl/>
        </w:rPr>
        <w:t>סלאח נ' מדינת ישראל</w:t>
      </w:r>
      <w:r w:rsidRPr="001212AD">
        <w:rPr>
          <w:rFonts w:ascii="David" w:hAnsi="David"/>
          <w:rtl/>
        </w:rPr>
        <w:t xml:space="preserve"> (10.08.2017) – בית המשפט העליון הקל בעונשו של נאשם שהורשע יחד עם קטין בשלושה אישומים הכוללים עבירות של חבלה בכוונה מחמירה, נשק (ייצור, נשיאה והובלה) ותקיפת עובד ציבור, בכך שייצרו בקבוקי תבערה ויידו אותם לעבר כוחות הביטחון כחלק </w:t>
      </w:r>
      <w:r w:rsidRPr="001212AD">
        <w:rPr>
          <w:rFonts w:ascii="David" w:hAnsi="David" w:hint="cs"/>
          <w:rtl/>
        </w:rPr>
        <w:t>מ</w:t>
      </w:r>
      <w:r w:rsidRPr="001212AD">
        <w:rPr>
          <w:rFonts w:ascii="David" w:hAnsi="David"/>
          <w:rtl/>
        </w:rPr>
        <w:t>התפרעויות אשר התרחשו באותה עת בשכונ</w:t>
      </w:r>
      <w:r w:rsidRPr="001212AD">
        <w:rPr>
          <w:rFonts w:ascii="David" w:hAnsi="David" w:hint="cs"/>
          <w:rtl/>
        </w:rPr>
        <w:t>ת</w:t>
      </w:r>
      <w:r w:rsidRPr="001212AD">
        <w:rPr>
          <w:rFonts w:ascii="David" w:hAnsi="David"/>
          <w:rtl/>
        </w:rPr>
        <w:t xml:space="preserve"> עיסוויה בירושלים. בית המשפט העליון קבע כי נסיבות ביצוע המעשים שבהם הורשעו המערערים – לאחר תכנון מוקדם, ממניע </w:t>
      </w:r>
      <w:r w:rsidRPr="001212AD">
        <w:rPr>
          <w:rFonts w:ascii="David" w:hAnsi="David" w:hint="cs"/>
          <w:rtl/>
        </w:rPr>
        <w:t>אידאולוגי</w:t>
      </w:r>
      <w:r w:rsidRPr="001212AD">
        <w:rPr>
          <w:rFonts w:ascii="David" w:hAnsi="David"/>
          <w:rtl/>
        </w:rPr>
        <w:t xml:space="preserve">-לאומני, בחבורה ועם פוטנציאל נזק משמעותי מחייבים ענישה מחמירה, אך בנסיבות העניין מצא להקל בעונש שהושת על המערער והשית עליו עונש של 4 שנות מאסר בפועל (על הקטין הושת עונש של 3 שנות מאסר בפועל).  </w:t>
      </w:r>
    </w:p>
    <w:p w14:paraId="19C7DD15" w14:textId="77777777" w:rsidR="00AF3494" w:rsidRPr="001212AD" w:rsidRDefault="00AF3494" w:rsidP="00AF3494">
      <w:pPr>
        <w:spacing w:line="360" w:lineRule="auto"/>
        <w:ind w:left="1440" w:hanging="720"/>
        <w:jc w:val="both"/>
        <w:rPr>
          <w:rFonts w:ascii="David" w:hAnsi="David"/>
          <w:rtl/>
        </w:rPr>
      </w:pPr>
    </w:p>
    <w:p w14:paraId="23793AC2" w14:textId="77777777" w:rsidR="00AF3494" w:rsidRPr="001212AD" w:rsidRDefault="00AF3494" w:rsidP="00AF3494">
      <w:pPr>
        <w:spacing w:line="360" w:lineRule="auto"/>
        <w:ind w:left="1440" w:hanging="720"/>
        <w:jc w:val="both"/>
        <w:rPr>
          <w:rFonts w:ascii="David" w:hAnsi="David"/>
          <w:rtl/>
        </w:rPr>
      </w:pPr>
      <w:r w:rsidRPr="001212AD">
        <w:rPr>
          <w:rFonts w:ascii="David" w:hAnsi="David"/>
          <w:rtl/>
        </w:rPr>
        <w:t>ג.</w:t>
      </w:r>
      <w:r w:rsidRPr="001212AD">
        <w:rPr>
          <w:rFonts w:ascii="David" w:hAnsi="David"/>
          <w:rtl/>
        </w:rPr>
        <w:tab/>
      </w:r>
      <w:hyperlink r:id="rId42" w:history="1">
        <w:r w:rsidR="00A164F1" w:rsidRPr="00A164F1">
          <w:rPr>
            <w:rFonts w:ascii="David" w:hAnsi="David"/>
            <w:color w:val="0000FF"/>
            <w:u w:val="single"/>
            <w:rtl/>
          </w:rPr>
          <w:t>ע"פ 5300/16</w:t>
        </w:r>
      </w:hyperlink>
      <w:r w:rsidRPr="001212AD">
        <w:rPr>
          <w:rFonts w:ascii="David" w:hAnsi="David"/>
          <w:rtl/>
        </w:rPr>
        <w:t xml:space="preserve"> </w:t>
      </w:r>
      <w:r w:rsidRPr="001212AD">
        <w:rPr>
          <w:rFonts w:ascii="David" w:hAnsi="David"/>
          <w:b/>
          <w:bCs/>
          <w:rtl/>
        </w:rPr>
        <w:t>מדינת ישראל נ' נגאר</w:t>
      </w:r>
      <w:r w:rsidRPr="001212AD">
        <w:rPr>
          <w:rFonts w:ascii="David" w:hAnsi="David"/>
          <w:rtl/>
        </w:rPr>
        <w:t xml:space="preserve"> (08.01.2017) – הוחמר עונשו של נאשם שהורשע בעבירות של ניסיון תקיפה שוטר בנסיבות מחמירות, ייצור נשק, חבלה בכוונה מחמירה, יידוי אבן לעבר כלי תחבורה והתפרעות, בכך שהכין יחד עם אחר בקבוקי תבערה ויידה אותם לעבר כוחות הביטחון (יצוין כי כתב האישום כלל חמישה אישומים, כאשר בחלק מהאישומים הורשע הנאשם בעבירות של יידוי אבנים). על הנאשם הושת עונש של 40 חודשי מאסר בפועל. </w:t>
      </w:r>
    </w:p>
    <w:p w14:paraId="7CCFECEE" w14:textId="77777777" w:rsidR="00AF3494" w:rsidRPr="001212AD" w:rsidRDefault="00AF3494" w:rsidP="00AF3494">
      <w:pPr>
        <w:spacing w:line="360" w:lineRule="auto"/>
        <w:ind w:left="1440" w:hanging="720"/>
        <w:jc w:val="both"/>
        <w:rPr>
          <w:rFonts w:ascii="David" w:hAnsi="David"/>
          <w:rtl/>
        </w:rPr>
      </w:pPr>
    </w:p>
    <w:p w14:paraId="4FC1591A" w14:textId="77777777" w:rsidR="00AF3494" w:rsidRPr="001212AD" w:rsidRDefault="00AF3494" w:rsidP="00AF3494">
      <w:pPr>
        <w:spacing w:line="360" w:lineRule="auto"/>
        <w:ind w:left="1440" w:hanging="720"/>
        <w:jc w:val="both"/>
        <w:rPr>
          <w:rFonts w:ascii="David" w:hAnsi="David"/>
          <w:rtl/>
        </w:rPr>
      </w:pPr>
      <w:r w:rsidRPr="001212AD">
        <w:rPr>
          <w:rFonts w:ascii="David" w:hAnsi="David"/>
          <w:rtl/>
        </w:rPr>
        <w:t>ד.</w:t>
      </w:r>
      <w:r w:rsidRPr="001212AD">
        <w:rPr>
          <w:rFonts w:ascii="David" w:hAnsi="David"/>
          <w:rtl/>
        </w:rPr>
        <w:tab/>
      </w:r>
      <w:hyperlink r:id="rId43" w:history="1">
        <w:r w:rsidR="00A164F1" w:rsidRPr="00A164F1">
          <w:rPr>
            <w:rFonts w:ascii="David" w:hAnsi="David"/>
            <w:color w:val="0000FF"/>
            <w:u w:val="single"/>
            <w:rtl/>
          </w:rPr>
          <w:t>ע"פ 47/13</w:t>
        </w:r>
      </w:hyperlink>
      <w:r w:rsidRPr="001212AD">
        <w:rPr>
          <w:rFonts w:ascii="David" w:hAnsi="David"/>
          <w:rtl/>
        </w:rPr>
        <w:t xml:space="preserve"> </w:t>
      </w:r>
      <w:r w:rsidRPr="001212AD">
        <w:rPr>
          <w:rFonts w:ascii="David" w:hAnsi="David"/>
          <w:b/>
          <w:bCs/>
          <w:rtl/>
        </w:rPr>
        <w:t>משעל נ' מדינת ישראל</w:t>
      </w:r>
      <w:r w:rsidRPr="001212AD">
        <w:rPr>
          <w:rFonts w:ascii="David" w:hAnsi="David"/>
          <w:rtl/>
        </w:rPr>
        <w:t xml:space="preserve"> (25.12.2013) – המערער הורשע בעבירות של היזק בזדון, תקיפה הגורמת חבלה של ממש, עבירות יצור נשק והצתה, בכך שבעקבות סכסוך עם שכניו השליך לעבר ביתם אבנים, ייצר שני בקבוקי תבערה והשליך אחד מהם לדירה שכנה וכן הצית אש בארון המטבח של השכנה, דרך חור שפער בעבר והשליך בקבוק תבערה שלא נדלק. למערער עבר פלילי מכביד בעבירות רכוש וסמים, הושת עליו 40 חודשי מאסר בפועל לצד ענישה נלווית.</w:t>
      </w:r>
    </w:p>
    <w:p w14:paraId="478410FD" w14:textId="77777777" w:rsidR="00AF3494" w:rsidRPr="001212AD" w:rsidRDefault="00AF3494" w:rsidP="00AF3494">
      <w:pPr>
        <w:spacing w:line="360" w:lineRule="auto"/>
        <w:ind w:left="1440" w:hanging="720"/>
        <w:jc w:val="both"/>
        <w:rPr>
          <w:rFonts w:ascii="David" w:hAnsi="David"/>
          <w:rtl/>
        </w:rPr>
      </w:pPr>
    </w:p>
    <w:p w14:paraId="308C8BE2" w14:textId="77777777" w:rsidR="00AF3494" w:rsidRPr="001212AD" w:rsidRDefault="00AF3494" w:rsidP="00AF3494">
      <w:pPr>
        <w:spacing w:line="360" w:lineRule="auto"/>
        <w:ind w:left="1440" w:hanging="720"/>
        <w:jc w:val="both"/>
        <w:rPr>
          <w:rFonts w:ascii="David" w:hAnsi="David"/>
          <w:rtl/>
        </w:rPr>
      </w:pPr>
      <w:r w:rsidRPr="001212AD">
        <w:rPr>
          <w:rFonts w:ascii="David" w:hAnsi="David"/>
          <w:rtl/>
        </w:rPr>
        <w:t>ה.</w:t>
      </w:r>
      <w:r w:rsidRPr="001212AD">
        <w:rPr>
          <w:rFonts w:ascii="David" w:hAnsi="David"/>
          <w:rtl/>
        </w:rPr>
        <w:tab/>
        <w:t>ב</w:t>
      </w:r>
      <w:hyperlink r:id="rId44" w:history="1">
        <w:r w:rsidR="00A164F1" w:rsidRPr="00A164F1">
          <w:rPr>
            <w:rFonts w:ascii="David" w:hAnsi="David"/>
            <w:color w:val="0000FF"/>
            <w:u w:val="single"/>
            <w:rtl/>
          </w:rPr>
          <w:t>ע"פ 1806/17</w:t>
        </w:r>
      </w:hyperlink>
      <w:r w:rsidRPr="001212AD">
        <w:rPr>
          <w:rFonts w:ascii="David" w:hAnsi="David"/>
          <w:rtl/>
        </w:rPr>
        <w:t xml:space="preserve"> </w:t>
      </w:r>
      <w:r w:rsidRPr="001212AD">
        <w:rPr>
          <w:rFonts w:ascii="David" w:hAnsi="David"/>
          <w:b/>
          <w:bCs/>
          <w:rtl/>
        </w:rPr>
        <w:t xml:space="preserve">דארי נ' מדינת ישראל </w:t>
      </w:r>
      <w:r w:rsidRPr="001212AD">
        <w:rPr>
          <w:rFonts w:ascii="David" w:hAnsi="David"/>
          <w:rtl/>
        </w:rPr>
        <w:t>(29.05.2017) – נדחה ערעורו של נאשם שהורשע על יסוד הודאתו בעבירות של התפרעויות, ניסיון הצתה וניסיון תקיפה עובד ציבור, כאשר על-פי המפורט בשני אישומים השליך הנאשם בקבוקי תבערה לעבר כוחות הביטחון ויידה לעברם אבנים. נקבע מתחם עונש הולם אשר נע בין 12-30 חודשי מאסר בפועל (באישום הכולל יידוי בקבוקי תבערה לעבר כוחות הביטחון), והושת על הנאשם, צעיר בן 20 ללא עבר פלילי – 32 חודשי מאסר בפועל.</w:t>
      </w:r>
    </w:p>
    <w:p w14:paraId="1ADF2C01" w14:textId="77777777" w:rsidR="00AF3494" w:rsidRPr="001212AD" w:rsidRDefault="00AF3494" w:rsidP="00AF3494">
      <w:pPr>
        <w:spacing w:line="360" w:lineRule="auto"/>
        <w:jc w:val="both"/>
        <w:rPr>
          <w:rFonts w:ascii="David" w:hAnsi="David"/>
          <w:rtl/>
        </w:rPr>
      </w:pPr>
    </w:p>
    <w:p w14:paraId="7EA7E01A" w14:textId="77777777" w:rsidR="00AF3494" w:rsidRPr="001212AD" w:rsidRDefault="00AF3494" w:rsidP="00AF3494">
      <w:pPr>
        <w:spacing w:line="360" w:lineRule="auto"/>
        <w:ind w:left="720" w:hanging="720"/>
        <w:jc w:val="both"/>
        <w:rPr>
          <w:rFonts w:ascii="David" w:hAnsi="David"/>
          <w:rtl/>
        </w:rPr>
      </w:pPr>
      <w:r w:rsidRPr="001212AD">
        <w:rPr>
          <w:rFonts w:ascii="David" w:hAnsi="David"/>
          <w:rtl/>
        </w:rPr>
        <w:t>20.</w:t>
      </w:r>
      <w:r w:rsidRPr="001212AD">
        <w:rPr>
          <w:rFonts w:ascii="David" w:hAnsi="David"/>
          <w:rtl/>
        </w:rPr>
        <w:tab/>
        <w:t>כפי שנקבע לא אחת על-ידי בית המשפט העליון, "</w:t>
      </w:r>
      <w:r w:rsidRPr="001212AD">
        <w:rPr>
          <w:rFonts w:ascii="David" w:hAnsi="David"/>
          <w:b/>
          <w:bCs/>
          <w:rtl/>
        </w:rPr>
        <w:t>כל פרשה יחודית היא, ואין עבריין אחד דומה לחברו. איש איש ונסיבותיו, איש איש ורוע מעללו. קשה עד בלתי-אפשרי לאפיין כל פרשה על-פי אמות מידה ברורות ומהן לגזור את העונש ההולם</w:t>
      </w:r>
      <w:r w:rsidRPr="001212AD">
        <w:rPr>
          <w:rFonts w:ascii="David" w:hAnsi="David"/>
          <w:rtl/>
        </w:rPr>
        <w:t>" (</w:t>
      </w:r>
      <w:hyperlink r:id="rId45" w:history="1">
        <w:r w:rsidR="00A164F1" w:rsidRPr="00A164F1">
          <w:rPr>
            <w:rFonts w:ascii="David" w:hAnsi="David"/>
            <w:color w:val="0000FF"/>
            <w:u w:val="single"/>
            <w:rtl/>
          </w:rPr>
          <w:t>ע"פ 5668/13</w:t>
        </w:r>
      </w:hyperlink>
      <w:r w:rsidRPr="001212AD">
        <w:rPr>
          <w:rFonts w:ascii="David" w:hAnsi="David"/>
          <w:rtl/>
        </w:rPr>
        <w:t xml:space="preserve"> </w:t>
      </w:r>
      <w:r w:rsidRPr="001212AD">
        <w:rPr>
          <w:rFonts w:ascii="David" w:hAnsi="David"/>
          <w:b/>
          <w:bCs/>
          <w:rtl/>
        </w:rPr>
        <w:t>מזרחי נ' מדינת ישראל</w:t>
      </w:r>
      <w:r w:rsidRPr="001212AD">
        <w:rPr>
          <w:rFonts w:ascii="David" w:hAnsi="David"/>
          <w:rtl/>
        </w:rPr>
        <w:t xml:space="preserve">, פסקה 37 (17.03.2016)), אך יחד עם האמור, בשים לב למדיניות הענישה הנהוגה שפורטה לעיל ובשים לב לעונשים שנקבעו בצדן של העבירות, בהתחשב בערכים שנפגעו מביצוע העבירות, מידת הפגיעה בהם ונסיבות ביצוע העבירות יש לאמץ מתחם ענישה התואם את דרגת החומרה של מעשיו של הנאשם ולקבוע, כי מתחם העונש ההולם בנסיבות העניין נע בין </w:t>
      </w:r>
      <w:r w:rsidRPr="001212AD">
        <w:rPr>
          <w:rFonts w:ascii="David" w:hAnsi="David" w:hint="cs"/>
          <w:rtl/>
        </w:rPr>
        <w:t xml:space="preserve">24 </w:t>
      </w:r>
      <w:r w:rsidRPr="001212AD">
        <w:rPr>
          <w:rFonts w:ascii="David" w:hAnsi="David"/>
          <w:rtl/>
        </w:rPr>
        <w:t xml:space="preserve">חודשי מאסר בפועל עד </w:t>
      </w:r>
      <w:r w:rsidRPr="001212AD">
        <w:rPr>
          <w:rFonts w:ascii="David" w:hAnsi="David" w:hint="cs"/>
          <w:rtl/>
        </w:rPr>
        <w:t>60</w:t>
      </w:r>
      <w:r w:rsidRPr="001212AD">
        <w:rPr>
          <w:rFonts w:ascii="David" w:hAnsi="David"/>
          <w:rtl/>
        </w:rPr>
        <w:t xml:space="preserve"> חודשי מאסר בפועל, לצד רכיבי ענישה של מאסר מותנה ופיצוי.  </w:t>
      </w:r>
    </w:p>
    <w:p w14:paraId="094D3910" w14:textId="77777777" w:rsidR="00AF3494" w:rsidRPr="001212AD" w:rsidRDefault="00AF3494" w:rsidP="00AF3494">
      <w:pPr>
        <w:spacing w:line="360" w:lineRule="auto"/>
        <w:ind w:left="720" w:hanging="720"/>
        <w:jc w:val="both"/>
        <w:rPr>
          <w:rFonts w:ascii="David" w:hAnsi="David"/>
          <w:rtl/>
        </w:rPr>
      </w:pPr>
    </w:p>
    <w:p w14:paraId="7292D8C7" w14:textId="77777777" w:rsidR="00AF3494" w:rsidRPr="001212AD" w:rsidRDefault="00AF3494" w:rsidP="00AF3494">
      <w:pPr>
        <w:spacing w:line="360" w:lineRule="auto"/>
        <w:ind w:left="720" w:hanging="720"/>
        <w:jc w:val="both"/>
        <w:rPr>
          <w:rFonts w:ascii="David" w:hAnsi="David"/>
          <w:rtl/>
        </w:rPr>
      </w:pPr>
      <w:r w:rsidRPr="001212AD">
        <w:rPr>
          <w:rFonts w:ascii="David" w:hAnsi="David"/>
          <w:u w:val="single"/>
          <w:rtl/>
        </w:rPr>
        <w:t>העונש המתאים לנאשם</w:t>
      </w:r>
      <w:r w:rsidRPr="001212AD">
        <w:rPr>
          <w:rFonts w:ascii="David" w:hAnsi="David"/>
          <w:rtl/>
        </w:rPr>
        <w:t>:</w:t>
      </w:r>
    </w:p>
    <w:p w14:paraId="06932C74" w14:textId="77777777" w:rsidR="00AF3494" w:rsidRPr="001212AD" w:rsidRDefault="00AF3494" w:rsidP="00AF3494">
      <w:pPr>
        <w:spacing w:line="360" w:lineRule="auto"/>
        <w:jc w:val="both"/>
        <w:rPr>
          <w:rFonts w:ascii="David" w:hAnsi="David"/>
          <w:rtl/>
        </w:rPr>
      </w:pPr>
    </w:p>
    <w:p w14:paraId="571D0FD1" w14:textId="77777777" w:rsidR="00AF3494" w:rsidRPr="00AF3494" w:rsidRDefault="00AF3494" w:rsidP="00AF3494">
      <w:pPr>
        <w:spacing w:line="360" w:lineRule="auto"/>
        <w:ind w:left="720" w:hanging="720"/>
        <w:jc w:val="both"/>
        <w:rPr>
          <w:rFonts w:ascii="David" w:eastAsia="Calibri" w:hAnsi="David"/>
          <w:rtl/>
        </w:rPr>
      </w:pPr>
      <w:r w:rsidRPr="001212AD">
        <w:rPr>
          <w:rFonts w:ascii="David" w:hAnsi="David"/>
          <w:rtl/>
        </w:rPr>
        <w:t>21.</w:t>
      </w:r>
      <w:r w:rsidRPr="001212AD">
        <w:rPr>
          <w:rFonts w:ascii="David" w:hAnsi="David"/>
          <w:rtl/>
        </w:rPr>
        <w:tab/>
        <w:t>בקביעת העונש המתאים לנאשם, בגדרי המתחם או בסטייה ממנו, יש להתחשב בנסיבות שאינן קשורות בביצוע העבירה ובכלל זה בנסיבותיו של הנאשם ובסיכויי שיוקמו. מאחר ועל-פי טיעוני הצדדים לא עולה שאלת שיקומו של הנאשם על הפרק, ומאחר ולא קיימים שיקולים אשר מצדיקים חריגה מהמתחם לחומרה או לקולה, אקבע עונשו של הנאשם בתוך המתחם שנקבע.</w:t>
      </w:r>
    </w:p>
    <w:p w14:paraId="10F4AF2D" w14:textId="77777777" w:rsidR="00AF3494" w:rsidRPr="001212AD" w:rsidRDefault="00AF3494" w:rsidP="00AF3494">
      <w:pPr>
        <w:spacing w:line="360" w:lineRule="auto"/>
        <w:ind w:left="720" w:hanging="720"/>
        <w:jc w:val="both"/>
        <w:rPr>
          <w:rFonts w:ascii="David" w:hAnsi="David"/>
          <w:rtl/>
        </w:rPr>
      </w:pPr>
    </w:p>
    <w:p w14:paraId="15F11A8E" w14:textId="77777777" w:rsidR="00AF3494" w:rsidRPr="001212AD" w:rsidRDefault="00AF3494" w:rsidP="00AF3494">
      <w:pPr>
        <w:spacing w:line="360" w:lineRule="auto"/>
        <w:ind w:left="720" w:hanging="720"/>
        <w:jc w:val="both"/>
        <w:rPr>
          <w:rFonts w:ascii="David" w:hAnsi="David"/>
          <w:rtl/>
        </w:rPr>
      </w:pPr>
      <w:r w:rsidRPr="001212AD">
        <w:rPr>
          <w:rFonts w:ascii="David" w:hAnsi="David"/>
          <w:rtl/>
        </w:rPr>
        <w:t>22.</w:t>
      </w:r>
      <w:r w:rsidRPr="001212AD">
        <w:rPr>
          <w:rFonts w:ascii="David" w:hAnsi="David"/>
          <w:rtl/>
        </w:rPr>
        <w:tab/>
      </w:r>
      <w:r w:rsidRPr="001212AD">
        <w:rPr>
          <w:rFonts w:ascii="David" w:hAnsi="David" w:hint="cs"/>
          <w:rtl/>
        </w:rPr>
        <w:t xml:space="preserve">מדובר </w:t>
      </w:r>
      <w:r w:rsidRPr="001212AD">
        <w:rPr>
          <w:rFonts w:ascii="David" w:hAnsi="David"/>
          <w:rtl/>
        </w:rPr>
        <w:t>בנאשם בן 43, נעדר הרשעות קודמות ועד לאירוע נשוא כתב האישום, ניהל אורח חיים נורמטיבי.</w:t>
      </w:r>
      <w:r w:rsidRPr="001212AD">
        <w:rPr>
          <w:rFonts w:ascii="David" w:hAnsi="David" w:hint="cs"/>
          <w:rtl/>
        </w:rPr>
        <w:t xml:space="preserve"> </w:t>
      </w:r>
      <w:r w:rsidRPr="001212AD">
        <w:rPr>
          <w:rFonts w:ascii="David" w:hAnsi="David"/>
          <w:rtl/>
        </w:rPr>
        <w:t>על-פי טיעוני הסניגור, בטרם מעצרו עבד הנאשם לתקופות ממושכות, נישא, התגרש והתנהל באופן נורמטיבי עד שהחל הסכסוך בינו לבין השכנים. נטען כי לאחר האירועים נשוא כתב האישום ביצעו המתלוננים ירי לכיוון ביתו של הנאשם.</w:t>
      </w:r>
    </w:p>
    <w:p w14:paraId="5D947ED1" w14:textId="77777777" w:rsidR="00AF3494" w:rsidRPr="001212AD" w:rsidRDefault="00AF3494" w:rsidP="00AF3494">
      <w:pPr>
        <w:spacing w:line="360" w:lineRule="auto"/>
        <w:ind w:left="720" w:hanging="720"/>
        <w:jc w:val="both"/>
        <w:rPr>
          <w:rFonts w:ascii="David" w:hAnsi="David"/>
          <w:rtl/>
        </w:rPr>
      </w:pPr>
      <w:r w:rsidRPr="001212AD">
        <w:rPr>
          <w:rFonts w:ascii="David" w:hAnsi="David"/>
          <w:rtl/>
        </w:rPr>
        <w:tab/>
        <w:t>על אף שאין לזקוף לחובתו של הנאשם עמידתו על זכותו לניהול הליך משפטי, הרי שהנאשם לא נטל אחריות על מעשיו, לא הביע חרטה ולא עשה כל מאמץ לתיקון הנזקים אשר הסב במעשיו למתלוננים. על כן הנאשם איננו זכאי להקלה השמורה עם מי שקיבל אחריות על מעשיו וחסך זמן שיפוטי והעדת המתלוננים.</w:t>
      </w:r>
    </w:p>
    <w:p w14:paraId="24D211D6" w14:textId="77777777" w:rsidR="00AF3494" w:rsidRPr="00AF3494" w:rsidRDefault="00AF3494" w:rsidP="00AF3494">
      <w:pPr>
        <w:rPr>
          <w:rFonts w:ascii="Calibri" w:hAnsi="Calibri" w:cs="Arial"/>
          <w:sz w:val="22"/>
          <w:szCs w:val="22"/>
          <w:rtl/>
        </w:rPr>
      </w:pPr>
    </w:p>
    <w:p w14:paraId="2A030686" w14:textId="77777777" w:rsidR="00AF3494" w:rsidRPr="001212AD" w:rsidRDefault="00AF3494" w:rsidP="00AF3494">
      <w:pPr>
        <w:spacing w:line="360" w:lineRule="auto"/>
        <w:ind w:left="720" w:hanging="720"/>
        <w:jc w:val="both"/>
        <w:rPr>
          <w:rFonts w:ascii="David" w:hAnsi="David"/>
          <w:rtl/>
        </w:rPr>
      </w:pPr>
      <w:r w:rsidRPr="001212AD">
        <w:rPr>
          <w:rFonts w:ascii="David" w:hAnsi="David"/>
          <w:rtl/>
        </w:rPr>
        <w:t>23.</w:t>
      </w:r>
      <w:r w:rsidRPr="001212AD">
        <w:rPr>
          <w:rFonts w:ascii="David" w:hAnsi="David"/>
          <w:rtl/>
        </w:rPr>
        <w:tab/>
        <w:t>באיזון הראוי, בשים לב לנסיבות ביצוע העבירה</w:t>
      </w:r>
      <w:r w:rsidRPr="001212AD">
        <w:rPr>
          <w:rFonts w:ascii="David" w:hAnsi="David" w:hint="cs"/>
          <w:rtl/>
        </w:rPr>
        <w:t xml:space="preserve"> שנמצאות ברף חומרה גבוה ולאור הנזק שצפוי היה להיגרם כתוצאה מהשלכת בקבוקי תבערה לכל עבר,</w:t>
      </w:r>
      <w:r w:rsidRPr="001212AD">
        <w:rPr>
          <w:rFonts w:ascii="David" w:hAnsi="David"/>
          <w:rtl/>
        </w:rPr>
        <w:t xml:space="preserve"> ובאיזון בין נסיבותיו של הנאשם</w:t>
      </w:r>
      <w:r w:rsidRPr="001212AD">
        <w:rPr>
          <w:rFonts w:ascii="David" w:hAnsi="David" w:hint="cs"/>
          <w:rtl/>
        </w:rPr>
        <w:t xml:space="preserve"> לבין חומרת מעשיו ובשים לב למתחם הענישה ההולם את העבירה לפי נסיבותיה</w:t>
      </w:r>
      <w:r w:rsidRPr="001212AD">
        <w:rPr>
          <w:rFonts w:ascii="David" w:hAnsi="David"/>
          <w:rtl/>
        </w:rPr>
        <w:t xml:space="preserve">, סבורני כי יש לגזור על הנאשם עונש ברף האמצעי של המתחם, לצד עונש של מאסר מותנה ופיצוי לנפגעי העבירה על הנזק שנגרם להם. </w:t>
      </w:r>
    </w:p>
    <w:p w14:paraId="511E1CF8" w14:textId="77777777" w:rsidR="00AF3494" w:rsidRPr="001212AD" w:rsidRDefault="00AF3494" w:rsidP="00AF3494">
      <w:pPr>
        <w:spacing w:line="360" w:lineRule="auto"/>
        <w:ind w:right="426"/>
        <w:jc w:val="both"/>
        <w:rPr>
          <w:rtl/>
        </w:rPr>
      </w:pPr>
    </w:p>
    <w:p w14:paraId="0B4A2B37" w14:textId="77777777" w:rsidR="00AF3494" w:rsidRPr="00AF3494" w:rsidRDefault="00AF3494" w:rsidP="00AF3494">
      <w:pPr>
        <w:spacing w:line="360" w:lineRule="auto"/>
        <w:ind w:left="720" w:hanging="720"/>
        <w:jc w:val="both"/>
        <w:rPr>
          <w:rFonts w:ascii="David" w:eastAsia="Calibri" w:hAnsi="David"/>
          <w:rtl/>
        </w:rPr>
      </w:pPr>
      <w:r w:rsidRPr="001212AD">
        <w:rPr>
          <w:rFonts w:ascii="David" w:hAnsi="David"/>
          <w:rtl/>
        </w:rPr>
        <w:t>24.</w:t>
      </w:r>
      <w:r w:rsidRPr="001212AD">
        <w:rPr>
          <w:rFonts w:ascii="David" w:hAnsi="David"/>
          <w:rtl/>
        </w:rPr>
        <w:tab/>
        <w:t>בסיכומו של דבר, הנני גוזר על הנאשם את העונשים הבאים:</w:t>
      </w:r>
    </w:p>
    <w:p w14:paraId="37689DA5" w14:textId="77777777" w:rsidR="00AF3494" w:rsidRPr="00AF3494" w:rsidRDefault="00AF3494" w:rsidP="00AF3494">
      <w:pPr>
        <w:spacing w:line="360" w:lineRule="auto"/>
        <w:ind w:left="720" w:hanging="720"/>
        <w:jc w:val="both"/>
        <w:rPr>
          <w:rFonts w:ascii="David" w:eastAsia="Calibri" w:hAnsi="David"/>
          <w:rtl/>
        </w:rPr>
      </w:pPr>
    </w:p>
    <w:p w14:paraId="4374936A" w14:textId="77777777" w:rsidR="00AF3494" w:rsidRPr="001212AD" w:rsidRDefault="00AF3494" w:rsidP="00AF3494">
      <w:pPr>
        <w:pStyle w:val="a9"/>
        <w:numPr>
          <w:ilvl w:val="0"/>
          <w:numId w:val="1"/>
        </w:numPr>
        <w:spacing w:line="360" w:lineRule="auto"/>
        <w:ind w:right="426"/>
        <w:jc w:val="both"/>
        <w:rPr>
          <w:rFonts w:ascii="David" w:hAnsi="David"/>
          <w:rtl/>
        </w:rPr>
      </w:pPr>
      <w:r w:rsidRPr="001212AD">
        <w:rPr>
          <w:rFonts w:ascii="David" w:hAnsi="David" w:hint="cs"/>
          <w:rtl/>
        </w:rPr>
        <w:t xml:space="preserve">42 </w:t>
      </w:r>
      <w:r w:rsidRPr="001212AD">
        <w:rPr>
          <w:rFonts w:ascii="David" w:hAnsi="David"/>
          <w:rtl/>
        </w:rPr>
        <w:t>חודשי מאסר בפועל, בניכוי ימי מעצרו מיום 02.09.2020.</w:t>
      </w:r>
    </w:p>
    <w:p w14:paraId="6A48267E" w14:textId="77777777" w:rsidR="00AF3494" w:rsidRPr="001212AD" w:rsidRDefault="00AF3494" w:rsidP="00AF3494">
      <w:pPr>
        <w:pStyle w:val="a9"/>
        <w:spacing w:line="360" w:lineRule="auto"/>
        <w:ind w:left="1635" w:right="426"/>
        <w:jc w:val="both"/>
        <w:rPr>
          <w:rFonts w:ascii="David" w:hAnsi="David"/>
          <w:rtl/>
        </w:rPr>
      </w:pPr>
    </w:p>
    <w:p w14:paraId="6CF99992" w14:textId="77777777" w:rsidR="00AF3494" w:rsidRPr="001212AD" w:rsidRDefault="00AF3494" w:rsidP="00AF3494">
      <w:pPr>
        <w:pStyle w:val="a9"/>
        <w:numPr>
          <w:ilvl w:val="0"/>
          <w:numId w:val="1"/>
        </w:numPr>
        <w:spacing w:line="360" w:lineRule="auto"/>
        <w:jc w:val="both"/>
        <w:rPr>
          <w:rFonts w:ascii="David" w:hAnsi="David"/>
        </w:rPr>
      </w:pPr>
      <w:r w:rsidRPr="001212AD">
        <w:rPr>
          <w:rFonts w:ascii="David" w:hAnsi="David"/>
          <w:rtl/>
        </w:rPr>
        <w:t xml:space="preserve">12 חודשי מאסר על תנאי, והתנאי הוא שהנאשם לא יעבור תוך תקופה של 3 שנים מיום שחרורו, כל עבירת אלימות או רכוש מסוג פשע ויורשע בגינה. </w:t>
      </w:r>
    </w:p>
    <w:p w14:paraId="3E856229" w14:textId="77777777" w:rsidR="00AF3494" w:rsidRPr="001212AD" w:rsidRDefault="00AF3494" w:rsidP="00AF3494">
      <w:pPr>
        <w:pStyle w:val="a9"/>
        <w:rPr>
          <w:rFonts w:ascii="David" w:hAnsi="David"/>
          <w:rtl/>
        </w:rPr>
      </w:pPr>
    </w:p>
    <w:p w14:paraId="1E139CEF" w14:textId="77777777" w:rsidR="00AF3494" w:rsidRPr="001212AD" w:rsidRDefault="00AF3494" w:rsidP="00AF3494">
      <w:pPr>
        <w:pStyle w:val="a9"/>
        <w:spacing w:line="360" w:lineRule="auto"/>
        <w:ind w:left="1635"/>
        <w:jc w:val="both"/>
        <w:rPr>
          <w:rFonts w:ascii="David" w:hAnsi="David"/>
          <w:rtl/>
        </w:rPr>
      </w:pPr>
    </w:p>
    <w:p w14:paraId="71782EB9" w14:textId="77777777" w:rsidR="00AF3494" w:rsidRPr="001212AD" w:rsidRDefault="00AF3494" w:rsidP="00AF3494">
      <w:pPr>
        <w:pStyle w:val="a9"/>
        <w:numPr>
          <w:ilvl w:val="0"/>
          <w:numId w:val="1"/>
        </w:numPr>
        <w:spacing w:line="360" w:lineRule="auto"/>
        <w:jc w:val="both"/>
        <w:rPr>
          <w:rFonts w:ascii="David" w:hAnsi="David"/>
          <w:rtl/>
        </w:rPr>
      </w:pPr>
      <w:r w:rsidRPr="001212AD">
        <w:rPr>
          <w:rFonts w:ascii="David" w:hAnsi="David"/>
          <w:rtl/>
        </w:rPr>
        <w:t>אני מחייב את הנאשם לפצות כל אחד מהמתלוננים (מחמוד, פאיזה, חאלד ומנאל) בסך של 1,000 ₪ כל אחד, שי</w:t>
      </w:r>
      <w:r w:rsidRPr="001212AD">
        <w:rPr>
          <w:rFonts w:ascii="David" w:hAnsi="David" w:hint="cs"/>
          <w:rtl/>
        </w:rPr>
        <w:t>ו</w:t>
      </w:r>
      <w:r w:rsidRPr="001212AD">
        <w:rPr>
          <w:rFonts w:ascii="David" w:hAnsi="David"/>
          <w:rtl/>
        </w:rPr>
        <w:t>פקדו בקופת בית המשפט ב-10 תשלומים שווים ורצופים, כאשר הראשון בהם יהיה ב-01.</w:t>
      </w:r>
      <w:r w:rsidRPr="001212AD">
        <w:rPr>
          <w:rFonts w:ascii="David" w:hAnsi="David" w:hint="cs"/>
          <w:rtl/>
        </w:rPr>
        <w:t>10</w:t>
      </w:r>
      <w:r w:rsidRPr="001212AD">
        <w:rPr>
          <w:rFonts w:ascii="David" w:hAnsi="David"/>
          <w:rtl/>
        </w:rPr>
        <w:t>.2022 ויתרת התשלומים בתחילת כל חודש עוקב. התשלומים יבוצעו באמצעות מזכירות בית המשפט, כאשר נאסר על הנאשם לפנות למתלוננים או מי מטעמם בנוגע לתשלום הפיצוי. המאשימה תמסור למזכירות בית המשפט את פרטי המתלוננים הדרושים לצורך העברת הפיצוי לידיהם.</w:t>
      </w:r>
    </w:p>
    <w:p w14:paraId="2AA56E5D" w14:textId="77777777" w:rsidR="00AF3494" w:rsidRPr="001212AD" w:rsidRDefault="00AF3494" w:rsidP="00AF3494">
      <w:pPr>
        <w:spacing w:line="360" w:lineRule="auto"/>
        <w:jc w:val="both"/>
        <w:rPr>
          <w:rFonts w:ascii="David" w:hAnsi="David"/>
          <w:rtl/>
        </w:rPr>
      </w:pPr>
    </w:p>
    <w:p w14:paraId="2787A2B4" w14:textId="77777777" w:rsidR="00AF3494" w:rsidRPr="001212AD" w:rsidRDefault="00AF3494" w:rsidP="00AF3494">
      <w:pPr>
        <w:spacing w:line="360" w:lineRule="auto"/>
        <w:ind w:left="720" w:hanging="720"/>
        <w:jc w:val="both"/>
        <w:rPr>
          <w:rFonts w:ascii="David" w:hAnsi="David"/>
          <w:rtl/>
        </w:rPr>
      </w:pPr>
      <w:r w:rsidRPr="001212AD">
        <w:rPr>
          <w:rFonts w:ascii="David" w:hAnsi="David"/>
          <w:b/>
          <w:bCs/>
          <w:u w:val="single"/>
          <w:rtl/>
        </w:rPr>
        <w:t>זכות ערעור לבית המשפט העליון תוך 45 ימים מהיום.</w:t>
      </w:r>
    </w:p>
    <w:p w14:paraId="1979A0B8" w14:textId="77777777" w:rsidR="00AF3494" w:rsidRPr="00AF3494" w:rsidRDefault="00AF3494" w:rsidP="00AF3494">
      <w:pPr>
        <w:rPr>
          <w:rFonts w:ascii="Calibri" w:hAnsi="Calibri" w:cs="Arial"/>
          <w:sz w:val="22"/>
          <w:szCs w:val="22"/>
          <w:rtl/>
        </w:rPr>
      </w:pPr>
    </w:p>
    <w:p w14:paraId="6A1777B3" w14:textId="77777777" w:rsidR="00AF3494" w:rsidRPr="00A164F1" w:rsidRDefault="00A164F1" w:rsidP="00AF3494">
      <w:pPr>
        <w:rPr>
          <w:rFonts w:ascii="Arial" w:hAnsi="Arial"/>
          <w:b/>
          <w:bCs/>
          <w:color w:val="FFFFFF"/>
          <w:sz w:val="2"/>
          <w:szCs w:val="2"/>
          <w:rtl/>
        </w:rPr>
      </w:pPr>
      <w:r w:rsidRPr="00A164F1">
        <w:rPr>
          <w:rFonts w:ascii="Arial" w:hAnsi="Arial"/>
          <w:b/>
          <w:bCs/>
          <w:color w:val="FFFFFF"/>
          <w:sz w:val="2"/>
          <w:szCs w:val="2"/>
          <w:rtl/>
        </w:rPr>
        <w:t>5129371</w:t>
      </w:r>
    </w:p>
    <w:p w14:paraId="21580B76" w14:textId="77777777" w:rsidR="00AF3494" w:rsidRPr="00A164F1" w:rsidRDefault="00A164F1" w:rsidP="00AF3494">
      <w:pPr>
        <w:rPr>
          <w:rFonts w:ascii="Arial" w:hAnsi="Arial"/>
          <w:b/>
          <w:bCs/>
          <w:color w:val="FFFFFF"/>
          <w:sz w:val="2"/>
          <w:szCs w:val="2"/>
          <w:rtl/>
        </w:rPr>
      </w:pPr>
      <w:r w:rsidRPr="00A164F1">
        <w:rPr>
          <w:rFonts w:ascii="Arial" w:hAnsi="Arial"/>
          <w:b/>
          <w:bCs/>
          <w:color w:val="FFFFFF"/>
          <w:sz w:val="2"/>
          <w:szCs w:val="2"/>
          <w:rtl/>
        </w:rPr>
        <w:t>54678313</w:t>
      </w:r>
    </w:p>
    <w:p w14:paraId="49BC63E4" w14:textId="77777777" w:rsidR="00AF3494" w:rsidRPr="001212AD" w:rsidRDefault="00AF3494" w:rsidP="00AF3494">
      <w:pPr>
        <w:rPr>
          <w:rFonts w:ascii="Arial" w:hAnsi="Arial"/>
          <w:b/>
          <w:bCs/>
          <w:sz w:val="26"/>
          <w:szCs w:val="26"/>
          <w:rtl/>
        </w:rPr>
      </w:pPr>
    </w:p>
    <w:p w14:paraId="5B50FA3E" w14:textId="77777777" w:rsidR="00AF3494" w:rsidRPr="001212AD" w:rsidRDefault="00A164F1" w:rsidP="00AF3494">
      <w:pPr>
        <w:rPr>
          <w:rFonts w:ascii="Arial" w:hAnsi="Arial"/>
          <w:b/>
          <w:bCs/>
          <w:sz w:val="26"/>
          <w:szCs w:val="26"/>
          <w:rtl/>
        </w:rPr>
      </w:pPr>
      <w:bookmarkStart w:id="7" w:name="Nitan"/>
      <w:r>
        <w:rPr>
          <w:rFonts w:ascii="Arial" w:hAnsi="Arial"/>
          <w:b/>
          <w:bCs/>
          <w:sz w:val="26"/>
          <w:szCs w:val="26"/>
          <w:rtl/>
        </w:rPr>
        <w:t xml:space="preserve">ניתן היום,  י"א ניסן תשפ"ב, 12 אפריל 2022, במעמד הצדדים. </w:t>
      </w:r>
      <w:bookmarkEnd w:id="7"/>
    </w:p>
    <w:p w14:paraId="4C9D0340" w14:textId="77777777" w:rsidR="00AF3494" w:rsidRPr="001212AD" w:rsidRDefault="00AF3494" w:rsidP="00A164F1">
      <w:pPr>
        <w:jc w:val="center"/>
      </w:pPr>
      <w:r w:rsidRPr="001212AD">
        <w:rPr>
          <w:rFonts w:ascii="Arial" w:hAnsi="Arial"/>
          <w:b/>
          <w:bCs/>
          <w:sz w:val="26"/>
          <w:szCs w:val="26"/>
          <w:rtl/>
        </w:rPr>
        <w:t xml:space="preserve">   </w:t>
      </w:r>
      <w:r w:rsidRPr="001212AD">
        <w:rPr>
          <w:rFonts w:ascii="Arial" w:hAnsi="Arial"/>
          <w:b/>
          <w:bCs/>
          <w:sz w:val="26"/>
          <w:szCs w:val="26"/>
          <w:rtl/>
        </w:rPr>
        <w:tab/>
      </w:r>
      <w:r w:rsidRPr="001212AD">
        <w:rPr>
          <w:rFonts w:ascii="Arial" w:hAnsi="Arial"/>
          <w:b/>
          <w:bCs/>
          <w:sz w:val="26"/>
          <w:szCs w:val="26"/>
          <w:rtl/>
        </w:rPr>
        <w:tab/>
      </w:r>
      <w:r w:rsidRPr="001212AD">
        <w:rPr>
          <w:rFonts w:ascii="Arial" w:hAnsi="Arial"/>
          <w:b/>
          <w:bCs/>
          <w:sz w:val="26"/>
          <w:szCs w:val="26"/>
          <w:rtl/>
        </w:rPr>
        <w:tab/>
      </w:r>
      <w:r w:rsidRPr="001212AD">
        <w:rPr>
          <w:rFonts w:ascii="Arial" w:hAnsi="Arial"/>
          <w:b/>
          <w:bCs/>
          <w:sz w:val="26"/>
          <w:szCs w:val="26"/>
          <w:rtl/>
        </w:rPr>
        <w:tab/>
      </w:r>
      <w:r w:rsidRPr="001212AD">
        <w:rPr>
          <w:rFonts w:ascii="Arial" w:hAnsi="Arial"/>
          <w:b/>
          <w:bCs/>
          <w:sz w:val="26"/>
          <w:szCs w:val="26"/>
          <w:rtl/>
        </w:rPr>
        <w:tab/>
      </w:r>
    </w:p>
    <w:p w14:paraId="3E928937" w14:textId="77777777" w:rsidR="00AF3494" w:rsidRPr="001212AD" w:rsidRDefault="00AF3494" w:rsidP="00AF3494">
      <w:pPr>
        <w:jc w:val="center"/>
        <w:rPr>
          <w:rFonts w:ascii="Arial" w:hAnsi="Arial"/>
          <w:b/>
          <w:bCs/>
          <w:sz w:val="26"/>
          <w:szCs w:val="26"/>
          <w:rtl/>
        </w:rPr>
      </w:pPr>
    </w:p>
    <w:p w14:paraId="16A6CA17" w14:textId="77777777" w:rsidR="00615D87" w:rsidRPr="00A164F1" w:rsidRDefault="00615D87" w:rsidP="00A164F1">
      <w:pPr>
        <w:keepNext/>
        <w:rPr>
          <w:rFonts w:ascii="David" w:hAnsi="David"/>
          <w:color w:val="000000"/>
          <w:sz w:val="22"/>
          <w:szCs w:val="22"/>
          <w:rtl/>
        </w:rPr>
      </w:pPr>
    </w:p>
    <w:p w14:paraId="17A3964C" w14:textId="77777777" w:rsidR="00A164F1" w:rsidRPr="00A164F1" w:rsidRDefault="00A164F1" w:rsidP="00A164F1">
      <w:pPr>
        <w:keepNext/>
        <w:rPr>
          <w:rFonts w:ascii="David" w:hAnsi="David"/>
          <w:color w:val="000000"/>
          <w:sz w:val="22"/>
          <w:szCs w:val="22"/>
          <w:rtl/>
        </w:rPr>
      </w:pPr>
      <w:r w:rsidRPr="00A164F1">
        <w:rPr>
          <w:rFonts w:ascii="David" w:hAnsi="David"/>
          <w:color w:val="000000"/>
          <w:sz w:val="22"/>
          <w:szCs w:val="22"/>
          <w:rtl/>
        </w:rPr>
        <w:t>נאסר ג'השאן 54678313</w:t>
      </w:r>
    </w:p>
    <w:p w14:paraId="79C98F16" w14:textId="77777777" w:rsidR="00A164F1" w:rsidRDefault="00A164F1" w:rsidP="00A164F1">
      <w:r w:rsidRPr="00A164F1">
        <w:rPr>
          <w:color w:val="000000"/>
          <w:rtl/>
        </w:rPr>
        <w:t>נוסח מסמך זה כפוף לשינויי ניסוח ועריכה</w:t>
      </w:r>
    </w:p>
    <w:p w14:paraId="44834903" w14:textId="77777777" w:rsidR="00A164F1" w:rsidRDefault="00A164F1" w:rsidP="00A164F1">
      <w:pPr>
        <w:rPr>
          <w:rtl/>
        </w:rPr>
      </w:pPr>
    </w:p>
    <w:p w14:paraId="7B94C20A" w14:textId="77777777" w:rsidR="00A164F1" w:rsidRDefault="00A164F1" w:rsidP="00A164F1">
      <w:pPr>
        <w:jc w:val="center"/>
        <w:rPr>
          <w:rFonts w:hint="cs"/>
          <w:color w:val="0000FF"/>
          <w:u w:val="single"/>
        </w:rPr>
      </w:pPr>
      <w:hyperlink r:id="rId46" w:history="1">
        <w:r>
          <w:rPr>
            <w:color w:val="0000FF"/>
            <w:u w:val="single"/>
            <w:rtl/>
          </w:rPr>
          <w:t>בעניין עריכה ושינויים במסמכי פסיקה, חקיקה ועוד באתר נבו – הקש כאן</w:t>
        </w:r>
      </w:hyperlink>
      <w:r w:rsidR="00F50D82">
        <w:rPr>
          <w:rFonts w:hint="cs"/>
          <w:color w:val="0000FF"/>
          <w:u w:val="single"/>
          <w:rtl/>
        </w:rPr>
        <w:t xml:space="preserve"> </w:t>
      </w:r>
    </w:p>
    <w:p w14:paraId="14E5048E" w14:textId="77777777" w:rsidR="00A164F1" w:rsidRPr="00A164F1" w:rsidRDefault="00A164F1" w:rsidP="00A164F1">
      <w:pPr>
        <w:jc w:val="center"/>
        <w:rPr>
          <w:color w:val="0000FF"/>
          <w:u w:val="single"/>
        </w:rPr>
      </w:pPr>
    </w:p>
    <w:sectPr w:rsidR="00A164F1" w:rsidRPr="00A164F1" w:rsidSect="00A164F1">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593EF" w14:textId="77777777" w:rsidR="005161DF" w:rsidRDefault="005161DF" w:rsidP="00FD23AD">
      <w:r>
        <w:separator/>
      </w:r>
    </w:p>
  </w:endnote>
  <w:endnote w:type="continuationSeparator" w:id="0">
    <w:p w14:paraId="42E30DC7" w14:textId="77777777" w:rsidR="005161DF" w:rsidRDefault="005161DF" w:rsidP="00FD2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16FE9" w14:textId="77777777" w:rsidR="00A164F1" w:rsidRDefault="00A164F1" w:rsidP="00A164F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92F08E0" w14:textId="77777777" w:rsidR="002F1DF4" w:rsidRPr="00A164F1" w:rsidRDefault="00A164F1" w:rsidP="00A164F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5E08E" w14:textId="77777777" w:rsidR="00A164F1" w:rsidRDefault="00A164F1" w:rsidP="00A164F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4447B">
      <w:rPr>
        <w:rFonts w:ascii="FrankRuehl" w:hAnsi="FrankRuehl" w:cs="FrankRuehl"/>
        <w:noProof/>
        <w:rtl/>
      </w:rPr>
      <w:t>1</w:t>
    </w:r>
    <w:r>
      <w:rPr>
        <w:rFonts w:ascii="FrankRuehl" w:hAnsi="FrankRuehl" w:cs="FrankRuehl"/>
        <w:rtl/>
      </w:rPr>
      <w:fldChar w:fldCharType="end"/>
    </w:r>
  </w:p>
  <w:p w14:paraId="768479A1" w14:textId="77777777" w:rsidR="002F1DF4" w:rsidRPr="00A164F1" w:rsidRDefault="00A164F1" w:rsidP="00A164F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DBD15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49A00" w14:textId="77777777" w:rsidR="005161DF" w:rsidRDefault="005161DF" w:rsidP="00FD23AD">
      <w:r>
        <w:separator/>
      </w:r>
    </w:p>
  </w:footnote>
  <w:footnote w:type="continuationSeparator" w:id="0">
    <w:p w14:paraId="3FFA4EA8" w14:textId="77777777" w:rsidR="005161DF" w:rsidRDefault="005161DF" w:rsidP="00FD23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43FDE" w14:textId="77777777" w:rsidR="00A164F1" w:rsidRPr="00A164F1" w:rsidRDefault="00A164F1" w:rsidP="00A164F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42324-09-20</w:t>
    </w:r>
    <w:r>
      <w:rPr>
        <w:rFonts w:ascii="David" w:hAnsi="David"/>
        <w:color w:val="000000"/>
        <w:sz w:val="22"/>
        <w:szCs w:val="22"/>
        <w:rtl/>
      </w:rPr>
      <w:tab/>
      <w:t xml:space="preserve"> מדינת ישראל נ' בלאל ואפיק ג'בארין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58FD8" w14:textId="77777777" w:rsidR="00A164F1" w:rsidRPr="00A164F1" w:rsidRDefault="00A164F1" w:rsidP="00A164F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42324-09-20</w:t>
    </w:r>
    <w:r>
      <w:rPr>
        <w:rFonts w:ascii="David" w:hAnsi="David"/>
        <w:color w:val="000000"/>
        <w:sz w:val="22"/>
        <w:szCs w:val="22"/>
        <w:rtl/>
      </w:rPr>
      <w:tab/>
      <w:t xml:space="preserve"> מדינת ישראל נ' בלאל ואפיק ג'בארין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42AB5"/>
    <w:multiLevelType w:val="hybridMultilevel"/>
    <w:tmpl w:val="7B501808"/>
    <w:lvl w:ilvl="0" w:tplc="BA501456">
      <w:start w:val="1"/>
      <w:numFmt w:val="hebrew1"/>
      <w:lvlText w:val="%1."/>
      <w:lvlJc w:val="left"/>
      <w:pPr>
        <w:ind w:left="1635" w:hanging="9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47759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F3494"/>
    <w:rsid w:val="0004447B"/>
    <w:rsid w:val="00081FA8"/>
    <w:rsid w:val="000A6DD5"/>
    <w:rsid w:val="001B5A3B"/>
    <w:rsid w:val="001D6107"/>
    <w:rsid w:val="002F1DF4"/>
    <w:rsid w:val="003666EF"/>
    <w:rsid w:val="003F3995"/>
    <w:rsid w:val="005161DF"/>
    <w:rsid w:val="00615D87"/>
    <w:rsid w:val="00836122"/>
    <w:rsid w:val="00A164F1"/>
    <w:rsid w:val="00A84707"/>
    <w:rsid w:val="00AF3494"/>
    <w:rsid w:val="00C8032B"/>
    <w:rsid w:val="00F50D82"/>
    <w:rsid w:val="00FD23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37450D"/>
  <w15:chartTrackingRefBased/>
  <w15:docId w15:val="{07A272BF-C073-4D9A-8E0F-12A28916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F349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F3494"/>
    <w:pPr>
      <w:tabs>
        <w:tab w:val="center" w:pos="4153"/>
        <w:tab w:val="right" w:pos="8306"/>
      </w:tabs>
    </w:pPr>
  </w:style>
  <w:style w:type="character" w:customStyle="1" w:styleId="a4">
    <w:name w:val="כותרת עליונה תו"/>
    <w:link w:val="a3"/>
    <w:rsid w:val="00AF3494"/>
    <w:rPr>
      <w:rFonts w:ascii="Times New Roman" w:eastAsia="Times New Roman" w:hAnsi="Times New Roman" w:cs="David"/>
      <w:sz w:val="24"/>
      <w:szCs w:val="24"/>
    </w:rPr>
  </w:style>
  <w:style w:type="paragraph" w:styleId="a5">
    <w:name w:val="footer"/>
    <w:basedOn w:val="a"/>
    <w:link w:val="a6"/>
    <w:rsid w:val="00AF3494"/>
    <w:pPr>
      <w:tabs>
        <w:tab w:val="center" w:pos="4153"/>
        <w:tab w:val="right" w:pos="8306"/>
      </w:tabs>
    </w:pPr>
  </w:style>
  <w:style w:type="character" w:customStyle="1" w:styleId="a6">
    <w:name w:val="כותרת תחתונה תו"/>
    <w:link w:val="a5"/>
    <w:rsid w:val="00AF3494"/>
    <w:rPr>
      <w:rFonts w:ascii="Times New Roman" w:eastAsia="Times New Roman" w:hAnsi="Times New Roman" w:cs="David"/>
      <w:sz w:val="24"/>
      <w:szCs w:val="24"/>
    </w:rPr>
  </w:style>
  <w:style w:type="table" w:styleId="a7">
    <w:name w:val="Table Grid"/>
    <w:basedOn w:val="a1"/>
    <w:rsid w:val="00AF349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F3494"/>
  </w:style>
  <w:style w:type="paragraph" w:styleId="a9">
    <w:name w:val="List Paragraph"/>
    <w:basedOn w:val="a"/>
    <w:qFormat/>
    <w:rsid w:val="00AF3494"/>
    <w:pPr>
      <w:ind w:left="720"/>
      <w:contextualSpacing/>
    </w:pPr>
  </w:style>
  <w:style w:type="character" w:styleId="Hyperlink">
    <w:name w:val="Hyperlink"/>
    <w:rsid w:val="00A164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29.a.2"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6846343" TargetMode="External"/><Relationship Id="rId39" Type="http://schemas.openxmlformats.org/officeDocument/2006/relationships/hyperlink" Target="http://www.nevo.co.il/case/5582859"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8384637" TargetMode="External"/><Relationship Id="rId42" Type="http://schemas.openxmlformats.org/officeDocument/2006/relationships/hyperlink" Target="http://www.nevo.co.il/case/21476010"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7977368"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law/70301/40c" TargetMode="External"/><Relationship Id="rId32" Type="http://schemas.openxmlformats.org/officeDocument/2006/relationships/hyperlink" Target="http://www.nevo.co.il/case/18067750" TargetMode="External"/><Relationship Id="rId37" Type="http://schemas.openxmlformats.org/officeDocument/2006/relationships/hyperlink" Target="http://www.nevo.co.il/case/27734980" TargetMode="External"/><Relationship Id="rId40" Type="http://schemas.openxmlformats.org/officeDocument/2006/relationships/hyperlink" Target="http://www.nevo.co.il/case/6859579" TargetMode="External"/><Relationship Id="rId45" Type="http://schemas.openxmlformats.org/officeDocument/2006/relationships/hyperlink" Target="http://www.nevo.co.il/case/7958246" TargetMode="External"/><Relationship Id="rId5" Type="http://schemas.openxmlformats.org/officeDocument/2006/relationships/footnotes" Target="footnotes.xml"/><Relationship Id="rId15" Type="http://schemas.openxmlformats.org/officeDocument/2006/relationships/hyperlink" Target="http://www.nevo.co.il/law/70301/329.a.2" TargetMode="External"/><Relationship Id="rId23" Type="http://schemas.openxmlformats.org/officeDocument/2006/relationships/hyperlink" Target="http://www.nevo.co.il/case/7807298" TargetMode="External"/><Relationship Id="rId28" Type="http://schemas.openxmlformats.org/officeDocument/2006/relationships/hyperlink" Target="http://www.nevo.co.il/case/17947529" TargetMode="External"/><Relationship Id="rId36" Type="http://schemas.openxmlformats.org/officeDocument/2006/relationships/hyperlink" Target="http://www.nevo.co.il/law/70301" TargetMode="External"/><Relationship Id="rId49" Type="http://schemas.openxmlformats.org/officeDocument/2006/relationships/footer" Target="footer1.xml"/><Relationship Id="rId10" Type="http://schemas.openxmlformats.org/officeDocument/2006/relationships/hyperlink" Target="http://www.nevo.co.il/law/70301/144.a" TargetMode="External"/><Relationship Id="rId19" Type="http://schemas.openxmlformats.org/officeDocument/2006/relationships/hyperlink" Target="http://www.nevo.co.il/law/70301/380" TargetMode="External"/><Relationship Id="rId31" Type="http://schemas.openxmlformats.org/officeDocument/2006/relationships/hyperlink" Target="http://www.nevo.co.il/case/6188919" TargetMode="External"/><Relationship Id="rId44" Type="http://schemas.openxmlformats.org/officeDocument/2006/relationships/hyperlink" Target="http://www.nevo.co.il/case/22275567"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380" TargetMode="External"/><Relationship Id="rId22" Type="http://schemas.openxmlformats.org/officeDocument/2006/relationships/hyperlink" Target="http://www.nevo.co.il/law/70301/40b" TargetMode="External"/><Relationship Id="rId27" Type="http://schemas.openxmlformats.org/officeDocument/2006/relationships/hyperlink" Target="http://www.nevo.co.il/case/23833066" TargetMode="External"/><Relationship Id="rId30" Type="http://schemas.openxmlformats.org/officeDocument/2006/relationships/hyperlink" Target="http://www.nevo.co.il/case/5610097" TargetMode="External"/><Relationship Id="rId35" Type="http://schemas.openxmlformats.org/officeDocument/2006/relationships/hyperlink" Target="http://www.nevo.co.il/case/27513376" TargetMode="External"/><Relationship Id="rId43" Type="http://schemas.openxmlformats.org/officeDocument/2006/relationships/hyperlink" Target="http://www.nevo.co.il/case/5568191" TargetMode="External"/><Relationship Id="rId48" Type="http://schemas.openxmlformats.org/officeDocument/2006/relationships/header" Target="header2.xml"/><Relationship Id="rId8" Type="http://schemas.openxmlformats.org/officeDocument/2006/relationships/hyperlink" Target="http://www.nevo.co.il/law/70301/40b"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192" TargetMode="External"/><Relationship Id="rId17" Type="http://schemas.openxmlformats.org/officeDocument/2006/relationships/hyperlink" Target="http://www.nevo.co.il/law/70301/144.b2"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6953827" TargetMode="External"/><Relationship Id="rId38" Type="http://schemas.openxmlformats.org/officeDocument/2006/relationships/hyperlink" Target="http://www.nevo.co.il/law/70301"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0301/192" TargetMode="External"/><Relationship Id="rId41" Type="http://schemas.openxmlformats.org/officeDocument/2006/relationships/hyperlink" Target="http://www.nevo.co.il/case/22303605"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3292</Words>
  <Characters>16464</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19717</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3539057</vt:i4>
      </vt:variant>
      <vt:variant>
        <vt:i4>114</vt:i4>
      </vt:variant>
      <vt:variant>
        <vt:i4>0</vt:i4>
      </vt:variant>
      <vt:variant>
        <vt:i4>5</vt:i4>
      </vt:variant>
      <vt:variant>
        <vt:lpwstr>http://www.nevo.co.il/case/7958246</vt:lpwstr>
      </vt:variant>
      <vt:variant>
        <vt:lpwstr/>
      </vt:variant>
      <vt:variant>
        <vt:i4>3342452</vt:i4>
      </vt:variant>
      <vt:variant>
        <vt:i4>111</vt:i4>
      </vt:variant>
      <vt:variant>
        <vt:i4>0</vt:i4>
      </vt:variant>
      <vt:variant>
        <vt:i4>5</vt:i4>
      </vt:variant>
      <vt:variant>
        <vt:lpwstr>http://www.nevo.co.il/case/22275567</vt:lpwstr>
      </vt:variant>
      <vt:variant>
        <vt:lpwstr/>
      </vt:variant>
      <vt:variant>
        <vt:i4>3342448</vt:i4>
      </vt:variant>
      <vt:variant>
        <vt:i4>108</vt:i4>
      </vt:variant>
      <vt:variant>
        <vt:i4>0</vt:i4>
      </vt:variant>
      <vt:variant>
        <vt:i4>5</vt:i4>
      </vt:variant>
      <vt:variant>
        <vt:lpwstr>http://www.nevo.co.il/case/5568191</vt:lpwstr>
      </vt:variant>
      <vt:variant>
        <vt:lpwstr/>
      </vt:variant>
      <vt:variant>
        <vt:i4>3211378</vt:i4>
      </vt:variant>
      <vt:variant>
        <vt:i4>105</vt:i4>
      </vt:variant>
      <vt:variant>
        <vt:i4>0</vt:i4>
      </vt:variant>
      <vt:variant>
        <vt:i4>5</vt:i4>
      </vt:variant>
      <vt:variant>
        <vt:lpwstr>http://www.nevo.co.il/case/21476010</vt:lpwstr>
      </vt:variant>
      <vt:variant>
        <vt:lpwstr/>
      </vt:variant>
      <vt:variant>
        <vt:i4>3276912</vt:i4>
      </vt:variant>
      <vt:variant>
        <vt:i4>102</vt:i4>
      </vt:variant>
      <vt:variant>
        <vt:i4>0</vt:i4>
      </vt:variant>
      <vt:variant>
        <vt:i4>5</vt:i4>
      </vt:variant>
      <vt:variant>
        <vt:lpwstr>http://www.nevo.co.il/case/22303605</vt:lpwstr>
      </vt:variant>
      <vt:variant>
        <vt:lpwstr/>
      </vt:variant>
      <vt:variant>
        <vt:i4>4128882</vt:i4>
      </vt:variant>
      <vt:variant>
        <vt:i4>99</vt:i4>
      </vt:variant>
      <vt:variant>
        <vt:i4>0</vt:i4>
      </vt:variant>
      <vt:variant>
        <vt:i4>5</vt:i4>
      </vt:variant>
      <vt:variant>
        <vt:lpwstr>http://www.nevo.co.il/case/6859579</vt:lpwstr>
      </vt:variant>
      <vt:variant>
        <vt:lpwstr/>
      </vt:variant>
      <vt:variant>
        <vt:i4>3932278</vt:i4>
      </vt:variant>
      <vt:variant>
        <vt:i4>96</vt:i4>
      </vt:variant>
      <vt:variant>
        <vt:i4>0</vt:i4>
      </vt:variant>
      <vt:variant>
        <vt:i4>5</vt:i4>
      </vt:variant>
      <vt:variant>
        <vt:lpwstr>http://www.nevo.co.il/case/5582859</vt:lpwstr>
      </vt:variant>
      <vt:variant>
        <vt:lpwstr/>
      </vt:variant>
      <vt:variant>
        <vt:i4>7995492</vt:i4>
      </vt:variant>
      <vt:variant>
        <vt:i4>93</vt:i4>
      </vt:variant>
      <vt:variant>
        <vt:i4>0</vt:i4>
      </vt:variant>
      <vt:variant>
        <vt:i4>5</vt:i4>
      </vt:variant>
      <vt:variant>
        <vt:lpwstr>http://www.nevo.co.il/law/70301</vt:lpwstr>
      </vt:variant>
      <vt:variant>
        <vt:lpwstr/>
      </vt:variant>
      <vt:variant>
        <vt:i4>3735673</vt:i4>
      </vt:variant>
      <vt:variant>
        <vt:i4>90</vt:i4>
      </vt:variant>
      <vt:variant>
        <vt:i4>0</vt:i4>
      </vt:variant>
      <vt:variant>
        <vt:i4>5</vt:i4>
      </vt:variant>
      <vt:variant>
        <vt:lpwstr>http://www.nevo.co.il/case/27734980</vt:lpwstr>
      </vt:variant>
      <vt:variant>
        <vt:lpwstr/>
      </vt:variant>
      <vt:variant>
        <vt:i4>7995492</vt:i4>
      </vt:variant>
      <vt:variant>
        <vt:i4>87</vt:i4>
      </vt:variant>
      <vt:variant>
        <vt:i4>0</vt:i4>
      </vt:variant>
      <vt:variant>
        <vt:i4>5</vt:i4>
      </vt:variant>
      <vt:variant>
        <vt:lpwstr>http://www.nevo.co.il/law/70301</vt:lpwstr>
      </vt:variant>
      <vt:variant>
        <vt:lpwstr/>
      </vt:variant>
      <vt:variant>
        <vt:i4>3342449</vt:i4>
      </vt:variant>
      <vt:variant>
        <vt:i4>84</vt:i4>
      </vt:variant>
      <vt:variant>
        <vt:i4>0</vt:i4>
      </vt:variant>
      <vt:variant>
        <vt:i4>5</vt:i4>
      </vt:variant>
      <vt:variant>
        <vt:lpwstr>http://www.nevo.co.il/case/27513376</vt:lpwstr>
      </vt:variant>
      <vt:variant>
        <vt:lpwstr/>
      </vt:variant>
      <vt:variant>
        <vt:i4>3539058</vt:i4>
      </vt:variant>
      <vt:variant>
        <vt:i4>81</vt:i4>
      </vt:variant>
      <vt:variant>
        <vt:i4>0</vt:i4>
      </vt:variant>
      <vt:variant>
        <vt:i4>5</vt:i4>
      </vt:variant>
      <vt:variant>
        <vt:lpwstr>http://www.nevo.co.il/case/28384637</vt:lpwstr>
      </vt:variant>
      <vt:variant>
        <vt:lpwstr/>
      </vt:variant>
      <vt:variant>
        <vt:i4>3932284</vt:i4>
      </vt:variant>
      <vt:variant>
        <vt:i4>78</vt:i4>
      </vt:variant>
      <vt:variant>
        <vt:i4>0</vt:i4>
      </vt:variant>
      <vt:variant>
        <vt:i4>5</vt:i4>
      </vt:variant>
      <vt:variant>
        <vt:lpwstr>http://www.nevo.co.il/case/6953827</vt:lpwstr>
      </vt:variant>
      <vt:variant>
        <vt:lpwstr/>
      </vt:variant>
      <vt:variant>
        <vt:i4>3342461</vt:i4>
      </vt:variant>
      <vt:variant>
        <vt:i4>75</vt:i4>
      </vt:variant>
      <vt:variant>
        <vt:i4>0</vt:i4>
      </vt:variant>
      <vt:variant>
        <vt:i4>5</vt:i4>
      </vt:variant>
      <vt:variant>
        <vt:lpwstr>http://www.nevo.co.il/case/18067750</vt:lpwstr>
      </vt:variant>
      <vt:variant>
        <vt:lpwstr/>
      </vt:variant>
      <vt:variant>
        <vt:i4>4063356</vt:i4>
      </vt:variant>
      <vt:variant>
        <vt:i4>72</vt:i4>
      </vt:variant>
      <vt:variant>
        <vt:i4>0</vt:i4>
      </vt:variant>
      <vt:variant>
        <vt:i4>5</vt:i4>
      </vt:variant>
      <vt:variant>
        <vt:lpwstr>http://www.nevo.co.il/case/6188919</vt:lpwstr>
      </vt:variant>
      <vt:variant>
        <vt:lpwstr/>
      </vt:variant>
      <vt:variant>
        <vt:i4>3342459</vt:i4>
      </vt:variant>
      <vt:variant>
        <vt:i4>69</vt:i4>
      </vt:variant>
      <vt:variant>
        <vt:i4>0</vt:i4>
      </vt:variant>
      <vt:variant>
        <vt:i4>5</vt:i4>
      </vt:variant>
      <vt:variant>
        <vt:lpwstr>http://www.nevo.co.il/case/5610097</vt:lpwstr>
      </vt:variant>
      <vt:variant>
        <vt:lpwstr/>
      </vt:variant>
      <vt:variant>
        <vt:i4>3866748</vt:i4>
      </vt:variant>
      <vt:variant>
        <vt:i4>66</vt:i4>
      </vt:variant>
      <vt:variant>
        <vt:i4>0</vt:i4>
      </vt:variant>
      <vt:variant>
        <vt:i4>5</vt:i4>
      </vt:variant>
      <vt:variant>
        <vt:lpwstr>http://www.nevo.co.il/case/7977368</vt:lpwstr>
      </vt:variant>
      <vt:variant>
        <vt:lpwstr/>
      </vt:variant>
      <vt:variant>
        <vt:i4>3997810</vt:i4>
      </vt:variant>
      <vt:variant>
        <vt:i4>63</vt:i4>
      </vt:variant>
      <vt:variant>
        <vt:i4>0</vt:i4>
      </vt:variant>
      <vt:variant>
        <vt:i4>5</vt:i4>
      </vt:variant>
      <vt:variant>
        <vt:lpwstr>http://www.nevo.co.il/case/17947529</vt:lpwstr>
      </vt:variant>
      <vt:variant>
        <vt:lpwstr/>
      </vt:variant>
      <vt:variant>
        <vt:i4>4128884</vt:i4>
      </vt:variant>
      <vt:variant>
        <vt:i4>60</vt:i4>
      </vt:variant>
      <vt:variant>
        <vt:i4>0</vt:i4>
      </vt:variant>
      <vt:variant>
        <vt:i4>5</vt:i4>
      </vt:variant>
      <vt:variant>
        <vt:lpwstr>http://www.nevo.co.il/case/23833066</vt:lpwstr>
      </vt:variant>
      <vt:variant>
        <vt:lpwstr/>
      </vt:variant>
      <vt:variant>
        <vt:i4>3276926</vt:i4>
      </vt:variant>
      <vt:variant>
        <vt:i4>57</vt:i4>
      </vt:variant>
      <vt:variant>
        <vt:i4>0</vt:i4>
      </vt:variant>
      <vt:variant>
        <vt:i4>5</vt:i4>
      </vt:variant>
      <vt:variant>
        <vt:lpwstr>http://www.nevo.co.il/case/6846343</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http://www.nevo.co.il/law/70301/40c</vt:lpwstr>
      </vt:variant>
      <vt:variant>
        <vt:lpwstr/>
      </vt:variant>
      <vt:variant>
        <vt:i4>3997810</vt:i4>
      </vt:variant>
      <vt:variant>
        <vt:i4>48</vt:i4>
      </vt:variant>
      <vt:variant>
        <vt:i4>0</vt:i4>
      </vt:variant>
      <vt:variant>
        <vt:i4>5</vt:i4>
      </vt:variant>
      <vt:variant>
        <vt:lpwstr>http://www.nevo.co.il/case/7807298</vt:lpwstr>
      </vt:variant>
      <vt:variant>
        <vt:lpwstr/>
      </vt:variant>
      <vt:variant>
        <vt:i4>6619233</vt:i4>
      </vt:variant>
      <vt:variant>
        <vt:i4>45</vt:i4>
      </vt:variant>
      <vt:variant>
        <vt:i4>0</vt:i4>
      </vt:variant>
      <vt:variant>
        <vt:i4>5</vt:i4>
      </vt:variant>
      <vt:variant>
        <vt:lpwstr>http://www.nevo.co.il/law/70301/40b</vt:lpwstr>
      </vt:variant>
      <vt:variant>
        <vt:lpwstr/>
      </vt:variant>
      <vt:variant>
        <vt:i4>7995492</vt:i4>
      </vt:variant>
      <vt:variant>
        <vt:i4>42</vt:i4>
      </vt:variant>
      <vt:variant>
        <vt:i4>0</vt:i4>
      </vt:variant>
      <vt:variant>
        <vt:i4>5</vt:i4>
      </vt:variant>
      <vt:variant>
        <vt:lpwstr>http://www.nevo.co.il/law/70301</vt:lpwstr>
      </vt:variant>
      <vt:variant>
        <vt:lpwstr/>
      </vt:variant>
      <vt:variant>
        <vt:i4>7077988</vt:i4>
      </vt:variant>
      <vt:variant>
        <vt:i4>39</vt:i4>
      </vt:variant>
      <vt:variant>
        <vt:i4>0</vt:i4>
      </vt:variant>
      <vt:variant>
        <vt:i4>5</vt:i4>
      </vt:variant>
      <vt:variant>
        <vt:lpwstr>http://www.nevo.co.il/law/70301/192</vt:lpwstr>
      </vt:variant>
      <vt:variant>
        <vt:lpwstr/>
      </vt:variant>
      <vt:variant>
        <vt:i4>7143526</vt:i4>
      </vt:variant>
      <vt:variant>
        <vt:i4>36</vt:i4>
      </vt:variant>
      <vt:variant>
        <vt:i4>0</vt:i4>
      </vt:variant>
      <vt:variant>
        <vt:i4>5</vt:i4>
      </vt:variant>
      <vt:variant>
        <vt:lpwstr>http://www.nevo.co.il/law/70301/380</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8192050</vt:i4>
      </vt:variant>
      <vt:variant>
        <vt:i4>30</vt:i4>
      </vt:variant>
      <vt:variant>
        <vt:i4>0</vt:i4>
      </vt:variant>
      <vt:variant>
        <vt:i4>5</vt:i4>
      </vt:variant>
      <vt:variant>
        <vt:lpwstr>http://www.nevo.co.il/law/70301/144.b2</vt:lpwstr>
      </vt:variant>
      <vt:variant>
        <vt:lpwstr/>
      </vt:variant>
      <vt:variant>
        <vt:i4>7995492</vt:i4>
      </vt:variant>
      <vt:variant>
        <vt:i4>27</vt:i4>
      </vt:variant>
      <vt:variant>
        <vt:i4>0</vt:i4>
      </vt:variant>
      <vt:variant>
        <vt:i4>5</vt:i4>
      </vt:variant>
      <vt:variant>
        <vt:lpwstr>http://www.nevo.co.il/law/70301</vt:lpwstr>
      </vt:variant>
      <vt:variant>
        <vt:lpwstr/>
      </vt:variant>
      <vt:variant>
        <vt:i4>6750270</vt:i4>
      </vt:variant>
      <vt:variant>
        <vt:i4>24</vt:i4>
      </vt:variant>
      <vt:variant>
        <vt:i4>0</vt:i4>
      </vt:variant>
      <vt:variant>
        <vt:i4>5</vt:i4>
      </vt:variant>
      <vt:variant>
        <vt:lpwstr>http://www.nevo.co.il/law/70301/329.a.2</vt:lpwstr>
      </vt:variant>
      <vt:variant>
        <vt:lpwstr/>
      </vt:variant>
      <vt:variant>
        <vt:i4>7143526</vt:i4>
      </vt:variant>
      <vt:variant>
        <vt:i4>21</vt:i4>
      </vt:variant>
      <vt:variant>
        <vt:i4>0</vt:i4>
      </vt:variant>
      <vt:variant>
        <vt:i4>5</vt:i4>
      </vt:variant>
      <vt:variant>
        <vt:lpwstr>http://www.nevo.co.il/law/70301/380</vt:lpwstr>
      </vt:variant>
      <vt:variant>
        <vt:lpwstr/>
      </vt:variant>
      <vt:variant>
        <vt:i4>6750270</vt:i4>
      </vt:variant>
      <vt:variant>
        <vt:i4>18</vt:i4>
      </vt:variant>
      <vt:variant>
        <vt:i4>0</vt:i4>
      </vt:variant>
      <vt:variant>
        <vt:i4>5</vt:i4>
      </vt:variant>
      <vt:variant>
        <vt:lpwstr>http://www.nevo.co.il/law/70301/329.a.2</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2025-01-19T16:37:00Z</dcterms:created>
  <dcterms:modified xsi:type="dcterms:W3CDTF">2025-01-19T16:37:00Z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42324</vt:lpwstr>
  </property>
  <property fmtid="{D5CDD505-2E9C-101B-9397-08002B2CF9AE}" pid="6" name="NEWPARTB">
    <vt:lpwstr>09</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בלאל ואפיק ג'בארין</vt:lpwstr>
  </property>
  <property fmtid="{D5CDD505-2E9C-101B-9397-08002B2CF9AE}" pid="10" name="JUDGE">
    <vt:lpwstr>נאסר ג'השאן</vt:lpwstr>
  </property>
  <property fmtid="{D5CDD505-2E9C-101B-9397-08002B2CF9AE}" pid="11" name="CITY">
    <vt:lpwstr>חי'</vt:lpwstr>
  </property>
  <property fmtid="{D5CDD505-2E9C-101B-9397-08002B2CF9AE}" pid="12" name="DATE">
    <vt:lpwstr>20220412</vt:lpwstr>
  </property>
  <property fmtid="{D5CDD505-2E9C-101B-9397-08002B2CF9AE}" pid="13" name="TYPE_N_DATE">
    <vt:lpwstr>39020220412</vt:lpwstr>
  </property>
  <property fmtid="{D5CDD505-2E9C-101B-9397-08002B2CF9AE}" pid="14" name="WORDNUMPAGES">
    <vt:lpwstr>10</vt:lpwstr>
  </property>
  <property fmtid="{D5CDD505-2E9C-101B-9397-08002B2CF9AE}" pid="15" name="TYPE_ABS_DATE">
    <vt:lpwstr>390020220412</vt:lpwstr>
  </property>
  <property fmtid="{D5CDD505-2E9C-101B-9397-08002B2CF9AE}" pid="16" name="ISABSTRACT">
    <vt:lpwstr>Y</vt:lpwstr>
  </property>
  <property fmtid="{D5CDD505-2E9C-101B-9397-08002B2CF9AE}" pid="17" name="CASESLISTTMP1">
    <vt:lpwstr>7807298;6846343;23833066;17947529;7977368;5610097;6188919;18067750;6953827;28384637;27513376;27734980;5582859;6859579;22303605;21476010;5568191;22275567;7958246</vt:lpwstr>
  </property>
  <property fmtid="{D5CDD505-2E9C-101B-9397-08002B2CF9AE}" pid="18" name="LAWLISTTMP1">
    <vt:lpwstr>70301/329.a.2;144.b2;144.a;380;192;040b;040c</vt:lpwstr>
  </property>
</Properties>
</file>