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AC692F" w:rsidRPr="009D5C30" w14:paraId="36CD6068" w14:textId="77777777" w:rsidTr="007D7F0E">
        <w:trPr>
          <w:trHeight w:hRule="exact" w:val="418"/>
          <w:jc w:val="center"/>
        </w:trPr>
        <w:tc>
          <w:tcPr>
            <w:tcW w:w="8721" w:type="dxa"/>
            <w:gridSpan w:val="2"/>
          </w:tcPr>
          <w:p w14:paraId="2B0D42EE" w14:textId="77777777" w:rsidR="00AC692F" w:rsidRPr="009D5C30" w:rsidRDefault="00AC692F" w:rsidP="00872FA9">
            <w:pPr>
              <w:pStyle w:val="a3"/>
              <w:jc w:val="center"/>
              <w:rPr>
                <w:rFonts w:ascii="Tahoma" w:hAnsi="Tahoma" w:cs="Tahoma"/>
                <w:color w:val="000080"/>
                <w:rtl/>
              </w:rPr>
            </w:pPr>
            <w:bookmarkStart w:id="0" w:name="LastJudge"/>
            <w:r w:rsidRPr="009D5C30">
              <w:rPr>
                <w:rFonts w:ascii="Tahoma" w:hAnsi="Tahoma" w:cs="Tahoma"/>
                <w:b/>
                <w:bCs/>
                <w:color w:val="000080"/>
                <w:rtl/>
              </w:rPr>
              <w:t>בית המשפט המחוזי בחיפה</w:t>
            </w:r>
          </w:p>
        </w:tc>
      </w:tr>
      <w:tr w:rsidR="00AC692F" w:rsidRPr="009D5C30" w14:paraId="5F5F7A26" w14:textId="77777777" w:rsidTr="007D7F0E">
        <w:trPr>
          <w:trHeight w:val="337"/>
          <w:jc w:val="center"/>
        </w:trPr>
        <w:tc>
          <w:tcPr>
            <w:tcW w:w="5063" w:type="dxa"/>
          </w:tcPr>
          <w:p w14:paraId="7FF8353E" w14:textId="77777777" w:rsidR="00AC692F" w:rsidRPr="009D5C30" w:rsidRDefault="00AC692F" w:rsidP="00872FA9">
            <w:pPr>
              <w:rPr>
                <w:rFonts w:cs="FrankRuehl"/>
                <w:sz w:val="28"/>
                <w:szCs w:val="28"/>
                <w:rtl/>
              </w:rPr>
            </w:pPr>
            <w:r w:rsidRPr="009D5C30">
              <w:rPr>
                <w:rFonts w:cs="FrankRuehl"/>
                <w:sz w:val="28"/>
                <w:szCs w:val="28"/>
                <w:rtl/>
              </w:rPr>
              <w:t>ת"פ</w:t>
            </w:r>
            <w:r w:rsidRPr="009D5C30">
              <w:rPr>
                <w:rFonts w:cs="FrankRuehl" w:hint="cs"/>
                <w:sz w:val="28"/>
                <w:szCs w:val="28"/>
                <w:rtl/>
              </w:rPr>
              <w:t xml:space="preserve"> </w:t>
            </w:r>
            <w:r w:rsidRPr="009D5C30">
              <w:rPr>
                <w:rFonts w:cs="FrankRuehl"/>
                <w:sz w:val="28"/>
                <w:szCs w:val="28"/>
                <w:rtl/>
              </w:rPr>
              <w:t>43957-09-20</w:t>
            </w:r>
            <w:r w:rsidRPr="009D5C30">
              <w:rPr>
                <w:rFonts w:cs="FrankRuehl" w:hint="cs"/>
                <w:sz w:val="28"/>
                <w:szCs w:val="28"/>
                <w:rtl/>
              </w:rPr>
              <w:t xml:space="preserve"> </w:t>
            </w:r>
            <w:r w:rsidRPr="009D5C30">
              <w:rPr>
                <w:rFonts w:cs="FrankRuehl"/>
                <w:sz w:val="28"/>
                <w:szCs w:val="28"/>
                <w:rtl/>
              </w:rPr>
              <w:t>ישראל נ' חוסיין(עצור/אסיר בפיקוח)</w:t>
            </w:r>
          </w:p>
          <w:p w14:paraId="701F85F4" w14:textId="77777777" w:rsidR="00AC692F" w:rsidRPr="009D5C30" w:rsidRDefault="00AC692F" w:rsidP="00872FA9">
            <w:pPr>
              <w:pStyle w:val="a3"/>
              <w:rPr>
                <w:rFonts w:cs="FrankRuehl"/>
                <w:sz w:val="28"/>
                <w:szCs w:val="28"/>
                <w:rtl/>
              </w:rPr>
            </w:pPr>
          </w:p>
        </w:tc>
        <w:tc>
          <w:tcPr>
            <w:tcW w:w="3658" w:type="dxa"/>
          </w:tcPr>
          <w:p w14:paraId="0462DA5B" w14:textId="77777777" w:rsidR="00AC692F" w:rsidRPr="009D5C30" w:rsidRDefault="00AC692F" w:rsidP="00872FA9">
            <w:pPr>
              <w:pStyle w:val="a3"/>
              <w:jc w:val="right"/>
              <w:rPr>
                <w:rFonts w:cs="FrankRuehl"/>
                <w:sz w:val="28"/>
                <w:szCs w:val="28"/>
                <w:rtl/>
              </w:rPr>
            </w:pPr>
          </w:p>
        </w:tc>
      </w:tr>
    </w:tbl>
    <w:p w14:paraId="6CDDDA45" w14:textId="77777777" w:rsidR="00AC692F" w:rsidRPr="009D5C30" w:rsidRDefault="00AC692F" w:rsidP="00AC692F">
      <w:pPr>
        <w:pStyle w:val="a3"/>
        <w:rPr>
          <w:rtl/>
        </w:rPr>
      </w:pPr>
      <w:r w:rsidRPr="009D5C30">
        <w:rPr>
          <w:rFonts w:hint="cs"/>
          <w:rtl/>
        </w:rPr>
        <w:t xml:space="preserve"> </w:t>
      </w:r>
    </w:p>
    <w:p w14:paraId="160B7A70" w14:textId="77777777" w:rsidR="00AC692F" w:rsidRPr="009D5C30" w:rsidRDefault="00AC692F" w:rsidP="00AC692F">
      <w:pPr>
        <w:jc w:val="both"/>
        <w:rPr>
          <w:rtl/>
        </w:rPr>
      </w:pPr>
    </w:p>
    <w:p w14:paraId="5164C76B" w14:textId="77777777" w:rsidR="00AC692F" w:rsidRPr="009D5C30" w:rsidRDefault="00AC692F" w:rsidP="00AC692F">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C692F" w:rsidRPr="009D5C30" w14:paraId="15AE2450" w14:textId="77777777" w:rsidTr="00AC692F">
        <w:trPr>
          <w:trHeight w:val="295"/>
          <w:jc w:val="center"/>
        </w:trPr>
        <w:tc>
          <w:tcPr>
            <w:tcW w:w="923" w:type="dxa"/>
            <w:tcBorders>
              <w:top w:val="nil"/>
              <w:left w:val="nil"/>
              <w:bottom w:val="nil"/>
              <w:right w:val="nil"/>
            </w:tcBorders>
            <w:shd w:val="clear" w:color="auto" w:fill="auto"/>
          </w:tcPr>
          <w:p w14:paraId="22433E92" w14:textId="77777777" w:rsidR="00AC692F" w:rsidRPr="009D5C30" w:rsidRDefault="00AC692F" w:rsidP="00AC692F">
            <w:pPr>
              <w:jc w:val="both"/>
              <w:rPr>
                <w:rFonts w:ascii="David" w:hAnsi="David"/>
                <w:b/>
                <w:bCs/>
                <w:sz w:val="26"/>
                <w:szCs w:val="26"/>
              </w:rPr>
            </w:pPr>
            <w:r w:rsidRPr="009D5C3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8C433B2" w14:textId="77777777" w:rsidR="00AC692F" w:rsidRPr="009D5C30" w:rsidRDefault="00AC692F" w:rsidP="00AC692F">
            <w:pPr>
              <w:jc w:val="both"/>
              <w:rPr>
                <w:rFonts w:ascii="David" w:hAnsi="David"/>
                <w:b/>
                <w:bCs/>
                <w:sz w:val="26"/>
                <w:szCs w:val="26"/>
                <w:rtl/>
              </w:rPr>
            </w:pPr>
            <w:r w:rsidRPr="009D5C30">
              <w:rPr>
                <w:rFonts w:ascii="David" w:hAnsi="David"/>
                <w:b/>
                <w:bCs/>
                <w:sz w:val="26"/>
                <w:szCs w:val="26"/>
                <w:rtl/>
              </w:rPr>
              <w:t>כבוד השופטת  רונית בש</w:t>
            </w:r>
          </w:p>
          <w:p w14:paraId="69FFE02B" w14:textId="77777777" w:rsidR="00AC692F" w:rsidRPr="009D5C30" w:rsidRDefault="00AC692F" w:rsidP="00AC692F">
            <w:pPr>
              <w:jc w:val="both"/>
              <w:rPr>
                <w:rFonts w:ascii="David" w:hAnsi="David"/>
                <w:b/>
                <w:bCs/>
                <w:sz w:val="26"/>
                <w:szCs w:val="26"/>
                <w:rtl/>
              </w:rPr>
            </w:pPr>
          </w:p>
          <w:p w14:paraId="1847CDC8" w14:textId="77777777" w:rsidR="00AC692F" w:rsidRPr="009D5C30" w:rsidRDefault="00AC692F" w:rsidP="00AC692F">
            <w:pPr>
              <w:jc w:val="both"/>
              <w:rPr>
                <w:rFonts w:ascii="David" w:hAnsi="David"/>
                <w:b/>
                <w:bCs/>
                <w:sz w:val="26"/>
                <w:szCs w:val="26"/>
              </w:rPr>
            </w:pPr>
          </w:p>
        </w:tc>
      </w:tr>
      <w:tr w:rsidR="00AC692F" w:rsidRPr="009D5C30" w14:paraId="00C80C67" w14:textId="77777777" w:rsidTr="00AC692F">
        <w:trPr>
          <w:trHeight w:val="355"/>
          <w:jc w:val="center"/>
        </w:trPr>
        <w:tc>
          <w:tcPr>
            <w:tcW w:w="923" w:type="dxa"/>
            <w:tcBorders>
              <w:top w:val="nil"/>
              <w:left w:val="nil"/>
              <w:bottom w:val="nil"/>
              <w:right w:val="nil"/>
            </w:tcBorders>
            <w:shd w:val="clear" w:color="auto" w:fill="auto"/>
          </w:tcPr>
          <w:p w14:paraId="54B3BC72" w14:textId="77777777" w:rsidR="00AC692F" w:rsidRPr="009D5C30" w:rsidRDefault="00AC692F" w:rsidP="00AC692F">
            <w:pPr>
              <w:jc w:val="both"/>
              <w:rPr>
                <w:rFonts w:ascii="David" w:hAnsi="David"/>
                <w:b/>
                <w:bCs/>
                <w:sz w:val="26"/>
                <w:szCs w:val="26"/>
              </w:rPr>
            </w:pPr>
            <w:bookmarkStart w:id="1" w:name="FirstAppellant"/>
            <w:r w:rsidRPr="009D5C30">
              <w:rPr>
                <w:rFonts w:ascii="David" w:hAnsi="David"/>
                <w:b/>
                <w:bCs/>
                <w:sz w:val="26"/>
                <w:szCs w:val="26"/>
                <w:rtl/>
              </w:rPr>
              <w:t>בעניין:</w:t>
            </w:r>
          </w:p>
        </w:tc>
        <w:tc>
          <w:tcPr>
            <w:tcW w:w="4126" w:type="dxa"/>
            <w:tcBorders>
              <w:top w:val="nil"/>
              <w:left w:val="nil"/>
              <w:bottom w:val="nil"/>
              <w:right w:val="nil"/>
            </w:tcBorders>
            <w:shd w:val="clear" w:color="auto" w:fill="auto"/>
          </w:tcPr>
          <w:p w14:paraId="0E5141C6" w14:textId="77777777" w:rsidR="00AC692F" w:rsidRPr="009D5C30" w:rsidRDefault="00AC692F" w:rsidP="00AC692F">
            <w:pPr>
              <w:jc w:val="both"/>
              <w:rPr>
                <w:rFonts w:ascii="David" w:hAnsi="David"/>
                <w:b/>
                <w:bCs/>
                <w:sz w:val="26"/>
                <w:szCs w:val="26"/>
              </w:rPr>
            </w:pPr>
            <w:r w:rsidRPr="009D5C30">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5E551308" w14:textId="77777777" w:rsidR="00AC692F" w:rsidRPr="009D5C30" w:rsidRDefault="00AC692F" w:rsidP="00AC692F">
            <w:pPr>
              <w:jc w:val="both"/>
              <w:rPr>
                <w:rFonts w:ascii="David" w:hAnsi="David"/>
                <w:b/>
                <w:bCs/>
                <w:sz w:val="26"/>
                <w:szCs w:val="26"/>
              </w:rPr>
            </w:pPr>
            <w:r w:rsidRPr="009D5C30">
              <w:rPr>
                <w:rFonts w:ascii="David" w:hAnsi="David" w:hint="cs"/>
                <w:b/>
                <w:bCs/>
                <w:sz w:val="26"/>
                <w:szCs w:val="26"/>
                <w:rtl/>
              </w:rPr>
              <w:t>המאשימה</w:t>
            </w:r>
          </w:p>
        </w:tc>
      </w:tr>
      <w:bookmarkEnd w:id="1"/>
      <w:tr w:rsidR="00AC692F" w:rsidRPr="009D5C30" w14:paraId="42F0CB33" w14:textId="77777777" w:rsidTr="00AC692F">
        <w:trPr>
          <w:trHeight w:val="355"/>
          <w:jc w:val="center"/>
        </w:trPr>
        <w:tc>
          <w:tcPr>
            <w:tcW w:w="923" w:type="dxa"/>
            <w:tcBorders>
              <w:top w:val="nil"/>
              <w:left w:val="nil"/>
              <w:bottom w:val="nil"/>
              <w:right w:val="nil"/>
            </w:tcBorders>
            <w:shd w:val="clear" w:color="auto" w:fill="auto"/>
          </w:tcPr>
          <w:p w14:paraId="15906D83" w14:textId="77777777" w:rsidR="00AC692F" w:rsidRPr="009D5C30" w:rsidRDefault="00AC692F" w:rsidP="00AC692F">
            <w:pPr>
              <w:jc w:val="center"/>
              <w:rPr>
                <w:rFonts w:ascii="David" w:hAnsi="David"/>
                <w:b/>
                <w:bCs/>
                <w:sz w:val="26"/>
                <w:szCs w:val="26"/>
                <w:rtl/>
              </w:rPr>
            </w:pPr>
          </w:p>
        </w:tc>
        <w:tc>
          <w:tcPr>
            <w:tcW w:w="7897" w:type="dxa"/>
            <w:gridSpan w:val="2"/>
            <w:tcBorders>
              <w:top w:val="nil"/>
              <w:left w:val="nil"/>
              <w:bottom w:val="nil"/>
              <w:right w:val="nil"/>
            </w:tcBorders>
            <w:shd w:val="clear" w:color="auto" w:fill="auto"/>
          </w:tcPr>
          <w:p w14:paraId="60C606DE" w14:textId="77777777" w:rsidR="00AC692F" w:rsidRPr="009D5C30" w:rsidRDefault="00AC692F" w:rsidP="00AC692F">
            <w:pPr>
              <w:jc w:val="center"/>
              <w:rPr>
                <w:rFonts w:ascii="David" w:hAnsi="David"/>
                <w:b/>
                <w:bCs/>
                <w:sz w:val="26"/>
                <w:szCs w:val="26"/>
                <w:rtl/>
              </w:rPr>
            </w:pPr>
          </w:p>
          <w:p w14:paraId="2802548B" w14:textId="77777777" w:rsidR="00AC692F" w:rsidRPr="009D5C30" w:rsidRDefault="00AC692F" w:rsidP="00AC692F">
            <w:pPr>
              <w:jc w:val="center"/>
              <w:rPr>
                <w:rFonts w:ascii="David" w:hAnsi="David"/>
                <w:b/>
                <w:bCs/>
                <w:sz w:val="26"/>
                <w:szCs w:val="26"/>
                <w:rtl/>
              </w:rPr>
            </w:pPr>
            <w:r w:rsidRPr="009D5C30">
              <w:rPr>
                <w:rFonts w:ascii="David" w:hAnsi="David"/>
                <w:b/>
                <w:bCs/>
                <w:sz w:val="26"/>
                <w:szCs w:val="26"/>
                <w:rtl/>
              </w:rPr>
              <w:t>נגד</w:t>
            </w:r>
          </w:p>
          <w:p w14:paraId="7C722B37" w14:textId="77777777" w:rsidR="00AC692F" w:rsidRPr="009D5C30" w:rsidRDefault="00AC692F" w:rsidP="00AC692F">
            <w:pPr>
              <w:jc w:val="center"/>
              <w:rPr>
                <w:rFonts w:ascii="David" w:hAnsi="David"/>
                <w:b/>
                <w:bCs/>
                <w:sz w:val="26"/>
                <w:szCs w:val="26"/>
              </w:rPr>
            </w:pPr>
          </w:p>
        </w:tc>
      </w:tr>
      <w:tr w:rsidR="00AC692F" w:rsidRPr="009D5C30" w14:paraId="21D932B7" w14:textId="77777777" w:rsidTr="00AC692F">
        <w:trPr>
          <w:trHeight w:val="355"/>
          <w:jc w:val="center"/>
        </w:trPr>
        <w:tc>
          <w:tcPr>
            <w:tcW w:w="923" w:type="dxa"/>
            <w:tcBorders>
              <w:top w:val="nil"/>
              <w:left w:val="nil"/>
              <w:bottom w:val="nil"/>
              <w:right w:val="nil"/>
            </w:tcBorders>
            <w:shd w:val="clear" w:color="auto" w:fill="auto"/>
          </w:tcPr>
          <w:p w14:paraId="2AB044DC" w14:textId="77777777" w:rsidR="00AC692F" w:rsidRPr="009D5C30" w:rsidRDefault="00AC692F" w:rsidP="00AC692F">
            <w:pPr>
              <w:jc w:val="both"/>
              <w:rPr>
                <w:rFonts w:ascii="David" w:hAnsi="David"/>
                <w:b/>
                <w:bCs/>
                <w:sz w:val="26"/>
                <w:szCs w:val="26"/>
                <w:rtl/>
              </w:rPr>
            </w:pPr>
          </w:p>
        </w:tc>
        <w:tc>
          <w:tcPr>
            <w:tcW w:w="4126" w:type="dxa"/>
            <w:tcBorders>
              <w:top w:val="nil"/>
              <w:left w:val="nil"/>
              <w:bottom w:val="nil"/>
              <w:right w:val="nil"/>
            </w:tcBorders>
            <w:shd w:val="clear" w:color="auto" w:fill="auto"/>
          </w:tcPr>
          <w:p w14:paraId="474E83E3" w14:textId="77777777" w:rsidR="00AC692F" w:rsidRPr="009D5C30" w:rsidRDefault="00AC692F" w:rsidP="00AC692F">
            <w:pPr>
              <w:jc w:val="both"/>
              <w:rPr>
                <w:rFonts w:ascii="David" w:hAnsi="David"/>
                <w:b/>
                <w:bCs/>
                <w:sz w:val="26"/>
                <w:szCs w:val="26"/>
                <w:rtl/>
              </w:rPr>
            </w:pPr>
            <w:r w:rsidRPr="009D5C30">
              <w:rPr>
                <w:rFonts w:ascii="David" w:hAnsi="David"/>
                <w:b/>
                <w:bCs/>
                <w:sz w:val="26"/>
                <w:szCs w:val="26"/>
                <w:rtl/>
              </w:rPr>
              <w:t>מוחמד חוסיין (עצור בפיקוח)</w:t>
            </w:r>
          </w:p>
        </w:tc>
        <w:tc>
          <w:tcPr>
            <w:tcW w:w="3771" w:type="dxa"/>
            <w:tcBorders>
              <w:top w:val="nil"/>
              <w:left w:val="nil"/>
              <w:bottom w:val="nil"/>
              <w:right w:val="nil"/>
            </w:tcBorders>
            <w:shd w:val="clear" w:color="auto" w:fill="auto"/>
          </w:tcPr>
          <w:p w14:paraId="2A267EBF" w14:textId="77777777" w:rsidR="00AC692F" w:rsidRPr="009D5C30" w:rsidRDefault="00AC692F" w:rsidP="00AC692F">
            <w:pPr>
              <w:jc w:val="both"/>
              <w:rPr>
                <w:rFonts w:ascii="David" w:hAnsi="David"/>
                <w:b/>
                <w:bCs/>
                <w:sz w:val="26"/>
                <w:szCs w:val="26"/>
              </w:rPr>
            </w:pPr>
            <w:r w:rsidRPr="009D5C30">
              <w:rPr>
                <w:rFonts w:ascii="David" w:hAnsi="David" w:hint="cs"/>
                <w:b/>
                <w:bCs/>
                <w:sz w:val="26"/>
                <w:szCs w:val="26"/>
                <w:rtl/>
              </w:rPr>
              <w:t>הנאשם</w:t>
            </w:r>
          </w:p>
        </w:tc>
      </w:tr>
    </w:tbl>
    <w:p w14:paraId="247B5B57" w14:textId="77777777" w:rsidR="007D7F0E" w:rsidRDefault="007D7F0E" w:rsidP="00AC692F">
      <w:pPr>
        <w:jc w:val="both"/>
        <w:rPr>
          <w:rtl/>
        </w:rPr>
      </w:pPr>
    </w:p>
    <w:p w14:paraId="2B6BEFAC" w14:textId="77777777" w:rsidR="007D7F0E" w:rsidRPr="007D7F0E" w:rsidRDefault="007D7F0E" w:rsidP="007D7F0E">
      <w:pPr>
        <w:spacing w:after="120" w:line="240" w:lineRule="exact"/>
        <w:ind w:left="283" w:hanging="283"/>
        <w:jc w:val="both"/>
        <w:rPr>
          <w:rFonts w:ascii="FrankRuehl" w:hAnsi="FrankRuehl" w:cs="FrankRuehl"/>
          <w:rtl/>
        </w:rPr>
      </w:pPr>
    </w:p>
    <w:p w14:paraId="66D675DE" w14:textId="77777777" w:rsidR="00D35B80" w:rsidRDefault="00D35B80" w:rsidP="00D35B80">
      <w:pPr>
        <w:jc w:val="both"/>
        <w:rPr>
          <w:rFonts w:ascii="Arial" w:hAnsi="Arial"/>
          <w:sz w:val="26"/>
          <w:szCs w:val="26"/>
          <w:rtl/>
        </w:rPr>
      </w:pPr>
      <w:bookmarkStart w:id="2" w:name="LawTable"/>
      <w:bookmarkEnd w:id="2"/>
    </w:p>
    <w:p w14:paraId="4C74C46D" w14:textId="77777777" w:rsidR="00D35B80" w:rsidRPr="00D35B80" w:rsidRDefault="00D35B80" w:rsidP="00D35B80">
      <w:pPr>
        <w:spacing w:before="120" w:after="120" w:line="240" w:lineRule="exact"/>
        <w:ind w:left="283" w:hanging="283"/>
        <w:jc w:val="both"/>
        <w:rPr>
          <w:rFonts w:ascii="FrankRuehl" w:hAnsi="FrankRuehl" w:cs="FrankRuehl"/>
          <w:rtl/>
        </w:rPr>
      </w:pPr>
    </w:p>
    <w:p w14:paraId="36A07053" w14:textId="77777777" w:rsidR="00D35B80" w:rsidRPr="00D35B80" w:rsidRDefault="00D35B80" w:rsidP="00D35B80">
      <w:pPr>
        <w:spacing w:before="120" w:after="120" w:line="240" w:lineRule="exact"/>
        <w:ind w:left="283" w:hanging="283"/>
        <w:jc w:val="both"/>
        <w:rPr>
          <w:rFonts w:ascii="FrankRuehl" w:hAnsi="FrankRuehl" w:cs="FrankRuehl"/>
          <w:rtl/>
        </w:rPr>
      </w:pPr>
    </w:p>
    <w:p w14:paraId="4401FB1E" w14:textId="77777777" w:rsidR="00D35B80" w:rsidRPr="00D35B80" w:rsidRDefault="00D35B80" w:rsidP="00D35B80">
      <w:pPr>
        <w:spacing w:before="120" w:after="120" w:line="240" w:lineRule="exact"/>
        <w:ind w:left="283" w:hanging="283"/>
        <w:jc w:val="both"/>
        <w:rPr>
          <w:rFonts w:ascii="FrankRuehl" w:hAnsi="FrankRuehl" w:cs="FrankRuehl"/>
          <w:rtl/>
        </w:rPr>
      </w:pPr>
      <w:r w:rsidRPr="00D35B80">
        <w:rPr>
          <w:rFonts w:ascii="FrankRuehl" w:hAnsi="FrankRuehl" w:cs="FrankRuehl"/>
          <w:rtl/>
        </w:rPr>
        <w:t xml:space="preserve">חקיקה שאוזכרה: </w:t>
      </w:r>
    </w:p>
    <w:p w14:paraId="1B0B7502" w14:textId="77777777" w:rsidR="00D35B80" w:rsidRPr="00D35B80" w:rsidRDefault="00D35B80" w:rsidP="00D35B80">
      <w:pPr>
        <w:spacing w:before="120" w:after="120" w:line="240" w:lineRule="exact"/>
        <w:ind w:left="283" w:hanging="283"/>
        <w:jc w:val="both"/>
        <w:rPr>
          <w:rFonts w:ascii="FrankRuehl" w:hAnsi="FrankRuehl" w:cs="FrankRuehl"/>
          <w:rtl/>
        </w:rPr>
      </w:pPr>
      <w:hyperlink r:id="rId7" w:history="1">
        <w:r w:rsidRPr="00D35B80">
          <w:rPr>
            <w:rFonts w:ascii="FrankRuehl" w:hAnsi="FrankRuehl" w:cs="FrankRuehl"/>
            <w:color w:val="0000FF"/>
            <w:rtl/>
          </w:rPr>
          <w:t>חוק העונשין, תשל"ז-1977</w:t>
        </w:r>
      </w:hyperlink>
      <w:r w:rsidRPr="00D35B80">
        <w:rPr>
          <w:rFonts w:ascii="FrankRuehl" w:hAnsi="FrankRuehl" w:cs="FrankRuehl"/>
          <w:rtl/>
        </w:rPr>
        <w:t xml:space="preserve">: סע'  </w:t>
      </w:r>
      <w:hyperlink r:id="rId8" w:history="1">
        <w:r w:rsidRPr="00D35B80">
          <w:rPr>
            <w:rFonts w:ascii="FrankRuehl" w:hAnsi="FrankRuehl" w:cs="FrankRuehl"/>
            <w:color w:val="0000FF"/>
            <w:rtl/>
          </w:rPr>
          <w:t>29</w:t>
        </w:r>
      </w:hyperlink>
      <w:r w:rsidRPr="00D35B80">
        <w:rPr>
          <w:rFonts w:ascii="FrankRuehl" w:hAnsi="FrankRuehl" w:cs="FrankRuehl"/>
          <w:rtl/>
        </w:rPr>
        <w:t xml:space="preserve">, </w:t>
      </w:r>
      <w:hyperlink r:id="rId9" w:history="1">
        <w:r w:rsidRPr="00D35B80">
          <w:rPr>
            <w:rFonts w:ascii="FrankRuehl" w:hAnsi="FrankRuehl" w:cs="FrankRuehl"/>
            <w:color w:val="0000FF"/>
            <w:rtl/>
          </w:rPr>
          <w:t>40ב</w:t>
        </w:r>
      </w:hyperlink>
      <w:r w:rsidRPr="00D35B80">
        <w:rPr>
          <w:rFonts w:ascii="FrankRuehl" w:hAnsi="FrankRuehl" w:cs="FrankRuehl"/>
          <w:rtl/>
        </w:rPr>
        <w:t xml:space="preserve">, </w:t>
      </w:r>
      <w:hyperlink r:id="rId10" w:history="1">
        <w:r w:rsidRPr="00D35B80">
          <w:rPr>
            <w:rFonts w:ascii="FrankRuehl" w:hAnsi="FrankRuehl" w:cs="FrankRuehl"/>
            <w:color w:val="0000FF"/>
            <w:rtl/>
          </w:rPr>
          <w:t>40ג</w:t>
        </w:r>
      </w:hyperlink>
      <w:r w:rsidRPr="00D35B80">
        <w:rPr>
          <w:rFonts w:ascii="FrankRuehl" w:hAnsi="FrankRuehl" w:cs="FrankRuehl"/>
          <w:rtl/>
        </w:rPr>
        <w:t xml:space="preserve">, </w:t>
      </w:r>
      <w:hyperlink r:id="rId11" w:history="1">
        <w:r w:rsidRPr="00D35B80">
          <w:rPr>
            <w:rFonts w:ascii="FrankRuehl" w:hAnsi="FrankRuehl" w:cs="FrankRuehl"/>
            <w:color w:val="0000FF"/>
            <w:rtl/>
          </w:rPr>
          <w:t>40ט</w:t>
        </w:r>
      </w:hyperlink>
      <w:r w:rsidRPr="00D35B80">
        <w:rPr>
          <w:rFonts w:ascii="FrankRuehl" w:hAnsi="FrankRuehl" w:cs="FrankRuehl"/>
          <w:rtl/>
        </w:rPr>
        <w:t xml:space="preserve">, </w:t>
      </w:r>
      <w:hyperlink r:id="rId12" w:history="1">
        <w:r w:rsidRPr="00D35B80">
          <w:rPr>
            <w:rFonts w:ascii="FrankRuehl" w:hAnsi="FrankRuehl" w:cs="FrankRuehl"/>
            <w:color w:val="0000FF"/>
            <w:rtl/>
          </w:rPr>
          <w:t>144</w:t>
        </w:r>
      </w:hyperlink>
      <w:r w:rsidRPr="00D35B80">
        <w:rPr>
          <w:rFonts w:ascii="FrankRuehl" w:hAnsi="FrankRuehl" w:cs="FrankRuehl"/>
          <w:rtl/>
        </w:rPr>
        <w:t xml:space="preserve">, </w:t>
      </w:r>
      <w:hyperlink r:id="rId13" w:history="1">
        <w:r w:rsidRPr="00D35B80">
          <w:rPr>
            <w:rFonts w:ascii="FrankRuehl" w:hAnsi="FrankRuehl" w:cs="FrankRuehl"/>
            <w:color w:val="0000FF"/>
            <w:rtl/>
          </w:rPr>
          <w:t>144(ב)</w:t>
        </w:r>
      </w:hyperlink>
      <w:r w:rsidRPr="00D35B80">
        <w:rPr>
          <w:rFonts w:ascii="FrankRuehl" w:hAnsi="FrankRuehl" w:cs="FrankRuehl"/>
          <w:rtl/>
        </w:rPr>
        <w:t xml:space="preserve">, </w:t>
      </w:r>
      <w:hyperlink r:id="rId14" w:history="1">
        <w:r w:rsidRPr="00D35B80">
          <w:rPr>
            <w:rFonts w:ascii="FrankRuehl" w:hAnsi="FrankRuehl" w:cs="FrankRuehl"/>
            <w:color w:val="0000FF"/>
            <w:rtl/>
          </w:rPr>
          <w:t>192</w:t>
        </w:r>
      </w:hyperlink>
      <w:r w:rsidRPr="00D35B80">
        <w:rPr>
          <w:rFonts w:ascii="FrankRuehl" w:hAnsi="FrankRuehl" w:cs="FrankRuehl"/>
          <w:rtl/>
        </w:rPr>
        <w:t xml:space="preserve">, </w:t>
      </w:r>
      <w:hyperlink r:id="rId15" w:history="1">
        <w:r w:rsidRPr="00D35B80">
          <w:rPr>
            <w:rFonts w:ascii="FrankRuehl" w:hAnsi="FrankRuehl" w:cs="FrankRuehl"/>
            <w:color w:val="0000FF"/>
            <w:rtl/>
          </w:rPr>
          <w:t>244</w:t>
        </w:r>
      </w:hyperlink>
      <w:r w:rsidRPr="00D35B80">
        <w:rPr>
          <w:rFonts w:ascii="FrankRuehl" w:hAnsi="FrankRuehl" w:cs="FrankRuehl"/>
          <w:rtl/>
        </w:rPr>
        <w:t xml:space="preserve">, </w:t>
      </w:r>
      <w:hyperlink r:id="rId16" w:history="1">
        <w:r w:rsidRPr="00D35B80">
          <w:rPr>
            <w:rFonts w:ascii="FrankRuehl" w:hAnsi="FrankRuehl" w:cs="FrankRuehl"/>
            <w:color w:val="0000FF"/>
            <w:rtl/>
          </w:rPr>
          <w:t>338(3)</w:t>
        </w:r>
      </w:hyperlink>
      <w:r w:rsidRPr="00D35B80">
        <w:rPr>
          <w:rFonts w:ascii="FrankRuehl" w:hAnsi="FrankRuehl" w:cs="FrankRuehl"/>
          <w:rtl/>
        </w:rPr>
        <w:t xml:space="preserve">, </w:t>
      </w:r>
      <w:hyperlink r:id="rId17" w:history="1">
        <w:r w:rsidRPr="00D35B80">
          <w:rPr>
            <w:rFonts w:ascii="FrankRuehl" w:hAnsi="FrankRuehl" w:cs="FrankRuehl"/>
            <w:color w:val="0000FF"/>
            <w:rtl/>
          </w:rPr>
          <w:t>338(א)(3)</w:t>
        </w:r>
      </w:hyperlink>
    </w:p>
    <w:p w14:paraId="21948FAA" w14:textId="77777777" w:rsidR="00D35B80" w:rsidRPr="00D35B80" w:rsidRDefault="00D35B80" w:rsidP="00D35B80">
      <w:pPr>
        <w:jc w:val="both"/>
        <w:rPr>
          <w:rFonts w:ascii="Arial" w:hAnsi="Arial"/>
          <w:sz w:val="26"/>
          <w:szCs w:val="26"/>
          <w:rtl/>
        </w:rPr>
      </w:pPr>
      <w:bookmarkStart w:id="3" w:name="LawTable_End"/>
      <w:bookmarkEnd w:id="3"/>
    </w:p>
    <w:p w14:paraId="5B58409A" w14:textId="77777777" w:rsidR="00AC692F" w:rsidRPr="009D5C30" w:rsidRDefault="00AC692F" w:rsidP="00AC692F">
      <w:pPr>
        <w:jc w:val="both"/>
        <w:rPr>
          <w:rFonts w:ascii="Arial" w:hAnsi="Arial"/>
          <w:sz w:val="26"/>
          <w:szCs w:val="26"/>
          <w:rtl/>
        </w:rPr>
      </w:pPr>
    </w:p>
    <w:p w14:paraId="63B33799" w14:textId="77777777" w:rsidR="007D7F0E" w:rsidRPr="009D5C30" w:rsidRDefault="007D7F0E" w:rsidP="009D5C30">
      <w:pPr>
        <w:jc w:val="center"/>
        <w:rPr>
          <w:rFonts w:ascii="David" w:hAnsi="David"/>
          <w:b/>
          <w:bCs/>
          <w:sz w:val="32"/>
          <w:szCs w:val="32"/>
          <w:u w:val="single"/>
          <w:rtl/>
        </w:rPr>
      </w:pPr>
      <w:bookmarkStart w:id="4" w:name="PsakDin" w:colFirst="0" w:colLast="0"/>
      <w:bookmarkEnd w:id="0"/>
      <w:r w:rsidRPr="009D5C30">
        <w:rPr>
          <w:rFonts w:ascii="David" w:hAnsi="David"/>
          <w:b/>
          <w:bCs/>
          <w:sz w:val="32"/>
          <w:szCs w:val="32"/>
          <w:u w:val="single"/>
          <w:rtl/>
        </w:rPr>
        <w:t>גזר דין</w:t>
      </w:r>
    </w:p>
    <w:p w14:paraId="6D68D8BF" w14:textId="77777777" w:rsidR="007D7F0E" w:rsidRPr="009D5C30" w:rsidRDefault="007D7F0E" w:rsidP="009D5C30">
      <w:pPr>
        <w:jc w:val="center"/>
        <w:rPr>
          <w:rFonts w:ascii="David" w:hAnsi="David"/>
          <w:bCs/>
          <w:sz w:val="32"/>
          <w:szCs w:val="32"/>
          <w:u w:val="single"/>
          <w:rtl/>
        </w:rPr>
      </w:pPr>
    </w:p>
    <w:bookmarkEnd w:id="4"/>
    <w:p w14:paraId="6A50145D" w14:textId="77777777" w:rsidR="00AC692F" w:rsidRPr="000454A8" w:rsidRDefault="00AC692F" w:rsidP="00AC692F">
      <w:pPr>
        <w:jc w:val="both"/>
        <w:rPr>
          <w:rFonts w:ascii="Arial" w:hAnsi="Arial"/>
          <w:sz w:val="26"/>
          <w:szCs w:val="26"/>
          <w:rtl/>
        </w:rPr>
      </w:pPr>
    </w:p>
    <w:p w14:paraId="1D2A3317" w14:textId="77777777" w:rsidR="00AC692F" w:rsidRDefault="00AC692F" w:rsidP="00AC692F">
      <w:pPr>
        <w:spacing w:line="360" w:lineRule="auto"/>
        <w:jc w:val="both"/>
        <w:rPr>
          <w:rtl/>
        </w:rPr>
      </w:pPr>
      <w:r>
        <w:rPr>
          <w:rFonts w:hint="cs"/>
          <w:rtl/>
        </w:rPr>
        <w:t>1.</w:t>
      </w:r>
      <w:r>
        <w:rPr>
          <w:rFonts w:hint="cs"/>
          <w:rtl/>
        </w:rPr>
        <w:tab/>
      </w:r>
      <w:bookmarkStart w:id="5" w:name="ABSTRACT_START"/>
      <w:bookmarkEnd w:id="5"/>
      <w:r>
        <w:rPr>
          <w:rFonts w:hint="cs"/>
          <w:rtl/>
        </w:rPr>
        <w:t xml:space="preserve">הנאשם הורשע, על יסוד הודאתו בעובדות כתב האישום בביצוע העבירות, כדלקמן: נשיאת והובלת נשק, עבירה לפי </w:t>
      </w:r>
      <w:hyperlink r:id="rId18" w:history="1">
        <w:r w:rsidR="007D7F0E" w:rsidRPr="007D7F0E">
          <w:rPr>
            <w:rStyle w:val="Hyperlink"/>
            <w:rFonts w:hint="eastAsia"/>
            <w:rtl/>
          </w:rPr>
          <w:t>סעיף</w:t>
        </w:r>
        <w:r w:rsidR="007D7F0E" w:rsidRPr="007D7F0E">
          <w:rPr>
            <w:rStyle w:val="Hyperlink"/>
            <w:rtl/>
          </w:rPr>
          <w:t xml:space="preserve"> 144(ב)</w:t>
        </w:r>
      </w:hyperlink>
      <w:r>
        <w:rPr>
          <w:rFonts w:hint="cs"/>
          <w:rtl/>
        </w:rPr>
        <w:t xml:space="preserve"> רישא בצירוף </w:t>
      </w:r>
      <w:hyperlink r:id="rId19" w:history="1">
        <w:r w:rsidR="007D7F0E" w:rsidRPr="007D7F0E">
          <w:rPr>
            <w:rStyle w:val="Hyperlink"/>
            <w:rFonts w:hint="eastAsia"/>
            <w:rtl/>
          </w:rPr>
          <w:t>סעיף</w:t>
        </w:r>
        <w:r w:rsidR="007D7F0E" w:rsidRPr="007D7F0E">
          <w:rPr>
            <w:rStyle w:val="Hyperlink"/>
            <w:rtl/>
          </w:rPr>
          <w:t xml:space="preserve"> 29</w:t>
        </w:r>
      </w:hyperlink>
      <w:r>
        <w:rPr>
          <w:rFonts w:hint="cs"/>
          <w:rtl/>
        </w:rPr>
        <w:t xml:space="preserve"> ל</w:t>
      </w:r>
      <w:hyperlink r:id="rId20" w:history="1">
        <w:r w:rsidR="009D5C30" w:rsidRPr="009D5C30">
          <w:rPr>
            <w:color w:val="0000FF"/>
            <w:u w:val="single"/>
            <w:rtl/>
          </w:rPr>
          <w:t>חוק העונשין</w:t>
        </w:r>
      </w:hyperlink>
      <w:r>
        <w:rPr>
          <w:rFonts w:hint="cs"/>
          <w:rtl/>
        </w:rPr>
        <w:t xml:space="preserve">, התשל"ז-1977 (להלן: </w:t>
      </w:r>
      <w:r w:rsidRPr="00006CF7">
        <w:rPr>
          <w:rFonts w:ascii="Miriam" w:hAnsi="Miriam" w:cs="Miriam"/>
          <w:rtl/>
        </w:rPr>
        <w:t>חוק העונשין</w:t>
      </w:r>
      <w:r>
        <w:rPr>
          <w:rFonts w:hint="cs"/>
          <w:rtl/>
        </w:rPr>
        <w:t xml:space="preserve">); שיבוש מהלכי משפט, עבירה לפי </w:t>
      </w:r>
      <w:hyperlink r:id="rId21" w:history="1">
        <w:r w:rsidR="007D7F0E" w:rsidRPr="007D7F0E">
          <w:rPr>
            <w:rStyle w:val="Hyperlink"/>
            <w:rFonts w:hint="eastAsia"/>
            <w:rtl/>
          </w:rPr>
          <w:t>סעיף</w:t>
        </w:r>
        <w:r w:rsidR="007D7F0E" w:rsidRPr="007D7F0E">
          <w:rPr>
            <w:rStyle w:val="Hyperlink"/>
            <w:rtl/>
          </w:rPr>
          <w:t xml:space="preserve"> 244</w:t>
        </w:r>
      </w:hyperlink>
      <w:r>
        <w:rPr>
          <w:rFonts w:hint="cs"/>
          <w:rtl/>
        </w:rPr>
        <w:t xml:space="preserve"> בצירוף </w:t>
      </w:r>
      <w:hyperlink r:id="rId22" w:history="1">
        <w:r w:rsidR="007D7F0E" w:rsidRPr="007D7F0E">
          <w:rPr>
            <w:rStyle w:val="Hyperlink"/>
            <w:rFonts w:hint="eastAsia"/>
            <w:rtl/>
          </w:rPr>
          <w:t>סעיף</w:t>
        </w:r>
        <w:r w:rsidR="007D7F0E" w:rsidRPr="007D7F0E">
          <w:rPr>
            <w:rStyle w:val="Hyperlink"/>
            <w:rtl/>
          </w:rPr>
          <w:t xml:space="preserve"> 29</w:t>
        </w:r>
      </w:hyperlink>
      <w:r>
        <w:rPr>
          <w:rFonts w:hint="cs"/>
          <w:rtl/>
        </w:rPr>
        <w:t xml:space="preserve"> לחוק העונשין; מעשי פזיזות או רשלנות, עבירה לפי </w:t>
      </w:r>
      <w:hyperlink r:id="rId23" w:history="1">
        <w:r w:rsidR="007D7F0E" w:rsidRPr="007D7F0E">
          <w:rPr>
            <w:rStyle w:val="Hyperlink"/>
            <w:rFonts w:hint="eastAsia"/>
            <w:rtl/>
          </w:rPr>
          <w:t>סעיף</w:t>
        </w:r>
        <w:r w:rsidR="007D7F0E" w:rsidRPr="007D7F0E">
          <w:rPr>
            <w:rStyle w:val="Hyperlink"/>
            <w:rtl/>
          </w:rPr>
          <w:t xml:space="preserve"> 338(3)</w:t>
        </w:r>
      </w:hyperlink>
      <w:r>
        <w:rPr>
          <w:rFonts w:hint="cs"/>
          <w:rtl/>
        </w:rPr>
        <w:t xml:space="preserve"> בצירוף </w:t>
      </w:r>
      <w:hyperlink r:id="rId24" w:history="1">
        <w:r w:rsidR="007D7F0E" w:rsidRPr="007D7F0E">
          <w:rPr>
            <w:rStyle w:val="Hyperlink"/>
            <w:rFonts w:hint="eastAsia"/>
            <w:rtl/>
          </w:rPr>
          <w:t>סעיף</w:t>
        </w:r>
        <w:r w:rsidR="007D7F0E" w:rsidRPr="007D7F0E">
          <w:rPr>
            <w:rStyle w:val="Hyperlink"/>
            <w:rtl/>
          </w:rPr>
          <w:t xml:space="preserve"> 29</w:t>
        </w:r>
      </w:hyperlink>
      <w:r>
        <w:rPr>
          <w:rFonts w:hint="cs"/>
          <w:rtl/>
        </w:rPr>
        <w:t xml:space="preserve"> לחוק העונשין; איומים, עבירה לפי </w:t>
      </w:r>
      <w:hyperlink r:id="rId25" w:history="1">
        <w:r w:rsidR="007D7F0E" w:rsidRPr="007D7F0E">
          <w:rPr>
            <w:rStyle w:val="Hyperlink"/>
            <w:rFonts w:hint="eastAsia"/>
            <w:rtl/>
          </w:rPr>
          <w:t>סעיף</w:t>
        </w:r>
        <w:r w:rsidR="007D7F0E" w:rsidRPr="007D7F0E">
          <w:rPr>
            <w:rStyle w:val="Hyperlink"/>
            <w:rtl/>
          </w:rPr>
          <w:t xml:space="preserve"> 192</w:t>
        </w:r>
      </w:hyperlink>
      <w:r>
        <w:rPr>
          <w:rFonts w:hint="cs"/>
          <w:rtl/>
        </w:rPr>
        <w:t xml:space="preserve"> לחוק העונשין.</w:t>
      </w:r>
    </w:p>
    <w:p w14:paraId="76F6C422" w14:textId="77777777" w:rsidR="00AC692F" w:rsidRDefault="00AC692F" w:rsidP="00AC692F">
      <w:pPr>
        <w:jc w:val="both"/>
        <w:rPr>
          <w:rtl/>
        </w:rPr>
      </w:pPr>
    </w:p>
    <w:p w14:paraId="73CF30D4" w14:textId="77777777" w:rsidR="00AC692F" w:rsidRPr="00706936" w:rsidRDefault="00AC692F" w:rsidP="00AC692F">
      <w:pPr>
        <w:spacing w:line="360" w:lineRule="auto"/>
        <w:jc w:val="both"/>
        <w:rPr>
          <w:rFonts w:ascii="Miriam" w:hAnsi="Miriam" w:cs="Miriam"/>
          <w:b/>
          <w:bCs/>
          <w:u w:val="single"/>
          <w:rtl/>
        </w:rPr>
      </w:pPr>
      <w:bookmarkStart w:id="6" w:name="ABSTRACT_END"/>
      <w:bookmarkEnd w:id="6"/>
      <w:r w:rsidRPr="00706936">
        <w:rPr>
          <w:rFonts w:ascii="Miriam" w:hAnsi="Miriam" w:cs="Miriam"/>
          <w:b/>
          <w:bCs/>
          <w:u w:val="single"/>
          <w:rtl/>
        </w:rPr>
        <w:t>כתב האישום</w:t>
      </w:r>
    </w:p>
    <w:p w14:paraId="6E91252E" w14:textId="77777777" w:rsidR="00AC692F" w:rsidRDefault="00AC692F" w:rsidP="00AC692F">
      <w:pPr>
        <w:spacing w:line="360" w:lineRule="auto"/>
        <w:jc w:val="both"/>
        <w:rPr>
          <w:rtl/>
        </w:rPr>
      </w:pPr>
    </w:p>
    <w:p w14:paraId="514C52C4" w14:textId="77777777" w:rsidR="00AC692F" w:rsidRDefault="00AC692F" w:rsidP="00AC692F">
      <w:pPr>
        <w:spacing w:line="360" w:lineRule="auto"/>
        <w:jc w:val="both"/>
        <w:rPr>
          <w:rtl/>
        </w:rPr>
      </w:pPr>
      <w:r>
        <w:rPr>
          <w:rFonts w:hint="cs"/>
          <w:rtl/>
        </w:rPr>
        <w:t>2.</w:t>
      </w:r>
      <w:r>
        <w:rPr>
          <w:rFonts w:hint="cs"/>
          <w:rtl/>
        </w:rPr>
        <w:tab/>
      </w:r>
      <w:r w:rsidRPr="00295431">
        <w:rPr>
          <w:rFonts w:hint="cs"/>
          <w:rtl/>
        </w:rPr>
        <w:t xml:space="preserve">אחמד חלאילה (להלן: </w:t>
      </w:r>
      <w:r w:rsidRPr="00295431">
        <w:rPr>
          <w:rFonts w:ascii="Miriam" w:hAnsi="Miriam" w:cs="Miriam"/>
          <w:rtl/>
        </w:rPr>
        <w:t>המתלונן</w:t>
      </w:r>
      <w:r>
        <w:rPr>
          <w:rFonts w:hint="cs"/>
          <w:rtl/>
        </w:rPr>
        <w:t>) מתגורר בדיר חנא</w:t>
      </w:r>
      <w:r w:rsidRPr="00295431">
        <w:rPr>
          <w:rFonts w:hint="cs"/>
          <w:rtl/>
        </w:rPr>
        <w:t xml:space="preserve"> והוא סגן ראש המועצה המקומית. מג'ד חטיב (להלן: </w:t>
      </w:r>
      <w:r w:rsidRPr="00295431">
        <w:rPr>
          <w:rFonts w:ascii="Miriam" w:hAnsi="Miriam" w:cs="Miriam"/>
          <w:rtl/>
        </w:rPr>
        <w:t>מג'ד</w:t>
      </w:r>
      <w:r w:rsidRPr="00295431">
        <w:rPr>
          <w:rFonts w:hint="cs"/>
          <w:rtl/>
        </w:rPr>
        <w:t>) וטאלב חטיב (להלן:</w:t>
      </w:r>
      <w:r>
        <w:rPr>
          <w:rFonts w:ascii="Miriam" w:hAnsi="Miriam" w:cs="Miriam" w:hint="cs"/>
          <w:rtl/>
        </w:rPr>
        <w:t xml:space="preserve"> </w:t>
      </w:r>
      <w:r w:rsidRPr="00295431">
        <w:rPr>
          <w:rFonts w:ascii="Miriam" w:hAnsi="Miriam" w:cs="Miriam"/>
          <w:rtl/>
        </w:rPr>
        <w:t>טאלב</w:t>
      </w:r>
      <w:r w:rsidRPr="00295431">
        <w:rPr>
          <w:rFonts w:hint="cs"/>
          <w:rtl/>
        </w:rPr>
        <w:t>)</w:t>
      </w:r>
      <w:r>
        <w:rPr>
          <w:rFonts w:hint="cs"/>
          <w:rtl/>
        </w:rPr>
        <w:t xml:space="preserve"> הם חברים וקרובי משפחה. בין מג'ד וטאלב לבין הנאשם, המכונה "בטריה", ישנה הכרות מוקדמת  והנאשם אף עבד אצל מג'ד. בין מג'ד וטאלב לבין וסים חטיב (להלן: </w:t>
      </w:r>
      <w:r w:rsidRPr="00006CF7">
        <w:rPr>
          <w:rFonts w:ascii="Miriam" w:hAnsi="Miriam" w:cs="Miriam"/>
          <w:rtl/>
        </w:rPr>
        <w:t>וסים</w:t>
      </w:r>
      <w:r>
        <w:rPr>
          <w:rFonts w:hint="cs"/>
          <w:rtl/>
        </w:rPr>
        <w:t>) ישנם קשרי משפחה. וסים מתגורר במרחק של כ- 200 מטרים מביתו של מג'ד ובמרחק של כ- 1.8 ק"מ מביתו של המתלונן.</w:t>
      </w:r>
    </w:p>
    <w:p w14:paraId="7810092F" w14:textId="77777777" w:rsidR="00AC692F" w:rsidRDefault="00AC692F" w:rsidP="00AC692F">
      <w:pPr>
        <w:spacing w:line="360" w:lineRule="auto"/>
        <w:jc w:val="both"/>
        <w:rPr>
          <w:rtl/>
        </w:rPr>
      </w:pPr>
    </w:p>
    <w:p w14:paraId="1A3D4411" w14:textId="77777777" w:rsidR="00AC692F" w:rsidRDefault="00AC692F" w:rsidP="00AC692F">
      <w:pPr>
        <w:spacing w:line="360" w:lineRule="auto"/>
        <w:jc w:val="both"/>
        <w:rPr>
          <w:rtl/>
        </w:rPr>
      </w:pPr>
      <w:r>
        <w:rPr>
          <w:rtl/>
        </w:rPr>
        <w:tab/>
      </w:r>
      <w:r>
        <w:rPr>
          <w:rFonts w:hint="cs"/>
          <w:rtl/>
        </w:rPr>
        <w:t xml:space="preserve">במועד מדויק שאינו ידוע למאשימה, עובר ליום 27/8/20 שעה 21:46, קשר מג'ד קשר עם טאלב ועם הנאשם (להלן: </w:t>
      </w:r>
      <w:r w:rsidRPr="00813ECC">
        <w:rPr>
          <w:rFonts w:ascii="Miriam" w:hAnsi="Miriam" w:cs="Miriam"/>
          <w:rtl/>
        </w:rPr>
        <w:t>השלושה</w:t>
      </w:r>
      <w:r>
        <w:rPr>
          <w:rFonts w:hint="cs"/>
          <w:rtl/>
        </w:rPr>
        <w:t xml:space="preserve">), לזרוק רימון לעבר ביתו של המתלונן (להלן: </w:t>
      </w:r>
      <w:r w:rsidRPr="00813ECC">
        <w:rPr>
          <w:rFonts w:ascii="Miriam" w:hAnsi="Miriam" w:cs="Miriam"/>
          <w:rtl/>
        </w:rPr>
        <w:t>הקשר</w:t>
      </w:r>
      <w:r>
        <w:rPr>
          <w:rFonts w:hint="cs"/>
          <w:rtl/>
        </w:rPr>
        <w:t>), במטרה לאיים על המתלונן, זאת על רקע פסילת מכרז בתאריך 26/8/20 אליו ניגשו בני משפחתו של מג'ד. במסגרת הקשר, סיכמו השלושה להגיע לביתו של המתלונן כשהם רכובים על טרקטורון  שממנו יוסרו סימני הזיהוי. לשם מימוש הקשר וביצועו, סמוך לשעה 21:46, הגיע מג'ד לביתו של וסים כשהוא רכוב על טרקטורו</w:t>
      </w:r>
      <w:r>
        <w:rPr>
          <w:rFonts w:hint="eastAsia"/>
          <w:rtl/>
        </w:rPr>
        <w:t>ן</w:t>
      </w:r>
      <w:r>
        <w:rPr>
          <w:rFonts w:hint="cs"/>
          <w:rtl/>
        </w:rPr>
        <w:t>. לאחר זמן קצר הגיע למקום הנאשם בטנדר שחור מתוצרת חברת טויוטה השייך למג'ד. הנאשם ומג'ד פירקו מהטרקטורון את לוחיות הזיהוי ושני דגלים בולטים שהיו עליו, זאת במטרה למנוע חשיפתם ולהכשיל הליך שיפוטי לרבות חקירה פלילית או להביא לידי עיוות דין.</w:t>
      </w:r>
    </w:p>
    <w:p w14:paraId="3B68FA8C" w14:textId="77777777" w:rsidR="00AC692F" w:rsidRDefault="00AC692F" w:rsidP="00AC692F">
      <w:pPr>
        <w:spacing w:line="360" w:lineRule="auto"/>
        <w:jc w:val="both"/>
        <w:rPr>
          <w:rtl/>
        </w:rPr>
      </w:pPr>
    </w:p>
    <w:p w14:paraId="45609371" w14:textId="77777777" w:rsidR="00AC692F" w:rsidRDefault="00AC692F" w:rsidP="00AC692F">
      <w:pPr>
        <w:spacing w:line="360" w:lineRule="auto"/>
        <w:jc w:val="both"/>
        <w:rPr>
          <w:rtl/>
        </w:rPr>
      </w:pPr>
      <w:r>
        <w:rPr>
          <w:rtl/>
        </w:rPr>
        <w:tab/>
      </w:r>
      <w:r>
        <w:rPr>
          <w:rFonts w:hint="cs"/>
          <w:rtl/>
        </w:rPr>
        <w:t xml:space="preserve">בהמשך, במסגרת מימוש הקשר, בסמוך לשעה 21:55, הגיע למקום טאלב, כשהוא נושא ומוביל בשקית שחורה, רימון הלם סינוור </w:t>
      </w:r>
      <w:r>
        <w:rPr>
          <w:rFonts w:hint="cs"/>
        </w:rPr>
        <w:t>M7290</w:t>
      </w:r>
      <w:r>
        <w:rPr>
          <w:rFonts w:hint="cs"/>
          <w:rtl/>
        </w:rPr>
        <w:t>, שבכוחו להזיק לאדם. כמו- כן, טאלב הביא עמו בגדים בשקית. בסמוך לשעה 21:59, כיבו מג'ד, טאלב והנאשם, בצוותא חדא, את מכשיר ההקלטה של מצלמות האבטחה בביתו של וסים, וזאת על מנת למנוע או להכשיל הליך שיפוטי, להביא לידי עיוות דין ולמנוע את גילויים.</w:t>
      </w:r>
    </w:p>
    <w:p w14:paraId="250533F0" w14:textId="77777777" w:rsidR="00AC692F" w:rsidRDefault="00AC692F" w:rsidP="00AC692F">
      <w:pPr>
        <w:spacing w:line="360" w:lineRule="auto"/>
        <w:jc w:val="both"/>
        <w:rPr>
          <w:rtl/>
        </w:rPr>
      </w:pPr>
    </w:p>
    <w:p w14:paraId="53A64884" w14:textId="77777777" w:rsidR="00AC692F" w:rsidRDefault="00AC692F" w:rsidP="00AC692F">
      <w:pPr>
        <w:spacing w:line="360" w:lineRule="auto"/>
        <w:jc w:val="both"/>
        <w:rPr>
          <w:rtl/>
        </w:rPr>
      </w:pPr>
      <w:r>
        <w:rPr>
          <w:rFonts w:hint="cs"/>
          <w:rtl/>
        </w:rPr>
        <w:tab/>
        <w:t>לאחר מכן, החליף טאלב בגדיו בבגדים שהביא עמו ומסר לנאשם את הרימון. השניים רכבו יחד על הטרקטורון, נהוג בידי טאלב, לעבר ביתו של המתלונן, כאשר הם נושאים ומובילים יחדיו את הרימון שהחזיק הנאשם במטרה להשליכו על ביתו של המתלונן.</w:t>
      </w:r>
    </w:p>
    <w:p w14:paraId="2D38D0FD" w14:textId="77777777" w:rsidR="00AC692F" w:rsidRDefault="00AC692F" w:rsidP="00AC692F">
      <w:pPr>
        <w:spacing w:line="360" w:lineRule="auto"/>
        <w:jc w:val="both"/>
        <w:rPr>
          <w:rtl/>
        </w:rPr>
      </w:pPr>
    </w:p>
    <w:p w14:paraId="77B63600" w14:textId="77777777" w:rsidR="00AC692F" w:rsidRDefault="00AC692F" w:rsidP="00AC692F">
      <w:pPr>
        <w:spacing w:line="360" w:lineRule="auto"/>
        <w:jc w:val="both"/>
        <w:rPr>
          <w:rtl/>
        </w:rPr>
      </w:pPr>
      <w:r>
        <w:rPr>
          <w:rtl/>
        </w:rPr>
        <w:tab/>
      </w:r>
      <w:r>
        <w:rPr>
          <w:rFonts w:hint="cs"/>
          <w:rtl/>
        </w:rPr>
        <w:t>בד בבד עם יציאתם של טאלב והנאשם לעבר ביתו של המתלונן, כמתואר לעיל, חזר מג'ד בטנדר הנ"ל לביתו וחלף שם דרך עדשת מצלמת האבטחה, כך שיחזה להיראות כי היה בביתו בזמן מעשיהם של טאלב והנאשם ובכך יורחק ממעורבות במעשה השלכת הרימון, וכל זאת במטרה למנוע או להכשיל הליך שיפוטי ולהביא לידי עיוות דין.</w:t>
      </w:r>
    </w:p>
    <w:p w14:paraId="244291C4" w14:textId="77777777" w:rsidR="00AC692F" w:rsidRDefault="00AC692F" w:rsidP="00AC692F">
      <w:pPr>
        <w:spacing w:line="360" w:lineRule="auto"/>
        <w:jc w:val="both"/>
        <w:rPr>
          <w:rtl/>
        </w:rPr>
      </w:pPr>
    </w:p>
    <w:p w14:paraId="28DED81B" w14:textId="77777777" w:rsidR="00AC692F" w:rsidRDefault="00AC692F" w:rsidP="00AC692F">
      <w:pPr>
        <w:spacing w:line="360" w:lineRule="auto"/>
        <w:jc w:val="both"/>
        <w:rPr>
          <w:rtl/>
        </w:rPr>
      </w:pPr>
      <w:r>
        <w:rPr>
          <w:rtl/>
        </w:rPr>
        <w:tab/>
      </w:r>
      <w:r>
        <w:rPr>
          <w:rFonts w:hint="cs"/>
          <w:rtl/>
        </w:rPr>
        <w:t>בסמוך לשעה 22:09, במסגרת הקשר ולצורך מימושו, הגיעו טאלב והנאשם אל סמוך לבית המתלונן וירדו מהטרקטורון, אז התקרב הנאשם אל הבית וזרק את הרימון לתוך המרפסת, בדרך נמהרת או רשלנית שיש בה כדי לגרום חבלה לאדם, וזאת בזמן שטאלב עמד בסמוך לטרקטורון והמתין לו. כל זאת עשו הנאשם, מג'ד וטאלב, בצוותא, בכוונה להפחיד את המתלונן. הרימון התפוצץ בקול נפץ וגרם לסימני פיח על רצפת המרפסת.</w:t>
      </w:r>
    </w:p>
    <w:p w14:paraId="08155DBA" w14:textId="77777777" w:rsidR="00AC692F" w:rsidRDefault="00AC692F" w:rsidP="00AC692F">
      <w:pPr>
        <w:spacing w:line="360" w:lineRule="auto"/>
        <w:jc w:val="both"/>
        <w:rPr>
          <w:rtl/>
        </w:rPr>
      </w:pPr>
    </w:p>
    <w:p w14:paraId="36B95AD9" w14:textId="77777777" w:rsidR="00AC692F" w:rsidRDefault="00AC692F" w:rsidP="00AC692F">
      <w:pPr>
        <w:spacing w:line="360" w:lineRule="auto"/>
        <w:jc w:val="both"/>
        <w:rPr>
          <w:rtl/>
        </w:rPr>
      </w:pPr>
      <w:r>
        <w:rPr>
          <w:rFonts w:hint="cs"/>
          <w:rtl/>
        </w:rPr>
        <w:t xml:space="preserve"> </w:t>
      </w:r>
      <w:r>
        <w:rPr>
          <w:rtl/>
        </w:rPr>
        <w:tab/>
      </w:r>
      <w:r>
        <w:rPr>
          <w:rFonts w:hint="cs"/>
          <w:rtl/>
        </w:rPr>
        <w:t>מיד לאחר האמור לעיל, חזרו טאלב והנאשם אל ביתו של וסים עם הטרקטורון, כשהוא נהוג בידי טאלב. סמוך לשעה 22:17, טאלב והנאשם הפעילו מחדש את מצלמות האבטחה בביתו של וסים. בסמוך לשעה 22:19 הגיע למקום מג'ד עם הטנדר ואסף מהמקום את הנאשם ואת טאלב.</w:t>
      </w:r>
    </w:p>
    <w:p w14:paraId="7FDF0C19" w14:textId="77777777" w:rsidR="00AC692F" w:rsidRDefault="00AC692F" w:rsidP="00AC692F">
      <w:pPr>
        <w:spacing w:line="360" w:lineRule="auto"/>
        <w:jc w:val="both"/>
        <w:rPr>
          <w:rtl/>
        </w:rPr>
      </w:pPr>
    </w:p>
    <w:p w14:paraId="2AE0100C" w14:textId="77777777" w:rsidR="00AC692F" w:rsidRDefault="00AC692F" w:rsidP="00AC692F">
      <w:pPr>
        <w:spacing w:line="360" w:lineRule="auto"/>
        <w:jc w:val="both"/>
        <w:rPr>
          <w:rtl/>
        </w:rPr>
      </w:pPr>
      <w:r>
        <w:rPr>
          <w:rtl/>
        </w:rPr>
        <w:tab/>
      </w:r>
      <w:r>
        <w:rPr>
          <w:rFonts w:hint="cs"/>
          <w:rtl/>
        </w:rPr>
        <w:t>בסמוך לכך, במועד מדויק שאינו ידוע למאשימה, מג'ד העתיק על גבי התקן אחסון נייד את צילומי האבטחה האמורים לעיל בהם הוא נראה מגיע לביתו. בהמשך מג'ד או מי מטעמו ניתקו והסירו ממקומו את ממיר מצלמות האבטחה של ביתו, כך שלא ניתן יהיה לאתר ולבדוק את תיעוד מצלמות האבטחה. כל זאת עשה מג'ד במטרה למנוע או להכשיל הליך שיפוטי ולהביא לעיוות דין.</w:t>
      </w:r>
    </w:p>
    <w:p w14:paraId="70D464AA" w14:textId="77777777" w:rsidR="00AC692F" w:rsidRDefault="00AC692F" w:rsidP="00AC692F">
      <w:pPr>
        <w:spacing w:line="360" w:lineRule="auto"/>
        <w:jc w:val="both"/>
        <w:rPr>
          <w:rtl/>
        </w:rPr>
      </w:pPr>
    </w:p>
    <w:p w14:paraId="1F26B277" w14:textId="77777777" w:rsidR="00AC692F" w:rsidRPr="00295431" w:rsidRDefault="00AC692F" w:rsidP="00AC692F">
      <w:pPr>
        <w:spacing w:line="360" w:lineRule="auto"/>
        <w:jc w:val="both"/>
        <w:rPr>
          <w:rtl/>
        </w:rPr>
      </w:pPr>
      <w:r>
        <w:rPr>
          <w:rtl/>
        </w:rPr>
        <w:tab/>
      </w:r>
      <w:r>
        <w:rPr>
          <w:rFonts w:hint="cs"/>
          <w:rtl/>
        </w:rPr>
        <w:t>בתאריך 30/8/20 הגיעו טאלב ומג'ד אל ביתו של וסים על מנת לקחת מהמקום את ממיר מצלמות האבטחה, במטרה להעלים את תיעוד הגעתם לביתו של וסים עובר להשלכת הרימון ואת חזרתם למקום לאחר מכן, וזאת בכוונה למנוע או להכשיל הליך שיפוטי ולהביא לידי עיוות דין. בעודם מנסים לנתק את ממיר מצלמות האבטחה ממקומו הגיעו למקום שוטרי משטרת ישראל והשניים נמלטו.</w:t>
      </w:r>
    </w:p>
    <w:p w14:paraId="2A993781" w14:textId="77777777" w:rsidR="00AC692F" w:rsidRDefault="00AC692F" w:rsidP="00AC692F">
      <w:pPr>
        <w:jc w:val="both"/>
        <w:rPr>
          <w:sz w:val="26"/>
          <w:szCs w:val="26"/>
          <w:rtl/>
        </w:rPr>
      </w:pPr>
    </w:p>
    <w:p w14:paraId="52F31326" w14:textId="77777777" w:rsidR="00AC692F" w:rsidRPr="00706936" w:rsidRDefault="00AC692F" w:rsidP="00AC692F">
      <w:pPr>
        <w:jc w:val="both"/>
        <w:rPr>
          <w:rFonts w:ascii="Miriam" w:hAnsi="Miriam" w:cs="Miriam"/>
          <w:b/>
          <w:bCs/>
          <w:u w:val="single"/>
          <w:rtl/>
        </w:rPr>
      </w:pPr>
      <w:r w:rsidRPr="00706936">
        <w:rPr>
          <w:rFonts w:ascii="Miriam" w:hAnsi="Miriam" w:cs="Miriam"/>
          <w:b/>
          <w:bCs/>
          <w:u w:val="single"/>
          <w:rtl/>
        </w:rPr>
        <w:t>תסקירי שירות המבחן</w:t>
      </w:r>
    </w:p>
    <w:p w14:paraId="523276FD" w14:textId="77777777" w:rsidR="00AC692F" w:rsidRDefault="00AC692F" w:rsidP="00AC692F">
      <w:pPr>
        <w:jc w:val="both"/>
        <w:rPr>
          <w:sz w:val="26"/>
          <w:szCs w:val="26"/>
          <w:rtl/>
        </w:rPr>
      </w:pPr>
    </w:p>
    <w:p w14:paraId="750BAE1C" w14:textId="77777777" w:rsidR="00AC692F" w:rsidRDefault="00AC692F" w:rsidP="00AC692F">
      <w:pPr>
        <w:spacing w:line="360" w:lineRule="auto"/>
        <w:jc w:val="both"/>
        <w:rPr>
          <w:rtl/>
        </w:rPr>
      </w:pPr>
      <w:r>
        <w:rPr>
          <w:rFonts w:hint="cs"/>
          <w:sz w:val="26"/>
          <w:szCs w:val="26"/>
          <w:rtl/>
        </w:rPr>
        <w:t>3.</w:t>
      </w:r>
      <w:r>
        <w:rPr>
          <w:rFonts w:hint="cs"/>
          <w:sz w:val="26"/>
          <w:szCs w:val="26"/>
          <w:rtl/>
        </w:rPr>
        <w:tab/>
      </w:r>
      <w:r w:rsidRPr="00006CF7">
        <w:rPr>
          <w:rFonts w:hint="cs"/>
          <w:rtl/>
        </w:rPr>
        <w:t>מתסקיר</w:t>
      </w:r>
      <w:r>
        <w:rPr>
          <w:rFonts w:hint="cs"/>
          <w:rtl/>
        </w:rPr>
        <w:t xml:space="preserve">ו הראשון של </w:t>
      </w:r>
      <w:r w:rsidRPr="00006CF7">
        <w:rPr>
          <w:rFonts w:hint="cs"/>
          <w:rtl/>
        </w:rPr>
        <w:t xml:space="preserve"> שירות המבחן שהוגש</w:t>
      </w:r>
      <w:r>
        <w:rPr>
          <w:rFonts w:hint="cs"/>
          <w:rtl/>
        </w:rPr>
        <w:t xml:space="preserve"> ביום 13/4/21</w:t>
      </w:r>
      <w:r w:rsidRPr="00006CF7">
        <w:rPr>
          <w:rFonts w:hint="cs"/>
          <w:rtl/>
        </w:rPr>
        <w:t xml:space="preserve"> על אודות הנאשם עולה כי הלה בן 21, רווק</w:t>
      </w:r>
      <w:r>
        <w:rPr>
          <w:rFonts w:hint="cs"/>
          <w:rtl/>
        </w:rPr>
        <w:t xml:space="preserve">. </w:t>
      </w:r>
      <w:r w:rsidRPr="00006CF7">
        <w:rPr>
          <w:rFonts w:hint="cs"/>
          <w:rtl/>
        </w:rPr>
        <w:t xml:space="preserve">טרם מעצרו התגורר </w:t>
      </w:r>
      <w:r>
        <w:rPr>
          <w:rFonts w:hint="cs"/>
          <w:rtl/>
        </w:rPr>
        <w:t xml:space="preserve">הנאשם </w:t>
      </w:r>
      <w:r w:rsidRPr="00006CF7">
        <w:rPr>
          <w:rFonts w:hint="cs"/>
          <w:rtl/>
        </w:rPr>
        <w:t xml:space="preserve">בבית הוריו ועבד במשך חודש ימים כנהג משאית בעסק </w:t>
      </w:r>
      <w:r>
        <w:rPr>
          <w:rFonts w:hint="cs"/>
          <w:rtl/>
        </w:rPr>
        <w:t>ה</w:t>
      </w:r>
      <w:r w:rsidRPr="00006CF7">
        <w:rPr>
          <w:rFonts w:hint="cs"/>
          <w:rtl/>
        </w:rPr>
        <w:t>מצוי בבעלותו של מג'ד.</w:t>
      </w:r>
      <w:r>
        <w:rPr>
          <w:rFonts w:hint="cs"/>
          <w:sz w:val="26"/>
          <w:szCs w:val="26"/>
          <w:rtl/>
        </w:rPr>
        <w:t xml:space="preserve"> </w:t>
      </w:r>
      <w:r>
        <w:rPr>
          <w:rFonts w:hint="cs"/>
          <w:rtl/>
        </w:rPr>
        <w:t>משפחת מוצאו של הנאשם מתוארת כנורמטיבית. עיון בגיליון המרשם הפלילי של הנאשם מלמד כי אין לחובתו הרשעות קודמות ולא תלויים ועומדים נגדו תיקי מב"ד. שירות המבחן התרשם כי הנאשם לוקח אחריות מלאה על ביצוע העבירות.</w:t>
      </w:r>
    </w:p>
    <w:p w14:paraId="5C235F15" w14:textId="77777777" w:rsidR="00AC692F" w:rsidRDefault="00AC692F" w:rsidP="00AC692F">
      <w:pPr>
        <w:spacing w:line="360" w:lineRule="auto"/>
        <w:jc w:val="both"/>
        <w:rPr>
          <w:rtl/>
        </w:rPr>
      </w:pPr>
    </w:p>
    <w:p w14:paraId="54038CA8" w14:textId="77777777" w:rsidR="00AC692F" w:rsidRDefault="00AC692F" w:rsidP="00AC692F">
      <w:pPr>
        <w:spacing w:line="360" w:lineRule="auto"/>
        <w:jc w:val="both"/>
        <w:rPr>
          <w:rtl/>
        </w:rPr>
      </w:pPr>
      <w:r>
        <w:rPr>
          <w:rFonts w:hint="cs"/>
          <w:rtl/>
        </w:rPr>
        <w:t>4.</w:t>
      </w:r>
      <w:r>
        <w:rPr>
          <w:rFonts w:hint="cs"/>
          <w:rtl/>
        </w:rPr>
        <w:tab/>
        <w:t xml:space="preserve">בבואו להעריך את הסיכויים לשיקום אל מול הסיכונים להישנות עבירות, התרשם שירות המבחן מצעיר בעל מאפייני אישיות חיוביים, המגלה חריצות  בפן התעסוקתי ואחריות כלכלית כלפי בני משפחתו. ניכר כי טרם מעורבותו הפלילית הנוכחית הצליח הנאשם לשמור על אורח חיים תקין ללא דפוסים עבריינים מושרשים. </w:t>
      </w:r>
    </w:p>
    <w:p w14:paraId="2737F5AE" w14:textId="77777777" w:rsidR="00AC692F" w:rsidRDefault="00AC692F" w:rsidP="00AC692F">
      <w:pPr>
        <w:spacing w:line="360" w:lineRule="auto"/>
        <w:jc w:val="both"/>
        <w:rPr>
          <w:rtl/>
        </w:rPr>
      </w:pPr>
    </w:p>
    <w:p w14:paraId="28D8D639" w14:textId="77777777" w:rsidR="00AC692F" w:rsidRDefault="00AC692F" w:rsidP="00AC692F">
      <w:pPr>
        <w:spacing w:line="360" w:lineRule="auto"/>
        <w:jc w:val="both"/>
        <w:rPr>
          <w:rtl/>
        </w:rPr>
      </w:pPr>
      <w:r>
        <w:rPr>
          <w:rFonts w:hint="cs"/>
          <w:rtl/>
        </w:rPr>
        <w:t>5.</w:t>
      </w:r>
      <w:r>
        <w:rPr>
          <w:rFonts w:hint="cs"/>
          <w:rtl/>
        </w:rPr>
        <w:tab/>
        <w:t xml:space="preserve">עוד התרשם שירות המבחן כי ברקע לביצוע העבירות תחושות של חרדה ופחד אותן חווה הנאשם, לצד דימוי עצמי נמוך והיעדר שיקול דעת מותאם, וזאת מבלי לתת את הדעת להשלכות מעשיו. שירות המבחן העריך בתסקירו הנ"ל כי קיים סיכון נמוך להישנות עבירות דומות בעתיד ע"י הנאשם וציין כי הוא  עתיד להשתלב בקבוצה טיפולית ביום 16/4/21. אי לכך, נדחה הדיון לצורך הגשת תסקיר משלים </w:t>
      </w:r>
      <w:r w:rsidRPr="00EE1225">
        <w:rPr>
          <w:rtl/>
        </w:rPr>
        <w:t>בעניינו של הנאשם</w:t>
      </w:r>
      <w:r>
        <w:rPr>
          <w:rFonts w:hint="cs"/>
          <w:rtl/>
        </w:rPr>
        <w:t xml:space="preserve"> שיבחן את אופן השתלבותו בהליך הטיפולי.</w:t>
      </w:r>
    </w:p>
    <w:p w14:paraId="219F2386" w14:textId="77777777" w:rsidR="00AC692F" w:rsidRDefault="00AC692F" w:rsidP="00AC692F">
      <w:pPr>
        <w:spacing w:line="360" w:lineRule="auto"/>
        <w:jc w:val="both"/>
        <w:rPr>
          <w:rtl/>
        </w:rPr>
      </w:pPr>
    </w:p>
    <w:p w14:paraId="712284D9" w14:textId="77777777" w:rsidR="00AC692F" w:rsidRDefault="00AC692F" w:rsidP="00AC692F">
      <w:pPr>
        <w:spacing w:line="360" w:lineRule="auto"/>
        <w:jc w:val="both"/>
        <w:rPr>
          <w:rtl/>
        </w:rPr>
      </w:pPr>
      <w:r>
        <w:rPr>
          <w:rFonts w:hint="cs"/>
          <w:rtl/>
        </w:rPr>
        <w:t>6.</w:t>
      </w:r>
      <w:r>
        <w:rPr>
          <w:rFonts w:hint="cs"/>
          <w:rtl/>
        </w:rPr>
        <w:tab/>
        <w:t>בתסקיר המשלים שהוגש ביום 08/06/21 צוין כי הנאשם השתלב ביום 16/04/21 בקבוצה טיפולית ועד כה נכח בכל המפגשים שהתקיימו. עוד עולה כי הנאשם עומד בכל כללי הקבוצה ומצליח לערוך הליך של התבוננות פנימית. הנאשם שיתף את שירות המבחן כי הוא נרתם מההליך הטיפולי ומעוניין להמשיך ולהשתתף בו. בהתייחסותו לביצוע העבירה, ביטא הנאשם בפני שירות המבחן תחושות צער ותסכול בשל השלכות מעשיו על בני משפחתו. בנוסף, שיתף הנאשם כי הביע בפני המתלונן את תחושת החרטה והבושה שהוא חש והלה, שהינו קרוב משפחתו, אף הגיע לבקרו במקום מעצר הבית ודאג לשלומו.</w:t>
      </w:r>
    </w:p>
    <w:p w14:paraId="544F6960" w14:textId="77777777" w:rsidR="00AC692F" w:rsidRDefault="00AC692F" w:rsidP="00AC692F">
      <w:pPr>
        <w:spacing w:line="360" w:lineRule="auto"/>
        <w:jc w:val="both"/>
        <w:rPr>
          <w:rtl/>
        </w:rPr>
      </w:pPr>
    </w:p>
    <w:p w14:paraId="058A5B20" w14:textId="77777777" w:rsidR="00AC692F" w:rsidRPr="00394A78" w:rsidRDefault="00AC692F" w:rsidP="00AC692F">
      <w:pPr>
        <w:spacing w:line="360" w:lineRule="auto"/>
        <w:jc w:val="both"/>
        <w:rPr>
          <w:rtl/>
        </w:rPr>
      </w:pPr>
      <w:r>
        <w:rPr>
          <w:rFonts w:hint="cs"/>
          <w:rtl/>
        </w:rPr>
        <w:t>7.</w:t>
      </w:r>
      <w:r>
        <w:rPr>
          <w:rFonts w:hint="cs"/>
          <w:rtl/>
        </w:rPr>
        <w:tab/>
        <w:t xml:space="preserve"> בבואו לגבש את המלצתו, התרשם שירות המבחן מתפקודו היציב של הנאשם בכל תחומי חייו השונים, יכולותיו הקוגניטיביו</w:t>
      </w:r>
      <w:r>
        <w:rPr>
          <w:rFonts w:hint="eastAsia"/>
          <w:rtl/>
        </w:rPr>
        <w:t>ת</w:t>
      </w:r>
      <w:r>
        <w:rPr>
          <w:rFonts w:hint="cs"/>
          <w:rtl/>
        </w:rPr>
        <w:t>, החרטה שהביע והיעדר דפוסים עבריינים מושרשים לצד עברו הנקי. עוד העריך שירות המבחן כי מעורבותו של הנאשם בהליך המשפטי הנוכחי מהווה עבורו גורם הרתעה משמעותי מפני ביצוע עבירה דומה בעתיד. שירות המבחן התרשם כי קיימת מודעות של הנאשם לחשיבות השתתפותו במסגרת ההליך הטיפולי, דבר המעלה את סיכוייו לשיקום באופן משמעותי. בסיכומו של דבר, סבור שירות המבחן כי ישנה חשיבות במיצוי ההליך הטיפולי בו נתון הנאשם וכי יש להעדיף את האפיק השיקומי ובד בבד ממליץ להשית על הנאשם צו מבחן למשך שנה, זאת לצד ענישה של מאסר בעבודות שירות, מאסר על תנאי וקנס.</w:t>
      </w:r>
    </w:p>
    <w:p w14:paraId="27D68689" w14:textId="77777777" w:rsidR="00AC692F" w:rsidRPr="000454A8" w:rsidRDefault="00AC692F" w:rsidP="00AC692F">
      <w:pPr>
        <w:jc w:val="both"/>
        <w:rPr>
          <w:sz w:val="26"/>
          <w:szCs w:val="26"/>
          <w:rtl/>
        </w:rPr>
      </w:pPr>
    </w:p>
    <w:p w14:paraId="6BF3FA2D" w14:textId="77777777" w:rsidR="00AC692F" w:rsidRPr="00E92056" w:rsidRDefault="00AC692F" w:rsidP="00AC692F">
      <w:pPr>
        <w:spacing w:line="360" w:lineRule="auto"/>
        <w:jc w:val="both"/>
        <w:rPr>
          <w:rFonts w:ascii="Miriam" w:hAnsi="Miriam" w:cs="Miriam"/>
          <w:b/>
          <w:bCs/>
          <w:u w:val="single"/>
        </w:rPr>
      </w:pPr>
      <w:r w:rsidRPr="00E92056">
        <w:rPr>
          <w:rFonts w:ascii="Miriam" w:hAnsi="Miriam" w:cs="Miriam"/>
          <w:b/>
          <w:bCs/>
          <w:u w:val="single"/>
          <w:rtl/>
        </w:rPr>
        <w:t>טיעוני הצדדים לעונש</w:t>
      </w:r>
    </w:p>
    <w:p w14:paraId="09D18A56" w14:textId="77777777" w:rsidR="00AC692F" w:rsidRDefault="00AC692F" w:rsidP="00AC692F">
      <w:pPr>
        <w:spacing w:line="360" w:lineRule="auto"/>
        <w:jc w:val="both"/>
        <w:rPr>
          <w:rFonts w:ascii="David" w:hAnsi="David"/>
          <w:u w:val="single"/>
          <w:rtl/>
        </w:rPr>
      </w:pPr>
    </w:p>
    <w:p w14:paraId="46B4ADA1" w14:textId="77777777" w:rsidR="00AC692F" w:rsidRDefault="00AC692F" w:rsidP="00AC692F">
      <w:pPr>
        <w:spacing w:line="360" w:lineRule="auto"/>
        <w:jc w:val="both"/>
        <w:rPr>
          <w:rFonts w:ascii="David" w:hAnsi="David"/>
          <w:rtl/>
        </w:rPr>
      </w:pPr>
      <w:r>
        <w:rPr>
          <w:rFonts w:ascii="David" w:hAnsi="David" w:hint="cs"/>
          <w:rtl/>
        </w:rPr>
        <w:t>8</w:t>
      </w:r>
      <w:r>
        <w:rPr>
          <w:rFonts w:ascii="David" w:hAnsi="David"/>
          <w:rtl/>
        </w:rPr>
        <w:t xml:space="preserve">. </w:t>
      </w:r>
      <w:r>
        <w:rPr>
          <w:rFonts w:ascii="David" w:hAnsi="David"/>
          <w:rtl/>
        </w:rPr>
        <w:tab/>
        <w:t>ב"כ המאשימה הגיש את טיעוני המאשימה לעונש  בכתב (</w:t>
      </w:r>
      <w:r>
        <w:rPr>
          <w:rFonts w:ascii="Miriam" w:hAnsi="Miriam" w:cs="Miriam"/>
          <w:rtl/>
        </w:rPr>
        <w:t>ט/1</w:t>
      </w:r>
      <w:r>
        <w:rPr>
          <w:rFonts w:ascii="David" w:hAnsi="David"/>
          <w:rtl/>
        </w:rPr>
        <w:t xml:space="preserve">) והוסיף וטען בקצרה בעל-פה בדיון לפניי ביום 13/6/21.  בטיעוניה לעונש הבהירה המאשימה כי עברו הפלילי של הנאשם נקי. עוד נטען כי מגמת הפסיקה בשנים האחרונות לגבי עבירות נשק היא של החמרה בענישה  ובכך  ניתן ביטוי ההולם את הסכנה הנשקפת  מעבירות אלו.  </w:t>
      </w:r>
    </w:p>
    <w:p w14:paraId="1C75CFA9" w14:textId="77777777" w:rsidR="00AC692F" w:rsidRDefault="00AC692F" w:rsidP="00AC692F">
      <w:pPr>
        <w:spacing w:line="360" w:lineRule="auto"/>
        <w:jc w:val="both"/>
        <w:rPr>
          <w:rFonts w:ascii="David" w:hAnsi="David"/>
          <w:rtl/>
        </w:rPr>
      </w:pPr>
    </w:p>
    <w:p w14:paraId="6EAC3586" w14:textId="77777777" w:rsidR="00AC692F" w:rsidRDefault="00AC692F" w:rsidP="00AC692F">
      <w:pPr>
        <w:spacing w:line="360" w:lineRule="auto"/>
        <w:jc w:val="both"/>
        <w:rPr>
          <w:rFonts w:ascii="David" w:hAnsi="David"/>
          <w:rtl/>
        </w:rPr>
      </w:pPr>
      <w:r>
        <w:rPr>
          <w:rFonts w:ascii="David" w:hAnsi="David" w:hint="cs"/>
          <w:rtl/>
        </w:rPr>
        <w:t>9</w:t>
      </w:r>
      <w:r>
        <w:rPr>
          <w:rFonts w:ascii="David" w:hAnsi="David"/>
          <w:rtl/>
        </w:rPr>
        <w:t xml:space="preserve">. </w:t>
      </w:r>
      <w:r>
        <w:rPr>
          <w:rFonts w:ascii="David" w:hAnsi="David"/>
          <w:rtl/>
        </w:rPr>
        <w:tab/>
        <w:t xml:space="preserve">המאשימה טוענת כי עסקינן במעשים שבוצעו לאחר תכנון קפדני ומדוקדק כעולה מכתב האישום וכי הנאשם וטאלב יצאו בפועל לעבר ביתו של המתלונן, וזאת במאובחן ממג'ד שלא יצא לזירת הפעולה.  לשיטת המאשימה,  הנאשם הוא האחראי העיקרי – הוא נכח במקום והוא זה שזרק את הרימון לעבר הבית לאחר  שקשר קשר והיה שותף מלא להתארגנות. עוד לטענת המאשימה, היה  לנאשם מניע לפעולה בהינתן הרקע למעשים הנעוץ בפסילת מכרז בו השתתפו בני משפחת חברו של הנאשם (מג'ד).  </w:t>
      </w:r>
      <w:r>
        <w:rPr>
          <w:rFonts w:ascii="David" w:hAnsi="David" w:hint="cs"/>
          <w:rtl/>
        </w:rPr>
        <w:t>בנוסף</w:t>
      </w:r>
      <w:r>
        <w:rPr>
          <w:rFonts w:ascii="David" w:hAnsi="David"/>
          <w:rtl/>
        </w:rPr>
        <w:t xml:space="preserve">, צוין כי הנזק הישיר </w:t>
      </w:r>
      <w:r>
        <w:rPr>
          <w:rFonts w:ascii="David" w:hAnsi="David" w:hint="cs"/>
          <w:rtl/>
        </w:rPr>
        <w:t xml:space="preserve">שנגרם </w:t>
      </w:r>
      <w:r>
        <w:rPr>
          <w:rFonts w:ascii="David" w:hAnsi="David"/>
          <w:rtl/>
        </w:rPr>
        <w:t xml:space="preserve">הוא </w:t>
      </w:r>
      <w:r>
        <w:rPr>
          <w:rFonts w:ascii="David" w:hAnsi="David" w:hint="cs"/>
          <w:rtl/>
        </w:rPr>
        <w:t>קול</w:t>
      </w:r>
      <w:r>
        <w:rPr>
          <w:rFonts w:ascii="David" w:hAnsi="David"/>
          <w:rtl/>
        </w:rPr>
        <w:t xml:space="preserve"> הנפץ וסימני הפיח במרפסת, אך הנזק האמ</w:t>
      </w:r>
      <w:r>
        <w:rPr>
          <w:rFonts w:ascii="David" w:hAnsi="David" w:hint="cs"/>
          <w:rtl/>
        </w:rPr>
        <w:t>י</w:t>
      </w:r>
      <w:r>
        <w:rPr>
          <w:rFonts w:ascii="David" w:hAnsi="David"/>
          <w:rtl/>
        </w:rPr>
        <w:t xml:space="preserve">תי הוא אובדן תחושת הביטחון של אדם היושב בביתו ושומע  קולות נפץ המעלים תחושה </w:t>
      </w:r>
      <w:r>
        <w:rPr>
          <w:rFonts w:ascii="David" w:hAnsi="David" w:hint="cs"/>
          <w:rtl/>
        </w:rPr>
        <w:t xml:space="preserve">כי </w:t>
      </w:r>
      <w:r>
        <w:rPr>
          <w:rFonts w:ascii="David" w:hAnsi="David"/>
          <w:rtl/>
        </w:rPr>
        <w:t>הבית אינו מ</w:t>
      </w:r>
      <w:r>
        <w:rPr>
          <w:rFonts w:ascii="David" w:hAnsi="David" w:hint="cs"/>
          <w:rtl/>
        </w:rPr>
        <w:t xml:space="preserve">הווה </w:t>
      </w:r>
      <w:r>
        <w:rPr>
          <w:rFonts w:ascii="David" w:hAnsi="David"/>
          <w:rtl/>
        </w:rPr>
        <w:t>מבצר.  נטען כי אין להקל ראש בנזק שכזה, במיוחד על רקע כל האלימות הגואה במגזר הערבי.  אשר לנזק הפוטנציאלי, נטען כי בכוחו של הרימון להזיק לאדם ומשכך, במידה והיה עומד אדם על מרפסת</w:t>
      </w:r>
      <w:r>
        <w:rPr>
          <w:rFonts w:ascii="David" w:hAnsi="David" w:hint="cs"/>
          <w:rtl/>
        </w:rPr>
        <w:t xml:space="preserve"> בית המתלונן</w:t>
      </w:r>
      <w:r>
        <w:rPr>
          <w:rFonts w:ascii="David" w:hAnsi="David"/>
          <w:rtl/>
        </w:rPr>
        <w:t xml:space="preserve">, היה עלול להיגרם נזק חמור יותר, לרבות פגיעה גופנית.  </w:t>
      </w:r>
    </w:p>
    <w:p w14:paraId="5F8E392F" w14:textId="77777777" w:rsidR="00AC692F" w:rsidRDefault="00AC692F" w:rsidP="00AC692F">
      <w:pPr>
        <w:spacing w:line="360" w:lineRule="auto"/>
        <w:jc w:val="both"/>
        <w:rPr>
          <w:rFonts w:ascii="David" w:hAnsi="David"/>
          <w:rtl/>
        </w:rPr>
      </w:pPr>
    </w:p>
    <w:p w14:paraId="6E34A24D" w14:textId="77777777" w:rsidR="00AC692F" w:rsidRDefault="00AC692F" w:rsidP="00AC692F">
      <w:pPr>
        <w:spacing w:line="360" w:lineRule="auto"/>
        <w:jc w:val="both"/>
        <w:rPr>
          <w:rFonts w:ascii="David" w:hAnsi="David"/>
          <w:rtl/>
        </w:rPr>
      </w:pPr>
      <w:r>
        <w:rPr>
          <w:rFonts w:ascii="David" w:hAnsi="David" w:hint="cs"/>
          <w:rtl/>
        </w:rPr>
        <w:t>10</w:t>
      </w:r>
      <w:r>
        <w:rPr>
          <w:rFonts w:ascii="David" w:hAnsi="David"/>
          <w:rtl/>
        </w:rPr>
        <w:t xml:space="preserve">. </w:t>
      </w:r>
      <w:r>
        <w:rPr>
          <w:rFonts w:ascii="David" w:hAnsi="David"/>
          <w:rtl/>
        </w:rPr>
        <w:tab/>
        <w:t xml:space="preserve">המאשימה טוענת כי על בית המשפט לסייע במיגור תופעות כגון </w:t>
      </w:r>
      <w:r>
        <w:rPr>
          <w:rFonts w:ascii="David" w:hAnsi="David" w:hint="cs"/>
          <w:rtl/>
        </w:rPr>
        <w:t>זו</w:t>
      </w:r>
      <w:r>
        <w:rPr>
          <w:rFonts w:ascii="David" w:hAnsi="David"/>
          <w:rtl/>
        </w:rPr>
        <w:t xml:space="preserve"> שבפנינו וזאת בדרך של ענישה מחמירה אף </w:t>
      </w:r>
      <w:r>
        <w:rPr>
          <w:rFonts w:ascii="David" w:hAnsi="David" w:hint="cs"/>
          <w:rtl/>
        </w:rPr>
        <w:t>ש</w:t>
      </w:r>
      <w:r>
        <w:rPr>
          <w:rFonts w:ascii="David" w:hAnsi="David"/>
          <w:rtl/>
        </w:rPr>
        <w:t>מדובר ברימון הלם הנתפס בפסיקה כאמצעי לחימה פחות חמור. עוד נטען כי החומרה שבפנינו נעוצה בתעוזה שבהשלכת רימון לבית סגן ראש מועצה אך בשל ביטול</w:t>
      </w:r>
      <w:r>
        <w:rPr>
          <w:rFonts w:ascii="David" w:hAnsi="David" w:hint="cs"/>
          <w:rtl/>
        </w:rPr>
        <w:t>ו</w:t>
      </w:r>
      <w:r>
        <w:rPr>
          <w:rFonts w:ascii="David" w:hAnsi="David"/>
          <w:rtl/>
        </w:rPr>
        <w:t xml:space="preserve"> של מכרז. בית המשפט מתבקש ע"י המאשימה לשגר מסר לפיו לא מיישבים סכסוך אזרחי באמצעות נשק. </w:t>
      </w:r>
    </w:p>
    <w:p w14:paraId="74436931" w14:textId="77777777" w:rsidR="00AC692F" w:rsidRDefault="00AC692F" w:rsidP="00AC692F">
      <w:pPr>
        <w:spacing w:line="360" w:lineRule="auto"/>
        <w:jc w:val="both"/>
        <w:rPr>
          <w:rFonts w:ascii="David" w:hAnsi="David"/>
          <w:rtl/>
        </w:rPr>
      </w:pPr>
    </w:p>
    <w:p w14:paraId="59277B81" w14:textId="77777777" w:rsidR="00AC692F" w:rsidRDefault="00AC692F" w:rsidP="00AC692F">
      <w:pPr>
        <w:spacing w:line="360" w:lineRule="auto"/>
        <w:jc w:val="both"/>
        <w:rPr>
          <w:rFonts w:ascii="David" w:hAnsi="David"/>
          <w:rtl/>
        </w:rPr>
      </w:pPr>
      <w:r>
        <w:rPr>
          <w:rFonts w:ascii="David" w:hAnsi="David" w:hint="cs"/>
          <w:rtl/>
        </w:rPr>
        <w:t>11</w:t>
      </w:r>
      <w:r>
        <w:rPr>
          <w:rFonts w:ascii="David" w:hAnsi="David"/>
          <w:rtl/>
        </w:rPr>
        <w:t xml:space="preserve">. </w:t>
      </w:r>
      <w:r>
        <w:rPr>
          <w:rFonts w:ascii="David" w:hAnsi="David"/>
          <w:rtl/>
        </w:rPr>
        <w:tab/>
        <w:t>מטיעוני המאשימה לעונש עולה כי  הערכים החברתיים שנפגעו במקרה דנן הם שלום הציבור, ביטחונו האישי, בריאות ושלמות גופו של המתלונן ושל הציבור בכלל וכן ביטחון המדינה. צוין כי שימוש מסוכן  בכלי  נשק בידי בלתי מורשים ופעילות עבריינות פלילית / ביטחונית, עלולים להביא לפגיעה בגוף ולעיתים אף ל</w:t>
      </w:r>
      <w:r>
        <w:rPr>
          <w:rFonts w:ascii="David" w:hAnsi="David" w:hint="cs"/>
          <w:rtl/>
        </w:rPr>
        <w:t>קיפו</w:t>
      </w:r>
      <w:r>
        <w:rPr>
          <w:rFonts w:ascii="David" w:hAnsi="David"/>
          <w:rtl/>
        </w:rPr>
        <w:t xml:space="preserve">ח חיי אזרחים תמימים.  </w:t>
      </w:r>
    </w:p>
    <w:p w14:paraId="5AB9E3B2" w14:textId="77777777" w:rsidR="00AC692F" w:rsidRDefault="00AC692F" w:rsidP="00AC692F">
      <w:pPr>
        <w:spacing w:line="360" w:lineRule="auto"/>
        <w:jc w:val="both"/>
        <w:rPr>
          <w:rFonts w:ascii="David" w:hAnsi="David"/>
          <w:rtl/>
        </w:rPr>
      </w:pPr>
    </w:p>
    <w:p w14:paraId="286109B8" w14:textId="77777777" w:rsidR="00AC692F" w:rsidRDefault="00AC692F" w:rsidP="00AC692F">
      <w:pPr>
        <w:spacing w:line="360" w:lineRule="auto"/>
        <w:jc w:val="both"/>
        <w:rPr>
          <w:rFonts w:ascii="David" w:hAnsi="David"/>
          <w:rtl/>
        </w:rPr>
      </w:pPr>
      <w:r>
        <w:rPr>
          <w:rFonts w:ascii="David" w:hAnsi="David" w:hint="cs"/>
          <w:rtl/>
        </w:rPr>
        <w:t>12</w:t>
      </w:r>
      <w:r>
        <w:rPr>
          <w:rFonts w:ascii="David" w:hAnsi="David"/>
          <w:rtl/>
        </w:rPr>
        <w:t xml:space="preserve">. </w:t>
      </w:r>
      <w:r>
        <w:rPr>
          <w:rFonts w:ascii="David" w:hAnsi="David"/>
          <w:rtl/>
        </w:rPr>
        <w:tab/>
        <w:t>להמחשת מדיניות הענישה הנהוגה בעבירות בנשק, הפנתה המאשימה לפסקי דין שונים של בית המשפט העליון</w:t>
      </w:r>
      <w:r>
        <w:rPr>
          <w:rFonts w:ascii="David" w:hAnsi="David" w:hint="cs"/>
          <w:rtl/>
        </w:rPr>
        <w:t xml:space="preserve">. כאן יוער </w:t>
      </w:r>
      <w:r>
        <w:rPr>
          <w:rFonts w:ascii="David" w:hAnsi="David"/>
          <w:rtl/>
        </w:rPr>
        <w:t xml:space="preserve">כי </w:t>
      </w:r>
      <w:r>
        <w:rPr>
          <w:rFonts w:ascii="David" w:hAnsi="David" w:hint="cs"/>
          <w:rtl/>
        </w:rPr>
        <w:t>ה</w:t>
      </w:r>
      <w:r>
        <w:rPr>
          <w:rFonts w:ascii="David" w:hAnsi="David"/>
          <w:rtl/>
        </w:rPr>
        <w:t>פסיקה ה</w:t>
      </w:r>
      <w:r>
        <w:rPr>
          <w:rFonts w:ascii="David" w:hAnsi="David" w:hint="cs"/>
          <w:rtl/>
        </w:rPr>
        <w:t xml:space="preserve">נ"ל </w:t>
      </w:r>
      <w:r>
        <w:rPr>
          <w:rFonts w:ascii="David" w:hAnsi="David"/>
          <w:rtl/>
        </w:rPr>
        <w:t>מתייחסת בעיקרה לכלי נשק ש</w:t>
      </w:r>
      <w:r>
        <w:rPr>
          <w:rFonts w:ascii="David" w:hAnsi="David" w:hint="cs"/>
          <w:rtl/>
        </w:rPr>
        <w:t>מסוכנותם</w:t>
      </w:r>
      <w:r>
        <w:rPr>
          <w:rFonts w:ascii="David" w:hAnsi="David"/>
          <w:rtl/>
        </w:rPr>
        <w:t xml:space="preserve"> רבה יותר מ</w:t>
      </w:r>
      <w:r>
        <w:rPr>
          <w:rFonts w:ascii="David" w:hAnsi="David" w:hint="cs"/>
          <w:rtl/>
        </w:rPr>
        <w:t xml:space="preserve">זו של </w:t>
      </w:r>
      <w:r>
        <w:rPr>
          <w:rFonts w:ascii="David" w:hAnsi="David"/>
          <w:rtl/>
        </w:rPr>
        <w:t xml:space="preserve">רימון ההלם. </w:t>
      </w:r>
    </w:p>
    <w:p w14:paraId="2DBE9A75" w14:textId="77777777" w:rsidR="00AC692F" w:rsidRDefault="00AC692F" w:rsidP="00AC692F">
      <w:pPr>
        <w:spacing w:line="360" w:lineRule="auto"/>
        <w:jc w:val="both"/>
        <w:rPr>
          <w:rFonts w:ascii="David" w:hAnsi="David"/>
          <w:rtl/>
        </w:rPr>
      </w:pPr>
    </w:p>
    <w:p w14:paraId="04384057" w14:textId="77777777" w:rsidR="00AC692F" w:rsidRDefault="00AC692F" w:rsidP="00AC692F">
      <w:pPr>
        <w:spacing w:line="360" w:lineRule="auto"/>
        <w:jc w:val="both"/>
        <w:rPr>
          <w:rFonts w:ascii="David" w:hAnsi="David"/>
          <w:rtl/>
        </w:rPr>
      </w:pPr>
      <w:r>
        <w:rPr>
          <w:rFonts w:ascii="David" w:hAnsi="David" w:hint="cs"/>
          <w:rtl/>
        </w:rPr>
        <w:t>13</w:t>
      </w:r>
      <w:r>
        <w:rPr>
          <w:rFonts w:ascii="David" w:hAnsi="David"/>
          <w:rtl/>
        </w:rPr>
        <w:t xml:space="preserve">. </w:t>
      </w:r>
      <w:r>
        <w:rPr>
          <w:rFonts w:ascii="David" w:hAnsi="David"/>
          <w:rtl/>
        </w:rPr>
        <w:tab/>
        <w:t xml:space="preserve">המאשימה  מבקשת שלא לאמץ את המלצת שירות המבחן תוך שהיא טוענת כי הנאשם הגיע לזירת האירוע כחלק מתוכנית עבריינית שמטרתה להטיל מורא. </w:t>
      </w:r>
      <w:r>
        <w:rPr>
          <w:rFonts w:ascii="David" w:hAnsi="David" w:hint="cs"/>
          <w:rtl/>
        </w:rPr>
        <w:t xml:space="preserve">לטענת המאשימה, הנאשם הוא </w:t>
      </w:r>
      <w:r>
        <w:rPr>
          <w:rFonts w:ascii="David" w:hAnsi="David"/>
          <w:rtl/>
        </w:rPr>
        <w:t xml:space="preserve">שותף מלא ועיקרי לכל </w:t>
      </w:r>
      <w:r>
        <w:rPr>
          <w:rFonts w:ascii="David" w:hAnsi="David" w:hint="cs"/>
          <w:rtl/>
        </w:rPr>
        <w:t>שלבי האירוע ו</w:t>
      </w:r>
      <w:r>
        <w:rPr>
          <w:rFonts w:ascii="David" w:hAnsi="David"/>
          <w:rtl/>
        </w:rPr>
        <w:t>על נסיבותיו האישיות לסגת</w:t>
      </w:r>
      <w:r>
        <w:rPr>
          <w:rFonts w:ascii="David" w:hAnsi="David" w:hint="cs"/>
          <w:rtl/>
        </w:rPr>
        <w:t>,</w:t>
      </w:r>
      <w:r>
        <w:rPr>
          <w:rFonts w:ascii="David" w:hAnsi="David"/>
          <w:rtl/>
        </w:rPr>
        <w:t xml:space="preserve"> </w:t>
      </w:r>
      <w:r>
        <w:rPr>
          <w:rFonts w:ascii="David" w:hAnsi="David" w:hint="cs"/>
          <w:rtl/>
        </w:rPr>
        <w:t xml:space="preserve">בסוג זה של עבירות, </w:t>
      </w:r>
      <w:r>
        <w:rPr>
          <w:rFonts w:ascii="David" w:hAnsi="David"/>
          <w:rtl/>
        </w:rPr>
        <w:t xml:space="preserve">מפני האינטרס הציבורי שבמיצוי הדין עמו. </w:t>
      </w:r>
    </w:p>
    <w:p w14:paraId="7D09082B" w14:textId="77777777" w:rsidR="00AC692F" w:rsidRDefault="00AC692F" w:rsidP="00AC692F">
      <w:pPr>
        <w:spacing w:line="360" w:lineRule="auto"/>
        <w:jc w:val="both"/>
        <w:rPr>
          <w:rFonts w:ascii="David" w:hAnsi="David"/>
          <w:rtl/>
        </w:rPr>
      </w:pPr>
    </w:p>
    <w:p w14:paraId="5E8B4D29" w14:textId="77777777" w:rsidR="00AC692F" w:rsidRDefault="00AC692F" w:rsidP="00AC692F">
      <w:pPr>
        <w:spacing w:line="360" w:lineRule="auto"/>
        <w:jc w:val="both"/>
        <w:rPr>
          <w:rFonts w:ascii="David" w:hAnsi="David"/>
          <w:rtl/>
        </w:rPr>
      </w:pPr>
      <w:r>
        <w:rPr>
          <w:rFonts w:ascii="David" w:hAnsi="David" w:hint="cs"/>
          <w:rtl/>
        </w:rPr>
        <w:t>14</w:t>
      </w:r>
      <w:r>
        <w:rPr>
          <w:rFonts w:ascii="David" w:hAnsi="David"/>
          <w:rtl/>
        </w:rPr>
        <w:t xml:space="preserve">. </w:t>
      </w:r>
      <w:r>
        <w:rPr>
          <w:rFonts w:ascii="David" w:hAnsi="David"/>
          <w:rtl/>
        </w:rPr>
        <w:tab/>
        <w:t xml:space="preserve">בסיכומו של דבר, סבורה המאשימה כי מתחם העונש ההולם בתיק זה עומד על </w:t>
      </w:r>
      <w:r>
        <w:rPr>
          <w:rFonts w:ascii="David" w:hAnsi="David" w:hint="cs"/>
          <w:rtl/>
        </w:rPr>
        <w:t>4-2</w:t>
      </w:r>
      <w:r>
        <w:rPr>
          <w:rFonts w:ascii="David" w:hAnsi="David"/>
          <w:rtl/>
        </w:rPr>
        <w:t xml:space="preserve"> שנות מאסר בפועל, בצירוף </w:t>
      </w:r>
      <w:r>
        <w:rPr>
          <w:rFonts w:ascii="David" w:hAnsi="David" w:hint="cs"/>
          <w:rtl/>
        </w:rPr>
        <w:t xml:space="preserve">רכיבי </w:t>
      </w:r>
      <w:r>
        <w:rPr>
          <w:rFonts w:ascii="David" w:hAnsi="David"/>
          <w:rtl/>
        </w:rPr>
        <w:t>ענישה של מאסר מותנה, קנס ופיצוי למתלונן.  לשיטתה, יש להשית על הנאשם, בהתחשב בהודייתו, עונש המצוי ברף האמצעי של מתחם הענישה הנ"ל.  המאשימה הבהירה כי על מג'ד נגזר עונש  של 12 חודשי מאסר בפועל (</w:t>
      </w:r>
      <w:r>
        <w:rPr>
          <w:rFonts w:ascii="Miriam" w:hAnsi="Miriam" w:cs="Miriam"/>
          <w:rtl/>
        </w:rPr>
        <w:t>ט/2</w:t>
      </w:r>
      <w:r>
        <w:rPr>
          <w:rFonts w:ascii="David" w:hAnsi="David"/>
          <w:rtl/>
        </w:rPr>
        <w:t xml:space="preserve">), </w:t>
      </w:r>
      <w:r>
        <w:rPr>
          <w:rFonts w:ascii="David" w:hAnsi="David" w:hint="cs"/>
          <w:rtl/>
        </w:rPr>
        <w:t>ותוך כך טענה כי חלקו של</w:t>
      </w:r>
      <w:r>
        <w:rPr>
          <w:rFonts w:ascii="David" w:hAnsi="David"/>
          <w:rtl/>
        </w:rPr>
        <w:t xml:space="preserve"> הנאשם גדול יותר בהיותו  משליך הרימון. </w:t>
      </w:r>
    </w:p>
    <w:p w14:paraId="211BFB55" w14:textId="77777777" w:rsidR="00AC692F" w:rsidRDefault="00AC692F" w:rsidP="00AC692F">
      <w:pPr>
        <w:spacing w:line="360" w:lineRule="auto"/>
        <w:jc w:val="both"/>
        <w:rPr>
          <w:rFonts w:ascii="David" w:hAnsi="David"/>
          <w:rtl/>
        </w:rPr>
      </w:pPr>
    </w:p>
    <w:p w14:paraId="4985B2C3" w14:textId="77777777" w:rsidR="00AC692F" w:rsidRDefault="00AC692F" w:rsidP="00AC692F">
      <w:pPr>
        <w:spacing w:line="360" w:lineRule="auto"/>
        <w:jc w:val="both"/>
        <w:rPr>
          <w:rFonts w:ascii="David" w:hAnsi="David"/>
          <w:rtl/>
        </w:rPr>
      </w:pPr>
      <w:r>
        <w:rPr>
          <w:rFonts w:ascii="David" w:hAnsi="David" w:hint="cs"/>
          <w:rtl/>
        </w:rPr>
        <w:t>15</w:t>
      </w:r>
      <w:r>
        <w:rPr>
          <w:rFonts w:ascii="David" w:hAnsi="David"/>
          <w:rtl/>
        </w:rPr>
        <w:t xml:space="preserve">. </w:t>
      </w:r>
      <w:r>
        <w:rPr>
          <w:rFonts w:ascii="David" w:hAnsi="David"/>
          <w:rtl/>
        </w:rPr>
        <w:tab/>
        <w:t>הסנגור, בטיעוניו לעונש, הבהיר כי ייצג את טאלב  הנזכר בכתב האישום וכי עניינו קבוע בבית משפט זה, בפני  כב' השופט א. פורת, למתן חוות דעת הממונה על עבודות השירות ולמתן גזר דין ליום 4/7/21.  עוד טען הסנגור, כי מהחלטת כב' השופט פורת בעניינו של טאלב שניתנה ביום 9/6/21 ב</w:t>
      </w:r>
      <w:hyperlink r:id="rId26" w:history="1">
        <w:r w:rsidR="009D5C30" w:rsidRPr="009D5C30">
          <w:rPr>
            <w:rFonts w:ascii="David" w:hAnsi="David"/>
            <w:color w:val="0000FF"/>
            <w:u w:val="single"/>
            <w:rtl/>
          </w:rPr>
          <w:t>ת"פ 43952-09-20</w:t>
        </w:r>
      </w:hyperlink>
      <w:r>
        <w:rPr>
          <w:rFonts w:ascii="David" w:hAnsi="David"/>
          <w:rtl/>
        </w:rPr>
        <w:t>, עולה כי מג'ד הוא הדומיננטי בפרשה (</w:t>
      </w:r>
      <w:r>
        <w:rPr>
          <w:rFonts w:ascii="Miriam" w:hAnsi="Miriam" w:cs="Miriam"/>
          <w:rtl/>
        </w:rPr>
        <w:t>נ/1</w:t>
      </w:r>
      <w:r>
        <w:rPr>
          <w:rFonts w:ascii="David" w:hAnsi="David"/>
          <w:rtl/>
        </w:rPr>
        <w:t>).  הוטעם ע"י הסנגור בעניין זה כי הסכסוך האזרחי מקורו במכרז בו לא זכה מג'ד.  מטיעוני הסנגור גם עולה כי בעניינו של מג'ד קבע כב' השופט פורת מתחם עונש הולם הנע בין 9 – 24 חודשי מאסר בפועל</w:t>
      </w:r>
      <w:r>
        <w:rPr>
          <w:rFonts w:ascii="David" w:hAnsi="David" w:hint="cs"/>
          <w:rtl/>
        </w:rPr>
        <w:t>.</w:t>
      </w:r>
    </w:p>
    <w:p w14:paraId="2927B63D" w14:textId="77777777" w:rsidR="00AC692F" w:rsidRDefault="00AC692F" w:rsidP="00AC692F">
      <w:pPr>
        <w:spacing w:line="360" w:lineRule="auto"/>
        <w:jc w:val="both"/>
        <w:rPr>
          <w:rFonts w:ascii="David" w:hAnsi="David"/>
          <w:rtl/>
        </w:rPr>
      </w:pPr>
    </w:p>
    <w:p w14:paraId="7386FC01" w14:textId="77777777" w:rsidR="00AC692F" w:rsidRDefault="00AC692F" w:rsidP="00AC692F">
      <w:pPr>
        <w:spacing w:line="360" w:lineRule="auto"/>
        <w:jc w:val="both"/>
        <w:rPr>
          <w:rFonts w:ascii="David" w:hAnsi="David"/>
          <w:rtl/>
        </w:rPr>
      </w:pPr>
      <w:r>
        <w:rPr>
          <w:rFonts w:ascii="David" w:hAnsi="David" w:hint="cs"/>
          <w:rtl/>
        </w:rPr>
        <w:t>16</w:t>
      </w:r>
      <w:r>
        <w:rPr>
          <w:rFonts w:ascii="David" w:hAnsi="David"/>
          <w:rtl/>
        </w:rPr>
        <w:t xml:space="preserve">. </w:t>
      </w:r>
      <w:r>
        <w:rPr>
          <w:rFonts w:ascii="David" w:hAnsi="David"/>
          <w:rtl/>
        </w:rPr>
        <w:tab/>
        <w:t xml:space="preserve">הסנגור הפנה בטיעוניו לתסקירו של שירות המבחן, ממנו עולה כי הנאשם </w:t>
      </w:r>
      <w:r>
        <w:rPr>
          <w:rFonts w:ascii="David" w:hAnsi="David" w:hint="cs"/>
          <w:rtl/>
        </w:rPr>
        <w:t>השתתף</w:t>
      </w:r>
      <w:r>
        <w:rPr>
          <w:rFonts w:ascii="David" w:hAnsi="David"/>
          <w:rtl/>
        </w:rPr>
        <w:t xml:space="preserve"> בקבוצה טיפולית </w:t>
      </w:r>
      <w:r>
        <w:rPr>
          <w:rFonts w:ascii="David" w:hAnsi="David" w:hint="cs"/>
          <w:rtl/>
        </w:rPr>
        <w:t>וה</w:t>
      </w:r>
      <w:r>
        <w:rPr>
          <w:rFonts w:ascii="David" w:hAnsi="David"/>
          <w:rtl/>
        </w:rPr>
        <w:t>אפשרו</w:t>
      </w:r>
      <w:r>
        <w:rPr>
          <w:rFonts w:ascii="David" w:hAnsi="David" w:hint="cs"/>
          <w:rtl/>
        </w:rPr>
        <w:t>ת ל</w:t>
      </w:r>
      <w:r>
        <w:rPr>
          <w:rFonts w:ascii="David" w:hAnsi="David"/>
          <w:rtl/>
        </w:rPr>
        <w:t>שיקו</w:t>
      </w:r>
      <w:r>
        <w:rPr>
          <w:rFonts w:ascii="David" w:hAnsi="David" w:hint="cs"/>
          <w:rtl/>
        </w:rPr>
        <w:t xml:space="preserve">מו </w:t>
      </w:r>
      <w:r>
        <w:rPr>
          <w:rFonts w:ascii="David" w:hAnsi="David"/>
          <w:rtl/>
        </w:rPr>
        <w:t>גבוהה. נטען</w:t>
      </w:r>
      <w:r>
        <w:rPr>
          <w:rFonts w:ascii="David" w:hAnsi="David" w:hint="cs"/>
          <w:rtl/>
        </w:rPr>
        <w:t xml:space="preserve">, לפיכך, </w:t>
      </w:r>
      <w:r>
        <w:rPr>
          <w:rFonts w:ascii="David" w:hAnsi="David"/>
          <w:rtl/>
        </w:rPr>
        <w:t xml:space="preserve"> כי על בית המשפט להעדיף את הפן השיקומי על פ</w:t>
      </w:r>
      <w:r>
        <w:rPr>
          <w:rFonts w:ascii="David" w:hAnsi="David" w:hint="cs"/>
          <w:rtl/>
        </w:rPr>
        <w:t>נ</w:t>
      </w:r>
      <w:r>
        <w:rPr>
          <w:rFonts w:ascii="David" w:hAnsi="David"/>
          <w:rtl/>
        </w:rPr>
        <w:t xml:space="preserve">י הפן הענישתי. צוין </w:t>
      </w:r>
      <w:r>
        <w:rPr>
          <w:rFonts w:ascii="David" w:hAnsi="David" w:hint="cs"/>
          <w:rtl/>
        </w:rPr>
        <w:t xml:space="preserve">עוד </w:t>
      </w:r>
      <w:r>
        <w:rPr>
          <w:rFonts w:ascii="David" w:hAnsi="David"/>
          <w:rtl/>
        </w:rPr>
        <w:t>כי עסקינן בצעיר בן 22 שהודה בהזדמנות הראשונה כבר בחקירתו במשטרה</w:t>
      </w:r>
      <w:r>
        <w:rPr>
          <w:rFonts w:ascii="David" w:hAnsi="David" w:hint="cs"/>
          <w:rtl/>
        </w:rPr>
        <w:t xml:space="preserve"> </w:t>
      </w:r>
      <w:r>
        <w:rPr>
          <w:rFonts w:ascii="David" w:hAnsi="David"/>
          <w:rtl/>
        </w:rPr>
        <w:t>והביע חרטה כנה</w:t>
      </w:r>
      <w:r>
        <w:rPr>
          <w:rFonts w:ascii="David" w:hAnsi="David" w:hint="cs"/>
          <w:rtl/>
        </w:rPr>
        <w:t xml:space="preserve">, וכן </w:t>
      </w:r>
      <w:r>
        <w:rPr>
          <w:rFonts w:ascii="David" w:hAnsi="David"/>
          <w:rtl/>
        </w:rPr>
        <w:t>כי ההודאה בבית המשפט חסכה זמן שיפוטי יקר והעדת עדי תביעה רבים</w:t>
      </w:r>
      <w:r>
        <w:rPr>
          <w:rFonts w:ascii="David" w:hAnsi="David" w:hint="cs"/>
          <w:rtl/>
        </w:rPr>
        <w:t>.</w:t>
      </w:r>
      <w:r>
        <w:rPr>
          <w:rFonts w:ascii="David" w:hAnsi="David"/>
          <w:rtl/>
        </w:rPr>
        <w:t xml:space="preserve"> </w:t>
      </w:r>
    </w:p>
    <w:p w14:paraId="1C7E94E6" w14:textId="77777777" w:rsidR="00AC692F" w:rsidRDefault="00AC692F" w:rsidP="00AC692F">
      <w:pPr>
        <w:spacing w:line="360" w:lineRule="auto"/>
        <w:jc w:val="both"/>
        <w:rPr>
          <w:rFonts w:ascii="David" w:hAnsi="David"/>
          <w:rtl/>
        </w:rPr>
      </w:pPr>
    </w:p>
    <w:p w14:paraId="3F22E9A3" w14:textId="77777777" w:rsidR="00AC692F" w:rsidRDefault="00AC692F" w:rsidP="00AC692F">
      <w:pPr>
        <w:spacing w:line="360" w:lineRule="auto"/>
        <w:jc w:val="both"/>
        <w:rPr>
          <w:rFonts w:ascii="David" w:hAnsi="David"/>
          <w:rtl/>
        </w:rPr>
      </w:pPr>
      <w:r>
        <w:rPr>
          <w:rFonts w:ascii="David" w:hAnsi="David"/>
          <w:rtl/>
        </w:rPr>
        <w:t>1</w:t>
      </w:r>
      <w:r>
        <w:rPr>
          <w:rFonts w:ascii="David" w:hAnsi="David" w:hint="cs"/>
          <w:rtl/>
        </w:rPr>
        <w:t>7</w:t>
      </w:r>
      <w:r>
        <w:rPr>
          <w:rFonts w:ascii="David" w:hAnsi="David"/>
          <w:rtl/>
        </w:rPr>
        <w:t xml:space="preserve">. </w:t>
      </w:r>
      <w:r>
        <w:rPr>
          <w:rFonts w:ascii="David" w:hAnsi="David"/>
          <w:rtl/>
        </w:rPr>
        <w:tab/>
        <w:t>לשיטת ההגנה, יש מקום לקבוע בתיק זה מתחם עונש הולם הנע בין 9 חודשי מאסר בפועל לבין 24 חודשי מאסר בפועל.  בנקודה זו הפנה הסנגור לגזר דין שניתן על</w:t>
      </w:r>
      <w:r>
        <w:rPr>
          <w:rFonts w:ascii="David" w:hAnsi="David" w:hint="cs"/>
          <w:rtl/>
        </w:rPr>
        <w:t>-</w:t>
      </w:r>
      <w:r>
        <w:rPr>
          <w:rFonts w:ascii="David" w:hAnsi="David"/>
          <w:rtl/>
        </w:rPr>
        <w:t>ידי ב</w:t>
      </w:r>
      <w:hyperlink r:id="rId27" w:history="1">
        <w:r w:rsidR="009D5C30" w:rsidRPr="009D5C30">
          <w:rPr>
            <w:rFonts w:ascii="David" w:hAnsi="David"/>
            <w:color w:val="0000FF"/>
            <w:u w:val="single"/>
            <w:rtl/>
          </w:rPr>
          <w:t>ת"פ 22765-09-19</w:t>
        </w:r>
      </w:hyperlink>
      <w:r>
        <w:rPr>
          <w:rFonts w:ascii="David" w:hAnsi="David"/>
          <w:rtl/>
        </w:rPr>
        <w:t xml:space="preserve"> ובו הושת על נאשם  שהורשע בעבירות דומות שעיקרן השלכת רימון הלם ל</w:t>
      </w:r>
      <w:r>
        <w:rPr>
          <w:rFonts w:ascii="David" w:hAnsi="David" w:hint="cs"/>
          <w:rtl/>
        </w:rPr>
        <w:t xml:space="preserve">עבר </w:t>
      </w:r>
      <w:r>
        <w:rPr>
          <w:rFonts w:ascii="David" w:hAnsi="David"/>
          <w:rtl/>
        </w:rPr>
        <w:t>ביתו של אדם, עונש של 9 חודשי מאסר בפועל</w:t>
      </w:r>
      <w:r>
        <w:rPr>
          <w:rFonts w:ascii="David" w:hAnsi="David" w:hint="cs"/>
          <w:rtl/>
        </w:rPr>
        <w:t xml:space="preserve"> לריצוי בעבודות שרות, וזאת אף </w:t>
      </w:r>
      <w:r>
        <w:rPr>
          <w:rFonts w:ascii="David" w:hAnsi="David"/>
          <w:rtl/>
        </w:rPr>
        <w:t xml:space="preserve">שלא הוגש תסקיר שהמליץ על פן שיקומי. </w:t>
      </w:r>
    </w:p>
    <w:p w14:paraId="3969E0E4" w14:textId="77777777" w:rsidR="00AC692F" w:rsidRDefault="00AC692F" w:rsidP="00AC692F">
      <w:pPr>
        <w:spacing w:line="360" w:lineRule="auto"/>
        <w:jc w:val="both"/>
        <w:rPr>
          <w:rFonts w:ascii="David" w:hAnsi="David"/>
          <w:rtl/>
        </w:rPr>
      </w:pPr>
    </w:p>
    <w:p w14:paraId="2DE55A07" w14:textId="77777777" w:rsidR="00AC692F" w:rsidRDefault="00AC692F" w:rsidP="00AC692F">
      <w:pPr>
        <w:spacing w:line="360" w:lineRule="auto"/>
        <w:jc w:val="both"/>
        <w:rPr>
          <w:rFonts w:ascii="David" w:hAnsi="David"/>
          <w:rtl/>
        </w:rPr>
      </w:pPr>
      <w:r>
        <w:rPr>
          <w:rFonts w:ascii="David" w:hAnsi="David"/>
          <w:rtl/>
        </w:rPr>
        <w:t>1</w:t>
      </w:r>
      <w:r>
        <w:rPr>
          <w:rFonts w:ascii="David" w:hAnsi="David" w:hint="cs"/>
          <w:rtl/>
        </w:rPr>
        <w:t>8</w:t>
      </w:r>
      <w:r>
        <w:rPr>
          <w:rFonts w:ascii="David" w:hAnsi="David"/>
          <w:rtl/>
        </w:rPr>
        <w:t xml:space="preserve">. </w:t>
      </w:r>
      <w:r>
        <w:rPr>
          <w:rFonts w:ascii="David" w:hAnsi="David"/>
          <w:rtl/>
        </w:rPr>
        <w:tab/>
      </w:r>
      <w:r>
        <w:rPr>
          <w:rFonts w:ascii="David" w:hAnsi="David" w:hint="cs"/>
          <w:rtl/>
        </w:rPr>
        <w:t>לפיכך</w:t>
      </w:r>
      <w:r>
        <w:rPr>
          <w:rFonts w:ascii="David" w:hAnsi="David"/>
          <w:rtl/>
        </w:rPr>
        <w:t>, ו</w:t>
      </w:r>
      <w:r>
        <w:rPr>
          <w:rFonts w:ascii="David" w:hAnsi="David" w:hint="cs"/>
          <w:rtl/>
        </w:rPr>
        <w:t xml:space="preserve">בהסתמך על </w:t>
      </w:r>
      <w:r>
        <w:rPr>
          <w:rFonts w:ascii="David" w:hAnsi="David"/>
          <w:rtl/>
        </w:rPr>
        <w:t xml:space="preserve">סולחה </w:t>
      </w:r>
      <w:r>
        <w:rPr>
          <w:rFonts w:ascii="David" w:hAnsi="David" w:hint="cs"/>
          <w:rtl/>
        </w:rPr>
        <w:t xml:space="preserve">שנערכה עם המתלונן ונזכרת </w:t>
      </w:r>
      <w:r>
        <w:rPr>
          <w:rFonts w:ascii="David" w:hAnsi="David"/>
          <w:rtl/>
        </w:rPr>
        <w:t xml:space="preserve">בתסקיר </w:t>
      </w:r>
      <w:r>
        <w:rPr>
          <w:rFonts w:ascii="David" w:hAnsi="David" w:hint="cs"/>
          <w:rtl/>
        </w:rPr>
        <w:t>שהוגש בתיק בעניינו של השותף</w:t>
      </w:r>
      <w:r>
        <w:rPr>
          <w:rFonts w:ascii="David" w:hAnsi="David"/>
          <w:rtl/>
        </w:rPr>
        <w:t xml:space="preserve">, ביקש הסנגור להשית על הנאשם  עונש של מאסר בפועל בדרך של עבודות שירות, </w:t>
      </w:r>
      <w:r>
        <w:rPr>
          <w:rFonts w:ascii="David" w:hAnsi="David" w:hint="cs"/>
          <w:rtl/>
        </w:rPr>
        <w:t>תוך שטען והדגיש כי</w:t>
      </w:r>
      <w:r>
        <w:rPr>
          <w:rFonts w:ascii="David" w:hAnsi="David"/>
          <w:rtl/>
        </w:rPr>
        <w:t xml:space="preserve"> מג'ד הוא הדומיננטי והיוזם בפרשה. </w:t>
      </w:r>
    </w:p>
    <w:p w14:paraId="52BB9828" w14:textId="77777777" w:rsidR="00AC692F" w:rsidRDefault="00AC692F" w:rsidP="00AC692F">
      <w:pPr>
        <w:jc w:val="both"/>
        <w:rPr>
          <w:rFonts w:ascii="David" w:hAnsi="David"/>
          <w:rtl/>
        </w:rPr>
      </w:pPr>
    </w:p>
    <w:p w14:paraId="01C919AA" w14:textId="77777777" w:rsidR="00AC692F" w:rsidRDefault="00AC692F" w:rsidP="00AC692F">
      <w:pPr>
        <w:spacing w:line="360" w:lineRule="auto"/>
        <w:jc w:val="both"/>
        <w:rPr>
          <w:rFonts w:ascii="Miriam" w:hAnsi="Miriam" w:cs="Miriam"/>
          <w:rtl/>
        </w:rPr>
      </w:pPr>
      <w:r>
        <w:rPr>
          <w:rFonts w:ascii="David" w:hAnsi="David"/>
          <w:rtl/>
        </w:rPr>
        <w:t>1</w:t>
      </w:r>
      <w:r>
        <w:rPr>
          <w:rFonts w:ascii="David" w:hAnsi="David" w:hint="cs"/>
          <w:rtl/>
        </w:rPr>
        <w:t>9</w:t>
      </w:r>
      <w:r>
        <w:rPr>
          <w:rFonts w:ascii="David" w:hAnsi="David"/>
          <w:rtl/>
        </w:rPr>
        <w:t xml:space="preserve">. </w:t>
      </w:r>
      <w:r>
        <w:rPr>
          <w:rFonts w:ascii="David" w:hAnsi="David"/>
          <w:rtl/>
        </w:rPr>
        <w:tab/>
        <w:t>הנאשם</w:t>
      </w:r>
      <w:r>
        <w:rPr>
          <w:rFonts w:ascii="David" w:hAnsi="David" w:hint="cs"/>
          <w:rtl/>
        </w:rPr>
        <w:t>,</w:t>
      </w:r>
      <w:r>
        <w:rPr>
          <w:rFonts w:ascii="David" w:hAnsi="David"/>
          <w:rtl/>
        </w:rPr>
        <w:t xml:space="preserve"> בדברו בפני בית המשפט</w:t>
      </w:r>
      <w:r>
        <w:rPr>
          <w:rFonts w:ascii="David" w:hAnsi="David" w:hint="cs"/>
          <w:rtl/>
        </w:rPr>
        <w:t>,</w:t>
      </w:r>
      <w:r>
        <w:rPr>
          <w:rFonts w:ascii="David" w:hAnsi="David"/>
          <w:rtl/>
        </w:rPr>
        <w:t xml:space="preserve"> אמר  את הדברים הבאים: " </w:t>
      </w:r>
      <w:r w:rsidRPr="004C7186">
        <w:rPr>
          <w:rFonts w:ascii="Miriam" w:hAnsi="Miriam" w:cs="Miriam"/>
          <w:rtl/>
        </w:rPr>
        <w:t>אני טעיתי. למדתי מהטעות.  אני משתתף בקבוצות, אני משתתף בטיפול, אני לא רוצה לחזור לכיוון הזה, בגלל שלמדתי מהטעות.  אני עבדתי אצל מג'ד ואני לא מבין בעניינים האלה, שיחקו לי בראש, ואני בחיים לא עשיתי בעיות ולא נכנסתי למשטרה.  אני מבקש לחזור הביתה</w:t>
      </w:r>
      <w:r>
        <w:rPr>
          <w:rFonts w:ascii="Miriam" w:hAnsi="Miriam" w:cs="Miriam" w:hint="cs"/>
          <w:rtl/>
        </w:rPr>
        <w:t>"</w:t>
      </w:r>
      <w:r w:rsidRPr="004C7186">
        <w:rPr>
          <w:rFonts w:ascii="Miriam" w:hAnsi="Miriam" w:cs="Miriam"/>
          <w:rtl/>
        </w:rPr>
        <w:t>.</w:t>
      </w:r>
    </w:p>
    <w:p w14:paraId="1AEA4E26" w14:textId="77777777" w:rsidR="00AC692F" w:rsidRDefault="00AC692F" w:rsidP="00AC692F">
      <w:pPr>
        <w:jc w:val="both"/>
        <w:rPr>
          <w:rFonts w:ascii="Miriam" w:hAnsi="Miriam" w:cs="Miriam"/>
          <w:rtl/>
        </w:rPr>
      </w:pPr>
    </w:p>
    <w:p w14:paraId="29C4D4E9" w14:textId="77777777" w:rsidR="00AC692F" w:rsidRPr="0099066A" w:rsidRDefault="00AC692F" w:rsidP="00AC692F">
      <w:pPr>
        <w:spacing w:line="360" w:lineRule="auto"/>
        <w:jc w:val="both"/>
        <w:rPr>
          <w:rFonts w:ascii="Miriam" w:hAnsi="Miriam" w:cs="Miriam"/>
          <w:b/>
          <w:bCs/>
          <w:u w:val="single"/>
          <w:rtl/>
        </w:rPr>
      </w:pPr>
      <w:r w:rsidRPr="0099066A">
        <w:rPr>
          <w:rFonts w:ascii="Miriam" w:hAnsi="Miriam" w:cs="Miriam" w:hint="cs"/>
          <w:b/>
          <w:bCs/>
          <w:u w:val="single"/>
          <w:rtl/>
        </w:rPr>
        <w:t>דיון והכרעה</w:t>
      </w:r>
      <w:r w:rsidRPr="0099066A">
        <w:rPr>
          <w:rFonts w:ascii="Miriam" w:hAnsi="Miriam" w:cs="Miriam"/>
          <w:b/>
          <w:bCs/>
          <w:u w:val="single"/>
          <w:rtl/>
        </w:rPr>
        <w:t xml:space="preserve"> </w:t>
      </w:r>
    </w:p>
    <w:p w14:paraId="7F28B599" w14:textId="77777777" w:rsidR="00AC692F" w:rsidRDefault="00AC692F" w:rsidP="00AC692F">
      <w:pPr>
        <w:ind w:left="1440" w:right="1276"/>
        <w:jc w:val="both"/>
        <w:rPr>
          <w:rFonts w:ascii="David" w:hAnsi="David"/>
          <w:rtl/>
        </w:rPr>
      </w:pPr>
    </w:p>
    <w:p w14:paraId="57CBAF4F" w14:textId="77777777" w:rsidR="00AC692F" w:rsidRDefault="00AC692F" w:rsidP="00AC692F">
      <w:pPr>
        <w:spacing w:line="360" w:lineRule="auto"/>
        <w:jc w:val="both"/>
      </w:pPr>
      <w:r>
        <w:rPr>
          <w:rFonts w:ascii="David" w:hAnsi="David" w:hint="cs"/>
          <w:rtl/>
        </w:rPr>
        <w:t>20</w:t>
      </w:r>
      <w:r>
        <w:rPr>
          <w:rFonts w:ascii="David" w:hAnsi="David"/>
          <w:rtl/>
        </w:rPr>
        <w:t xml:space="preserve">. </w:t>
      </w:r>
      <w:r>
        <w:rPr>
          <w:rFonts w:ascii="David" w:hAnsi="David"/>
          <w:rtl/>
        </w:rPr>
        <w:tab/>
      </w:r>
      <w:r>
        <w:rPr>
          <w:rFonts w:hint="cs"/>
          <w:rtl/>
        </w:rPr>
        <w:t xml:space="preserve">עפ"י </w:t>
      </w:r>
      <w:r>
        <w:rPr>
          <w:rtl/>
        </w:rPr>
        <w:t>תיקון מס' 113 ל</w:t>
      </w:r>
      <w:hyperlink r:id="rId28" w:history="1">
        <w:r w:rsidR="009D5C30" w:rsidRPr="009D5C30">
          <w:rPr>
            <w:color w:val="0000FF"/>
            <w:u w:val="single"/>
            <w:rtl/>
          </w:rPr>
          <w:t>חוק העונשין</w:t>
        </w:r>
      </w:hyperlink>
      <w:r>
        <w:rPr>
          <w:rtl/>
        </w:rPr>
        <w:t xml:space="preserve"> </w:t>
      </w:r>
      <w:r>
        <w:rPr>
          <w:rFonts w:hint="cs"/>
          <w:rtl/>
        </w:rPr>
        <w:t>ה</w:t>
      </w:r>
      <w:r>
        <w:rPr>
          <w:rtl/>
        </w:rPr>
        <w:t xml:space="preserve">מתווה את העיקרון המנחה את ביהמ"ש בבואו לגזור דינו של נאשם </w:t>
      </w:r>
      <w:r>
        <w:rPr>
          <w:rFonts w:hint="cs"/>
          <w:rtl/>
        </w:rPr>
        <w:t xml:space="preserve">(עיקרון ההלימה </w:t>
      </w:r>
      <w:r>
        <w:rPr>
          <w:rtl/>
        </w:rPr>
        <w:t xml:space="preserve">לפי </w:t>
      </w:r>
      <w:hyperlink r:id="rId29" w:history="1">
        <w:r w:rsidR="007D7F0E" w:rsidRPr="007D7F0E">
          <w:rPr>
            <w:rStyle w:val="Hyperlink"/>
            <w:rtl/>
          </w:rPr>
          <w:t>סעיף 40ב</w:t>
        </w:r>
      </w:hyperlink>
      <w:r>
        <w:rPr>
          <w:rtl/>
        </w:rPr>
        <w:t xml:space="preserve"> לחוק העונשין</w:t>
      </w:r>
      <w:r>
        <w:rPr>
          <w:rFonts w:hint="cs"/>
          <w:rtl/>
        </w:rPr>
        <w:t xml:space="preserve">), </w:t>
      </w:r>
      <w:r>
        <w:rPr>
          <w:rtl/>
        </w:rPr>
        <w:t xml:space="preserve">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30" w:history="1">
        <w:r w:rsidR="009D5C30" w:rsidRPr="009D5C30">
          <w:rPr>
            <w:color w:val="0000FF"/>
            <w:u w:val="single"/>
            <w:rtl/>
          </w:rPr>
          <w:t>ע.פ. 1523/10</w:t>
        </w:r>
      </w:hyperlink>
      <w:r>
        <w:rPr>
          <w:rFonts w:ascii="Miriam" w:hAnsi="Miriam" w:cs="Miriam"/>
          <w:rtl/>
        </w:rPr>
        <w:t xml:space="preserve"> פלוני נ' מדינת ישראל,</w:t>
      </w:r>
      <w:r>
        <w:rPr>
          <w:rtl/>
        </w:rPr>
        <w:t xml:space="preserve"> 18/4/12 ). </w:t>
      </w:r>
      <w:hyperlink r:id="rId31" w:history="1">
        <w:r w:rsidR="007D7F0E" w:rsidRPr="007D7F0E">
          <w:rPr>
            <w:rStyle w:val="Hyperlink"/>
            <w:rtl/>
          </w:rPr>
          <w:t>סעיף 40ג</w:t>
        </w:r>
      </w:hyperlink>
      <w:r>
        <w:rPr>
          <w:rtl/>
        </w:rPr>
        <w:t xml:space="preserve"> ל</w:t>
      </w:r>
      <w:hyperlink r:id="rId32" w:history="1">
        <w:r w:rsidR="009D5C30" w:rsidRPr="009D5C30">
          <w:rPr>
            <w:color w:val="0000FF"/>
            <w:u w:val="single"/>
            <w:rtl/>
          </w:rPr>
          <w:t>חוק העונשין</w:t>
        </w:r>
      </w:hyperlink>
      <w:r>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3" w:history="1">
        <w:r w:rsidR="007D7F0E" w:rsidRPr="007D7F0E">
          <w:rPr>
            <w:rStyle w:val="Hyperlink"/>
            <w:rtl/>
          </w:rPr>
          <w:t>בסעיף 40ט</w:t>
        </w:r>
      </w:hyperlink>
      <w:r>
        <w:rPr>
          <w:rtl/>
        </w:rPr>
        <w:t xml:space="preserve"> ל</w:t>
      </w:r>
      <w:hyperlink r:id="rId34" w:history="1">
        <w:r w:rsidR="009D5C30" w:rsidRPr="009D5C30">
          <w:rPr>
            <w:color w:val="0000FF"/>
            <w:u w:val="single"/>
            <w:rtl/>
          </w:rPr>
          <w:t>חוק העונשין</w:t>
        </w:r>
      </w:hyperlink>
      <w:r>
        <w:rPr>
          <w:rtl/>
        </w:rPr>
        <w:t xml:space="preserve">.  בתיק זה העבירות מושא כתב האישום מהוות אירוע אחד </w:t>
      </w:r>
      <w:r>
        <w:rPr>
          <w:rFonts w:hint="cs"/>
          <w:rtl/>
        </w:rPr>
        <w:t>שכן קיים ביניהן קשר הדוק והן מגלמות בחובן מסכת עבריינית אחת, ו</w:t>
      </w:r>
      <w:r>
        <w:rPr>
          <w:rtl/>
        </w:rPr>
        <w:t>בגי</w:t>
      </w:r>
      <w:r>
        <w:rPr>
          <w:rFonts w:hint="cs"/>
          <w:rtl/>
        </w:rPr>
        <w:t xml:space="preserve">ן אירוע זה </w:t>
      </w:r>
      <w:r>
        <w:rPr>
          <w:rtl/>
        </w:rPr>
        <w:t xml:space="preserve">ייקבע להלן מתחם העונש ההולם. </w:t>
      </w:r>
    </w:p>
    <w:p w14:paraId="3C1145F0" w14:textId="77777777" w:rsidR="00AC692F" w:rsidRDefault="00AC692F" w:rsidP="00AC692F">
      <w:pPr>
        <w:jc w:val="both"/>
        <w:rPr>
          <w:rtl/>
        </w:rPr>
      </w:pPr>
    </w:p>
    <w:p w14:paraId="7DB4D2AA" w14:textId="77777777" w:rsidR="00AC692F" w:rsidRDefault="00AC692F" w:rsidP="00AC692F">
      <w:pPr>
        <w:spacing w:line="360" w:lineRule="auto"/>
        <w:jc w:val="both"/>
        <w:rPr>
          <w:rtl/>
        </w:rPr>
      </w:pPr>
      <w:r>
        <w:rPr>
          <w:rFonts w:hint="cs"/>
          <w:rtl/>
        </w:rPr>
        <w:t>21</w:t>
      </w:r>
      <w:r>
        <w:rPr>
          <w:rtl/>
        </w:rPr>
        <w:t>.</w:t>
      </w:r>
      <w:r>
        <w:rPr>
          <w:rtl/>
        </w:rPr>
        <w:tab/>
        <w:t xml:space="preserve">הערכים החברתיים שנפגעו כתוצאה מביצוע העבירות על ידי הנאשם הם – שלומו ובטחונו של הציבור, </w:t>
      </w:r>
      <w:r>
        <w:rPr>
          <w:rFonts w:hint="cs"/>
          <w:rtl/>
        </w:rPr>
        <w:t xml:space="preserve">שלטון החוק, סדרי חיים תקינים וכן </w:t>
      </w:r>
      <w:r>
        <w:rPr>
          <w:rtl/>
        </w:rPr>
        <w:t xml:space="preserve">תחושת הביטחון האישי ובטחונו ושלומו של המתלונן. </w:t>
      </w:r>
    </w:p>
    <w:p w14:paraId="1D02B2BB" w14:textId="77777777" w:rsidR="00AC692F" w:rsidRDefault="00AC692F" w:rsidP="00AC692F">
      <w:pPr>
        <w:jc w:val="both"/>
        <w:rPr>
          <w:rtl/>
        </w:rPr>
      </w:pPr>
    </w:p>
    <w:p w14:paraId="0B8F63DD" w14:textId="77777777" w:rsidR="00AC692F" w:rsidRDefault="00AC692F" w:rsidP="00AC692F">
      <w:pPr>
        <w:spacing w:line="360" w:lineRule="auto"/>
        <w:jc w:val="both"/>
        <w:rPr>
          <w:rtl/>
        </w:rPr>
      </w:pPr>
      <w:r>
        <w:rPr>
          <w:rFonts w:hint="cs"/>
          <w:rtl/>
        </w:rPr>
        <w:t>22.</w:t>
      </w:r>
      <w:r>
        <w:rPr>
          <w:rtl/>
        </w:rPr>
        <w:tab/>
        <w:t>הנאשם הורשע, כאמור, בעביר</w:t>
      </w:r>
      <w:r>
        <w:rPr>
          <w:rFonts w:hint="cs"/>
          <w:rtl/>
        </w:rPr>
        <w:t xml:space="preserve">ה של </w:t>
      </w:r>
      <w:r>
        <w:rPr>
          <w:rtl/>
        </w:rPr>
        <w:t xml:space="preserve"> נשיאה והובלה </w:t>
      </w:r>
      <w:r>
        <w:rPr>
          <w:rFonts w:hint="cs"/>
          <w:rtl/>
        </w:rPr>
        <w:t xml:space="preserve">בצוותא </w:t>
      </w:r>
      <w:r>
        <w:rPr>
          <w:rtl/>
        </w:rPr>
        <w:t xml:space="preserve">של נשק מסוג רימון הלם, </w:t>
      </w:r>
      <w:r>
        <w:rPr>
          <w:rFonts w:hint="cs"/>
          <w:rtl/>
        </w:rPr>
        <w:t>בעבירת איומים וכן ב</w:t>
      </w:r>
      <w:r>
        <w:rPr>
          <w:rtl/>
        </w:rPr>
        <w:t>עביר</w:t>
      </w:r>
      <w:r>
        <w:rPr>
          <w:rFonts w:hint="cs"/>
          <w:rtl/>
        </w:rPr>
        <w:t xml:space="preserve">ות נוספות בצוותא של </w:t>
      </w:r>
      <w:r>
        <w:rPr>
          <w:rtl/>
        </w:rPr>
        <w:t>מעשה פזיזות ורשלנות</w:t>
      </w:r>
      <w:r>
        <w:rPr>
          <w:rFonts w:hint="cs"/>
          <w:rtl/>
        </w:rPr>
        <w:t xml:space="preserve"> ושיבוש מהלכי משפט</w:t>
      </w:r>
      <w:r>
        <w:rPr>
          <w:rtl/>
        </w:rPr>
        <w:t xml:space="preserve">. </w:t>
      </w:r>
    </w:p>
    <w:p w14:paraId="16F6C40B" w14:textId="77777777" w:rsidR="00AC692F" w:rsidRDefault="00AC692F" w:rsidP="00AC692F">
      <w:pPr>
        <w:spacing w:line="360" w:lineRule="auto"/>
        <w:jc w:val="both"/>
        <w:rPr>
          <w:rtl/>
        </w:rPr>
      </w:pPr>
      <w:r>
        <w:rPr>
          <w:rtl/>
        </w:rPr>
        <w:t xml:space="preserve"> בית המשפט העליון קבע ב</w:t>
      </w:r>
      <w:hyperlink r:id="rId35" w:history="1">
        <w:r w:rsidR="009D5C30" w:rsidRPr="009D5C30">
          <w:rPr>
            <w:color w:val="0000FF"/>
            <w:u w:val="single"/>
            <w:rtl/>
          </w:rPr>
          <w:t>ע"פ 7386/13</w:t>
        </w:r>
      </w:hyperlink>
      <w:r>
        <w:rPr>
          <w:rtl/>
        </w:rPr>
        <w:t xml:space="preserve"> </w:t>
      </w:r>
      <w:r>
        <w:rPr>
          <w:rFonts w:ascii="Miriam" w:hAnsi="Miriam" w:cs="Miriam"/>
          <w:rtl/>
        </w:rPr>
        <w:t>עווד נ' מדינת ישראל</w:t>
      </w:r>
      <w:r>
        <w:rPr>
          <w:rtl/>
        </w:rPr>
        <w:t xml:space="preserve"> (23/3/13) את הדברים הבאים ל</w:t>
      </w:r>
      <w:r>
        <w:rPr>
          <w:rFonts w:hint="cs"/>
          <w:rtl/>
        </w:rPr>
        <w:t xml:space="preserve">גבי </w:t>
      </w:r>
      <w:r>
        <w:rPr>
          <w:rtl/>
        </w:rPr>
        <w:t>הנזק הטמון בשימוש ברימון הלם: "...</w:t>
      </w:r>
      <w:r>
        <w:rPr>
          <w:rFonts w:ascii="Miriam" w:hAnsi="Miriam" w:cs="Miriam"/>
          <w:rtl/>
        </w:rPr>
        <w:t>גם אם סכנתו של רימון ההלם פחותה משל רימון רסס עדיין מדובר בנשק שבכוחו לגרום פציעה לאדם, בכפוף לקרבתו למוקד הפעלתו</w:t>
      </w:r>
      <w:r>
        <w:rPr>
          <w:rtl/>
        </w:rPr>
        <w:t>...". עוד נקבע זה מכבר על ידי בית המשפט העליון כי רימון הלם נועד לגרום לאי נוחות לאדם, כי הנזק שנגרם ממנו גורם בעצם לטשטושו של אדם ולהכנסתו למצב של הלם</w:t>
      </w:r>
      <w:r>
        <w:rPr>
          <w:rFonts w:hint="cs"/>
          <w:rtl/>
        </w:rPr>
        <w:t>, וכן כי</w:t>
      </w:r>
      <w:r>
        <w:rPr>
          <w:rFonts w:hint="cs"/>
        </w:rPr>
        <w:t xml:space="preserve"> </w:t>
      </w:r>
      <w:r>
        <w:rPr>
          <w:rtl/>
        </w:rPr>
        <w:t>דירוגו אינו בין החמורים א</w:t>
      </w:r>
      <w:r>
        <w:rPr>
          <w:rFonts w:hint="cs"/>
          <w:rtl/>
        </w:rPr>
        <w:t>ף</w:t>
      </w:r>
      <w:r>
        <w:rPr>
          <w:rtl/>
        </w:rPr>
        <w:t xml:space="preserve"> כי אין להקל בו ראש (ראו: </w:t>
      </w:r>
      <w:hyperlink r:id="rId36" w:history="1">
        <w:r w:rsidR="002837A0" w:rsidRPr="002837A0">
          <w:rPr>
            <w:color w:val="0000FF"/>
            <w:u w:val="single"/>
            <w:rtl/>
          </w:rPr>
          <w:t xml:space="preserve">רע"פ 7124/06 </w:t>
        </w:r>
      </w:hyperlink>
      <w:r>
        <w:rPr>
          <w:rtl/>
        </w:rPr>
        <w:t xml:space="preserve"> </w:t>
      </w:r>
      <w:r>
        <w:rPr>
          <w:rFonts w:ascii="Miriam" w:hAnsi="Miriam" w:cs="Miriam"/>
          <w:rtl/>
        </w:rPr>
        <w:t>דרורי נ' מדינת ישראל</w:t>
      </w:r>
      <w:r>
        <w:rPr>
          <w:rtl/>
        </w:rPr>
        <w:t xml:space="preserve"> (9/5/07)). </w:t>
      </w:r>
      <w:r>
        <w:rPr>
          <w:rFonts w:hint="cs"/>
          <w:rtl/>
        </w:rPr>
        <w:t xml:space="preserve">עסקינן  בנשק מסוג </w:t>
      </w:r>
      <w:r>
        <w:rPr>
          <w:rtl/>
        </w:rPr>
        <w:t xml:space="preserve">רימון הלם </w:t>
      </w:r>
      <w:r>
        <w:rPr>
          <w:rFonts w:hint="cs"/>
          <w:rtl/>
        </w:rPr>
        <w:t xml:space="preserve">שסכנתו </w:t>
      </w:r>
      <w:r>
        <w:rPr>
          <w:rtl/>
        </w:rPr>
        <w:t>פחותה</w:t>
      </w:r>
      <w:r>
        <w:rPr>
          <w:rFonts w:hint="cs"/>
          <w:rtl/>
        </w:rPr>
        <w:t xml:space="preserve"> </w:t>
      </w:r>
      <w:r>
        <w:rPr>
          <w:rtl/>
        </w:rPr>
        <w:t>באופן משמעותי מהסכנה הטמונה בכלי נשק אחרים</w:t>
      </w:r>
      <w:r>
        <w:rPr>
          <w:rFonts w:hint="cs"/>
          <w:rtl/>
        </w:rPr>
        <w:t xml:space="preserve"> ש</w:t>
      </w:r>
      <w:r>
        <w:rPr>
          <w:rtl/>
        </w:rPr>
        <w:t>בכוחם לגרום למותו של אדם</w:t>
      </w:r>
      <w:r>
        <w:rPr>
          <w:rFonts w:hint="cs"/>
          <w:rtl/>
        </w:rPr>
        <w:t>, אך אין להקל בו ראש כפי שנקבע בפסיקתו הנ"ל של בית המשפט העליון.</w:t>
      </w:r>
    </w:p>
    <w:p w14:paraId="13CB9AAA" w14:textId="77777777" w:rsidR="00AC692F" w:rsidRDefault="00AC692F" w:rsidP="00AC692F">
      <w:pPr>
        <w:spacing w:line="360" w:lineRule="auto"/>
        <w:jc w:val="both"/>
        <w:rPr>
          <w:rtl/>
        </w:rPr>
      </w:pPr>
      <w:r>
        <w:rPr>
          <w:rFonts w:hint="cs"/>
          <w:rtl/>
        </w:rPr>
        <w:t>23</w:t>
      </w:r>
      <w:r>
        <w:rPr>
          <w:rtl/>
        </w:rPr>
        <w:t>.</w:t>
      </w:r>
      <w:r>
        <w:rPr>
          <w:rtl/>
        </w:rPr>
        <w:tab/>
        <w:t>במקרה דנן גרמה השלכת רימון ההלם ל</w:t>
      </w:r>
      <w:r>
        <w:rPr>
          <w:rFonts w:hint="cs"/>
          <w:rtl/>
        </w:rPr>
        <w:t xml:space="preserve">מרפסת </w:t>
      </w:r>
      <w:r>
        <w:rPr>
          <w:rtl/>
        </w:rPr>
        <w:t>ביתו של המתלונן</w:t>
      </w:r>
      <w:r>
        <w:rPr>
          <w:rFonts w:hint="cs"/>
          <w:rtl/>
        </w:rPr>
        <w:t xml:space="preserve"> אך לקול נפץ ולסימני פיח על רצפת המרפסת, דבר המלמד אמנם על נזקים קלים בלבד שנגרמו בפועל. אולם, אין להתעלם ממסוגלותו של רימון ההלם לפצוע אדם אם היה נוכח במרפסת בעת  בה התפוצץ הרימון. </w:t>
      </w:r>
    </w:p>
    <w:p w14:paraId="04F915DF" w14:textId="77777777" w:rsidR="00AC692F" w:rsidRDefault="00AC692F" w:rsidP="00AC692F">
      <w:pPr>
        <w:spacing w:line="360" w:lineRule="auto"/>
        <w:jc w:val="both"/>
        <w:rPr>
          <w:rtl/>
        </w:rPr>
      </w:pPr>
    </w:p>
    <w:p w14:paraId="62C8C2A2" w14:textId="77777777" w:rsidR="00AC692F" w:rsidRDefault="00AC692F" w:rsidP="00AC692F">
      <w:pPr>
        <w:spacing w:line="360" w:lineRule="auto"/>
        <w:jc w:val="both"/>
        <w:rPr>
          <w:rtl/>
        </w:rPr>
      </w:pPr>
      <w:r>
        <w:rPr>
          <w:rFonts w:hint="cs"/>
          <w:rtl/>
        </w:rPr>
        <w:t>24.</w:t>
      </w:r>
      <w:r>
        <w:rPr>
          <w:rFonts w:hint="cs"/>
          <w:rtl/>
        </w:rPr>
        <w:tab/>
        <w:t>לחובת הנאשם אציין את תכנון המעשים כמתואר בכתב האישום שהרי מג'ד קשר קשר עם טאלב והנאשם לזרוק רימון לעבר ביתו של המתלונן, דבר המלמד על תכנון, כמו גם התנהלותם של הנאשם ושותפיו שכללה, בין היתר,  את ההצטיידות ברימון, הסתרת סימני הזיהוי של הטרקטורון, וכן כיבוי מכשיר ההקלטה במצלמות האבטחה. הסתרת סימני הזיהוי של הטרקטורון וכיבוי מכשיר ההקלטה במצלמות האבטחה נועדו כדי למנוע או להכשיל הליך שיפוטי, דבר המהווה גם פגיעה בשלטון החוק והמשפט ומוסיף נופך של חומרה לנסיבות האירוע שבפנינו. עוד טעם לחומרה ניתן לראות במניע להשלכת רימון ההלם לעבר מרפסת ביתו של המתלונן. ודוק, השלכת הרימון נועדה, כאמור בכתב האישום, לאיים על המתלונן, בהיותו סגן ראש המועצה, וזאת על רקע פסילת מכרז בו השתתפו בני משפחתו של השותף מג'ד. לא יעלה על הדעת שבחברה מתוקנת יעשה אדם דין לעצמו ויפעל בדרך אלימה, מסוכנת  ולא חוקית לצורך פתרון סכסוך ועל מנת להשפיע על בעלי תפקיד להטות את הכף לטובתו או לטובת מקורביו. עם זאת, לטובת הנאשם, ראוי לציין כי לשותף מג'ד היה אינטרס אישי לאיים על המתלונן נוכח פסילת המכרז אליו ניגשו בני משפחתו של מג'ד, וכן ראוי להדגיש כי הנאשם עבד אצל מג'ד, דבר היכול להעיד על יחסי תלות שלו במג'ד ולהסביר אולי את הטעם של הנאשם להשתתפותו בביצוע העבירות.</w:t>
      </w:r>
    </w:p>
    <w:p w14:paraId="4ADFAAA6" w14:textId="77777777" w:rsidR="00AC692F" w:rsidRDefault="00AC692F" w:rsidP="00AC692F">
      <w:pPr>
        <w:spacing w:line="360" w:lineRule="auto"/>
        <w:jc w:val="both"/>
        <w:rPr>
          <w:rtl/>
        </w:rPr>
      </w:pPr>
      <w:r>
        <w:rPr>
          <w:rFonts w:hint="cs"/>
          <w:rtl/>
        </w:rPr>
        <w:t xml:space="preserve"> </w:t>
      </w:r>
    </w:p>
    <w:p w14:paraId="01A28E6E" w14:textId="77777777" w:rsidR="00AC692F" w:rsidRDefault="00AC692F" w:rsidP="00AC692F">
      <w:pPr>
        <w:spacing w:line="360" w:lineRule="auto"/>
        <w:jc w:val="both"/>
        <w:rPr>
          <w:rtl/>
        </w:rPr>
      </w:pPr>
      <w:r>
        <w:rPr>
          <w:rFonts w:hint="cs"/>
          <w:rtl/>
        </w:rPr>
        <w:t>25.</w:t>
      </w:r>
      <w:r>
        <w:rPr>
          <w:rtl/>
        </w:rPr>
        <w:tab/>
        <w:t xml:space="preserve">במסגרת סקירת מדיניות הענישה הנהוגה </w:t>
      </w:r>
      <w:r>
        <w:rPr>
          <w:rFonts w:hint="cs"/>
          <w:rtl/>
        </w:rPr>
        <w:t xml:space="preserve">לגבי </w:t>
      </w:r>
      <w:r>
        <w:rPr>
          <w:rtl/>
        </w:rPr>
        <w:t>עביר</w:t>
      </w:r>
      <w:r>
        <w:rPr>
          <w:rFonts w:hint="cs"/>
          <w:rtl/>
        </w:rPr>
        <w:t>ו</w:t>
      </w:r>
      <w:r>
        <w:rPr>
          <w:rtl/>
        </w:rPr>
        <w:t xml:space="preserve">ת </w:t>
      </w:r>
      <w:r>
        <w:rPr>
          <w:rFonts w:hint="cs"/>
          <w:rtl/>
        </w:rPr>
        <w:t xml:space="preserve">שעיקרן נשיאת והובלת </w:t>
      </w:r>
      <w:r>
        <w:rPr>
          <w:rtl/>
        </w:rPr>
        <w:t>רימון הלם</w:t>
      </w:r>
      <w:r>
        <w:rPr>
          <w:rFonts w:hint="cs"/>
          <w:rtl/>
        </w:rPr>
        <w:t xml:space="preserve"> והשלכתו</w:t>
      </w:r>
      <w:r>
        <w:rPr>
          <w:rtl/>
        </w:rPr>
        <w:t>,  תובא הפסיקה הבאה:</w:t>
      </w:r>
    </w:p>
    <w:p w14:paraId="543EC98F" w14:textId="77777777" w:rsidR="00AC692F" w:rsidRDefault="00AC692F" w:rsidP="00AC692F">
      <w:pPr>
        <w:spacing w:line="360" w:lineRule="auto"/>
        <w:jc w:val="both"/>
        <w:rPr>
          <w:rtl/>
        </w:rPr>
      </w:pPr>
    </w:p>
    <w:p w14:paraId="07C74440" w14:textId="77777777" w:rsidR="00AC692F" w:rsidRDefault="00AC692F" w:rsidP="00AC692F">
      <w:pPr>
        <w:pStyle w:val="a9"/>
        <w:numPr>
          <w:ilvl w:val="0"/>
          <w:numId w:val="3"/>
        </w:numPr>
        <w:spacing w:line="360" w:lineRule="auto"/>
        <w:jc w:val="both"/>
        <w:rPr>
          <w:rtl/>
        </w:rPr>
      </w:pPr>
      <w:r>
        <w:rPr>
          <w:rtl/>
        </w:rPr>
        <w:t>ב</w:t>
      </w:r>
      <w:hyperlink r:id="rId37" w:history="1">
        <w:r w:rsidR="009D5C30" w:rsidRPr="009D5C30">
          <w:rPr>
            <w:color w:val="0000FF"/>
            <w:u w:val="single"/>
            <w:rtl/>
          </w:rPr>
          <w:t>ת.פ. (מחוזי-חיפה) 31218-10-14</w:t>
        </w:r>
      </w:hyperlink>
      <w:r>
        <w:rPr>
          <w:rtl/>
        </w:rPr>
        <w:t xml:space="preserve"> </w:t>
      </w:r>
      <w:r w:rsidRPr="003E7640">
        <w:rPr>
          <w:rFonts w:ascii="Miriam" w:hAnsi="Miriam" w:cs="Miriam"/>
          <w:rtl/>
        </w:rPr>
        <w:t>מדינת ישראל נ' אסדי</w:t>
      </w:r>
      <w:r>
        <w:rPr>
          <w:rtl/>
        </w:rPr>
        <w:t xml:space="preserve"> (11/2/15) דובר בנאשם שהשליך רימון הלם לעבר מרפסת ביתו של המתלונן. שם נקבע מתחם עונש הולם הנע בין 8 ל-20 חודשי מאסר בפועל, ובסופו של דבר הושת על הנאשם שהיה בעל עבר פלילי בעבירות נשק, עונש מאסר בפועל לתקופה של 9 חודשים. באותו מקרה  נזקפו לטובת הנאשם הודאתו ונסיבות אישיות חריגות. </w:t>
      </w:r>
    </w:p>
    <w:p w14:paraId="02920D44" w14:textId="77777777" w:rsidR="00AC692F" w:rsidRDefault="00AC692F" w:rsidP="00AC692F">
      <w:pPr>
        <w:spacing w:line="360" w:lineRule="auto"/>
        <w:jc w:val="both"/>
        <w:rPr>
          <w:rtl/>
        </w:rPr>
      </w:pPr>
    </w:p>
    <w:p w14:paraId="38139E27" w14:textId="77777777" w:rsidR="00AC692F" w:rsidRDefault="00AC692F" w:rsidP="00AC692F">
      <w:pPr>
        <w:pStyle w:val="a9"/>
        <w:numPr>
          <w:ilvl w:val="0"/>
          <w:numId w:val="3"/>
        </w:numPr>
        <w:spacing w:line="360" w:lineRule="auto"/>
        <w:jc w:val="both"/>
        <w:rPr>
          <w:rtl/>
        </w:rPr>
      </w:pPr>
      <w:r>
        <w:rPr>
          <w:rtl/>
        </w:rPr>
        <w:t>ב</w:t>
      </w:r>
      <w:hyperlink r:id="rId38" w:history="1">
        <w:r w:rsidR="009D5C30" w:rsidRPr="009D5C30">
          <w:rPr>
            <w:color w:val="0000FF"/>
            <w:u w:val="single"/>
            <w:rtl/>
          </w:rPr>
          <w:t>ע"פ 8845/15</w:t>
        </w:r>
      </w:hyperlink>
      <w:r>
        <w:rPr>
          <w:rtl/>
        </w:rPr>
        <w:t xml:space="preserve"> </w:t>
      </w:r>
      <w:r w:rsidRPr="003E7640">
        <w:rPr>
          <w:rFonts w:ascii="Miriam" w:hAnsi="Miriam" w:cs="Miriam"/>
          <w:rtl/>
        </w:rPr>
        <w:t>מנסור נ' מדינת ישראל</w:t>
      </w:r>
      <w:r>
        <w:rPr>
          <w:rtl/>
        </w:rPr>
        <w:t xml:space="preserve"> (17/11/16)  דובר במערער שהשליך רימון הלם לעבר בית, אשר התפוצץ סמוך לשני בני משפחה. לא נגרם נזק. בית המשפט המחוזי קבע מתחם עונש הולם </w:t>
      </w:r>
      <w:r>
        <w:rPr>
          <w:rFonts w:hint="cs"/>
          <w:rtl/>
        </w:rPr>
        <w:t>ה</w:t>
      </w:r>
      <w:r>
        <w:rPr>
          <w:rtl/>
        </w:rPr>
        <w:t xml:space="preserve">נע בין 3-1 שנות מאסר בפועל. אותו מערער היה בחור צעיר, שניהל את משפטו והיה בעל עבר פלילי אם כי לא מכביד. ערעורו על חומרת העונש (מאסר בפועל בן 18 חודשים) - נדחה. </w:t>
      </w:r>
    </w:p>
    <w:p w14:paraId="63A71DB4" w14:textId="77777777" w:rsidR="00AC692F" w:rsidRDefault="00AC692F" w:rsidP="00AC692F">
      <w:pPr>
        <w:pStyle w:val="a9"/>
        <w:numPr>
          <w:ilvl w:val="0"/>
          <w:numId w:val="3"/>
        </w:numPr>
        <w:spacing w:line="360" w:lineRule="auto"/>
        <w:jc w:val="both"/>
        <w:rPr>
          <w:rtl/>
        </w:rPr>
      </w:pPr>
      <w:r>
        <w:rPr>
          <w:rtl/>
        </w:rPr>
        <w:t>ב</w:t>
      </w:r>
      <w:hyperlink r:id="rId39" w:history="1">
        <w:r w:rsidR="009D5C30" w:rsidRPr="009D5C30">
          <w:rPr>
            <w:color w:val="0000FF"/>
            <w:u w:val="single"/>
            <w:rtl/>
          </w:rPr>
          <w:t>ת.פ. (מחוזי חיפה) 40450-09-15</w:t>
        </w:r>
      </w:hyperlink>
      <w:r>
        <w:rPr>
          <w:rtl/>
        </w:rPr>
        <w:t xml:space="preserve"> </w:t>
      </w:r>
      <w:r w:rsidRPr="003E7640">
        <w:rPr>
          <w:rFonts w:ascii="Miriam" w:hAnsi="Miriam" w:cs="Miriam"/>
          <w:rtl/>
        </w:rPr>
        <w:t xml:space="preserve">מדינת ישראל נ' עכאווי </w:t>
      </w:r>
      <w:r>
        <w:rPr>
          <w:rtl/>
        </w:rPr>
        <w:t xml:space="preserve">(20/1/16) דובר בנאשם שהשליך רימון הלם לתוך חנות בה עבד המתלונן. שם נקבע מתחם עונש הולם שנע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1D2B6393" w14:textId="77777777" w:rsidR="00AC692F" w:rsidRDefault="00AC692F" w:rsidP="00AC692F">
      <w:pPr>
        <w:spacing w:line="360" w:lineRule="auto"/>
        <w:ind w:left="720"/>
        <w:jc w:val="both"/>
        <w:rPr>
          <w:rtl/>
        </w:rPr>
      </w:pPr>
    </w:p>
    <w:p w14:paraId="2497C86F" w14:textId="77777777" w:rsidR="00AC692F" w:rsidRDefault="00AC692F" w:rsidP="00AC692F">
      <w:pPr>
        <w:pStyle w:val="a9"/>
        <w:numPr>
          <w:ilvl w:val="0"/>
          <w:numId w:val="2"/>
        </w:numPr>
        <w:spacing w:line="360" w:lineRule="auto"/>
        <w:jc w:val="both"/>
        <w:rPr>
          <w:rtl/>
        </w:rPr>
      </w:pPr>
      <w:r>
        <w:rPr>
          <w:rFonts w:hint="cs"/>
          <w:rtl/>
        </w:rPr>
        <w:t>ב</w:t>
      </w:r>
      <w:hyperlink r:id="rId40" w:history="1">
        <w:r w:rsidR="009D5C30" w:rsidRPr="009D5C30">
          <w:rPr>
            <w:color w:val="0000FF"/>
            <w:u w:val="single"/>
            <w:rtl/>
          </w:rPr>
          <w:t>ת.פ. (מחוזי חיפה) 22765-09-19</w:t>
        </w:r>
      </w:hyperlink>
      <w:r>
        <w:rPr>
          <w:rFonts w:hint="cs"/>
          <w:rtl/>
        </w:rPr>
        <w:t xml:space="preserve"> </w:t>
      </w:r>
      <w:r w:rsidRPr="003E7640">
        <w:rPr>
          <w:rFonts w:ascii="Miriam" w:hAnsi="Miriam" w:cs="Miriam"/>
          <w:rtl/>
        </w:rPr>
        <w:t>מדינת ישראל נ' מטרי</w:t>
      </w:r>
      <w:r>
        <w:rPr>
          <w:rFonts w:hint="cs"/>
          <w:rtl/>
        </w:rPr>
        <w:t xml:space="preserve"> (5/12/19) </w:t>
      </w:r>
      <w:r w:rsidRPr="003E7640">
        <w:rPr>
          <w:rFonts w:ascii="Miriam" w:hAnsi="Miriam" w:cs="Miriam"/>
          <w:rtl/>
        </w:rPr>
        <w:t xml:space="preserve">(נ/2) </w:t>
      </w:r>
      <w:r>
        <w:rPr>
          <w:rFonts w:hint="cs"/>
          <w:rtl/>
        </w:rPr>
        <w:t xml:space="preserve">עסקינן בנאשם שהורשע על-ידי, מכוח הודאתו, בביצוע </w:t>
      </w:r>
      <w:r>
        <w:rPr>
          <w:rtl/>
        </w:rPr>
        <w:t xml:space="preserve">עבירות </w:t>
      </w:r>
      <w:r>
        <w:rPr>
          <w:rFonts w:hint="cs"/>
          <w:rtl/>
        </w:rPr>
        <w:t xml:space="preserve">דומות לאלו שבפנינו- עבירות </w:t>
      </w:r>
      <w:r>
        <w:rPr>
          <w:rtl/>
        </w:rPr>
        <w:t xml:space="preserve">בנשק (נשיאה והובלה), עבירה לפי </w:t>
      </w:r>
      <w:hyperlink r:id="rId41" w:history="1">
        <w:r w:rsidR="007D7F0E" w:rsidRPr="007D7F0E">
          <w:rPr>
            <w:rStyle w:val="Hyperlink"/>
            <w:rtl/>
          </w:rPr>
          <w:t>סעיף 144(ב)</w:t>
        </w:r>
      </w:hyperlink>
      <w:r>
        <w:rPr>
          <w:rtl/>
        </w:rPr>
        <w:t xml:space="preserve"> ל</w:t>
      </w:r>
      <w:hyperlink r:id="rId42" w:history="1">
        <w:r w:rsidR="009D5C30" w:rsidRPr="009D5C30">
          <w:rPr>
            <w:color w:val="0000FF"/>
            <w:u w:val="single"/>
            <w:rtl/>
          </w:rPr>
          <w:t>חוק העונשין</w:t>
        </w:r>
      </w:hyperlink>
      <w:r>
        <w:rPr>
          <w:rFonts w:hint="cs"/>
          <w:rtl/>
        </w:rPr>
        <w:t xml:space="preserve">; </w:t>
      </w:r>
      <w:r>
        <w:rPr>
          <w:rtl/>
        </w:rPr>
        <w:t xml:space="preserve">עבירה של מעשה פזיזות ורשלנות, עבירה לפי </w:t>
      </w:r>
      <w:hyperlink r:id="rId43" w:history="1">
        <w:r w:rsidR="007D7F0E" w:rsidRPr="007D7F0E">
          <w:rPr>
            <w:rStyle w:val="Hyperlink"/>
            <w:rtl/>
          </w:rPr>
          <w:t>סעיף 338(א)(3)</w:t>
        </w:r>
      </w:hyperlink>
      <w:r>
        <w:rPr>
          <w:rtl/>
        </w:rPr>
        <w:t xml:space="preserve"> לחוק העונשין ו</w:t>
      </w:r>
      <w:r>
        <w:rPr>
          <w:rFonts w:hint="cs"/>
          <w:rtl/>
        </w:rPr>
        <w:t xml:space="preserve">כן </w:t>
      </w:r>
      <w:r>
        <w:rPr>
          <w:rtl/>
        </w:rPr>
        <w:t xml:space="preserve">עבירה של איומים, עבירה לפי </w:t>
      </w:r>
      <w:hyperlink r:id="rId44" w:history="1">
        <w:r w:rsidR="007D7F0E" w:rsidRPr="007D7F0E">
          <w:rPr>
            <w:rStyle w:val="Hyperlink"/>
            <w:rtl/>
          </w:rPr>
          <w:t>סעיף 192</w:t>
        </w:r>
      </w:hyperlink>
      <w:r>
        <w:rPr>
          <w:rtl/>
        </w:rPr>
        <w:t xml:space="preserve"> לחוק העונשין.</w:t>
      </w:r>
      <w:r>
        <w:rPr>
          <w:rFonts w:hint="cs"/>
          <w:rtl/>
        </w:rPr>
        <w:t xml:space="preserve"> אותו </w:t>
      </w:r>
      <w:r>
        <w:rPr>
          <w:rtl/>
        </w:rPr>
        <w:t>נאשם התקרב עם רכבו לבית המתלונן, וכשהגיע בסמוך לגדר המפרידה בין הכביש לחצר ביתו של המתלונן, האט את מהירות הנסיעה והשליך מתוך הרכב את</w:t>
      </w:r>
      <w:r>
        <w:rPr>
          <w:rFonts w:hint="cs"/>
          <w:rtl/>
        </w:rPr>
        <w:t xml:space="preserve"> רימון ההלם</w:t>
      </w:r>
      <w:r>
        <w:rPr>
          <w:rtl/>
        </w:rPr>
        <w:t xml:space="preserve"> לחצר ביתו של המתלונן, בכוונה להפחיד או להקניט את המתלונן ובני משפחתו, באופן שיש בו כדי לסכן חיי אדם או לגרום לחבלה. הרימון התפוצץ תוך גרימת קול נפץ חזק והנאשם נמלט מהמקום עם רכבו.</w:t>
      </w:r>
      <w:r>
        <w:rPr>
          <w:rFonts w:hint="cs"/>
          <w:rtl/>
        </w:rPr>
        <w:t xml:space="preserve"> קבעתי באותו תיק מתחם עונש הולם ה</w:t>
      </w:r>
      <w:r>
        <w:rPr>
          <w:rtl/>
        </w:rPr>
        <w:t>נע בין עונש של 9 חודשי מאסר בפועל, לרבות לריצוי בדרך של עבודות שירות, לבין עונש של 24 חודשי מאסר בפועל</w:t>
      </w:r>
      <w:r>
        <w:rPr>
          <w:rFonts w:hint="cs"/>
          <w:rtl/>
        </w:rPr>
        <w:t xml:space="preserve">, ובסופו של דבר הושת על אותו נאשם שהיה בעל עבר נקי, עונש </w:t>
      </w:r>
      <w:r>
        <w:rPr>
          <w:rtl/>
        </w:rPr>
        <w:t>ש</w:t>
      </w:r>
      <w:r>
        <w:rPr>
          <w:rFonts w:hint="cs"/>
          <w:rtl/>
        </w:rPr>
        <w:t xml:space="preserve">עיקרו </w:t>
      </w:r>
      <w:r>
        <w:rPr>
          <w:rtl/>
        </w:rPr>
        <w:t xml:space="preserve"> 9 חודשי מאסר בפועל, לריצוי בדרך של עבודות שירות</w:t>
      </w:r>
      <w:r>
        <w:rPr>
          <w:rFonts w:hint="cs"/>
          <w:rtl/>
        </w:rPr>
        <w:t xml:space="preserve">. </w:t>
      </w:r>
    </w:p>
    <w:p w14:paraId="6DF10F7B" w14:textId="77777777" w:rsidR="00AC692F" w:rsidRDefault="00AC692F" w:rsidP="00AC692F">
      <w:pPr>
        <w:spacing w:line="360" w:lineRule="auto"/>
        <w:ind w:firstLine="720"/>
        <w:jc w:val="both"/>
      </w:pPr>
    </w:p>
    <w:p w14:paraId="53EBD49F" w14:textId="77777777" w:rsidR="00AC692F" w:rsidRDefault="00AC692F" w:rsidP="00AC692F">
      <w:pPr>
        <w:pStyle w:val="a9"/>
        <w:numPr>
          <w:ilvl w:val="0"/>
          <w:numId w:val="1"/>
        </w:numPr>
        <w:spacing w:line="360" w:lineRule="auto"/>
        <w:jc w:val="both"/>
      </w:pPr>
      <w:r>
        <w:rPr>
          <w:rFonts w:hint="cs"/>
          <w:rtl/>
        </w:rPr>
        <w:t>ב</w:t>
      </w:r>
      <w:hyperlink r:id="rId45" w:history="1">
        <w:r w:rsidR="009D5C30" w:rsidRPr="009D5C30">
          <w:rPr>
            <w:color w:val="0000FF"/>
            <w:u w:val="single"/>
            <w:rtl/>
          </w:rPr>
          <w:t>ת.פ. (מחוזי חיפה) 43952-09-20</w:t>
        </w:r>
      </w:hyperlink>
      <w:r>
        <w:rPr>
          <w:rFonts w:hint="cs"/>
          <w:rtl/>
        </w:rPr>
        <w:t xml:space="preserve"> </w:t>
      </w:r>
      <w:r w:rsidRPr="003E7640">
        <w:rPr>
          <w:rFonts w:ascii="Miriam" w:hAnsi="Miriam" w:cs="Miriam"/>
          <w:rtl/>
        </w:rPr>
        <w:t>מדינת ישראל נ' מג'ד חטיב ו</w:t>
      </w:r>
      <w:r>
        <w:rPr>
          <w:rFonts w:ascii="Miriam" w:hAnsi="Miriam" w:cs="Miriam" w:hint="cs"/>
          <w:rtl/>
        </w:rPr>
        <w:t>טאלב חטיב</w:t>
      </w:r>
      <w:r>
        <w:rPr>
          <w:rFonts w:hint="cs"/>
          <w:rtl/>
        </w:rPr>
        <w:t xml:space="preserve"> הושת ביום 6/5/21 ע"י כב' השופט ארז פורת על שותפו של הנאשם, על מג'ד,  עונש של 12 חודשי מאסר בפועל בניכוי ימי מעצרו, עונש של מאסר מותנה ופיצוי לטובת המתלונן בסך 7,500 ₪ , וזאת לאחר שקבע מתחם עונש הולם הנע בין עונש של 9 חודשי מאסר בפועל לעונש של 25 חודשי מאסר בפועל. באותו גזר דין נקבע כי השותף מג</w:t>
      </w:r>
      <w:r>
        <w:rPr>
          <w:rtl/>
        </w:rPr>
        <w:t>'</w:t>
      </w:r>
      <w:r>
        <w:rPr>
          <w:rFonts w:hint="cs"/>
          <w:rtl/>
        </w:rPr>
        <w:t>ד היה בעל המניע למעשה זריקת הרימון ואף דאג להסוואתו. לאחרונה, ביום 13/7/21 נגזר באותו תיק דינו של השותף טאלב לעונש של 9 חודשי מאסר בפועל בדרך של עבודות שרות, לצד רכיבי ענישה של מאסר מותנה, קנס בסך 5,000 ₪ ופיצוי בסך 3,000 ₪ לטובת המתלונן, תוך שנקבע כי לא הובאו בפני בית המשפט נתונים לעניין פיצוי במסגרת הסולחה וכי אובדן תחושת הביטחון אצל המתלונן מצדיק השתת פיצוי ממשי לטובתו. אף בגזר הדין נגד טאלב נקבע מתחם עונש הולם הנע בין 9 חודשי מאסר בפועל ל- 25 חודשי מאסר בפועל.</w:t>
      </w:r>
    </w:p>
    <w:p w14:paraId="1948CA2E" w14:textId="77777777" w:rsidR="00AC692F" w:rsidRDefault="00AC692F" w:rsidP="00AC692F">
      <w:pPr>
        <w:spacing w:line="360" w:lineRule="auto"/>
        <w:jc w:val="both"/>
        <w:rPr>
          <w:rtl/>
        </w:rPr>
      </w:pPr>
      <w:r>
        <w:rPr>
          <w:rFonts w:hint="cs"/>
          <w:rtl/>
        </w:rPr>
        <w:t>26.</w:t>
      </w:r>
      <w:r>
        <w:rPr>
          <w:rFonts w:hint="cs"/>
          <w:rtl/>
        </w:rPr>
        <w:tab/>
        <w:t>ל</w:t>
      </w:r>
      <w:r>
        <w:rPr>
          <w:rtl/>
        </w:rPr>
        <w:t>אחר שנתתי דעתי לערכים החברתיים שנפגעו כתוצאה מביצוע העבירות שבפנינו, וכן לנסיבות ביצוע העבירות ולמדיניות הענישה הנהוגה, לרבות לפסיקה אליה הפנה כל אחד מהצדדים</w:t>
      </w:r>
      <w:r>
        <w:rPr>
          <w:rFonts w:hint="cs"/>
          <w:rtl/>
        </w:rPr>
        <w:t xml:space="preserve"> ולמתחם העונש ההולם שנקבע בגזרי הדין נגד שותפיו של הנאשם (מאג'ד וטאלב), </w:t>
      </w:r>
      <w:r>
        <w:rPr>
          <w:rtl/>
        </w:rPr>
        <w:t>הגעתי לכלל מסקנה כי מתחם העונש ההולם בתיק זה נע בין עונש של 9 חודשי מאסר בפועל, לרבות לריצוי בדרך של עבודות שירות, לבין עונש של 24 חודשי מאסר בפועל. כאן ראוי לציין כי בקביעת מתחם העונש ההולם הנ"ל באה לידי ביטוי בעיקר העובדה שעסקינן בנשק מסוג רימון הלם, אשר מסוכנותו פחותה, כאמור, בהרבה מהמסוכנות הגלומה בנשק חם</w:t>
      </w:r>
      <w:r>
        <w:rPr>
          <w:rFonts w:hint="cs"/>
          <w:rtl/>
        </w:rPr>
        <w:t xml:space="preserve">. </w:t>
      </w:r>
    </w:p>
    <w:p w14:paraId="18810833" w14:textId="77777777" w:rsidR="00AC692F" w:rsidRDefault="00AC692F" w:rsidP="00AC692F">
      <w:pPr>
        <w:spacing w:line="360" w:lineRule="auto"/>
        <w:jc w:val="both"/>
        <w:rPr>
          <w:rtl/>
        </w:rPr>
      </w:pPr>
    </w:p>
    <w:p w14:paraId="29245CED" w14:textId="77777777" w:rsidR="00AC692F" w:rsidRDefault="00AC692F" w:rsidP="00AC692F">
      <w:pPr>
        <w:spacing w:line="360" w:lineRule="auto"/>
        <w:jc w:val="both"/>
        <w:rPr>
          <w:rtl/>
        </w:rPr>
      </w:pPr>
      <w:r>
        <w:rPr>
          <w:rFonts w:hint="cs"/>
          <w:rtl/>
        </w:rPr>
        <w:t>27.</w:t>
      </w:r>
      <w:r>
        <w:rPr>
          <w:rFonts w:hint="cs"/>
          <w:rtl/>
        </w:rPr>
        <w:tab/>
        <w:t>במסגרת בחינת הנסיבות שאינן קשורות בביצוע העבירות אציין, לטובת הנאשם, את היותו בחור צעיר בן 21 בעל עבר נקי ללא רבב וכן את הודאתו בהזדמנות הראשונה שחסכה הן מזמנו היקר של בית המשפט והן את העדת עדי התביעה. מעבר לכך יש לציין, לקולה, את התמונה המצטיירת, כאמור, מתסקירי שרות המבחן וממנה עולה כי הנאשם נעדר דפוסים עבריינים מושרשים, תפקד באופן יציב בכל תחומי חייו, וכן לקח אחריות מלאה על מעשיו תוך הבעת צער וחרטה כנים. שרות המבחן התרשם כי קיים סיכון נמוך להישנות עבירות דומות בעתיד ע"י הנאשם וכי הוא השתלב נאותה בקבוצה טיפולית, וכן הוא סבור כי קיימת חשיבות במיצוי ההליך הטיפולי ע"י הנאשם וכי יש להעדיף בעניינו את הפן השיקומי. לכל אלו יש להוסיף, לקולה, את היות הנאשם עצור בגין תיק זה במעצר של ממש מיום 31/8/20 עד ליום 12/11/20, וכי מהמועד הנ"ל ועד כה, היינו במשך תקופה של 8 חודשים,  נתון הנאשם במעצר באיזוק אלקטרוני. עוד אוסיף ואציין כי בין הנאשם לבין המתלונן שוררת כעת מערכת יחסים טובה, כפי שעולה מטיעוני הסנגור לעונש וממקרא התסקיר המשלים.</w:t>
      </w:r>
    </w:p>
    <w:p w14:paraId="730DC61D" w14:textId="77777777" w:rsidR="00AC692F" w:rsidRDefault="00AC692F" w:rsidP="00AC692F">
      <w:pPr>
        <w:spacing w:line="360" w:lineRule="auto"/>
        <w:jc w:val="both"/>
        <w:rPr>
          <w:rtl/>
        </w:rPr>
      </w:pPr>
    </w:p>
    <w:p w14:paraId="72763474" w14:textId="77777777" w:rsidR="00AC692F" w:rsidRDefault="00AC692F" w:rsidP="00AC692F">
      <w:pPr>
        <w:spacing w:line="360" w:lineRule="auto"/>
        <w:jc w:val="both"/>
        <w:rPr>
          <w:rtl/>
        </w:rPr>
      </w:pPr>
      <w:r>
        <w:rPr>
          <w:rFonts w:hint="cs"/>
          <w:rtl/>
        </w:rPr>
        <w:t>28.</w:t>
      </w:r>
      <w:r>
        <w:rPr>
          <w:rFonts w:hint="cs"/>
          <w:rtl/>
        </w:rPr>
        <w:tab/>
        <w:t>לאחר שנתתי דעתי לטעמים הנ"ל לקולה וכן לנסיבותיו האישיות של הנאשם, כפי שעולה מהתסקיר, אני בדעה כי יש מקום להשית על הנאשם מאסר בפועל ברף התחתון של מתחם העונש ההולם שנקבע לעיל על-ידי, מאסר בפועל בן 9 חודשים שירוצה בדרך של עבודות שרות, כפי שנגזר על טאלב, שותפו של הנאשם. יודגש כי שליחת הנאשם הצעיר למאסר של ממש עלולה לגדוע את הליך שיקומו ולהביא חלילה להשתלבותו במעגל הפשיעה. לרכיב המאסר בפועל יתווסף רכיב של מאסר מותנה משמעותי ומרתיע, קנס כספי ופיצוי לטובת המתלונן, אשר חווה אובדן של תחושת  הביטחון בביתו שאמור היה לשמש עבורו מקום של מבצר וביטחון. וכל זאת לצד צו מבחן שיושת על הנאשם ויהווה כשלעצמו אלמנט של הרתעה כלפיו.</w:t>
      </w:r>
    </w:p>
    <w:p w14:paraId="3BC731F7" w14:textId="77777777" w:rsidR="00AC692F" w:rsidRDefault="00AC692F" w:rsidP="00AC692F">
      <w:pPr>
        <w:spacing w:line="360" w:lineRule="auto"/>
        <w:jc w:val="both"/>
        <w:rPr>
          <w:rtl/>
        </w:rPr>
      </w:pPr>
    </w:p>
    <w:p w14:paraId="63D492E4" w14:textId="77777777" w:rsidR="00AC692F" w:rsidRDefault="00AC692F" w:rsidP="00AC692F">
      <w:pPr>
        <w:spacing w:line="360" w:lineRule="auto"/>
        <w:jc w:val="both"/>
        <w:rPr>
          <w:rtl/>
        </w:rPr>
      </w:pPr>
      <w:r>
        <w:rPr>
          <w:rFonts w:hint="cs"/>
          <w:rtl/>
        </w:rPr>
        <w:t>29.</w:t>
      </w:r>
      <w:r>
        <w:rPr>
          <w:rFonts w:hint="cs"/>
          <w:rtl/>
        </w:rPr>
        <w:tab/>
        <w:t>בסיכומו של דבר, אני דנה את הנאשם, כדלקמן:</w:t>
      </w:r>
    </w:p>
    <w:p w14:paraId="6D141D93" w14:textId="77777777" w:rsidR="00AC692F" w:rsidRDefault="00AC692F" w:rsidP="00AC692F">
      <w:pPr>
        <w:spacing w:line="360" w:lineRule="auto"/>
        <w:jc w:val="both"/>
        <w:rPr>
          <w:rtl/>
        </w:rPr>
      </w:pPr>
    </w:p>
    <w:p w14:paraId="37BF8E0F" w14:textId="77777777" w:rsidR="00AC692F" w:rsidRPr="00AC692F" w:rsidRDefault="00AC692F" w:rsidP="00AC692F">
      <w:pPr>
        <w:spacing w:after="160" w:line="360" w:lineRule="auto"/>
        <w:ind w:left="720"/>
        <w:jc w:val="both"/>
        <w:rPr>
          <w:rFonts w:ascii="Calibri" w:hAnsi="Calibri"/>
        </w:rPr>
      </w:pPr>
      <w:r w:rsidRPr="00AC692F">
        <w:rPr>
          <w:rFonts w:ascii="Calibri" w:hAnsi="Calibri" w:cs="Arial"/>
          <w:sz w:val="22"/>
          <w:szCs w:val="22"/>
          <w:rtl/>
        </w:rPr>
        <w:t>א.</w:t>
      </w:r>
      <w:r w:rsidRPr="00AC692F">
        <w:rPr>
          <w:rFonts w:ascii="Calibri" w:hAnsi="Calibri" w:cs="Arial"/>
          <w:sz w:val="22"/>
          <w:szCs w:val="22"/>
          <w:rtl/>
        </w:rPr>
        <w:tab/>
      </w:r>
      <w:r w:rsidRPr="00AC692F">
        <w:rPr>
          <w:rFonts w:ascii="Calibri" w:hAnsi="Calibri"/>
          <w:rtl/>
        </w:rPr>
        <w:t xml:space="preserve">למאסר בפועל לתקופה של 9 חודשים.  המאסר הנ"ל ירוצה על ידי הנאשם בדרך של עבודות שירות, כאמור בחוות דעת הממונה על עבודות השירות, היינו </w:t>
      </w:r>
      <w:r w:rsidRPr="00AC692F">
        <w:rPr>
          <w:rFonts w:ascii="Calibri" w:hAnsi="Calibri" w:hint="cs"/>
          <w:rtl/>
        </w:rPr>
        <w:t>בעיריית סכנין.</w:t>
      </w:r>
    </w:p>
    <w:p w14:paraId="4AB9A074" w14:textId="77777777" w:rsidR="00AC692F" w:rsidRPr="00AC692F" w:rsidRDefault="00AC692F" w:rsidP="00AC692F">
      <w:pPr>
        <w:spacing w:before="240" w:after="160" w:line="360" w:lineRule="auto"/>
        <w:ind w:left="720" w:firstLine="720"/>
        <w:jc w:val="both"/>
        <w:rPr>
          <w:rFonts w:ascii="Calibri" w:hAnsi="Calibri"/>
          <w:rtl/>
        </w:rPr>
      </w:pPr>
      <w:r w:rsidRPr="00AC692F">
        <w:rPr>
          <w:rFonts w:ascii="Calibri" w:hAnsi="Calibri"/>
          <w:rtl/>
        </w:rPr>
        <w:t>הנאשם יתייצב ביום</w:t>
      </w:r>
      <w:r w:rsidRPr="00AC692F">
        <w:rPr>
          <w:rFonts w:ascii="Calibri" w:hAnsi="Calibri" w:hint="cs"/>
          <w:rtl/>
        </w:rPr>
        <w:t xml:space="preserve"> 5/10/21 </w:t>
      </w:r>
      <w:r w:rsidRPr="00AC692F">
        <w:rPr>
          <w:rFonts w:ascii="Calibri" w:hAnsi="Calibri"/>
          <w:rtl/>
        </w:rPr>
        <w:t>בשעה 8:00 לצורך קליטה והצבה, בתאריך תחילת עבודות השירות, ביחידת עבודות שירות</w:t>
      </w:r>
      <w:r w:rsidRPr="00AC692F">
        <w:rPr>
          <w:rFonts w:ascii="Calibri" w:hAnsi="Calibri" w:hint="cs"/>
          <w:rtl/>
        </w:rPr>
        <w:t xml:space="preserve"> (ברקאי)</w:t>
      </w:r>
      <w:r w:rsidRPr="00AC692F">
        <w:rPr>
          <w:rFonts w:ascii="Calibri" w:hAnsi="Calibri"/>
          <w:rtl/>
        </w:rPr>
        <w:t xml:space="preserve">, </w:t>
      </w:r>
      <w:r w:rsidRPr="00AC692F">
        <w:rPr>
          <w:rFonts w:ascii="Calibri" w:hAnsi="Calibri" w:hint="cs"/>
          <w:rtl/>
        </w:rPr>
        <w:t xml:space="preserve">שלוחת </w:t>
      </w:r>
      <w:r w:rsidRPr="00AC692F">
        <w:rPr>
          <w:rFonts w:ascii="Calibri" w:hAnsi="Calibri"/>
          <w:rtl/>
        </w:rPr>
        <w:t xml:space="preserve"> צפון, </w:t>
      </w:r>
      <w:r w:rsidRPr="00AC692F">
        <w:rPr>
          <w:rFonts w:ascii="Calibri" w:hAnsi="Calibri" w:hint="cs"/>
          <w:rtl/>
        </w:rPr>
        <w:t>סמוך לבית הכלא מגידו.</w:t>
      </w:r>
      <w:r w:rsidRPr="00AC692F">
        <w:rPr>
          <w:rFonts w:ascii="Calibri" w:hAnsi="Calibri"/>
          <w:rtl/>
        </w:rPr>
        <w:t xml:space="preserve"> </w:t>
      </w:r>
    </w:p>
    <w:p w14:paraId="4E4D5529" w14:textId="77777777" w:rsidR="00AC692F" w:rsidRPr="00AC692F" w:rsidRDefault="00AC692F" w:rsidP="00AC692F">
      <w:pPr>
        <w:spacing w:after="160" w:line="360" w:lineRule="auto"/>
        <w:ind w:left="720" w:firstLine="720"/>
        <w:jc w:val="both"/>
        <w:rPr>
          <w:rFonts w:ascii="Calibri" w:hAnsi="Calibri"/>
          <w:rtl/>
        </w:rPr>
      </w:pPr>
      <w:r w:rsidRPr="00AC692F">
        <w:rPr>
          <w:rFonts w:ascii="Calibri" w:hAnsi="Calibri"/>
          <w:rtl/>
        </w:rPr>
        <w:t>הנאשם מוזהר בזה, לבקשת הממונה על עבודות שרות, כי עסקינן בתנאי העסקה קפדניים במסגרת עבודות השירות, וכי הפרת תנאים אלה עלולה להוביל להפסקת עבודות השירות ולריצוי יתרת העונש במאסר של ממש.</w:t>
      </w:r>
    </w:p>
    <w:p w14:paraId="07C8E9A1" w14:textId="77777777" w:rsidR="00AC692F" w:rsidRPr="00AC692F" w:rsidRDefault="00AC692F" w:rsidP="00AC692F">
      <w:pPr>
        <w:spacing w:after="160" w:line="360" w:lineRule="auto"/>
        <w:ind w:left="720"/>
        <w:jc w:val="both"/>
        <w:rPr>
          <w:rFonts w:ascii="Calibri" w:hAnsi="Calibri"/>
          <w:rtl/>
        </w:rPr>
      </w:pPr>
      <w:r w:rsidRPr="00AC692F">
        <w:rPr>
          <w:rFonts w:ascii="Calibri" w:hAnsi="Calibri"/>
          <w:rtl/>
        </w:rPr>
        <w:t>ב.</w:t>
      </w:r>
      <w:r w:rsidRPr="00AC692F">
        <w:rPr>
          <w:rFonts w:ascii="Calibri" w:hAnsi="Calibri"/>
          <w:rtl/>
        </w:rPr>
        <w:tab/>
        <w:t>למאסר על תנאי לתקופה של 12 חודשים למשך 3 שנים, והתנאי הוא כי הנאשם לא יעבור עבירה מסוג פשע לפי סעיף 144 ל</w:t>
      </w:r>
      <w:hyperlink r:id="rId46" w:history="1">
        <w:r w:rsidR="009D5C30" w:rsidRPr="009D5C30">
          <w:rPr>
            <w:rFonts w:ascii="Calibri" w:hAnsi="Calibri" w:hint="eastAsia"/>
            <w:color w:val="0000FF"/>
            <w:u w:val="single"/>
            <w:rtl/>
          </w:rPr>
          <w:t>חוק</w:t>
        </w:r>
        <w:r w:rsidR="009D5C30" w:rsidRPr="009D5C30">
          <w:rPr>
            <w:rFonts w:ascii="Calibri" w:hAnsi="Calibri"/>
            <w:color w:val="0000FF"/>
            <w:u w:val="single"/>
            <w:rtl/>
          </w:rPr>
          <w:t xml:space="preserve"> </w:t>
        </w:r>
        <w:r w:rsidR="009D5C30" w:rsidRPr="009D5C30">
          <w:rPr>
            <w:rFonts w:ascii="Calibri" w:hAnsi="Calibri" w:hint="eastAsia"/>
            <w:color w:val="0000FF"/>
            <w:u w:val="single"/>
            <w:rtl/>
          </w:rPr>
          <w:t>העונשין</w:t>
        </w:r>
      </w:hyperlink>
      <w:r w:rsidRPr="00AC692F">
        <w:rPr>
          <w:rFonts w:ascii="Calibri" w:hAnsi="Calibri"/>
          <w:rtl/>
        </w:rPr>
        <w:t>, התשל"ז – 1977.</w:t>
      </w:r>
    </w:p>
    <w:p w14:paraId="41B76FE6" w14:textId="77777777" w:rsidR="00AC692F" w:rsidRPr="00AC692F" w:rsidRDefault="00AC692F" w:rsidP="00AC692F">
      <w:pPr>
        <w:spacing w:after="160" w:line="360" w:lineRule="auto"/>
        <w:ind w:left="720"/>
        <w:jc w:val="both"/>
        <w:rPr>
          <w:rFonts w:ascii="Calibri" w:hAnsi="Calibri"/>
          <w:rtl/>
        </w:rPr>
      </w:pPr>
      <w:r w:rsidRPr="00AC692F">
        <w:rPr>
          <w:rFonts w:ascii="Calibri" w:hAnsi="Calibri"/>
          <w:rtl/>
        </w:rPr>
        <w:t>ג.</w:t>
      </w:r>
      <w:r w:rsidRPr="00AC692F">
        <w:rPr>
          <w:rFonts w:ascii="Calibri" w:hAnsi="Calibri"/>
          <w:rtl/>
        </w:rPr>
        <w:tab/>
        <w:t xml:space="preserve">למאסר על תנאי לתקופה של 6 חודשים למשך 3 שנים, והתנאי הוא כי הנאשם לא יעבור עבירה מסוג עוון לפי </w:t>
      </w:r>
      <w:hyperlink r:id="rId47" w:history="1">
        <w:r w:rsidR="007D7F0E" w:rsidRPr="007D7F0E">
          <w:rPr>
            <w:rStyle w:val="Hyperlink"/>
            <w:rFonts w:ascii="Calibri" w:hAnsi="Calibri" w:hint="eastAsia"/>
            <w:rtl/>
          </w:rPr>
          <w:t>סעיף</w:t>
        </w:r>
        <w:r w:rsidR="007D7F0E" w:rsidRPr="007D7F0E">
          <w:rPr>
            <w:rStyle w:val="Hyperlink"/>
            <w:rFonts w:ascii="Calibri" w:hAnsi="Calibri"/>
            <w:rtl/>
          </w:rPr>
          <w:t xml:space="preserve"> 144</w:t>
        </w:r>
      </w:hyperlink>
      <w:r w:rsidRPr="00AC692F">
        <w:rPr>
          <w:rFonts w:ascii="Calibri" w:hAnsi="Calibri"/>
          <w:rtl/>
        </w:rPr>
        <w:t xml:space="preserve"> ל</w:t>
      </w:r>
      <w:hyperlink r:id="rId48" w:history="1">
        <w:r w:rsidR="009D5C30" w:rsidRPr="009D5C30">
          <w:rPr>
            <w:rFonts w:ascii="Calibri" w:hAnsi="Calibri" w:hint="eastAsia"/>
            <w:color w:val="0000FF"/>
            <w:u w:val="single"/>
            <w:rtl/>
          </w:rPr>
          <w:t>חוק</w:t>
        </w:r>
        <w:r w:rsidR="009D5C30" w:rsidRPr="009D5C30">
          <w:rPr>
            <w:rFonts w:ascii="Calibri" w:hAnsi="Calibri"/>
            <w:color w:val="0000FF"/>
            <w:u w:val="single"/>
            <w:rtl/>
          </w:rPr>
          <w:t xml:space="preserve"> </w:t>
        </w:r>
        <w:r w:rsidR="009D5C30" w:rsidRPr="009D5C30">
          <w:rPr>
            <w:rFonts w:ascii="Calibri" w:hAnsi="Calibri" w:hint="eastAsia"/>
            <w:color w:val="0000FF"/>
            <w:u w:val="single"/>
            <w:rtl/>
          </w:rPr>
          <w:t>העונשין</w:t>
        </w:r>
      </w:hyperlink>
      <w:r w:rsidRPr="00AC692F">
        <w:rPr>
          <w:rFonts w:ascii="Calibri" w:hAnsi="Calibri"/>
          <w:rtl/>
        </w:rPr>
        <w:t xml:space="preserve">, התשל"ז – 1977 או </w:t>
      </w:r>
      <w:r w:rsidRPr="00AC692F">
        <w:rPr>
          <w:rFonts w:ascii="Calibri" w:hAnsi="Calibri" w:hint="cs"/>
          <w:rtl/>
        </w:rPr>
        <w:t xml:space="preserve">עבירת אלימות, לרבות עבירה של איומים, או </w:t>
      </w:r>
      <w:r w:rsidRPr="00AC692F">
        <w:rPr>
          <w:rFonts w:ascii="Calibri" w:hAnsi="Calibri"/>
          <w:rtl/>
        </w:rPr>
        <w:t xml:space="preserve">עבירה לפי סימן </w:t>
      </w:r>
      <w:r w:rsidRPr="00AC692F">
        <w:rPr>
          <w:rFonts w:ascii="Calibri" w:hAnsi="Calibri" w:hint="cs"/>
          <w:rtl/>
        </w:rPr>
        <w:t xml:space="preserve">א' </w:t>
      </w:r>
      <w:r w:rsidRPr="00AC692F">
        <w:rPr>
          <w:rFonts w:ascii="Calibri" w:hAnsi="Calibri"/>
          <w:rtl/>
        </w:rPr>
        <w:t>לפרק ט' לחוק הנ"ל</w:t>
      </w:r>
      <w:r w:rsidRPr="00AC692F">
        <w:rPr>
          <w:rFonts w:ascii="Calibri" w:hAnsi="Calibri" w:hint="cs"/>
          <w:rtl/>
        </w:rPr>
        <w:t>.</w:t>
      </w:r>
    </w:p>
    <w:p w14:paraId="354C9D0D" w14:textId="77777777" w:rsidR="00AC692F" w:rsidRDefault="00AC692F" w:rsidP="00AC692F">
      <w:pPr>
        <w:spacing w:line="360" w:lineRule="auto"/>
        <w:ind w:left="720"/>
        <w:jc w:val="both"/>
        <w:rPr>
          <w:rFonts w:ascii="Calibri" w:hAnsi="Calibri"/>
          <w:rtl/>
        </w:rPr>
      </w:pPr>
      <w:r w:rsidRPr="00AC692F">
        <w:rPr>
          <w:rFonts w:ascii="Calibri" w:hAnsi="Calibri" w:hint="cs"/>
          <w:rtl/>
        </w:rPr>
        <w:t>ד.</w:t>
      </w:r>
      <w:r w:rsidRPr="00AC692F">
        <w:rPr>
          <w:rFonts w:ascii="Calibri" w:hAnsi="Calibri" w:hint="cs"/>
          <w:rtl/>
        </w:rPr>
        <w:tab/>
      </w:r>
      <w:r w:rsidRPr="0063290C">
        <w:rPr>
          <w:rFonts w:ascii="Calibri" w:hAnsi="Calibri"/>
          <w:rtl/>
        </w:rPr>
        <w:t xml:space="preserve">לתשלום קנס בסך </w:t>
      </w:r>
      <w:r>
        <w:rPr>
          <w:rFonts w:ascii="Calibri" w:hAnsi="Calibri" w:hint="cs"/>
          <w:rtl/>
        </w:rPr>
        <w:t>5</w:t>
      </w:r>
      <w:r w:rsidRPr="0063290C">
        <w:rPr>
          <w:rFonts w:ascii="Calibri" w:hAnsi="Calibri"/>
          <w:rtl/>
        </w:rPr>
        <w:t xml:space="preserve">,000 ₪ או </w:t>
      </w:r>
      <w:r>
        <w:rPr>
          <w:rFonts w:ascii="Calibri" w:hAnsi="Calibri" w:hint="cs"/>
          <w:rtl/>
        </w:rPr>
        <w:t>2</w:t>
      </w:r>
      <w:r w:rsidRPr="0063290C">
        <w:rPr>
          <w:rFonts w:ascii="Calibri" w:hAnsi="Calibri"/>
          <w:rtl/>
        </w:rPr>
        <w:t>5 ימי מאסר תמורתו. אני מורה על פריסת תשלום הקנס ל-</w:t>
      </w:r>
      <w:r>
        <w:rPr>
          <w:rFonts w:ascii="Calibri" w:hAnsi="Calibri" w:hint="cs"/>
          <w:rtl/>
        </w:rPr>
        <w:t>1</w:t>
      </w:r>
      <w:r w:rsidRPr="0063290C">
        <w:rPr>
          <w:rFonts w:ascii="Calibri" w:hAnsi="Calibri"/>
          <w:rtl/>
        </w:rPr>
        <w:t>0 תשל</w:t>
      </w:r>
      <w:r>
        <w:rPr>
          <w:rFonts w:ascii="Calibri" w:hAnsi="Calibri"/>
          <w:rtl/>
        </w:rPr>
        <w:t>ומים חודשיים, שווים ורצופים בסך</w:t>
      </w:r>
      <w:r>
        <w:rPr>
          <w:rFonts w:ascii="Calibri" w:hAnsi="Calibri" w:hint="cs"/>
          <w:rtl/>
        </w:rPr>
        <w:t xml:space="preserve"> 500</w:t>
      </w:r>
      <w:r w:rsidRPr="0063290C">
        <w:rPr>
          <w:rFonts w:ascii="Calibri" w:hAnsi="Calibri"/>
          <w:rtl/>
        </w:rPr>
        <w:t xml:space="preserve"> ₪ כל אחד, החל מיום </w:t>
      </w:r>
      <w:r>
        <w:rPr>
          <w:rFonts w:ascii="Calibri" w:hAnsi="Calibri" w:hint="cs"/>
          <w:rtl/>
        </w:rPr>
        <w:t xml:space="preserve">15/10/21 </w:t>
      </w:r>
      <w:r w:rsidRPr="0063290C">
        <w:rPr>
          <w:rFonts w:ascii="Calibri" w:hAnsi="Calibri"/>
          <w:rtl/>
        </w:rPr>
        <w:t xml:space="preserve">ואילך. </w:t>
      </w:r>
    </w:p>
    <w:p w14:paraId="5731D509" w14:textId="77777777" w:rsidR="00AC692F" w:rsidRDefault="00AC692F" w:rsidP="00AC692F">
      <w:pPr>
        <w:spacing w:line="360" w:lineRule="auto"/>
        <w:ind w:left="720"/>
        <w:jc w:val="both"/>
        <w:rPr>
          <w:rFonts w:ascii="Calibri" w:hAnsi="Calibri"/>
          <w:rtl/>
        </w:rPr>
      </w:pPr>
    </w:p>
    <w:p w14:paraId="2DC6A7E4" w14:textId="77777777" w:rsidR="00AC692F" w:rsidRDefault="00AC692F" w:rsidP="00AC692F">
      <w:pPr>
        <w:spacing w:line="360" w:lineRule="auto"/>
        <w:ind w:left="720"/>
        <w:jc w:val="both"/>
        <w:rPr>
          <w:rFonts w:ascii="Calibri" w:hAnsi="Calibri"/>
          <w:rtl/>
        </w:rPr>
      </w:pPr>
      <w:r>
        <w:rPr>
          <w:rFonts w:ascii="Calibri" w:hAnsi="Calibri" w:hint="cs"/>
          <w:rtl/>
        </w:rPr>
        <w:t>ה.</w:t>
      </w:r>
      <w:r>
        <w:rPr>
          <w:rFonts w:ascii="Calibri" w:hAnsi="Calibri" w:hint="cs"/>
          <w:rtl/>
        </w:rPr>
        <w:tab/>
        <w:t>לתשלום פיצוי לטובת המתלונן בסך 3,000 ₪ שיופקד ע"י הנאשם עבור המתלונן בקופת בית המשפט עד ליום 15/10/21. המאשימה תמציא לתיק בית המשפט את פרטיו של המתלונן לצורך העברת סכום הפיצוי לידיו.</w:t>
      </w:r>
    </w:p>
    <w:p w14:paraId="3923A5B4" w14:textId="77777777" w:rsidR="00AC692F" w:rsidRDefault="00AC692F" w:rsidP="00AC692F">
      <w:pPr>
        <w:spacing w:line="360" w:lineRule="auto"/>
        <w:ind w:left="720"/>
        <w:jc w:val="both"/>
        <w:rPr>
          <w:rFonts w:ascii="Calibri" w:hAnsi="Calibri"/>
          <w:rtl/>
        </w:rPr>
      </w:pPr>
    </w:p>
    <w:p w14:paraId="2798B5FF" w14:textId="77777777" w:rsidR="00AC692F" w:rsidRDefault="00AC692F" w:rsidP="00AC692F">
      <w:pPr>
        <w:spacing w:after="160" w:line="360" w:lineRule="auto"/>
        <w:ind w:left="720"/>
        <w:jc w:val="both"/>
        <w:rPr>
          <w:rtl/>
        </w:rPr>
      </w:pPr>
      <w:r w:rsidRPr="00AC692F">
        <w:rPr>
          <w:rFonts w:ascii="Calibri" w:hAnsi="Calibri" w:hint="cs"/>
          <w:rtl/>
        </w:rPr>
        <w:t>ו</w:t>
      </w:r>
      <w:r w:rsidRPr="00AC692F">
        <w:rPr>
          <w:rFonts w:ascii="Calibri" w:hAnsi="Calibri"/>
          <w:rtl/>
        </w:rPr>
        <w:t xml:space="preserve">. </w:t>
      </w:r>
      <w:r w:rsidRPr="00AC692F">
        <w:rPr>
          <w:rFonts w:ascii="Calibri" w:hAnsi="Calibri"/>
          <w:rtl/>
        </w:rPr>
        <w:tab/>
        <w:t xml:space="preserve">אני מורה על הטלת צו מבחן על הנאשם לתקופה של </w:t>
      </w:r>
      <w:r>
        <w:rPr>
          <w:rFonts w:hint="cs"/>
          <w:rtl/>
        </w:rPr>
        <w:t>שנה במהלכה ימשיך בטיפול בקבוצה לצעירים.</w:t>
      </w:r>
    </w:p>
    <w:p w14:paraId="288AB5AE" w14:textId="77777777" w:rsidR="00AC692F" w:rsidRPr="00AC692F" w:rsidRDefault="00AC692F" w:rsidP="00AC692F">
      <w:pPr>
        <w:spacing w:line="360" w:lineRule="auto"/>
        <w:ind w:left="720" w:firstLine="720"/>
        <w:jc w:val="both"/>
        <w:rPr>
          <w:rFonts w:ascii="Calibri" w:hAnsi="Calibri"/>
        </w:rPr>
      </w:pPr>
      <w:r w:rsidRPr="00AC692F">
        <w:rPr>
          <w:rFonts w:ascii="Calibri" w:hAnsi="Calibri"/>
          <w:rtl/>
        </w:rPr>
        <w:t xml:space="preserve">הנאשם מוזהר בזה, כי במידה שלא יעמוד בתנאי צו המבחן או יבצע עבירה נוספת בתקופת הצו והצו יופקע, אזי הוא יהא צפוי לגזירת דינו מחדש, לחומרה. </w:t>
      </w:r>
    </w:p>
    <w:p w14:paraId="6C6896F8" w14:textId="77777777" w:rsidR="00AC692F" w:rsidRPr="00AC692F" w:rsidRDefault="00AC692F" w:rsidP="00AC692F">
      <w:pPr>
        <w:spacing w:line="360" w:lineRule="auto"/>
        <w:jc w:val="both"/>
        <w:rPr>
          <w:rFonts w:ascii="Calibri" w:hAnsi="Calibri"/>
          <w:rtl/>
        </w:rPr>
      </w:pPr>
    </w:p>
    <w:p w14:paraId="0374A23B" w14:textId="77777777" w:rsidR="00AC692F" w:rsidRPr="00AC692F" w:rsidRDefault="00AC692F" w:rsidP="00AC692F">
      <w:pPr>
        <w:spacing w:line="360" w:lineRule="auto"/>
        <w:jc w:val="both"/>
        <w:rPr>
          <w:rFonts w:ascii="Calibri" w:hAnsi="Calibri"/>
          <w:b/>
          <w:bCs/>
          <w:u w:val="single"/>
          <w:rtl/>
        </w:rPr>
      </w:pPr>
      <w:r w:rsidRPr="00AC692F">
        <w:rPr>
          <w:rFonts w:ascii="Calibri" w:hAnsi="Calibri"/>
          <w:b/>
          <w:bCs/>
          <w:u w:val="single"/>
          <w:rtl/>
        </w:rPr>
        <w:t>המזכירות תמציא העתק מגזר הדין לשרות המבחן ולממונה על עבודות שרות.</w:t>
      </w:r>
    </w:p>
    <w:p w14:paraId="2C8067E8" w14:textId="77777777" w:rsidR="00AC692F" w:rsidRPr="00AC692F" w:rsidRDefault="00AC692F" w:rsidP="00AC692F">
      <w:pPr>
        <w:spacing w:line="360" w:lineRule="auto"/>
        <w:jc w:val="both"/>
        <w:rPr>
          <w:rFonts w:ascii="Calibri" w:hAnsi="Calibri"/>
          <w:rtl/>
        </w:rPr>
      </w:pPr>
    </w:p>
    <w:p w14:paraId="551F0B24" w14:textId="77777777" w:rsidR="00AC692F" w:rsidRPr="00AC692F" w:rsidRDefault="009D5C30" w:rsidP="00AC692F">
      <w:pPr>
        <w:spacing w:line="360" w:lineRule="auto"/>
        <w:jc w:val="both"/>
        <w:rPr>
          <w:rFonts w:ascii="Calibri" w:hAnsi="Calibri"/>
          <w:b/>
          <w:bCs/>
          <w:u w:val="single"/>
          <w:rtl/>
        </w:rPr>
      </w:pPr>
      <w:r w:rsidRPr="009D5C30">
        <w:rPr>
          <w:rFonts w:ascii="Calibri" w:hAnsi="Calibri"/>
          <w:b/>
          <w:bCs/>
          <w:color w:val="FFFFFF"/>
          <w:sz w:val="2"/>
          <w:szCs w:val="2"/>
          <w:u w:val="single"/>
          <w:rtl/>
        </w:rPr>
        <w:t>5129371</w:t>
      </w:r>
      <w:r w:rsidR="00AC692F" w:rsidRPr="00AC692F">
        <w:rPr>
          <w:rFonts w:ascii="Calibri" w:hAnsi="Calibri"/>
          <w:b/>
          <w:bCs/>
          <w:u w:val="single"/>
          <w:rtl/>
        </w:rPr>
        <w:t>זכות ערעור לבית המשפט העליון תוך 45 יום.</w:t>
      </w:r>
    </w:p>
    <w:p w14:paraId="22FB5872" w14:textId="77777777" w:rsidR="00AC692F" w:rsidRPr="009D5C30" w:rsidRDefault="009D5C30" w:rsidP="00AC692F">
      <w:pPr>
        <w:jc w:val="both"/>
        <w:rPr>
          <w:color w:val="FFFFFF"/>
          <w:sz w:val="2"/>
          <w:szCs w:val="2"/>
          <w:rtl/>
        </w:rPr>
      </w:pPr>
      <w:r w:rsidRPr="009D5C30">
        <w:rPr>
          <w:color w:val="FFFFFF"/>
          <w:sz w:val="2"/>
          <w:szCs w:val="2"/>
          <w:rtl/>
        </w:rPr>
        <w:t>54678313</w:t>
      </w:r>
    </w:p>
    <w:p w14:paraId="1F7CC444" w14:textId="77777777" w:rsidR="00AC692F" w:rsidRDefault="009D5C30" w:rsidP="00AC692F">
      <w:pPr>
        <w:spacing w:line="360" w:lineRule="auto"/>
        <w:jc w:val="both"/>
        <w:rPr>
          <w:rFonts w:ascii="Arial" w:hAnsi="Arial"/>
        </w:rPr>
      </w:pPr>
      <w:bookmarkStart w:id="7" w:name="Nitan"/>
      <w:r>
        <w:rPr>
          <w:rFonts w:ascii="Arial" w:hAnsi="Arial"/>
          <w:rtl/>
        </w:rPr>
        <w:t xml:space="preserve">ניתן היום,  י' אב תשפ"א, 19 יולי 2021, במעמד ב"כ המאשימה עו"ד בשבקין, ב"כ הנאשם, עו"ד </w:t>
      </w:r>
      <w:bookmarkEnd w:id="7"/>
      <w:r w:rsidR="00AC692F">
        <w:rPr>
          <w:rFonts w:ascii="Arial" w:hAnsi="Arial" w:hint="cs"/>
          <w:rtl/>
        </w:rPr>
        <w:t>חיגאזי, והנאשם בעצמו.</w:t>
      </w:r>
    </w:p>
    <w:p w14:paraId="108216AF" w14:textId="77777777" w:rsidR="00AC692F" w:rsidRDefault="00AC692F" w:rsidP="00AC692F">
      <w:pPr>
        <w:jc w:val="both"/>
        <w:rPr>
          <w:rFonts w:cs="FrankRuehl"/>
          <w:sz w:val="28"/>
          <w:szCs w:val="28"/>
          <w:rtl/>
        </w:rPr>
      </w:pPr>
    </w:p>
    <w:p w14:paraId="69ACF0F8" w14:textId="77777777" w:rsidR="009D5C30" w:rsidRDefault="009D5C30" w:rsidP="009D5C30">
      <w:pPr>
        <w:rPr>
          <w:rtl/>
        </w:rPr>
      </w:pPr>
    </w:p>
    <w:p w14:paraId="2AA5392E" w14:textId="77777777" w:rsidR="009D5C30" w:rsidRDefault="009D5C30" w:rsidP="009D5C30">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F8F6072" w14:textId="77777777" w:rsidR="007D7F0E" w:rsidRPr="007D7F0E" w:rsidRDefault="007D7F0E" w:rsidP="007D7F0E">
      <w:pPr>
        <w:keepNext/>
        <w:rPr>
          <w:rFonts w:ascii="David" w:hAnsi="David"/>
          <w:color w:val="000000"/>
          <w:sz w:val="22"/>
          <w:szCs w:val="22"/>
          <w:rtl/>
        </w:rPr>
      </w:pPr>
    </w:p>
    <w:p w14:paraId="5A73BADF" w14:textId="77777777" w:rsidR="007D7F0E" w:rsidRPr="007D7F0E" w:rsidRDefault="007D7F0E" w:rsidP="007D7F0E">
      <w:pPr>
        <w:keepNext/>
        <w:rPr>
          <w:rFonts w:ascii="David" w:hAnsi="David" w:hint="cs"/>
          <w:color w:val="000000"/>
          <w:sz w:val="22"/>
          <w:szCs w:val="22"/>
          <w:rtl/>
        </w:rPr>
      </w:pPr>
      <w:r w:rsidRPr="007D7F0E">
        <w:rPr>
          <w:rFonts w:ascii="David" w:hAnsi="David"/>
          <w:color w:val="000000"/>
          <w:sz w:val="22"/>
          <w:szCs w:val="22"/>
          <w:rtl/>
        </w:rPr>
        <w:t>רונית בש 54678313-/</w:t>
      </w:r>
      <w:r w:rsidR="002837A0">
        <w:rPr>
          <w:rFonts w:ascii="David" w:hAnsi="David" w:hint="cs"/>
          <w:color w:val="000000"/>
          <w:sz w:val="22"/>
          <w:szCs w:val="22"/>
          <w:rtl/>
        </w:rPr>
        <w:t xml:space="preserve"> </w:t>
      </w:r>
    </w:p>
    <w:p w14:paraId="24D4E577" w14:textId="77777777" w:rsidR="009D5C30" w:rsidRPr="009D5C30" w:rsidRDefault="007D7F0E" w:rsidP="007D7F0E">
      <w:pPr>
        <w:rPr>
          <w:color w:val="0000FF"/>
          <w:u w:val="single"/>
        </w:rPr>
      </w:pPr>
      <w:r w:rsidRPr="007D7F0E">
        <w:rPr>
          <w:color w:val="000000"/>
          <w:u w:val="single"/>
          <w:rtl/>
        </w:rPr>
        <w:t>נוסח מסמך זה כפוף לשינויי ניסוח ועריכה</w:t>
      </w:r>
    </w:p>
    <w:sectPr w:rsidR="009D5C30" w:rsidRPr="009D5C30" w:rsidSect="007D7F0E">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3EB8C" w14:textId="77777777" w:rsidR="008361DA" w:rsidRDefault="008361DA" w:rsidP="009C0F60">
      <w:r>
        <w:separator/>
      </w:r>
    </w:p>
  </w:endnote>
  <w:endnote w:type="continuationSeparator" w:id="0">
    <w:p w14:paraId="5A5BB578" w14:textId="77777777" w:rsidR="008361DA" w:rsidRDefault="008361DA" w:rsidP="009C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79EE" w14:textId="77777777" w:rsidR="007D7F0E" w:rsidRDefault="007D7F0E" w:rsidP="007D7F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BF5F4D" w14:textId="77777777" w:rsidR="00872FA9" w:rsidRPr="007D7F0E" w:rsidRDefault="007D7F0E" w:rsidP="007D7F0E">
    <w:pPr>
      <w:pStyle w:val="a5"/>
      <w:pBdr>
        <w:top w:val="single" w:sz="4" w:space="1" w:color="auto"/>
        <w:between w:val="single" w:sz="4" w:space="0" w:color="auto"/>
      </w:pBdr>
      <w:spacing w:after="60"/>
      <w:jc w:val="center"/>
      <w:rPr>
        <w:rFonts w:ascii="FrankRuehl" w:hAnsi="FrankRuehl" w:cs="FrankRuehl"/>
        <w:color w:val="000000"/>
      </w:rPr>
    </w:pPr>
    <w:r w:rsidRPr="007D7F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26C6" w14:textId="77777777" w:rsidR="007D7F0E" w:rsidRDefault="007D7F0E" w:rsidP="007D7F0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6B55">
      <w:rPr>
        <w:rFonts w:ascii="FrankRuehl" w:hAnsi="FrankRuehl" w:cs="FrankRuehl"/>
        <w:noProof/>
        <w:rtl/>
      </w:rPr>
      <w:t>1</w:t>
    </w:r>
    <w:r>
      <w:rPr>
        <w:rFonts w:ascii="FrankRuehl" w:hAnsi="FrankRuehl" w:cs="FrankRuehl"/>
        <w:rtl/>
      </w:rPr>
      <w:fldChar w:fldCharType="end"/>
    </w:r>
  </w:p>
  <w:p w14:paraId="716E47E4" w14:textId="77777777" w:rsidR="00872FA9" w:rsidRPr="007D7F0E" w:rsidRDefault="007D7F0E" w:rsidP="007D7F0E">
    <w:pPr>
      <w:pStyle w:val="a5"/>
      <w:pBdr>
        <w:top w:val="single" w:sz="4" w:space="1" w:color="auto"/>
        <w:between w:val="single" w:sz="4" w:space="0" w:color="auto"/>
      </w:pBdr>
      <w:spacing w:after="60"/>
      <w:jc w:val="center"/>
      <w:rPr>
        <w:rFonts w:ascii="FrankRuehl" w:hAnsi="FrankRuehl" w:cs="FrankRuehl"/>
        <w:color w:val="000000"/>
      </w:rPr>
    </w:pPr>
    <w:r w:rsidRPr="007D7F0E">
      <w:rPr>
        <w:rFonts w:ascii="FrankRuehl" w:hAnsi="FrankRuehl" w:cs="FrankRuehl"/>
        <w:color w:val="000000"/>
      </w:rPr>
      <w:pict w14:anchorId="3B678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D8B7" w14:textId="77777777" w:rsidR="008361DA" w:rsidRDefault="008361DA" w:rsidP="009C0F60">
      <w:r>
        <w:separator/>
      </w:r>
    </w:p>
  </w:footnote>
  <w:footnote w:type="continuationSeparator" w:id="0">
    <w:p w14:paraId="194D79B5" w14:textId="77777777" w:rsidR="008361DA" w:rsidRDefault="008361DA" w:rsidP="009C0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1E49A" w14:textId="77777777" w:rsidR="009D5C30" w:rsidRPr="007D7F0E" w:rsidRDefault="007D7F0E" w:rsidP="007D7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43957-09-20</w:t>
    </w:r>
    <w:r>
      <w:rPr>
        <w:rFonts w:ascii="David" w:hAnsi="David"/>
        <w:color w:val="000000"/>
        <w:sz w:val="22"/>
        <w:szCs w:val="22"/>
        <w:rtl/>
      </w:rPr>
      <w:tab/>
      <w:t xml:space="preserve"> מדינת ישראל נ' מוחמד חוסיין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DAF0" w14:textId="77777777" w:rsidR="009D5C30" w:rsidRPr="007D7F0E" w:rsidRDefault="007D7F0E" w:rsidP="007D7F0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43957-09-20</w:t>
    </w:r>
    <w:r>
      <w:rPr>
        <w:rFonts w:ascii="David" w:hAnsi="David"/>
        <w:color w:val="000000"/>
        <w:sz w:val="22"/>
        <w:szCs w:val="22"/>
        <w:rtl/>
      </w:rPr>
      <w:tab/>
      <w:t xml:space="preserve"> מדינת ישראל נ' מוחמד חוסיין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F84"/>
    <w:multiLevelType w:val="hybridMultilevel"/>
    <w:tmpl w:val="9E3CF4AE"/>
    <w:lvl w:ilvl="0" w:tplc="04090001">
      <w:start w:val="1"/>
      <w:numFmt w:val="bullet"/>
      <w:lvlText w:val=""/>
      <w:lvlJc w:val="left"/>
      <w:pPr>
        <w:ind w:left="1440" w:hanging="360"/>
      </w:pPr>
      <w:rPr>
        <w:rFonts w:ascii="Symbol" w:hAnsi="Symbol" w:hint="default"/>
      </w:rPr>
    </w:lvl>
    <w:lvl w:ilvl="1" w:tplc="9E00071C">
      <w:start w:val="10"/>
      <w:numFmt w:val="bullet"/>
      <w:lvlText w:val="•"/>
      <w:lvlJc w:val="left"/>
      <w:pPr>
        <w:ind w:left="2520" w:hanging="720"/>
      </w:pPr>
      <w:rPr>
        <w:rFonts w:ascii="David" w:eastAsia="Times New Roman" w:hAnsi="David" w:cs="David"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620E5"/>
    <w:multiLevelType w:val="hybridMultilevel"/>
    <w:tmpl w:val="6FAA2AD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6E836CA7"/>
    <w:multiLevelType w:val="hybridMultilevel"/>
    <w:tmpl w:val="3132A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7373908">
    <w:abstractNumId w:val="1"/>
  </w:num>
  <w:num w:numId="2" w16cid:durableId="522090367">
    <w:abstractNumId w:val="2"/>
  </w:num>
  <w:num w:numId="3" w16cid:durableId="557283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692F"/>
    <w:rsid w:val="00006687"/>
    <w:rsid w:val="0001543C"/>
    <w:rsid w:val="00066B55"/>
    <w:rsid w:val="0010302B"/>
    <w:rsid w:val="001B5A3B"/>
    <w:rsid w:val="002837A0"/>
    <w:rsid w:val="006964EB"/>
    <w:rsid w:val="007D7F0E"/>
    <w:rsid w:val="008361DA"/>
    <w:rsid w:val="00872FA9"/>
    <w:rsid w:val="009C0F60"/>
    <w:rsid w:val="009D5C30"/>
    <w:rsid w:val="00AC692F"/>
    <w:rsid w:val="00B405A5"/>
    <w:rsid w:val="00C80B03"/>
    <w:rsid w:val="00D35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45A98E"/>
  <w15:chartTrackingRefBased/>
  <w15:docId w15:val="{564EE9A2-63AE-40AE-A0AA-EA3337FC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69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692F"/>
    <w:pPr>
      <w:tabs>
        <w:tab w:val="center" w:pos="4153"/>
        <w:tab w:val="right" w:pos="8306"/>
      </w:tabs>
    </w:pPr>
  </w:style>
  <w:style w:type="character" w:customStyle="1" w:styleId="a4">
    <w:name w:val="כותרת עליונה תו"/>
    <w:link w:val="a3"/>
    <w:rsid w:val="00AC692F"/>
    <w:rPr>
      <w:rFonts w:ascii="Times New Roman" w:eastAsia="Times New Roman" w:hAnsi="Times New Roman" w:cs="David"/>
      <w:sz w:val="24"/>
      <w:szCs w:val="24"/>
    </w:rPr>
  </w:style>
  <w:style w:type="paragraph" w:styleId="a5">
    <w:name w:val="footer"/>
    <w:basedOn w:val="a"/>
    <w:link w:val="a6"/>
    <w:rsid w:val="00AC692F"/>
    <w:pPr>
      <w:tabs>
        <w:tab w:val="center" w:pos="4153"/>
        <w:tab w:val="right" w:pos="8306"/>
      </w:tabs>
    </w:pPr>
  </w:style>
  <w:style w:type="character" w:customStyle="1" w:styleId="a6">
    <w:name w:val="כותרת תחתונה תו"/>
    <w:link w:val="a5"/>
    <w:rsid w:val="00AC692F"/>
    <w:rPr>
      <w:rFonts w:ascii="Times New Roman" w:eastAsia="Times New Roman" w:hAnsi="Times New Roman" w:cs="David"/>
      <w:sz w:val="24"/>
      <w:szCs w:val="24"/>
    </w:rPr>
  </w:style>
  <w:style w:type="table" w:styleId="a7">
    <w:name w:val="Table Grid"/>
    <w:basedOn w:val="a1"/>
    <w:rsid w:val="00AC69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692F"/>
  </w:style>
  <w:style w:type="paragraph" w:styleId="a9">
    <w:name w:val="List Paragraph"/>
    <w:basedOn w:val="a"/>
    <w:qFormat/>
    <w:rsid w:val="00AC692F"/>
    <w:pPr>
      <w:ind w:left="720"/>
      <w:contextualSpacing/>
    </w:pPr>
  </w:style>
  <w:style w:type="character" w:styleId="Hyperlink">
    <w:name w:val="Hyperlink"/>
    <w:rsid w:val="009D5C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7014905" TargetMode="External"/><Relationship Id="rId39" Type="http://schemas.openxmlformats.org/officeDocument/2006/relationships/hyperlink" Target="http://www.nevo.co.il/case/20590970" TargetMode="External"/><Relationship Id="rId21" Type="http://schemas.openxmlformats.org/officeDocument/2006/relationships/hyperlink" Target="http://www.nevo.co.il/law/70301/244"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144"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38.3" TargetMode="External"/><Relationship Id="rId29" Type="http://schemas.openxmlformats.org/officeDocument/2006/relationships/hyperlink" Target="http://www.nevo.co.il/law/70301/40b"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8105668" TargetMode="External"/><Relationship Id="rId40" Type="http://schemas.openxmlformats.org/officeDocument/2006/relationships/hyperlink" Target="http://www.nevo.co.il/case/26025031" TargetMode="External"/><Relationship Id="rId45" Type="http://schemas.openxmlformats.org/officeDocument/2006/relationships/hyperlink" Target="http://www.nevo.co.il/case/27014905"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c"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70301/40c" TargetMode="External"/><Relationship Id="rId44" Type="http://schemas.openxmlformats.org/officeDocument/2006/relationships/hyperlink" Target="http://www.nevo.co.il/law/70301/192"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26025031" TargetMode="External"/><Relationship Id="rId30" Type="http://schemas.openxmlformats.org/officeDocument/2006/relationships/hyperlink" Target="http://www.nevo.co.il/case/6243627" TargetMode="External"/><Relationship Id="rId35" Type="http://schemas.openxmlformats.org/officeDocument/2006/relationships/hyperlink" Target="http://www.nevo.co.il/case/10443017" TargetMode="External"/><Relationship Id="rId43" Type="http://schemas.openxmlformats.org/officeDocument/2006/relationships/hyperlink" Target="http://www.nevo.co.il/law/70301/338.a.3"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338.a.3"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20817889"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144.b"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4" TargetMode="External"/><Relationship Id="rId23" Type="http://schemas.openxmlformats.org/officeDocument/2006/relationships/hyperlink" Target="http://www.nevo.co.il/law/70301/338.3"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865581"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3772</Words>
  <Characters>18860</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22587</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6357092</vt:i4>
      </vt:variant>
      <vt:variant>
        <vt:i4>120</vt:i4>
      </vt:variant>
      <vt:variant>
        <vt:i4>0</vt:i4>
      </vt:variant>
      <vt:variant>
        <vt:i4>5</vt:i4>
      </vt:variant>
      <vt:variant>
        <vt:lpwstr>http://www.nevo.co.il/law/70301/144</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3539067</vt:i4>
      </vt:variant>
      <vt:variant>
        <vt:i4>114</vt:i4>
      </vt:variant>
      <vt:variant>
        <vt:i4>0</vt:i4>
      </vt:variant>
      <vt:variant>
        <vt:i4>5</vt:i4>
      </vt:variant>
      <vt:variant>
        <vt:lpwstr>http://www.nevo.co.il/case/27014905</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6684735</vt:i4>
      </vt:variant>
      <vt:variant>
        <vt:i4>108</vt:i4>
      </vt:variant>
      <vt:variant>
        <vt:i4>0</vt:i4>
      </vt:variant>
      <vt:variant>
        <vt:i4>5</vt:i4>
      </vt:variant>
      <vt:variant>
        <vt:lpwstr>http://www.nevo.co.il/law/70301/338.a.3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3407984</vt:i4>
      </vt:variant>
      <vt:variant>
        <vt:i4>99</vt:i4>
      </vt:variant>
      <vt:variant>
        <vt:i4>0</vt:i4>
      </vt:variant>
      <vt:variant>
        <vt:i4>5</vt:i4>
      </vt:variant>
      <vt:variant>
        <vt:lpwstr>http://www.nevo.co.il/case/26025031</vt:lpwstr>
      </vt:variant>
      <vt:variant>
        <vt:lpwstr/>
      </vt:variant>
      <vt:variant>
        <vt:i4>3145844</vt:i4>
      </vt:variant>
      <vt:variant>
        <vt:i4>96</vt:i4>
      </vt:variant>
      <vt:variant>
        <vt:i4>0</vt:i4>
      </vt:variant>
      <vt:variant>
        <vt:i4>5</vt:i4>
      </vt:variant>
      <vt:variant>
        <vt:lpwstr>http://www.nevo.co.il/case/20590970</vt:lpwstr>
      </vt:variant>
      <vt:variant>
        <vt:lpwstr/>
      </vt:variant>
      <vt:variant>
        <vt:i4>3473533</vt:i4>
      </vt:variant>
      <vt:variant>
        <vt:i4>93</vt:i4>
      </vt:variant>
      <vt:variant>
        <vt:i4>0</vt:i4>
      </vt:variant>
      <vt:variant>
        <vt:i4>5</vt:i4>
      </vt:variant>
      <vt:variant>
        <vt:lpwstr>http://www.nevo.co.il/case/20817889</vt:lpwstr>
      </vt:variant>
      <vt:variant>
        <vt:lpwstr/>
      </vt:variant>
      <vt:variant>
        <vt:i4>3342458</vt:i4>
      </vt:variant>
      <vt:variant>
        <vt:i4>90</vt:i4>
      </vt:variant>
      <vt:variant>
        <vt:i4>0</vt:i4>
      </vt:variant>
      <vt:variant>
        <vt:i4>5</vt:i4>
      </vt:variant>
      <vt:variant>
        <vt:lpwstr>http://www.nevo.co.il/case/18105668</vt:lpwstr>
      </vt:variant>
      <vt:variant>
        <vt:lpwstr/>
      </vt:variant>
      <vt:variant>
        <vt:i4>3604593</vt:i4>
      </vt:variant>
      <vt:variant>
        <vt:i4>87</vt:i4>
      </vt:variant>
      <vt:variant>
        <vt:i4>0</vt:i4>
      </vt:variant>
      <vt:variant>
        <vt:i4>5</vt:i4>
      </vt:variant>
      <vt:variant>
        <vt:lpwstr>http://www.nevo.co.il/case/5865581</vt:lpwstr>
      </vt:variant>
      <vt:variant>
        <vt:lpwstr/>
      </vt:variant>
      <vt:variant>
        <vt:i4>3604592</vt:i4>
      </vt:variant>
      <vt:variant>
        <vt:i4>84</vt:i4>
      </vt:variant>
      <vt:variant>
        <vt:i4>0</vt:i4>
      </vt:variant>
      <vt:variant>
        <vt:i4>5</vt:i4>
      </vt:variant>
      <vt:variant>
        <vt:lpwstr>http://www.nevo.co.il/case/10443017</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http://www.nevo.co.il/law/70301/40c</vt:lpwstr>
      </vt:variant>
      <vt:variant>
        <vt:lpwstr/>
      </vt:variant>
      <vt:variant>
        <vt:i4>3342455</vt:i4>
      </vt:variant>
      <vt:variant>
        <vt:i4>69</vt:i4>
      </vt:variant>
      <vt:variant>
        <vt:i4>0</vt:i4>
      </vt:variant>
      <vt:variant>
        <vt:i4>5</vt:i4>
      </vt:variant>
      <vt:variant>
        <vt:lpwstr>http://www.nevo.co.il/case/6243627</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3407984</vt:i4>
      </vt:variant>
      <vt:variant>
        <vt:i4>60</vt:i4>
      </vt:variant>
      <vt:variant>
        <vt:i4>0</vt:i4>
      </vt:variant>
      <vt:variant>
        <vt:i4>5</vt:i4>
      </vt:variant>
      <vt:variant>
        <vt:lpwstr>http://www.nevo.co.il/case/26025031</vt:lpwstr>
      </vt:variant>
      <vt:variant>
        <vt:lpwstr/>
      </vt:variant>
      <vt:variant>
        <vt:i4>3539067</vt:i4>
      </vt:variant>
      <vt:variant>
        <vt:i4>57</vt:i4>
      </vt:variant>
      <vt:variant>
        <vt:i4>0</vt:i4>
      </vt:variant>
      <vt:variant>
        <vt:i4>5</vt:i4>
      </vt:variant>
      <vt:variant>
        <vt:lpwstr>http://www.nevo.co.il/case/27014905</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4718686</vt:i4>
      </vt:variant>
      <vt:variant>
        <vt:i4>48</vt:i4>
      </vt:variant>
      <vt:variant>
        <vt:i4>0</vt:i4>
      </vt:variant>
      <vt:variant>
        <vt:i4>5</vt:i4>
      </vt:variant>
      <vt:variant>
        <vt:lpwstr>http://www.nevo.co.il/law/70301/338.3</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6357095</vt:i4>
      </vt:variant>
      <vt:variant>
        <vt:i4>42</vt:i4>
      </vt:variant>
      <vt:variant>
        <vt:i4>0</vt:i4>
      </vt:variant>
      <vt:variant>
        <vt:i4>5</vt:i4>
      </vt:variant>
      <vt:variant>
        <vt:lpwstr>http://www.nevo.co.il/law/70301/244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6684735</vt:i4>
      </vt:variant>
      <vt:variant>
        <vt:i4>30</vt:i4>
      </vt:variant>
      <vt:variant>
        <vt:i4>0</vt:i4>
      </vt:variant>
      <vt:variant>
        <vt:i4>5</vt:i4>
      </vt:variant>
      <vt:variant>
        <vt:lpwstr>http://www.nevo.co.il/law/70301/338.a.3</vt:lpwstr>
      </vt:variant>
      <vt:variant>
        <vt:lpwstr/>
      </vt:variant>
      <vt:variant>
        <vt:i4>4718686</vt:i4>
      </vt:variant>
      <vt:variant>
        <vt:i4>27</vt:i4>
      </vt:variant>
      <vt:variant>
        <vt:i4>0</vt:i4>
      </vt:variant>
      <vt:variant>
        <vt:i4>5</vt:i4>
      </vt:variant>
      <vt:variant>
        <vt:lpwstr>http://www.nevo.co.il/law/70301/338.3</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2025-01-19T16:37:00Z</dcterms:created>
  <dcterms:modified xsi:type="dcterms:W3CDTF">2025-01-19T16:37:00Z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43957</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חוסיין </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20210719</vt:lpwstr>
  </property>
  <property fmtid="{D5CDD505-2E9C-101B-9397-08002B2CF9AE}" pid="13" name="TYPE_N_DATE">
    <vt:lpwstr>39020210719</vt:lpwstr>
  </property>
  <property fmtid="{D5CDD505-2E9C-101B-9397-08002B2CF9AE}" pid="14" name="WORDNUMPAGES">
    <vt:lpwstr>10</vt:lpwstr>
  </property>
  <property fmtid="{D5CDD505-2E9C-101B-9397-08002B2CF9AE}" pid="15" name="TYPE_ABS_DATE">
    <vt:lpwstr>390020210719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27014905:2;26025031:2;6243627;10443017;5865581;18105668;20817889;20590970</vt:lpwstr>
  </property>
  <property fmtid="{D5CDD505-2E9C-101B-9397-08002B2CF9AE}" pid="36" name="LAWLISTTMP1">
    <vt:lpwstr>70301/144.b:2;029:3;244;338.3;192:2;040b;040c;040i;338.a.3;144</vt:lpwstr>
  </property>
</Properties>
</file>