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E63415" w:rsidRPr="00612C20" w14:paraId="26DBDE63" w14:textId="77777777" w:rsidTr="00DF2511">
        <w:trPr>
          <w:trHeight w:hRule="exact" w:val="418"/>
          <w:jc w:val="center"/>
        </w:trPr>
        <w:tc>
          <w:tcPr>
            <w:tcW w:w="8721" w:type="dxa"/>
            <w:gridSpan w:val="2"/>
          </w:tcPr>
          <w:p w14:paraId="75786587" w14:textId="77777777" w:rsidR="00E63415" w:rsidRPr="00612C20" w:rsidRDefault="00E63415" w:rsidP="00457F0C">
            <w:pPr>
              <w:pStyle w:val="a3"/>
              <w:jc w:val="center"/>
              <w:rPr>
                <w:rFonts w:ascii="Tahoma" w:hAnsi="Tahoma" w:cs="Tahoma"/>
                <w:color w:val="000080"/>
                <w:rtl/>
              </w:rPr>
            </w:pPr>
            <w:bookmarkStart w:id="0" w:name="LastJudge"/>
            <w:r w:rsidRPr="00612C20">
              <w:rPr>
                <w:rFonts w:ascii="Tahoma" w:hAnsi="Tahoma" w:cs="Tahoma"/>
                <w:b/>
                <w:bCs/>
                <w:color w:val="000080"/>
                <w:rtl/>
              </w:rPr>
              <w:t>בית המשפט המחוזי מרכז-לוד</w:t>
            </w:r>
          </w:p>
        </w:tc>
      </w:tr>
      <w:tr w:rsidR="00E63415" w:rsidRPr="00612C20" w14:paraId="21AA8447" w14:textId="77777777" w:rsidTr="00DF2511">
        <w:trPr>
          <w:trHeight w:val="337"/>
          <w:jc w:val="center"/>
        </w:trPr>
        <w:tc>
          <w:tcPr>
            <w:tcW w:w="5055" w:type="dxa"/>
          </w:tcPr>
          <w:p w14:paraId="5BEF36A2" w14:textId="77777777" w:rsidR="00E63415" w:rsidRPr="00612C20" w:rsidRDefault="00E63415" w:rsidP="00457F0C">
            <w:pPr>
              <w:rPr>
                <w:rFonts w:cs="FrankRuehl"/>
                <w:sz w:val="28"/>
                <w:szCs w:val="28"/>
                <w:rtl/>
              </w:rPr>
            </w:pPr>
            <w:r w:rsidRPr="00612C20">
              <w:rPr>
                <w:rFonts w:cs="FrankRuehl"/>
                <w:sz w:val="28"/>
                <w:szCs w:val="28"/>
                <w:rtl/>
              </w:rPr>
              <w:t>ת"פ</w:t>
            </w:r>
            <w:r w:rsidRPr="00612C20">
              <w:rPr>
                <w:rFonts w:cs="FrankRuehl" w:hint="cs"/>
                <w:sz w:val="28"/>
                <w:szCs w:val="28"/>
                <w:rtl/>
              </w:rPr>
              <w:t xml:space="preserve"> </w:t>
            </w:r>
            <w:r w:rsidRPr="00612C20">
              <w:rPr>
                <w:rFonts w:cs="FrankRuehl"/>
                <w:sz w:val="28"/>
                <w:szCs w:val="28"/>
                <w:rtl/>
              </w:rPr>
              <w:t>54719-09-20</w:t>
            </w:r>
            <w:r w:rsidRPr="00612C20">
              <w:rPr>
                <w:rFonts w:cs="FrankRuehl" w:hint="cs"/>
                <w:sz w:val="28"/>
                <w:szCs w:val="28"/>
                <w:rtl/>
              </w:rPr>
              <w:t xml:space="preserve"> </w:t>
            </w:r>
            <w:r w:rsidRPr="00612C20">
              <w:rPr>
                <w:rFonts w:cs="FrankRuehl"/>
                <w:sz w:val="28"/>
                <w:szCs w:val="28"/>
                <w:rtl/>
              </w:rPr>
              <w:t>מדינת ישראל נ' מסארוה</w:t>
            </w:r>
          </w:p>
          <w:p w14:paraId="030FC750" w14:textId="77777777" w:rsidR="00E63415" w:rsidRPr="00612C20" w:rsidRDefault="00E63415" w:rsidP="00457F0C">
            <w:pPr>
              <w:pStyle w:val="a3"/>
              <w:rPr>
                <w:rFonts w:cs="FrankRuehl"/>
                <w:sz w:val="28"/>
                <w:szCs w:val="28"/>
                <w:rtl/>
              </w:rPr>
            </w:pPr>
          </w:p>
        </w:tc>
        <w:tc>
          <w:tcPr>
            <w:tcW w:w="3666" w:type="dxa"/>
          </w:tcPr>
          <w:p w14:paraId="0F5DEF1A" w14:textId="77777777" w:rsidR="00E63415" w:rsidRPr="00612C20" w:rsidRDefault="00E63415" w:rsidP="00457F0C">
            <w:pPr>
              <w:pStyle w:val="a3"/>
              <w:jc w:val="right"/>
              <w:rPr>
                <w:rFonts w:cs="FrankRuehl"/>
                <w:sz w:val="28"/>
                <w:szCs w:val="28"/>
                <w:rtl/>
              </w:rPr>
            </w:pPr>
          </w:p>
        </w:tc>
      </w:tr>
    </w:tbl>
    <w:p w14:paraId="25A15B61" w14:textId="77777777" w:rsidR="00E63415" w:rsidRPr="00612C20" w:rsidRDefault="00E63415" w:rsidP="00E63415">
      <w:pPr>
        <w:pStyle w:val="a3"/>
        <w:rPr>
          <w:rtl/>
        </w:rPr>
      </w:pPr>
      <w:r w:rsidRPr="00612C20">
        <w:rPr>
          <w:rFonts w:hint="cs"/>
          <w:rtl/>
        </w:rPr>
        <w:t xml:space="preserve"> </w:t>
      </w:r>
    </w:p>
    <w:p w14:paraId="3A3B6BEF" w14:textId="77777777" w:rsidR="00E63415" w:rsidRPr="00612C20" w:rsidRDefault="00E63415" w:rsidP="00E63415">
      <w:pPr>
        <w:rPr>
          <w:rtl/>
        </w:rPr>
      </w:pPr>
    </w:p>
    <w:p w14:paraId="14A8858C" w14:textId="77777777" w:rsidR="00E63415" w:rsidRPr="00612C20" w:rsidRDefault="00E63415" w:rsidP="00E634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63415" w:rsidRPr="00612C20" w14:paraId="700FDF88" w14:textId="77777777" w:rsidTr="00E63415">
        <w:trPr>
          <w:trHeight w:val="295"/>
          <w:jc w:val="center"/>
        </w:trPr>
        <w:tc>
          <w:tcPr>
            <w:tcW w:w="923" w:type="dxa"/>
            <w:tcBorders>
              <w:top w:val="nil"/>
              <w:left w:val="nil"/>
              <w:bottom w:val="nil"/>
              <w:right w:val="nil"/>
            </w:tcBorders>
            <w:shd w:val="clear" w:color="auto" w:fill="auto"/>
          </w:tcPr>
          <w:p w14:paraId="2017F78B" w14:textId="77777777" w:rsidR="00E63415" w:rsidRPr="00612C20" w:rsidRDefault="00E63415" w:rsidP="00E63415">
            <w:pPr>
              <w:jc w:val="both"/>
              <w:rPr>
                <w:rFonts w:ascii="David" w:hAnsi="David"/>
                <w:sz w:val="26"/>
                <w:szCs w:val="26"/>
              </w:rPr>
            </w:pPr>
            <w:r w:rsidRPr="00612C20">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280655D" w14:textId="77777777" w:rsidR="00E63415" w:rsidRPr="00612C20" w:rsidRDefault="00E63415" w:rsidP="00457F0C">
            <w:pPr>
              <w:rPr>
                <w:rFonts w:ascii="David" w:hAnsi="David"/>
                <w:b/>
                <w:bCs/>
                <w:sz w:val="26"/>
                <w:szCs w:val="26"/>
                <w:rtl/>
              </w:rPr>
            </w:pPr>
            <w:r w:rsidRPr="00612C20">
              <w:rPr>
                <w:rFonts w:ascii="David" w:hAnsi="David"/>
                <w:b/>
                <w:bCs/>
                <w:sz w:val="26"/>
                <w:szCs w:val="26"/>
                <w:rtl/>
              </w:rPr>
              <w:t>כבוד השופט  חגי טרסי</w:t>
            </w:r>
          </w:p>
          <w:p w14:paraId="22BD80C5" w14:textId="77777777" w:rsidR="00E63415" w:rsidRPr="00612C20" w:rsidRDefault="00E63415" w:rsidP="00457F0C">
            <w:pPr>
              <w:rPr>
                <w:rFonts w:ascii="David" w:hAnsi="David"/>
                <w:sz w:val="26"/>
                <w:szCs w:val="26"/>
                <w:rtl/>
              </w:rPr>
            </w:pPr>
          </w:p>
          <w:p w14:paraId="5B01D331" w14:textId="77777777" w:rsidR="00E63415" w:rsidRPr="00612C20" w:rsidRDefault="00E63415" w:rsidP="00E63415">
            <w:pPr>
              <w:jc w:val="both"/>
              <w:rPr>
                <w:rFonts w:ascii="David" w:hAnsi="David"/>
                <w:sz w:val="26"/>
                <w:szCs w:val="26"/>
              </w:rPr>
            </w:pPr>
          </w:p>
        </w:tc>
      </w:tr>
      <w:tr w:rsidR="00E63415" w:rsidRPr="00612C20" w14:paraId="5FDC00FE" w14:textId="77777777" w:rsidTr="00E63415">
        <w:trPr>
          <w:trHeight w:val="355"/>
          <w:jc w:val="center"/>
        </w:trPr>
        <w:tc>
          <w:tcPr>
            <w:tcW w:w="923" w:type="dxa"/>
            <w:tcBorders>
              <w:top w:val="nil"/>
              <w:left w:val="nil"/>
              <w:bottom w:val="nil"/>
              <w:right w:val="nil"/>
            </w:tcBorders>
            <w:shd w:val="clear" w:color="auto" w:fill="auto"/>
          </w:tcPr>
          <w:p w14:paraId="2BFF515B" w14:textId="77777777" w:rsidR="00E63415" w:rsidRPr="00612C20" w:rsidRDefault="00E63415" w:rsidP="00E63415">
            <w:pPr>
              <w:jc w:val="both"/>
              <w:rPr>
                <w:rFonts w:ascii="David" w:hAnsi="David"/>
                <w:sz w:val="26"/>
                <w:szCs w:val="26"/>
              </w:rPr>
            </w:pPr>
            <w:bookmarkStart w:id="1" w:name="FirstAppellant"/>
            <w:r w:rsidRPr="00612C20">
              <w:rPr>
                <w:rFonts w:ascii="David" w:hAnsi="David"/>
                <w:sz w:val="26"/>
                <w:szCs w:val="26"/>
                <w:rtl/>
              </w:rPr>
              <w:t>בעניין:</w:t>
            </w:r>
          </w:p>
        </w:tc>
        <w:tc>
          <w:tcPr>
            <w:tcW w:w="3219" w:type="dxa"/>
            <w:tcBorders>
              <w:top w:val="nil"/>
              <w:left w:val="nil"/>
              <w:bottom w:val="nil"/>
              <w:right w:val="nil"/>
            </w:tcBorders>
            <w:shd w:val="clear" w:color="auto" w:fill="auto"/>
          </w:tcPr>
          <w:p w14:paraId="7CE0C7BA" w14:textId="77777777" w:rsidR="00E63415" w:rsidRPr="00612C20" w:rsidRDefault="00E63415" w:rsidP="00E63415">
            <w:pPr>
              <w:suppressLineNumbers/>
            </w:pPr>
            <w:r w:rsidRPr="00612C20">
              <w:rPr>
                <w:rFonts w:ascii="Arial" w:hAnsi="Arial" w:hint="cs"/>
                <w:b/>
                <w:bCs/>
                <w:sz w:val="26"/>
                <w:szCs w:val="26"/>
                <w:rtl/>
              </w:rPr>
              <w:t>ה</w:t>
            </w:r>
            <w:r w:rsidRPr="00612C20">
              <w:rPr>
                <w:rFonts w:ascii="Arial" w:hAnsi="Arial"/>
                <w:b/>
                <w:bCs/>
                <w:sz w:val="26"/>
                <w:szCs w:val="26"/>
                <w:rtl/>
              </w:rPr>
              <w:t>מאשימה</w:t>
            </w:r>
          </w:p>
          <w:p w14:paraId="565B2933" w14:textId="77777777" w:rsidR="00E63415" w:rsidRPr="00612C20" w:rsidRDefault="00E63415" w:rsidP="00457F0C">
            <w:pPr>
              <w:rPr>
                <w:rFonts w:ascii="David" w:hAnsi="David"/>
                <w:sz w:val="26"/>
                <w:szCs w:val="26"/>
              </w:rPr>
            </w:pPr>
          </w:p>
        </w:tc>
        <w:tc>
          <w:tcPr>
            <w:tcW w:w="4678" w:type="dxa"/>
            <w:tcBorders>
              <w:top w:val="nil"/>
              <w:left w:val="nil"/>
              <w:bottom w:val="nil"/>
              <w:right w:val="nil"/>
            </w:tcBorders>
            <w:shd w:val="clear" w:color="auto" w:fill="auto"/>
            <w:vAlign w:val="center"/>
          </w:tcPr>
          <w:p w14:paraId="02486279" w14:textId="77777777" w:rsidR="00E63415" w:rsidRPr="00612C20" w:rsidRDefault="00E63415" w:rsidP="00E63415">
            <w:pPr>
              <w:suppressLineNumbers/>
            </w:pPr>
            <w:r w:rsidRPr="00612C20">
              <w:rPr>
                <w:rFonts w:ascii="Arial" w:hAnsi="Arial"/>
                <w:b/>
                <w:bCs/>
                <w:sz w:val="26"/>
                <w:szCs w:val="26"/>
                <w:rtl/>
              </w:rPr>
              <w:t>מדינת ישראל</w:t>
            </w:r>
          </w:p>
          <w:p w14:paraId="2DF66060" w14:textId="77777777" w:rsidR="00E63415" w:rsidRPr="00612C20" w:rsidRDefault="00E63415" w:rsidP="00457F0C">
            <w:pPr>
              <w:rPr>
                <w:rFonts w:ascii="David" w:hAnsi="David"/>
                <w:sz w:val="26"/>
                <w:szCs w:val="26"/>
              </w:rPr>
            </w:pPr>
          </w:p>
        </w:tc>
      </w:tr>
      <w:bookmarkEnd w:id="1"/>
      <w:tr w:rsidR="00E63415" w:rsidRPr="00612C20" w14:paraId="0BB08153" w14:textId="77777777" w:rsidTr="00E63415">
        <w:trPr>
          <w:trHeight w:val="355"/>
          <w:jc w:val="center"/>
        </w:trPr>
        <w:tc>
          <w:tcPr>
            <w:tcW w:w="923" w:type="dxa"/>
            <w:tcBorders>
              <w:top w:val="nil"/>
              <w:left w:val="nil"/>
              <w:bottom w:val="nil"/>
              <w:right w:val="nil"/>
            </w:tcBorders>
            <w:shd w:val="clear" w:color="auto" w:fill="auto"/>
          </w:tcPr>
          <w:p w14:paraId="161EF102" w14:textId="77777777" w:rsidR="00E63415" w:rsidRPr="00612C20" w:rsidRDefault="00E63415" w:rsidP="00E6341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C10A04F" w14:textId="77777777" w:rsidR="00E63415" w:rsidRPr="00612C20" w:rsidRDefault="00E63415" w:rsidP="00E63415">
            <w:pPr>
              <w:jc w:val="center"/>
              <w:rPr>
                <w:rFonts w:ascii="David" w:hAnsi="David"/>
                <w:b/>
                <w:bCs/>
                <w:sz w:val="26"/>
                <w:szCs w:val="26"/>
                <w:rtl/>
              </w:rPr>
            </w:pPr>
          </w:p>
          <w:p w14:paraId="64E2D495" w14:textId="77777777" w:rsidR="00E63415" w:rsidRPr="00612C20" w:rsidRDefault="00E63415" w:rsidP="00E63415">
            <w:pPr>
              <w:jc w:val="center"/>
              <w:rPr>
                <w:rFonts w:ascii="David" w:hAnsi="David"/>
                <w:b/>
                <w:bCs/>
                <w:sz w:val="26"/>
                <w:szCs w:val="26"/>
                <w:rtl/>
              </w:rPr>
            </w:pPr>
            <w:r w:rsidRPr="00612C20">
              <w:rPr>
                <w:rFonts w:ascii="David" w:hAnsi="David"/>
                <w:b/>
                <w:bCs/>
                <w:sz w:val="26"/>
                <w:szCs w:val="26"/>
                <w:rtl/>
              </w:rPr>
              <w:t>נגד</w:t>
            </w:r>
          </w:p>
          <w:p w14:paraId="6D0248D2" w14:textId="77777777" w:rsidR="00E63415" w:rsidRPr="00612C20" w:rsidRDefault="00E63415" w:rsidP="00E63415">
            <w:pPr>
              <w:jc w:val="both"/>
              <w:rPr>
                <w:rFonts w:ascii="David" w:hAnsi="David"/>
                <w:sz w:val="26"/>
                <w:szCs w:val="26"/>
              </w:rPr>
            </w:pPr>
          </w:p>
        </w:tc>
      </w:tr>
      <w:tr w:rsidR="00E63415" w:rsidRPr="00612C20" w14:paraId="59D80FD0" w14:textId="77777777" w:rsidTr="00E63415">
        <w:trPr>
          <w:trHeight w:val="355"/>
          <w:jc w:val="center"/>
        </w:trPr>
        <w:tc>
          <w:tcPr>
            <w:tcW w:w="923" w:type="dxa"/>
            <w:tcBorders>
              <w:top w:val="nil"/>
              <w:left w:val="nil"/>
              <w:bottom w:val="nil"/>
              <w:right w:val="nil"/>
            </w:tcBorders>
            <w:shd w:val="clear" w:color="auto" w:fill="auto"/>
          </w:tcPr>
          <w:p w14:paraId="0D5E0953" w14:textId="77777777" w:rsidR="00E63415" w:rsidRPr="00612C20" w:rsidRDefault="00E63415" w:rsidP="00457F0C">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B986328" w14:textId="77777777" w:rsidR="00E63415" w:rsidRPr="00612C20" w:rsidRDefault="00E63415" w:rsidP="00457F0C">
            <w:pPr>
              <w:rPr>
                <w:rFonts w:ascii="Arial" w:hAnsi="Arial"/>
                <w:b/>
                <w:bCs/>
                <w:sz w:val="26"/>
                <w:szCs w:val="26"/>
                <w:rtl/>
              </w:rPr>
            </w:pPr>
            <w:r w:rsidRPr="00612C2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020E39A" w14:textId="77777777" w:rsidR="00E63415" w:rsidRPr="00612C20" w:rsidRDefault="00E63415" w:rsidP="00E63415">
            <w:pPr>
              <w:suppressLineNumbers/>
            </w:pPr>
            <w:r w:rsidRPr="00612C20">
              <w:rPr>
                <w:rFonts w:ascii="Arial" w:hAnsi="Arial"/>
                <w:b/>
                <w:bCs/>
                <w:sz w:val="26"/>
                <w:szCs w:val="26"/>
                <w:rtl/>
              </w:rPr>
              <w:t>לאית מסארוה – ע"</w:t>
            </w:r>
            <w:r w:rsidRPr="00612C20">
              <w:rPr>
                <w:rFonts w:ascii="Arial" w:hAnsi="Arial" w:hint="cs"/>
                <w:b/>
                <w:bCs/>
                <w:sz w:val="26"/>
                <w:szCs w:val="26"/>
                <w:rtl/>
              </w:rPr>
              <w:t>י ב"כ עו"ד שטרצר</w:t>
            </w:r>
          </w:p>
          <w:p w14:paraId="18C85E58" w14:textId="77777777" w:rsidR="00E63415" w:rsidRPr="00612C20" w:rsidRDefault="00E63415" w:rsidP="00457F0C">
            <w:pPr>
              <w:rPr>
                <w:rFonts w:ascii="David" w:hAnsi="David"/>
                <w:sz w:val="26"/>
                <w:szCs w:val="26"/>
              </w:rPr>
            </w:pPr>
          </w:p>
        </w:tc>
      </w:tr>
      <w:bookmarkEnd w:id="2"/>
    </w:tbl>
    <w:p w14:paraId="50E38118" w14:textId="77777777" w:rsidR="00612C20" w:rsidRPr="00612C20" w:rsidRDefault="00612C20" w:rsidP="00612C20">
      <w:pPr>
        <w:spacing w:before="120" w:after="120" w:line="240" w:lineRule="exact"/>
        <w:ind w:left="283" w:hanging="283"/>
        <w:jc w:val="both"/>
        <w:rPr>
          <w:rFonts w:ascii="FrankRuehl" w:hAnsi="FrankRuehl" w:cs="FrankRuehl"/>
          <w:rtl/>
        </w:rPr>
      </w:pPr>
    </w:p>
    <w:p w14:paraId="42DC4A17" w14:textId="77777777" w:rsidR="00BE4341" w:rsidRDefault="00BE4341" w:rsidP="00BE4341">
      <w:pPr>
        <w:rPr>
          <w:sz w:val="26"/>
          <w:szCs w:val="26"/>
          <w:rtl/>
        </w:rPr>
      </w:pPr>
      <w:bookmarkStart w:id="3" w:name="LawTable"/>
      <w:bookmarkEnd w:id="3"/>
    </w:p>
    <w:p w14:paraId="18131C11" w14:textId="77777777" w:rsidR="00BE4341" w:rsidRPr="00BE4341" w:rsidRDefault="00BE4341" w:rsidP="00BE4341">
      <w:pPr>
        <w:spacing w:before="120" w:after="120" w:line="240" w:lineRule="exact"/>
        <w:ind w:left="283" w:hanging="283"/>
        <w:jc w:val="both"/>
        <w:rPr>
          <w:rFonts w:ascii="FrankRuehl" w:hAnsi="FrankRuehl" w:cs="FrankRuehl"/>
          <w:rtl/>
        </w:rPr>
      </w:pPr>
    </w:p>
    <w:p w14:paraId="30286522" w14:textId="77777777" w:rsidR="00BE4341" w:rsidRPr="00BE4341" w:rsidRDefault="00BE4341" w:rsidP="00BE4341">
      <w:pPr>
        <w:spacing w:before="120" w:after="120" w:line="240" w:lineRule="exact"/>
        <w:ind w:left="283" w:hanging="283"/>
        <w:jc w:val="both"/>
        <w:rPr>
          <w:rFonts w:ascii="FrankRuehl" w:hAnsi="FrankRuehl" w:cs="FrankRuehl"/>
          <w:rtl/>
        </w:rPr>
      </w:pPr>
    </w:p>
    <w:p w14:paraId="18BCA298" w14:textId="77777777" w:rsidR="00BE4341" w:rsidRPr="00BE4341" w:rsidRDefault="00BE4341" w:rsidP="00BE4341">
      <w:pPr>
        <w:spacing w:before="120" w:after="120" w:line="240" w:lineRule="exact"/>
        <w:ind w:left="283" w:hanging="283"/>
        <w:jc w:val="both"/>
        <w:rPr>
          <w:rFonts w:ascii="FrankRuehl" w:hAnsi="FrankRuehl" w:cs="FrankRuehl"/>
          <w:rtl/>
        </w:rPr>
      </w:pPr>
      <w:r w:rsidRPr="00BE4341">
        <w:rPr>
          <w:rFonts w:ascii="FrankRuehl" w:hAnsi="FrankRuehl" w:cs="FrankRuehl"/>
          <w:rtl/>
        </w:rPr>
        <w:t xml:space="preserve">חקיקה שאוזכרה: </w:t>
      </w:r>
    </w:p>
    <w:p w14:paraId="17B66183" w14:textId="77777777" w:rsidR="00BE4341" w:rsidRPr="00BE4341" w:rsidRDefault="00BE4341" w:rsidP="00BE4341">
      <w:pPr>
        <w:spacing w:before="120" w:after="120" w:line="240" w:lineRule="exact"/>
        <w:ind w:left="283" w:hanging="283"/>
        <w:jc w:val="both"/>
        <w:rPr>
          <w:rFonts w:ascii="FrankRuehl" w:hAnsi="FrankRuehl" w:cs="FrankRuehl"/>
          <w:rtl/>
        </w:rPr>
      </w:pPr>
      <w:hyperlink r:id="rId7" w:history="1">
        <w:r w:rsidRPr="00BE4341">
          <w:rPr>
            <w:rFonts w:ascii="FrankRuehl" w:hAnsi="FrankRuehl" w:cs="FrankRuehl"/>
            <w:color w:val="0000FF"/>
            <w:rtl/>
          </w:rPr>
          <w:t>חוק העונשין, תשל"ז-1977</w:t>
        </w:r>
      </w:hyperlink>
      <w:r w:rsidRPr="00BE4341">
        <w:rPr>
          <w:rFonts w:ascii="FrankRuehl" w:hAnsi="FrankRuehl" w:cs="FrankRuehl"/>
          <w:rtl/>
        </w:rPr>
        <w:t xml:space="preserve">: סע'  </w:t>
      </w:r>
      <w:hyperlink r:id="rId8" w:history="1">
        <w:r w:rsidRPr="00BE4341">
          <w:rPr>
            <w:rFonts w:ascii="FrankRuehl" w:hAnsi="FrankRuehl" w:cs="FrankRuehl"/>
            <w:color w:val="0000FF"/>
            <w:rtl/>
          </w:rPr>
          <w:t>144 (ב)</w:t>
        </w:r>
      </w:hyperlink>
    </w:p>
    <w:p w14:paraId="4AC78C39" w14:textId="77777777" w:rsidR="00BE4341" w:rsidRPr="00BE4341" w:rsidRDefault="00BE4341" w:rsidP="00BE4341">
      <w:pPr>
        <w:rPr>
          <w:sz w:val="26"/>
          <w:szCs w:val="26"/>
          <w:rtl/>
        </w:rPr>
      </w:pPr>
      <w:bookmarkStart w:id="4" w:name="LawTable_End"/>
      <w:bookmarkEnd w:id="4"/>
    </w:p>
    <w:p w14:paraId="645B31EF" w14:textId="77777777" w:rsidR="00E63415" w:rsidRPr="00DF2511" w:rsidRDefault="00E63415" w:rsidP="00DF251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63415" w14:paraId="56A5C6CB" w14:textId="77777777" w:rsidTr="00E63415">
        <w:trPr>
          <w:trHeight w:val="355"/>
          <w:jc w:val="center"/>
        </w:trPr>
        <w:tc>
          <w:tcPr>
            <w:tcW w:w="8820" w:type="dxa"/>
            <w:tcBorders>
              <w:top w:val="nil"/>
              <w:left w:val="nil"/>
              <w:bottom w:val="nil"/>
              <w:right w:val="nil"/>
            </w:tcBorders>
            <w:shd w:val="clear" w:color="auto" w:fill="auto"/>
          </w:tcPr>
          <w:p w14:paraId="199785C1" w14:textId="77777777" w:rsidR="00612C20" w:rsidRPr="00612C20" w:rsidRDefault="00612C20" w:rsidP="00612C20">
            <w:pPr>
              <w:jc w:val="center"/>
              <w:rPr>
                <w:rFonts w:ascii="David" w:hAnsi="David"/>
                <w:b/>
                <w:bCs/>
                <w:sz w:val="32"/>
                <w:szCs w:val="32"/>
                <w:u w:val="single"/>
                <w:rtl/>
              </w:rPr>
            </w:pPr>
            <w:bookmarkStart w:id="5" w:name="PsakDin" w:colFirst="0" w:colLast="0"/>
            <w:bookmarkEnd w:id="0"/>
            <w:r w:rsidRPr="00612C20">
              <w:rPr>
                <w:rFonts w:ascii="David" w:hAnsi="David"/>
                <w:b/>
                <w:bCs/>
                <w:sz w:val="32"/>
                <w:szCs w:val="32"/>
                <w:u w:val="single"/>
                <w:rtl/>
              </w:rPr>
              <w:t>גזר דין</w:t>
            </w:r>
          </w:p>
          <w:p w14:paraId="64F2EE1D" w14:textId="77777777" w:rsidR="00E63415" w:rsidRPr="00612C20" w:rsidRDefault="00E63415" w:rsidP="00612C20">
            <w:pPr>
              <w:jc w:val="center"/>
              <w:rPr>
                <w:rFonts w:ascii="David" w:hAnsi="David"/>
                <w:bCs/>
                <w:sz w:val="32"/>
                <w:szCs w:val="32"/>
                <w:u w:val="single"/>
                <w:rtl/>
              </w:rPr>
            </w:pPr>
          </w:p>
        </w:tc>
      </w:tr>
      <w:bookmarkEnd w:id="5"/>
    </w:tbl>
    <w:p w14:paraId="30C8480B" w14:textId="77777777" w:rsidR="00E63415" w:rsidRDefault="00E63415" w:rsidP="00E63415">
      <w:pPr>
        <w:rPr>
          <w:rFonts w:ascii="Arial" w:hAnsi="Arial"/>
          <w:b/>
          <w:bCs/>
          <w:sz w:val="26"/>
          <w:szCs w:val="26"/>
          <w:rtl/>
        </w:rPr>
      </w:pPr>
    </w:p>
    <w:p w14:paraId="0E808FDD" w14:textId="77777777" w:rsidR="00E63415" w:rsidRPr="00E142AC" w:rsidRDefault="00E63415" w:rsidP="00E63415">
      <w:pPr>
        <w:spacing w:line="360" w:lineRule="auto"/>
        <w:contextualSpacing/>
        <w:jc w:val="both"/>
        <w:rPr>
          <w:b/>
          <w:bCs/>
          <w:sz w:val="26"/>
          <w:szCs w:val="26"/>
          <w:u w:val="single"/>
          <w:rtl/>
        </w:rPr>
      </w:pPr>
      <w:r w:rsidRPr="00E142AC">
        <w:rPr>
          <w:rFonts w:hint="cs"/>
          <w:b/>
          <w:bCs/>
          <w:sz w:val="26"/>
          <w:szCs w:val="26"/>
          <w:u w:val="single"/>
          <w:rtl/>
        </w:rPr>
        <w:t>כתב האישום</w:t>
      </w:r>
    </w:p>
    <w:p w14:paraId="751BB7CC" w14:textId="77777777" w:rsidR="00E63415" w:rsidRDefault="00E63415" w:rsidP="00E63415">
      <w:pPr>
        <w:spacing w:line="360" w:lineRule="auto"/>
        <w:contextualSpacing/>
        <w:jc w:val="both"/>
        <w:rPr>
          <w:sz w:val="26"/>
          <w:szCs w:val="26"/>
          <w:rtl/>
        </w:rPr>
      </w:pPr>
      <w:bookmarkStart w:id="6" w:name="ABSTRACT_START"/>
      <w:bookmarkEnd w:id="6"/>
      <w:r w:rsidRPr="00E142AC">
        <w:rPr>
          <w:rFonts w:hint="cs"/>
          <w:sz w:val="26"/>
          <w:szCs w:val="26"/>
          <w:rtl/>
        </w:rPr>
        <w:t>הנאשם הורשע, על פי הודאתו, במסגרת הסדר טיעון,</w:t>
      </w:r>
      <w:r>
        <w:rPr>
          <w:rFonts w:hint="cs"/>
          <w:sz w:val="26"/>
          <w:szCs w:val="26"/>
          <w:rtl/>
        </w:rPr>
        <w:t xml:space="preserve"> בכתב אישום מתוקן,</w:t>
      </w:r>
      <w:r w:rsidRPr="00E142AC">
        <w:rPr>
          <w:rFonts w:hint="cs"/>
          <w:sz w:val="26"/>
          <w:szCs w:val="26"/>
          <w:rtl/>
        </w:rPr>
        <w:t xml:space="preserve"> </w:t>
      </w:r>
      <w:r>
        <w:rPr>
          <w:rFonts w:hint="cs"/>
          <w:sz w:val="26"/>
          <w:szCs w:val="26"/>
          <w:rtl/>
        </w:rPr>
        <w:t xml:space="preserve">בעבירה של </w:t>
      </w:r>
      <w:r w:rsidRPr="007214F0">
        <w:rPr>
          <w:rFonts w:hint="eastAsia"/>
          <w:b/>
          <w:bCs/>
          <w:sz w:val="26"/>
          <w:szCs w:val="26"/>
          <w:rtl/>
        </w:rPr>
        <w:t>נשיאת</w:t>
      </w:r>
      <w:r w:rsidRPr="007214F0">
        <w:rPr>
          <w:b/>
          <w:bCs/>
          <w:sz w:val="26"/>
          <w:szCs w:val="26"/>
          <w:rtl/>
        </w:rPr>
        <w:t xml:space="preserve"> נשק ותחמושת</w:t>
      </w:r>
      <w:r>
        <w:rPr>
          <w:rFonts w:hint="cs"/>
          <w:sz w:val="26"/>
          <w:szCs w:val="26"/>
          <w:rtl/>
        </w:rPr>
        <w:t xml:space="preserve"> - עבירה על סעיף </w:t>
      </w:r>
      <w:hyperlink r:id="rId9" w:history="1">
        <w:r w:rsidR="00DF2511" w:rsidRPr="00DF2511">
          <w:rPr>
            <w:rStyle w:val="Hyperlink"/>
            <w:sz w:val="26"/>
            <w:szCs w:val="26"/>
            <w:rtl/>
          </w:rPr>
          <w:t>144 (ב)</w:t>
        </w:r>
      </w:hyperlink>
      <w:r>
        <w:rPr>
          <w:rFonts w:hint="cs"/>
          <w:sz w:val="26"/>
          <w:szCs w:val="26"/>
          <w:rtl/>
        </w:rPr>
        <w:t xml:space="preserve"> רישא וסיפא ל</w:t>
      </w:r>
      <w:hyperlink r:id="rId10" w:history="1">
        <w:r w:rsidR="00612C20" w:rsidRPr="00612C20">
          <w:rPr>
            <w:color w:val="0000FF"/>
            <w:sz w:val="26"/>
            <w:szCs w:val="26"/>
            <w:u w:val="single"/>
            <w:rtl/>
          </w:rPr>
          <w:t>חוק העונשין</w:t>
        </w:r>
      </w:hyperlink>
      <w:r>
        <w:rPr>
          <w:rFonts w:hint="cs"/>
          <w:sz w:val="26"/>
          <w:szCs w:val="26"/>
          <w:rtl/>
        </w:rPr>
        <w:t>, תשל"ז-</w:t>
      </w:r>
      <w:bookmarkStart w:id="7" w:name="ABSTRACT_END"/>
      <w:bookmarkEnd w:id="7"/>
      <w:r>
        <w:rPr>
          <w:rFonts w:hint="cs"/>
          <w:sz w:val="26"/>
          <w:szCs w:val="26"/>
          <w:rtl/>
        </w:rPr>
        <w:t>1977 (להלן: "</w:t>
      </w:r>
      <w:r w:rsidRPr="00260854">
        <w:rPr>
          <w:rFonts w:hint="cs"/>
          <w:b/>
          <w:bCs/>
          <w:sz w:val="26"/>
          <w:szCs w:val="26"/>
          <w:rtl/>
        </w:rPr>
        <w:t>החוק</w:t>
      </w:r>
      <w:r>
        <w:rPr>
          <w:rFonts w:hint="cs"/>
          <w:sz w:val="26"/>
          <w:szCs w:val="26"/>
          <w:rtl/>
        </w:rPr>
        <w:t xml:space="preserve">"). </w:t>
      </w:r>
    </w:p>
    <w:p w14:paraId="4366F4E3" w14:textId="77777777" w:rsidR="00E63415" w:rsidRDefault="00E63415" w:rsidP="00E63415">
      <w:pPr>
        <w:spacing w:line="360" w:lineRule="auto"/>
        <w:contextualSpacing/>
        <w:jc w:val="both"/>
        <w:rPr>
          <w:sz w:val="26"/>
          <w:szCs w:val="26"/>
          <w:rtl/>
        </w:rPr>
      </w:pPr>
    </w:p>
    <w:p w14:paraId="5FCD71F8" w14:textId="77777777" w:rsidR="00E63415" w:rsidRDefault="00E63415" w:rsidP="00E63415">
      <w:pPr>
        <w:spacing w:line="360" w:lineRule="auto"/>
        <w:contextualSpacing/>
        <w:jc w:val="both"/>
        <w:rPr>
          <w:sz w:val="26"/>
          <w:szCs w:val="26"/>
          <w:rtl/>
        </w:rPr>
      </w:pPr>
      <w:r w:rsidRPr="00260854">
        <w:rPr>
          <w:rFonts w:hint="cs"/>
          <w:b/>
          <w:bCs/>
          <w:sz w:val="26"/>
          <w:szCs w:val="26"/>
          <w:rtl/>
        </w:rPr>
        <w:t>על פי עובדות כתב האישום המתוקן</w:t>
      </w:r>
      <w:r w:rsidRPr="00E142AC">
        <w:rPr>
          <w:rFonts w:hint="cs"/>
          <w:sz w:val="26"/>
          <w:szCs w:val="26"/>
          <w:rtl/>
        </w:rPr>
        <w:t xml:space="preserve">, </w:t>
      </w:r>
      <w:r>
        <w:rPr>
          <w:rFonts w:hint="cs"/>
          <w:sz w:val="26"/>
          <w:szCs w:val="26"/>
          <w:rtl/>
        </w:rPr>
        <w:t>ביום 31.7.19 בשעה 16:45 לערך, ברפת של אביו בטייבה, נשא הנאשם אקדח מסוג גלוק, טעון במחסנית תואמת ובה כדורי 9 מ"מ. האקדח הוסב כך שניתן לבצע בו ירי אוטומטי. שוטר החל לרדוף אחר הנאשם וצעק לעברו לעצור. הנאשם נפל והשוטר הצליח לתפוס אותו ולאוזקו בידו הימנית. הנאשם התנגד להשלמת האיזוק, משך בעוצמה את ידו האזוקה, הפיל את השוטר וגרם לו לשריטה בידו. לאחר מכן השתחרר מאחיזת השוטר ונמלט בריצה מהמקום.</w:t>
      </w:r>
    </w:p>
    <w:p w14:paraId="679A1833" w14:textId="77777777" w:rsidR="00E63415" w:rsidRDefault="00E63415" w:rsidP="00E63415">
      <w:pPr>
        <w:spacing w:line="360" w:lineRule="auto"/>
        <w:contextualSpacing/>
        <w:jc w:val="both"/>
        <w:rPr>
          <w:sz w:val="26"/>
          <w:szCs w:val="26"/>
          <w:rtl/>
        </w:rPr>
      </w:pPr>
    </w:p>
    <w:p w14:paraId="1D9F45F4" w14:textId="77777777" w:rsidR="00E63415" w:rsidRDefault="00E63415" w:rsidP="00E63415">
      <w:pPr>
        <w:spacing w:line="360" w:lineRule="auto"/>
        <w:contextualSpacing/>
        <w:jc w:val="both"/>
        <w:rPr>
          <w:sz w:val="26"/>
          <w:szCs w:val="26"/>
          <w:rtl/>
        </w:rPr>
      </w:pPr>
      <w:r>
        <w:rPr>
          <w:rFonts w:hint="cs"/>
          <w:sz w:val="26"/>
          <w:szCs w:val="26"/>
          <w:rtl/>
        </w:rPr>
        <w:lastRenderedPageBreak/>
        <w:t>במסגרת ההסדר שגובש בין הצדדים, הוסכם כי הנאשם יופנה בטרם הטיעונים לעונש לקבלת תסקיר מטעם שירות המבחן, ולאחר קבלת התסקיר יטען כל אחד מהצדדים לעונש על פי ראות עיניו.</w:t>
      </w:r>
    </w:p>
    <w:p w14:paraId="024B6AED" w14:textId="77777777" w:rsidR="00E63415" w:rsidRDefault="00E63415" w:rsidP="00E63415">
      <w:pPr>
        <w:spacing w:line="360" w:lineRule="auto"/>
        <w:contextualSpacing/>
        <w:jc w:val="both"/>
        <w:rPr>
          <w:sz w:val="26"/>
          <w:szCs w:val="26"/>
          <w:rtl/>
        </w:rPr>
      </w:pPr>
    </w:p>
    <w:p w14:paraId="2251ABF0" w14:textId="77777777" w:rsidR="00E63415" w:rsidRPr="00E142AC" w:rsidRDefault="00E63415" w:rsidP="00E63415">
      <w:pPr>
        <w:spacing w:line="360" w:lineRule="auto"/>
        <w:contextualSpacing/>
        <w:jc w:val="both"/>
        <w:rPr>
          <w:sz w:val="26"/>
          <w:szCs w:val="26"/>
          <w:rtl/>
        </w:rPr>
      </w:pPr>
    </w:p>
    <w:p w14:paraId="323DE59D" w14:textId="77777777" w:rsidR="00E63415" w:rsidRPr="00E142AC" w:rsidRDefault="00E63415" w:rsidP="00E63415">
      <w:pPr>
        <w:spacing w:line="360" w:lineRule="auto"/>
        <w:contextualSpacing/>
        <w:jc w:val="both"/>
        <w:rPr>
          <w:b/>
          <w:bCs/>
          <w:sz w:val="26"/>
          <w:szCs w:val="26"/>
          <w:u w:val="single"/>
          <w:rtl/>
        </w:rPr>
      </w:pPr>
      <w:r w:rsidRPr="00E142AC">
        <w:rPr>
          <w:rFonts w:hint="cs"/>
          <w:b/>
          <w:bCs/>
          <w:sz w:val="26"/>
          <w:szCs w:val="26"/>
          <w:u w:val="single"/>
          <w:rtl/>
        </w:rPr>
        <w:t>תסקיר שירות המבחן</w:t>
      </w:r>
    </w:p>
    <w:p w14:paraId="0B9E9733" w14:textId="77777777" w:rsidR="00E63415" w:rsidRDefault="00E63415" w:rsidP="00E63415">
      <w:pPr>
        <w:spacing w:line="360" w:lineRule="auto"/>
        <w:contextualSpacing/>
        <w:jc w:val="both"/>
        <w:rPr>
          <w:sz w:val="26"/>
          <w:szCs w:val="26"/>
          <w:rtl/>
        </w:rPr>
      </w:pPr>
      <w:r>
        <w:rPr>
          <w:rFonts w:hint="cs"/>
          <w:sz w:val="26"/>
          <w:szCs w:val="26"/>
          <w:rtl/>
        </w:rPr>
        <w:t>מהתסקיר שהוגש בעניינו של הנאשם ביום 28.2.22 עולה כי מדובר בבחור צעיר כבן 25, אשר אין לחובתו הרשעות קודמות. הנאשם רווק, מתגורר בבית הוריו בטייבה, בעל השכלה של 12 שנות לימוד, עם תעודת בגרות חלקית, ועובד בתחנת דלק כשנתיים. עוד בשלב המעצר עבר הנאשם הליכי אבחון בשירות המבחן, אשר התרשם מבחור צעיר המגלה תפקוד יציב במסגרות חייו ומראה מחויבות לתפקידים שלוקח על עצמו. הנאשם נחשף בעבר להתנהלות שולית של אביו, אשר נדון לשנתיים מאסר, ואף על פי כן נמנע מיצירת קשרים שוליים בבגרותו. עם זאת, הרושם הוא שבשנים האחרונות חלה התרופפות ביכולתו להציב לעצמו גבולות, סביב צרכי ריגוש ושייכות ודפוסים ילדותיים ולא בשלים.</w:t>
      </w:r>
    </w:p>
    <w:p w14:paraId="5E1B26DD" w14:textId="77777777" w:rsidR="00E63415" w:rsidRDefault="00E63415" w:rsidP="00E63415">
      <w:pPr>
        <w:spacing w:line="360" w:lineRule="auto"/>
        <w:contextualSpacing/>
        <w:jc w:val="both"/>
        <w:rPr>
          <w:sz w:val="26"/>
          <w:szCs w:val="26"/>
          <w:rtl/>
        </w:rPr>
      </w:pPr>
    </w:p>
    <w:p w14:paraId="52AED3FC" w14:textId="77777777" w:rsidR="00E63415" w:rsidRDefault="00E63415" w:rsidP="00E63415">
      <w:pPr>
        <w:spacing w:line="360" w:lineRule="auto"/>
        <w:contextualSpacing/>
        <w:jc w:val="both"/>
        <w:rPr>
          <w:sz w:val="26"/>
          <w:szCs w:val="26"/>
          <w:rtl/>
        </w:rPr>
      </w:pPr>
      <w:r>
        <w:rPr>
          <w:rFonts w:hint="cs"/>
          <w:sz w:val="26"/>
          <w:szCs w:val="26"/>
          <w:rtl/>
        </w:rPr>
        <w:t>שירות המבחן התרשם כאמור מתפקוד תקין לאורך השנים, כמו גם מכך שהנאשם אינו מאופיין בדפוסי חשיבה שוליים מגובשים, ניכר כי הנו בעל שאיפות נורמטיביות וכי חווה את המעצר כאירוע חריג ומשברי. על רקע זה שולב במסגרת צו פיקוח מעצרים בטיפול ייעודי לעצורי בית. הנאשם הקפיד להגיע לכל המפגשים, גילה רצינות ומחויבות, השתתף באופן פעיל בשיח הקבוצתי והתקבל הרושם כי הוא מצליח להתייחס באופן מעמיק יותר לגורמים שהובילו להתדרדרות במצבו. נראה היה כי ההליך המשפטי שהתנהל נגדו והשלכותיו הנלוות היוו עבורו גורם הרתעתי שבלם את המשך ההתדרדרות במצבו. הסיכון במצבו הופחת ונראה כי אינו זקוק להמשך התערבות טיפולית.</w:t>
      </w:r>
    </w:p>
    <w:p w14:paraId="18075360" w14:textId="77777777" w:rsidR="00E63415" w:rsidRDefault="00E63415" w:rsidP="00E63415">
      <w:pPr>
        <w:spacing w:line="360" w:lineRule="auto"/>
        <w:contextualSpacing/>
        <w:jc w:val="both"/>
        <w:rPr>
          <w:sz w:val="26"/>
          <w:szCs w:val="26"/>
        </w:rPr>
      </w:pPr>
    </w:p>
    <w:p w14:paraId="6C1641C5" w14:textId="77777777" w:rsidR="00E63415" w:rsidRDefault="00E63415" w:rsidP="00E63415">
      <w:pPr>
        <w:spacing w:line="360" w:lineRule="auto"/>
        <w:contextualSpacing/>
        <w:jc w:val="both"/>
        <w:rPr>
          <w:sz w:val="26"/>
          <w:szCs w:val="26"/>
          <w:rtl/>
        </w:rPr>
      </w:pPr>
      <w:r>
        <w:rPr>
          <w:rFonts w:hint="cs"/>
          <w:sz w:val="26"/>
          <w:szCs w:val="26"/>
          <w:rtl/>
        </w:rPr>
        <w:t>בהתייחסו לעבירה מקבל הנאשם אחריות על מעשיו ומבטא חרטה על התנהלותו הבעייתית, אם כי נתגלו פערים בין המידע שמסר בשלב המעצר בדבר קשרים שוליים שטחיים שניהל בתקופה שקדמה למעצרו, לבין הכחשתו את קשרים אלה באבחון הנוכחי. מכל מקום, בשיחות עם קצינת המבחן ביטא הנאשם תובנה לחומרת עבירות הנשק בכלל, ובחברה הערבית בפרט, ולהשלכותיהן הקשות. עוד ביטא שאיפתו להמשיך במסלול החיים הנורמטיבי שמאפיין אותו בדרך כלל, ולהמשיך להשקיע משאביו בעבודתו, ובהקמת משפחה בעתיד.</w:t>
      </w:r>
    </w:p>
    <w:p w14:paraId="2CE60FBD" w14:textId="77777777" w:rsidR="00E63415" w:rsidRDefault="00E63415" w:rsidP="00E63415">
      <w:pPr>
        <w:spacing w:line="360" w:lineRule="auto"/>
        <w:contextualSpacing/>
        <w:jc w:val="both"/>
        <w:rPr>
          <w:sz w:val="26"/>
          <w:szCs w:val="26"/>
          <w:rtl/>
        </w:rPr>
      </w:pPr>
    </w:p>
    <w:p w14:paraId="10F6922A" w14:textId="77777777" w:rsidR="00E63415" w:rsidRDefault="00E63415" w:rsidP="00E63415">
      <w:pPr>
        <w:spacing w:line="360" w:lineRule="auto"/>
        <w:contextualSpacing/>
        <w:jc w:val="both"/>
        <w:rPr>
          <w:sz w:val="26"/>
          <w:szCs w:val="26"/>
          <w:rtl/>
        </w:rPr>
      </w:pPr>
      <w:r>
        <w:rPr>
          <w:rFonts w:hint="cs"/>
          <w:sz w:val="26"/>
          <w:szCs w:val="26"/>
          <w:rtl/>
        </w:rPr>
        <w:lastRenderedPageBreak/>
        <w:t>במסגרת הקשר עם שירות המבחן גילה הנאשם אחריות, הגיע לפגישה שנקבעה עמו, הציג מסמכים רלוונטיים והשקיע מאמצים לשתף בקורותיו ובמצבו. עם זאת, התקשה להעמיק בנסיבות ביצוע העבירה ובקשריו השוליים בעבר, וכן אודות השלכות מעורבותו הפלילית של אביו על מצבו. שירות המבחן מבין את ביצוע העבירה על רקע גילו הצעיר של הנאשם, רצונו בריגוש וקיומם של קשרים שוליים, כאשר לא היה ער לחומרת העבירה ולהשלכותיה. נראה כי התנהלות זו הנה חריגה לו וכי ההליך המשפטי מהווה גורם ממתן ומציב גבול להתנהגותו. נראה כי כיום ניתק את קשריו השוליים, תוך שמבטא רצון לנהל חיים נורמטיביים, ללא מעורבות נוספת בפלילים.</w:t>
      </w:r>
    </w:p>
    <w:p w14:paraId="5E521A31" w14:textId="77777777" w:rsidR="00E63415" w:rsidRDefault="00E63415" w:rsidP="00E63415">
      <w:pPr>
        <w:spacing w:line="360" w:lineRule="auto"/>
        <w:contextualSpacing/>
        <w:jc w:val="both"/>
        <w:rPr>
          <w:sz w:val="26"/>
          <w:szCs w:val="26"/>
          <w:rtl/>
        </w:rPr>
      </w:pPr>
    </w:p>
    <w:p w14:paraId="0EC3A7D7" w14:textId="77777777" w:rsidR="00E63415" w:rsidRDefault="00E63415" w:rsidP="00E63415">
      <w:pPr>
        <w:spacing w:line="360" w:lineRule="auto"/>
        <w:contextualSpacing/>
        <w:jc w:val="both"/>
        <w:rPr>
          <w:sz w:val="26"/>
          <w:szCs w:val="26"/>
          <w:rtl/>
        </w:rPr>
      </w:pPr>
      <w:r>
        <w:rPr>
          <w:rFonts w:hint="cs"/>
          <w:sz w:val="26"/>
          <w:szCs w:val="26"/>
          <w:rtl/>
        </w:rPr>
        <w:t xml:space="preserve">הנאשם שלל קיומם של צרכים טיפוליים בעת הנוכחית והדגיש כי הטיפול בקבוצת עצורי בית סייע לו באופן משמעותי. מסר כי כיום אינו מתמודד עם קשיים או מצוקות והוא חש שביעות רצון מתפקודו. על אף הקושי להעמיק כיום בנסיבות ביצוע העבירה, הרושם הוא כי הנאשם נעזר בהליך הטיפולי בהתאם ליכולותיו, וקצינת המבחן לא התרשמה מקיומם של דפוסים שוליים מושרשים המצריכים המשך התערבות טיפולית. כגורמי סיכון צוינו חומרת העבירה, קשיים הבולטים בהפעלת שיקול דעת הולם בעת ביצועה וקשייו להציב גבולות לגורמים שוליים. כגורמי סיכוי לשיקום צוינו הגיל הצעיר, העדר עבר פלילי, תובנה באשר לחומרת המעשים, מערכות תמיכה משמעותיות, שאיפות לניהול חיים נורמטיביים, העדר דפוסי חשיבה עברייניים ושיתוף הפעולה בקבוצת עצורי הבית. מכלול הפרמטרים מעידים על כך שהסיכון לביצוע עבירות נוספות פחת. על רקע זה, ובהעדר נזקקות טיפולית, לא נמצא מקום להמליץ על שילוב בטיפול נוסף במסגרת צו מבחן והומלץ להביא בחשבון בגזר הדין את גורמי הסיכוי לשיקום שתוארו.  </w:t>
      </w:r>
    </w:p>
    <w:p w14:paraId="030A9503" w14:textId="77777777" w:rsidR="00E63415" w:rsidRDefault="00E63415" w:rsidP="00E63415">
      <w:pPr>
        <w:spacing w:line="360" w:lineRule="auto"/>
        <w:contextualSpacing/>
        <w:jc w:val="both"/>
        <w:rPr>
          <w:sz w:val="26"/>
          <w:szCs w:val="26"/>
          <w:rtl/>
        </w:rPr>
      </w:pPr>
    </w:p>
    <w:p w14:paraId="48034684" w14:textId="77777777" w:rsidR="00E63415" w:rsidRPr="00E142AC" w:rsidRDefault="00E63415" w:rsidP="00E63415">
      <w:pPr>
        <w:spacing w:line="360" w:lineRule="auto"/>
        <w:contextualSpacing/>
        <w:jc w:val="both"/>
        <w:rPr>
          <w:sz w:val="26"/>
          <w:szCs w:val="26"/>
          <w:rtl/>
        </w:rPr>
      </w:pPr>
    </w:p>
    <w:p w14:paraId="40B51929" w14:textId="77777777" w:rsidR="00E63415" w:rsidRPr="00E142AC" w:rsidRDefault="00E63415" w:rsidP="00E63415">
      <w:pPr>
        <w:spacing w:line="360" w:lineRule="auto"/>
        <w:contextualSpacing/>
        <w:jc w:val="both"/>
        <w:rPr>
          <w:b/>
          <w:bCs/>
          <w:sz w:val="26"/>
          <w:szCs w:val="26"/>
          <w:u w:val="single"/>
          <w:rtl/>
        </w:rPr>
      </w:pPr>
      <w:r>
        <w:rPr>
          <w:rFonts w:hint="cs"/>
          <w:b/>
          <w:bCs/>
          <w:sz w:val="26"/>
          <w:szCs w:val="26"/>
          <w:u w:val="single"/>
          <w:rtl/>
        </w:rPr>
        <w:t>טיעוני הצדדים</w:t>
      </w:r>
      <w:r w:rsidRPr="00E142AC">
        <w:rPr>
          <w:rFonts w:hint="cs"/>
          <w:b/>
          <w:bCs/>
          <w:sz w:val="26"/>
          <w:szCs w:val="26"/>
          <w:u w:val="single"/>
          <w:rtl/>
        </w:rPr>
        <w:t xml:space="preserve"> </w:t>
      </w:r>
    </w:p>
    <w:p w14:paraId="7E931740" w14:textId="77777777" w:rsidR="00E63415" w:rsidRDefault="00E63415" w:rsidP="00E63415">
      <w:pPr>
        <w:spacing w:line="360" w:lineRule="auto"/>
        <w:contextualSpacing/>
        <w:jc w:val="both"/>
        <w:rPr>
          <w:sz w:val="26"/>
          <w:szCs w:val="26"/>
          <w:rtl/>
        </w:rPr>
      </w:pPr>
      <w:r>
        <w:rPr>
          <w:rFonts w:hint="cs"/>
          <w:sz w:val="26"/>
          <w:szCs w:val="26"/>
          <w:rtl/>
        </w:rPr>
        <w:t xml:space="preserve">ב"כ המאשימה הדגישה בטיעוניה את החומרה הרבה הכרוכה בעבירות הנשק, את הפגיעה הקשה שלהן בערכים חברתיים בסיסיים ואת מדיניות הענישה המחמירה המתחייבת בשל כך. לדבריה, על בית המשפט לעשות כל שניתן על מנת למגר את תופעת נשיאת הנשק, אשר יוצרת סיכון ממשי לפגיעה בגוף ובנפש. בתוך כך הזכירה התובעת המלומדת את העונשים הנכבדים שנקבעו לצד עבירות הנשק ואת הוראת השעה שהתקבלה לאחרונה ואשר קבעה עונשי מינימום לצדן של עבירות אלה. הוראה זו משקת את תפיסת המחוקק בדבר העונש הדרוש, גם אם אינה חלה ישירות על המקרה הנוכחי. מבחינת מידת הפגיעה בערכים המוגנים, טענה כי מדובר בפגיעה ברף משמעותי, שכן מדובר בנשק טעון, אשר הוסב לירי אוטומטי. עוד הפנתה לעובדות כתב האישום הנוגעות לבריחתו של הנאשם מהמקום. ב"כ המאשימה הפנתה לאסופת פסיקה ועתרה למתחם הנע בין 24 ל-48 חודשי מאסר בפועל. בנוסף, הפנתה לנתונים האישיים העולים מהתסקיר וביקשה למקם את עונשו של הנאשם בתחתית מתחם הענישה, לצד מאסר על תנאי וקנס. </w:t>
      </w:r>
    </w:p>
    <w:p w14:paraId="6BEFFEE3" w14:textId="77777777" w:rsidR="00E63415" w:rsidRDefault="00E63415" w:rsidP="00E63415">
      <w:pPr>
        <w:spacing w:line="360" w:lineRule="auto"/>
        <w:contextualSpacing/>
        <w:jc w:val="both"/>
        <w:rPr>
          <w:sz w:val="26"/>
          <w:szCs w:val="26"/>
          <w:rtl/>
        </w:rPr>
      </w:pPr>
    </w:p>
    <w:p w14:paraId="7112486B" w14:textId="77777777" w:rsidR="00E63415" w:rsidRDefault="00E63415" w:rsidP="00E63415">
      <w:pPr>
        <w:spacing w:line="360" w:lineRule="auto"/>
        <w:contextualSpacing/>
        <w:jc w:val="both"/>
        <w:rPr>
          <w:sz w:val="26"/>
          <w:szCs w:val="26"/>
          <w:rtl/>
        </w:rPr>
      </w:pPr>
      <w:r>
        <w:rPr>
          <w:rFonts w:hint="cs"/>
          <w:sz w:val="26"/>
          <w:szCs w:val="26"/>
          <w:rtl/>
        </w:rPr>
        <w:t xml:space="preserve">ב"כ הנאשם הפנה לעובדה כי מדובר בעבירה שבוצעה באמצע שנת 2019, ועל כן אין להחיל עליה את ההנחיות ותיקוני החקיקה העדכניים. עוד הפנה לנסיבות החריגות של הליך זה לפיהן הוגש כתב האישום למעלה משנה לאחר מועד ביצוע העבירה, וביקש ליישם בעניינו של הנאשם מענה עונשי אינדיווידואלי כמתחייב מאותן נסיבות. הסנגור המלומד הזכיר פסיקה של מותב זה בה הוצב הרף התחתון של מתחם הענישה בעבירות של נשיאת אקדח </w:t>
      </w:r>
      <w:hyperlink r:id="rId11" w:history="1">
        <w:r w:rsidR="00612C20" w:rsidRPr="00612C20">
          <w:rPr>
            <w:color w:val="0000FF"/>
            <w:sz w:val="26"/>
            <w:szCs w:val="26"/>
            <w:u w:val="single"/>
            <w:rtl/>
          </w:rPr>
          <w:t>על 13-14</w:t>
        </w:r>
      </w:hyperlink>
      <w:r>
        <w:rPr>
          <w:rFonts w:hint="cs"/>
          <w:sz w:val="26"/>
          <w:szCs w:val="26"/>
          <w:rtl/>
        </w:rPr>
        <w:t xml:space="preserve"> חודשי מאסר בפועל, וטען כי בהעדר מאפיין של הובלה, הרי שהנסיבות קרובות לעבירת החזקה גרידא, ועל כן ראוי לקבוע מתחם שמתחיל מ-10 או 11 חודשים ועד 24 חודשי מאסר בפועל. ב"כ הנאשם הפנה לתסקיר שירות המבחן ועמד בהרחבה על הנתונים החיוביים העולים ממנו לרבות העבר הנקי, העדר הסתבכויות נוספות, התובנה וההפנמה, ההרתעה והפחתת הסיכון. עוד הדגיש את ההליך הטיפולי שעבר הנאשם, שהביא אותו לתובנות הדרושות. בנסיבות אלה, סבר הסנגור המלומד כי ניתן במקרה זה אף לסטות לקולה ממתחם העונש ההולם ולהסתפק בענישה בדרך של עבודות שירות, ולתמיכה בעמדתו זו הפנה למספר החלטות. </w:t>
      </w:r>
    </w:p>
    <w:p w14:paraId="657117BF" w14:textId="77777777" w:rsidR="00E63415" w:rsidRDefault="00E63415" w:rsidP="00E63415">
      <w:pPr>
        <w:spacing w:line="360" w:lineRule="auto"/>
        <w:contextualSpacing/>
        <w:jc w:val="both"/>
        <w:rPr>
          <w:sz w:val="26"/>
          <w:szCs w:val="26"/>
          <w:rtl/>
        </w:rPr>
      </w:pPr>
    </w:p>
    <w:p w14:paraId="3EA8E35D" w14:textId="77777777" w:rsidR="00E63415" w:rsidRDefault="00E63415" w:rsidP="00E63415">
      <w:pPr>
        <w:spacing w:line="360" w:lineRule="auto"/>
        <w:contextualSpacing/>
        <w:jc w:val="both"/>
        <w:rPr>
          <w:sz w:val="26"/>
          <w:szCs w:val="26"/>
          <w:rtl/>
        </w:rPr>
      </w:pPr>
      <w:r>
        <w:rPr>
          <w:rFonts w:hint="cs"/>
          <w:sz w:val="26"/>
          <w:szCs w:val="26"/>
          <w:rtl/>
        </w:rPr>
        <w:t xml:space="preserve">לבסוף, שמעתי גם את דברי הנאשם עצמו, אשר ציין כי הוא מודע לכך שעבר עבירה חמורה, אך הדגיש כי עשה זאת לפני כשלוש שנים ומאז למד את הלקח, היה אצל קצינת המבחן, וכעת הוא מאורס ועומד להתחתן. על רקע נתונים אלה ביקש מבית המשפט להתחשב בו. </w:t>
      </w:r>
    </w:p>
    <w:p w14:paraId="70272C9E" w14:textId="77777777" w:rsidR="00E63415" w:rsidRDefault="00E63415" w:rsidP="00E63415">
      <w:pPr>
        <w:spacing w:line="360" w:lineRule="auto"/>
        <w:contextualSpacing/>
        <w:jc w:val="both"/>
        <w:rPr>
          <w:sz w:val="26"/>
          <w:szCs w:val="26"/>
          <w:rtl/>
        </w:rPr>
      </w:pPr>
    </w:p>
    <w:p w14:paraId="29E78E54" w14:textId="77777777" w:rsidR="00E63415" w:rsidRPr="00E142AC" w:rsidRDefault="00E63415" w:rsidP="00E63415">
      <w:pPr>
        <w:spacing w:line="360" w:lineRule="auto"/>
        <w:contextualSpacing/>
        <w:jc w:val="both"/>
        <w:rPr>
          <w:sz w:val="26"/>
          <w:szCs w:val="26"/>
          <w:rtl/>
        </w:rPr>
      </w:pPr>
    </w:p>
    <w:p w14:paraId="334BF9C5" w14:textId="77777777" w:rsidR="00E63415" w:rsidRPr="001D370F" w:rsidRDefault="00E63415" w:rsidP="00E63415">
      <w:pPr>
        <w:spacing w:line="360" w:lineRule="auto"/>
        <w:contextualSpacing/>
        <w:jc w:val="both"/>
        <w:rPr>
          <w:sz w:val="26"/>
          <w:szCs w:val="26"/>
          <w:rtl/>
        </w:rPr>
      </w:pPr>
      <w:r>
        <w:rPr>
          <w:rFonts w:hint="cs"/>
          <w:b/>
          <w:bCs/>
          <w:sz w:val="26"/>
          <w:szCs w:val="26"/>
          <w:u w:val="single"/>
          <w:rtl/>
        </w:rPr>
        <w:t>דיון והכרעה</w:t>
      </w:r>
      <w:r>
        <w:rPr>
          <w:rFonts w:hint="cs"/>
          <w:sz w:val="26"/>
          <w:szCs w:val="26"/>
          <w:rtl/>
        </w:rPr>
        <w:t xml:space="preserve"> </w:t>
      </w:r>
    </w:p>
    <w:p w14:paraId="04B9B876" w14:textId="77777777" w:rsidR="00E63415" w:rsidRDefault="00E63415" w:rsidP="00E63415">
      <w:pPr>
        <w:spacing w:line="360" w:lineRule="auto"/>
        <w:contextualSpacing/>
        <w:jc w:val="both"/>
        <w:rPr>
          <w:sz w:val="26"/>
          <w:szCs w:val="26"/>
          <w:rtl/>
        </w:rPr>
      </w:pPr>
    </w:p>
    <w:p w14:paraId="63E63BB1" w14:textId="77777777" w:rsidR="00E63415" w:rsidRPr="00A63CFA" w:rsidRDefault="00E63415" w:rsidP="00E63415">
      <w:pPr>
        <w:spacing w:line="360" w:lineRule="auto"/>
        <w:ind w:left="737" w:right="737"/>
        <w:jc w:val="both"/>
        <w:rPr>
          <w:rFonts w:ascii="David" w:hAnsi="David"/>
          <w:sz w:val="26"/>
          <w:szCs w:val="26"/>
          <w:rtl/>
        </w:rPr>
      </w:pPr>
      <w:r w:rsidRPr="00A63CFA">
        <w:rPr>
          <w:rFonts w:ascii="David" w:hAnsi="David"/>
          <w:spacing w:val="10"/>
          <w:sz w:val="26"/>
          <w:szCs w:val="26"/>
          <w:rtl/>
        </w:rPr>
        <w:t>"</w:t>
      </w:r>
      <w:r w:rsidRPr="00A63CFA">
        <w:rPr>
          <w:rFonts w:ascii="David" w:hAnsi="David"/>
          <w:b/>
          <w:bCs/>
          <w:spacing w:val="10"/>
          <w:sz w:val="26"/>
          <w:szCs w:val="26"/>
          <w:rtl/>
        </w:rPr>
        <w:t>סעיף 144(ב) ל</w:t>
      </w:r>
      <w:hyperlink r:id="rId12" w:history="1">
        <w:r w:rsidR="00612C20" w:rsidRPr="00612C20">
          <w:rPr>
            <w:rFonts w:ascii="David" w:hAnsi="David"/>
            <w:b/>
            <w:bCs/>
            <w:color w:val="0000FF"/>
            <w:spacing w:val="10"/>
            <w:sz w:val="26"/>
            <w:szCs w:val="26"/>
            <w:u w:val="single"/>
            <w:rtl/>
          </w:rPr>
          <w:t>חוק העונשין</w:t>
        </w:r>
      </w:hyperlink>
      <w:r w:rsidRPr="00A63CFA">
        <w:rPr>
          <w:rFonts w:ascii="David" w:hAnsi="David"/>
          <w:b/>
          <w:bCs/>
          <w:spacing w:val="10"/>
          <w:sz w:val="26"/>
          <w:szCs w:val="26"/>
          <w:rtl/>
        </w:rPr>
        <w:t xml:space="preserve"> אוסר על נשיאה או הובלה של כלי נשק, "בלא רשות על פי דין". האיסור נועד להגן על ערך חיי האדם, שלמות גופו ונפשו, כמו גם לקדם את השמירה על הסדר הציבורי ואורח חיים תקין, שלו ובטוח (</w:t>
      </w:r>
      <w:hyperlink r:id="rId13" w:history="1">
        <w:r w:rsidR="00612C20" w:rsidRPr="00612C20">
          <w:rPr>
            <w:rFonts w:ascii="David" w:hAnsi="David"/>
            <w:b/>
            <w:bCs/>
            <w:color w:val="0000FF"/>
            <w:spacing w:val="10"/>
            <w:sz w:val="26"/>
            <w:szCs w:val="26"/>
            <w:u w:val="single"/>
            <w:rtl/>
          </w:rPr>
          <w:t>ע"פ 147/21</w:t>
        </w:r>
      </w:hyperlink>
      <w:r w:rsidRPr="00A63CFA">
        <w:rPr>
          <w:rFonts w:ascii="David" w:hAnsi="David"/>
          <w:b/>
          <w:bCs/>
          <w:spacing w:val="10"/>
          <w:sz w:val="26"/>
          <w:szCs w:val="26"/>
          <w:rtl/>
        </w:rPr>
        <w:t xml:space="preserve"> מדינת ישראל נ' ביטון, פסקה 7 (14.02.21) (להלן: עניין ביטון); </w:t>
      </w:r>
      <w:hyperlink r:id="rId14" w:history="1">
        <w:r w:rsidR="00612C20" w:rsidRPr="00612C20">
          <w:rPr>
            <w:rFonts w:ascii="David" w:hAnsi="David"/>
            <w:b/>
            <w:bCs/>
            <w:color w:val="0000FF"/>
            <w:spacing w:val="10"/>
            <w:sz w:val="26"/>
            <w:szCs w:val="26"/>
            <w:u w:val="single"/>
            <w:rtl/>
          </w:rPr>
          <w:t>ע"פ 8017/20</w:t>
        </w:r>
      </w:hyperlink>
      <w:r w:rsidRPr="00A63CFA">
        <w:rPr>
          <w:rFonts w:ascii="David" w:hAnsi="David"/>
          <w:b/>
          <w:bCs/>
          <w:spacing w:val="10"/>
          <w:sz w:val="26"/>
          <w:szCs w:val="26"/>
          <w:rtl/>
        </w:rPr>
        <w:t xml:space="preserve"> מדינת ישראל נ' גריפאת, פסקה 6 (22.02.20) (להלן: עניין גריפאת)). עבירה זו, כמו יתר עבירות הנשק, נועדה למנוע התנהגות מסוכנת, ולמזער את הפוטנציאל לגרימת נזקים חמורים. אכן, נשיאה והובלה של כלי נשק, הריהי לעיתים רק הסנונית הראשונה, בואכה מעשים חמורים יותר – חבלה חמורה, שוד מזוין, רצח, וכיוצא באלה (</w:t>
      </w:r>
      <w:hyperlink r:id="rId15" w:history="1">
        <w:r w:rsidR="00612C20" w:rsidRPr="00612C20">
          <w:rPr>
            <w:rFonts w:ascii="David" w:hAnsi="David"/>
            <w:b/>
            <w:bCs/>
            <w:color w:val="0000FF"/>
            <w:spacing w:val="10"/>
            <w:sz w:val="26"/>
            <w:szCs w:val="26"/>
            <w:u w:val="single"/>
            <w:rtl/>
          </w:rPr>
          <w:t>ע"פ 4406/19</w:t>
        </w:r>
      </w:hyperlink>
      <w:r w:rsidRPr="00A63CFA">
        <w:rPr>
          <w:rFonts w:ascii="David" w:hAnsi="David"/>
          <w:b/>
          <w:bCs/>
          <w:spacing w:val="10"/>
          <w:sz w:val="26"/>
          <w:szCs w:val="26"/>
          <w:rtl/>
        </w:rPr>
        <w:t xml:space="preserve"> מדינת ישראל נ' סובח, פסק דינו של השופט מ' מזוז (05.11.19); </w:t>
      </w:r>
      <w:hyperlink r:id="rId16" w:history="1">
        <w:r w:rsidR="00612C20" w:rsidRPr="00612C20">
          <w:rPr>
            <w:rFonts w:ascii="David" w:hAnsi="David"/>
            <w:b/>
            <w:bCs/>
            <w:color w:val="0000FF"/>
            <w:spacing w:val="10"/>
            <w:sz w:val="26"/>
            <w:szCs w:val="26"/>
            <w:u w:val="single"/>
            <w:rtl/>
          </w:rPr>
          <w:t>ע"פ 116/13</w:t>
        </w:r>
      </w:hyperlink>
      <w:r w:rsidRPr="00A63CFA">
        <w:rPr>
          <w:rFonts w:ascii="David" w:hAnsi="David"/>
          <w:b/>
          <w:bCs/>
          <w:spacing w:val="10"/>
          <w:sz w:val="26"/>
          <w:szCs w:val="26"/>
          <w:rtl/>
        </w:rPr>
        <w:t xml:space="preserve"> וקנין נ' מדינת ישראל, פסקה 7</w:t>
      </w:r>
      <w:r w:rsidRPr="00A63CFA">
        <w:rPr>
          <w:rFonts w:ascii="David" w:hAnsi="David"/>
          <w:b/>
          <w:bCs/>
          <w:spacing w:val="10"/>
          <w:sz w:val="26"/>
          <w:szCs w:val="26"/>
        </w:rPr>
        <w:t xml:space="preserve"> (31.07.13)</w:t>
      </w:r>
      <w:r w:rsidRPr="00A63CFA">
        <w:rPr>
          <w:rFonts w:ascii="David" w:hAnsi="David"/>
          <w:b/>
          <w:bCs/>
          <w:spacing w:val="10"/>
          <w:sz w:val="26"/>
          <w:szCs w:val="26"/>
          <w:rtl/>
        </w:rPr>
        <w:t>). כמו כן, לא אחת צוין, כי למרבה הצער, חרף האיסור שבדין, הפכה תופעת השימוש בנשק חם למכת מדינה. בעקבות זאת, לשם הרתעה, ניכרת בפסיקה מגמה של החמרה הדרגתית בענישה על עבירות הנשק (</w:t>
      </w:r>
      <w:hyperlink r:id="rId17" w:history="1">
        <w:r w:rsidR="00612C20" w:rsidRPr="00612C20">
          <w:rPr>
            <w:rFonts w:ascii="David" w:hAnsi="David"/>
            <w:b/>
            <w:bCs/>
            <w:color w:val="0000FF"/>
            <w:spacing w:val="10"/>
            <w:sz w:val="26"/>
            <w:szCs w:val="26"/>
            <w:u w:val="single"/>
            <w:rtl/>
          </w:rPr>
          <w:t>ע"פ 5807/20</w:t>
        </w:r>
      </w:hyperlink>
      <w:r w:rsidRPr="00A63CFA">
        <w:rPr>
          <w:rFonts w:ascii="David" w:hAnsi="David"/>
          <w:b/>
          <w:bCs/>
          <w:spacing w:val="10"/>
          <w:sz w:val="26"/>
          <w:szCs w:val="26"/>
          <w:rtl/>
        </w:rPr>
        <w:t xml:space="preserve"> שיבלי נ' מדינת ישראל, פסקה 8 (30.12.20) (להלן: עניין שיבלי); עניין ביטון, פסקה 7; עניין גריפאת, פסקה 6); לעיתים "השעה צריכה לכך" (בבלי, סנהדרין מו, ע"א).</w:t>
      </w:r>
      <w:r w:rsidRPr="00A63CFA">
        <w:rPr>
          <w:rFonts w:ascii="David" w:hAnsi="David"/>
          <w:spacing w:val="10"/>
          <w:sz w:val="26"/>
          <w:szCs w:val="26"/>
          <w:rtl/>
        </w:rPr>
        <w:t>"</w:t>
      </w:r>
    </w:p>
    <w:p w14:paraId="128CD151" w14:textId="77777777" w:rsidR="00E63415" w:rsidRPr="00A63CFA" w:rsidRDefault="00E63415" w:rsidP="00E63415">
      <w:pPr>
        <w:spacing w:line="360" w:lineRule="auto"/>
        <w:jc w:val="both"/>
        <w:rPr>
          <w:rFonts w:ascii="David" w:hAnsi="David"/>
          <w:sz w:val="26"/>
          <w:szCs w:val="26"/>
          <w:rtl/>
        </w:rPr>
      </w:pPr>
    </w:p>
    <w:p w14:paraId="3F46C600" w14:textId="77777777" w:rsidR="00E63415" w:rsidRDefault="00E63415" w:rsidP="00E63415">
      <w:pPr>
        <w:spacing w:line="360" w:lineRule="auto"/>
        <w:jc w:val="both"/>
        <w:rPr>
          <w:rFonts w:ascii="David" w:hAnsi="David"/>
          <w:sz w:val="26"/>
          <w:szCs w:val="26"/>
          <w:rtl/>
        </w:rPr>
      </w:pPr>
      <w:r w:rsidRPr="00A63CFA">
        <w:rPr>
          <w:rFonts w:ascii="David" w:hAnsi="David"/>
          <w:sz w:val="26"/>
          <w:szCs w:val="26"/>
          <w:rtl/>
        </w:rPr>
        <w:t xml:space="preserve">דבריו אלה של כב' השופט סולברג מתוך פסק הדין </w:t>
      </w:r>
      <w:r w:rsidRPr="00A63CFA">
        <w:rPr>
          <w:rFonts w:ascii="David" w:hAnsi="David"/>
          <w:spacing w:val="10"/>
          <w:sz w:val="26"/>
          <w:szCs w:val="26"/>
          <w:rtl/>
        </w:rPr>
        <w:t>ב</w:t>
      </w:r>
      <w:hyperlink r:id="rId18" w:history="1">
        <w:r w:rsidR="00612C20" w:rsidRPr="00612C20">
          <w:rPr>
            <w:rFonts w:ascii="David" w:hAnsi="David"/>
            <w:color w:val="0000FF"/>
            <w:spacing w:val="10"/>
            <w:sz w:val="26"/>
            <w:szCs w:val="26"/>
            <w:u w:val="single"/>
            <w:rtl/>
          </w:rPr>
          <w:t>ע"פ 5522/20</w:t>
        </w:r>
      </w:hyperlink>
      <w:r w:rsidRPr="00A63CFA">
        <w:rPr>
          <w:rFonts w:ascii="David" w:hAnsi="David"/>
          <w:spacing w:val="10"/>
          <w:sz w:val="26"/>
          <w:szCs w:val="26"/>
          <w:rtl/>
        </w:rPr>
        <w:t xml:space="preserve"> </w:t>
      </w:r>
      <w:r w:rsidRPr="00A63CFA">
        <w:rPr>
          <w:rFonts w:ascii="David" w:hAnsi="David"/>
          <w:b/>
          <w:bCs/>
          <w:spacing w:val="10"/>
          <w:sz w:val="26"/>
          <w:szCs w:val="26"/>
          <w:rtl/>
        </w:rPr>
        <w:t>חלייחל נ' מ"י</w:t>
      </w:r>
      <w:r w:rsidRPr="00A63CFA">
        <w:rPr>
          <w:rFonts w:ascii="David" w:hAnsi="David"/>
          <w:spacing w:val="10"/>
          <w:sz w:val="26"/>
          <w:szCs w:val="26"/>
          <w:rtl/>
        </w:rPr>
        <w:t xml:space="preserve"> (24.02.21) </w:t>
      </w:r>
      <w:r w:rsidRPr="00A63CFA">
        <w:rPr>
          <w:rFonts w:ascii="David" w:hAnsi="David"/>
          <w:sz w:val="26"/>
          <w:szCs w:val="26"/>
          <w:rtl/>
        </w:rPr>
        <w:t>מבהירים הבהר היטב את הפגיעה החמורה בערכים החברתיים הבסיסיים ביותר, שעניינם השמירה על הסדר הציבורי, על שלומו ובטחונו של הציבור ועל חיי אנוש ממש, הכרוכה בביצוע עבירות הנשק, לרבות אלה שעניינן החזקה ונשיאה גרידא. עוד מבהירים הדברים את שכיחותה של התופעה ואת ההכרח לנקוט במדיניות ענישה מחמירה, ואף להעלות בהדרגה את רף הענישה, כמענה מרתיע ומציב גבול למעשים.</w:t>
      </w:r>
    </w:p>
    <w:p w14:paraId="1926C2F9" w14:textId="77777777" w:rsidR="00E63415" w:rsidRPr="001D3786" w:rsidRDefault="00E63415" w:rsidP="00E63415">
      <w:pPr>
        <w:spacing w:line="360" w:lineRule="auto"/>
        <w:jc w:val="both"/>
        <w:rPr>
          <w:rFonts w:ascii="David" w:hAnsi="David"/>
          <w:sz w:val="26"/>
          <w:szCs w:val="26"/>
          <w:rtl/>
        </w:rPr>
      </w:pPr>
    </w:p>
    <w:p w14:paraId="7F127D2E" w14:textId="77777777" w:rsidR="00E63415" w:rsidRPr="001D3786" w:rsidRDefault="00E63415" w:rsidP="00E63415">
      <w:pPr>
        <w:spacing w:line="360" w:lineRule="auto"/>
        <w:contextualSpacing/>
        <w:jc w:val="both"/>
        <w:rPr>
          <w:rFonts w:ascii="David" w:hAnsi="David"/>
          <w:sz w:val="26"/>
          <w:szCs w:val="26"/>
          <w:rtl/>
        </w:rPr>
      </w:pPr>
      <w:r>
        <w:rPr>
          <w:rFonts w:ascii="David" w:hAnsi="David" w:hint="cs"/>
          <w:sz w:val="26"/>
          <w:szCs w:val="26"/>
          <w:rtl/>
        </w:rPr>
        <w:t xml:space="preserve">מעשיו של הנאשם אכן בוצעו לפני למעלה משנתיים וחצי, במהלך שנת 2019, ולחלוף הזמן קיימת כמובן משמעות, כך שאין להחיל עליו רטרואקטיבית את מלוא תוקפה של מדיניות הענישה העדכנית, שהחמירה והוקשתה עם השנים. עם זאת, יש לתת את הדעת לכך שאותה </w:t>
      </w:r>
      <w:r w:rsidRPr="001D3786">
        <w:rPr>
          <w:rFonts w:ascii="David" w:hAnsi="David"/>
          <w:sz w:val="26"/>
          <w:szCs w:val="26"/>
          <w:rtl/>
        </w:rPr>
        <w:t xml:space="preserve">מגמת החמרה לא החלה בחודשים האחרונים </w:t>
      </w:r>
      <w:r>
        <w:rPr>
          <w:rFonts w:ascii="David" w:hAnsi="David" w:hint="cs"/>
          <w:sz w:val="26"/>
          <w:szCs w:val="26"/>
          <w:rtl/>
        </w:rPr>
        <w:t xml:space="preserve">בלבד אלא </w:t>
      </w:r>
      <w:r w:rsidRPr="001D3786">
        <w:rPr>
          <w:rFonts w:ascii="David" w:hAnsi="David"/>
          <w:sz w:val="26"/>
          <w:szCs w:val="26"/>
          <w:rtl/>
        </w:rPr>
        <w:t>מלוו</w:t>
      </w:r>
      <w:r>
        <w:rPr>
          <w:rFonts w:ascii="David" w:hAnsi="David" w:hint="cs"/>
          <w:sz w:val="26"/>
          <w:szCs w:val="26"/>
          <w:rtl/>
        </w:rPr>
        <w:t>ה</w:t>
      </w:r>
      <w:r w:rsidRPr="001D3786">
        <w:rPr>
          <w:rFonts w:ascii="David" w:hAnsi="David"/>
          <w:sz w:val="26"/>
          <w:szCs w:val="26"/>
          <w:rtl/>
        </w:rPr>
        <w:t xml:space="preserve"> אותנו כבר מזה כעשור</w:t>
      </w:r>
      <w:r>
        <w:rPr>
          <w:rFonts w:ascii="David" w:hAnsi="David" w:hint="cs"/>
          <w:sz w:val="26"/>
          <w:szCs w:val="26"/>
          <w:rtl/>
        </w:rPr>
        <w:t xml:space="preserve">. </w:t>
      </w:r>
      <w:r>
        <w:rPr>
          <w:rFonts w:ascii="David" w:hAnsi="David"/>
          <w:sz w:val="26"/>
          <w:szCs w:val="26"/>
          <w:rtl/>
        </w:rPr>
        <w:t>לפיכך, העובדה שה</w:t>
      </w:r>
      <w:r>
        <w:rPr>
          <w:rFonts w:ascii="David" w:hAnsi="David" w:hint="cs"/>
          <w:sz w:val="26"/>
          <w:szCs w:val="26"/>
          <w:rtl/>
        </w:rPr>
        <w:t>עבירה</w:t>
      </w:r>
      <w:r w:rsidRPr="001D3786">
        <w:rPr>
          <w:rFonts w:ascii="David" w:hAnsi="David"/>
          <w:sz w:val="26"/>
          <w:szCs w:val="26"/>
          <w:rtl/>
        </w:rPr>
        <w:t xml:space="preserve"> </w:t>
      </w:r>
      <w:r>
        <w:rPr>
          <w:rFonts w:ascii="David" w:hAnsi="David" w:hint="cs"/>
          <w:sz w:val="26"/>
          <w:szCs w:val="26"/>
          <w:rtl/>
        </w:rPr>
        <w:t xml:space="preserve">בוצעה בשנת 2019 </w:t>
      </w:r>
      <w:r w:rsidRPr="001D3786">
        <w:rPr>
          <w:rFonts w:ascii="David" w:hAnsi="David"/>
          <w:sz w:val="26"/>
          <w:szCs w:val="26"/>
          <w:rtl/>
        </w:rPr>
        <w:t>אינה גורעת מחומרת</w:t>
      </w:r>
      <w:r>
        <w:rPr>
          <w:rFonts w:ascii="David" w:hAnsi="David" w:hint="cs"/>
          <w:sz w:val="26"/>
          <w:szCs w:val="26"/>
          <w:rtl/>
        </w:rPr>
        <w:t>ה</w:t>
      </w:r>
      <w:r w:rsidRPr="001D3786">
        <w:rPr>
          <w:rFonts w:ascii="David" w:hAnsi="David"/>
          <w:sz w:val="26"/>
          <w:szCs w:val="26"/>
          <w:rtl/>
        </w:rPr>
        <w:t xml:space="preserve">, אינה מצדיקה </w:t>
      </w:r>
      <w:r>
        <w:rPr>
          <w:rFonts w:ascii="David" w:hAnsi="David" w:hint="cs"/>
          <w:sz w:val="26"/>
          <w:szCs w:val="26"/>
          <w:rtl/>
        </w:rPr>
        <w:t xml:space="preserve">כשלעצמה </w:t>
      </w:r>
      <w:r w:rsidRPr="001D3786">
        <w:rPr>
          <w:rFonts w:ascii="David" w:hAnsi="David"/>
          <w:sz w:val="26"/>
          <w:szCs w:val="26"/>
          <w:rtl/>
        </w:rPr>
        <w:t>הימנעות מהטלת העונש המתחייב ואינה מוציאה אות</w:t>
      </w:r>
      <w:r>
        <w:rPr>
          <w:rFonts w:ascii="David" w:hAnsi="David" w:hint="cs"/>
          <w:sz w:val="26"/>
          <w:szCs w:val="26"/>
          <w:rtl/>
        </w:rPr>
        <w:t>ה</w:t>
      </w:r>
      <w:r w:rsidRPr="001D3786">
        <w:rPr>
          <w:rFonts w:ascii="David" w:hAnsi="David"/>
          <w:sz w:val="26"/>
          <w:szCs w:val="26"/>
          <w:rtl/>
        </w:rPr>
        <w:t xml:space="preserve"> מגדרה של ההנחיה ארוכת השנים להחמיר בענישה בעבירות מעין אלה, כפי שאף ניתן ללמוד מהפסיקה שתוצג, אשר חלקה מתייחס לעבירות מאותה תקופה ואף מהשנים שקדמו לכך.</w:t>
      </w:r>
    </w:p>
    <w:p w14:paraId="03594CCB" w14:textId="77777777" w:rsidR="00E63415" w:rsidRPr="001D3786" w:rsidRDefault="00E63415" w:rsidP="00E63415">
      <w:pPr>
        <w:spacing w:line="360" w:lineRule="auto"/>
        <w:jc w:val="both"/>
        <w:rPr>
          <w:rFonts w:ascii="David" w:hAnsi="David"/>
          <w:sz w:val="26"/>
          <w:szCs w:val="26"/>
          <w:rtl/>
        </w:rPr>
      </w:pPr>
    </w:p>
    <w:p w14:paraId="13E3BD9F" w14:textId="77777777" w:rsidR="00E63415" w:rsidRPr="001D3786" w:rsidRDefault="00E63415" w:rsidP="00E63415">
      <w:pPr>
        <w:spacing w:line="360" w:lineRule="auto"/>
        <w:jc w:val="both"/>
        <w:rPr>
          <w:rFonts w:ascii="David" w:hAnsi="David"/>
          <w:sz w:val="26"/>
          <w:szCs w:val="26"/>
          <w:rtl/>
        </w:rPr>
      </w:pPr>
      <w:r w:rsidRPr="001D3786">
        <w:rPr>
          <w:rFonts w:ascii="David" w:hAnsi="David"/>
          <w:b/>
          <w:bCs/>
          <w:sz w:val="26"/>
          <w:szCs w:val="26"/>
          <w:rtl/>
        </w:rPr>
        <w:t>מידת הפגיעה בערכים המוגנים</w:t>
      </w:r>
      <w:r w:rsidRPr="001D3786">
        <w:rPr>
          <w:rFonts w:ascii="David" w:hAnsi="David"/>
          <w:sz w:val="26"/>
          <w:szCs w:val="26"/>
          <w:rtl/>
        </w:rPr>
        <w:t xml:space="preserve"> מצויה במקרה זה </w:t>
      </w:r>
      <w:r w:rsidRPr="001D3786">
        <w:rPr>
          <w:rFonts w:ascii="David" w:hAnsi="David"/>
          <w:b/>
          <w:bCs/>
          <w:sz w:val="26"/>
          <w:szCs w:val="26"/>
          <w:rtl/>
        </w:rPr>
        <w:t>במדרג הבינוני</w:t>
      </w:r>
      <w:r w:rsidRPr="001D3786">
        <w:rPr>
          <w:rFonts w:ascii="David" w:hAnsi="David"/>
          <w:sz w:val="26"/>
          <w:szCs w:val="26"/>
          <w:rtl/>
        </w:rPr>
        <w:t xml:space="preserve"> של עבירות מעין אלה. מדובר אמנם בנשיאה של אקדח, ולא כלי נשק בעל מאפייני חומרה נוספים כרובה סער או תמ"ק מאולתר, אך האקדח היה טעון במחסנית ובכדורים, </w:t>
      </w:r>
      <w:r>
        <w:rPr>
          <w:rFonts w:ascii="David" w:hAnsi="David" w:hint="cs"/>
          <w:sz w:val="26"/>
          <w:szCs w:val="26"/>
          <w:rtl/>
        </w:rPr>
        <w:t>ואף הוסב כך שניתן לבצע בו ירי אוטומטי. האקדח היה אפוא מוכן לפעולה, ופגיעתו הפוטנציאלית עלולה הייתה להיות חמורה ביותר. גם התנהגותו של הנאשם כלפי השוטר מקימה במקרה זה נדבך נוסף של חומרה, אם כי עיקר הדגש כמובן הנו על עבירת הנשק.</w:t>
      </w:r>
      <w:r w:rsidRPr="001D3786">
        <w:rPr>
          <w:rFonts w:ascii="David" w:hAnsi="David"/>
          <w:sz w:val="26"/>
          <w:szCs w:val="26"/>
          <w:rtl/>
        </w:rPr>
        <w:t xml:space="preserve"> </w:t>
      </w:r>
    </w:p>
    <w:p w14:paraId="22EE473E" w14:textId="77777777" w:rsidR="00E63415" w:rsidRDefault="00E63415" w:rsidP="00E63415">
      <w:pPr>
        <w:spacing w:line="360" w:lineRule="auto"/>
        <w:jc w:val="both"/>
        <w:rPr>
          <w:rFonts w:ascii="David" w:hAnsi="David"/>
          <w:sz w:val="26"/>
          <w:szCs w:val="26"/>
          <w:rtl/>
        </w:rPr>
      </w:pPr>
    </w:p>
    <w:p w14:paraId="2A2FDE21" w14:textId="77777777" w:rsidR="00E63415" w:rsidRDefault="00E63415" w:rsidP="00E63415">
      <w:pPr>
        <w:spacing w:line="360" w:lineRule="auto"/>
        <w:jc w:val="both"/>
        <w:rPr>
          <w:rFonts w:ascii="David" w:hAnsi="David"/>
          <w:sz w:val="26"/>
          <w:szCs w:val="26"/>
          <w:rtl/>
        </w:rPr>
      </w:pPr>
      <w:r w:rsidRPr="00A63CFA">
        <w:rPr>
          <w:rFonts w:ascii="David" w:hAnsi="David"/>
          <w:sz w:val="26"/>
          <w:szCs w:val="26"/>
          <w:rtl/>
        </w:rPr>
        <w:t xml:space="preserve">באשר </w:t>
      </w:r>
      <w:r w:rsidRPr="00A63CFA">
        <w:rPr>
          <w:rFonts w:ascii="David" w:hAnsi="David"/>
          <w:b/>
          <w:bCs/>
          <w:sz w:val="26"/>
          <w:szCs w:val="26"/>
          <w:rtl/>
        </w:rPr>
        <w:t>למדיניות הענישה הנוהגת</w:t>
      </w:r>
      <w:r w:rsidRPr="00A63CFA">
        <w:rPr>
          <w:rFonts w:ascii="David" w:hAnsi="David"/>
          <w:sz w:val="26"/>
          <w:szCs w:val="26"/>
          <w:rtl/>
        </w:rPr>
        <w:t xml:space="preserve"> בעבירה של נשיאת אקדח טעון, הרי שקיימת פסיקה ענפה המבהירה כי דינם של המורשעים בה להישלח, אלא במקרים חריגים ביותר, לתקופת מאסר ממשית מאחורי סורג ובריח, ואפרט:</w:t>
      </w:r>
    </w:p>
    <w:p w14:paraId="09697235" w14:textId="77777777" w:rsidR="00E63415" w:rsidRDefault="00E63415" w:rsidP="00E63415">
      <w:pPr>
        <w:spacing w:line="360" w:lineRule="auto"/>
        <w:jc w:val="both"/>
        <w:rPr>
          <w:rFonts w:ascii="David" w:hAnsi="David"/>
          <w:sz w:val="26"/>
          <w:szCs w:val="26"/>
          <w:rtl/>
        </w:rPr>
      </w:pPr>
    </w:p>
    <w:p w14:paraId="2D4F030B" w14:textId="77777777" w:rsidR="00E63415" w:rsidRPr="00A63CFA" w:rsidRDefault="00E63415" w:rsidP="00E63415">
      <w:pPr>
        <w:spacing w:line="360" w:lineRule="auto"/>
        <w:jc w:val="both"/>
        <w:rPr>
          <w:rFonts w:ascii="David" w:hAnsi="David"/>
          <w:sz w:val="26"/>
          <w:szCs w:val="26"/>
          <w:rtl/>
        </w:rPr>
      </w:pPr>
      <w:r w:rsidRPr="00A63CFA">
        <w:rPr>
          <w:rFonts w:ascii="David" w:hAnsi="David"/>
          <w:sz w:val="26"/>
          <w:szCs w:val="26"/>
          <w:rtl/>
        </w:rPr>
        <w:t>ב</w:t>
      </w:r>
      <w:hyperlink r:id="rId19" w:history="1">
        <w:r w:rsidR="00612C20" w:rsidRPr="00612C20">
          <w:rPr>
            <w:rFonts w:ascii="David" w:hAnsi="David"/>
            <w:color w:val="0000FF"/>
            <w:sz w:val="26"/>
            <w:szCs w:val="26"/>
            <w:u w:val="single"/>
            <w:rtl/>
          </w:rPr>
          <w:t>ע"פ 2564/19</w:t>
        </w:r>
      </w:hyperlink>
      <w:r w:rsidR="00612C20">
        <w:rPr>
          <w:rFonts w:ascii="David" w:hAnsi="David"/>
          <w:sz w:val="26"/>
          <w:szCs w:val="26"/>
        </w:rPr>
        <w:t xml:space="preserve"> </w:t>
      </w:r>
      <w:r w:rsidRPr="00A63CFA">
        <w:rPr>
          <w:rFonts w:ascii="David" w:hAnsi="David"/>
          <w:b/>
          <w:bCs/>
          <w:sz w:val="26"/>
          <w:szCs w:val="26"/>
          <w:rtl/>
        </w:rPr>
        <w:t>אזברגה נ' מ"י</w:t>
      </w:r>
      <w:r w:rsidRPr="00A63CFA">
        <w:rPr>
          <w:rFonts w:ascii="David" w:hAnsi="David"/>
          <w:sz w:val="26"/>
          <w:szCs w:val="26"/>
          <w:rtl/>
        </w:rPr>
        <w:t xml:space="preserve"> (18.7.19),</w:t>
      </w:r>
      <w:r w:rsidRPr="00A63CFA">
        <w:rPr>
          <w:rFonts w:ascii="David" w:hAnsi="David"/>
          <w:sz w:val="26"/>
          <w:szCs w:val="26"/>
        </w:rPr>
        <w:t xml:space="preserve"> </w:t>
      </w:r>
      <w:r w:rsidRPr="00A63CFA">
        <w:rPr>
          <w:rFonts w:ascii="David" w:hAnsi="David"/>
          <w:sz w:val="26"/>
          <w:szCs w:val="26"/>
          <w:rtl/>
        </w:rPr>
        <w:t xml:space="preserve">נקבע בבית המשפט המחוזי </w:t>
      </w:r>
      <w:r w:rsidRPr="007214F0">
        <w:rPr>
          <w:rFonts w:ascii="David" w:hAnsi="David"/>
          <w:b/>
          <w:bCs/>
          <w:sz w:val="26"/>
          <w:szCs w:val="26"/>
          <w:rtl/>
        </w:rPr>
        <w:t>מתחם ענישה שנע בין 12 ל-40 חודשי מאסר בפועל</w:t>
      </w:r>
      <w:r w:rsidRPr="00A63CFA">
        <w:rPr>
          <w:rFonts w:ascii="David" w:hAnsi="David"/>
          <w:sz w:val="26"/>
          <w:szCs w:val="26"/>
          <w:rtl/>
        </w:rPr>
        <w:t>, בגין נשיאת אקדח ומחסנית תואמת, שנרכשו זמן קצר קודם לכן על ידי המערער וחברו, ברכב בו נסעו יחדיו. הנאשם, בחור צעיר ללא עבר פלילי, אשר הודה במיוחס לו נדון ל-</w:t>
      </w:r>
      <w:r w:rsidRPr="00A63CFA">
        <w:rPr>
          <w:rFonts w:ascii="David" w:hAnsi="David"/>
          <w:b/>
          <w:bCs/>
          <w:sz w:val="26"/>
          <w:szCs w:val="26"/>
          <w:rtl/>
        </w:rPr>
        <w:t>16 חודשי מאסר בפועל</w:t>
      </w:r>
      <w:r w:rsidRPr="00A63CFA">
        <w:rPr>
          <w:rFonts w:ascii="David" w:hAnsi="David"/>
          <w:sz w:val="26"/>
          <w:szCs w:val="26"/>
          <w:rtl/>
        </w:rPr>
        <w:t>, ובית המשפט העליון דחה את הערעור שהגיש</w:t>
      </w:r>
      <w:r w:rsidRPr="00A63CFA">
        <w:rPr>
          <w:rFonts w:ascii="David" w:hAnsi="David"/>
          <w:sz w:val="26"/>
          <w:szCs w:val="26"/>
        </w:rPr>
        <w:t>.</w:t>
      </w:r>
    </w:p>
    <w:p w14:paraId="4B3481C8" w14:textId="77777777" w:rsidR="00E63415" w:rsidRDefault="00E63415" w:rsidP="00E63415">
      <w:pPr>
        <w:spacing w:line="360" w:lineRule="auto"/>
        <w:contextualSpacing/>
        <w:jc w:val="both"/>
        <w:rPr>
          <w:rFonts w:ascii="David" w:hAnsi="David"/>
          <w:sz w:val="26"/>
          <w:szCs w:val="26"/>
          <w:rtl/>
        </w:rPr>
      </w:pPr>
    </w:p>
    <w:p w14:paraId="3863A5C1" w14:textId="77777777" w:rsidR="00E63415" w:rsidRPr="00A63CFA" w:rsidRDefault="00E63415" w:rsidP="00E63415">
      <w:pPr>
        <w:spacing w:line="360" w:lineRule="auto"/>
        <w:contextualSpacing/>
        <w:jc w:val="both"/>
        <w:rPr>
          <w:rFonts w:ascii="David" w:hAnsi="David"/>
          <w:sz w:val="26"/>
          <w:szCs w:val="26"/>
          <w:rtl/>
        </w:rPr>
      </w:pPr>
      <w:r w:rsidRPr="00A63CFA">
        <w:rPr>
          <w:rFonts w:ascii="David" w:hAnsi="David"/>
          <w:sz w:val="26"/>
          <w:szCs w:val="26"/>
          <w:rtl/>
        </w:rPr>
        <w:t>ב</w:t>
      </w:r>
      <w:hyperlink r:id="rId20" w:history="1">
        <w:r w:rsidR="00612C20" w:rsidRPr="00612C20">
          <w:rPr>
            <w:rFonts w:ascii="David" w:hAnsi="David"/>
            <w:color w:val="0000FF"/>
            <w:sz w:val="26"/>
            <w:szCs w:val="26"/>
            <w:u w:val="single"/>
            <w:rtl/>
          </w:rPr>
          <w:t>ע"פ 4215/18</w:t>
        </w:r>
      </w:hyperlink>
      <w:r w:rsidR="00612C20">
        <w:rPr>
          <w:rFonts w:ascii="David" w:hAnsi="David"/>
          <w:sz w:val="26"/>
          <w:szCs w:val="26"/>
        </w:rPr>
        <w:t xml:space="preserve"> </w:t>
      </w:r>
      <w:r w:rsidRPr="00A63CFA">
        <w:rPr>
          <w:rFonts w:ascii="David" w:hAnsi="David"/>
          <w:b/>
          <w:bCs/>
          <w:sz w:val="26"/>
          <w:szCs w:val="26"/>
          <w:rtl/>
        </w:rPr>
        <w:t>ח'טיב נ' מ"י</w:t>
      </w:r>
      <w:r w:rsidRPr="00A63CFA">
        <w:rPr>
          <w:rFonts w:ascii="David" w:hAnsi="David"/>
          <w:sz w:val="26"/>
          <w:szCs w:val="26"/>
          <w:rtl/>
        </w:rPr>
        <w:t xml:space="preserve"> (8.7.18), נדחה ערעורו של נאשם אשר הורשע</w:t>
      </w:r>
      <w:r>
        <w:rPr>
          <w:rFonts w:ascii="David" w:hAnsi="David" w:hint="cs"/>
          <w:sz w:val="26"/>
          <w:szCs w:val="26"/>
          <w:rtl/>
        </w:rPr>
        <w:t>,</w:t>
      </w:r>
      <w:r w:rsidRPr="00A63CFA">
        <w:rPr>
          <w:rFonts w:ascii="David" w:hAnsi="David"/>
          <w:sz w:val="26"/>
          <w:szCs w:val="26"/>
          <w:rtl/>
        </w:rPr>
        <w:t xml:space="preserve"> על פי הודאתו</w:t>
      </w:r>
      <w:r>
        <w:rPr>
          <w:rFonts w:ascii="David" w:hAnsi="David" w:hint="cs"/>
          <w:sz w:val="26"/>
          <w:szCs w:val="26"/>
          <w:rtl/>
        </w:rPr>
        <w:t>,</w:t>
      </w:r>
      <w:r w:rsidRPr="00A63CFA">
        <w:rPr>
          <w:rFonts w:ascii="David" w:hAnsi="David"/>
          <w:sz w:val="26"/>
          <w:szCs w:val="26"/>
          <w:rtl/>
        </w:rPr>
        <w:t xml:space="preserve"> בעבירות של נשיאת נשק ותחמושת. הנאשם שהה בסמטה סמוכה לחצר ביתו, כשהוא נושא על גופו אקדח טעון בארבעה כדורים. נקבע</w:t>
      </w:r>
      <w:r w:rsidR="00612C20">
        <w:rPr>
          <w:rFonts w:ascii="David" w:hAnsi="David"/>
          <w:sz w:val="26"/>
          <w:szCs w:val="26"/>
          <w:rtl/>
        </w:rPr>
        <w:t xml:space="preserve"> </w:t>
      </w:r>
      <w:r w:rsidRPr="00A63CFA">
        <w:rPr>
          <w:rFonts w:ascii="David" w:hAnsi="David"/>
          <w:b/>
          <w:bCs/>
          <w:sz w:val="26"/>
          <w:szCs w:val="26"/>
          <w:rtl/>
        </w:rPr>
        <w:t>מתחם ענישה הנע בין 15 ל-36</w:t>
      </w:r>
      <w:r w:rsidRPr="00A63CFA">
        <w:rPr>
          <w:rFonts w:ascii="David" w:hAnsi="David"/>
          <w:sz w:val="26"/>
          <w:szCs w:val="26"/>
          <w:rtl/>
        </w:rPr>
        <w:t xml:space="preserve"> </w:t>
      </w:r>
      <w:r w:rsidRPr="00A63CFA">
        <w:rPr>
          <w:rFonts w:ascii="David" w:hAnsi="David"/>
          <w:b/>
          <w:bCs/>
          <w:sz w:val="26"/>
          <w:szCs w:val="26"/>
          <w:rtl/>
        </w:rPr>
        <w:t>חודשי מאסר</w:t>
      </w:r>
      <w:r w:rsidRPr="00A63CFA">
        <w:rPr>
          <w:rFonts w:ascii="David" w:hAnsi="David"/>
          <w:sz w:val="26"/>
          <w:szCs w:val="26"/>
          <w:rtl/>
        </w:rPr>
        <w:t xml:space="preserve"> בפועל</w:t>
      </w:r>
      <w:r w:rsidRPr="00A63CFA">
        <w:rPr>
          <w:rFonts w:ascii="David" w:hAnsi="David"/>
          <w:sz w:val="26"/>
          <w:szCs w:val="26"/>
        </w:rPr>
        <w:t xml:space="preserve">, </w:t>
      </w:r>
      <w:r w:rsidRPr="00A63CFA">
        <w:rPr>
          <w:rFonts w:ascii="David" w:hAnsi="David"/>
          <w:sz w:val="26"/>
          <w:szCs w:val="26"/>
          <w:rtl/>
        </w:rPr>
        <w:t xml:space="preserve"> והנאשם נדון ל-</w:t>
      </w:r>
      <w:r w:rsidRPr="00A63CFA">
        <w:rPr>
          <w:rFonts w:ascii="David" w:hAnsi="David"/>
          <w:b/>
          <w:bCs/>
          <w:sz w:val="26"/>
          <w:szCs w:val="26"/>
          <w:rtl/>
        </w:rPr>
        <w:t>15 חודשי מאסר בפועל</w:t>
      </w:r>
      <w:r w:rsidRPr="00A63CFA">
        <w:rPr>
          <w:rFonts w:ascii="David" w:hAnsi="David"/>
          <w:b/>
          <w:bCs/>
          <w:sz w:val="26"/>
          <w:szCs w:val="26"/>
        </w:rPr>
        <w:t>.</w:t>
      </w:r>
    </w:p>
    <w:p w14:paraId="61DABD9F" w14:textId="77777777" w:rsidR="00E63415" w:rsidRPr="00A63CFA" w:rsidRDefault="00E63415" w:rsidP="00E63415">
      <w:pPr>
        <w:spacing w:line="360" w:lineRule="auto"/>
        <w:contextualSpacing/>
        <w:jc w:val="both"/>
        <w:rPr>
          <w:rFonts w:ascii="David" w:hAnsi="David"/>
          <w:sz w:val="26"/>
          <w:szCs w:val="26"/>
          <w:rtl/>
        </w:rPr>
      </w:pPr>
    </w:p>
    <w:p w14:paraId="1FA954CE" w14:textId="77777777" w:rsidR="00E63415" w:rsidRPr="00A63CFA" w:rsidRDefault="00E63415" w:rsidP="00E63415">
      <w:pPr>
        <w:spacing w:line="360" w:lineRule="auto"/>
        <w:contextualSpacing/>
        <w:jc w:val="both"/>
        <w:rPr>
          <w:rFonts w:ascii="David" w:hAnsi="David"/>
          <w:sz w:val="26"/>
          <w:szCs w:val="26"/>
          <w:rtl/>
        </w:rPr>
      </w:pPr>
      <w:r w:rsidRPr="00A63CFA">
        <w:rPr>
          <w:rFonts w:ascii="David" w:hAnsi="David"/>
          <w:sz w:val="26"/>
          <w:szCs w:val="26"/>
          <w:rtl/>
        </w:rPr>
        <w:t>ב</w:t>
      </w:r>
      <w:hyperlink r:id="rId21" w:history="1">
        <w:r w:rsidR="00612C20" w:rsidRPr="00612C20">
          <w:rPr>
            <w:rFonts w:ascii="David" w:hAnsi="David"/>
            <w:color w:val="0000FF"/>
            <w:sz w:val="26"/>
            <w:szCs w:val="26"/>
            <w:u w:val="single"/>
            <w:rtl/>
          </w:rPr>
          <w:t>ע"פ 5765/20</w:t>
        </w:r>
      </w:hyperlink>
      <w:r w:rsidRPr="00A63CFA">
        <w:rPr>
          <w:rFonts w:ascii="David" w:hAnsi="David"/>
          <w:sz w:val="26"/>
          <w:szCs w:val="26"/>
          <w:rtl/>
        </w:rPr>
        <w:t xml:space="preserve"> </w:t>
      </w:r>
      <w:r w:rsidRPr="00A63CFA">
        <w:rPr>
          <w:rFonts w:ascii="David" w:hAnsi="David"/>
          <w:b/>
          <w:bCs/>
          <w:sz w:val="26"/>
          <w:szCs w:val="26"/>
          <w:rtl/>
        </w:rPr>
        <w:t>אבו בכר נ' מ"י</w:t>
      </w:r>
      <w:r w:rsidRPr="00A63CFA">
        <w:rPr>
          <w:rFonts w:ascii="David" w:hAnsi="David"/>
          <w:sz w:val="26"/>
          <w:szCs w:val="26"/>
          <w:rtl/>
        </w:rPr>
        <w:t xml:space="preserve"> (22</w:t>
      </w:r>
      <w:r>
        <w:rPr>
          <w:rFonts w:ascii="David" w:hAnsi="David" w:hint="cs"/>
          <w:sz w:val="26"/>
          <w:szCs w:val="26"/>
          <w:rtl/>
        </w:rPr>
        <w:t>.</w:t>
      </w:r>
      <w:r w:rsidRPr="00A63CFA">
        <w:rPr>
          <w:rFonts w:ascii="David" w:hAnsi="David"/>
          <w:sz w:val="26"/>
          <w:szCs w:val="26"/>
          <w:rtl/>
        </w:rPr>
        <w:t>03</w:t>
      </w:r>
      <w:r>
        <w:rPr>
          <w:rFonts w:ascii="David" w:hAnsi="David" w:hint="cs"/>
          <w:sz w:val="26"/>
          <w:szCs w:val="26"/>
          <w:rtl/>
        </w:rPr>
        <w:t>.</w:t>
      </w:r>
      <w:r w:rsidRPr="00A63CFA">
        <w:rPr>
          <w:rFonts w:ascii="David" w:hAnsi="David"/>
          <w:sz w:val="26"/>
          <w:szCs w:val="26"/>
          <w:rtl/>
        </w:rPr>
        <w:t xml:space="preserve">21) נסעו המערערים ברכב ובו נשאו והובילו שני אקדחים, </w:t>
      </w:r>
      <w:r>
        <w:rPr>
          <w:rFonts w:ascii="David" w:hAnsi="David" w:hint="cs"/>
          <w:sz w:val="26"/>
          <w:szCs w:val="26"/>
          <w:rtl/>
        </w:rPr>
        <w:t>כ</w:t>
      </w:r>
      <w:r w:rsidRPr="00A63CFA">
        <w:rPr>
          <w:rFonts w:ascii="David" w:hAnsi="David"/>
          <w:sz w:val="26"/>
          <w:szCs w:val="26"/>
          <w:rtl/>
        </w:rPr>
        <w:t xml:space="preserve">שבכל אקדח מחסנית מלאה. כאשר סימנו להם שוטרים לעצור, המשיך הנהג בנסיעה קצרה ולאחר שעצר את הרכב יצא חברו מהרכב, רץ אל חצר בית סמוך והשליך שם את האקדחים והמחסניות. על אף העדר עבר פלילי, הטיל בית המשפט על כל אחד מהם </w:t>
      </w:r>
      <w:r w:rsidRPr="00A63CFA">
        <w:rPr>
          <w:rFonts w:ascii="David" w:hAnsi="David"/>
          <w:b/>
          <w:bCs/>
          <w:sz w:val="26"/>
          <w:szCs w:val="26"/>
          <w:rtl/>
        </w:rPr>
        <w:t>18 חודשי מאסר בפועל,</w:t>
      </w:r>
      <w:r w:rsidRPr="00A63CFA">
        <w:rPr>
          <w:rFonts w:ascii="David" w:hAnsi="David"/>
          <w:sz w:val="26"/>
          <w:szCs w:val="26"/>
          <w:rtl/>
        </w:rPr>
        <w:t xml:space="preserve"> והערעור שהגישו לבית המשפט העליון נדחה. </w:t>
      </w:r>
    </w:p>
    <w:p w14:paraId="3E2726B9" w14:textId="77777777" w:rsidR="00E63415" w:rsidRPr="00A63CFA" w:rsidRDefault="00E63415" w:rsidP="00E63415">
      <w:pPr>
        <w:spacing w:line="360" w:lineRule="auto"/>
        <w:contextualSpacing/>
        <w:jc w:val="both"/>
        <w:rPr>
          <w:rFonts w:ascii="David" w:hAnsi="David"/>
          <w:sz w:val="26"/>
          <w:szCs w:val="26"/>
          <w:rtl/>
        </w:rPr>
      </w:pPr>
    </w:p>
    <w:p w14:paraId="7F055069" w14:textId="77777777" w:rsidR="00E63415" w:rsidRPr="00A63CFA" w:rsidRDefault="00E63415" w:rsidP="00E63415">
      <w:pPr>
        <w:spacing w:line="360" w:lineRule="auto"/>
        <w:contextualSpacing/>
        <w:jc w:val="both"/>
        <w:rPr>
          <w:rFonts w:ascii="David" w:hAnsi="David"/>
          <w:sz w:val="26"/>
          <w:szCs w:val="26"/>
          <w:rtl/>
        </w:rPr>
      </w:pPr>
      <w:r w:rsidRPr="00A63CFA">
        <w:rPr>
          <w:rFonts w:ascii="David" w:hAnsi="David"/>
          <w:sz w:val="26"/>
          <w:szCs w:val="26"/>
          <w:rtl/>
        </w:rPr>
        <w:t>ב</w:t>
      </w:r>
      <w:hyperlink r:id="rId22" w:history="1">
        <w:r w:rsidR="00612C20" w:rsidRPr="00612C20">
          <w:rPr>
            <w:rFonts w:ascii="David" w:hAnsi="David"/>
            <w:color w:val="0000FF"/>
            <w:sz w:val="26"/>
            <w:szCs w:val="26"/>
            <w:u w:val="single"/>
            <w:rtl/>
          </w:rPr>
          <w:t>ע"פ 545/20</w:t>
        </w:r>
      </w:hyperlink>
      <w:r w:rsidR="00612C20">
        <w:rPr>
          <w:rFonts w:ascii="David" w:hAnsi="David"/>
          <w:sz w:val="26"/>
          <w:szCs w:val="26"/>
        </w:rPr>
        <w:t xml:space="preserve"> </w:t>
      </w:r>
      <w:r w:rsidRPr="00A63CFA">
        <w:rPr>
          <w:rFonts w:ascii="David" w:hAnsi="David"/>
          <w:b/>
          <w:bCs/>
          <w:sz w:val="26"/>
          <w:szCs w:val="26"/>
          <w:rtl/>
        </w:rPr>
        <w:t>פלוני נ' מ"י</w:t>
      </w:r>
      <w:r w:rsidRPr="00A63CFA">
        <w:rPr>
          <w:rFonts w:ascii="David" w:hAnsi="David"/>
          <w:sz w:val="26"/>
          <w:szCs w:val="26"/>
          <w:rtl/>
        </w:rPr>
        <w:t xml:space="preserve"> (3.5.21), נדחה ערעורו של המערער שהורשע בעבירות נשיאה, הובלה והחזקה בנשק. המערער, בעל עבר נקי, נתפס נוהג כשהוא מוביל</w:t>
      </w:r>
      <w:r w:rsidR="00612C20">
        <w:rPr>
          <w:rFonts w:ascii="David" w:hAnsi="David"/>
          <w:sz w:val="26"/>
          <w:szCs w:val="26"/>
          <w:rtl/>
        </w:rPr>
        <w:t xml:space="preserve"> </w:t>
      </w:r>
      <w:r w:rsidRPr="00A63CFA">
        <w:rPr>
          <w:rFonts w:ascii="David" w:hAnsi="David"/>
          <w:sz w:val="26"/>
          <w:szCs w:val="26"/>
          <w:rtl/>
        </w:rPr>
        <w:t>ומחזיק</w:t>
      </w:r>
      <w:r w:rsidR="00612C20">
        <w:rPr>
          <w:rFonts w:ascii="David" w:hAnsi="David"/>
          <w:sz w:val="26"/>
          <w:szCs w:val="26"/>
          <w:rtl/>
        </w:rPr>
        <w:t xml:space="preserve"> </w:t>
      </w:r>
      <w:r w:rsidRPr="00A63CFA">
        <w:rPr>
          <w:rFonts w:ascii="David" w:hAnsi="David"/>
          <w:sz w:val="26"/>
          <w:szCs w:val="26"/>
          <w:rtl/>
        </w:rPr>
        <w:t>אקדח</w:t>
      </w:r>
      <w:r w:rsidR="00612C20">
        <w:rPr>
          <w:rFonts w:ascii="David" w:hAnsi="David"/>
          <w:sz w:val="26"/>
          <w:szCs w:val="26"/>
          <w:rtl/>
        </w:rPr>
        <w:t xml:space="preserve"> </w:t>
      </w:r>
      <w:r w:rsidRPr="00A63CFA">
        <w:rPr>
          <w:rFonts w:ascii="David" w:hAnsi="David"/>
          <w:sz w:val="26"/>
          <w:szCs w:val="26"/>
          <w:rtl/>
        </w:rPr>
        <w:t>חצי אוטומטי טעון</w:t>
      </w:r>
      <w:r w:rsidR="00612C20">
        <w:rPr>
          <w:rFonts w:ascii="David" w:hAnsi="David"/>
          <w:sz w:val="26"/>
          <w:szCs w:val="26"/>
          <w:rtl/>
        </w:rPr>
        <w:t xml:space="preserve"> </w:t>
      </w:r>
      <w:r w:rsidRPr="00A63CFA">
        <w:rPr>
          <w:rFonts w:ascii="David" w:hAnsi="David"/>
          <w:sz w:val="26"/>
          <w:szCs w:val="26"/>
          <w:rtl/>
        </w:rPr>
        <w:t>במחסנית</w:t>
      </w:r>
      <w:r w:rsidR="00612C20">
        <w:rPr>
          <w:rFonts w:ascii="David" w:hAnsi="David"/>
          <w:sz w:val="26"/>
          <w:szCs w:val="26"/>
          <w:rtl/>
        </w:rPr>
        <w:t xml:space="preserve"> </w:t>
      </w:r>
      <w:r w:rsidRPr="00A63CFA">
        <w:rPr>
          <w:rFonts w:ascii="David" w:hAnsi="David"/>
          <w:sz w:val="26"/>
          <w:szCs w:val="26"/>
          <w:rtl/>
        </w:rPr>
        <w:t>ריקה וכן מוביל, נושא ומחזיק 50 כדורים בקוטר 9 מ"מ על גופו. בית המשפט המחוזי קבע</w:t>
      </w:r>
      <w:r w:rsidR="00612C20">
        <w:rPr>
          <w:rFonts w:ascii="David" w:hAnsi="David"/>
          <w:sz w:val="26"/>
          <w:szCs w:val="26"/>
          <w:rtl/>
        </w:rPr>
        <w:t xml:space="preserve"> </w:t>
      </w:r>
      <w:r w:rsidRPr="00A63CFA">
        <w:rPr>
          <w:rFonts w:ascii="David" w:hAnsi="David"/>
          <w:b/>
          <w:bCs/>
          <w:sz w:val="26"/>
          <w:szCs w:val="26"/>
          <w:rtl/>
        </w:rPr>
        <w:t>מתחם ענישה הנע בין 10 ל-24 חודשי מאסר בפועל</w:t>
      </w:r>
      <w:r w:rsidRPr="00A63CFA">
        <w:rPr>
          <w:rFonts w:ascii="David" w:hAnsi="David"/>
          <w:sz w:val="26"/>
          <w:szCs w:val="26"/>
          <w:rtl/>
        </w:rPr>
        <w:t xml:space="preserve">, וגזר עליו </w:t>
      </w:r>
      <w:r w:rsidRPr="00A63CFA">
        <w:rPr>
          <w:rFonts w:ascii="David" w:hAnsi="David"/>
          <w:b/>
          <w:bCs/>
          <w:sz w:val="26"/>
          <w:szCs w:val="26"/>
          <w:rtl/>
        </w:rPr>
        <w:t>12 חודשי מאסר</w:t>
      </w:r>
      <w:r w:rsidRPr="00A63CFA">
        <w:rPr>
          <w:rFonts w:ascii="David" w:hAnsi="David"/>
          <w:sz w:val="26"/>
          <w:szCs w:val="26"/>
          <w:rtl/>
        </w:rPr>
        <w:t xml:space="preserve"> בפועל</w:t>
      </w:r>
      <w:r w:rsidR="00612C20">
        <w:rPr>
          <w:rFonts w:ascii="David" w:hAnsi="David"/>
          <w:sz w:val="26"/>
          <w:szCs w:val="26"/>
          <w:rtl/>
        </w:rPr>
        <w:t xml:space="preserve"> </w:t>
      </w:r>
      <w:r w:rsidRPr="00A63CFA">
        <w:rPr>
          <w:rFonts w:ascii="David" w:hAnsi="David"/>
          <w:sz w:val="26"/>
          <w:szCs w:val="26"/>
          <w:rtl/>
        </w:rPr>
        <w:t>לצד ענישה נלווית, תוך שהתחשב בכך שהאקדח לא היה תקין. בית המשפט העליון לא התערב בגזר הדין, וציין כי העונש שנגזר על הנאשם הוא על הצד המקל.</w:t>
      </w:r>
    </w:p>
    <w:p w14:paraId="09EAB7BF" w14:textId="77777777" w:rsidR="00E63415" w:rsidRPr="00A63CFA" w:rsidRDefault="00E63415" w:rsidP="00E63415">
      <w:pPr>
        <w:spacing w:line="360" w:lineRule="auto"/>
        <w:contextualSpacing/>
        <w:jc w:val="both"/>
        <w:rPr>
          <w:rFonts w:ascii="David" w:hAnsi="David"/>
          <w:sz w:val="26"/>
          <w:szCs w:val="26"/>
          <w:rtl/>
        </w:rPr>
      </w:pPr>
    </w:p>
    <w:p w14:paraId="0C97C792" w14:textId="77777777" w:rsidR="00E63415" w:rsidRPr="00A63CFA" w:rsidRDefault="00E63415" w:rsidP="00E63415">
      <w:pPr>
        <w:spacing w:line="360" w:lineRule="auto"/>
        <w:contextualSpacing/>
        <w:jc w:val="both"/>
        <w:rPr>
          <w:rFonts w:ascii="David" w:hAnsi="David"/>
          <w:sz w:val="26"/>
          <w:szCs w:val="26"/>
          <w:rtl/>
        </w:rPr>
      </w:pPr>
      <w:r w:rsidRPr="00A63CFA">
        <w:rPr>
          <w:rFonts w:ascii="David" w:hAnsi="David"/>
          <w:sz w:val="26"/>
          <w:szCs w:val="26"/>
          <w:rtl/>
        </w:rPr>
        <w:t>ב</w:t>
      </w:r>
      <w:hyperlink r:id="rId23" w:history="1">
        <w:r w:rsidR="00612C20" w:rsidRPr="00612C20">
          <w:rPr>
            <w:rFonts w:ascii="David" w:hAnsi="David"/>
            <w:color w:val="0000FF"/>
            <w:sz w:val="26"/>
            <w:szCs w:val="26"/>
            <w:u w:val="single"/>
            <w:rtl/>
          </w:rPr>
          <w:t>ע"פ 2141/21</w:t>
        </w:r>
      </w:hyperlink>
      <w:r w:rsidRPr="00A63CFA">
        <w:rPr>
          <w:rFonts w:ascii="David" w:hAnsi="David"/>
          <w:sz w:val="26"/>
          <w:szCs w:val="26"/>
          <w:rtl/>
        </w:rPr>
        <w:t xml:space="preserve"> </w:t>
      </w:r>
      <w:r w:rsidRPr="00A63CFA">
        <w:rPr>
          <w:rFonts w:ascii="David" w:hAnsi="David"/>
          <w:b/>
          <w:bCs/>
          <w:sz w:val="26"/>
          <w:szCs w:val="26"/>
          <w:rtl/>
        </w:rPr>
        <w:t>חניני נ' מ"י</w:t>
      </w:r>
      <w:r w:rsidRPr="00A63CFA">
        <w:rPr>
          <w:rFonts w:ascii="David" w:hAnsi="David"/>
          <w:sz w:val="26"/>
          <w:szCs w:val="26"/>
          <w:rtl/>
        </w:rPr>
        <w:t xml:space="preserve"> (27</w:t>
      </w:r>
      <w:r>
        <w:rPr>
          <w:rFonts w:ascii="David" w:hAnsi="David" w:hint="cs"/>
          <w:sz w:val="26"/>
          <w:szCs w:val="26"/>
          <w:rtl/>
        </w:rPr>
        <w:t>.</w:t>
      </w:r>
      <w:r w:rsidRPr="00A63CFA">
        <w:rPr>
          <w:rFonts w:ascii="David" w:hAnsi="David"/>
          <w:sz w:val="26"/>
          <w:szCs w:val="26"/>
          <w:rtl/>
        </w:rPr>
        <w:t>05</w:t>
      </w:r>
      <w:r>
        <w:rPr>
          <w:rFonts w:ascii="David" w:hAnsi="David" w:hint="cs"/>
          <w:sz w:val="26"/>
          <w:szCs w:val="26"/>
          <w:rtl/>
        </w:rPr>
        <w:t>.</w:t>
      </w:r>
      <w:r w:rsidRPr="00A63CFA">
        <w:rPr>
          <w:rFonts w:ascii="David" w:hAnsi="David"/>
          <w:sz w:val="26"/>
          <w:szCs w:val="26"/>
          <w:rtl/>
        </w:rPr>
        <w:t xml:space="preserve">21) הצטייד המערער באקדח אוויר, אשר בוצעו בו שינויים שמאפשרים ירי של תחמושת בקליבר 7.65 מ"מ וכן בכדורים תואמים. הוא נתפס בחצר קרובה לביתו בשעת לילה מאוחרת, כשהוא נושא את האקדח על גופו ובתוכו ארבעה כדורים. הוא נדון, בין היתר, ל- </w:t>
      </w:r>
      <w:r w:rsidRPr="00A63CFA">
        <w:rPr>
          <w:rFonts w:ascii="David" w:hAnsi="David"/>
          <w:b/>
          <w:bCs/>
          <w:sz w:val="26"/>
          <w:szCs w:val="26"/>
          <w:rtl/>
        </w:rPr>
        <w:t>20 חודשי מאסר בפועל</w:t>
      </w:r>
      <w:r>
        <w:rPr>
          <w:rFonts w:ascii="David" w:hAnsi="David" w:hint="cs"/>
          <w:sz w:val="26"/>
          <w:szCs w:val="26"/>
          <w:rtl/>
        </w:rPr>
        <w:t>,</w:t>
      </w:r>
      <w:r w:rsidRPr="00A63CFA">
        <w:rPr>
          <w:rFonts w:ascii="David" w:hAnsi="David"/>
          <w:sz w:val="26"/>
          <w:szCs w:val="26"/>
          <w:rtl/>
        </w:rPr>
        <w:t xml:space="preserve"> וערעורו על חומרת העונש נדחה. </w:t>
      </w:r>
    </w:p>
    <w:p w14:paraId="35CFF3D2" w14:textId="77777777" w:rsidR="00E63415" w:rsidRPr="00A63CFA" w:rsidRDefault="00E63415" w:rsidP="00E63415">
      <w:pPr>
        <w:spacing w:line="360" w:lineRule="auto"/>
        <w:contextualSpacing/>
        <w:jc w:val="both"/>
        <w:rPr>
          <w:rFonts w:ascii="David" w:hAnsi="David"/>
          <w:sz w:val="26"/>
          <w:szCs w:val="26"/>
          <w:rtl/>
        </w:rPr>
      </w:pPr>
    </w:p>
    <w:p w14:paraId="05C99995" w14:textId="77777777" w:rsidR="00E63415" w:rsidRPr="00A63CFA" w:rsidRDefault="00E63415" w:rsidP="00E63415">
      <w:pPr>
        <w:spacing w:line="360" w:lineRule="auto"/>
        <w:contextualSpacing/>
        <w:jc w:val="both"/>
        <w:rPr>
          <w:rFonts w:ascii="David" w:hAnsi="David"/>
          <w:sz w:val="26"/>
          <w:szCs w:val="26"/>
          <w:rtl/>
        </w:rPr>
      </w:pPr>
      <w:r w:rsidRPr="00A63CFA">
        <w:rPr>
          <w:rFonts w:ascii="David" w:hAnsi="David"/>
          <w:sz w:val="26"/>
          <w:szCs w:val="26"/>
          <w:rtl/>
        </w:rPr>
        <w:t>ב</w:t>
      </w:r>
      <w:hyperlink r:id="rId24" w:history="1">
        <w:r w:rsidR="00612C20" w:rsidRPr="00612C20">
          <w:rPr>
            <w:rFonts w:ascii="David" w:hAnsi="David"/>
            <w:color w:val="0000FF"/>
            <w:sz w:val="26"/>
            <w:szCs w:val="26"/>
            <w:u w:val="single"/>
            <w:rtl/>
          </w:rPr>
          <w:t>ע"פ 2892/13</w:t>
        </w:r>
      </w:hyperlink>
      <w:r w:rsidRPr="00A63CFA">
        <w:rPr>
          <w:rFonts w:ascii="David" w:hAnsi="David"/>
          <w:sz w:val="26"/>
          <w:szCs w:val="26"/>
          <w:rtl/>
        </w:rPr>
        <w:t xml:space="preserve"> </w:t>
      </w:r>
      <w:r w:rsidRPr="00A63CFA">
        <w:rPr>
          <w:rFonts w:ascii="David" w:hAnsi="David"/>
          <w:b/>
          <w:bCs/>
          <w:sz w:val="26"/>
          <w:szCs w:val="26"/>
          <w:rtl/>
        </w:rPr>
        <w:t>עודתאללה נ' מ</w:t>
      </w:r>
      <w:r>
        <w:rPr>
          <w:rFonts w:ascii="David" w:hAnsi="David" w:hint="cs"/>
          <w:b/>
          <w:bCs/>
          <w:sz w:val="26"/>
          <w:szCs w:val="26"/>
          <w:rtl/>
        </w:rPr>
        <w:t>"</w:t>
      </w:r>
      <w:r w:rsidRPr="00A63CFA">
        <w:rPr>
          <w:rFonts w:ascii="David" w:hAnsi="David"/>
          <w:b/>
          <w:bCs/>
          <w:sz w:val="26"/>
          <w:szCs w:val="26"/>
          <w:rtl/>
        </w:rPr>
        <w:t>י</w:t>
      </w:r>
      <w:r w:rsidRPr="00A63CFA">
        <w:rPr>
          <w:rFonts w:ascii="David" w:hAnsi="David"/>
          <w:sz w:val="26"/>
          <w:szCs w:val="26"/>
          <w:rtl/>
        </w:rPr>
        <w:t xml:space="preserve"> (29.09.13) הורשע המערער, צעיר בן 25, ללא עבר פלילי, בכך שנתפס נוהג ברכב ובו אקדח ומחסנית ריקה מכדורים. בית המשפט המחוזי קבע מתחם ענישה שבין שנה לשלוש שנים, וגזר עליו </w:t>
      </w:r>
      <w:r w:rsidRPr="00A63CFA">
        <w:rPr>
          <w:rFonts w:ascii="David" w:hAnsi="David"/>
          <w:b/>
          <w:bCs/>
          <w:sz w:val="26"/>
          <w:szCs w:val="26"/>
          <w:rtl/>
        </w:rPr>
        <w:t>21 חודשי מאסר בפועל</w:t>
      </w:r>
      <w:r w:rsidRPr="00A63CFA">
        <w:rPr>
          <w:rFonts w:ascii="David" w:hAnsi="David"/>
          <w:sz w:val="26"/>
          <w:szCs w:val="26"/>
          <w:rtl/>
        </w:rPr>
        <w:t xml:space="preserve">. הערעור על העונש נדחה. </w:t>
      </w:r>
    </w:p>
    <w:p w14:paraId="221597E3" w14:textId="77777777" w:rsidR="00E63415" w:rsidRPr="00A63CFA" w:rsidRDefault="00E63415" w:rsidP="00E63415">
      <w:pPr>
        <w:spacing w:line="360" w:lineRule="auto"/>
        <w:contextualSpacing/>
        <w:jc w:val="both"/>
        <w:rPr>
          <w:rFonts w:ascii="David" w:hAnsi="David"/>
          <w:sz w:val="26"/>
          <w:szCs w:val="26"/>
          <w:rtl/>
        </w:rPr>
      </w:pPr>
    </w:p>
    <w:p w14:paraId="3170A021" w14:textId="77777777" w:rsidR="00E63415" w:rsidRDefault="00E63415" w:rsidP="00E63415">
      <w:pPr>
        <w:spacing w:line="360" w:lineRule="auto"/>
        <w:contextualSpacing/>
        <w:jc w:val="both"/>
        <w:rPr>
          <w:rFonts w:ascii="David" w:hAnsi="David"/>
          <w:sz w:val="26"/>
          <w:szCs w:val="26"/>
          <w:rtl/>
        </w:rPr>
      </w:pPr>
      <w:r w:rsidRPr="00A63CFA">
        <w:rPr>
          <w:rFonts w:ascii="David" w:hAnsi="David"/>
          <w:sz w:val="26"/>
          <w:szCs w:val="26"/>
          <w:rtl/>
        </w:rPr>
        <w:t>ב</w:t>
      </w:r>
      <w:hyperlink r:id="rId25" w:history="1">
        <w:r w:rsidR="00612C20" w:rsidRPr="00612C20">
          <w:rPr>
            <w:rFonts w:ascii="David" w:hAnsi="David"/>
            <w:color w:val="0000FF"/>
            <w:sz w:val="26"/>
            <w:szCs w:val="26"/>
            <w:u w:val="single"/>
            <w:rtl/>
          </w:rPr>
          <w:t>ע"פ 3156/11</w:t>
        </w:r>
      </w:hyperlink>
      <w:r w:rsidRPr="00A63CFA">
        <w:rPr>
          <w:rFonts w:ascii="David" w:hAnsi="David"/>
          <w:sz w:val="26"/>
          <w:szCs w:val="26"/>
          <w:rtl/>
        </w:rPr>
        <w:t xml:space="preserve"> </w:t>
      </w:r>
      <w:r w:rsidRPr="00A63CFA">
        <w:rPr>
          <w:rFonts w:ascii="David" w:hAnsi="David"/>
          <w:b/>
          <w:bCs/>
          <w:sz w:val="26"/>
          <w:szCs w:val="26"/>
          <w:rtl/>
        </w:rPr>
        <w:t>זראיעה נ' מ"י</w:t>
      </w:r>
      <w:r w:rsidRPr="00A63CFA">
        <w:rPr>
          <w:rFonts w:ascii="David" w:hAnsi="David"/>
          <w:sz w:val="26"/>
          <w:szCs w:val="26"/>
          <w:rtl/>
        </w:rPr>
        <w:t xml:space="preserve"> (21.02.12) הסליק הנאשם ברכב בו נסע, אקדח, מחסנית טעונה בכדורי 9 מ"מ וקופסאות עם כדורים דומים. לנאשם הרשעה קודמת יחידה מתחם אחר. בית המשפט המחוזי גזר עליו </w:t>
      </w:r>
      <w:r w:rsidRPr="00A63CFA">
        <w:rPr>
          <w:rFonts w:ascii="David" w:hAnsi="David"/>
          <w:b/>
          <w:bCs/>
          <w:sz w:val="26"/>
          <w:szCs w:val="26"/>
          <w:rtl/>
        </w:rPr>
        <w:t>24 חודשי מאסר בפועל</w:t>
      </w:r>
      <w:r w:rsidRPr="00A63CFA">
        <w:rPr>
          <w:rFonts w:ascii="David" w:hAnsi="David"/>
          <w:sz w:val="26"/>
          <w:szCs w:val="26"/>
          <w:rtl/>
        </w:rPr>
        <w:t>. הערעור על חומרת העונש נדחה.</w:t>
      </w:r>
    </w:p>
    <w:p w14:paraId="48BBE276" w14:textId="77777777" w:rsidR="00E63415" w:rsidRDefault="00E63415" w:rsidP="00E63415">
      <w:pPr>
        <w:spacing w:line="360" w:lineRule="auto"/>
        <w:contextualSpacing/>
        <w:jc w:val="both"/>
        <w:rPr>
          <w:rFonts w:ascii="David" w:hAnsi="David"/>
          <w:sz w:val="26"/>
          <w:szCs w:val="26"/>
          <w:rtl/>
        </w:rPr>
      </w:pPr>
    </w:p>
    <w:p w14:paraId="6AEBA5DA" w14:textId="77777777" w:rsidR="00E63415" w:rsidRPr="00A63CFA" w:rsidRDefault="00E63415" w:rsidP="00E63415">
      <w:pPr>
        <w:spacing w:line="360" w:lineRule="auto"/>
        <w:contextualSpacing/>
        <w:jc w:val="both"/>
        <w:rPr>
          <w:rFonts w:ascii="David" w:hAnsi="David"/>
          <w:sz w:val="26"/>
          <w:szCs w:val="26"/>
          <w:rtl/>
        </w:rPr>
      </w:pPr>
      <w:r w:rsidRPr="00A63CFA">
        <w:rPr>
          <w:rFonts w:ascii="David" w:hAnsi="David"/>
          <w:sz w:val="26"/>
          <w:szCs w:val="26"/>
          <w:rtl/>
        </w:rPr>
        <w:t xml:space="preserve">על יסוד נתונים אלה קבעתי בחודשים האחרונים מספר פעמים מתחמי ענישה המבטאים את יסודות החומרה של עבירת נשיאת האקדח כשלעצמה, ללא שימוש פלילי נוסף כלשהו בנשק. מתחמים אלה נעו סביב 13 - 14 חודשי מאסר ברף התחתון של המתחם, ועד 36 חודשים ברף העליון. ראו למשל גזרי הדין בתיקים הבאים: </w:t>
      </w:r>
      <w:hyperlink r:id="rId26" w:history="1">
        <w:r w:rsidR="00612C20" w:rsidRPr="00612C20">
          <w:rPr>
            <w:rFonts w:ascii="David" w:hAnsi="David"/>
            <w:color w:val="0000FF"/>
            <w:sz w:val="26"/>
            <w:szCs w:val="26"/>
            <w:u w:val="single"/>
            <w:rtl/>
          </w:rPr>
          <w:t>ת"פ 33544-04-20</w:t>
        </w:r>
      </w:hyperlink>
      <w:r w:rsidRPr="00A63CFA">
        <w:rPr>
          <w:rFonts w:ascii="David" w:hAnsi="David"/>
          <w:sz w:val="26"/>
          <w:szCs w:val="26"/>
          <w:rtl/>
        </w:rPr>
        <w:t xml:space="preserve"> </w:t>
      </w:r>
      <w:r w:rsidRPr="00A63CFA">
        <w:rPr>
          <w:rFonts w:ascii="David" w:hAnsi="David"/>
          <w:b/>
          <w:bCs/>
          <w:sz w:val="26"/>
          <w:szCs w:val="26"/>
          <w:rtl/>
        </w:rPr>
        <w:t>מ"י נ' פריג'</w:t>
      </w:r>
      <w:r w:rsidRPr="00A63CFA">
        <w:rPr>
          <w:rFonts w:ascii="David" w:hAnsi="David"/>
          <w:sz w:val="26"/>
          <w:szCs w:val="26"/>
          <w:rtl/>
        </w:rPr>
        <w:t xml:space="preserve"> (5.10.21), ת"פ 40410-04-21 </w:t>
      </w:r>
      <w:r w:rsidRPr="00A63CFA">
        <w:rPr>
          <w:rFonts w:ascii="David" w:hAnsi="David"/>
          <w:b/>
          <w:bCs/>
          <w:sz w:val="26"/>
          <w:szCs w:val="26"/>
          <w:rtl/>
        </w:rPr>
        <w:t>מ"י נ' אלטורי</w:t>
      </w:r>
      <w:r w:rsidRPr="00A63CFA">
        <w:rPr>
          <w:rFonts w:ascii="David" w:hAnsi="David"/>
          <w:sz w:val="26"/>
          <w:szCs w:val="26"/>
          <w:rtl/>
        </w:rPr>
        <w:t xml:space="preserve"> (1.11.21), </w:t>
      </w:r>
      <w:hyperlink r:id="rId27" w:history="1">
        <w:r w:rsidR="00612C20" w:rsidRPr="00612C20">
          <w:rPr>
            <w:rFonts w:ascii="David" w:hAnsi="David"/>
            <w:color w:val="0000FF"/>
            <w:sz w:val="26"/>
            <w:szCs w:val="26"/>
            <w:u w:val="single"/>
            <w:rtl/>
          </w:rPr>
          <w:t>ת"פ 19463-05-21</w:t>
        </w:r>
      </w:hyperlink>
      <w:r w:rsidRPr="00A63CFA">
        <w:rPr>
          <w:rFonts w:ascii="David" w:hAnsi="David"/>
          <w:sz w:val="26"/>
          <w:szCs w:val="26"/>
          <w:rtl/>
        </w:rPr>
        <w:t xml:space="preserve"> </w:t>
      </w:r>
      <w:r w:rsidRPr="00A63CFA">
        <w:rPr>
          <w:rFonts w:ascii="David" w:hAnsi="David"/>
          <w:b/>
          <w:bCs/>
          <w:sz w:val="26"/>
          <w:szCs w:val="26"/>
          <w:rtl/>
        </w:rPr>
        <w:t>מ"י נ' קשוע</w:t>
      </w:r>
      <w:r w:rsidRPr="00A63CFA">
        <w:rPr>
          <w:rFonts w:ascii="David" w:hAnsi="David"/>
          <w:sz w:val="26"/>
          <w:szCs w:val="26"/>
          <w:rtl/>
        </w:rPr>
        <w:t xml:space="preserve"> (2.11.21).</w:t>
      </w:r>
      <w:r>
        <w:rPr>
          <w:rFonts w:ascii="David" w:hAnsi="David" w:hint="cs"/>
          <w:sz w:val="26"/>
          <w:szCs w:val="26"/>
          <w:rtl/>
        </w:rPr>
        <w:t xml:space="preserve"> המקרה שלפני אינו שונה ממקבץ רחב של מקרים אלה, ובשים לב לחלוף הזמן, ועל אף הנתון המכביד בדבר הסבת הנשק לירי אוטומטי, אקבע גם הפעם בעניינו של הנאשם </w:t>
      </w:r>
      <w:r w:rsidRPr="001D3786">
        <w:rPr>
          <w:rFonts w:ascii="David" w:hAnsi="David" w:hint="cs"/>
          <w:b/>
          <w:bCs/>
          <w:sz w:val="26"/>
          <w:szCs w:val="26"/>
          <w:rtl/>
        </w:rPr>
        <w:t>מתחם ענישה</w:t>
      </w:r>
      <w:r>
        <w:rPr>
          <w:rFonts w:ascii="David" w:hAnsi="David" w:hint="cs"/>
          <w:sz w:val="26"/>
          <w:szCs w:val="26"/>
          <w:rtl/>
        </w:rPr>
        <w:t xml:space="preserve"> מתון ומידתי, מקל יותר מהמתחם שצפוי היה להיקבע בגין מעשים דומים בימים אלה ממש, ואשר יעמוד על </w:t>
      </w:r>
      <w:r w:rsidRPr="001D3786">
        <w:rPr>
          <w:rFonts w:ascii="David" w:hAnsi="David" w:hint="cs"/>
          <w:b/>
          <w:bCs/>
          <w:sz w:val="26"/>
          <w:szCs w:val="26"/>
          <w:rtl/>
        </w:rPr>
        <w:t>14 עד 36 חודשי מאסר בפועל</w:t>
      </w:r>
      <w:r>
        <w:rPr>
          <w:rFonts w:ascii="David" w:hAnsi="David" w:hint="cs"/>
          <w:sz w:val="26"/>
          <w:szCs w:val="26"/>
          <w:rtl/>
        </w:rPr>
        <w:t>.</w:t>
      </w:r>
    </w:p>
    <w:p w14:paraId="6D4685FE" w14:textId="77777777" w:rsidR="00E63415" w:rsidRDefault="00E63415" w:rsidP="00E63415">
      <w:pPr>
        <w:spacing w:line="360" w:lineRule="auto"/>
        <w:contextualSpacing/>
        <w:jc w:val="both"/>
        <w:rPr>
          <w:sz w:val="26"/>
          <w:szCs w:val="26"/>
          <w:rtl/>
        </w:rPr>
      </w:pPr>
    </w:p>
    <w:p w14:paraId="458F4D65" w14:textId="77777777" w:rsidR="00E63415" w:rsidRDefault="00E63415" w:rsidP="00E63415">
      <w:pPr>
        <w:spacing w:line="360" w:lineRule="auto"/>
        <w:contextualSpacing/>
        <w:jc w:val="both"/>
        <w:rPr>
          <w:sz w:val="26"/>
          <w:szCs w:val="26"/>
          <w:rtl/>
        </w:rPr>
      </w:pPr>
      <w:r>
        <w:rPr>
          <w:rFonts w:hint="cs"/>
          <w:sz w:val="26"/>
          <w:szCs w:val="26"/>
          <w:rtl/>
        </w:rPr>
        <w:t>משנקבע מתחם העונש ההולם למעשים יש לאתר את העונש המתאים לעניינו של הנאשם בגדר המתחם בהתאם לנסיבות שאינן נוגעות לביצוע העבירה, אלא מתמקדות יותר בנאשם עצמו, בעברו, בהתנהלותו ובדפוסיו. כמו כן ראוי, במקרים המתאימים, לבחון את האפשרות לסטות לקולה ממתחם העונש ההולם, מקום בו קיימים שיקולי שיקום המצדיקים זאת.</w:t>
      </w:r>
    </w:p>
    <w:p w14:paraId="2598F9BA" w14:textId="77777777" w:rsidR="00E63415" w:rsidRDefault="00E63415" w:rsidP="00E63415">
      <w:pPr>
        <w:spacing w:line="360" w:lineRule="auto"/>
        <w:contextualSpacing/>
        <w:jc w:val="both"/>
        <w:rPr>
          <w:sz w:val="26"/>
          <w:szCs w:val="26"/>
          <w:rtl/>
        </w:rPr>
      </w:pPr>
    </w:p>
    <w:p w14:paraId="78B12CD5" w14:textId="77777777" w:rsidR="00E63415" w:rsidRDefault="00E63415" w:rsidP="00E63415">
      <w:pPr>
        <w:spacing w:line="360" w:lineRule="auto"/>
        <w:contextualSpacing/>
        <w:jc w:val="both"/>
        <w:rPr>
          <w:sz w:val="26"/>
          <w:szCs w:val="26"/>
          <w:rtl/>
        </w:rPr>
      </w:pPr>
      <w:r>
        <w:rPr>
          <w:rFonts w:hint="cs"/>
          <w:sz w:val="26"/>
          <w:szCs w:val="26"/>
          <w:rtl/>
        </w:rPr>
        <w:t xml:space="preserve">ככל שמדובר במיקום העונש בגדר המתחם, הרי שאין במקרה זה חולק על כך שככל שיוחלט שלא לסטות לקולה מטעמי שיקום, ראוי יהיה למקם את עונשו של הנאשם ברף התחתון של המתחם. מסקנה זו מתחייבת לנוכח גילו הצעיר של הנאשם, עברו הנקי, ההודאה, נטילת האחריות והחיסכון בזמן ציבורי הנלווה לה, האפקט ההרתעתי של ההליכים, העדרם של דפוסי חשיבה עברייניים, ושיתוף הפעולה עם שירות המבחן בקבוצה הטיפולית לעצורי בית. למעשה, גם המאשימה אינה חולקת על מסקנה זו ועתרה בטיעוניה להשית עונש המצוי ברף התחתון, אם כי לטענתה אותו רף צריך להכיל תקופת מאסר ממושכת יותר מזו שקבעתי. </w:t>
      </w:r>
    </w:p>
    <w:p w14:paraId="4011E688" w14:textId="77777777" w:rsidR="00E63415" w:rsidRDefault="00E63415" w:rsidP="00E63415">
      <w:pPr>
        <w:spacing w:line="360" w:lineRule="auto"/>
        <w:contextualSpacing/>
        <w:jc w:val="both"/>
        <w:rPr>
          <w:sz w:val="26"/>
          <w:szCs w:val="26"/>
          <w:rtl/>
        </w:rPr>
      </w:pPr>
    </w:p>
    <w:p w14:paraId="09C5D2B1" w14:textId="77777777" w:rsidR="00E63415" w:rsidRDefault="00E63415" w:rsidP="00E63415">
      <w:pPr>
        <w:spacing w:line="360" w:lineRule="auto"/>
        <w:contextualSpacing/>
        <w:jc w:val="both"/>
        <w:rPr>
          <w:sz w:val="26"/>
          <w:szCs w:val="26"/>
          <w:rtl/>
        </w:rPr>
      </w:pPr>
      <w:r>
        <w:rPr>
          <w:rFonts w:hint="cs"/>
          <w:sz w:val="26"/>
          <w:szCs w:val="26"/>
          <w:rtl/>
        </w:rPr>
        <w:t>ההתלבטות המרכזית במקרה זה נוגעת אפוא לשאלה האם יש מקום, בנסיבותיו המיוחדות של הנאשם, כפי שהן באות לידי ביטוי נרחב בתסקיר, ובהתחשב בעקרון הענישה האינדיווידואלית, יש מקום ללכת צעד גדול נוסף לקראתו ולסטות לקולה ממתחם העונש ההולם, ואף לשקול להסתפק באופן חריג בתקופת מאסר שתינשא בעבודות שירות. על מנת לתמוך באפשרות זו הפנה סנגורו המלומד של הנאשם לשני פסקי דין של בית המשפט העליון מהעת האחרונה ממש, אשר בהם התקבלו ערעוריהם של בחורים צעירים, נטולי עבר פלילי, על עונשי המאסר שהוטלו עליהם בגין עבירות דומות, והעונשים הוסבו למאסר בעבודות שירות, תוך סטייה לקולה ממתחם העונש ההולם.</w:t>
      </w:r>
    </w:p>
    <w:p w14:paraId="05307744" w14:textId="77777777" w:rsidR="00E63415" w:rsidRDefault="00E63415" w:rsidP="00E63415">
      <w:pPr>
        <w:spacing w:line="360" w:lineRule="auto"/>
        <w:contextualSpacing/>
        <w:jc w:val="both"/>
        <w:rPr>
          <w:sz w:val="26"/>
          <w:szCs w:val="26"/>
          <w:rtl/>
        </w:rPr>
      </w:pPr>
    </w:p>
    <w:p w14:paraId="2F5C3090" w14:textId="77777777" w:rsidR="00E63415" w:rsidRDefault="00E63415" w:rsidP="00E63415">
      <w:pPr>
        <w:spacing w:line="360" w:lineRule="auto"/>
        <w:contextualSpacing/>
        <w:jc w:val="both"/>
        <w:rPr>
          <w:b/>
          <w:bCs/>
          <w:sz w:val="26"/>
          <w:szCs w:val="26"/>
          <w:rtl/>
        </w:rPr>
      </w:pPr>
      <w:r>
        <w:rPr>
          <w:rFonts w:hint="cs"/>
          <w:sz w:val="26"/>
          <w:szCs w:val="26"/>
          <w:rtl/>
        </w:rPr>
        <w:t xml:space="preserve">המקרה הראשון הוא </w:t>
      </w:r>
      <w:hyperlink r:id="rId28" w:history="1">
        <w:r w:rsidR="00612C20" w:rsidRPr="00612C20">
          <w:rPr>
            <w:color w:val="0000FF"/>
            <w:sz w:val="26"/>
            <w:szCs w:val="26"/>
            <w:u w:val="single"/>
            <w:rtl/>
          </w:rPr>
          <w:t>ע"פ 2780/21</w:t>
        </w:r>
      </w:hyperlink>
      <w:r>
        <w:rPr>
          <w:rFonts w:hint="cs"/>
          <w:sz w:val="26"/>
          <w:szCs w:val="26"/>
          <w:rtl/>
        </w:rPr>
        <w:t xml:space="preserve"> </w:t>
      </w:r>
      <w:r>
        <w:rPr>
          <w:rFonts w:hint="cs"/>
          <w:b/>
          <w:bCs/>
          <w:sz w:val="26"/>
          <w:szCs w:val="26"/>
          <w:rtl/>
        </w:rPr>
        <w:t>אילה נ' מ"י</w:t>
      </w:r>
      <w:r>
        <w:rPr>
          <w:rFonts w:hint="cs"/>
          <w:sz w:val="26"/>
          <w:szCs w:val="26"/>
          <w:rtl/>
        </w:rPr>
        <w:t xml:space="preserve"> (1.2.22), בו נדון עניינו של מערער שהורשע בגניבת אקדח והחזקתו כשהוא טעון במחסנית וכדורים. בית המשפט המחוזי קבע כי מדובר בעבירה חמורה יותר מעבירה רגילה של נשיאת נשק וקבע </w:t>
      </w:r>
      <w:r w:rsidRPr="007214F0">
        <w:rPr>
          <w:rFonts w:hint="eastAsia"/>
          <w:b/>
          <w:bCs/>
          <w:sz w:val="26"/>
          <w:szCs w:val="26"/>
          <w:rtl/>
        </w:rPr>
        <w:t>מתחם</w:t>
      </w:r>
      <w:r w:rsidRPr="007214F0">
        <w:rPr>
          <w:b/>
          <w:bCs/>
          <w:sz w:val="26"/>
          <w:szCs w:val="26"/>
          <w:rtl/>
        </w:rPr>
        <w:t xml:space="preserve"> </w:t>
      </w:r>
      <w:r w:rsidRPr="007214F0">
        <w:rPr>
          <w:rFonts w:hint="eastAsia"/>
          <w:b/>
          <w:bCs/>
          <w:sz w:val="26"/>
          <w:szCs w:val="26"/>
          <w:rtl/>
        </w:rPr>
        <w:t>עונש</w:t>
      </w:r>
      <w:r w:rsidRPr="007214F0">
        <w:rPr>
          <w:b/>
          <w:bCs/>
          <w:sz w:val="26"/>
          <w:szCs w:val="26"/>
          <w:rtl/>
        </w:rPr>
        <w:t xml:space="preserve"> </w:t>
      </w:r>
      <w:r w:rsidRPr="007214F0">
        <w:rPr>
          <w:rFonts w:hint="eastAsia"/>
          <w:b/>
          <w:bCs/>
          <w:sz w:val="26"/>
          <w:szCs w:val="26"/>
          <w:rtl/>
        </w:rPr>
        <w:t>הולם</w:t>
      </w:r>
      <w:r w:rsidRPr="007214F0">
        <w:rPr>
          <w:b/>
          <w:bCs/>
          <w:sz w:val="26"/>
          <w:szCs w:val="26"/>
          <w:rtl/>
        </w:rPr>
        <w:t xml:space="preserve"> </w:t>
      </w:r>
      <w:r w:rsidRPr="007214F0">
        <w:rPr>
          <w:rFonts w:hint="eastAsia"/>
          <w:b/>
          <w:bCs/>
          <w:sz w:val="26"/>
          <w:szCs w:val="26"/>
          <w:rtl/>
        </w:rPr>
        <w:t>של</w:t>
      </w:r>
      <w:r w:rsidRPr="007214F0">
        <w:rPr>
          <w:b/>
          <w:bCs/>
          <w:sz w:val="26"/>
          <w:szCs w:val="26"/>
          <w:rtl/>
        </w:rPr>
        <w:t xml:space="preserve"> 20 </w:t>
      </w:r>
      <w:r w:rsidRPr="007214F0">
        <w:rPr>
          <w:rFonts w:hint="eastAsia"/>
          <w:b/>
          <w:bCs/>
          <w:sz w:val="26"/>
          <w:szCs w:val="26"/>
          <w:rtl/>
        </w:rPr>
        <w:t>עד</w:t>
      </w:r>
      <w:r w:rsidRPr="007214F0">
        <w:rPr>
          <w:b/>
          <w:bCs/>
          <w:sz w:val="26"/>
          <w:szCs w:val="26"/>
          <w:rtl/>
        </w:rPr>
        <w:t xml:space="preserve"> 44 </w:t>
      </w:r>
      <w:r w:rsidRPr="007214F0">
        <w:rPr>
          <w:rFonts w:hint="eastAsia"/>
          <w:b/>
          <w:bCs/>
          <w:sz w:val="26"/>
          <w:szCs w:val="26"/>
          <w:rtl/>
        </w:rPr>
        <w:t>חודשי</w:t>
      </w:r>
      <w:r w:rsidRPr="007214F0">
        <w:rPr>
          <w:b/>
          <w:bCs/>
          <w:sz w:val="26"/>
          <w:szCs w:val="26"/>
          <w:rtl/>
        </w:rPr>
        <w:t xml:space="preserve"> </w:t>
      </w:r>
      <w:r w:rsidRPr="007214F0">
        <w:rPr>
          <w:rFonts w:hint="eastAsia"/>
          <w:b/>
          <w:bCs/>
          <w:sz w:val="26"/>
          <w:szCs w:val="26"/>
          <w:rtl/>
        </w:rPr>
        <w:t>מאסר</w:t>
      </w:r>
      <w:r w:rsidRPr="007214F0">
        <w:rPr>
          <w:b/>
          <w:bCs/>
          <w:sz w:val="26"/>
          <w:szCs w:val="26"/>
          <w:rtl/>
        </w:rPr>
        <w:t xml:space="preserve"> </w:t>
      </w:r>
      <w:r w:rsidRPr="007214F0">
        <w:rPr>
          <w:rFonts w:hint="eastAsia"/>
          <w:b/>
          <w:bCs/>
          <w:sz w:val="26"/>
          <w:szCs w:val="26"/>
          <w:rtl/>
        </w:rPr>
        <w:t>בפועל</w:t>
      </w:r>
      <w:r>
        <w:rPr>
          <w:rFonts w:hint="cs"/>
          <w:sz w:val="26"/>
          <w:szCs w:val="26"/>
          <w:rtl/>
        </w:rPr>
        <w:t>. לאחר מכן בחן בית המשפט המחוזי את הליכי השיקום בהם נטל הנאשם חלק. בתוך כך הזכיר כי בתקופת צו פיקוח המעצר שולב בשיחות מעקביות וכי בהמשך השתלב בתכנית טיפולית ארוכת טווח במרכז חוסן לטיפול בהתמכרויות. הוא ישתף פעולה באופן מלא עם התכנית הטיפולית, מסר בדיקות שתן נקיות ושירות המבחן המליץ על צו מבחן ושל"צ. אף על פי כן החליט בית המשפט המחוזי לסטות באופן מתון בלבד לקולה מהמתחם וגזר על הנאשם 18 חודשי מאסר בפועל. בית המשפט העליון קיבל את הערעור והמיר את העונש ב-</w:t>
      </w:r>
      <w:r w:rsidRPr="007214F0">
        <w:rPr>
          <w:b/>
          <w:bCs/>
          <w:sz w:val="26"/>
          <w:szCs w:val="26"/>
          <w:rtl/>
        </w:rPr>
        <w:t xml:space="preserve">9 </w:t>
      </w:r>
      <w:r w:rsidRPr="007214F0">
        <w:rPr>
          <w:rFonts w:hint="eastAsia"/>
          <w:b/>
          <w:bCs/>
          <w:sz w:val="26"/>
          <w:szCs w:val="26"/>
          <w:rtl/>
        </w:rPr>
        <w:t>חודשי</w:t>
      </w:r>
      <w:r w:rsidRPr="007214F0">
        <w:rPr>
          <w:b/>
          <w:bCs/>
          <w:sz w:val="26"/>
          <w:szCs w:val="26"/>
          <w:rtl/>
        </w:rPr>
        <w:t xml:space="preserve"> </w:t>
      </w:r>
      <w:r w:rsidRPr="007214F0">
        <w:rPr>
          <w:rFonts w:hint="eastAsia"/>
          <w:b/>
          <w:bCs/>
          <w:sz w:val="26"/>
          <w:szCs w:val="26"/>
          <w:rtl/>
        </w:rPr>
        <w:t>עבודות</w:t>
      </w:r>
      <w:r w:rsidRPr="007214F0">
        <w:rPr>
          <w:b/>
          <w:bCs/>
          <w:sz w:val="26"/>
          <w:szCs w:val="26"/>
          <w:rtl/>
        </w:rPr>
        <w:t xml:space="preserve"> </w:t>
      </w:r>
      <w:r w:rsidRPr="007214F0">
        <w:rPr>
          <w:rFonts w:hint="eastAsia"/>
          <w:b/>
          <w:bCs/>
          <w:sz w:val="26"/>
          <w:szCs w:val="26"/>
          <w:rtl/>
        </w:rPr>
        <w:t>שירות</w:t>
      </w:r>
      <w:r>
        <w:rPr>
          <w:rFonts w:hint="cs"/>
          <w:sz w:val="26"/>
          <w:szCs w:val="26"/>
          <w:rtl/>
        </w:rPr>
        <w:t xml:space="preserve"> "</w:t>
      </w:r>
      <w:r>
        <w:rPr>
          <w:rFonts w:hint="cs"/>
          <w:b/>
          <w:bCs/>
          <w:sz w:val="26"/>
          <w:szCs w:val="26"/>
          <w:rtl/>
        </w:rPr>
        <w:t xml:space="preserve">בשל דרך השיקום הממשית והארוכה </w:t>
      </w:r>
      <w:r>
        <w:rPr>
          <w:b/>
          <w:bCs/>
          <w:sz w:val="26"/>
          <w:szCs w:val="26"/>
          <w:rtl/>
        </w:rPr>
        <w:t>–</w:t>
      </w:r>
      <w:r>
        <w:rPr>
          <w:rFonts w:hint="cs"/>
          <w:b/>
          <w:bCs/>
          <w:sz w:val="26"/>
          <w:szCs w:val="26"/>
          <w:rtl/>
        </w:rPr>
        <w:t xml:space="preserve"> מזה תקופה של שנתיים </w:t>
      </w:r>
      <w:r>
        <w:rPr>
          <w:b/>
          <w:bCs/>
          <w:sz w:val="26"/>
          <w:szCs w:val="26"/>
          <w:rtl/>
        </w:rPr>
        <w:t>–</w:t>
      </w:r>
      <w:r>
        <w:rPr>
          <w:rFonts w:hint="cs"/>
          <w:b/>
          <w:bCs/>
          <w:sz w:val="26"/>
          <w:szCs w:val="26"/>
          <w:rtl/>
        </w:rPr>
        <w:t xml:space="preserve"> שבה פסע המערער</w:t>
      </w:r>
      <w:r>
        <w:rPr>
          <w:rFonts w:hint="cs"/>
          <w:sz w:val="26"/>
          <w:szCs w:val="26"/>
          <w:rtl/>
        </w:rPr>
        <w:t>". עוד הוסיף כי "</w:t>
      </w:r>
      <w:r>
        <w:rPr>
          <w:rFonts w:hint="cs"/>
          <w:b/>
          <w:bCs/>
          <w:sz w:val="26"/>
          <w:szCs w:val="26"/>
          <w:rtl/>
        </w:rPr>
        <w:t>השיקום עומד במבחן הזמן. המערער נרתם בהצלחה למסגרת הטיפולית שאליה שובץ."</w:t>
      </w:r>
    </w:p>
    <w:p w14:paraId="7EBFDB60" w14:textId="77777777" w:rsidR="00E63415" w:rsidRDefault="00E63415" w:rsidP="00E63415">
      <w:pPr>
        <w:spacing w:line="360" w:lineRule="auto"/>
        <w:contextualSpacing/>
        <w:jc w:val="both"/>
        <w:rPr>
          <w:b/>
          <w:bCs/>
          <w:sz w:val="26"/>
          <w:szCs w:val="26"/>
          <w:rtl/>
        </w:rPr>
      </w:pPr>
    </w:p>
    <w:p w14:paraId="214FF4A1" w14:textId="77777777" w:rsidR="00E63415" w:rsidRPr="001D3786" w:rsidRDefault="00E63415" w:rsidP="00E63415">
      <w:pPr>
        <w:spacing w:line="360" w:lineRule="auto"/>
        <w:contextualSpacing/>
        <w:jc w:val="both"/>
        <w:rPr>
          <w:sz w:val="26"/>
          <w:szCs w:val="26"/>
          <w:rtl/>
        </w:rPr>
      </w:pPr>
      <w:r>
        <w:rPr>
          <w:rFonts w:hint="cs"/>
          <w:sz w:val="26"/>
          <w:szCs w:val="26"/>
          <w:rtl/>
        </w:rPr>
        <w:t xml:space="preserve">פסק הדין הנוסף אליו הפנה ב"כ הנאשם הוא </w:t>
      </w:r>
      <w:hyperlink r:id="rId29" w:history="1">
        <w:r w:rsidR="00612C20" w:rsidRPr="00612C20">
          <w:rPr>
            <w:color w:val="0000FF"/>
            <w:sz w:val="26"/>
            <w:szCs w:val="26"/>
            <w:u w:val="single"/>
            <w:rtl/>
          </w:rPr>
          <w:t>ע"פ 4332/21</w:t>
        </w:r>
      </w:hyperlink>
      <w:r>
        <w:rPr>
          <w:rFonts w:hint="cs"/>
          <w:sz w:val="26"/>
          <w:szCs w:val="26"/>
          <w:rtl/>
        </w:rPr>
        <w:t xml:space="preserve"> </w:t>
      </w:r>
      <w:r>
        <w:rPr>
          <w:rFonts w:hint="cs"/>
          <w:b/>
          <w:bCs/>
          <w:sz w:val="26"/>
          <w:szCs w:val="26"/>
          <w:rtl/>
        </w:rPr>
        <w:t>עאסלה נ' מ"י</w:t>
      </w:r>
      <w:r>
        <w:rPr>
          <w:rFonts w:hint="cs"/>
          <w:sz w:val="26"/>
          <w:szCs w:val="26"/>
          <w:rtl/>
        </w:rPr>
        <w:t xml:space="preserve"> (20.2.22), שם נדון עניינו של מי שהורשע בעבירה של החזקת נשק מאולתר מסוג קרלו ומחסנית, במשך כ-3 חודשים בשדה סמוך לביתו. בית המשפט המחוזי דן אותו ל-15 חודשי מאסר בפועל, ואילו בבית המשפט העליון התקבל הערעור שהגיש, והעונש הומר ל-</w:t>
      </w:r>
      <w:r w:rsidRPr="007214F0">
        <w:rPr>
          <w:b/>
          <w:bCs/>
          <w:sz w:val="26"/>
          <w:szCs w:val="26"/>
          <w:rtl/>
        </w:rPr>
        <w:t xml:space="preserve">9 </w:t>
      </w:r>
      <w:r w:rsidRPr="007214F0">
        <w:rPr>
          <w:rFonts w:hint="eastAsia"/>
          <w:b/>
          <w:bCs/>
          <w:sz w:val="26"/>
          <w:szCs w:val="26"/>
          <w:rtl/>
        </w:rPr>
        <w:t>חודשי</w:t>
      </w:r>
      <w:r w:rsidRPr="007214F0">
        <w:rPr>
          <w:b/>
          <w:bCs/>
          <w:sz w:val="26"/>
          <w:szCs w:val="26"/>
          <w:rtl/>
        </w:rPr>
        <w:t xml:space="preserve"> </w:t>
      </w:r>
      <w:r w:rsidRPr="007214F0">
        <w:rPr>
          <w:rFonts w:hint="eastAsia"/>
          <w:b/>
          <w:bCs/>
          <w:sz w:val="26"/>
          <w:szCs w:val="26"/>
          <w:rtl/>
        </w:rPr>
        <w:t>עבודות</w:t>
      </w:r>
      <w:r w:rsidRPr="007214F0">
        <w:rPr>
          <w:b/>
          <w:bCs/>
          <w:sz w:val="26"/>
          <w:szCs w:val="26"/>
          <w:rtl/>
        </w:rPr>
        <w:t xml:space="preserve"> </w:t>
      </w:r>
      <w:r w:rsidRPr="007214F0">
        <w:rPr>
          <w:rFonts w:hint="eastAsia"/>
          <w:b/>
          <w:bCs/>
          <w:sz w:val="26"/>
          <w:szCs w:val="26"/>
          <w:rtl/>
        </w:rPr>
        <w:t>שירות</w:t>
      </w:r>
      <w:r>
        <w:rPr>
          <w:rFonts w:hint="cs"/>
          <w:sz w:val="26"/>
          <w:szCs w:val="26"/>
          <w:rtl/>
        </w:rPr>
        <w:t xml:space="preserve">. במסגרת נימוקיו לחריגה מהענישה הנוהגת הזכיר בית המשפט העליון, בין היתר, את </w:t>
      </w:r>
      <w:r w:rsidRPr="001D3786">
        <w:rPr>
          <w:rFonts w:hint="cs"/>
          <w:sz w:val="26"/>
          <w:szCs w:val="26"/>
          <w:u w:val="single"/>
          <w:rtl/>
        </w:rPr>
        <w:t>הגיל הצעיר, העבר הנקי ואורח החיים הנורמטיבי שניהל הנאשם עד למעצר, אך גם את שיתוף הפעולה המלא שלו עם המשטרה, בעת המעצר ולאחריה, את הקבוצה הטיפולית הייעודית בה נטל חלק, את האחריות האקטיבית שנטל למעשים, את נכונותו ויכולתו לבחון כל פעולה באופן ביקורתי ומתוך גמישות מחשבתית ואת יכולתו להיתרם מהמ</w:t>
      </w:r>
      <w:r>
        <w:rPr>
          <w:rFonts w:hint="cs"/>
          <w:sz w:val="26"/>
          <w:szCs w:val="26"/>
          <w:u w:val="single"/>
          <w:rtl/>
        </w:rPr>
        <w:t>ש</w:t>
      </w:r>
      <w:r w:rsidRPr="001D3786">
        <w:rPr>
          <w:rFonts w:hint="cs"/>
          <w:sz w:val="26"/>
          <w:szCs w:val="26"/>
          <w:u w:val="single"/>
          <w:rtl/>
        </w:rPr>
        <w:t>ך ההליך הטיפולי</w:t>
      </w:r>
      <w:r>
        <w:rPr>
          <w:rFonts w:hint="cs"/>
          <w:sz w:val="26"/>
          <w:szCs w:val="26"/>
          <w:rtl/>
        </w:rPr>
        <w:t>.</w:t>
      </w:r>
      <w:r w:rsidRPr="001D3786">
        <w:rPr>
          <w:rFonts w:hint="cs"/>
          <w:sz w:val="26"/>
          <w:szCs w:val="26"/>
          <w:rtl/>
        </w:rPr>
        <w:t xml:space="preserve">  </w:t>
      </w:r>
    </w:p>
    <w:p w14:paraId="1368769E" w14:textId="77777777" w:rsidR="00E63415" w:rsidRDefault="00E63415" w:rsidP="00E63415">
      <w:pPr>
        <w:spacing w:line="360" w:lineRule="auto"/>
        <w:contextualSpacing/>
        <w:jc w:val="both"/>
        <w:rPr>
          <w:sz w:val="26"/>
          <w:szCs w:val="26"/>
          <w:rtl/>
        </w:rPr>
      </w:pPr>
    </w:p>
    <w:p w14:paraId="299B52BB" w14:textId="77777777" w:rsidR="00E63415" w:rsidRDefault="00E63415" w:rsidP="00E63415">
      <w:pPr>
        <w:spacing w:line="360" w:lineRule="auto"/>
        <w:contextualSpacing/>
        <w:jc w:val="both"/>
        <w:rPr>
          <w:sz w:val="26"/>
          <w:szCs w:val="26"/>
          <w:rtl/>
        </w:rPr>
      </w:pPr>
      <w:r>
        <w:rPr>
          <w:rFonts w:hint="cs"/>
          <w:sz w:val="26"/>
          <w:szCs w:val="26"/>
          <w:rtl/>
        </w:rPr>
        <w:t>לדוגמאות אלה שהציג הסנגור ניתן לצרף מספר מצומצם נוסף של פסקי דין שניתנו בשנים האחרונות בבית המשפט העליון, בהם הוחלט להקל בעונשם של עברייני נשק צעירים ולהסתפק בהטלת מאסר בעבודות שירות, אך עיון בהן מעלה בבירור כי מדובר במענה עונשי המתאים במקרים חריגים בלבד, בהן קיימת הצטברות של נסיבות המצדיקה חריגה מהכלל.</w:t>
      </w:r>
    </w:p>
    <w:p w14:paraId="46C1A6C7" w14:textId="77777777" w:rsidR="00E63415" w:rsidRPr="00D942AC" w:rsidRDefault="00E63415" w:rsidP="00E63415">
      <w:pPr>
        <w:spacing w:line="360" w:lineRule="auto"/>
        <w:contextualSpacing/>
        <w:jc w:val="both"/>
        <w:rPr>
          <w:rFonts w:ascii="David" w:hAnsi="David"/>
          <w:sz w:val="26"/>
          <w:szCs w:val="26"/>
          <w:rtl/>
        </w:rPr>
      </w:pPr>
    </w:p>
    <w:p w14:paraId="0E27E7C7" w14:textId="77777777" w:rsidR="00E63415" w:rsidRPr="00D942AC" w:rsidRDefault="00E63415" w:rsidP="00E63415">
      <w:pPr>
        <w:spacing w:line="360" w:lineRule="auto"/>
        <w:contextualSpacing/>
        <w:jc w:val="both"/>
        <w:rPr>
          <w:rFonts w:ascii="David" w:hAnsi="David"/>
          <w:sz w:val="26"/>
          <w:szCs w:val="26"/>
          <w:rtl/>
        </w:rPr>
      </w:pPr>
      <w:r>
        <w:rPr>
          <w:rFonts w:ascii="David" w:hAnsi="David" w:hint="cs"/>
          <w:sz w:val="26"/>
          <w:szCs w:val="26"/>
          <w:rtl/>
        </w:rPr>
        <w:t>כך למשל ב</w:t>
      </w:r>
      <w:hyperlink r:id="rId30" w:history="1">
        <w:r w:rsidR="00612C20" w:rsidRPr="00612C20">
          <w:rPr>
            <w:rFonts w:ascii="David" w:hAnsi="David"/>
            <w:color w:val="0000FF"/>
            <w:sz w:val="26"/>
            <w:szCs w:val="26"/>
            <w:u w:val="single"/>
            <w:rtl/>
          </w:rPr>
          <w:t>ע"פ 2826/19</w:t>
        </w:r>
      </w:hyperlink>
      <w:r w:rsidR="00612C20">
        <w:rPr>
          <w:rFonts w:ascii="David" w:hAnsi="David"/>
          <w:sz w:val="26"/>
          <w:szCs w:val="26"/>
        </w:rPr>
        <w:t xml:space="preserve"> </w:t>
      </w:r>
      <w:r w:rsidRPr="00D942AC">
        <w:rPr>
          <w:rFonts w:ascii="David" w:hAnsi="David"/>
          <w:b/>
          <w:bCs/>
          <w:sz w:val="26"/>
          <w:szCs w:val="26"/>
          <w:rtl/>
        </w:rPr>
        <w:t xml:space="preserve">מרעאנה נ' </w:t>
      </w:r>
      <w:r w:rsidRPr="00E87CD2">
        <w:rPr>
          <w:rFonts w:ascii="David" w:hAnsi="David" w:hint="cs"/>
          <w:b/>
          <w:bCs/>
          <w:sz w:val="26"/>
          <w:szCs w:val="26"/>
          <w:rtl/>
        </w:rPr>
        <w:t xml:space="preserve">מ"י </w:t>
      </w:r>
      <w:r>
        <w:rPr>
          <w:rFonts w:ascii="David" w:hAnsi="David" w:hint="cs"/>
          <w:sz w:val="26"/>
          <w:szCs w:val="26"/>
          <w:rtl/>
        </w:rPr>
        <w:t>(11.7.19),</w:t>
      </w:r>
      <w:r w:rsidR="00612C20">
        <w:rPr>
          <w:rFonts w:ascii="David" w:hAnsi="David"/>
          <w:b/>
          <w:bCs/>
          <w:sz w:val="26"/>
          <w:szCs w:val="26"/>
          <w:rtl/>
        </w:rPr>
        <w:t xml:space="preserve"> </w:t>
      </w:r>
      <w:r w:rsidRPr="00D942AC">
        <w:rPr>
          <w:rFonts w:ascii="David" w:hAnsi="David"/>
          <w:sz w:val="26"/>
          <w:szCs w:val="26"/>
          <w:rtl/>
        </w:rPr>
        <w:t xml:space="preserve">הורשע </w:t>
      </w:r>
      <w:r>
        <w:rPr>
          <w:rFonts w:ascii="David" w:hAnsi="David" w:hint="cs"/>
          <w:sz w:val="26"/>
          <w:szCs w:val="26"/>
          <w:rtl/>
        </w:rPr>
        <w:t xml:space="preserve">המערער </w:t>
      </w:r>
      <w:r w:rsidRPr="00D942AC">
        <w:rPr>
          <w:rFonts w:ascii="David" w:hAnsi="David"/>
          <w:sz w:val="26"/>
          <w:szCs w:val="26"/>
          <w:rtl/>
        </w:rPr>
        <w:t>בעבירה של החזקת נשק</w:t>
      </w:r>
      <w:r>
        <w:rPr>
          <w:rFonts w:ascii="David" w:hAnsi="David" w:hint="cs"/>
          <w:sz w:val="26"/>
          <w:szCs w:val="26"/>
          <w:rtl/>
        </w:rPr>
        <w:t>,</w:t>
      </w:r>
      <w:r w:rsidRPr="00D942AC">
        <w:rPr>
          <w:rFonts w:ascii="David" w:hAnsi="David"/>
          <w:sz w:val="26"/>
          <w:szCs w:val="26"/>
          <w:rtl/>
        </w:rPr>
        <w:t xml:space="preserve"> </w:t>
      </w:r>
      <w:r>
        <w:rPr>
          <w:rFonts w:ascii="David" w:hAnsi="David" w:hint="cs"/>
          <w:sz w:val="26"/>
          <w:szCs w:val="26"/>
          <w:rtl/>
        </w:rPr>
        <w:t>עקב כך</w:t>
      </w:r>
      <w:r w:rsidRPr="00D942AC">
        <w:rPr>
          <w:rFonts w:ascii="David" w:hAnsi="David"/>
          <w:sz w:val="26"/>
          <w:szCs w:val="26"/>
          <w:rtl/>
        </w:rPr>
        <w:t xml:space="preserve"> שהחביא בביתו אקדח חצי אוטומטי טעון במחסנית ריקה וזאת לבקשת גיסו אשר חשש שהמשטרה תאתר את האקדח בביתו. בית המשפט המחוזי קבע</w:t>
      </w:r>
      <w:r w:rsidR="00612C20">
        <w:rPr>
          <w:rFonts w:ascii="David" w:hAnsi="David"/>
          <w:sz w:val="26"/>
          <w:szCs w:val="26"/>
          <w:rtl/>
        </w:rPr>
        <w:t xml:space="preserve"> </w:t>
      </w:r>
      <w:r w:rsidRPr="00D942AC">
        <w:rPr>
          <w:rFonts w:ascii="David" w:hAnsi="David"/>
          <w:b/>
          <w:bCs/>
          <w:sz w:val="26"/>
          <w:szCs w:val="26"/>
          <w:rtl/>
        </w:rPr>
        <w:t xml:space="preserve">מתחם ענישה שנע בין </w:t>
      </w:r>
      <w:r>
        <w:rPr>
          <w:rFonts w:ascii="David" w:hAnsi="David" w:hint="cs"/>
          <w:b/>
          <w:bCs/>
          <w:sz w:val="26"/>
          <w:szCs w:val="26"/>
          <w:rtl/>
        </w:rPr>
        <w:t>9-24</w:t>
      </w:r>
      <w:r w:rsidRPr="00D942AC">
        <w:rPr>
          <w:rFonts w:ascii="David" w:hAnsi="David"/>
          <w:b/>
          <w:bCs/>
          <w:sz w:val="26"/>
          <w:szCs w:val="26"/>
          <w:rtl/>
        </w:rPr>
        <w:t xml:space="preserve"> חודשי מאסר</w:t>
      </w:r>
      <w:r w:rsidR="00612C20">
        <w:rPr>
          <w:rFonts w:ascii="David" w:hAnsi="David"/>
          <w:sz w:val="26"/>
          <w:szCs w:val="26"/>
          <w:rtl/>
        </w:rPr>
        <w:t xml:space="preserve"> </w:t>
      </w:r>
      <w:r w:rsidRPr="00D942AC">
        <w:rPr>
          <w:rFonts w:ascii="David" w:hAnsi="David"/>
          <w:sz w:val="26"/>
          <w:szCs w:val="26"/>
          <w:rtl/>
        </w:rPr>
        <w:t>והטיל על המערער 10 חודשי מאסר, לצד עונשים נלווים. בית המשפט העליון ציין כי</w:t>
      </w:r>
      <w:r w:rsidRPr="00D942AC">
        <w:rPr>
          <w:rFonts w:ascii="David" w:hAnsi="David"/>
          <w:sz w:val="26"/>
          <w:szCs w:val="26"/>
        </w:rPr>
        <w:t xml:space="preserve"> </w:t>
      </w:r>
      <w:r w:rsidRPr="00D942AC">
        <w:rPr>
          <w:rFonts w:ascii="David" w:hAnsi="David"/>
          <w:sz w:val="26"/>
          <w:szCs w:val="26"/>
          <w:rtl/>
        </w:rPr>
        <w:t xml:space="preserve">גזר דינו של בית משפט </w:t>
      </w:r>
      <w:r w:rsidRPr="00D942AC">
        <w:rPr>
          <w:rFonts w:ascii="David" w:hAnsi="David" w:hint="cs"/>
          <w:sz w:val="26"/>
          <w:szCs w:val="26"/>
          <w:rtl/>
        </w:rPr>
        <w:t>המחוזי</w:t>
      </w:r>
      <w:r w:rsidRPr="00D942AC">
        <w:rPr>
          <w:rFonts w:ascii="David" w:hAnsi="David"/>
          <w:sz w:val="26"/>
          <w:szCs w:val="26"/>
          <w:rtl/>
        </w:rPr>
        <w:t xml:space="preserve"> מתון ומאוזן, ובמצב הדברים הרגיל לא היה מקום להתערבות ערכאת ערעור</w:t>
      </w:r>
      <w:r w:rsidRPr="00D942AC">
        <w:rPr>
          <w:rFonts w:ascii="David" w:hAnsi="David" w:hint="cs"/>
          <w:sz w:val="26"/>
          <w:szCs w:val="26"/>
          <w:rtl/>
        </w:rPr>
        <w:t>.</w:t>
      </w:r>
      <w:r>
        <w:rPr>
          <w:rFonts w:ascii="David" w:hAnsi="David" w:hint="cs"/>
          <w:sz w:val="26"/>
          <w:szCs w:val="26"/>
          <w:rtl/>
        </w:rPr>
        <w:t xml:space="preserve"> אף על פי כן, הוחלט לקבל את הערעור ולהשית</w:t>
      </w:r>
      <w:r>
        <w:rPr>
          <w:rFonts w:ascii="David" w:hAnsi="David" w:hint="cs"/>
          <w:b/>
          <w:bCs/>
          <w:sz w:val="26"/>
          <w:szCs w:val="26"/>
          <w:rtl/>
        </w:rPr>
        <w:t xml:space="preserve"> 9 </w:t>
      </w:r>
      <w:r w:rsidRPr="00D942AC">
        <w:rPr>
          <w:rFonts w:ascii="David" w:hAnsi="David"/>
          <w:b/>
          <w:bCs/>
          <w:sz w:val="26"/>
          <w:szCs w:val="26"/>
          <w:rtl/>
        </w:rPr>
        <w:t xml:space="preserve">חודשי מאסר </w:t>
      </w:r>
      <w:r>
        <w:rPr>
          <w:rFonts w:ascii="David" w:hAnsi="David" w:hint="cs"/>
          <w:b/>
          <w:bCs/>
          <w:sz w:val="26"/>
          <w:szCs w:val="26"/>
          <w:rtl/>
        </w:rPr>
        <w:t>ב</w:t>
      </w:r>
      <w:r w:rsidRPr="00D942AC">
        <w:rPr>
          <w:rFonts w:ascii="David" w:hAnsi="David"/>
          <w:b/>
          <w:bCs/>
          <w:sz w:val="26"/>
          <w:szCs w:val="26"/>
          <w:rtl/>
        </w:rPr>
        <w:t>עבודות שירות</w:t>
      </w:r>
      <w:r>
        <w:rPr>
          <w:rFonts w:ascii="David" w:hAnsi="David" w:hint="cs"/>
          <w:sz w:val="26"/>
          <w:szCs w:val="26"/>
          <w:rtl/>
        </w:rPr>
        <w:t>,</w:t>
      </w:r>
      <w:r w:rsidRPr="00D942AC">
        <w:rPr>
          <w:rFonts w:ascii="David" w:hAnsi="David"/>
          <w:sz w:val="26"/>
          <w:szCs w:val="26"/>
          <w:rtl/>
        </w:rPr>
        <w:t xml:space="preserve"> </w:t>
      </w:r>
      <w:r>
        <w:rPr>
          <w:rFonts w:ascii="David" w:hAnsi="David" w:hint="cs"/>
          <w:sz w:val="26"/>
          <w:szCs w:val="26"/>
          <w:rtl/>
        </w:rPr>
        <w:t xml:space="preserve">וזאת </w:t>
      </w:r>
      <w:r w:rsidRPr="000546AE">
        <w:rPr>
          <w:rFonts w:ascii="David" w:hAnsi="David"/>
          <w:sz w:val="26"/>
          <w:szCs w:val="26"/>
          <w:u w:val="single"/>
          <w:rtl/>
        </w:rPr>
        <w:t>נוכח הנסיבות המיוחדת של התיק</w:t>
      </w:r>
      <w:r w:rsidRPr="000546AE">
        <w:rPr>
          <w:rFonts w:ascii="David" w:hAnsi="David" w:hint="cs"/>
          <w:sz w:val="26"/>
          <w:szCs w:val="26"/>
          <w:u w:val="single"/>
          <w:rtl/>
        </w:rPr>
        <w:t>, המחיר האישי ששולם בגין שיתוף הפעולה עם רשויות אכיפת החוק ועקרון אחידות הענישה</w:t>
      </w:r>
      <w:r w:rsidRPr="00D942AC">
        <w:rPr>
          <w:rFonts w:ascii="David" w:hAnsi="David"/>
          <w:sz w:val="26"/>
          <w:szCs w:val="26"/>
          <w:rtl/>
        </w:rPr>
        <w:t xml:space="preserve">.  </w:t>
      </w:r>
    </w:p>
    <w:p w14:paraId="2BF37BB6" w14:textId="77777777" w:rsidR="00E63415" w:rsidRDefault="00E63415" w:rsidP="00E63415">
      <w:pPr>
        <w:spacing w:line="360" w:lineRule="auto"/>
        <w:contextualSpacing/>
        <w:jc w:val="both"/>
        <w:rPr>
          <w:sz w:val="26"/>
          <w:szCs w:val="26"/>
          <w:rtl/>
        </w:rPr>
      </w:pPr>
    </w:p>
    <w:p w14:paraId="36DDB45C" w14:textId="77777777" w:rsidR="00E63415" w:rsidRPr="000546AE" w:rsidRDefault="00E63415" w:rsidP="00E63415">
      <w:pPr>
        <w:spacing w:line="360" w:lineRule="auto"/>
        <w:contextualSpacing/>
        <w:jc w:val="both"/>
        <w:rPr>
          <w:sz w:val="26"/>
          <w:szCs w:val="26"/>
          <w:rtl/>
        </w:rPr>
      </w:pPr>
      <w:r>
        <w:rPr>
          <w:rFonts w:hint="cs"/>
          <w:sz w:val="26"/>
          <w:szCs w:val="26"/>
          <w:rtl/>
        </w:rPr>
        <w:t>ב</w:t>
      </w:r>
      <w:hyperlink r:id="rId31" w:history="1">
        <w:r w:rsidR="00612C20" w:rsidRPr="00612C20">
          <w:rPr>
            <w:color w:val="0000FF"/>
            <w:sz w:val="26"/>
            <w:szCs w:val="26"/>
            <w:u w:val="single"/>
            <w:rtl/>
          </w:rPr>
          <w:t>ע"פ 887/20</w:t>
        </w:r>
      </w:hyperlink>
      <w:r w:rsidR="00612C20">
        <w:rPr>
          <w:sz w:val="26"/>
          <w:szCs w:val="26"/>
        </w:rPr>
        <w:t xml:space="preserve"> </w:t>
      </w:r>
      <w:r w:rsidRPr="004F666B">
        <w:rPr>
          <w:b/>
          <w:bCs/>
          <w:sz w:val="26"/>
          <w:szCs w:val="26"/>
          <w:rtl/>
        </w:rPr>
        <w:t xml:space="preserve">מתאני נ' </w:t>
      </w:r>
      <w:r w:rsidRPr="00E87CD2">
        <w:rPr>
          <w:rFonts w:ascii="David" w:hAnsi="David" w:hint="cs"/>
          <w:b/>
          <w:bCs/>
          <w:sz w:val="26"/>
          <w:szCs w:val="26"/>
          <w:rtl/>
        </w:rPr>
        <w:t xml:space="preserve">מ"י </w:t>
      </w:r>
      <w:r w:rsidRPr="004F666B">
        <w:rPr>
          <w:rFonts w:hint="cs"/>
          <w:sz w:val="26"/>
          <w:szCs w:val="26"/>
          <w:rtl/>
        </w:rPr>
        <w:t>(29.7.20),</w:t>
      </w:r>
      <w:r>
        <w:rPr>
          <w:rFonts w:hint="cs"/>
          <w:b/>
          <w:bCs/>
          <w:sz w:val="26"/>
          <w:szCs w:val="26"/>
          <w:rtl/>
        </w:rPr>
        <w:t xml:space="preserve"> </w:t>
      </w:r>
      <w:r>
        <w:rPr>
          <w:rFonts w:hint="cs"/>
          <w:sz w:val="26"/>
          <w:szCs w:val="26"/>
          <w:rtl/>
        </w:rPr>
        <w:t xml:space="preserve">הורשע המערער בכך שהחזיק על גופו אקדח טעון ב-15 כדורים. המערער צעיר ונעדר עבר פלילי. בית המשפט המחוזי קבע </w:t>
      </w:r>
      <w:r w:rsidRPr="004F666B">
        <w:rPr>
          <w:rFonts w:hint="cs"/>
          <w:b/>
          <w:bCs/>
          <w:sz w:val="26"/>
          <w:szCs w:val="26"/>
          <w:rtl/>
        </w:rPr>
        <w:t>מתחם ענישה הנע בין 9-24 חודשי</w:t>
      </w:r>
      <w:r>
        <w:rPr>
          <w:rFonts w:hint="cs"/>
          <w:sz w:val="26"/>
          <w:szCs w:val="26"/>
          <w:rtl/>
        </w:rPr>
        <w:t xml:space="preserve"> מאסר והטיל על הנאשם 10 חודשי מאסר בפועל.</w:t>
      </w:r>
      <w:r w:rsidRPr="004F666B">
        <w:rPr>
          <w:sz w:val="26"/>
          <w:szCs w:val="26"/>
          <w:rtl/>
        </w:rPr>
        <w:t xml:space="preserve"> </w:t>
      </w:r>
      <w:r>
        <w:rPr>
          <w:rFonts w:hint="cs"/>
          <w:sz w:val="26"/>
          <w:szCs w:val="26"/>
          <w:rtl/>
        </w:rPr>
        <w:t xml:space="preserve">בית המשפט העליון ציין כי מדובר בעונש מתון ובכל זאת הקל בעונש </w:t>
      </w:r>
      <w:r w:rsidRPr="004F666B">
        <w:rPr>
          <w:sz w:val="26"/>
          <w:szCs w:val="26"/>
          <w:rtl/>
        </w:rPr>
        <w:t xml:space="preserve">וגזר </w:t>
      </w:r>
      <w:r w:rsidRPr="004F666B">
        <w:rPr>
          <w:b/>
          <w:bCs/>
          <w:sz w:val="26"/>
          <w:szCs w:val="26"/>
          <w:rtl/>
        </w:rPr>
        <w:t xml:space="preserve">9 חודשי מאסר בדרך של עבודות </w:t>
      </w:r>
      <w:r>
        <w:rPr>
          <w:rFonts w:hint="cs"/>
          <w:b/>
          <w:bCs/>
          <w:sz w:val="26"/>
          <w:szCs w:val="26"/>
          <w:rtl/>
        </w:rPr>
        <w:t>שירות</w:t>
      </w:r>
      <w:r>
        <w:rPr>
          <w:rFonts w:hint="cs"/>
          <w:sz w:val="26"/>
          <w:szCs w:val="26"/>
          <w:rtl/>
        </w:rPr>
        <w:t xml:space="preserve">, וזאת </w:t>
      </w:r>
      <w:r w:rsidRPr="000546AE">
        <w:rPr>
          <w:rFonts w:hint="cs"/>
          <w:sz w:val="26"/>
          <w:szCs w:val="26"/>
          <w:u w:val="single"/>
          <w:rtl/>
        </w:rPr>
        <w:t>לאור העבר הנקי, הגיל הצעיר, הנסיבות האישיות והתסקיר שהוגש, אשר הוגדר "חיובי ביותר".</w:t>
      </w:r>
    </w:p>
    <w:p w14:paraId="725CEC95" w14:textId="77777777" w:rsidR="00E63415" w:rsidRPr="00A66ECF" w:rsidRDefault="00E63415" w:rsidP="00E63415">
      <w:pPr>
        <w:spacing w:line="360" w:lineRule="auto"/>
        <w:contextualSpacing/>
        <w:jc w:val="both"/>
        <w:rPr>
          <w:rFonts w:ascii="David" w:hAnsi="David"/>
          <w:sz w:val="26"/>
          <w:szCs w:val="26"/>
          <w:rtl/>
        </w:rPr>
      </w:pPr>
    </w:p>
    <w:p w14:paraId="71ED150D" w14:textId="77777777" w:rsidR="00E63415" w:rsidRPr="000546AE" w:rsidRDefault="00E63415" w:rsidP="00E63415">
      <w:pPr>
        <w:spacing w:line="360" w:lineRule="auto"/>
        <w:contextualSpacing/>
        <w:jc w:val="both"/>
        <w:rPr>
          <w:sz w:val="26"/>
          <w:szCs w:val="26"/>
          <w:rtl/>
        </w:rPr>
      </w:pPr>
      <w:r>
        <w:rPr>
          <w:rFonts w:hint="cs"/>
          <w:sz w:val="26"/>
          <w:szCs w:val="26"/>
          <w:rtl/>
        </w:rPr>
        <w:t>דוגמה נוספת ניתן למצוא ב</w:t>
      </w:r>
      <w:hyperlink r:id="rId32" w:history="1">
        <w:r w:rsidR="00612C20" w:rsidRPr="00612C20">
          <w:rPr>
            <w:color w:val="0000FF"/>
            <w:sz w:val="26"/>
            <w:szCs w:val="26"/>
            <w:u w:val="single"/>
            <w:rtl/>
          </w:rPr>
          <w:t>ע"פ 3924/20</w:t>
        </w:r>
      </w:hyperlink>
      <w:r>
        <w:rPr>
          <w:rFonts w:hint="cs"/>
          <w:sz w:val="26"/>
          <w:szCs w:val="26"/>
          <w:rtl/>
        </w:rPr>
        <w:t xml:space="preserve"> </w:t>
      </w:r>
      <w:r>
        <w:rPr>
          <w:rFonts w:hint="cs"/>
          <w:b/>
          <w:bCs/>
          <w:sz w:val="26"/>
          <w:szCs w:val="26"/>
          <w:rtl/>
        </w:rPr>
        <w:t>פלאח נ' מ"י</w:t>
      </w:r>
      <w:r>
        <w:rPr>
          <w:rFonts w:hint="cs"/>
          <w:sz w:val="26"/>
          <w:szCs w:val="26"/>
          <w:rtl/>
        </w:rPr>
        <w:t xml:space="preserve"> (10.12.20), שם הומר עונש מאסר בן 15 חודשים שהטיל בית המשפט המחוזי בגין עבירה של נשיאת נשק, ב-</w:t>
      </w:r>
      <w:r w:rsidRPr="007214F0">
        <w:rPr>
          <w:b/>
          <w:bCs/>
          <w:sz w:val="26"/>
          <w:szCs w:val="26"/>
          <w:rtl/>
        </w:rPr>
        <w:t xml:space="preserve">9 </w:t>
      </w:r>
      <w:r w:rsidRPr="007214F0">
        <w:rPr>
          <w:rFonts w:hint="eastAsia"/>
          <w:b/>
          <w:bCs/>
          <w:sz w:val="26"/>
          <w:szCs w:val="26"/>
          <w:rtl/>
        </w:rPr>
        <w:t>חודשי</w:t>
      </w:r>
      <w:r w:rsidRPr="007214F0">
        <w:rPr>
          <w:b/>
          <w:bCs/>
          <w:sz w:val="26"/>
          <w:szCs w:val="26"/>
          <w:rtl/>
        </w:rPr>
        <w:t xml:space="preserve"> </w:t>
      </w:r>
      <w:r w:rsidRPr="007214F0">
        <w:rPr>
          <w:rFonts w:hint="eastAsia"/>
          <w:b/>
          <w:bCs/>
          <w:sz w:val="26"/>
          <w:szCs w:val="26"/>
          <w:rtl/>
        </w:rPr>
        <w:t>מאסר</w:t>
      </w:r>
      <w:r w:rsidRPr="007214F0">
        <w:rPr>
          <w:b/>
          <w:bCs/>
          <w:sz w:val="26"/>
          <w:szCs w:val="26"/>
          <w:rtl/>
        </w:rPr>
        <w:t xml:space="preserve"> </w:t>
      </w:r>
      <w:r w:rsidRPr="007214F0">
        <w:rPr>
          <w:rFonts w:hint="eastAsia"/>
          <w:b/>
          <w:bCs/>
          <w:sz w:val="26"/>
          <w:szCs w:val="26"/>
          <w:rtl/>
        </w:rPr>
        <w:t>בעבודות</w:t>
      </w:r>
      <w:r w:rsidRPr="007214F0">
        <w:rPr>
          <w:b/>
          <w:bCs/>
          <w:sz w:val="26"/>
          <w:szCs w:val="26"/>
          <w:rtl/>
        </w:rPr>
        <w:t xml:space="preserve"> </w:t>
      </w:r>
      <w:r w:rsidRPr="007214F0">
        <w:rPr>
          <w:rFonts w:hint="eastAsia"/>
          <w:b/>
          <w:bCs/>
          <w:sz w:val="26"/>
          <w:szCs w:val="26"/>
          <w:rtl/>
        </w:rPr>
        <w:t>שירות</w:t>
      </w:r>
      <w:r>
        <w:rPr>
          <w:rFonts w:hint="cs"/>
          <w:sz w:val="26"/>
          <w:szCs w:val="26"/>
          <w:rtl/>
        </w:rPr>
        <w:t xml:space="preserve">, </w:t>
      </w:r>
      <w:r w:rsidRPr="000546AE">
        <w:rPr>
          <w:rFonts w:hint="cs"/>
          <w:sz w:val="26"/>
          <w:szCs w:val="26"/>
          <w:u w:val="single"/>
          <w:rtl/>
        </w:rPr>
        <w:t>וזאת בהינתן הנסיבות המיוחדות של המקרה, התסקיר שהוגש, הגיל הצעיר, היעדר העבר והעונש שהושת על השותף למעשה</w:t>
      </w:r>
      <w:r>
        <w:rPr>
          <w:rFonts w:hint="cs"/>
          <w:sz w:val="26"/>
          <w:szCs w:val="26"/>
          <w:rtl/>
        </w:rPr>
        <w:t xml:space="preserve">. בדומה, במסגרת </w:t>
      </w:r>
      <w:hyperlink r:id="rId33" w:history="1">
        <w:r w:rsidR="00612C20" w:rsidRPr="00612C20">
          <w:rPr>
            <w:color w:val="0000FF"/>
            <w:sz w:val="26"/>
            <w:szCs w:val="26"/>
            <w:u w:val="single"/>
            <w:rtl/>
          </w:rPr>
          <w:t>ע"פ 5807/20</w:t>
        </w:r>
      </w:hyperlink>
      <w:r>
        <w:rPr>
          <w:rFonts w:hint="cs"/>
          <w:sz w:val="26"/>
          <w:szCs w:val="26"/>
          <w:rtl/>
        </w:rPr>
        <w:t xml:space="preserve"> </w:t>
      </w:r>
      <w:r>
        <w:rPr>
          <w:rFonts w:hint="cs"/>
          <w:b/>
          <w:bCs/>
          <w:sz w:val="26"/>
          <w:szCs w:val="26"/>
          <w:rtl/>
        </w:rPr>
        <w:t>פלוני נ' מ"י</w:t>
      </w:r>
      <w:r>
        <w:rPr>
          <w:rFonts w:hint="cs"/>
          <w:sz w:val="26"/>
          <w:szCs w:val="26"/>
          <w:rtl/>
        </w:rPr>
        <w:t xml:space="preserve"> (30.12.20) הומר עונש של 12 חודשי מאסר בגין עבירה דומה ל-</w:t>
      </w:r>
      <w:r w:rsidRPr="007214F0">
        <w:rPr>
          <w:b/>
          <w:bCs/>
          <w:sz w:val="26"/>
          <w:szCs w:val="26"/>
          <w:rtl/>
        </w:rPr>
        <w:t xml:space="preserve">9 </w:t>
      </w:r>
      <w:r w:rsidRPr="007214F0">
        <w:rPr>
          <w:rFonts w:hint="eastAsia"/>
          <w:b/>
          <w:bCs/>
          <w:sz w:val="26"/>
          <w:szCs w:val="26"/>
          <w:rtl/>
        </w:rPr>
        <w:t>חודשי</w:t>
      </w:r>
      <w:r w:rsidRPr="007214F0">
        <w:rPr>
          <w:b/>
          <w:bCs/>
          <w:sz w:val="26"/>
          <w:szCs w:val="26"/>
          <w:rtl/>
        </w:rPr>
        <w:t xml:space="preserve"> </w:t>
      </w:r>
      <w:r w:rsidRPr="007214F0">
        <w:rPr>
          <w:rFonts w:hint="eastAsia"/>
          <w:b/>
          <w:bCs/>
          <w:sz w:val="26"/>
          <w:szCs w:val="26"/>
          <w:rtl/>
        </w:rPr>
        <w:t>מאסר</w:t>
      </w:r>
      <w:r w:rsidRPr="007214F0">
        <w:rPr>
          <w:b/>
          <w:bCs/>
          <w:sz w:val="26"/>
          <w:szCs w:val="26"/>
          <w:rtl/>
        </w:rPr>
        <w:t xml:space="preserve"> </w:t>
      </w:r>
      <w:r w:rsidRPr="007214F0">
        <w:rPr>
          <w:rFonts w:hint="eastAsia"/>
          <w:b/>
          <w:bCs/>
          <w:sz w:val="26"/>
          <w:szCs w:val="26"/>
          <w:rtl/>
        </w:rPr>
        <w:t>בעבודות</w:t>
      </w:r>
      <w:r w:rsidRPr="007214F0">
        <w:rPr>
          <w:b/>
          <w:bCs/>
          <w:sz w:val="26"/>
          <w:szCs w:val="26"/>
          <w:rtl/>
        </w:rPr>
        <w:t xml:space="preserve"> </w:t>
      </w:r>
      <w:r w:rsidRPr="007214F0">
        <w:rPr>
          <w:rFonts w:hint="eastAsia"/>
          <w:b/>
          <w:bCs/>
          <w:sz w:val="26"/>
          <w:szCs w:val="26"/>
          <w:rtl/>
        </w:rPr>
        <w:t>שירות</w:t>
      </w:r>
      <w:r>
        <w:rPr>
          <w:rFonts w:hint="cs"/>
          <w:sz w:val="26"/>
          <w:szCs w:val="26"/>
          <w:rtl/>
        </w:rPr>
        <w:t xml:space="preserve">, לאחר </w:t>
      </w:r>
      <w:r w:rsidRPr="000546AE">
        <w:rPr>
          <w:rFonts w:hint="cs"/>
          <w:sz w:val="26"/>
          <w:szCs w:val="26"/>
          <w:u w:val="single"/>
          <w:rtl/>
        </w:rPr>
        <w:t>שנקבע כי מדובר "במקרה חריג שבחריגים", לאור נסיבות ביצוע העבירה ומצבו האישי, הנפשי והמשפחתי של הנאשם</w:t>
      </w:r>
      <w:r>
        <w:rPr>
          <w:rFonts w:hint="cs"/>
          <w:sz w:val="26"/>
          <w:szCs w:val="26"/>
          <w:rtl/>
        </w:rPr>
        <w:t>.</w:t>
      </w:r>
    </w:p>
    <w:p w14:paraId="2F4D768E" w14:textId="77777777" w:rsidR="00E63415" w:rsidRDefault="00E63415" w:rsidP="00E63415">
      <w:pPr>
        <w:spacing w:line="360" w:lineRule="auto"/>
        <w:contextualSpacing/>
        <w:jc w:val="both"/>
        <w:rPr>
          <w:sz w:val="26"/>
          <w:szCs w:val="26"/>
          <w:rtl/>
        </w:rPr>
      </w:pPr>
    </w:p>
    <w:p w14:paraId="49C9EF8A" w14:textId="77777777" w:rsidR="00E63415" w:rsidRPr="000546AE" w:rsidRDefault="00E63415" w:rsidP="00E63415">
      <w:pPr>
        <w:spacing w:line="360" w:lineRule="auto"/>
        <w:contextualSpacing/>
        <w:jc w:val="both"/>
        <w:rPr>
          <w:sz w:val="26"/>
          <w:szCs w:val="26"/>
          <w:rtl/>
        </w:rPr>
      </w:pPr>
    </w:p>
    <w:p w14:paraId="62F765AF" w14:textId="77777777" w:rsidR="00E63415" w:rsidRDefault="00E63415" w:rsidP="00E63415">
      <w:pPr>
        <w:spacing w:line="360" w:lineRule="auto"/>
        <w:contextualSpacing/>
        <w:jc w:val="both"/>
        <w:rPr>
          <w:sz w:val="26"/>
          <w:szCs w:val="26"/>
          <w:rtl/>
        </w:rPr>
      </w:pPr>
      <w:r>
        <w:rPr>
          <w:rFonts w:hint="cs"/>
          <w:sz w:val="26"/>
          <w:szCs w:val="26"/>
          <w:rtl/>
        </w:rPr>
        <w:t xml:space="preserve">גם אני עצמי החלטתי אך לאחרונה לחרוג לקולה ממתחם העונש ההולם ולהסתפק בעונש מאסר בעבודות שירות, בעניינו של נאשם נטול עבר פלילי, אשר בהיותו כבן 19 בלבד החזיק באקדח ובמחסנית ריקה ובהמשך השכיל להשתלב בהליך טיפולי קבוצתי ייעודי, בו הוא משתף פעולה באופן מלא, מפגין מאמצים ניכרים ומוטיבציה גבוהה והסיכון להישנות העבירות בעניינו נמוך </w:t>
      </w:r>
      <w:r>
        <w:rPr>
          <w:sz w:val="26"/>
          <w:szCs w:val="26"/>
          <w:rtl/>
        </w:rPr>
        <w:t>–</w:t>
      </w:r>
      <w:r>
        <w:rPr>
          <w:rFonts w:hint="cs"/>
          <w:sz w:val="26"/>
          <w:szCs w:val="26"/>
          <w:rtl/>
        </w:rPr>
        <w:t xml:space="preserve"> ראו גזר הדין ב</w:t>
      </w:r>
      <w:hyperlink r:id="rId34" w:history="1">
        <w:r w:rsidR="00612C20" w:rsidRPr="00612C20">
          <w:rPr>
            <w:color w:val="0000FF"/>
            <w:sz w:val="26"/>
            <w:szCs w:val="26"/>
            <w:u w:val="single"/>
            <w:rtl/>
          </w:rPr>
          <w:t>ת"פ (מרכז) 52256-03-20</w:t>
        </w:r>
      </w:hyperlink>
      <w:r>
        <w:rPr>
          <w:rFonts w:hint="cs"/>
          <w:sz w:val="26"/>
          <w:szCs w:val="26"/>
          <w:rtl/>
        </w:rPr>
        <w:t xml:space="preserve"> </w:t>
      </w:r>
      <w:r>
        <w:rPr>
          <w:rFonts w:hint="cs"/>
          <w:b/>
          <w:bCs/>
          <w:sz w:val="26"/>
          <w:szCs w:val="26"/>
          <w:rtl/>
        </w:rPr>
        <w:t>מ"י נ' אזברגה</w:t>
      </w:r>
      <w:r>
        <w:rPr>
          <w:rFonts w:hint="cs"/>
          <w:sz w:val="26"/>
          <w:szCs w:val="26"/>
          <w:rtl/>
        </w:rPr>
        <w:t xml:space="preserve"> (12.4.22).</w:t>
      </w:r>
    </w:p>
    <w:p w14:paraId="4804E1A3" w14:textId="77777777" w:rsidR="00E63415" w:rsidRDefault="00E63415" w:rsidP="00E63415">
      <w:pPr>
        <w:spacing w:line="360" w:lineRule="auto"/>
        <w:contextualSpacing/>
        <w:jc w:val="both"/>
        <w:rPr>
          <w:sz w:val="26"/>
          <w:szCs w:val="26"/>
          <w:rtl/>
        </w:rPr>
      </w:pPr>
    </w:p>
    <w:p w14:paraId="7E50F5BD" w14:textId="77777777" w:rsidR="00E63415" w:rsidRPr="001D3786" w:rsidRDefault="00E63415" w:rsidP="00E63415">
      <w:pPr>
        <w:spacing w:line="360" w:lineRule="auto"/>
        <w:contextualSpacing/>
        <w:jc w:val="both"/>
        <w:rPr>
          <w:sz w:val="26"/>
          <w:szCs w:val="26"/>
          <w:rtl/>
        </w:rPr>
      </w:pPr>
      <w:r>
        <w:rPr>
          <w:rFonts w:hint="cs"/>
          <w:sz w:val="26"/>
          <w:szCs w:val="26"/>
          <w:rtl/>
        </w:rPr>
        <w:t>לצד מקרים בודדים ויוצאי דופן אלה, הכלל הגורף והמתחייב הוא מאסר של ממש. בהקשר זה עומד לנאשם לרועץ האינטרס הציבורי המובהק בהרתעת הרבים מפני ביצוע עבירות נשק, אשר הפכו זה מכבר למכת מדינה של ממש, וביתר שאת באזורנו. על רקע זה אף הודגש לאורך השנים האחרונות הצורך בהחמרת הענישה ובמאבק נטול פשרות בתופעה עבריינית זו, אשר מאופיינ</w:t>
      </w:r>
      <w:r>
        <w:rPr>
          <w:rFonts w:hint="eastAsia"/>
          <w:sz w:val="26"/>
          <w:szCs w:val="26"/>
          <w:rtl/>
        </w:rPr>
        <w:t>ת</w:t>
      </w:r>
      <w:r>
        <w:rPr>
          <w:rFonts w:hint="cs"/>
          <w:sz w:val="26"/>
          <w:szCs w:val="26"/>
          <w:rtl/>
        </w:rPr>
        <w:t xml:space="preserve"> לא פעם במעורבותם של נאשמים צעירים ונטולי עבר פלילי. עוד ראוי להזכיר, כי </w:t>
      </w:r>
      <w:r w:rsidRPr="001D3786">
        <w:rPr>
          <w:sz w:val="26"/>
          <w:szCs w:val="26"/>
          <w:rtl/>
        </w:rPr>
        <w:t>בהתאם לפסיקת בית המשפט העליון, ככל שמדובר בעבירות חמורות יותר, כך יהיה הנטל המוטל על הנאשם לבסס את ההצדקה להקלה מטעמי שיקום מכביד יותר. כך, למשל, נקבע ב</w:t>
      </w:r>
      <w:hyperlink r:id="rId35" w:history="1">
        <w:r w:rsidR="00612C20" w:rsidRPr="00612C20">
          <w:rPr>
            <w:color w:val="0000FF"/>
            <w:sz w:val="26"/>
            <w:szCs w:val="26"/>
            <w:u w:val="single"/>
            <w:rtl/>
          </w:rPr>
          <w:t>ע"פ 9036/18</w:t>
        </w:r>
      </w:hyperlink>
      <w:r w:rsidRPr="001D3786">
        <w:rPr>
          <w:sz w:val="26"/>
          <w:szCs w:val="26"/>
          <w:rtl/>
        </w:rPr>
        <w:t xml:space="preserve"> </w:t>
      </w:r>
      <w:r w:rsidRPr="007214F0">
        <w:rPr>
          <w:b/>
          <w:bCs/>
          <w:sz w:val="26"/>
          <w:szCs w:val="26"/>
          <w:rtl/>
        </w:rPr>
        <w:t>פלוני נ' מ"י</w:t>
      </w:r>
      <w:r w:rsidRPr="001D3786">
        <w:rPr>
          <w:sz w:val="26"/>
          <w:szCs w:val="26"/>
          <w:rtl/>
        </w:rPr>
        <w:t xml:space="preserve"> (27.1.20) כי: </w:t>
      </w:r>
    </w:p>
    <w:p w14:paraId="02F05777" w14:textId="77777777" w:rsidR="00E63415" w:rsidRPr="001D3786" w:rsidRDefault="00E63415" w:rsidP="00E63415">
      <w:pPr>
        <w:jc w:val="both"/>
        <w:rPr>
          <w:rFonts w:ascii="David" w:hAnsi="David"/>
          <w:sz w:val="26"/>
          <w:rtl/>
        </w:rPr>
      </w:pPr>
    </w:p>
    <w:p w14:paraId="595810D3" w14:textId="77777777" w:rsidR="00E63415" w:rsidRPr="001D3786" w:rsidRDefault="00E63415" w:rsidP="00E63415">
      <w:pPr>
        <w:spacing w:line="360" w:lineRule="auto"/>
        <w:ind w:left="851" w:right="851"/>
        <w:jc w:val="both"/>
        <w:rPr>
          <w:rFonts w:ascii="David" w:hAnsi="David"/>
          <w:b/>
          <w:bCs/>
          <w:sz w:val="26"/>
          <w:szCs w:val="26"/>
          <w:rtl/>
        </w:rPr>
      </w:pPr>
      <w:r w:rsidRPr="001D3786">
        <w:rPr>
          <w:rFonts w:ascii="David" w:hAnsi="David"/>
          <w:b/>
          <w:bCs/>
          <w:sz w:val="26"/>
          <w:szCs w:val="26"/>
          <w:rtl/>
        </w:rPr>
        <w:t>"</w:t>
      </w:r>
      <w:r w:rsidRPr="00612C20">
        <w:rPr>
          <w:rFonts w:ascii="David" w:hAnsi="David"/>
          <w:b/>
          <w:bCs/>
          <w:color w:val="000000"/>
          <w:sz w:val="26"/>
          <w:szCs w:val="26"/>
          <w:rtl/>
        </w:rPr>
        <w:t>סעיף 40ד(א)</w:t>
      </w:r>
      <w:r w:rsidRPr="001D3786">
        <w:rPr>
          <w:rFonts w:ascii="David" w:hAnsi="David"/>
          <w:b/>
          <w:bCs/>
          <w:sz w:val="26"/>
          <w:szCs w:val="26"/>
          <w:rtl/>
        </w:rPr>
        <w:t xml:space="preserve"> ל</w:t>
      </w:r>
      <w:hyperlink r:id="rId36" w:history="1">
        <w:r w:rsidR="00612C20" w:rsidRPr="00612C20">
          <w:rPr>
            <w:rFonts w:ascii="David" w:hAnsi="David"/>
            <w:b/>
            <w:bCs/>
            <w:color w:val="0000FF"/>
            <w:sz w:val="26"/>
            <w:szCs w:val="26"/>
            <w:u w:val="single"/>
            <w:rtl/>
          </w:rPr>
          <w:t>חוק העונשין</w:t>
        </w:r>
      </w:hyperlink>
      <w:r w:rsidRPr="001D3786">
        <w:rPr>
          <w:rFonts w:ascii="David" w:hAnsi="David"/>
          <w:b/>
          <w:bCs/>
          <w:sz w:val="26"/>
          <w:szCs w:val="26"/>
          <w:rtl/>
        </w:rPr>
        <w:t xml:space="preserve"> האמור, איננו מטיל חובה על בית המשפט לחרוג ממתחם העונש ההולם, גם אם מדובר בנאשם שהשתקם, או כאשר קיים סיכוי של ממש שישתקם, אלא מדובר בסמכות שברשות בלבד (ראו: </w:t>
      </w:r>
      <w:hyperlink r:id="rId37" w:history="1">
        <w:r w:rsidR="00612C20" w:rsidRPr="00612C20">
          <w:rPr>
            <w:rFonts w:ascii="David" w:hAnsi="David"/>
            <w:b/>
            <w:bCs/>
            <w:color w:val="0000FF"/>
            <w:sz w:val="26"/>
            <w:szCs w:val="26"/>
            <w:u w:val="single"/>
            <w:rtl/>
          </w:rPr>
          <w:t>ע"פ 3102/14</w:t>
        </w:r>
      </w:hyperlink>
      <w:r w:rsidRPr="001D3786">
        <w:rPr>
          <w:rFonts w:ascii="David" w:hAnsi="David"/>
          <w:b/>
          <w:bCs/>
          <w:sz w:val="26"/>
          <w:szCs w:val="26"/>
          <w:rtl/>
        </w:rPr>
        <w:t xml:space="preserve"> פלוני נ' מ"י, פיסקה 21 לפסק דינו של כב' השופט א' שהם (17.11.2014)). בעניין זה, נקבע בפסיקה כי </w:t>
      </w:r>
      <w:r w:rsidRPr="001D3786">
        <w:rPr>
          <w:rFonts w:ascii="David" w:hAnsi="David"/>
          <w:b/>
          <w:bCs/>
          <w:sz w:val="26"/>
          <w:szCs w:val="26"/>
          <w:u w:val="single"/>
          <w:rtl/>
        </w:rPr>
        <w:t>ככל שהעבירה בה הורשע הנאשם ונסיבותיה חמורות יותר, כך גובר הנטל המוטל על הנאשם להראות הליך שיקומי מתקדם יותר, או סיכויי שיקום מובהקים יותר, כדי להצדיק סטייה לקולא ממתחם העונש ההולם</w:t>
      </w:r>
      <w:r w:rsidRPr="001D3786">
        <w:rPr>
          <w:rFonts w:ascii="David" w:hAnsi="David"/>
          <w:b/>
          <w:bCs/>
          <w:sz w:val="26"/>
          <w:szCs w:val="26"/>
          <w:rtl/>
        </w:rPr>
        <w:t xml:space="preserve"> (ראו: </w:t>
      </w:r>
      <w:hyperlink r:id="rId38" w:history="1">
        <w:r w:rsidR="00612C20" w:rsidRPr="00612C20">
          <w:rPr>
            <w:rFonts w:ascii="David" w:hAnsi="David"/>
            <w:b/>
            <w:bCs/>
            <w:color w:val="0000FF"/>
            <w:sz w:val="26"/>
            <w:szCs w:val="26"/>
            <w:u w:val="single"/>
            <w:rtl/>
          </w:rPr>
          <w:t>ע"פ 5936/13</w:t>
        </w:r>
      </w:hyperlink>
      <w:r w:rsidRPr="001D3786">
        <w:rPr>
          <w:rFonts w:ascii="David" w:hAnsi="David"/>
          <w:b/>
          <w:bCs/>
          <w:sz w:val="26"/>
          <w:szCs w:val="26"/>
          <w:rtl/>
        </w:rPr>
        <w:t xml:space="preserve"> פלוני נ' מ"י, פיסקה 5 (14.01.2015) (להלן: </w:t>
      </w:r>
      <w:hyperlink r:id="rId39" w:history="1">
        <w:r w:rsidR="00612C20" w:rsidRPr="00612C20">
          <w:rPr>
            <w:rFonts w:ascii="David" w:hAnsi="David"/>
            <w:b/>
            <w:bCs/>
            <w:color w:val="0000FF"/>
            <w:sz w:val="26"/>
            <w:szCs w:val="26"/>
            <w:u w:val="single"/>
            <w:rtl/>
          </w:rPr>
          <w:t>ע"פ 5936/13</w:t>
        </w:r>
      </w:hyperlink>
      <w:r w:rsidRPr="001D3786">
        <w:rPr>
          <w:rFonts w:ascii="David" w:hAnsi="David"/>
          <w:b/>
          <w:bCs/>
          <w:sz w:val="26"/>
          <w:szCs w:val="26"/>
          <w:rtl/>
        </w:rPr>
        <w:t xml:space="preserve">); </w:t>
      </w:r>
      <w:hyperlink r:id="rId40" w:history="1">
        <w:r w:rsidR="00612C20" w:rsidRPr="00612C20">
          <w:rPr>
            <w:rFonts w:ascii="David" w:hAnsi="David"/>
            <w:b/>
            <w:bCs/>
            <w:color w:val="0000FF"/>
            <w:sz w:val="26"/>
            <w:szCs w:val="26"/>
            <w:u w:val="single"/>
            <w:rtl/>
          </w:rPr>
          <w:t>ע"פ 1170/15</w:t>
        </w:r>
      </w:hyperlink>
      <w:r w:rsidRPr="001D3786">
        <w:rPr>
          <w:rFonts w:ascii="David" w:hAnsi="David"/>
          <w:b/>
          <w:bCs/>
          <w:sz w:val="26"/>
          <w:szCs w:val="26"/>
          <w:rtl/>
        </w:rPr>
        <w:t xml:space="preserve">, פיסקה 21)." </w:t>
      </w:r>
    </w:p>
    <w:p w14:paraId="228A4905" w14:textId="77777777" w:rsidR="00E63415" w:rsidRDefault="00E63415" w:rsidP="00E63415">
      <w:pPr>
        <w:spacing w:line="360" w:lineRule="auto"/>
        <w:contextualSpacing/>
        <w:jc w:val="both"/>
        <w:rPr>
          <w:sz w:val="26"/>
          <w:szCs w:val="26"/>
          <w:rtl/>
        </w:rPr>
      </w:pPr>
    </w:p>
    <w:p w14:paraId="2E20118B" w14:textId="77777777" w:rsidR="00E63415" w:rsidRDefault="00E63415" w:rsidP="00E63415">
      <w:pPr>
        <w:spacing w:line="360" w:lineRule="auto"/>
        <w:contextualSpacing/>
        <w:jc w:val="both"/>
        <w:rPr>
          <w:sz w:val="26"/>
          <w:szCs w:val="26"/>
          <w:rtl/>
        </w:rPr>
      </w:pPr>
      <w:r>
        <w:rPr>
          <w:rFonts w:hint="cs"/>
          <w:sz w:val="26"/>
          <w:szCs w:val="26"/>
          <w:rtl/>
        </w:rPr>
        <w:t xml:space="preserve">עניינו של הנאשם אינו פשוט ומתעוררים במקרה זה שיקולים לכאן ולכאן, אשר חלקם תומכים במתן הזדמנות שיקומית, בעוד האחרים מטים את הכף לחומרה. בין השיקולים המקלים יש למנות את התרשמות שירות המבחן מההפחתה שחלה בסיכון בעניינו של הנאשם ואת גורמי הסיכוי לשיקום שפורטו בתסקיר, לרבות ניתוק קשרים שוליים, שאיפה לניהול אורח חיים נורמטיבי והעדר דפוסים שוליים מושרשים. </w:t>
      </w:r>
    </w:p>
    <w:p w14:paraId="1F4DDB56" w14:textId="77777777" w:rsidR="00E63415" w:rsidRDefault="00E63415" w:rsidP="00E63415">
      <w:pPr>
        <w:spacing w:line="360" w:lineRule="auto"/>
        <w:contextualSpacing/>
        <w:jc w:val="both"/>
        <w:rPr>
          <w:sz w:val="26"/>
          <w:szCs w:val="26"/>
          <w:rtl/>
        </w:rPr>
      </w:pPr>
    </w:p>
    <w:p w14:paraId="08E443EB" w14:textId="77777777" w:rsidR="00E63415" w:rsidRDefault="00E63415" w:rsidP="00E63415">
      <w:pPr>
        <w:spacing w:line="360" w:lineRule="auto"/>
        <w:contextualSpacing/>
        <w:jc w:val="both"/>
        <w:rPr>
          <w:sz w:val="26"/>
          <w:szCs w:val="26"/>
          <w:rtl/>
        </w:rPr>
      </w:pPr>
      <w:r>
        <w:rPr>
          <w:rFonts w:hint="cs"/>
          <w:sz w:val="26"/>
          <w:szCs w:val="26"/>
          <w:rtl/>
        </w:rPr>
        <w:t xml:space="preserve">מנגד, אין מנוס מלהצביע על כך שההליך הטיפולי בו נטל הנאשם חלק היה דל וראשוני בלבד. מדובר בכך שהשתתף בקבוצה טיפולית המיועדת לעצורי בית, למשך מספר חודשים בסמוך לאחר ביצוע העבירה. ברי כי אין מדובר בטיפול ייעודי בתחום עבירות הנשק או למצער טיפול מקיף שבכוחו להביא לשינוי דפוסים ארוך טווח. מאז, ולאורך השנתיים האחרונות כולן, לא השתלב הנאשם בכל מסגרת טיפולית נוספת, והוא אף אינו מבטא כל נזקקות טיפולית. </w:t>
      </w:r>
    </w:p>
    <w:p w14:paraId="380E4166" w14:textId="77777777" w:rsidR="00E63415" w:rsidRDefault="00E63415" w:rsidP="00E63415">
      <w:pPr>
        <w:spacing w:line="360" w:lineRule="auto"/>
        <w:contextualSpacing/>
        <w:jc w:val="both"/>
        <w:rPr>
          <w:sz w:val="26"/>
          <w:szCs w:val="26"/>
          <w:rtl/>
        </w:rPr>
      </w:pPr>
    </w:p>
    <w:p w14:paraId="15EFB448" w14:textId="77777777" w:rsidR="00E63415" w:rsidRDefault="00E63415" w:rsidP="00E63415">
      <w:pPr>
        <w:spacing w:line="360" w:lineRule="auto"/>
        <w:contextualSpacing/>
        <w:jc w:val="both"/>
        <w:rPr>
          <w:sz w:val="26"/>
          <w:szCs w:val="26"/>
          <w:rtl/>
        </w:rPr>
      </w:pPr>
      <w:r>
        <w:rPr>
          <w:rFonts w:hint="cs"/>
          <w:sz w:val="26"/>
          <w:szCs w:val="26"/>
          <w:rtl/>
        </w:rPr>
        <w:t xml:space="preserve">שירות המבחן אמנם התרשם כי הנאשם שיתף פעולה ונעזר בהליך הטיפולי בהתאם ליכולותיו, אך התסקיר מצביע גם על קשיים שעדיין נותרו ועל גורמי סיכון. כך למשל קיים גם כיום קושי להעמיק בנסיבות ביצוע העבירה, קיימים פערי דיווח בין האבחון הקודם לנוכחי וקיימים קשיים בהפעלת שיקול דעת ובהצבת גבולות לגורמים שוליים. שירות המבחן אינו בא בהמלצה טיפולית כלשהי, ואך ממליץ להתחשב בנתונים החיוביים שבתסקיר. בנסיבות אלה, על אף הנתונים החיוביים המסוימים העולים מהתסקיר, אינני סבור כי מדובר באחד מאותם מקרים "חריגים שבחריגים", המצדיקים הימנעות מהטלת עונש מאסר ממשי בגין עבירה של נשיאת נשק, גם אם ברף התחתון של המתחם. </w:t>
      </w:r>
    </w:p>
    <w:p w14:paraId="27E3F9E9" w14:textId="77777777" w:rsidR="00E63415" w:rsidRDefault="00E63415" w:rsidP="00E63415">
      <w:pPr>
        <w:spacing w:line="360" w:lineRule="auto"/>
        <w:contextualSpacing/>
        <w:jc w:val="both"/>
        <w:rPr>
          <w:sz w:val="26"/>
          <w:szCs w:val="26"/>
          <w:rtl/>
        </w:rPr>
      </w:pPr>
    </w:p>
    <w:p w14:paraId="6FF72B9F" w14:textId="77777777" w:rsidR="00E63415" w:rsidRPr="00E142AC" w:rsidRDefault="00E63415" w:rsidP="00E63415">
      <w:pPr>
        <w:spacing w:line="360" w:lineRule="auto"/>
        <w:contextualSpacing/>
        <w:jc w:val="both"/>
        <w:rPr>
          <w:sz w:val="26"/>
          <w:szCs w:val="26"/>
          <w:rtl/>
        </w:rPr>
      </w:pPr>
    </w:p>
    <w:p w14:paraId="785153A4" w14:textId="77777777" w:rsidR="00E63415" w:rsidRPr="004210CF" w:rsidRDefault="00E63415" w:rsidP="00E63415">
      <w:pPr>
        <w:spacing w:line="360" w:lineRule="auto"/>
        <w:jc w:val="both"/>
        <w:rPr>
          <w:b/>
          <w:bCs/>
          <w:sz w:val="26"/>
          <w:szCs w:val="26"/>
          <w:u w:val="single"/>
          <w:rtl/>
        </w:rPr>
      </w:pPr>
      <w:r>
        <w:rPr>
          <w:rFonts w:hint="cs"/>
          <w:b/>
          <w:bCs/>
          <w:sz w:val="26"/>
          <w:szCs w:val="26"/>
          <w:u w:val="single"/>
          <w:rtl/>
        </w:rPr>
        <w:t>לאור כל האמור לעיל אני גוזר על</w:t>
      </w:r>
      <w:r w:rsidRPr="004210CF">
        <w:rPr>
          <w:rFonts w:hint="cs"/>
          <w:b/>
          <w:bCs/>
          <w:sz w:val="26"/>
          <w:szCs w:val="26"/>
          <w:u w:val="single"/>
          <w:rtl/>
        </w:rPr>
        <w:t xml:space="preserve"> הנאשם</w:t>
      </w:r>
      <w:r>
        <w:rPr>
          <w:rFonts w:hint="cs"/>
          <w:b/>
          <w:bCs/>
          <w:sz w:val="26"/>
          <w:szCs w:val="26"/>
          <w:u w:val="single"/>
          <w:rtl/>
        </w:rPr>
        <w:t xml:space="preserve"> את</w:t>
      </w:r>
      <w:r w:rsidRPr="004210CF">
        <w:rPr>
          <w:rFonts w:hint="cs"/>
          <w:b/>
          <w:bCs/>
          <w:sz w:val="26"/>
          <w:szCs w:val="26"/>
          <w:u w:val="single"/>
          <w:rtl/>
        </w:rPr>
        <w:t xml:space="preserve"> </w:t>
      </w:r>
      <w:r>
        <w:rPr>
          <w:rFonts w:hint="cs"/>
          <w:b/>
          <w:bCs/>
          <w:sz w:val="26"/>
          <w:szCs w:val="26"/>
          <w:u w:val="single"/>
          <w:rtl/>
        </w:rPr>
        <w:t>ה</w:t>
      </w:r>
      <w:r w:rsidRPr="004210CF">
        <w:rPr>
          <w:rFonts w:hint="cs"/>
          <w:b/>
          <w:bCs/>
          <w:sz w:val="26"/>
          <w:szCs w:val="26"/>
          <w:u w:val="single"/>
          <w:rtl/>
        </w:rPr>
        <w:t>עונשים הבאים:</w:t>
      </w:r>
    </w:p>
    <w:p w14:paraId="6302B589" w14:textId="77777777" w:rsidR="00E63415" w:rsidRDefault="00E63415" w:rsidP="00E63415">
      <w:pPr>
        <w:numPr>
          <w:ilvl w:val="0"/>
          <w:numId w:val="1"/>
        </w:numPr>
        <w:spacing w:line="360" w:lineRule="auto"/>
        <w:jc w:val="both"/>
        <w:rPr>
          <w:sz w:val="26"/>
          <w:szCs w:val="26"/>
        </w:rPr>
      </w:pPr>
      <w:r w:rsidRPr="001D3786">
        <w:rPr>
          <w:rFonts w:hint="cs"/>
          <w:sz w:val="26"/>
          <w:szCs w:val="26"/>
          <w:rtl/>
        </w:rPr>
        <w:t xml:space="preserve">מאסר בפועל למשך 14 חודשים, בניכוי ימי המעצר, על פי רישומי שב"ס. </w:t>
      </w:r>
    </w:p>
    <w:p w14:paraId="79FB2574" w14:textId="77777777" w:rsidR="00E63415" w:rsidRPr="001D3786" w:rsidRDefault="00E63415" w:rsidP="00E63415">
      <w:pPr>
        <w:spacing w:line="360" w:lineRule="auto"/>
        <w:ind w:left="1080"/>
        <w:jc w:val="both"/>
        <w:rPr>
          <w:sz w:val="26"/>
          <w:szCs w:val="26"/>
        </w:rPr>
      </w:pPr>
    </w:p>
    <w:p w14:paraId="32D8C76E" w14:textId="77777777" w:rsidR="00E63415" w:rsidRDefault="00E63415" w:rsidP="00E63415">
      <w:pPr>
        <w:numPr>
          <w:ilvl w:val="0"/>
          <w:numId w:val="1"/>
        </w:numPr>
        <w:spacing w:line="360" w:lineRule="auto"/>
        <w:jc w:val="both"/>
        <w:rPr>
          <w:sz w:val="26"/>
          <w:szCs w:val="26"/>
        </w:rPr>
      </w:pPr>
      <w:r>
        <w:rPr>
          <w:rFonts w:hint="cs"/>
          <w:sz w:val="26"/>
          <w:szCs w:val="26"/>
          <w:rtl/>
        </w:rPr>
        <w:t xml:space="preserve">10 חודשי מאסר על תנאי </w:t>
      </w:r>
      <w:r>
        <w:rPr>
          <w:rStyle w:val="normal-h"/>
          <w:rFonts w:hint="cs"/>
          <w:sz w:val="26"/>
          <w:szCs w:val="26"/>
          <w:rtl/>
        </w:rPr>
        <w:t>והתנאי הוא כי במשך 3 שנים מיום שחרורו מהמאסר לא יעבור הנאשם עבירת נשק מסוג פשע.</w:t>
      </w:r>
    </w:p>
    <w:p w14:paraId="41679D34" w14:textId="77777777" w:rsidR="00E63415" w:rsidRPr="004210CF" w:rsidRDefault="00E63415" w:rsidP="00E63415">
      <w:pPr>
        <w:spacing w:line="360" w:lineRule="auto"/>
        <w:jc w:val="both"/>
        <w:rPr>
          <w:rStyle w:val="normal-h"/>
          <w:sz w:val="26"/>
          <w:szCs w:val="26"/>
        </w:rPr>
      </w:pPr>
    </w:p>
    <w:p w14:paraId="3F06B05A" w14:textId="77777777" w:rsidR="00E63415" w:rsidRDefault="00E63415" w:rsidP="00E63415">
      <w:pPr>
        <w:numPr>
          <w:ilvl w:val="0"/>
          <w:numId w:val="1"/>
        </w:numPr>
        <w:spacing w:line="360" w:lineRule="auto"/>
        <w:jc w:val="both"/>
        <w:rPr>
          <w:rStyle w:val="normal-h"/>
          <w:sz w:val="26"/>
          <w:szCs w:val="26"/>
        </w:rPr>
      </w:pPr>
      <w:r>
        <w:rPr>
          <w:rStyle w:val="normal-h"/>
          <w:rFonts w:hint="cs"/>
          <w:sz w:val="26"/>
          <w:szCs w:val="26"/>
          <w:rtl/>
        </w:rPr>
        <w:t>5 חודשי מאסר על תנאי והתנאי הוא כי במשך 3 שנים מיום שחרורו מהמאסר לא יעבור הנאשם עבירת נשק מסוג עוון.</w:t>
      </w:r>
    </w:p>
    <w:p w14:paraId="7EA84C13" w14:textId="77777777" w:rsidR="00E63415" w:rsidRDefault="00E63415" w:rsidP="00E63415">
      <w:pPr>
        <w:spacing w:line="360" w:lineRule="auto"/>
        <w:jc w:val="both"/>
        <w:rPr>
          <w:rStyle w:val="normal-h"/>
          <w:sz w:val="26"/>
          <w:szCs w:val="26"/>
        </w:rPr>
      </w:pPr>
    </w:p>
    <w:p w14:paraId="197B7DE0" w14:textId="77777777" w:rsidR="00E63415" w:rsidRDefault="00E63415" w:rsidP="00E63415">
      <w:pPr>
        <w:numPr>
          <w:ilvl w:val="0"/>
          <w:numId w:val="1"/>
        </w:numPr>
        <w:spacing w:line="360" w:lineRule="auto"/>
        <w:jc w:val="both"/>
        <w:rPr>
          <w:rStyle w:val="normal-h"/>
          <w:sz w:val="26"/>
          <w:szCs w:val="26"/>
        </w:rPr>
      </w:pPr>
      <w:r>
        <w:rPr>
          <w:rStyle w:val="normal-h"/>
          <w:rFonts w:hint="cs"/>
          <w:sz w:val="26"/>
          <w:szCs w:val="26"/>
          <w:rtl/>
        </w:rPr>
        <w:t>קנס בסך 3,000 ₪ או 30 ימי מאסר תמורתו. הקנס ישולם בתוך 90 יום.</w:t>
      </w:r>
    </w:p>
    <w:p w14:paraId="3198AF5A" w14:textId="77777777" w:rsidR="00E63415" w:rsidRPr="001D3786" w:rsidRDefault="00E63415" w:rsidP="00E63415">
      <w:pPr>
        <w:pStyle w:val="a9"/>
        <w:rPr>
          <w:rStyle w:val="normal-h"/>
          <w:rFonts w:cs="David"/>
          <w:sz w:val="26"/>
          <w:szCs w:val="26"/>
          <w:rtl/>
        </w:rPr>
      </w:pPr>
    </w:p>
    <w:p w14:paraId="498BD348" w14:textId="77777777" w:rsidR="00E63415" w:rsidRDefault="00E63415" w:rsidP="00E63415">
      <w:pPr>
        <w:spacing w:line="360" w:lineRule="auto"/>
        <w:ind w:left="360"/>
        <w:jc w:val="both"/>
        <w:rPr>
          <w:rStyle w:val="normal-h"/>
          <w:b/>
          <w:bCs/>
          <w:sz w:val="26"/>
          <w:szCs w:val="26"/>
          <w:u w:val="single"/>
          <w:rtl/>
        </w:rPr>
      </w:pPr>
      <w:r>
        <w:rPr>
          <w:rStyle w:val="normal-h"/>
          <w:rFonts w:hint="cs"/>
          <w:b/>
          <w:bCs/>
          <w:sz w:val="26"/>
          <w:szCs w:val="26"/>
          <w:u w:val="single"/>
          <w:rtl/>
        </w:rPr>
        <w:t xml:space="preserve">העתק יועבר לשירות המבחן </w:t>
      </w:r>
    </w:p>
    <w:p w14:paraId="143544DB" w14:textId="77777777" w:rsidR="00E63415" w:rsidRDefault="00E63415" w:rsidP="00E63415">
      <w:pPr>
        <w:spacing w:line="360" w:lineRule="auto"/>
        <w:ind w:left="360"/>
        <w:jc w:val="both"/>
        <w:rPr>
          <w:rStyle w:val="normal-h"/>
          <w:b/>
          <w:bCs/>
          <w:sz w:val="26"/>
          <w:szCs w:val="26"/>
          <w:u w:val="single"/>
          <w:rtl/>
        </w:rPr>
      </w:pPr>
    </w:p>
    <w:p w14:paraId="5A9F34E9" w14:textId="77777777" w:rsidR="00E63415" w:rsidRDefault="00E63415" w:rsidP="00E63415">
      <w:pPr>
        <w:spacing w:line="360" w:lineRule="auto"/>
        <w:ind w:left="360"/>
        <w:jc w:val="both"/>
        <w:rPr>
          <w:rStyle w:val="normal-h"/>
          <w:b/>
          <w:bCs/>
          <w:sz w:val="26"/>
          <w:szCs w:val="26"/>
          <w:u w:val="single"/>
          <w:rtl/>
        </w:rPr>
      </w:pPr>
      <w:r>
        <w:rPr>
          <w:rStyle w:val="normal-h"/>
          <w:rFonts w:hint="cs"/>
          <w:b/>
          <w:bCs/>
          <w:sz w:val="26"/>
          <w:szCs w:val="26"/>
          <w:u w:val="single"/>
          <w:rtl/>
        </w:rPr>
        <w:t>הנשק ויתר המוצגים יחולטו או יושמדו על פי שיקול דעת המשטרה.</w:t>
      </w:r>
    </w:p>
    <w:p w14:paraId="28BDC70E" w14:textId="77777777" w:rsidR="00E63415" w:rsidRDefault="00E63415" w:rsidP="00E63415">
      <w:pPr>
        <w:spacing w:line="360" w:lineRule="auto"/>
        <w:ind w:left="360"/>
        <w:jc w:val="both"/>
        <w:rPr>
          <w:rStyle w:val="normal-h"/>
          <w:b/>
          <w:bCs/>
          <w:sz w:val="26"/>
          <w:szCs w:val="26"/>
          <w:u w:val="single"/>
          <w:rtl/>
        </w:rPr>
      </w:pPr>
    </w:p>
    <w:p w14:paraId="138A39F5" w14:textId="77777777" w:rsidR="00E63415" w:rsidRPr="00084035" w:rsidRDefault="00E63415" w:rsidP="00E63415">
      <w:pPr>
        <w:spacing w:line="360" w:lineRule="auto"/>
        <w:ind w:left="360"/>
        <w:jc w:val="both"/>
        <w:rPr>
          <w:rStyle w:val="normal-h"/>
          <w:b/>
          <w:bCs/>
          <w:sz w:val="26"/>
          <w:szCs w:val="26"/>
          <w:u w:val="single"/>
          <w:rtl/>
        </w:rPr>
      </w:pPr>
      <w:r>
        <w:rPr>
          <w:rStyle w:val="normal-h"/>
          <w:rFonts w:hint="cs"/>
          <w:b/>
          <w:bCs/>
          <w:sz w:val="26"/>
          <w:szCs w:val="26"/>
          <w:u w:val="single"/>
          <w:rtl/>
        </w:rPr>
        <w:t>זכות ערעור בתוך 45 ימים.</w:t>
      </w:r>
    </w:p>
    <w:p w14:paraId="38DE25A0" w14:textId="77777777" w:rsidR="00E63415" w:rsidRPr="000F2247" w:rsidRDefault="00E63415" w:rsidP="00E63415">
      <w:pPr>
        <w:rPr>
          <w:rFonts w:ascii="Arial" w:hAnsi="Arial"/>
          <w:b/>
          <w:bCs/>
          <w:sz w:val="26"/>
          <w:szCs w:val="26"/>
          <w:rtl/>
        </w:rPr>
      </w:pPr>
    </w:p>
    <w:p w14:paraId="3D5638C0" w14:textId="77777777" w:rsidR="00E63415" w:rsidRPr="00612C20" w:rsidRDefault="00612C20" w:rsidP="00E63415">
      <w:pPr>
        <w:rPr>
          <w:rFonts w:ascii="Arial" w:hAnsi="Arial"/>
          <w:b/>
          <w:bCs/>
          <w:color w:val="FFFFFF"/>
          <w:sz w:val="2"/>
          <w:szCs w:val="2"/>
          <w:rtl/>
        </w:rPr>
      </w:pPr>
      <w:r w:rsidRPr="00612C20">
        <w:rPr>
          <w:rFonts w:ascii="Arial" w:hAnsi="Arial"/>
          <w:b/>
          <w:bCs/>
          <w:color w:val="FFFFFF"/>
          <w:sz w:val="2"/>
          <w:szCs w:val="2"/>
          <w:rtl/>
        </w:rPr>
        <w:t>5129371</w:t>
      </w:r>
    </w:p>
    <w:p w14:paraId="2FCBFE7C" w14:textId="77777777" w:rsidR="00E63415" w:rsidRPr="00612C20" w:rsidRDefault="00612C20" w:rsidP="00E63415">
      <w:pPr>
        <w:rPr>
          <w:rFonts w:ascii="Arial" w:hAnsi="Arial"/>
          <w:b/>
          <w:bCs/>
          <w:color w:val="FFFFFF"/>
          <w:sz w:val="2"/>
          <w:szCs w:val="2"/>
          <w:rtl/>
        </w:rPr>
      </w:pPr>
      <w:r w:rsidRPr="00612C20">
        <w:rPr>
          <w:rFonts w:ascii="Arial" w:hAnsi="Arial"/>
          <w:b/>
          <w:bCs/>
          <w:color w:val="FFFFFF"/>
          <w:sz w:val="2"/>
          <w:szCs w:val="2"/>
          <w:rtl/>
        </w:rPr>
        <w:t>54678313</w:t>
      </w:r>
    </w:p>
    <w:p w14:paraId="3FEEA1A1" w14:textId="77777777" w:rsidR="00E63415" w:rsidRPr="000F2247" w:rsidRDefault="00E63415" w:rsidP="00E63415">
      <w:pPr>
        <w:rPr>
          <w:rFonts w:ascii="Arial" w:hAnsi="Arial"/>
          <w:b/>
          <w:bCs/>
          <w:sz w:val="26"/>
          <w:szCs w:val="26"/>
          <w:rtl/>
        </w:rPr>
      </w:pPr>
    </w:p>
    <w:p w14:paraId="40BB7B60" w14:textId="77777777" w:rsidR="00E63415" w:rsidRPr="000F2247" w:rsidRDefault="00612C20" w:rsidP="00E63415">
      <w:pPr>
        <w:rPr>
          <w:rFonts w:ascii="Arial" w:hAnsi="Arial"/>
          <w:b/>
          <w:bCs/>
          <w:sz w:val="26"/>
          <w:szCs w:val="26"/>
          <w:rtl/>
        </w:rPr>
      </w:pPr>
      <w:bookmarkStart w:id="8" w:name="Nitan"/>
      <w:r>
        <w:rPr>
          <w:rFonts w:ascii="Arial" w:hAnsi="Arial"/>
          <w:b/>
          <w:bCs/>
          <w:sz w:val="26"/>
          <w:szCs w:val="26"/>
          <w:rtl/>
        </w:rPr>
        <w:t xml:space="preserve">ניתן היום,  ט"ז אייר תשפ"ב, 17 מאי 2022, במעמד הצדדים. </w:t>
      </w:r>
      <w:bookmarkEnd w:id="8"/>
    </w:p>
    <w:p w14:paraId="7378DC33" w14:textId="77777777" w:rsidR="00E63415" w:rsidRPr="000F2247" w:rsidRDefault="00E63415" w:rsidP="00612C2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EA497EB" w14:textId="77777777" w:rsidR="00E63415" w:rsidRPr="000F2247" w:rsidRDefault="00E63415" w:rsidP="00E63415">
      <w:pPr>
        <w:jc w:val="center"/>
        <w:rPr>
          <w:rFonts w:ascii="Arial" w:hAnsi="Arial"/>
          <w:b/>
          <w:bCs/>
          <w:sz w:val="26"/>
          <w:szCs w:val="26"/>
          <w:rtl/>
        </w:rPr>
      </w:pPr>
    </w:p>
    <w:p w14:paraId="0B651B45" w14:textId="77777777" w:rsidR="00075070" w:rsidRPr="00612C20" w:rsidRDefault="00075070" w:rsidP="00612C20">
      <w:pPr>
        <w:keepNext/>
        <w:rPr>
          <w:rFonts w:ascii="David" w:hAnsi="David"/>
          <w:color w:val="000000"/>
          <w:sz w:val="22"/>
          <w:szCs w:val="22"/>
          <w:rtl/>
        </w:rPr>
      </w:pPr>
    </w:p>
    <w:p w14:paraId="40D3D426" w14:textId="77777777" w:rsidR="00612C20" w:rsidRPr="00612C20" w:rsidRDefault="00612C20" w:rsidP="00612C20">
      <w:pPr>
        <w:keepNext/>
        <w:rPr>
          <w:rFonts w:ascii="David" w:hAnsi="David"/>
          <w:color w:val="000000"/>
          <w:sz w:val="22"/>
          <w:szCs w:val="22"/>
          <w:rtl/>
        </w:rPr>
      </w:pPr>
      <w:r w:rsidRPr="00612C20">
        <w:rPr>
          <w:rFonts w:ascii="David" w:hAnsi="David"/>
          <w:color w:val="000000"/>
          <w:sz w:val="22"/>
          <w:szCs w:val="22"/>
          <w:rtl/>
        </w:rPr>
        <w:t>חגי טרסי 54678313</w:t>
      </w:r>
    </w:p>
    <w:p w14:paraId="197E847B" w14:textId="77777777" w:rsidR="00612C20" w:rsidRDefault="00612C20" w:rsidP="00612C20">
      <w:pPr>
        <w:rPr>
          <w:rFonts w:hint="cs"/>
        </w:rPr>
      </w:pPr>
      <w:r w:rsidRPr="00612C20">
        <w:rPr>
          <w:color w:val="000000"/>
          <w:rtl/>
        </w:rPr>
        <w:t>נוסח מסמך זה כפוף לשינויי ניסוח ועריכה</w:t>
      </w:r>
      <w:r w:rsidR="00626BE0">
        <w:rPr>
          <w:rFonts w:hint="cs"/>
          <w:rtl/>
        </w:rPr>
        <w:t xml:space="preserve"> </w:t>
      </w:r>
    </w:p>
    <w:p w14:paraId="25AD31E2" w14:textId="77777777" w:rsidR="00612C20" w:rsidRDefault="00612C20" w:rsidP="00612C20">
      <w:pPr>
        <w:rPr>
          <w:rtl/>
        </w:rPr>
      </w:pPr>
    </w:p>
    <w:p w14:paraId="005F84B8" w14:textId="77777777" w:rsidR="00612C20" w:rsidRDefault="00612C20" w:rsidP="00612C20">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6B73439C" w14:textId="77777777" w:rsidR="00612C20" w:rsidRPr="00612C20" w:rsidRDefault="00612C20" w:rsidP="00612C20">
      <w:pPr>
        <w:jc w:val="center"/>
        <w:rPr>
          <w:color w:val="0000FF"/>
          <w:u w:val="single"/>
        </w:rPr>
      </w:pPr>
    </w:p>
    <w:sectPr w:rsidR="00612C20" w:rsidRPr="00612C20" w:rsidSect="00612C20">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1D421" w14:textId="77777777" w:rsidR="00F1677F" w:rsidRDefault="00F1677F" w:rsidP="007B08BB">
      <w:r>
        <w:separator/>
      </w:r>
    </w:p>
  </w:endnote>
  <w:endnote w:type="continuationSeparator" w:id="0">
    <w:p w14:paraId="0F1B1E87" w14:textId="77777777" w:rsidR="00F1677F" w:rsidRDefault="00F1677F" w:rsidP="007B0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79F3E" w14:textId="77777777" w:rsidR="00612C20" w:rsidRDefault="00612C20" w:rsidP="00612C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D4F5AD" w14:textId="77777777" w:rsidR="00457F0C" w:rsidRPr="00612C20" w:rsidRDefault="00612C20" w:rsidP="00612C2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9DF02" w14:textId="77777777" w:rsidR="00612C20" w:rsidRDefault="00612C20" w:rsidP="00612C2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56B0">
      <w:rPr>
        <w:rFonts w:ascii="FrankRuehl" w:hAnsi="FrankRuehl" w:cs="FrankRuehl"/>
        <w:noProof/>
        <w:rtl/>
      </w:rPr>
      <w:t>1</w:t>
    </w:r>
    <w:r>
      <w:rPr>
        <w:rFonts w:ascii="FrankRuehl" w:hAnsi="FrankRuehl" w:cs="FrankRuehl"/>
        <w:rtl/>
      </w:rPr>
      <w:fldChar w:fldCharType="end"/>
    </w:r>
  </w:p>
  <w:p w14:paraId="34AD3F25" w14:textId="77777777" w:rsidR="00457F0C" w:rsidRPr="00612C20" w:rsidRDefault="00612C20" w:rsidP="00612C2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A658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53A16" w14:textId="77777777" w:rsidR="00F1677F" w:rsidRDefault="00F1677F" w:rsidP="007B08BB">
      <w:r>
        <w:separator/>
      </w:r>
    </w:p>
  </w:footnote>
  <w:footnote w:type="continuationSeparator" w:id="0">
    <w:p w14:paraId="43D5A668" w14:textId="77777777" w:rsidR="00F1677F" w:rsidRDefault="00F1677F" w:rsidP="007B0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C65BA" w14:textId="77777777" w:rsidR="00612C20" w:rsidRPr="00612C20" w:rsidRDefault="00612C20" w:rsidP="00612C2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54719-09-20</w:t>
    </w:r>
    <w:r>
      <w:rPr>
        <w:rFonts w:ascii="David" w:hAnsi="David"/>
        <w:color w:val="000000"/>
        <w:sz w:val="22"/>
        <w:szCs w:val="22"/>
        <w:rtl/>
      </w:rPr>
      <w:tab/>
      <w:t xml:space="preserve"> מדינת ישראל נ' לאית מסארוה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F99A5" w14:textId="77777777" w:rsidR="00612C20" w:rsidRPr="00612C20" w:rsidRDefault="00612C20" w:rsidP="00612C2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54719-09-20</w:t>
    </w:r>
    <w:r>
      <w:rPr>
        <w:rFonts w:ascii="David" w:hAnsi="David"/>
        <w:color w:val="000000"/>
        <w:sz w:val="22"/>
        <w:szCs w:val="22"/>
        <w:rtl/>
      </w:rPr>
      <w:tab/>
      <w:t xml:space="preserve"> מדינת ישראל נ' לאית מסארוה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D1755"/>
    <w:multiLevelType w:val="hybridMultilevel"/>
    <w:tmpl w:val="20CA5CF6"/>
    <w:lvl w:ilvl="0" w:tplc="F9F6DE0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53655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3415"/>
    <w:rsid w:val="00075070"/>
    <w:rsid w:val="001B5A3B"/>
    <w:rsid w:val="00201245"/>
    <w:rsid w:val="00372418"/>
    <w:rsid w:val="00457F0C"/>
    <w:rsid w:val="004D2E1B"/>
    <w:rsid w:val="00612C20"/>
    <w:rsid w:val="00626BE0"/>
    <w:rsid w:val="007B08BB"/>
    <w:rsid w:val="00BE4341"/>
    <w:rsid w:val="00C129DB"/>
    <w:rsid w:val="00D956B0"/>
    <w:rsid w:val="00DF2511"/>
    <w:rsid w:val="00E63415"/>
    <w:rsid w:val="00E83FFA"/>
    <w:rsid w:val="00F1677F"/>
    <w:rsid w:val="00F447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147B0F"/>
  <w15:chartTrackingRefBased/>
  <w15:docId w15:val="{47E8FB7A-DA2B-4443-BFAD-A5879D99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341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63415"/>
    <w:pPr>
      <w:tabs>
        <w:tab w:val="center" w:pos="4153"/>
        <w:tab w:val="right" w:pos="8306"/>
      </w:tabs>
    </w:pPr>
  </w:style>
  <w:style w:type="character" w:customStyle="1" w:styleId="a4">
    <w:name w:val="כותרת עליונה תו"/>
    <w:link w:val="a3"/>
    <w:rsid w:val="00E63415"/>
    <w:rPr>
      <w:rFonts w:ascii="Times New Roman" w:eastAsia="Times New Roman" w:hAnsi="Times New Roman" w:cs="David"/>
      <w:sz w:val="24"/>
      <w:szCs w:val="24"/>
    </w:rPr>
  </w:style>
  <w:style w:type="paragraph" w:styleId="a5">
    <w:name w:val="footer"/>
    <w:basedOn w:val="a"/>
    <w:link w:val="a6"/>
    <w:rsid w:val="00E63415"/>
    <w:pPr>
      <w:tabs>
        <w:tab w:val="center" w:pos="4153"/>
        <w:tab w:val="right" w:pos="8306"/>
      </w:tabs>
    </w:pPr>
  </w:style>
  <w:style w:type="character" w:customStyle="1" w:styleId="a6">
    <w:name w:val="כותרת תחתונה תו"/>
    <w:link w:val="a5"/>
    <w:rsid w:val="00E63415"/>
    <w:rPr>
      <w:rFonts w:ascii="Times New Roman" w:eastAsia="Times New Roman" w:hAnsi="Times New Roman" w:cs="David"/>
      <w:sz w:val="24"/>
      <w:szCs w:val="24"/>
    </w:rPr>
  </w:style>
  <w:style w:type="table" w:styleId="a7">
    <w:name w:val="Table Grid"/>
    <w:basedOn w:val="a1"/>
    <w:rsid w:val="00E634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3415"/>
  </w:style>
  <w:style w:type="character" w:customStyle="1" w:styleId="normal-h">
    <w:name w:val="normal-h"/>
    <w:rsid w:val="00E63415"/>
  </w:style>
  <w:style w:type="paragraph" w:styleId="a9">
    <w:name w:val="List Paragraph"/>
    <w:basedOn w:val="a"/>
    <w:qFormat/>
    <w:rsid w:val="00E63415"/>
    <w:pPr>
      <w:spacing w:after="200" w:line="276" w:lineRule="auto"/>
      <w:ind w:left="720"/>
      <w:contextualSpacing/>
    </w:pPr>
    <w:rPr>
      <w:rFonts w:ascii="Calibri" w:eastAsia="Calibri" w:hAnsi="Calibri" w:cs="Arial"/>
      <w:sz w:val="22"/>
      <w:szCs w:val="22"/>
    </w:rPr>
  </w:style>
  <w:style w:type="character" w:styleId="Hyperlink">
    <w:name w:val="Hyperlink"/>
    <w:rsid w:val="00612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7309272" TargetMode="External"/><Relationship Id="rId18" Type="http://schemas.openxmlformats.org/officeDocument/2006/relationships/hyperlink" Target="http://www.nevo.co.il/case/26905927" TargetMode="External"/><Relationship Id="rId26" Type="http://schemas.openxmlformats.org/officeDocument/2006/relationships/hyperlink" Target="http://www.nevo.co.il/case/26623868" TargetMode="External"/><Relationship Id="rId39" Type="http://schemas.openxmlformats.org/officeDocument/2006/relationships/hyperlink" Target="http://www.nevo.co.il/case/10442671" TargetMode="External"/><Relationship Id="rId21" Type="http://schemas.openxmlformats.org/officeDocument/2006/relationships/hyperlink" Target="http://www.nevo.co.il/case/26931111" TargetMode="External"/><Relationship Id="rId34" Type="http://schemas.openxmlformats.org/officeDocument/2006/relationships/hyperlink" Target="http://www.nevo.co.il/case/26568237"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568354" TargetMode="External"/><Relationship Id="rId29" Type="http://schemas.openxmlformats.org/officeDocument/2006/relationships/hyperlink" Target="http://www.nevo.co.il/case/277211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5382433" TargetMode="External"/><Relationship Id="rId24" Type="http://schemas.openxmlformats.org/officeDocument/2006/relationships/hyperlink" Target="http://www.nevo.co.il/case/6949290" TargetMode="External"/><Relationship Id="rId32" Type="http://schemas.openxmlformats.org/officeDocument/2006/relationships/hyperlink" Target="http://www.nevo.co.il/case/26764334" TargetMode="External"/><Relationship Id="rId37" Type="http://schemas.openxmlformats.org/officeDocument/2006/relationships/hyperlink" Target="http://www.nevo.co.il/case/17014777" TargetMode="External"/><Relationship Id="rId40" Type="http://schemas.openxmlformats.org/officeDocument/2006/relationships/hyperlink" Target="http://www.nevo.co.il/case/20031943"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5824863" TargetMode="External"/><Relationship Id="rId23" Type="http://schemas.openxmlformats.org/officeDocument/2006/relationships/hyperlink" Target="http://www.nevo.co.il/case/27502726" TargetMode="External"/><Relationship Id="rId28" Type="http://schemas.openxmlformats.org/officeDocument/2006/relationships/hyperlink" Target="http://www.nevo.co.il/case/27571816"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5612982" TargetMode="External"/><Relationship Id="rId31" Type="http://schemas.openxmlformats.org/officeDocument/2006/relationships/hyperlink" Target="http://www.nevo.co.il/case/26418313"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7171364" TargetMode="External"/><Relationship Id="rId22" Type="http://schemas.openxmlformats.org/officeDocument/2006/relationships/hyperlink" Target="http://www.nevo.co.il/case/26383419" TargetMode="External"/><Relationship Id="rId27" Type="http://schemas.openxmlformats.org/officeDocument/2006/relationships/hyperlink" Target="http://www.nevo.co.il/case/27609756" TargetMode="External"/><Relationship Id="rId30" Type="http://schemas.openxmlformats.org/officeDocument/2006/relationships/hyperlink" Target="http://www.nevo.co.il/case/25637368" TargetMode="External"/><Relationship Id="rId35" Type="http://schemas.openxmlformats.org/officeDocument/2006/relationships/hyperlink" Target="http://www.nevo.co.il/case/25254028" TargetMode="External"/><Relationship Id="rId43"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26934681" TargetMode="External"/><Relationship Id="rId25" Type="http://schemas.openxmlformats.org/officeDocument/2006/relationships/hyperlink" Target="http://www.nevo.co.il/case/5878682" TargetMode="External"/><Relationship Id="rId33" Type="http://schemas.openxmlformats.org/officeDocument/2006/relationships/hyperlink" Target="http://www.nevo.co.il/case/26934681" TargetMode="External"/><Relationship Id="rId38" Type="http://schemas.openxmlformats.org/officeDocument/2006/relationships/hyperlink" Target="http://www.nevo.co.il/case/10442671" TargetMode="External"/><Relationship Id="rId46" Type="http://schemas.openxmlformats.org/officeDocument/2006/relationships/fontTable" Target="fontTable.xml"/><Relationship Id="rId20" Type="http://schemas.openxmlformats.org/officeDocument/2006/relationships/hyperlink" Target="http://www.nevo.co.il/case/24263578"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3666</Words>
  <Characters>18330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21953</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3604606</vt:i4>
      </vt:variant>
      <vt:variant>
        <vt:i4>99</vt:i4>
      </vt:variant>
      <vt:variant>
        <vt:i4>0</vt:i4>
      </vt:variant>
      <vt:variant>
        <vt:i4>5</vt:i4>
      </vt:variant>
      <vt:variant>
        <vt:lpwstr>http://www.nevo.co.il/case/20031943</vt:lpwstr>
      </vt:variant>
      <vt:variant>
        <vt:lpwstr/>
      </vt:variant>
      <vt:variant>
        <vt:i4>3145846</vt:i4>
      </vt:variant>
      <vt:variant>
        <vt:i4>96</vt:i4>
      </vt:variant>
      <vt:variant>
        <vt:i4>0</vt:i4>
      </vt:variant>
      <vt:variant>
        <vt:i4>5</vt:i4>
      </vt:variant>
      <vt:variant>
        <vt:lpwstr>http://www.nevo.co.il/case/10442671</vt:lpwstr>
      </vt:variant>
      <vt:variant>
        <vt:lpwstr/>
      </vt:variant>
      <vt:variant>
        <vt:i4>3145846</vt:i4>
      </vt:variant>
      <vt:variant>
        <vt:i4>93</vt:i4>
      </vt:variant>
      <vt:variant>
        <vt:i4>0</vt:i4>
      </vt:variant>
      <vt:variant>
        <vt:i4>5</vt:i4>
      </vt:variant>
      <vt:variant>
        <vt:lpwstr>http://www.nevo.co.il/case/10442671</vt:lpwstr>
      </vt:variant>
      <vt:variant>
        <vt:lpwstr/>
      </vt:variant>
      <vt:variant>
        <vt:i4>3276917</vt:i4>
      </vt:variant>
      <vt:variant>
        <vt:i4>90</vt:i4>
      </vt:variant>
      <vt:variant>
        <vt:i4>0</vt:i4>
      </vt:variant>
      <vt:variant>
        <vt:i4>5</vt:i4>
      </vt:variant>
      <vt:variant>
        <vt:lpwstr>http://www.nevo.co.il/case/17014777</vt:lpwstr>
      </vt:variant>
      <vt:variant>
        <vt:lpwstr/>
      </vt:variant>
      <vt:variant>
        <vt:i4>7995492</vt:i4>
      </vt:variant>
      <vt:variant>
        <vt:i4>87</vt:i4>
      </vt:variant>
      <vt:variant>
        <vt:i4>0</vt:i4>
      </vt:variant>
      <vt:variant>
        <vt:i4>5</vt:i4>
      </vt:variant>
      <vt:variant>
        <vt:lpwstr>http://www.nevo.co.il/law/70301</vt:lpwstr>
      </vt:variant>
      <vt:variant>
        <vt:lpwstr/>
      </vt:variant>
      <vt:variant>
        <vt:i4>3539060</vt:i4>
      </vt:variant>
      <vt:variant>
        <vt:i4>84</vt:i4>
      </vt:variant>
      <vt:variant>
        <vt:i4>0</vt:i4>
      </vt:variant>
      <vt:variant>
        <vt:i4>5</vt:i4>
      </vt:variant>
      <vt:variant>
        <vt:lpwstr>http://www.nevo.co.il/case/25254028</vt:lpwstr>
      </vt:variant>
      <vt:variant>
        <vt:lpwstr/>
      </vt:variant>
      <vt:variant>
        <vt:i4>3932278</vt:i4>
      </vt:variant>
      <vt:variant>
        <vt:i4>81</vt:i4>
      </vt:variant>
      <vt:variant>
        <vt:i4>0</vt:i4>
      </vt:variant>
      <vt:variant>
        <vt:i4>5</vt:i4>
      </vt:variant>
      <vt:variant>
        <vt:lpwstr>http://www.nevo.co.il/case/26568237</vt:lpwstr>
      </vt:variant>
      <vt:variant>
        <vt:lpwstr/>
      </vt:variant>
      <vt:variant>
        <vt:i4>3604599</vt:i4>
      </vt:variant>
      <vt:variant>
        <vt:i4>78</vt:i4>
      </vt:variant>
      <vt:variant>
        <vt:i4>0</vt:i4>
      </vt:variant>
      <vt:variant>
        <vt:i4>5</vt:i4>
      </vt:variant>
      <vt:variant>
        <vt:lpwstr>http://www.nevo.co.il/case/26934681</vt:lpwstr>
      </vt:variant>
      <vt:variant>
        <vt:lpwstr/>
      </vt:variant>
      <vt:variant>
        <vt:i4>3276919</vt:i4>
      </vt:variant>
      <vt:variant>
        <vt:i4>75</vt:i4>
      </vt:variant>
      <vt:variant>
        <vt:i4>0</vt:i4>
      </vt:variant>
      <vt:variant>
        <vt:i4>5</vt:i4>
      </vt:variant>
      <vt:variant>
        <vt:lpwstr>http://www.nevo.co.il/case/26764334</vt:lpwstr>
      </vt:variant>
      <vt:variant>
        <vt:lpwstr/>
      </vt:variant>
      <vt:variant>
        <vt:i4>4128880</vt:i4>
      </vt:variant>
      <vt:variant>
        <vt:i4>72</vt:i4>
      </vt:variant>
      <vt:variant>
        <vt:i4>0</vt:i4>
      </vt:variant>
      <vt:variant>
        <vt:i4>5</vt:i4>
      </vt:variant>
      <vt:variant>
        <vt:lpwstr>http://www.nevo.co.il/case/26418313</vt:lpwstr>
      </vt:variant>
      <vt:variant>
        <vt:lpwstr/>
      </vt:variant>
      <vt:variant>
        <vt:i4>3473521</vt:i4>
      </vt:variant>
      <vt:variant>
        <vt:i4>69</vt:i4>
      </vt:variant>
      <vt:variant>
        <vt:i4>0</vt:i4>
      </vt:variant>
      <vt:variant>
        <vt:i4>5</vt:i4>
      </vt:variant>
      <vt:variant>
        <vt:lpwstr>http://www.nevo.co.il/case/25637368</vt:lpwstr>
      </vt:variant>
      <vt:variant>
        <vt:lpwstr/>
      </vt:variant>
      <vt:variant>
        <vt:i4>3932272</vt:i4>
      </vt:variant>
      <vt:variant>
        <vt:i4>66</vt:i4>
      </vt:variant>
      <vt:variant>
        <vt:i4>0</vt:i4>
      </vt:variant>
      <vt:variant>
        <vt:i4>5</vt:i4>
      </vt:variant>
      <vt:variant>
        <vt:lpwstr>http://www.nevo.co.il/case/27721185</vt:lpwstr>
      </vt:variant>
      <vt:variant>
        <vt:lpwstr/>
      </vt:variant>
      <vt:variant>
        <vt:i4>3604604</vt:i4>
      </vt:variant>
      <vt:variant>
        <vt:i4>63</vt:i4>
      </vt:variant>
      <vt:variant>
        <vt:i4>0</vt:i4>
      </vt:variant>
      <vt:variant>
        <vt:i4>5</vt:i4>
      </vt:variant>
      <vt:variant>
        <vt:lpwstr>http://www.nevo.co.il/case/27571816</vt:lpwstr>
      </vt:variant>
      <vt:variant>
        <vt:lpwstr/>
      </vt:variant>
      <vt:variant>
        <vt:i4>3670132</vt:i4>
      </vt:variant>
      <vt:variant>
        <vt:i4>60</vt:i4>
      </vt:variant>
      <vt:variant>
        <vt:i4>0</vt:i4>
      </vt:variant>
      <vt:variant>
        <vt:i4>5</vt:i4>
      </vt:variant>
      <vt:variant>
        <vt:lpwstr>http://www.nevo.co.il/case/27609756</vt:lpwstr>
      </vt:variant>
      <vt:variant>
        <vt:lpwstr/>
      </vt:variant>
      <vt:variant>
        <vt:i4>3211384</vt:i4>
      </vt:variant>
      <vt:variant>
        <vt:i4>57</vt:i4>
      </vt:variant>
      <vt:variant>
        <vt:i4>0</vt:i4>
      </vt:variant>
      <vt:variant>
        <vt:i4>5</vt:i4>
      </vt:variant>
      <vt:variant>
        <vt:lpwstr>http://www.nevo.co.il/case/26623868</vt:lpwstr>
      </vt:variant>
      <vt:variant>
        <vt:lpwstr/>
      </vt:variant>
      <vt:variant>
        <vt:i4>3539068</vt:i4>
      </vt:variant>
      <vt:variant>
        <vt:i4>54</vt:i4>
      </vt:variant>
      <vt:variant>
        <vt:i4>0</vt:i4>
      </vt:variant>
      <vt:variant>
        <vt:i4>5</vt:i4>
      </vt:variant>
      <vt:variant>
        <vt:lpwstr>http://www.nevo.co.il/case/5878682</vt:lpwstr>
      </vt:variant>
      <vt:variant>
        <vt:lpwstr/>
      </vt:variant>
      <vt:variant>
        <vt:i4>3145853</vt:i4>
      </vt:variant>
      <vt:variant>
        <vt:i4>51</vt:i4>
      </vt:variant>
      <vt:variant>
        <vt:i4>0</vt:i4>
      </vt:variant>
      <vt:variant>
        <vt:i4>5</vt:i4>
      </vt:variant>
      <vt:variant>
        <vt:lpwstr>http://www.nevo.co.il/case/6949290</vt:lpwstr>
      </vt:variant>
      <vt:variant>
        <vt:lpwstr/>
      </vt:variant>
      <vt:variant>
        <vt:i4>3604596</vt:i4>
      </vt:variant>
      <vt:variant>
        <vt:i4>48</vt:i4>
      </vt:variant>
      <vt:variant>
        <vt:i4>0</vt:i4>
      </vt:variant>
      <vt:variant>
        <vt:i4>5</vt:i4>
      </vt:variant>
      <vt:variant>
        <vt:lpwstr>http://www.nevo.co.il/case/27502726</vt:lpwstr>
      </vt:variant>
      <vt:variant>
        <vt:lpwstr/>
      </vt:variant>
      <vt:variant>
        <vt:i4>3342462</vt:i4>
      </vt:variant>
      <vt:variant>
        <vt:i4>45</vt:i4>
      </vt:variant>
      <vt:variant>
        <vt:i4>0</vt:i4>
      </vt:variant>
      <vt:variant>
        <vt:i4>5</vt:i4>
      </vt:variant>
      <vt:variant>
        <vt:lpwstr>http://www.nevo.co.il/case/26383419</vt:lpwstr>
      </vt:variant>
      <vt:variant>
        <vt:lpwstr/>
      </vt:variant>
      <vt:variant>
        <vt:i4>3866736</vt:i4>
      </vt:variant>
      <vt:variant>
        <vt:i4>42</vt:i4>
      </vt:variant>
      <vt:variant>
        <vt:i4>0</vt:i4>
      </vt:variant>
      <vt:variant>
        <vt:i4>5</vt:i4>
      </vt:variant>
      <vt:variant>
        <vt:lpwstr>http://www.nevo.co.il/case/26931111</vt:lpwstr>
      </vt:variant>
      <vt:variant>
        <vt:lpwstr/>
      </vt:variant>
      <vt:variant>
        <vt:i4>3407987</vt:i4>
      </vt:variant>
      <vt:variant>
        <vt:i4>39</vt:i4>
      </vt:variant>
      <vt:variant>
        <vt:i4>0</vt:i4>
      </vt:variant>
      <vt:variant>
        <vt:i4>5</vt:i4>
      </vt:variant>
      <vt:variant>
        <vt:lpwstr>http://www.nevo.co.il/case/24263578</vt:lpwstr>
      </vt:variant>
      <vt:variant>
        <vt:lpwstr/>
      </vt:variant>
      <vt:variant>
        <vt:i4>4063353</vt:i4>
      </vt:variant>
      <vt:variant>
        <vt:i4>36</vt:i4>
      </vt:variant>
      <vt:variant>
        <vt:i4>0</vt:i4>
      </vt:variant>
      <vt:variant>
        <vt:i4>5</vt:i4>
      </vt:variant>
      <vt:variant>
        <vt:lpwstr>http://www.nevo.co.il/case/25612982</vt:lpwstr>
      </vt:variant>
      <vt:variant>
        <vt:lpwstr/>
      </vt:variant>
      <vt:variant>
        <vt:i4>3932283</vt:i4>
      </vt:variant>
      <vt:variant>
        <vt:i4>33</vt:i4>
      </vt:variant>
      <vt:variant>
        <vt:i4>0</vt:i4>
      </vt:variant>
      <vt:variant>
        <vt:i4>5</vt:i4>
      </vt:variant>
      <vt:variant>
        <vt:lpwstr>http://www.nevo.co.il/case/26905927</vt:lpwstr>
      </vt:variant>
      <vt:variant>
        <vt:lpwstr/>
      </vt:variant>
      <vt:variant>
        <vt:i4>3604599</vt:i4>
      </vt:variant>
      <vt:variant>
        <vt:i4>30</vt:i4>
      </vt:variant>
      <vt:variant>
        <vt:i4>0</vt:i4>
      </vt:variant>
      <vt:variant>
        <vt:i4>5</vt:i4>
      </vt:variant>
      <vt:variant>
        <vt:lpwstr>http://www.nevo.co.il/case/26934681</vt:lpwstr>
      </vt:variant>
      <vt:variant>
        <vt:lpwstr/>
      </vt:variant>
      <vt:variant>
        <vt:i4>3407996</vt:i4>
      </vt:variant>
      <vt:variant>
        <vt:i4>27</vt:i4>
      </vt:variant>
      <vt:variant>
        <vt:i4>0</vt:i4>
      </vt:variant>
      <vt:variant>
        <vt:i4>5</vt:i4>
      </vt:variant>
      <vt:variant>
        <vt:lpwstr>http://www.nevo.co.il/case/5568354</vt:lpwstr>
      </vt:variant>
      <vt:variant>
        <vt:lpwstr/>
      </vt:variant>
      <vt:variant>
        <vt:i4>3670139</vt:i4>
      </vt:variant>
      <vt:variant>
        <vt:i4>24</vt:i4>
      </vt:variant>
      <vt:variant>
        <vt:i4>0</vt:i4>
      </vt:variant>
      <vt:variant>
        <vt:i4>5</vt:i4>
      </vt:variant>
      <vt:variant>
        <vt:lpwstr>http://www.nevo.co.il/case/25824863</vt:lpwstr>
      </vt:variant>
      <vt:variant>
        <vt:lpwstr/>
      </vt:variant>
      <vt:variant>
        <vt:i4>3407991</vt:i4>
      </vt:variant>
      <vt:variant>
        <vt:i4>21</vt:i4>
      </vt:variant>
      <vt:variant>
        <vt:i4>0</vt:i4>
      </vt:variant>
      <vt:variant>
        <vt:i4>5</vt:i4>
      </vt:variant>
      <vt:variant>
        <vt:lpwstr>http://www.nevo.co.il/case/27171364</vt:lpwstr>
      </vt:variant>
      <vt:variant>
        <vt:lpwstr/>
      </vt:variant>
      <vt:variant>
        <vt:i4>4128881</vt:i4>
      </vt:variant>
      <vt:variant>
        <vt:i4>18</vt:i4>
      </vt:variant>
      <vt:variant>
        <vt:i4>0</vt:i4>
      </vt:variant>
      <vt:variant>
        <vt:i4>5</vt:i4>
      </vt:variant>
      <vt:variant>
        <vt:lpwstr>http://www.nevo.co.il/case/27309272</vt:lpwstr>
      </vt:variant>
      <vt:variant>
        <vt:lpwstr/>
      </vt:variant>
      <vt:variant>
        <vt:i4>7995492</vt:i4>
      </vt:variant>
      <vt:variant>
        <vt:i4>15</vt:i4>
      </vt:variant>
      <vt:variant>
        <vt:i4>0</vt:i4>
      </vt:variant>
      <vt:variant>
        <vt:i4>5</vt:i4>
      </vt:variant>
      <vt:variant>
        <vt:lpwstr>http://www.nevo.co.il/law/70301</vt:lpwstr>
      </vt:variant>
      <vt:variant>
        <vt:lpwstr/>
      </vt:variant>
      <vt:variant>
        <vt:i4>3145853</vt:i4>
      </vt:variant>
      <vt:variant>
        <vt:i4>12</vt:i4>
      </vt:variant>
      <vt:variant>
        <vt:i4>0</vt:i4>
      </vt:variant>
      <vt:variant>
        <vt:i4>5</vt:i4>
      </vt:variant>
      <vt:variant>
        <vt:lpwstr>http://www.nevo.co.il/case/25382433</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2025-01-19T16:37:00Z</dcterms:created>
  <dcterms:modified xsi:type="dcterms:W3CDTF">2025-01-19T16:37:00Z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54719</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לאית מסארוה</vt:lpwstr>
  </property>
  <property fmtid="{D5CDD505-2E9C-101B-9397-08002B2CF9AE}" pid="10" name="LAWYER">
    <vt:lpwstr>שטרצר</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20220517</vt:lpwstr>
  </property>
  <property fmtid="{D5CDD505-2E9C-101B-9397-08002B2CF9AE}" pid="14" name="TYPE_N_DATE">
    <vt:lpwstr>39020220517</vt:lpwstr>
  </property>
  <property fmtid="{D5CDD505-2E9C-101B-9397-08002B2CF9AE}" pid="15" name="WORDNUMPAGES">
    <vt:lpwstr>12</vt:lpwstr>
  </property>
  <property fmtid="{D5CDD505-2E9C-101B-9397-08002B2CF9AE}" pid="16" name="TYPE_ABS_DATE">
    <vt:lpwstr>390020220517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25382433;27309272;27171364;25824863;5568354;26934681:2;26905927;25612982;24263578;26931111;26383419;27502726;6949290;5878682;26623868;27609756;27571816;27721185;25637368;26418313;26764334;26568237;25254028;17014777;10442671:2;20031943</vt:lpwstr>
  </property>
  <property fmtid="{D5CDD505-2E9C-101B-9397-08002B2CF9AE}" pid="36" name="LAWLISTTMP1">
    <vt:lpwstr>70301/144.b</vt:lpwstr>
  </property>
</Properties>
</file>