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8C3BF8" w:rsidRPr="00F83EBC" w14:paraId="04A25E66" w14:textId="77777777" w:rsidTr="00474F19">
        <w:trPr>
          <w:trHeight w:val="418"/>
          <w:jc w:val="center"/>
        </w:trPr>
        <w:tc>
          <w:tcPr>
            <w:tcW w:w="8504" w:type="dxa"/>
            <w:gridSpan w:val="3"/>
          </w:tcPr>
          <w:p w14:paraId="125FEA0B" w14:textId="77777777" w:rsidR="008C3BF8" w:rsidRPr="00F83EBC" w:rsidRDefault="008C3BF8" w:rsidP="00474F19">
            <w:pPr>
              <w:pStyle w:val="a3"/>
              <w:jc w:val="center"/>
              <w:rPr>
                <w:rtl/>
              </w:rPr>
            </w:pPr>
            <w:r w:rsidRPr="00F83EBC">
              <w:rPr>
                <w:rFonts w:ascii="Tahoma" w:hAnsi="Tahoma" w:cs="Tahoma"/>
                <w:b/>
                <w:bCs/>
                <w:color w:val="000080"/>
                <w:sz w:val="20"/>
                <w:szCs w:val="20"/>
                <w:rtl/>
              </w:rPr>
              <w:t>בית המשפט המחוזי בבאר שבע</w:t>
            </w:r>
          </w:p>
        </w:tc>
      </w:tr>
      <w:tr w:rsidR="008C3BF8" w:rsidRPr="00F83EBC" w14:paraId="63B46311" w14:textId="77777777" w:rsidTr="00474F19">
        <w:trPr>
          <w:trHeight w:val="337"/>
          <w:jc w:val="center"/>
        </w:trPr>
        <w:tc>
          <w:tcPr>
            <w:tcW w:w="4676" w:type="dxa"/>
          </w:tcPr>
          <w:p w14:paraId="640C2916" w14:textId="77777777" w:rsidR="008C3BF8" w:rsidRPr="00F83EBC" w:rsidRDefault="008C3BF8" w:rsidP="00474F19">
            <w:pPr>
              <w:spacing w:line="360" w:lineRule="auto"/>
              <w:jc w:val="both"/>
              <w:rPr>
                <w:b/>
                <w:bCs/>
                <w:rtl/>
              </w:rPr>
            </w:pPr>
            <w:r w:rsidRPr="00F83EBC">
              <w:rPr>
                <w:rFonts w:hint="cs"/>
                <w:b/>
                <w:bCs/>
                <w:rtl/>
              </w:rPr>
              <w:t>לפני כבוד סגן הנשיאה, השופט אליהו ביתן</w:t>
            </w:r>
          </w:p>
        </w:tc>
        <w:tc>
          <w:tcPr>
            <w:tcW w:w="241" w:type="dxa"/>
          </w:tcPr>
          <w:p w14:paraId="419111C3" w14:textId="77777777" w:rsidR="008C3BF8" w:rsidRPr="00F83EBC" w:rsidRDefault="008C3BF8" w:rsidP="00474F19">
            <w:pPr>
              <w:pStyle w:val="a3"/>
              <w:jc w:val="right"/>
              <w:rPr>
                <w:b/>
                <w:bCs/>
                <w:rtl/>
              </w:rPr>
            </w:pPr>
          </w:p>
        </w:tc>
        <w:tc>
          <w:tcPr>
            <w:tcW w:w="3587" w:type="dxa"/>
          </w:tcPr>
          <w:p w14:paraId="7563430C" w14:textId="77777777" w:rsidR="008C3BF8" w:rsidRPr="00F83EBC" w:rsidRDefault="008C3BF8" w:rsidP="00474F19">
            <w:pPr>
              <w:pStyle w:val="a3"/>
              <w:tabs>
                <w:tab w:val="clear" w:pos="4153"/>
              </w:tabs>
              <w:jc w:val="right"/>
              <w:rPr>
                <w:rtl/>
              </w:rPr>
            </w:pPr>
            <w:r w:rsidRPr="00F83EBC">
              <w:rPr>
                <w:rFonts w:hint="cs"/>
                <w:b/>
                <w:bCs/>
                <w:rtl/>
              </w:rPr>
              <w:t>06 מאי 2021</w:t>
            </w:r>
          </w:p>
          <w:p w14:paraId="7C10220F" w14:textId="77777777" w:rsidR="008C3BF8" w:rsidRPr="00F83EBC" w:rsidRDefault="008C3BF8" w:rsidP="00474F19">
            <w:pPr>
              <w:pStyle w:val="a3"/>
              <w:tabs>
                <w:tab w:val="clear" w:pos="4153"/>
              </w:tabs>
              <w:rPr>
                <w:b/>
                <w:bCs/>
                <w:rtl/>
              </w:rPr>
            </w:pPr>
          </w:p>
          <w:p w14:paraId="11F79FA6" w14:textId="77777777" w:rsidR="008C3BF8" w:rsidRPr="00F83EBC" w:rsidRDefault="008C3BF8" w:rsidP="00474F19">
            <w:pPr>
              <w:jc w:val="right"/>
              <w:rPr>
                <w:rtl/>
              </w:rPr>
            </w:pPr>
            <w:r w:rsidRPr="00F83EBC">
              <w:rPr>
                <w:rFonts w:hint="cs"/>
                <w:b/>
                <w:bCs/>
                <w:rtl/>
              </w:rPr>
              <w:t>ת"פ 56739-09-20 מדינת ישראל נ' גדיפי(עציר)</w:t>
            </w:r>
          </w:p>
        </w:tc>
      </w:tr>
    </w:tbl>
    <w:p w14:paraId="1A49731F" w14:textId="77777777" w:rsidR="008C3BF8" w:rsidRPr="00F83EBC" w:rsidRDefault="008C3BF8" w:rsidP="008C3BF8">
      <w:pPr>
        <w:pStyle w:val="a3"/>
        <w:rPr>
          <w:rtl/>
        </w:rPr>
      </w:pPr>
      <w:bookmarkStart w:id="0" w:name="LastJudge"/>
      <w:bookmarkEnd w:id="0"/>
    </w:p>
    <w:p w14:paraId="0ED22DFA" w14:textId="77777777" w:rsidR="008C3BF8" w:rsidRPr="00F83EBC" w:rsidRDefault="008C3BF8" w:rsidP="008C3BF8">
      <w:pPr>
        <w:spacing w:line="360" w:lineRule="auto"/>
        <w:jc w:val="both"/>
        <w:rPr>
          <w:sz w:val="6"/>
          <w:szCs w:val="6"/>
          <w:rtl/>
        </w:rPr>
      </w:pPr>
    </w:p>
    <w:p w14:paraId="303A8EC3" w14:textId="77777777" w:rsidR="008C3BF8" w:rsidRPr="00F83EBC" w:rsidRDefault="008C3BF8" w:rsidP="008C3BF8">
      <w:pPr>
        <w:spacing w:line="360" w:lineRule="auto"/>
        <w:jc w:val="both"/>
        <w:rPr>
          <w:sz w:val="6"/>
          <w:szCs w:val="6"/>
          <w:rtl/>
        </w:rPr>
      </w:pPr>
    </w:p>
    <w:tbl>
      <w:tblPr>
        <w:bidiVisual/>
        <w:tblW w:w="8535" w:type="dxa"/>
        <w:tblInd w:w="239" w:type="dxa"/>
        <w:tblLook w:val="01E0" w:firstRow="1" w:lastRow="1" w:firstColumn="1" w:lastColumn="1" w:noHBand="0" w:noVBand="0"/>
      </w:tblPr>
      <w:tblGrid>
        <w:gridCol w:w="2253"/>
        <w:gridCol w:w="6226"/>
        <w:gridCol w:w="56"/>
      </w:tblGrid>
      <w:tr w:rsidR="008C3BF8" w:rsidRPr="00F83EBC" w14:paraId="407E08D1" w14:textId="77777777" w:rsidTr="008C3BF8">
        <w:trPr>
          <w:gridAfter w:val="1"/>
          <w:wAfter w:w="56" w:type="dxa"/>
        </w:trPr>
        <w:tc>
          <w:tcPr>
            <w:tcW w:w="8479" w:type="dxa"/>
            <w:gridSpan w:val="2"/>
            <w:shd w:val="clear" w:color="auto" w:fill="auto"/>
          </w:tcPr>
          <w:p w14:paraId="5183987E" w14:textId="77777777" w:rsidR="008C3BF8" w:rsidRPr="00F83EBC" w:rsidRDefault="008C3BF8" w:rsidP="008C3BF8">
            <w:pPr>
              <w:spacing w:line="360" w:lineRule="auto"/>
              <w:jc w:val="both"/>
              <w:rPr>
                <w:rFonts w:ascii="David" w:hAnsi="David"/>
                <w:b/>
                <w:bCs/>
                <w:rtl/>
              </w:rPr>
            </w:pPr>
            <w:r w:rsidRPr="00F83EBC">
              <w:rPr>
                <w:rFonts w:ascii="David" w:hAnsi="David"/>
                <w:b/>
                <w:bCs/>
                <w:rtl/>
              </w:rPr>
              <w:t xml:space="preserve">  </w:t>
            </w:r>
            <w:r w:rsidRPr="00F83EBC">
              <w:rPr>
                <w:rFonts w:ascii="David" w:hAnsi="David" w:hint="cs"/>
                <w:b/>
                <w:bCs/>
                <w:rtl/>
              </w:rPr>
              <w:t>בעניין:</w:t>
            </w:r>
          </w:p>
        </w:tc>
      </w:tr>
      <w:tr w:rsidR="008C3BF8" w:rsidRPr="00F83EBC" w14:paraId="4AB94F0D" w14:textId="77777777" w:rsidTr="008C3BF8">
        <w:tc>
          <w:tcPr>
            <w:tcW w:w="2253" w:type="dxa"/>
            <w:shd w:val="clear" w:color="auto" w:fill="auto"/>
          </w:tcPr>
          <w:p w14:paraId="3E251B1C" w14:textId="77777777" w:rsidR="008C3BF8" w:rsidRPr="00F83EBC" w:rsidRDefault="008C3BF8" w:rsidP="008C3BF8">
            <w:pPr>
              <w:spacing w:line="360" w:lineRule="auto"/>
              <w:ind w:left="26"/>
              <w:rPr>
                <w:rFonts w:ascii="David" w:hAnsi="David"/>
                <w:b/>
                <w:bCs/>
                <w:rtl/>
              </w:rPr>
            </w:pPr>
            <w:bookmarkStart w:id="1" w:name="FirstAppellant"/>
            <w:r w:rsidRPr="00F83EBC">
              <w:rPr>
                <w:rFonts w:ascii="David" w:hAnsi="David" w:hint="cs"/>
                <w:b/>
                <w:bCs/>
                <w:rtl/>
              </w:rPr>
              <w:t>המאשימה:</w:t>
            </w:r>
          </w:p>
        </w:tc>
        <w:tc>
          <w:tcPr>
            <w:tcW w:w="6282" w:type="dxa"/>
            <w:gridSpan w:val="2"/>
            <w:shd w:val="clear" w:color="auto" w:fill="auto"/>
          </w:tcPr>
          <w:p w14:paraId="308DCB34" w14:textId="77777777" w:rsidR="008C3BF8" w:rsidRPr="00F83EBC" w:rsidRDefault="008C3BF8" w:rsidP="008C3BF8">
            <w:pPr>
              <w:spacing w:line="360" w:lineRule="auto"/>
              <w:rPr>
                <w:rFonts w:ascii="David" w:hAnsi="David"/>
                <w:b/>
                <w:bCs/>
                <w:rtl/>
              </w:rPr>
            </w:pPr>
            <w:r w:rsidRPr="00F83EBC">
              <w:rPr>
                <w:rFonts w:ascii="David" w:hAnsi="David" w:hint="cs"/>
                <w:b/>
                <w:bCs/>
                <w:rtl/>
              </w:rPr>
              <w:t>מדינת ישראל</w:t>
            </w:r>
          </w:p>
        </w:tc>
      </w:tr>
      <w:bookmarkEnd w:id="1"/>
      <w:tr w:rsidR="008C3BF8" w:rsidRPr="00F83EBC" w14:paraId="0B9FBFE1" w14:textId="77777777" w:rsidTr="008C3BF8">
        <w:tc>
          <w:tcPr>
            <w:tcW w:w="8535" w:type="dxa"/>
            <w:gridSpan w:val="3"/>
            <w:shd w:val="clear" w:color="auto" w:fill="auto"/>
          </w:tcPr>
          <w:p w14:paraId="421A724D" w14:textId="77777777" w:rsidR="008C3BF8" w:rsidRPr="00F83EBC" w:rsidRDefault="008C3BF8" w:rsidP="008C3BF8">
            <w:pPr>
              <w:spacing w:line="360" w:lineRule="auto"/>
              <w:jc w:val="center"/>
              <w:rPr>
                <w:rFonts w:ascii="David" w:hAnsi="David"/>
                <w:b/>
                <w:bCs/>
                <w:sz w:val="28"/>
                <w:szCs w:val="28"/>
                <w:rtl/>
              </w:rPr>
            </w:pPr>
            <w:r w:rsidRPr="00F83EBC">
              <w:rPr>
                <w:rFonts w:ascii="David" w:hAnsi="David" w:hint="cs"/>
                <w:b/>
                <w:bCs/>
                <w:sz w:val="28"/>
                <w:szCs w:val="28"/>
                <w:rtl/>
              </w:rPr>
              <w:t>נגד</w:t>
            </w:r>
          </w:p>
        </w:tc>
      </w:tr>
      <w:tr w:rsidR="008C3BF8" w:rsidRPr="00F83EBC" w14:paraId="66147AF2" w14:textId="77777777" w:rsidTr="008C3BF8">
        <w:tc>
          <w:tcPr>
            <w:tcW w:w="2253" w:type="dxa"/>
            <w:shd w:val="clear" w:color="auto" w:fill="auto"/>
          </w:tcPr>
          <w:p w14:paraId="0A90CE4B" w14:textId="77777777" w:rsidR="008C3BF8" w:rsidRPr="00F83EBC" w:rsidRDefault="008C3BF8" w:rsidP="008C3BF8">
            <w:pPr>
              <w:spacing w:line="360" w:lineRule="auto"/>
              <w:ind w:left="26"/>
              <w:rPr>
                <w:rFonts w:ascii="David" w:hAnsi="David"/>
                <w:b/>
                <w:bCs/>
              </w:rPr>
            </w:pPr>
            <w:r w:rsidRPr="00F83EBC">
              <w:rPr>
                <w:rFonts w:ascii="David" w:hAnsi="David" w:hint="cs"/>
                <w:b/>
                <w:bCs/>
                <w:rtl/>
              </w:rPr>
              <w:t>הנאשם:</w:t>
            </w:r>
          </w:p>
        </w:tc>
        <w:tc>
          <w:tcPr>
            <w:tcW w:w="6282" w:type="dxa"/>
            <w:gridSpan w:val="2"/>
            <w:shd w:val="clear" w:color="auto" w:fill="auto"/>
          </w:tcPr>
          <w:p w14:paraId="7046C585" w14:textId="77777777" w:rsidR="008C3BF8" w:rsidRPr="00F83EBC" w:rsidRDefault="008C3BF8" w:rsidP="008C3BF8">
            <w:pPr>
              <w:spacing w:line="360" w:lineRule="auto"/>
              <w:rPr>
                <w:rFonts w:ascii="David" w:hAnsi="David"/>
                <w:b/>
                <w:bCs/>
                <w:rtl/>
              </w:rPr>
            </w:pPr>
            <w:r w:rsidRPr="00F83EBC">
              <w:rPr>
                <w:rFonts w:ascii="David" w:hAnsi="David"/>
                <w:b/>
                <w:bCs/>
                <w:rtl/>
              </w:rPr>
              <w:t>מאג'די גדיפי (עציר)</w:t>
            </w:r>
          </w:p>
        </w:tc>
      </w:tr>
    </w:tbl>
    <w:p w14:paraId="3ABD8B07" w14:textId="77777777" w:rsidR="008C3BF8" w:rsidRPr="00F83EBC" w:rsidRDefault="008C3BF8" w:rsidP="008C3BF8">
      <w:pPr>
        <w:spacing w:line="360" w:lineRule="auto"/>
        <w:jc w:val="both"/>
        <w:rPr>
          <w:rFonts w:ascii="David" w:hAnsi="David"/>
          <w:sz w:val="6"/>
          <w:szCs w:val="6"/>
          <w:rtl/>
        </w:rPr>
      </w:pPr>
      <w:r w:rsidRPr="00F83EBC">
        <w:rPr>
          <w:rFonts w:hint="cs"/>
          <w:sz w:val="6"/>
          <w:szCs w:val="6"/>
          <w:rtl/>
        </w:rPr>
        <w:t>&lt;#1#&gt;</w:t>
      </w:r>
    </w:p>
    <w:p w14:paraId="148B61B7" w14:textId="77777777" w:rsidR="008C3BF8" w:rsidRPr="00F83EBC" w:rsidRDefault="008C3BF8" w:rsidP="008C3BF8">
      <w:pPr>
        <w:pStyle w:val="12"/>
        <w:spacing w:line="360" w:lineRule="auto"/>
        <w:rPr>
          <w:u w:val="none"/>
          <w:rtl/>
        </w:rPr>
      </w:pPr>
      <w:r w:rsidRPr="00F83EBC">
        <w:rPr>
          <w:u w:val="none"/>
          <w:rtl/>
        </w:rPr>
        <w:t>נוכחים:</w:t>
      </w:r>
    </w:p>
    <w:p w14:paraId="4230589C" w14:textId="77777777" w:rsidR="008C3BF8" w:rsidRPr="00F83EBC" w:rsidRDefault="008C3BF8" w:rsidP="008C3BF8">
      <w:pPr>
        <w:pStyle w:val="12"/>
        <w:spacing w:line="360" w:lineRule="auto"/>
        <w:rPr>
          <w:b w:val="0"/>
          <w:bCs w:val="0"/>
          <w:u w:val="none"/>
          <w:rtl/>
        </w:rPr>
      </w:pPr>
      <w:bookmarkStart w:id="2" w:name="FirstLawyer"/>
      <w:r w:rsidRPr="00F83EBC">
        <w:rPr>
          <w:b w:val="0"/>
          <w:bCs w:val="0"/>
          <w:u w:val="none"/>
          <w:rtl/>
        </w:rPr>
        <w:t>ב"כ</w:t>
      </w:r>
      <w:bookmarkEnd w:id="2"/>
      <w:r w:rsidRPr="00F83EBC">
        <w:rPr>
          <w:b w:val="0"/>
          <w:bCs w:val="0"/>
          <w:u w:val="none"/>
          <w:rtl/>
        </w:rPr>
        <w:t xml:space="preserve"> המאשימה, עו"ד גיורא חזן</w:t>
      </w:r>
    </w:p>
    <w:p w14:paraId="53C43C2D" w14:textId="77777777" w:rsidR="008C3BF8" w:rsidRPr="00F83EBC" w:rsidRDefault="008C3BF8" w:rsidP="008C3BF8">
      <w:pPr>
        <w:pStyle w:val="12"/>
        <w:spacing w:line="360" w:lineRule="auto"/>
        <w:rPr>
          <w:b w:val="0"/>
          <w:bCs w:val="0"/>
          <w:u w:val="none"/>
          <w:rtl/>
        </w:rPr>
      </w:pPr>
      <w:r w:rsidRPr="00F83EBC">
        <w:rPr>
          <w:b w:val="0"/>
          <w:bCs w:val="0"/>
          <w:u w:val="none"/>
          <w:rtl/>
        </w:rPr>
        <w:t xml:space="preserve">ב"כ הנאשם, עו"ד אחמד וותד </w:t>
      </w:r>
    </w:p>
    <w:p w14:paraId="2A456C95" w14:textId="77777777" w:rsidR="00431DA8" w:rsidRDefault="00431DA8" w:rsidP="00431DA8">
      <w:pPr>
        <w:spacing w:line="360" w:lineRule="auto"/>
        <w:jc w:val="center"/>
        <w:rPr>
          <w:rFonts w:ascii="Arial" w:hAnsi="Arial"/>
          <w:sz w:val="28"/>
          <w:szCs w:val="28"/>
          <w:rtl/>
        </w:rPr>
      </w:pPr>
      <w:bookmarkStart w:id="3" w:name="LawTable"/>
      <w:bookmarkEnd w:id="3"/>
    </w:p>
    <w:p w14:paraId="446348A0" w14:textId="77777777" w:rsidR="00431DA8" w:rsidRPr="00431DA8" w:rsidRDefault="00431DA8" w:rsidP="00431DA8">
      <w:pPr>
        <w:spacing w:before="120" w:after="120" w:line="240" w:lineRule="exact"/>
        <w:ind w:left="283" w:hanging="283"/>
        <w:jc w:val="both"/>
        <w:rPr>
          <w:rFonts w:ascii="FrankRuehl" w:hAnsi="FrankRuehl" w:cs="FrankRuehl"/>
          <w:rtl/>
        </w:rPr>
      </w:pPr>
    </w:p>
    <w:p w14:paraId="2FE5FA51" w14:textId="77777777" w:rsidR="00431DA8" w:rsidRPr="00431DA8" w:rsidRDefault="00431DA8" w:rsidP="00431DA8">
      <w:pPr>
        <w:spacing w:before="120" w:after="120" w:line="240" w:lineRule="exact"/>
        <w:ind w:left="283" w:hanging="283"/>
        <w:jc w:val="both"/>
        <w:rPr>
          <w:rFonts w:ascii="FrankRuehl" w:hAnsi="FrankRuehl" w:cs="FrankRuehl"/>
          <w:rtl/>
        </w:rPr>
      </w:pPr>
    </w:p>
    <w:p w14:paraId="24C0C740" w14:textId="77777777" w:rsidR="00431DA8" w:rsidRPr="00431DA8" w:rsidRDefault="00431DA8" w:rsidP="00431DA8">
      <w:pPr>
        <w:spacing w:before="120" w:after="120" w:line="240" w:lineRule="exact"/>
        <w:ind w:left="283" w:hanging="283"/>
        <w:jc w:val="both"/>
        <w:rPr>
          <w:rFonts w:ascii="FrankRuehl" w:hAnsi="FrankRuehl" w:cs="FrankRuehl"/>
          <w:rtl/>
        </w:rPr>
      </w:pPr>
      <w:r w:rsidRPr="00431DA8">
        <w:rPr>
          <w:rFonts w:ascii="FrankRuehl" w:hAnsi="FrankRuehl" w:cs="FrankRuehl"/>
          <w:rtl/>
        </w:rPr>
        <w:t xml:space="preserve">חקיקה שאוזכרה: </w:t>
      </w:r>
    </w:p>
    <w:p w14:paraId="12A8A337" w14:textId="77777777" w:rsidR="00431DA8" w:rsidRPr="00431DA8" w:rsidRDefault="00431DA8" w:rsidP="00431DA8">
      <w:pPr>
        <w:spacing w:before="120" w:after="120" w:line="240" w:lineRule="exact"/>
        <w:ind w:left="283" w:hanging="283"/>
        <w:jc w:val="both"/>
        <w:rPr>
          <w:rFonts w:ascii="FrankRuehl" w:hAnsi="FrankRuehl" w:cs="FrankRuehl"/>
          <w:rtl/>
        </w:rPr>
      </w:pPr>
      <w:hyperlink r:id="rId6" w:history="1">
        <w:r w:rsidRPr="00431DA8">
          <w:rPr>
            <w:rFonts w:ascii="FrankRuehl" w:hAnsi="FrankRuehl" w:cs="FrankRuehl"/>
            <w:color w:val="0000FF"/>
            <w:rtl/>
          </w:rPr>
          <w:t>חוק העונשין, תשל"ז-1977</w:t>
        </w:r>
      </w:hyperlink>
      <w:r w:rsidRPr="00431DA8">
        <w:rPr>
          <w:rFonts w:ascii="FrankRuehl" w:hAnsi="FrankRuehl" w:cs="FrankRuehl"/>
          <w:rtl/>
        </w:rPr>
        <w:t xml:space="preserve">: סע'  </w:t>
      </w:r>
      <w:hyperlink r:id="rId7" w:history="1">
        <w:r w:rsidRPr="00431DA8">
          <w:rPr>
            <w:rFonts w:ascii="FrankRuehl" w:hAnsi="FrankRuehl" w:cs="FrankRuehl"/>
            <w:color w:val="0000FF"/>
            <w:rtl/>
          </w:rPr>
          <w:t>144(א)</w:t>
        </w:r>
      </w:hyperlink>
      <w:r w:rsidRPr="00431DA8">
        <w:rPr>
          <w:rFonts w:ascii="FrankRuehl" w:hAnsi="FrankRuehl" w:cs="FrankRuehl"/>
          <w:rtl/>
        </w:rPr>
        <w:t xml:space="preserve">, </w:t>
      </w:r>
      <w:hyperlink r:id="rId8" w:history="1">
        <w:r w:rsidRPr="00431DA8">
          <w:rPr>
            <w:rFonts w:ascii="FrankRuehl" w:hAnsi="FrankRuehl" w:cs="FrankRuehl"/>
            <w:color w:val="0000FF"/>
            <w:rtl/>
          </w:rPr>
          <w:t>244</w:t>
        </w:r>
      </w:hyperlink>
    </w:p>
    <w:p w14:paraId="6A8A3AF6" w14:textId="77777777" w:rsidR="00431DA8" w:rsidRPr="00431DA8" w:rsidRDefault="00431DA8" w:rsidP="00431DA8">
      <w:pPr>
        <w:spacing w:line="360" w:lineRule="auto"/>
        <w:jc w:val="center"/>
        <w:rPr>
          <w:rFonts w:ascii="Arial" w:hAnsi="Arial"/>
          <w:sz w:val="28"/>
          <w:szCs w:val="28"/>
          <w:rtl/>
        </w:rPr>
      </w:pPr>
      <w:bookmarkStart w:id="4" w:name="LawTable_End"/>
      <w:bookmarkEnd w:id="4"/>
    </w:p>
    <w:p w14:paraId="5404E23B" w14:textId="77777777" w:rsidR="00F83EBC" w:rsidRPr="008E4A1A" w:rsidRDefault="00F83EBC" w:rsidP="008E4A1A">
      <w:pPr>
        <w:spacing w:line="360" w:lineRule="auto"/>
        <w:jc w:val="center"/>
        <w:rPr>
          <w:rFonts w:ascii="Arial" w:hAnsi="Arial"/>
          <w:sz w:val="28"/>
          <w:szCs w:val="28"/>
          <w:rtl/>
        </w:rPr>
      </w:pPr>
    </w:p>
    <w:p w14:paraId="5A67DCBB" w14:textId="77777777" w:rsidR="00F83EBC" w:rsidRPr="00F83EBC" w:rsidRDefault="00F83EBC" w:rsidP="00F83EBC">
      <w:pPr>
        <w:spacing w:line="360" w:lineRule="auto"/>
        <w:jc w:val="center"/>
        <w:rPr>
          <w:rFonts w:ascii="Arial" w:hAnsi="Arial"/>
          <w:b/>
          <w:bCs/>
          <w:sz w:val="28"/>
          <w:szCs w:val="28"/>
          <w:u w:val="single"/>
          <w:rtl/>
        </w:rPr>
      </w:pPr>
      <w:bookmarkStart w:id="5" w:name="PsakDin"/>
      <w:r w:rsidRPr="00F83EBC">
        <w:rPr>
          <w:rFonts w:ascii="Arial" w:hAnsi="Arial"/>
          <w:b/>
          <w:bCs/>
          <w:sz w:val="28"/>
          <w:szCs w:val="28"/>
          <w:u w:val="single"/>
          <w:rtl/>
        </w:rPr>
        <w:t>גזר דין</w:t>
      </w:r>
    </w:p>
    <w:bookmarkEnd w:id="5"/>
    <w:p w14:paraId="5D8BCFF8" w14:textId="77777777" w:rsidR="008C3BF8" w:rsidRPr="00B3391F" w:rsidRDefault="008C3BF8" w:rsidP="008C3BF8">
      <w:pPr>
        <w:spacing w:line="360" w:lineRule="auto"/>
        <w:jc w:val="both"/>
        <w:rPr>
          <w:rFonts w:ascii="Arial" w:hAnsi="Arial"/>
          <w:rtl/>
        </w:rPr>
      </w:pPr>
    </w:p>
    <w:p w14:paraId="57B6355C" w14:textId="77777777" w:rsidR="008C3BF8" w:rsidRPr="00B3391F" w:rsidRDefault="008C3BF8" w:rsidP="008C3BF8">
      <w:pPr>
        <w:spacing w:line="360" w:lineRule="auto"/>
        <w:jc w:val="both"/>
        <w:rPr>
          <w:rFonts w:ascii="David" w:hAnsi="David"/>
          <w:b/>
          <w:bCs/>
          <w:u w:val="single"/>
        </w:rPr>
      </w:pPr>
      <w:r w:rsidRPr="00B3391F">
        <w:rPr>
          <w:rFonts w:hint="cs"/>
          <w:b/>
          <w:bCs/>
          <w:u w:val="single"/>
          <w:rtl/>
        </w:rPr>
        <w:t>כללי</w:t>
      </w:r>
    </w:p>
    <w:p w14:paraId="0429E337" w14:textId="77777777" w:rsidR="008C3BF8" w:rsidRPr="00B3391F" w:rsidRDefault="008C3BF8" w:rsidP="008C3BF8">
      <w:pPr>
        <w:spacing w:line="360" w:lineRule="auto"/>
        <w:ind w:left="720" w:hanging="720"/>
        <w:jc w:val="both"/>
        <w:rPr>
          <w:rtl/>
        </w:rPr>
      </w:pPr>
      <w:r w:rsidRPr="00B3391F">
        <w:rPr>
          <w:rFonts w:hint="cs"/>
          <w:rtl/>
        </w:rPr>
        <w:t>1.</w:t>
      </w:r>
      <w:r w:rsidRPr="00B3391F">
        <w:rPr>
          <w:rFonts w:hint="cs"/>
          <w:rtl/>
        </w:rPr>
        <w:tab/>
        <w:t xml:space="preserve">בטרם שמיעת הראיות הגיעו הצדדים להסדר דיוני, במסגרתו הוגש נגד הנאשם כתב אישום מתוקן והנאשם הודה בעובדות כתב האישום המתוקן, שאלה הם עיקריהן – </w:t>
      </w:r>
    </w:p>
    <w:p w14:paraId="55FE71D2" w14:textId="77777777" w:rsidR="008C3BF8" w:rsidRPr="00B3391F" w:rsidRDefault="008C3BF8" w:rsidP="008C3BF8">
      <w:pPr>
        <w:spacing w:line="360" w:lineRule="auto"/>
        <w:ind w:left="720"/>
        <w:jc w:val="both"/>
        <w:rPr>
          <w:rtl/>
        </w:rPr>
      </w:pPr>
      <w:r w:rsidRPr="00B3391F">
        <w:rPr>
          <w:rFonts w:hint="cs"/>
          <w:rtl/>
        </w:rPr>
        <w:t xml:space="preserve">בתאריך 18.09.20 הנאשם שהה במסעדה בישוב שגב שלום כשברשותו מזוודה ובה אקדח 9 מ"מ חצי אוטומטי, שלוש מחסניות מתאימות לאקדח, וקופסא שהכילה 37 כדורי תחמושת 9 מ"מ (להלן: "המזוודה"). בשלב מסוים הנאשם יצא מהמסעדה כשהמזוודה בידו. שוטרים הגיעו למקום כדי לעכבו, הזדהו בפניו והורו לו לעצור, ובתגובה הוא השליך את המזוודה על הקרקע בכוונה להכשיל או למנוע הליך שיפוטי בהעלמת ראיות. </w:t>
      </w:r>
    </w:p>
    <w:p w14:paraId="1D617203" w14:textId="77777777" w:rsidR="008C3BF8" w:rsidRPr="00B3391F" w:rsidRDefault="008C3BF8" w:rsidP="008C3BF8">
      <w:pPr>
        <w:spacing w:line="360" w:lineRule="auto"/>
        <w:ind w:left="720"/>
        <w:jc w:val="both"/>
        <w:rPr>
          <w:rtl/>
        </w:rPr>
      </w:pPr>
    </w:p>
    <w:p w14:paraId="3E5FA612" w14:textId="77777777" w:rsidR="008C3BF8" w:rsidRPr="00B3391F" w:rsidRDefault="008C3BF8" w:rsidP="008C3BF8">
      <w:pPr>
        <w:spacing w:line="360" w:lineRule="auto"/>
        <w:ind w:left="720" w:hanging="720"/>
        <w:jc w:val="both"/>
        <w:rPr>
          <w:rtl/>
        </w:rPr>
      </w:pPr>
      <w:r w:rsidRPr="00B3391F">
        <w:rPr>
          <w:rFonts w:hint="cs"/>
          <w:rtl/>
        </w:rPr>
        <w:t>2.</w:t>
      </w:r>
      <w:r w:rsidRPr="00B3391F">
        <w:rPr>
          <w:rFonts w:hint="cs"/>
          <w:rtl/>
        </w:rPr>
        <w:tab/>
      </w:r>
      <w:bookmarkStart w:id="6" w:name="ABSTRACT_START"/>
      <w:bookmarkEnd w:id="6"/>
      <w:r w:rsidRPr="00B3391F">
        <w:rPr>
          <w:rFonts w:hint="cs"/>
          <w:rtl/>
        </w:rPr>
        <w:t xml:space="preserve">על יסוד הודאת הנאשם בעובדות כתב האישום המתוקן כאמור,  הוא הורשע בעבירות בנשק לפי </w:t>
      </w:r>
      <w:hyperlink r:id="rId9" w:history="1">
        <w:r w:rsidR="008E4A1A" w:rsidRPr="008E4A1A">
          <w:rPr>
            <w:rStyle w:val="Hyperlink"/>
            <w:rFonts w:hint="eastAsia"/>
            <w:rtl/>
          </w:rPr>
          <w:t>סעיף</w:t>
        </w:r>
        <w:r w:rsidR="008E4A1A" w:rsidRPr="008E4A1A">
          <w:rPr>
            <w:rStyle w:val="Hyperlink"/>
            <w:rtl/>
          </w:rPr>
          <w:t xml:space="preserve"> 144(א)</w:t>
        </w:r>
      </w:hyperlink>
      <w:r w:rsidRPr="00B3391F">
        <w:rPr>
          <w:rFonts w:hint="cs"/>
          <w:rtl/>
        </w:rPr>
        <w:t xml:space="preserve"> רישא וסיפא ב</w:t>
      </w:r>
      <w:hyperlink r:id="rId10" w:history="1">
        <w:r w:rsidR="00F83EBC" w:rsidRPr="00F83EBC">
          <w:rPr>
            <w:color w:val="0000FF"/>
            <w:u w:val="single"/>
            <w:rtl/>
          </w:rPr>
          <w:t>חוק העונשין</w:t>
        </w:r>
      </w:hyperlink>
      <w:r w:rsidRPr="00B3391F">
        <w:rPr>
          <w:rFonts w:hint="cs"/>
          <w:rtl/>
        </w:rPr>
        <w:t xml:space="preserve"> התשל"ז-1977 ובעבירה של שיבוש מהלכי משפט, לפי </w:t>
      </w:r>
      <w:hyperlink r:id="rId11" w:history="1">
        <w:r w:rsidR="008E4A1A" w:rsidRPr="008E4A1A">
          <w:rPr>
            <w:rStyle w:val="Hyperlink"/>
            <w:rFonts w:hint="eastAsia"/>
            <w:rtl/>
          </w:rPr>
          <w:t>סעיף</w:t>
        </w:r>
        <w:r w:rsidR="008E4A1A" w:rsidRPr="008E4A1A">
          <w:rPr>
            <w:rStyle w:val="Hyperlink"/>
            <w:rtl/>
          </w:rPr>
          <w:t xml:space="preserve"> 244</w:t>
        </w:r>
      </w:hyperlink>
      <w:r w:rsidRPr="00B3391F">
        <w:rPr>
          <w:rFonts w:hint="cs"/>
          <w:rtl/>
        </w:rPr>
        <w:t xml:space="preserve"> בחוק העונשין התשל"ז-1977.</w:t>
      </w:r>
      <w:bookmarkStart w:id="7" w:name="ABSTRACT_END"/>
      <w:bookmarkEnd w:id="7"/>
    </w:p>
    <w:p w14:paraId="7672D73A" w14:textId="77777777" w:rsidR="008C3BF8" w:rsidRPr="00B3391F" w:rsidRDefault="008C3BF8" w:rsidP="008C3BF8">
      <w:pPr>
        <w:spacing w:line="360" w:lineRule="auto"/>
        <w:ind w:left="720" w:hanging="720"/>
        <w:jc w:val="both"/>
        <w:rPr>
          <w:rtl/>
        </w:rPr>
      </w:pPr>
    </w:p>
    <w:p w14:paraId="2EB7D258" w14:textId="77777777" w:rsidR="008C3BF8" w:rsidRPr="00B3391F" w:rsidRDefault="008C3BF8" w:rsidP="008C3BF8">
      <w:pPr>
        <w:spacing w:line="360" w:lineRule="auto"/>
        <w:ind w:left="720" w:hanging="720"/>
        <w:jc w:val="both"/>
        <w:rPr>
          <w:rtl/>
        </w:rPr>
      </w:pPr>
      <w:r w:rsidRPr="00B3391F">
        <w:rPr>
          <w:rFonts w:hint="cs"/>
          <w:rtl/>
        </w:rPr>
        <w:lastRenderedPageBreak/>
        <w:t>3.</w:t>
      </w:r>
      <w:r w:rsidRPr="00B3391F">
        <w:rPr>
          <w:rFonts w:hint="cs"/>
          <w:rtl/>
        </w:rPr>
        <w:tab/>
        <w:t>הסדר הטיעון לא כלל הסכמה לעניין העונש.</w:t>
      </w:r>
    </w:p>
    <w:p w14:paraId="5D0D40A0" w14:textId="77777777" w:rsidR="008C3BF8" w:rsidRPr="00B3391F" w:rsidRDefault="008C3BF8" w:rsidP="008C3BF8">
      <w:pPr>
        <w:spacing w:line="360" w:lineRule="auto"/>
        <w:ind w:left="720" w:hanging="720"/>
        <w:jc w:val="both"/>
        <w:rPr>
          <w:b/>
          <w:bCs/>
          <w:u w:val="single"/>
          <w:rtl/>
        </w:rPr>
      </w:pPr>
    </w:p>
    <w:p w14:paraId="60751EFA" w14:textId="77777777" w:rsidR="008C3BF8" w:rsidRPr="00B3391F" w:rsidRDefault="008C3BF8" w:rsidP="008C3BF8">
      <w:pPr>
        <w:spacing w:line="360" w:lineRule="auto"/>
        <w:ind w:left="720" w:hanging="720"/>
        <w:jc w:val="both"/>
        <w:rPr>
          <w:b/>
          <w:bCs/>
          <w:u w:val="single"/>
          <w:rtl/>
        </w:rPr>
      </w:pPr>
    </w:p>
    <w:p w14:paraId="08324965" w14:textId="77777777" w:rsidR="008C3BF8" w:rsidRPr="00B3391F" w:rsidRDefault="008C3BF8" w:rsidP="008C3BF8">
      <w:pPr>
        <w:spacing w:line="360" w:lineRule="auto"/>
        <w:ind w:left="720" w:hanging="720"/>
        <w:jc w:val="both"/>
        <w:rPr>
          <w:b/>
          <w:bCs/>
          <w:u w:val="single"/>
          <w:rtl/>
        </w:rPr>
      </w:pPr>
      <w:r w:rsidRPr="00B3391F">
        <w:rPr>
          <w:rFonts w:hint="cs"/>
          <w:b/>
          <w:bCs/>
          <w:u w:val="single"/>
          <w:rtl/>
        </w:rPr>
        <w:t>טיעוני הצדדים</w:t>
      </w:r>
    </w:p>
    <w:p w14:paraId="0C3662BD" w14:textId="77777777" w:rsidR="008C3BF8" w:rsidRPr="00B3391F" w:rsidRDefault="008C3BF8" w:rsidP="008C3BF8">
      <w:pPr>
        <w:spacing w:line="360" w:lineRule="auto"/>
        <w:ind w:left="720" w:hanging="720"/>
        <w:jc w:val="both"/>
        <w:rPr>
          <w:rtl/>
        </w:rPr>
      </w:pPr>
      <w:r w:rsidRPr="00B3391F">
        <w:rPr>
          <w:rFonts w:hint="cs"/>
          <w:rtl/>
        </w:rPr>
        <w:t xml:space="preserve">4. </w:t>
      </w:r>
      <w:r w:rsidRPr="00B3391F">
        <w:rPr>
          <w:rFonts w:hint="cs"/>
          <w:rtl/>
        </w:rPr>
        <w:tab/>
        <w:t xml:space="preserve">המאשימה עמדה על נסיבות ביצוע העבירה; טענה לחומרת עבירות הנשק; ציינה את  הערכים המוגנים בעבירות הנשק; התייחסה למדיניות הענישה הנוהגת; ועתרה לקבוע מתחם עונש הולם הנע בין 18 ל- 36 חודשי מאסר בפועל. אשר לעונש, הגישה את המרשם הפלילי של הנאשם וציינה כי לחובת הנאשם הרשעה בעבירה של החזקת סם מסוכן שלא לצריכה עצמית משנת 2014, עליה נדון לשנת מאסר. הגישה תמונות של המזוודה ובה האקדח. וביקשה להטיל על הנאשם עונש מאסר ברף העליון של המתחם, מאסר על תנאי וקנס כספי מרתיע. </w:t>
      </w:r>
    </w:p>
    <w:p w14:paraId="1D76A53C" w14:textId="77777777" w:rsidR="008C3BF8" w:rsidRPr="00B3391F" w:rsidRDefault="008C3BF8" w:rsidP="008C3BF8">
      <w:pPr>
        <w:spacing w:line="360" w:lineRule="auto"/>
        <w:ind w:left="720" w:hanging="720"/>
        <w:jc w:val="both"/>
        <w:rPr>
          <w:rtl/>
        </w:rPr>
      </w:pPr>
    </w:p>
    <w:p w14:paraId="6BADA797" w14:textId="77777777" w:rsidR="008C3BF8" w:rsidRPr="00B3391F" w:rsidRDefault="008C3BF8" w:rsidP="008C3BF8">
      <w:pPr>
        <w:spacing w:line="360" w:lineRule="auto"/>
        <w:ind w:left="720" w:hanging="720"/>
        <w:jc w:val="both"/>
        <w:rPr>
          <w:rtl/>
        </w:rPr>
      </w:pPr>
      <w:r w:rsidRPr="00B3391F">
        <w:rPr>
          <w:rFonts w:hint="cs"/>
          <w:rtl/>
        </w:rPr>
        <w:t>5.</w:t>
      </w:r>
      <w:r w:rsidRPr="00B3391F">
        <w:rPr>
          <w:rFonts w:hint="cs"/>
          <w:rtl/>
        </w:rPr>
        <w:tab/>
        <w:t xml:space="preserve">ב"כ הנאשם ציין את התיקון בכתב האישום; את הודאת הנאשם ואת לקיחת האחריות על המעשה; את גילו הצעיר של הנאשם; ואת העובדה שהרשעתו הקודמת היא משנת 2014. ועתר לקבוע מתחם עונש הולם הנע בין 9 ל- 18 חודשי מאסר ולמקם את עונשו של הנאשם ברף התחתון. </w:t>
      </w:r>
    </w:p>
    <w:p w14:paraId="00033FEC" w14:textId="77777777" w:rsidR="008C3BF8" w:rsidRPr="00B3391F" w:rsidRDefault="008C3BF8" w:rsidP="008C3BF8">
      <w:pPr>
        <w:spacing w:line="360" w:lineRule="auto"/>
        <w:ind w:left="720" w:hanging="720"/>
        <w:jc w:val="both"/>
        <w:rPr>
          <w:rtl/>
        </w:rPr>
      </w:pPr>
    </w:p>
    <w:p w14:paraId="17B80226" w14:textId="77777777" w:rsidR="008C3BF8" w:rsidRPr="00B3391F" w:rsidRDefault="008C3BF8" w:rsidP="008C3BF8">
      <w:pPr>
        <w:spacing w:line="360" w:lineRule="auto"/>
        <w:ind w:left="720" w:hanging="720"/>
        <w:jc w:val="both"/>
        <w:rPr>
          <w:rtl/>
        </w:rPr>
      </w:pPr>
      <w:r w:rsidRPr="00B3391F">
        <w:rPr>
          <w:rFonts w:hint="cs"/>
          <w:rtl/>
        </w:rPr>
        <w:t>6.</w:t>
      </w:r>
      <w:r w:rsidRPr="00B3391F">
        <w:rPr>
          <w:rFonts w:hint="cs"/>
          <w:rtl/>
        </w:rPr>
        <w:tab/>
        <w:t>הנאשם הביע צער על מעשיו.</w:t>
      </w:r>
    </w:p>
    <w:p w14:paraId="0937353D" w14:textId="77777777" w:rsidR="008C3BF8" w:rsidRPr="00B3391F" w:rsidRDefault="008C3BF8" w:rsidP="008C3BF8">
      <w:pPr>
        <w:spacing w:line="360" w:lineRule="auto"/>
        <w:ind w:left="720" w:hanging="720"/>
        <w:jc w:val="both"/>
        <w:rPr>
          <w:b/>
          <w:bCs/>
          <w:u w:val="single"/>
          <w:rtl/>
        </w:rPr>
      </w:pPr>
    </w:p>
    <w:p w14:paraId="260226C3" w14:textId="77777777" w:rsidR="008C3BF8" w:rsidRPr="00B3391F" w:rsidRDefault="008C3BF8" w:rsidP="008C3BF8">
      <w:pPr>
        <w:spacing w:line="360" w:lineRule="auto"/>
        <w:ind w:left="720" w:hanging="720"/>
        <w:jc w:val="both"/>
        <w:rPr>
          <w:b/>
          <w:bCs/>
          <w:u w:val="single"/>
          <w:rtl/>
        </w:rPr>
      </w:pPr>
      <w:r w:rsidRPr="00B3391F">
        <w:rPr>
          <w:rFonts w:hint="cs"/>
          <w:b/>
          <w:bCs/>
          <w:u w:val="single"/>
          <w:rtl/>
        </w:rPr>
        <w:t>דיון והכרעה</w:t>
      </w:r>
    </w:p>
    <w:p w14:paraId="3B95CE82" w14:textId="77777777" w:rsidR="008C3BF8" w:rsidRPr="00B3391F" w:rsidRDefault="008C3BF8" w:rsidP="008C3BF8">
      <w:pPr>
        <w:spacing w:line="360" w:lineRule="auto"/>
        <w:ind w:left="720" w:hanging="720"/>
        <w:jc w:val="both"/>
        <w:rPr>
          <w:rtl/>
        </w:rPr>
      </w:pPr>
      <w:r w:rsidRPr="00B3391F">
        <w:rPr>
          <w:rFonts w:hint="cs"/>
          <w:rtl/>
        </w:rPr>
        <w:t xml:space="preserve">7. </w:t>
      </w:r>
      <w:r w:rsidRPr="00B3391F">
        <w:rPr>
          <w:rFonts w:hint="cs"/>
          <w:rtl/>
        </w:rPr>
        <w:tab/>
        <w:t xml:space="preserve">הנאשם הורשע בעבירות של החזקת נשק ותחמושת ושיבוש מהלכי משפט. העבירות בוצעו במהלך אירוע אחד, באותו זמן ומקום, ובאותו הקשר, ובהתאם לכך יש לראות בהן כמהוות אירוע אחד, לקבוע מתחם עונש הולם לכל העבירות ולגזור עונש כולל. </w:t>
      </w:r>
    </w:p>
    <w:p w14:paraId="7D20343E" w14:textId="77777777" w:rsidR="008C3BF8" w:rsidRPr="00B3391F" w:rsidRDefault="008C3BF8" w:rsidP="008C3BF8">
      <w:pPr>
        <w:spacing w:line="360" w:lineRule="auto"/>
        <w:ind w:left="720" w:hanging="720"/>
        <w:jc w:val="both"/>
        <w:rPr>
          <w:rtl/>
        </w:rPr>
      </w:pPr>
    </w:p>
    <w:p w14:paraId="57811CF7" w14:textId="77777777" w:rsidR="008C3BF8" w:rsidRPr="00B3391F" w:rsidRDefault="008C3BF8" w:rsidP="008C3BF8">
      <w:pPr>
        <w:spacing w:line="360" w:lineRule="auto"/>
        <w:ind w:left="720" w:hanging="720"/>
        <w:jc w:val="both"/>
        <w:rPr>
          <w:rtl/>
        </w:rPr>
      </w:pPr>
      <w:r w:rsidRPr="00B3391F">
        <w:rPr>
          <w:rFonts w:hint="cs"/>
          <w:rtl/>
        </w:rPr>
        <w:t>8.</w:t>
      </w:r>
      <w:r w:rsidRPr="00B3391F">
        <w:rPr>
          <w:rFonts w:hint="cs"/>
          <w:rtl/>
        </w:rPr>
        <w:tab/>
        <w:t xml:space="preserve">הנאשם החזיק אקדח תקני בקוטר 9 מ"מ ומחסניות וכדורים תואמים. כך היו בידיו כל המרכיבים הדרושים לעשיית שימוש בנשק. </w:t>
      </w:r>
    </w:p>
    <w:p w14:paraId="0F41260C" w14:textId="77777777" w:rsidR="008C3BF8" w:rsidRPr="00B3391F" w:rsidRDefault="008C3BF8" w:rsidP="008C3BF8">
      <w:pPr>
        <w:spacing w:line="360" w:lineRule="auto"/>
        <w:ind w:left="720" w:hanging="720"/>
        <w:jc w:val="both"/>
        <w:rPr>
          <w:rtl/>
        </w:rPr>
      </w:pPr>
    </w:p>
    <w:p w14:paraId="515D4691" w14:textId="77777777" w:rsidR="008C3BF8" w:rsidRPr="00B3391F" w:rsidRDefault="008C3BF8" w:rsidP="008C3BF8">
      <w:pPr>
        <w:spacing w:line="360" w:lineRule="auto"/>
        <w:ind w:left="720" w:hanging="720"/>
        <w:jc w:val="both"/>
        <w:rPr>
          <w:rtl/>
        </w:rPr>
      </w:pPr>
      <w:r w:rsidRPr="00B3391F">
        <w:rPr>
          <w:rFonts w:hint="cs"/>
          <w:rtl/>
        </w:rPr>
        <w:t>9.</w:t>
      </w:r>
      <w:r w:rsidRPr="00B3391F">
        <w:rPr>
          <w:rFonts w:hint="cs"/>
          <w:rtl/>
        </w:rPr>
        <w:tab/>
        <w:t xml:space="preserve">אקדח הוא כלי קטלני. כוחו מאפשר למי שמחזיק בו לאיים בהפעלתו ואף להפעילו. ובפועל אקדחים מעורבים באירועים פליליים וביטחוניים והשימוש בהם גובה קרבנות בנפש. </w:t>
      </w:r>
    </w:p>
    <w:p w14:paraId="026908F6" w14:textId="77777777" w:rsidR="008C3BF8" w:rsidRPr="00B3391F" w:rsidRDefault="008C3BF8" w:rsidP="008C3BF8">
      <w:pPr>
        <w:spacing w:line="360" w:lineRule="auto"/>
        <w:ind w:left="720" w:hanging="720"/>
        <w:jc w:val="both"/>
        <w:rPr>
          <w:rtl/>
        </w:rPr>
      </w:pPr>
    </w:p>
    <w:p w14:paraId="12898882" w14:textId="77777777" w:rsidR="008C3BF8" w:rsidRPr="00B3391F" w:rsidRDefault="008C3BF8" w:rsidP="008C3BF8">
      <w:pPr>
        <w:spacing w:line="360" w:lineRule="auto"/>
        <w:ind w:left="720" w:hanging="720"/>
        <w:jc w:val="both"/>
        <w:rPr>
          <w:rtl/>
        </w:rPr>
      </w:pPr>
      <w:r w:rsidRPr="00B3391F">
        <w:rPr>
          <w:rFonts w:hint="cs"/>
          <w:rtl/>
        </w:rPr>
        <w:t>10.</w:t>
      </w:r>
      <w:r w:rsidRPr="00B3391F">
        <w:rPr>
          <w:rFonts w:hint="cs"/>
          <w:rtl/>
        </w:rPr>
        <w:tab/>
        <w:t>התופעה של החזקת נשק שלא כדין נפוצה, במיוחד באזורים מסוימים במדינה, והיא  הולכת ומתרחבת. השלכותיה על הפשיעה, על שלום הציבור וביטחונו, ועל תחושת הביטחון האישי במרחב הציבורי, ניכרות ובולטות. גורמי האכיפה רואים בה גורם משמעותי הדורש טיפול עומק. והציבור משווע לשינוי המצב.</w:t>
      </w:r>
    </w:p>
    <w:p w14:paraId="41468D1D" w14:textId="77777777" w:rsidR="008C3BF8" w:rsidRPr="00B3391F" w:rsidRDefault="008C3BF8" w:rsidP="008C3BF8">
      <w:pPr>
        <w:spacing w:line="360" w:lineRule="auto"/>
        <w:ind w:left="720" w:hanging="720"/>
        <w:jc w:val="both"/>
        <w:rPr>
          <w:rtl/>
        </w:rPr>
      </w:pPr>
    </w:p>
    <w:p w14:paraId="4AA0709E" w14:textId="77777777" w:rsidR="008C3BF8" w:rsidRPr="00B3391F" w:rsidRDefault="008C3BF8" w:rsidP="008C3BF8">
      <w:pPr>
        <w:spacing w:line="360" w:lineRule="auto"/>
        <w:ind w:left="720" w:hanging="720"/>
        <w:jc w:val="both"/>
        <w:rPr>
          <w:rtl/>
        </w:rPr>
      </w:pPr>
      <w:r w:rsidRPr="00B3391F">
        <w:rPr>
          <w:rFonts w:hint="cs"/>
          <w:rtl/>
        </w:rPr>
        <w:lastRenderedPageBreak/>
        <w:t>11.</w:t>
      </w:r>
      <w:r w:rsidRPr="00B3391F">
        <w:rPr>
          <w:rFonts w:hint="cs"/>
          <w:rtl/>
        </w:rPr>
        <w:tab/>
        <w:t xml:space="preserve">באזורנו התופעה בולטת במיוחד בקרב האוכלוסיה הבדווית. הסיבות לכך נעוצות בין היתר בצורך של חלק מאוכלוסיה זו להחזיק נשק בהתחשב בסביבת המגורים המדברית, המרוחקת ממקום יישוב; הקושי שלהם לקבל רישיון להחזקת נשק; הגישה הרווחת המקלה ביחס להחזקת נשק שלא כדין; זמינות כלי נשק המגיעים משטחי הרשות הפלסטינית;  וכן, ריבוי הסכסוכים האלימים; והמעורבות הגבוהה יחסית בפשיעה. </w:t>
      </w:r>
    </w:p>
    <w:p w14:paraId="080D4A7F" w14:textId="77777777" w:rsidR="008C3BF8" w:rsidRPr="00B3391F" w:rsidRDefault="008C3BF8" w:rsidP="008C3BF8">
      <w:pPr>
        <w:spacing w:line="360" w:lineRule="auto"/>
        <w:ind w:left="720" w:hanging="720"/>
        <w:jc w:val="both"/>
        <w:rPr>
          <w:rtl/>
        </w:rPr>
      </w:pPr>
    </w:p>
    <w:p w14:paraId="00EFAF99" w14:textId="77777777" w:rsidR="008C3BF8" w:rsidRPr="00B3391F" w:rsidRDefault="008C3BF8" w:rsidP="008C3BF8">
      <w:pPr>
        <w:spacing w:line="360" w:lineRule="auto"/>
        <w:ind w:left="720" w:hanging="720"/>
        <w:jc w:val="both"/>
        <w:rPr>
          <w:rtl/>
        </w:rPr>
      </w:pPr>
      <w:r w:rsidRPr="00B3391F">
        <w:rPr>
          <w:rFonts w:hint="cs"/>
          <w:rtl/>
        </w:rPr>
        <w:t>12.</w:t>
      </w:r>
      <w:r w:rsidRPr="00B3391F">
        <w:rPr>
          <w:rFonts w:hint="cs"/>
          <w:rtl/>
        </w:rPr>
        <w:tab/>
        <w:t xml:space="preserve">ההתמודדות עם תופעה חמורה זו מחייבת טיפול רב מערכתי, הכולל תחומים שונים ובין היתר חינוך, הסברה, שילוב חברתי, ועוד. אולם הבשלת תהליכים כאלה אורכת זמן רב והצורך במיתון התופעה איננו סובל דיחוי. </w:t>
      </w:r>
    </w:p>
    <w:p w14:paraId="063042AC" w14:textId="77777777" w:rsidR="008C3BF8" w:rsidRPr="00B3391F" w:rsidRDefault="008C3BF8" w:rsidP="008C3BF8">
      <w:pPr>
        <w:spacing w:line="360" w:lineRule="auto"/>
        <w:ind w:left="720"/>
        <w:jc w:val="both"/>
        <w:rPr>
          <w:rtl/>
        </w:rPr>
      </w:pPr>
      <w:r w:rsidRPr="00B3391F">
        <w:rPr>
          <w:rFonts w:hint="cs"/>
          <w:rtl/>
        </w:rPr>
        <w:t xml:space="preserve">ענישה היא אחד הכלים למיתון תופעות פליליות הפוגעות בחברה, שביטויה ניכר בהווה ויש בה כדי להשפיע בטווח הנראה לעין.  </w:t>
      </w:r>
    </w:p>
    <w:p w14:paraId="047A7BE8" w14:textId="77777777" w:rsidR="008C3BF8" w:rsidRPr="00B3391F" w:rsidRDefault="008C3BF8" w:rsidP="008C3BF8">
      <w:pPr>
        <w:spacing w:line="360" w:lineRule="auto"/>
        <w:ind w:left="720"/>
        <w:jc w:val="both"/>
        <w:rPr>
          <w:rtl/>
        </w:rPr>
      </w:pPr>
    </w:p>
    <w:p w14:paraId="69F033D3" w14:textId="77777777" w:rsidR="008C3BF8" w:rsidRPr="00B3391F" w:rsidRDefault="008C3BF8" w:rsidP="008C3BF8">
      <w:pPr>
        <w:spacing w:line="360" w:lineRule="auto"/>
        <w:ind w:left="720" w:hanging="720"/>
        <w:jc w:val="both"/>
        <w:rPr>
          <w:rtl/>
        </w:rPr>
      </w:pPr>
      <w:r w:rsidRPr="00B3391F">
        <w:rPr>
          <w:rFonts w:hint="cs"/>
          <w:rtl/>
        </w:rPr>
        <w:t>13.</w:t>
      </w:r>
      <w:r w:rsidRPr="00B3391F">
        <w:rPr>
          <w:rFonts w:hint="cs"/>
          <w:rtl/>
        </w:rPr>
        <w:tab/>
        <w:t>הערכים החברתיים שנפגעו ממעשי העבירות של הנאשם הם בעיקר שמירת החיים והגוף, שמירת הרכוש, ושמירת שלום הציבור ובטחונו. בהתחשב בטיב הנשק והתחמושת שהנאשם החזיק, מידת הפגיעה בערכים החברתיים כאן היא משמעותית.</w:t>
      </w:r>
    </w:p>
    <w:p w14:paraId="3F011D97" w14:textId="77777777" w:rsidR="008C3BF8" w:rsidRPr="00B3391F" w:rsidRDefault="008C3BF8" w:rsidP="008C3BF8">
      <w:pPr>
        <w:spacing w:line="360" w:lineRule="auto"/>
        <w:ind w:left="720" w:hanging="720"/>
        <w:jc w:val="both"/>
        <w:rPr>
          <w:rtl/>
        </w:rPr>
      </w:pPr>
      <w:r w:rsidRPr="00B3391F">
        <w:rPr>
          <w:rFonts w:hint="cs"/>
          <w:rtl/>
        </w:rPr>
        <w:t>14.</w:t>
      </w:r>
      <w:r w:rsidRPr="00B3391F">
        <w:rPr>
          <w:rFonts w:hint="cs"/>
          <w:rtl/>
        </w:rPr>
        <w:tab/>
        <w:t xml:space="preserve">מצב הדברים החמור בתחום עבירות הנשק הביא לכך שבשנים האחרונות מדיניות הענישה בעבירות אלה הוחמרה באופן מובהק – </w:t>
      </w:r>
    </w:p>
    <w:p w14:paraId="28D8FC81" w14:textId="77777777" w:rsidR="008C3BF8" w:rsidRPr="00B3391F" w:rsidRDefault="008C3BF8" w:rsidP="008C3BF8">
      <w:pPr>
        <w:spacing w:line="360" w:lineRule="auto"/>
        <w:ind w:left="2160"/>
        <w:jc w:val="both"/>
        <w:rPr>
          <w:rtl/>
        </w:rPr>
      </w:pPr>
      <w:r w:rsidRPr="00B3391F">
        <w:rPr>
          <w:rFonts w:hint="cs"/>
          <w:rt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2" w:history="1">
        <w:r w:rsidR="00F83EBC" w:rsidRPr="00F83EBC">
          <w:rPr>
            <w:color w:val="0000FF"/>
            <w:u w:val="single"/>
            <w:rtl/>
          </w:rPr>
          <w:t>ע"פ 4406/19</w:t>
        </w:r>
      </w:hyperlink>
      <w:r w:rsidRPr="00B3391F">
        <w:rPr>
          <w:rtl/>
        </w:rPr>
        <w:t xml:space="preserve"> </w:t>
      </w:r>
      <w:r w:rsidRPr="00B3391F">
        <w:rPr>
          <w:rFonts w:hint="cs"/>
          <w:b/>
          <w:rtl/>
        </w:rPr>
        <w:t>מדינת ישראל נ' סובח</w:t>
      </w:r>
      <w:r w:rsidRPr="00B3391F">
        <w:rPr>
          <w:rFonts w:hint="cs"/>
          <w:rtl/>
        </w:rPr>
        <w:t xml:space="preserve">, [פורסם בנבו] פסקאות 16–17 לחוות דעתי (5.11.2019); </w:t>
      </w:r>
      <w:hyperlink r:id="rId13" w:history="1">
        <w:r w:rsidR="00F83EBC" w:rsidRPr="00F83EBC">
          <w:rPr>
            <w:color w:val="0000FF"/>
            <w:u w:val="single"/>
            <w:rtl/>
          </w:rPr>
          <w:t>רע"פ 7344/18</w:t>
        </w:r>
      </w:hyperlink>
      <w:r w:rsidRPr="00B3391F">
        <w:rPr>
          <w:rtl/>
        </w:rPr>
        <w:t xml:space="preserve"> </w:t>
      </w:r>
      <w:r w:rsidRPr="00B3391F">
        <w:rPr>
          <w:rFonts w:hint="cs"/>
          <w:b/>
          <w:rtl/>
        </w:rPr>
        <w:t>מג'יד נ' מדינת ישראל</w:t>
      </w:r>
      <w:r w:rsidRPr="00B3391F">
        <w:rPr>
          <w:rFonts w:hint="cs"/>
          <w:rtl/>
        </w:rPr>
        <w:t xml:space="preserve">, [פורסם בנבו] פסקה 10 (21.10.2018))." - </w:t>
      </w:r>
      <w:hyperlink r:id="rId14" w:history="1">
        <w:r w:rsidR="00F83EBC" w:rsidRPr="00F83EBC">
          <w:rPr>
            <w:color w:val="0000FF"/>
            <w:u w:val="single"/>
            <w:rtl/>
          </w:rPr>
          <w:t>רע"פ 5613-20</w:t>
        </w:r>
      </w:hyperlink>
      <w:r w:rsidRPr="00B3391F">
        <w:rPr>
          <w:rFonts w:hint="cs"/>
          <w:rtl/>
        </w:rPr>
        <w:t xml:space="preserve"> </w:t>
      </w:r>
      <w:r w:rsidRPr="00B3391F">
        <w:rPr>
          <w:rFonts w:hint="cs"/>
          <w:b/>
          <w:bCs/>
          <w:rtl/>
        </w:rPr>
        <w:t xml:space="preserve">זאקי אלהוזייל </w:t>
      </w:r>
      <w:r w:rsidRPr="00B3391F">
        <w:rPr>
          <w:rFonts w:hint="cs"/>
          <w:rtl/>
        </w:rPr>
        <w:t xml:space="preserve">נ' </w:t>
      </w:r>
      <w:r w:rsidRPr="00B3391F">
        <w:rPr>
          <w:rFonts w:hint="cs"/>
          <w:b/>
          <w:bCs/>
          <w:rtl/>
        </w:rPr>
        <w:t>מדינת ישראל</w:t>
      </w:r>
      <w:r w:rsidRPr="00B3391F">
        <w:rPr>
          <w:rFonts w:hint="cs"/>
          <w:rtl/>
        </w:rPr>
        <w:t xml:space="preserve"> (נבו, 25/08/20)</w:t>
      </w:r>
    </w:p>
    <w:p w14:paraId="275BA1C1" w14:textId="77777777" w:rsidR="008C3BF8" w:rsidRPr="00B3391F" w:rsidRDefault="008C3BF8" w:rsidP="008C3BF8">
      <w:pPr>
        <w:spacing w:line="360" w:lineRule="auto"/>
        <w:ind w:left="2160"/>
        <w:jc w:val="both"/>
        <w:rPr>
          <w:rtl/>
        </w:rPr>
      </w:pPr>
      <w:r w:rsidRPr="00B3391F">
        <w:rPr>
          <w:rFonts w:hint="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B3391F">
        <w:rPr>
          <w:rFonts w:hint="cs"/>
          <w:b/>
          <w:rtl/>
        </w:rPr>
        <w:t>התמודדות משטרת ישראל עם החזקת אמצעי לחימה לא חוקיים ואירועי ירי ביישובי החברה הערבית וביישובים מעורבים</w:t>
      </w:r>
      <w:r w:rsidRPr="00B3391F">
        <w:rPr>
          <w:rFonts w:hint="cs"/>
          <w:rtl/>
        </w:rPr>
        <w:t xml:space="preserve"> 28 (2018))... על רקע המציאות אותה אנו חווים למרבה הצער מדי יום, אנו עדים לקריאה ציבורית נרגשת להגברת האכיפה כלפי עבירות נשק – ולהחמרה במדיניות הענישה הנוהגת... 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השופט י' אלרון ב- </w:t>
      </w:r>
      <w:hyperlink r:id="rId15" w:history="1">
        <w:r w:rsidR="00F83EBC" w:rsidRPr="00F83EBC">
          <w:rPr>
            <w:color w:val="0000FF"/>
            <w:u w:val="single"/>
            <w:rtl/>
          </w:rPr>
          <w:t>ע"פ 4406-19</w:t>
        </w:r>
      </w:hyperlink>
      <w:r w:rsidRPr="00B3391F">
        <w:rPr>
          <w:rFonts w:hint="cs"/>
          <w:rtl/>
        </w:rPr>
        <w:t xml:space="preserve"> </w:t>
      </w:r>
      <w:r w:rsidRPr="00B3391F">
        <w:rPr>
          <w:rFonts w:hint="cs"/>
          <w:b/>
          <w:bCs/>
          <w:rtl/>
        </w:rPr>
        <w:t>מדינת ישראל</w:t>
      </w:r>
      <w:r w:rsidRPr="00B3391F">
        <w:rPr>
          <w:rFonts w:hint="cs"/>
          <w:rtl/>
        </w:rPr>
        <w:t xml:space="preserve"> נ' </w:t>
      </w:r>
      <w:r w:rsidRPr="00B3391F">
        <w:rPr>
          <w:rFonts w:hint="cs"/>
          <w:b/>
          <w:bCs/>
          <w:rtl/>
        </w:rPr>
        <w:t>יונס סובח</w:t>
      </w:r>
      <w:r w:rsidRPr="00B3391F">
        <w:rPr>
          <w:rFonts w:hint="cs"/>
          <w:rtl/>
        </w:rPr>
        <w:t xml:space="preserve"> (נבו, 05.11.19) (להלן: "עניין סובח")</w:t>
      </w:r>
    </w:p>
    <w:p w14:paraId="01592822" w14:textId="77777777" w:rsidR="008C3BF8" w:rsidRPr="00B3391F" w:rsidRDefault="008C3BF8" w:rsidP="008C3BF8">
      <w:pPr>
        <w:spacing w:line="360" w:lineRule="auto"/>
        <w:ind w:left="720" w:firstLine="720"/>
        <w:jc w:val="both"/>
        <w:rPr>
          <w:rtl/>
        </w:rPr>
      </w:pPr>
    </w:p>
    <w:p w14:paraId="54654A9C" w14:textId="77777777" w:rsidR="008C3BF8" w:rsidRPr="00B3391F" w:rsidRDefault="008C3BF8" w:rsidP="008C3BF8">
      <w:pPr>
        <w:spacing w:line="360" w:lineRule="auto"/>
        <w:ind w:firstLine="720"/>
        <w:jc w:val="both"/>
        <w:rPr>
          <w:rtl/>
        </w:rPr>
      </w:pPr>
      <w:r w:rsidRPr="00B3391F">
        <w:rPr>
          <w:rFonts w:hint="cs"/>
          <w:rtl/>
        </w:rPr>
        <w:t>וכב' השופט מזוז הוסיף ואמר בעניין סובח הנ"ל -</w:t>
      </w:r>
    </w:p>
    <w:p w14:paraId="4CEC2D98" w14:textId="77777777" w:rsidR="008C3BF8" w:rsidRPr="00B3391F" w:rsidRDefault="008C3BF8" w:rsidP="008C3BF8">
      <w:pPr>
        <w:spacing w:line="360" w:lineRule="auto"/>
        <w:ind w:left="1440"/>
        <w:jc w:val="both"/>
        <w:rPr>
          <w:rtl/>
        </w:rPr>
      </w:pPr>
      <w:r w:rsidRPr="00B3391F">
        <w:rPr>
          <w:rFonts w:hint="cs"/>
          <w:rtl/>
        </w:rPr>
        <w:t>"התופעה של החזקת נשק שלא כדין על ידי אזרחים מהווה איום על שלום הציבור ועל הסדר הציבורי. היא התשתית ו"הגורם בלעדו איין" (</w:t>
      </w:r>
      <w:r w:rsidRPr="00B3391F">
        <w:t>causa sine qua non</w:t>
      </w:r>
      <w:r w:rsidRPr="00B3391F">
        <w:rPr>
          <w:rFonts w:hint="cs"/>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w:t>
      </w:r>
      <w:r w:rsidRPr="00F83EBC">
        <w:rPr>
          <w:rFonts w:hint="cs"/>
          <w:color w:val="000000"/>
          <w:rtl/>
        </w:rPr>
        <w:t>סעיף 144</w:t>
      </w:r>
      <w:r w:rsidRPr="00B3391F">
        <w:rPr>
          <w:rtl/>
        </w:rPr>
        <w:t xml:space="preserve"> </w:t>
      </w:r>
      <w:r w:rsidRPr="00B3391F">
        <w:rPr>
          <w:rFonts w:hint="cs"/>
          <w:rtl/>
        </w:rPr>
        <w:t>ל</w:t>
      </w:r>
      <w:hyperlink r:id="rId16" w:history="1">
        <w:r w:rsidR="00F83EBC" w:rsidRPr="00F83EBC">
          <w:rPr>
            <w:color w:val="0000FF"/>
            <w:u w:val="single"/>
            <w:rtl/>
          </w:rPr>
          <w:t>חוק העונשין</w:t>
        </w:r>
      </w:hyperlink>
      <w:r w:rsidRPr="00B3391F">
        <w:rPr>
          <w:rFonts w:hint="cs"/>
          <w:rtl/>
        </w:rPr>
        <w:t xml:space="preserve">, התשל"ז-1977); זאת אף בלא שנעשה בנשק שימוש לביצוע עבירה נוספת. </w:t>
      </w:r>
      <w:r w:rsidRPr="00B3391F">
        <w:rPr>
          <w:rFonts w:hint="cs"/>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sidRPr="00B3391F">
        <w:rPr>
          <w:rFonts w:hint="cs"/>
          <w:rtl/>
        </w:rPr>
        <w:t>, וכל שכן מקום שנעשה בנשק כזה שימוש בביצוע עבירות אלימות לסוגיהן."</w:t>
      </w:r>
    </w:p>
    <w:p w14:paraId="1B9E0D3E" w14:textId="77777777" w:rsidR="008C3BF8" w:rsidRPr="00B3391F" w:rsidRDefault="008C3BF8" w:rsidP="008C3BF8">
      <w:pPr>
        <w:spacing w:line="360" w:lineRule="auto"/>
        <w:ind w:left="720"/>
        <w:jc w:val="both"/>
        <w:rPr>
          <w:rtl/>
        </w:rPr>
      </w:pPr>
      <w:r w:rsidRPr="00B3391F">
        <w:rPr>
          <w:rFonts w:hint="cs"/>
          <w:rtl/>
        </w:rPr>
        <w:t>ב</w:t>
      </w:r>
      <w:hyperlink r:id="rId17" w:history="1">
        <w:r w:rsidR="00F83EBC" w:rsidRPr="00F83EBC">
          <w:rPr>
            <w:color w:val="0000FF"/>
            <w:u w:val="single"/>
            <w:rtl/>
          </w:rPr>
          <w:t>ע"פ 1826/19</w:t>
        </w:r>
      </w:hyperlink>
      <w:r w:rsidRPr="00B3391F">
        <w:rPr>
          <w:rFonts w:hint="cs"/>
          <w:rtl/>
        </w:rPr>
        <w:t xml:space="preserve"> </w:t>
      </w:r>
      <w:r w:rsidRPr="00B3391F">
        <w:rPr>
          <w:rFonts w:hint="cs"/>
          <w:b/>
          <w:bCs/>
          <w:rtl/>
        </w:rPr>
        <w:t>סאמר אבו עסא נ' מדינת ישראל</w:t>
      </w:r>
      <w:r w:rsidRPr="00B3391F">
        <w:rPr>
          <w:rFonts w:hint="cs"/>
          <w:rtl/>
        </w:rPr>
        <w:t xml:space="preserve"> (11.07.19) המערער החזיק בנשק מאולתר אוטומטי (להלן: "הנשק"). במועד מסוים פנה לאחר וביקש ממנו להחזיר עבורו את הנשק באופן זמני, ומאוחר יותר הגיע למקום מסוים והשאיר בו את הנשק. נקבע כי מתחם העונש ההולם נע בין 15 ל- 36 חודשי מאסר בפועל. והנאשם נידון ל- 18 חודשי מאסר בפועל. ובית המשפט העליון דחה את הערעור וקבע- </w:t>
      </w:r>
    </w:p>
    <w:p w14:paraId="196EC204" w14:textId="77777777" w:rsidR="008C3BF8" w:rsidRPr="00B3391F" w:rsidRDefault="008C3BF8" w:rsidP="008C3BF8">
      <w:pPr>
        <w:spacing w:line="360" w:lineRule="auto"/>
        <w:ind w:left="1440"/>
        <w:jc w:val="both"/>
        <w:rPr>
          <w:rtl/>
        </w:rPr>
      </w:pPr>
      <w:r w:rsidRPr="00B3391F">
        <w:rPr>
          <w:rFonts w:hint="cs"/>
          <w:rtl/>
        </w:rPr>
        <w:t>"בהינתן נקודת המוצא לפיה אין דרכה של ערכאת ערעור להתערב בחומרת העונש, אלא במקרים חריגים, לא מצאנו כי המקרה שבפנינו נופל לגדרם של אותם מקרים. נקודת המוצא היא אפוא נקודת הסיום. לכך יש להוסיף את מדיניותו של בית משפט זה בכל הנוגע לעבירות נשק."</w:t>
      </w:r>
    </w:p>
    <w:p w14:paraId="4915D9A9" w14:textId="77777777" w:rsidR="008C3BF8" w:rsidRPr="00B3391F" w:rsidRDefault="008C3BF8" w:rsidP="008C3BF8">
      <w:pPr>
        <w:spacing w:line="360" w:lineRule="auto"/>
        <w:ind w:left="720" w:hanging="720"/>
        <w:jc w:val="both"/>
      </w:pPr>
      <w:r w:rsidRPr="00B3391F">
        <w:rPr>
          <w:rFonts w:hint="cs"/>
          <w:rtl/>
        </w:rPr>
        <w:tab/>
      </w:r>
      <w:hyperlink r:id="rId18" w:history="1">
        <w:r w:rsidR="00916676" w:rsidRPr="00916676">
          <w:rPr>
            <w:rStyle w:val="Hyperlink"/>
            <w:rFonts w:hint="eastAsia"/>
            <w:rtl/>
          </w:rPr>
          <w:t>בע</w:t>
        </w:r>
        <w:r w:rsidR="00916676" w:rsidRPr="00916676">
          <w:rPr>
            <w:rStyle w:val="Hyperlink"/>
            <w:rtl/>
          </w:rPr>
          <w:t xml:space="preserve">"פ 4354/18 </w:t>
        </w:r>
      </w:hyperlink>
      <w:r w:rsidRPr="00B3391F">
        <w:rPr>
          <w:rtl/>
        </w:rPr>
        <w:t xml:space="preserve"> </w:t>
      </w:r>
      <w:r w:rsidRPr="00B3391F">
        <w:rPr>
          <w:rFonts w:hint="cs"/>
          <w:b/>
          <w:bCs/>
          <w:rtl/>
        </w:rPr>
        <w:t xml:space="preserve">חמודא אבו עמאר </w:t>
      </w:r>
      <w:r w:rsidRPr="00B3391F">
        <w:rPr>
          <w:rFonts w:hint="cs"/>
          <w:rtl/>
        </w:rPr>
        <w:t>נ'</w:t>
      </w:r>
      <w:r w:rsidRPr="00B3391F">
        <w:rPr>
          <w:rFonts w:hint="cs"/>
          <w:b/>
          <w:bCs/>
          <w:rtl/>
        </w:rPr>
        <w:t xml:space="preserve"> מדינת ישראל</w:t>
      </w:r>
      <w:r w:rsidRPr="00B3391F">
        <w:rPr>
          <w:rFonts w:hint="cs"/>
          <w:rtl/>
        </w:rPr>
        <w:t xml:space="preserve"> ( 29.11.18)- המערער מצא נשק מאולתר טעון במחסנית, נשא את הנשק הטעון ברכבו, נסע בחוסר זהירות ונעצר. הוא הורשע בנשיאת נשק ותחמושת ונהיגה בקלות ראש. המערער נעדר עבר פלילי והוא שולב בטיפול, ושירות המבחן המליץ על צו מבחן ומאסר בעבודות שירות. </w:t>
      </w:r>
    </w:p>
    <w:p w14:paraId="664C09CD" w14:textId="77777777" w:rsidR="008C3BF8" w:rsidRPr="00B3391F" w:rsidRDefault="008C3BF8" w:rsidP="008C3BF8">
      <w:pPr>
        <w:spacing w:line="360" w:lineRule="auto"/>
        <w:ind w:left="720"/>
        <w:jc w:val="both"/>
      </w:pPr>
      <w:r w:rsidRPr="00B3391F">
        <w:rPr>
          <w:rFonts w:hint="cs"/>
          <w:rtl/>
        </w:rPr>
        <w:t>בית המשפט המחוזי קבע מתחם עונש הולם הנע בין 20 ל- 48 חודשי מאסר וגזר עליו 20 חודשי מאסר בפועל. בית המשפט העליון קבע כי אין להתערב במתחם שנקבע. ובשל שיקולי שיקום סטה לקולא מהמתחם שנקבע והטיל על המערער 17 חודשי מאסר בפועל</w:t>
      </w:r>
    </w:p>
    <w:p w14:paraId="0E20DC69" w14:textId="77777777" w:rsidR="008C3BF8" w:rsidRPr="00B3391F" w:rsidRDefault="008C3BF8" w:rsidP="008C3BF8">
      <w:pPr>
        <w:spacing w:line="360" w:lineRule="auto"/>
        <w:ind w:left="720"/>
        <w:jc w:val="both"/>
        <w:rPr>
          <w:rtl/>
        </w:rPr>
      </w:pPr>
      <w:r w:rsidRPr="00B3391F">
        <w:rPr>
          <w:rFonts w:hint="cs"/>
          <w:rtl/>
        </w:rPr>
        <w:t>ב</w:t>
      </w:r>
      <w:hyperlink r:id="rId19" w:history="1">
        <w:r w:rsidR="00F83EBC" w:rsidRPr="00F83EBC">
          <w:rPr>
            <w:color w:val="0000FF"/>
            <w:u w:val="single"/>
            <w:rtl/>
          </w:rPr>
          <w:t>ע"פ 3156/11</w:t>
        </w:r>
      </w:hyperlink>
      <w:r w:rsidRPr="00B3391F">
        <w:rPr>
          <w:rFonts w:hint="cs"/>
          <w:rtl/>
        </w:rPr>
        <w:t xml:space="preserve"> </w:t>
      </w:r>
      <w:r w:rsidRPr="00B3391F">
        <w:rPr>
          <w:rFonts w:hint="cs"/>
          <w:b/>
          <w:bCs/>
          <w:rtl/>
        </w:rPr>
        <w:t>ג'מיל זראיעה</w:t>
      </w:r>
      <w:r w:rsidRPr="00B3391F">
        <w:rPr>
          <w:rFonts w:hint="cs"/>
          <w:rtl/>
        </w:rPr>
        <w:t xml:space="preserve"> נ' </w:t>
      </w:r>
      <w:r w:rsidRPr="00B3391F">
        <w:rPr>
          <w:rFonts w:hint="cs"/>
          <w:b/>
          <w:bCs/>
          <w:rtl/>
        </w:rPr>
        <w:t>מדינת ישראל</w:t>
      </w:r>
      <w:r w:rsidRPr="00B3391F">
        <w:rPr>
          <w:rFonts w:hint="cs"/>
          <w:rtl/>
        </w:rPr>
        <w:t xml:space="preserve"> (נבו, 21.02.12)- המערער החזיק ברכב בו נסע אקדח, מחסנית טעונה בכדורי אקדח 9 מ"מ וקופסאות עם כדורי אקדח. הוא הודה והביע חרטה. אין לו עבר פלילי. בית המשפט המחוזי גזר עליו 24 חודשי מאסר בפועל. הערעור על העונש נדחה. </w:t>
      </w:r>
    </w:p>
    <w:p w14:paraId="1DB460F1" w14:textId="77777777" w:rsidR="008C3BF8" w:rsidRPr="00B3391F" w:rsidRDefault="008C3BF8" w:rsidP="008C3BF8">
      <w:pPr>
        <w:spacing w:line="360" w:lineRule="auto"/>
        <w:ind w:left="720" w:hanging="720"/>
        <w:jc w:val="both"/>
        <w:rPr>
          <w:rtl/>
        </w:rPr>
      </w:pPr>
      <w:r w:rsidRPr="00B3391F">
        <w:rPr>
          <w:rFonts w:hint="cs"/>
          <w:rtl/>
        </w:rPr>
        <w:tab/>
        <w:t>ב</w:t>
      </w:r>
      <w:hyperlink r:id="rId20" w:history="1">
        <w:r w:rsidR="00F83EBC" w:rsidRPr="00F83EBC">
          <w:rPr>
            <w:color w:val="0000FF"/>
            <w:u w:val="single"/>
            <w:rtl/>
          </w:rPr>
          <w:t>ע"פ 2892/13</w:t>
        </w:r>
      </w:hyperlink>
      <w:r w:rsidRPr="00B3391F">
        <w:rPr>
          <w:rFonts w:hint="cs"/>
          <w:rtl/>
        </w:rPr>
        <w:t xml:space="preserve"> </w:t>
      </w:r>
      <w:r w:rsidRPr="00B3391F">
        <w:rPr>
          <w:rFonts w:hint="cs"/>
          <w:b/>
          <w:bCs/>
          <w:rtl/>
        </w:rPr>
        <w:t>מוחמד עודתאללה</w:t>
      </w:r>
      <w:r w:rsidRPr="00B3391F">
        <w:rPr>
          <w:rFonts w:hint="cs"/>
          <w:rtl/>
        </w:rPr>
        <w:t xml:space="preserve"> נ' </w:t>
      </w:r>
      <w:r w:rsidRPr="00B3391F">
        <w:rPr>
          <w:rFonts w:hint="cs"/>
          <w:b/>
          <w:bCs/>
          <w:rtl/>
        </w:rPr>
        <w:t>מדינת ישראל</w:t>
      </w:r>
      <w:r w:rsidRPr="00B3391F">
        <w:rPr>
          <w:rFonts w:hint="cs"/>
          <w:rtl/>
        </w:rPr>
        <w:t xml:space="preserve"> (נבו, 29.09.13)- המערער נתפס נוהג ברכב בו היו אקדח ובו מחסנית ריקה מכדורים. אין למערער עבר פלילי. בית המשפט המחוזי קבע מתחם ענישה שבין שנה לשלוש שנים, וגזר עליו 21 חודשי מאסר. הערעור על העונש נדחה. </w:t>
      </w:r>
    </w:p>
    <w:p w14:paraId="2BF7CB41" w14:textId="77777777" w:rsidR="008C3BF8" w:rsidRPr="00B3391F" w:rsidRDefault="008C3BF8" w:rsidP="008C3BF8">
      <w:pPr>
        <w:spacing w:line="360" w:lineRule="auto"/>
        <w:ind w:left="720" w:hanging="720"/>
        <w:jc w:val="both"/>
        <w:rPr>
          <w:rtl/>
        </w:rPr>
      </w:pPr>
      <w:r w:rsidRPr="00B3391F">
        <w:rPr>
          <w:rFonts w:hint="cs"/>
          <w:rtl/>
        </w:rPr>
        <w:tab/>
        <w:t>ב</w:t>
      </w:r>
      <w:hyperlink r:id="rId21" w:history="1">
        <w:r w:rsidR="00F83EBC" w:rsidRPr="00F83EBC">
          <w:rPr>
            <w:color w:val="0000FF"/>
            <w:u w:val="single"/>
            <w:rtl/>
          </w:rPr>
          <w:t>ע"פ 761/07</w:t>
        </w:r>
      </w:hyperlink>
      <w:r w:rsidRPr="00B3391F">
        <w:rPr>
          <w:rFonts w:hint="cs"/>
          <w:rtl/>
        </w:rPr>
        <w:t xml:space="preserve"> </w:t>
      </w:r>
      <w:r w:rsidRPr="00B3391F">
        <w:rPr>
          <w:rFonts w:hint="cs"/>
          <w:b/>
          <w:bCs/>
          <w:rtl/>
        </w:rPr>
        <w:t>מדינת ישראל</w:t>
      </w:r>
      <w:r w:rsidRPr="00B3391F">
        <w:rPr>
          <w:rFonts w:hint="cs"/>
          <w:rtl/>
        </w:rPr>
        <w:t xml:space="preserve"> נ' </w:t>
      </w:r>
      <w:r w:rsidRPr="00B3391F">
        <w:rPr>
          <w:rFonts w:hint="cs"/>
          <w:b/>
          <w:bCs/>
          <w:rtl/>
        </w:rPr>
        <w:t xml:space="preserve">מיכאל אדרי </w:t>
      </w:r>
      <w:r w:rsidRPr="00B3391F">
        <w:rPr>
          <w:rFonts w:hint="cs"/>
          <w:rtl/>
        </w:rPr>
        <w:t>(נבו, 22.02.07)- המערער נהג ברכב ונתפס מחזיק באקדח, מחסנית ותחמושת המוסתרים בגרב בתחתוניו. כשנעצר, הזדהה כאחר. הוא הורשע בהחזקת נשק שלא כדין ובהפרעה לשוטר במילוי תפקידו, ובית המשפט המחוזי גזר עליו 12 חודשי מאסר בפועל. המדינה ערערה על קולת העונש. צוין כי המערער בעל עבר פלילי בעבירות לא פשוטות. העונש הוחמר ל 24 חודשי מאסר.</w:t>
      </w:r>
    </w:p>
    <w:p w14:paraId="5C3D3DF3" w14:textId="77777777" w:rsidR="008C3BF8" w:rsidRPr="00B3391F" w:rsidRDefault="008C3BF8" w:rsidP="008C3BF8">
      <w:pPr>
        <w:spacing w:line="360" w:lineRule="auto"/>
        <w:ind w:left="720" w:hanging="720"/>
        <w:jc w:val="both"/>
        <w:rPr>
          <w:rtl/>
        </w:rPr>
      </w:pPr>
    </w:p>
    <w:p w14:paraId="347E7C1A" w14:textId="77777777" w:rsidR="008C3BF8" w:rsidRPr="00B3391F" w:rsidRDefault="008C3BF8" w:rsidP="008C3BF8">
      <w:pPr>
        <w:spacing w:line="360" w:lineRule="auto"/>
        <w:ind w:left="720" w:hanging="720"/>
        <w:jc w:val="both"/>
        <w:rPr>
          <w:rtl/>
        </w:rPr>
      </w:pPr>
      <w:r w:rsidRPr="00B3391F">
        <w:rPr>
          <w:rFonts w:hint="cs"/>
          <w:rtl/>
        </w:rPr>
        <w:t>15.</w:t>
      </w:r>
      <w:r w:rsidRPr="00B3391F">
        <w:rPr>
          <w:rFonts w:hint="cs"/>
          <w:rtl/>
        </w:rPr>
        <w:tab/>
        <w:t xml:space="preserve">נסיבות הקשורות בביצוע העבירות – </w:t>
      </w:r>
    </w:p>
    <w:p w14:paraId="736BCFB4" w14:textId="77777777" w:rsidR="008C3BF8" w:rsidRPr="00B3391F" w:rsidRDefault="008C3BF8" w:rsidP="008C3BF8">
      <w:pPr>
        <w:spacing w:line="360" w:lineRule="auto"/>
        <w:ind w:left="720"/>
        <w:jc w:val="both"/>
        <w:rPr>
          <w:rtl/>
        </w:rPr>
      </w:pPr>
      <w:r w:rsidRPr="00B3391F">
        <w:rPr>
          <w:rFonts w:hint="cs"/>
          <w:rtl/>
        </w:rPr>
        <w:t xml:space="preserve">החזקת נשק ותחמושת שלא כדין בנסיבות כבענייננו, מחייבת פעולות מקדימות ותכנון;  </w:t>
      </w:r>
    </w:p>
    <w:p w14:paraId="0A0C1991" w14:textId="77777777" w:rsidR="008C3BF8" w:rsidRPr="00B3391F" w:rsidRDefault="008C3BF8" w:rsidP="008C3BF8">
      <w:pPr>
        <w:spacing w:line="360" w:lineRule="auto"/>
        <w:ind w:left="720"/>
        <w:jc w:val="both"/>
        <w:rPr>
          <w:rtl/>
        </w:rPr>
      </w:pPr>
      <w:r w:rsidRPr="00B3391F">
        <w:rPr>
          <w:rFonts w:hint="cs"/>
          <w:rtl/>
        </w:rPr>
        <w:t xml:space="preserve">הנאשם נתפס ע"י המשטרה כשהנשק ברשותו, כך שהנזק שיכל להיגרם מהשימוש בנשק או מהעברתו לגורמים אחרים, לא התממש; ואולם, פוטנציאל הנזק הטמון בהחזקת נשק שלא כדין רב וחמור מאוד; </w:t>
      </w:r>
    </w:p>
    <w:p w14:paraId="0D3D75D1" w14:textId="77777777" w:rsidR="008C3BF8" w:rsidRPr="00B3391F" w:rsidRDefault="008C3BF8" w:rsidP="008C3BF8">
      <w:pPr>
        <w:spacing w:line="360" w:lineRule="auto"/>
        <w:ind w:left="720"/>
        <w:jc w:val="both"/>
        <w:rPr>
          <w:rtl/>
        </w:rPr>
      </w:pPr>
      <w:r w:rsidRPr="00B3391F">
        <w:rPr>
          <w:rFonts w:hint="cs"/>
          <w:rtl/>
        </w:rPr>
        <w:t xml:space="preserve">והנאשם החזיק במזוודה שהכילה "ערכת נשק" תקנית, שכללה אקדח, שלוש מחסניות תואמות וקופסת כדורים מתאימים. ולא היה בפיו הסבר להחזקת הנשק. </w:t>
      </w:r>
    </w:p>
    <w:p w14:paraId="09DD97DD" w14:textId="77777777" w:rsidR="008C3BF8" w:rsidRPr="00B3391F" w:rsidRDefault="008C3BF8" w:rsidP="008C3BF8">
      <w:pPr>
        <w:spacing w:line="360" w:lineRule="auto"/>
        <w:ind w:left="720"/>
        <w:jc w:val="both"/>
        <w:rPr>
          <w:rtl/>
        </w:rPr>
      </w:pPr>
    </w:p>
    <w:p w14:paraId="1517B0F6" w14:textId="77777777" w:rsidR="008C3BF8" w:rsidRPr="00B3391F" w:rsidRDefault="008C3BF8" w:rsidP="008C3BF8">
      <w:pPr>
        <w:spacing w:line="360" w:lineRule="auto"/>
        <w:ind w:left="720" w:hanging="720"/>
        <w:jc w:val="both"/>
        <w:rPr>
          <w:rtl/>
        </w:rPr>
      </w:pPr>
      <w:r w:rsidRPr="00B3391F">
        <w:rPr>
          <w:rFonts w:hint="cs"/>
          <w:rtl/>
        </w:rPr>
        <w:t>16.</w:t>
      </w:r>
      <w:r w:rsidRPr="00B3391F">
        <w:rPr>
          <w:rFonts w:hint="cs"/>
          <w:rtl/>
        </w:rPr>
        <w:tab/>
        <w:t xml:space="preserve">בהתחשב בחומרת מעשי העבירות בנסיבותיהן, במידת אשמו של הנאשם, בערכים החברתיים שנפגעו ובמידת הפגיעה בהם, במדיניות הענישה הנוהגת ובנסיבות הקשורות בביצוע העבירות, אני קובע שמתחם העונש ההולם למעשי הנאשם נע בין 18 ל- 36 חודשי מאסר בפועל. </w:t>
      </w:r>
    </w:p>
    <w:p w14:paraId="48EC7F45" w14:textId="77777777" w:rsidR="008C3BF8" w:rsidRPr="00B3391F" w:rsidRDefault="008C3BF8" w:rsidP="008C3BF8">
      <w:pPr>
        <w:spacing w:line="360" w:lineRule="auto"/>
        <w:ind w:left="720" w:hanging="720"/>
        <w:jc w:val="both"/>
        <w:rPr>
          <w:rtl/>
        </w:rPr>
      </w:pPr>
    </w:p>
    <w:p w14:paraId="33DB52DC" w14:textId="77777777" w:rsidR="008C3BF8" w:rsidRPr="00B3391F" w:rsidRDefault="008C3BF8" w:rsidP="008C3BF8">
      <w:pPr>
        <w:spacing w:line="360" w:lineRule="auto"/>
        <w:ind w:left="720" w:hanging="720"/>
        <w:jc w:val="both"/>
        <w:rPr>
          <w:rtl/>
        </w:rPr>
      </w:pPr>
      <w:r w:rsidRPr="00B3391F">
        <w:rPr>
          <w:rFonts w:hint="cs"/>
          <w:rtl/>
        </w:rPr>
        <w:t>17.</w:t>
      </w:r>
      <w:r w:rsidRPr="00B3391F">
        <w:rPr>
          <w:rFonts w:hint="cs"/>
          <w:rtl/>
        </w:rPr>
        <w:tab/>
        <w:t>ב"כ הנאשם הפנה לפסקי דין בעבירות נשק וביקש ללמוד מהם על העונש שיש להטיל על הנאשם. עיון בפסקי הדין מלמד כי בחלק מהם מתחמי העונש ההולם שנקבעו דומים לזה שנקבע כאן (</w:t>
      </w:r>
      <w:hyperlink r:id="rId22" w:history="1">
        <w:r w:rsidR="00F83EBC" w:rsidRPr="00F83EBC">
          <w:rPr>
            <w:color w:val="0000FF"/>
            <w:u w:val="single"/>
            <w:rtl/>
          </w:rPr>
          <w:t>ת"פ 10721-03-13</w:t>
        </w:r>
      </w:hyperlink>
      <w:r w:rsidRPr="00B3391F">
        <w:rPr>
          <w:rFonts w:hint="cs"/>
          <w:rtl/>
        </w:rPr>
        <w:t xml:space="preserve"> מדינת ישראל נ' אבו מדיגם (26.02.14); </w:t>
      </w:r>
      <w:hyperlink r:id="rId23" w:history="1">
        <w:r w:rsidR="00F83EBC" w:rsidRPr="00F83EBC">
          <w:rPr>
            <w:color w:val="0000FF"/>
            <w:u w:val="single"/>
            <w:rtl/>
          </w:rPr>
          <w:t>ת"פ 53496-03-18</w:t>
        </w:r>
      </w:hyperlink>
      <w:r w:rsidRPr="00B3391F">
        <w:rPr>
          <w:rFonts w:hint="cs"/>
          <w:rtl/>
        </w:rPr>
        <w:t xml:space="preserve"> מדינת ישראל נ' אבו עסא ואח' (06.02.19)); ב</w:t>
      </w:r>
      <w:hyperlink r:id="rId24" w:history="1">
        <w:r w:rsidR="00F83EBC" w:rsidRPr="00F83EBC">
          <w:rPr>
            <w:color w:val="0000FF"/>
            <w:u w:val="single"/>
            <w:rtl/>
          </w:rPr>
          <w:t>ת"פ 11843-03-20</w:t>
        </w:r>
      </w:hyperlink>
      <w:r w:rsidRPr="00B3391F">
        <w:rPr>
          <w:rFonts w:hint="cs"/>
          <w:rtl/>
        </w:rPr>
        <w:t xml:space="preserve"> מדינת ישראל נ' סולומון בייך (18.02.12) נקבע מתחם עונש הולם הנע בין 8 ל- 24 חודשי מאסר על רקע הרשעת הנאשם בעבירות של סיוע להחזקת נשק והפרעה לשוטר; ב</w:t>
      </w:r>
      <w:hyperlink r:id="rId25" w:history="1">
        <w:r w:rsidR="00F83EBC" w:rsidRPr="00F83EBC">
          <w:rPr>
            <w:color w:val="0000FF"/>
            <w:u w:val="single"/>
            <w:rtl/>
          </w:rPr>
          <w:t>עפ"ג 56305-02-20</w:t>
        </w:r>
      </w:hyperlink>
      <w:r w:rsidRPr="00B3391F">
        <w:rPr>
          <w:rFonts w:hint="cs"/>
          <w:rtl/>
        </w:rPr>
        <w:t xml:space="preserve"> ווספי אבו אלקיעאן נ' מדינת ישראל (18.08.20) הנ"ל העונש הופחת מ- 15 חודשי מאסר לשנת מאסר בשל נסיבותיו האישיות של המערער; ב</w:t>
      </w:r>
      <w:hyperlink r:id="rId26" w:history="1">
        <w:r w:rsidR="00F83EBC" w:rsidRPr="00F83EBC">
          <w:rPr>
            <w:color w:val="0000FF"/>
            <w:u w:val="single"/>
            <w:rtl/>
          </w:rPr>
          <w:t>ת"פ 20451-09-20</w:t>
        </w:r>
      </w:hyperlink>
      <w:r w:rsidRPr="00B3391F">
        <w:rPr>
          <w:rFonts w:hint="cs"/>
          <w:rtl/>
        </w:rPr>
        <w:t xml:space="preserve"> מדינת ישראל נ' רפעת קפישה (10.03.21) נקבע מתחם עונש הולם הנע בין 18 ל- 40 חודשי מאסר בגין עבירות של נשיאת נשק וכניסה לישראל שלא כדין והוטלו 18 חודשי מאסר בפועל; וב</w:t>
      </w:r>
      <w:hyperlink r:id="rId27" w:history="1">
        <w:r w:rsidR="00F83EBC" w:rsidRPr="00F83EBC">
          <w:rPr>
            <w:color w:val="0000FF"/>
            <w:u w:val="single"/>
            <w:rtl/>
          </w:rPr>
          <w:t>ת"פ 40815-12-19</w:t>
        </w:r>
      </w:hyperlink>
      <w:r w:rsidRPr="00B3391F">
        <w:rPr>
          <w:rFonts w:hint="cs"/>
          <w:rtl/>
        </w:rPr>
        <w:t xml:space="preserve"> מדינת ישראל נ' שלומי סילוק (28.12.20) ו</w:t>
      </w:r>
      <w:hyperlink r:id="rId28" w:history="1">
        <w:r w:rsidR="00F83EBC" w:rsidRPr="00F83EBC">
          <w:rPr>
            <w:color w:val="0000FF"/>
            <w:u w:val="single"/>
            <w:rtl/>
          </w:rPr>
          <w:t>ת"פ 62447-05-20</w:t>
        </w:r>
      </w:hyperlink>
      <w:r w:rsidRPr="00B3391F">
        <w:rPr>
          <w:rFonts w:hint="cs"/>
          <w:rtl/>
        </w:rPr>
        <w:t xml:space="preserve"> מדינת ישראל נ' אברהים אבו פריחה (31.01.21) דובר בהסדרי טיעון סגורים שהתקבלו על ידי בית המשפט. </w:t>
      </w:r>
    </w:p>
    <w:p w14:paraId="00067EC5" w14:textId="77777777" w:rsidR="008C3BF8" w:rsidRPr="00B3391F" w:rsidRDefault="008C3BF8" w:rsidP="008C3BF8">
      <w:pPr>
        <w:spacing w:line="360" w:lineRule="auto"/>
        <w:ind w:left="720" w:hanging="720"/>
        <w:jc w:val="both"/>
        <w:rPr>
          <w:rtl/>
        </w:rPr>
      </w:pPr>
    </w:p>
    <w:p w14:paraId="1439EB90" w14:textId="77777777" w:rsidR="008C3BF8" w:rsidRPr="00B3391F" w:rsidRDefault="008C3BF8" w:rsidP="008C3BF8">
      <w:pPr>
        <w:spacing w:line="360" w:lineRule="auto"/>
        <w:ind w:left="720" w:hanging="720"/>
        <w:jc w:val="both"/>
        <w:rPr>
          <w:rtl/>
        </w:rPr>
      </w:pPr>
      <w:r w:rsidRPr="00B3391F">
        <w:rPr>
          <w:rFonts w:hint="cs"/>
          <w:rtl/>
        </w:rPr>
        <w:t>18.</w:t>
      </w:r>
      <w:r w:rsidRPr="00B3391F">
        <w:rPr>
          <w:rFonts w:hint="cs"/>
          <w:rtl/>
        </w:rPr>
        <w:tab/>
        <w:t xml:space="preserve">בגזירת עונשו של הנאשם אני מביא בחשבון את גילו הצעיר של הנאשם; את הפגיעה הצפויה לו ולמשפחתו מהמאסר; את הודאתו; את עברו הפלילי ואת העובדה שהוא ריצה עונש מאסר של שנה; ואת הצורך בהטמעת חומרת המעשה בתודעת הציבור, ובהרתעת הרבים מפני ביצוע עבירות נשק. </w:t>
      </w:r>
    </w:p>
    <w:p w14:paraId="0D0EBC4C" w14:textId="77777777" w:rsidR="008C3BF8" w:rsidRPr="00B3391F" w:rsidRDefault="008C3BF8" w:rsidP="008C3BF8">
      <w:pPr>
        <w:spacing w:line="360" w:lineRule="auto"/>
        <w:ind w:left="720" w:hanging="720"/>
        <w:jc w:val="both"/>
        <w:rPr>
          <w:rtl/>
        </w:rPr>
      </w:pPr>
    </w:p>
    <w:p w14:paraId="095A6D99" w14:textId="77777777" w:rsidR="008C3BF8" w:rsidRPr="00B3391F" w:rsidRDefault="008C3BF8" w:rsidP="008C3BF8">
      <w:pPr>
        <w:spacing w:line="360" w:lineRule="auto"/>
        <w:ind w:left="720" w:hanging="720"/>
        <w:jc w:val="both"/>
        <w:rPr>
          <w:rtl/>
        </w:rPr>
      </w:pPr>
      <w:r w:rsidRPr="00B3391F">
        <w:rPr>
          <w:rFonts w:hint="cs"/>
          <w:rtl/>
        </w:rPr>
        <w:t>19.</w:t>
      </w:r>
      <w:r w:rsidRPr="00B3391F">
        <w:rPr>
          <w:rFonts w:hint="cs"/>
          <w:rtl/>
        </w:rPr>
        <w:tab/>
        <w:t>בהתחשב בכל האמור, אני גוזר על הנאשם את  העונשים הבאים:</w:t>
      </w:r>
    </w:p>
    <w:p w14:paraId="6D2B3A86" w14:textId="77777777" w:rsidR="008C3BF8" w:rsidRPr="00B3391F" w:rsidRDefault="008C3BF8" w:rsidP="008C3BF8">
      <w:pPr>
        <w:spacing w:line="360" w:lineRule="auto"/>
        <w:ind w:left="720" w:hanging="720"/>
        <w:jc w:val="both"/>
        <w:rPr>
          <w:rtl/>
        </w:rPr>
      </w:pPr>
      <w:r w:rsidRPr="00B3391F">
        <w:rPr>
          <w:rFonts w:hint="cs"/>
          <w:rtl/>
        </w:rPr>
        <w:tab/>
      </w:r>
    </w:p>
    <w:p w14:paraId="2E711A50" w14:textId="77777777" w:rsidR="008C3BF8" w:rsidRPr="00B3391F" w:rsidRDefault="008C3BF8" w:rsidP="008C3BF8">
      <w:pPr>
        <w:spacing w:line="360" w:lineRule="auto"/>
        <w:ind w:left="720"/>
        <w:jc w:val="both"/>
        <w:rPr>
          <w:rtl/>
        </w:rPr>
      </w:pPr>
      <w:r w:rsidRPr="00B3391F">
        <w:rPr>
          <w:rFonts w:hint="cs"/>
          <w:rtl/>
        </w:rPr>
        <w:t>א.</w:t>
      </w:r>
      <w:r w:rsidRPr="00B3391F">
        <w:rPr>
          <w:rFonts w:hint="cs"/>
          <w:rtl/>
        </w:rPr>
        <w:tab/>
        <w:t>24 חודשי מאסר בפועל, בניכוי ימי מעצרו.</w:t>
      </w:r>
    </w:p>
    <w:p w14:paraId="440B4B99" w14:textId="77777777" w:rsidR="008C3BF8" w:rsidRPr="00B3391F" w:rsidRDefault="008C3BF8" w:rsidP="008C3BF8">
      <w:pPr>
        <w:spacing w:line="360" w:lineRule="auto"/>
        <w:ind w:left="1440" w:hanging="720"/>
        <w:jc w:val="both"/>
        <w:rPr>
          <w:rtl/>
        </w:rPr>
      </w:pPr>
      <w:r w:rsidRPr="00B3391F">
        <w:rPr>
          <w:rFonts w:hint="cs"/>
          <w:rtl/>
        </w:rPr>
        <w:t>ב.</w:t>
      </w:r>
      <w:r w:rsidRPr="00B3391F">
        <w:rPr>
          <w:rFonts w:hint="cs"/>
          <w:rtl/>
        </w:rPr>
        <w:tab/>
        <w:t>9 חודשי מאסר על תנאי למשך שלוש שנים מיום שחרורו מהמאסר שלא יעבור עבירת נשק המסווגת כפשע.</w:t>
      </w:r>
    </w:p>
    <w:p w14:paraId="006012F0" w14:textId="77777777" w:rsidR="008C3BF8" w:rsidRPr="00B3391F" w:rsidRDefault="008C3BF8" w:rsidP="008C3BF8">
      <w:pPr>
        <w:spacing w:line="360" w:lineRule="auto"/>
        <w:ind w:left="1440" w:hanging="720"/>
        <w:jc w:val="both"/>
        <w:rPr>
          <w:rtl/>
        </w:rPr>
      </w:pPr>
    </w:p>
    <w:p w14:paraId="00C33950" w14:textId="77777777" w:rsidR="008C3BF8" w:rsidRPr="00B3391F" w:rsidRDefault="008C3BF8" w:rsidP="008C3BF8">
      <w:pPr>
        <w:spacing w:line="360" w:lineRule="auto"/>
        <w:ind w:left="1440" w:hanging="720"/>
        <w:jc w:val="both"/>
        <w:rPr>
          <w:rtl/>
        </w:rPr>
      </w:pPr>
      <w:r w:rsidRPr="00B3391F">
        <w:rPr>
          <w:rFonts w:hint="cs"/>
          <w:rtl/>
        </w:rPr>
        <w:t xml:space="preserve">זכות ערעור בתוך 45 יום. </w:t>
      </w:r>
    </w:p>
    <w:p w14:paraId="5C7A6769" w14:textId="77777777" w:rsidR="008C3BF8" w:rsidRPr="00B3391F" w:rsidRDefault="008C3BF8" w:rsidP="008C3BF8">
      <w:pPr>
        <w:spacing w:line="360" w:lineRule="auto"/>
        <w:jc w:val="both"/>
        <w:rPr>
          <w:sz w:val="6"/>
          <w:szCs w:val="6"/>
          <w:rtl/>
        </w:rPr>
      </w:pPr>
      <w:r w:rsidRPr="00B3391F">
        <w:rPr>
          <w:rFonts w:hint="cs"/>
          <w:sz w:val="6"/>
          <w:szCs w:val="6"/>
          <w:rtl/>
        </w:rPr>
        <w:t>&lt;#5#&gt;</w:t>
      </w:r>
    </w:p>
    <w:p w14:paraId="5EDE1BF1" w14:textId="77777777" w:rsidR="008C3BF8" w:rsidRPr="00B3391F" w:rsidRDefault="008C3BF8" w:rsidP="008C3BF8">
      <w:pPr>
        <w:spacing w:line="360" w:lineRule="auto"/>
        <w:rPr>
          <w:b/>
          <w:bCs/>
          <w:rtl/>
        </w:rPr>
      </w:pPr>
    </w:p>
    <w:p w14:paraId="09E2E830" w14:textId="77777777" w:rsidR="008C3BF8" w:rsidRPr="00B3391F" w:rsidRDefault="008C3BF8" w:rsidP="008C3BF8">
      <w:pPr>
        <w:spacing w:line="360" w:lineRule="auto"/>
        <w:rPr>
          <w:b/>
          <w:bCs/>
          <w:rtl/>
        </w:rPr>
      </w:pPr>
    </w:p>
    <w:p w14:paraId="60F221AC" w14:textId="77777777" w:rsidR="008C3BF8" w:rsidRDefault="00F83EBC" w:rsidP="008C3BF8">
      <w:pPr>
        <w:jc w:val="both"/>
        <w:rPr>
          <w:rtl/>
        </w:rPr>
      </w:pPr>
      <w:bookmarkStart w:id="8" w:name="Nitan"/>
      <w:r w:rsidRPr="00F83EBC">
        <w:rPr>
          <w:b/>
          <w:bCs/>
          <w:color w:val="FFFFFF"/>
          <w:sz w:val="2"/>
          <w:szCs w:val="2"/>
          <w:rtl/>
        </w:rPr>
        <w:t>5129371</w:t>
      </w:r>
      <w:r>
        <w:rPr>
          <w:b/>
          <w:bCs/>
          <w:rtl/>
        </w:rPr>
        <w:t xml:space="preserve">ניתנה והודעה היום כ"ד אייר תשפ"א, 06/05/2021 במעמד הנוכחים. </w:t>
      </w:r>
      <w:bookmarkEnd w:id="8"/>
    </w:p>
    <w:tbl>
      <w:tblPr>
        <w:bidiVisual/>
        <w:tblW w:w="0" w:type="auto"/>
        <w:tblInd w:w="5107" w:type="dxa"/>
        <w:tblBorders>
          <w:insideH w:val="single" w:sz="4" w:space="0" w:color="auto"/>
          <w:insideV w:val="single" w:sz="4" w:space="0" w:color="auto"/>
        </w:tblBorders>
        <w:tblLook w:val="01E0" w:firstRow="1" w:lastRow="1" w:firstColumn="1" w:lastColumn="1" w:noHBand="0" w:noVBand="0"/>
      </w:tblPr>
      <w:tblGrid>
        <w:gridCol w:w="2589"/>
      </w:tblGrid>
      <w:tr w:rsidR="008C3BF8" w:rsidRPr="00B3391F" w14:paraId="36768700" w14:textId="77777777" w:rsidTr="008C3BF8">
        <w:trPr>
          <w:trHeight w:val="316"/>
        </w:trPr>
        <w:tc>
          <w:tcPr>
            <w:tcW w:w="2589" w:type="dxa"/>
            <w:tcBorders>
              <w:top w:val="nil"/>
              <w:left w:val="nil"/>
              <w:bottom w:val="single" w:sz="4" w:space="0" w:color="auto"/>
              <w:right w:val="nil"/>
            </w:tcBorders>
            <w:shd w:val="clear" w:color="auto" w:fill="auto"/>
          </w:tcPr>
          <w:p w14:paraId="4402B214" w14:textId="77777777" w:rsidR="008C3BF8" w:rsidRPr="00F83EBC" w:rsidRDefault="00F83EBC" w:rsidP="008C3BF8">
            <w:pPr>
              <w:jc w:val="center"/>
              <w:rPr>
                <w:color w:val="FFFFFF"/>
                <w:sz w:val="2"/>
                <w:szCs w:val="2"/>
                <w:rtl/>
              </w:rPr>
            </w:pPr>
            <w:r w:rsidRPr="00F83EBC">
              <w:rPr>
                <w:color w:val="FFFFFF"/>
                <w:sz w:val="2"/>
                <w:szCs w:val="2"/>
                <w:rtl/>
              </w:rPr>
              <w:t>54678313</w:t>
            </w:r>
          </w:p>
        </w:tc>
      </w:tr>
      <w:tr w:rsidR="008C3BF8" w:rsidRPr="00B3391F" w14:paraId="7BAC2DBE" w14:textId="77777777" w:rsidTr="008C3BF8">
        <w:trPr>
          <w:trHeight w:val="361"/>
        </w:trPr>
        <w:tc>
          <w:tcPr>
            <w:tcW w:w="2589" w:type="dxa"/>
            <w:tcBorders>
              <w:top w:val="single" w:sz="4" w:space="0" w:color="auto"/>
              <w:left w:val="nil"/>
              <w:bottom w:val="nil"/>
              <w:right w:val="nil"/>
            </w:tcBorders>
            <w:shd w:val="clear" w:color="auto" w:fill="auto"/>
          </w:tcPr>
          <w:p w14:paraId="7C25EDC1" w14:textId="77777777" w:rsidR="008C3BF8" w:rsidRPr="008C3BF8" w:rsidRDefault="008C3BF8" w:rsidP="008C3BF8">
            <w:pPr>
              <w:jc w:val="center"/>
              <w:rPr>
                <w:b/>
                <w:bCs/>
                <w:rtl/>
              </w:rPr>
            </w:pPr>
            <w:r w:rsidRPr="008C3BF8">
              <w:rPr>
                <w:rFonts w:hint="cs"/>
                <w:b/>
                <w:bCs/>
                <w:rtl/>
              </w:rPr>
              <w:t>אליהו ביתן, שופט</w:t>
            </w:r>
          </w:p>
          <w:p w14:paraId="561EEE63" w14:textId="77777777" w:rsidR="008C3BF8" w:rsidRPr="008C3BF8" w:rsidRDefault="008C3BF8" w:rsidP="008C3BF8">
            <w:pPr>
              <w:jc w:val="center"/>
              <w:rPr>
                <w:b/>
                <w:bCs/>
                <w:rtl/>
              </w:rPr>
            </w:pPr>
            <w:r w:rsidRPr="008C3BF8">
              <w:rPr>
                <w:rFonts w:hint="cs"/>
                <w:b/>
                <w:bCs/>
                <w:rtl/>
              </w:rPr>
              <w:t>סגן הנשיאה</w:t>
            </w:r>
          </w:p>
        </w:tc>
      </w:tr>
    </w:tbl>
    <w:p w14:paraId="1763D3CD" w14:textId="77777777" w:rsidR="008C3BF8" w:rsidRPr="00B3391F" w:rsidRDefault="008C3BF8" w:rsidP="008C3BF8">
      <w:pPr>
        <w:jc w:val="both"/>
        <w:rPr>
          <w:rFonts w:ascii="David" w:hAnsi="David"/>
          <w:rtl/>
        </w:rPr>
      </w:pPr>
      <w:r w:rsidRPr="00B3391F">
        <w:rPr>
          <w:rtl/>
        </w:rPr>
        <w:t xml:space="preserve">  </w:t>
      </w:r>
    </w:p>
    <w:p w14:paraId="6BC12A06" w14:textId="77777777" w:rsidR="00B34C5B" w:rsidRPr="00F83EBC" w:rsidRDefault="00B34C5B" w:rsidP="00F83EBC">
      <w:pPr>
        <w:keepNext/>
        <w:rPr>
          <w:rFonts w:ascii="David" w:hAnsi="David"/>
          <w:color w:val="000000"/>
          <w:sz w:val="22"/>
          <w:szCs w:val="22"/>
          <w:rtl/>
        </w:rPr>
      </w:pPr>
    </w:p>
    <w:p w14:paraId="6C761E1D" w14:textId="77777777" w:rsidR="00F83EBC" w:rsidRPr="00F83EBC" w:rsidRDefault="00F83EBC" w:rsidP="00F83EBC">
      <w:pPr>
        <w:keepNext/>
        <w:rPr>
          <w:rFonts w:ascii="David" w:hAnsi="David"/>
          <w:color w:val="000000"/>
          <w:sz w:val="22"/>
          <w:szCs w:val="22"/>
          <w:rtl/>
        </w:rPr>
      </w:pPr>
      <w:r w:rsidRPr="00F83EBC">
        <w:rPr>
          <w:rFonts w:ascii="David" w:hAnsi="David"/>
          <w:color w:val="000000"/>
          <w:sz w:val="22"/>
          <w:szCs w:val="22"/>
          <w:rtl/>
        </w:rPr>
        <w:t>אליהו ביתן 54678313</w:t>
      </w:r>
    </w:p>
    <w:p w14:paraId="0A6E3B25" w14:textId="77777777" w:rsidR="00F83EBC" w:rsidRDefault="00F83EBC" w:rsidP="00F83EBC">
      <w:pPr>
        <w:rPr>
          <w:rFonts w:hint="cs"/>
        </w:rPr>
      </w:pPr>
      <w:r w:rsidRPr="00F83EBC">
        <w:rPr>
          <w:color w:val="000000"/>
          <w:rtl/>
        </w:rPr>
        <w:t>נוסח מסמך זה כפוף לשינויי ניסוח ועריכה</w:t>
      </w:r>
      <w:r w:rsidR="00916676">
        <w:rPr>
          <w:rFonts w:hint="cs"/>
          <w:rtl/>
        </w:rPr>
        <w:t xml:space="preserve"> </w:t>
      </w:r>
    </w:p>
    <w:p w14:paraId="41DFB09D" w14:textId="77777777" w:rsidR="00F83EBC" w:rsidRDefault="00F83EBC" w:rsidP="00F83EBC">
      <w:pPr>
        <w:rPr>
          <w:rtl/>
        </w:rPr>
      </w:pPr>
    </w:p>
    <w:p w14:paraId="3D875D63" w14:textId="77777777" w:rsidR="00F83EBC" w:rsidRDefault="00F83EBC" w:rsidP="00F83EBC">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D167D74" w14:textId="77777777" w:rsidR="00F83EBC" w:rsidRPr="00F83EBC" w:rsidRDefault="00F83EBC" w:rsidP="00F83EBC">
      <w:pPr>
        <w:jc w:val="center"/>
        <w:rPr>
          <w:color w:val="0000FF"/>
          <w:u w:val="single"/>
        </w:rPr>
      </w:pPr>
    </w:p>
    <w:sectPr w:rsidR="00F83EBC" w:rsidRPr="00F83EBC" w:rsidSect="00F83EBC">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8BDF0" w14:textId="77777777" w:rsidR="00247A77" w:rsidRDefault="00247A77" w:rsidP="0026583F">
      <w:r>
        <w:separator/>
      </w:r>
    </w:p>
  </w:endnote>
  <w:endnote w:type="continuationSeparator" w:id="0">
    <w:p w14:paraId="773B1563" w14:textId="77777777" w:rsidR="00247A77" w:rsidRDefault="00247A77" w:rsidP="0026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8732" w14:textId="77777777" w:rsidR="00F83EBC" w:rsidRDefault="00F83EBC" w:rsidP="00F83EB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157129" w14:textId="77777777" w:rsidR="00474F19" w:rsidRPr="00F83EBC" w:rsidRDefault="00F83EBC" w:rsidP="00F83EB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23313" w14:textId="77777777" w:rsidR="00F83EBC" w:rsidRDefault="00F83EBC" w:rsidP="00F83EB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3087">
      <w:rPr>
        <w:rFonts w:ascii="FrankRuehl" w:hAnsi="FrankRuehl" w:cs="FrankRuehl"/>
        <w:noProof/>
        <w:rtl/>
      </w:rPr>
      <w:t>1</w:t>
    </w:r>
    <w:r>
      <w:rPr>
        <w:rFonts w:ascii="FrankRuehl" w:hAnsi="FrankRuehl" w:cs="FrankRuehl"/>
        <w:rtl/>
      </w:rPr>
      <w:fldChar w:fldCharType="end"/>
    </w:r>
  </w:p>
  <w:p w14:paraId="081E08D1" w14:textId="77777777" w:rsidR="00474F19" w:rsidRPr="00F83EBC" w:rsidRDefault="00F83EBC" w:rsidP="00F83EB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0AB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921D7" w14:textId="77777777" w:rsidR="00247A77" w:rsidRDefault="00247A77" w:rsidP="0026583F">
      <w:r>
        <w:separator/>
      </w:r>
    </w:p>
  </w:footnote>
  <w:footnote w:type="continuationSeparator" w:id="0">
    <w:p w14:paraId="45FBF9C1" w14:textId="77777777" w:rsidR="00247A77" w:rsidRDefault="00247A77" w:rsidP="00265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B89BF" w14:textId="77777777" w:rsidR="00F83EBC" w:rsidRPr="00F83EBC" w:rsidRDefault="00F83EBC" w:rsidP="00F83E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56739-09-20</w:t>
    </w:r>
    <w:r>
      <w:rPr>
        <w:rFonts w:ascii="David" w:hAnsi="David"/>
        <w:color w:val="000000"/>
        <w:sz w:val="22"/>
        <w:szCs w:val="22"/>
        <w:rtl/>
      </w:rPr>
      <w:tab/>
      <w:t xml:space="preserve"> מדינת ישראל נ' מאג'די גדיפי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4FFA3" w14:textId="77777777" w:rsidR="00F83EBC" w:rsidRPr="00F83EBC" w:rsidRDefault="00F83EBC" w:rsidP="00F83E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56739-09-20</w:t>
    </w:r>
    <w:r>
      <w:rPr>
        <w:rFonts w:ascii="David" w:hAnsi="David"/>
        <w:color w:val="000000"/>
        <w:sz w:val="22"/>
        <w:szCs w:val="22"/>
        <w:rtl/>
      </w:rPr>
      <w:tab/>
      <w:t xml:space="preserve"> מדינת ישראל נ' מאג'די גדיפי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3BF8"/>
    <w:rsid w:val="00012827"/>
    <w:rsid w:val="001A4829"/>
    <w:rsid w:val="001B5A3B"/>
    <w:rsid w:val="00247A77"/>
    <w:rsid w:val="0026583F"/>
    <w:rsid w:val="00431DA8"/>
    <w:rsid w:val="00474F19"/>
    <w:rsid w:val="008C3BF8"/>
    <w:rsid w:val="008E4A1A"/>
    <w:rsid w:val="00916676"/>
    <w:rsid w:val="00B23BA4"/>
    <w:rsid w:val="00B31751"/>
    <w:rsid w:val="00B34C5B"/>
    <w:rsid w:val="00BA2F76"/>
    <w:rsid w:val="00D45D7B"/>
    <w:rsid w:val="00D63087"/>
    <w:rsid w:val="00F83E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ED8775"/>
  <w15:chartTrackingRefBased/>
  <w15:docId w15:val="{15D57BFE-7FE8-4E05-BEEB-D1C07E6D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3B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3BF8"/>
    <w:pPr>
      <w:tabs>
        <w:tab w:val="center" w:pos="4153"/>
        <w:tab w:val="right" w:pos="8306"/>
      </w:tabs>
    </w:pPr>
  </w:style>
  <w:style w:type="character" w:customStyle="1" w:styleId="a4">
    <w:name w:val="כותרת עליונה תו"/>
    <w:link w:val="a3"/>
    <w:rsid w:val="008C3BF8"/>
    <w:rPr>
      <w:rFonts w:ascii="Times New Roman" w:eastAsia="Times New Roman" w:hAnsi="Times New Roman" w:cs="David"/>
      <w:sz w:val="24"/>
      <w:szCs w:val="24"/>
    </w:rPr>
  </w:style>
  <w:style w:type="paragraph" w:styleId="a5">
    <w:name w:val="footer"/>
    <w:basedOn w:val="a"/>
    <w:link w:val="a6"/>
    <w:rsid w:val="008C3BF8"/>
    <w:pPr>
      <w:tabs>
        <w:tab w:val="center" w:pos="4153"/>
        <w:tab w:val="right" w:pos="8306"/>
      </w:tabs>
    </w:pPr>
  </w:style>
  <w:style w:type="character" w:customStyle="1" w:styleId="a6">
    <w:name w:val="כותרת תחתונה תו"/>
    <w:link w:val="a5"/>
    <w:rsid w:val="008C3BF8"/>
    <w:rPr>
      <w:rFonts w:ascii="Times New Roman" w:eastAsia="Times New Roman" w:hAnsi="Times New Roman" w:cs="David"/>
      <w:sz w:val="24"/>
      <w:szCs w:val="24"/>
    </w:rPr>
  </w:style>
  <w:style w:type="table" w:styleId="a7">
    <w:name w:val="Table Grid"/>
    <w:basedOn w:val="a1"/>
    <w:rsid w:val="008C3B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3BF8"/>
  </w:style>
  <w:style w:type="character" w:styleId="Hyperlink">
    <w:name w:val="Hyperlink"/>
    <w:rsid w:val="008C3BF8"/>
    <w:rPr>
      <w:color w:val="0000FF"/>
      <w:u w:val="single"/>
    </w:rPr>
  </w:style>
  <w:style w:type="paragraph" w:customStyle="1" w:styleId="12">
    <w:name w:val="רגיל + ‏12 נק'"/>
    <w:aliases w:val="מיושר לשני הצדדים,מרווח בין שורות:  שורה וחצי"/>
    <w:basedOn w:val="a"/>
    <w:rsid w:val="008C3BF8"/>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063920" TargetMode="External"/><Relationship Id="rId18" Type="http://schemas.openxmlformats.org/officeDocument/2006/relationships/hyperlink" Target="http://www.nevo.co.il/case/24269595" TargetMode="External"/><Relationship Id="rId26" Type="http://schemas.openxmlformats.org/officeDocument/2006/relationships/hyperlink" Target="http://www.nevo.co.il/case/26988239" TargetMode="External"/><Relationship Id="rId3" Type="http://schemas.openxmlformats.org/officeDocument/2006/relationships/webSettings" Target="webSettings.xml"/><Relationship Id="rId21" Type="http://schemas.openxmlformats.org/officeDocument/2006/relationships/hyperlink" Target="http://www.nevo.co.il/case/5724364" TargetMode="External"/><Relationship Id="rId34" Type="http://schemas.openxmlformats.org/officeDocument/2006/relationships/fontTable" Target="fontTable.xml"/><Relationship Id="rId7" Type="http://schemas.openxmlformats.org/officeDocument/2006/relationships/hyperlink" Target="http://www.nevo.co.il/law/70301/144.a" TargetMode="External"/><Relationship Id="rId12" Type="http://schemas.openxmlformats.org/officeDocument/2006/relationships/hyperlink" Target="http://www.nevo.co.il/case/25824863" TargetMode="External"/><Relationship Id="rId17" Type="http://schemas.openxmlformats.org/officeDocument/2006/relationships/hyperlink" Target="http://www.nevo.co.il/case/25528737" TargetMode="External"/><Relationship Id="rId25" Type="http://schemas.openxmlformats.org/officeDocument/2006/relationships/hyperlink" Target="http://www.nevo.co.il/case/26484690"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949290"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44" TargetMode="External"/><Relationship Id="rId24" Type="http://schemas.openxmlformats.org/officeDocument/2006/relationships/hyperlink" Target="http://www.nevo.co.il/case/26516895"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25824863" TargetMode="External"/><Relationship Id="rId23" Type="http://schemas.openxmlformats.org/officeDocument/2006/relationships/hyperlink" Target="http://www.nevo.co.il/case/23814812" TargetMode="External"/><Relationship Id="rId28" Type="http://schemas.openxmlformats.org/officeDocument/2006/relationships/hyperlink" Target="http://www.nevo.co.il/case/2670898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878682"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6913995" TargetMode="External"/><Relationship Id="rId22" Type="http://schemas.openxmlformats.org/officeDocument/2006/relationships/hyperlink" Target="http://www.nevo.co.il/case/6724249" TargetMode="External"/><Relationship Id="rId27" Type="http://schemas.openxmlformats.org/officeDocument/2006/relationships/hyperlink" Target="http://www.nevo.co.il/case/26278799"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2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1967</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11784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3473531</vt:i4>
      </vt:variant>
      <vt:variant>
        <vt:i4>66</vt:i4>
      </vt:variant>
      <vt:variant>
        <vt:i4>0</vt:i4>
      </vt:variant>
      <vt:variant>
        <vt:i4>5</vt:i4>
      </vt:variant>
      <vt:variant>
        <vt:lpwstr>http://www.nevo.co.il/case/26708981</vt:lpwstr>
      </vt:variant>
      <vt:variant>
        <vt:lpwstr/>
      </vt:variant>
      <vt:variant>
        <vt:i4>3211378</vt:i4>
      </vt:variant>
      <vt:variant>
        <vt:i4>63</vt:i4>
      </vt:variant>
      <vt:variant>
        <vt:i4>0</vt:i4>
      </vt:variant>
      <vt:variant>
        <vt:i4>5</vt:i4>
      </vt:variant>
      <vt:variant>
        <vt:lpwstr>http://www.nevo.co.il/case/26278799</vt:lpwstr>
      </vt:variant>
      <vt:variant>
        <vt:lpwstr/>
      </vt:variant>
      <vt:variant>
        <vt:i4>3145848</vt:i4>
      </vt:variant>
      <vt:variant>
        <vt:i4>60</vt:i4>
      </vt:variant>
      <vt:variant>
        <vt:i4>0</vt:i4>
      </vt:variant>
      <vt:variant>
        <vt:i4>5</vt:i4>
      </vt:variant>
      <vt:variant>
        <vt:lpwstr>http://www.nevo.co.il/case/26988239</vt:lpwstr>
      </vt:variant>
      <vt:variant>
        <vt:lpwstr/>
      </vt:variant>
      <vt:variant>
        <vt:i4>3866748</vt:i4>
      </vt:variant>
      <vt:variant>
        <vt:i4>57</vt:i4>
      </vt:variant>
      <vt:variant>
        <vt:i4>0</vt:i4>
      </vt:variant>
      <vt:variant>
        <vt:i4>5</vt:i4>
      </vt:variant>
      <vt:variant>
        <vt:lpwstr>http://www.nevo.co.il/case/26484690</vt:lpwstr>
      </vt:variant>
      <vt:variant>
        <vt:lpwstr/>
      </vt:variant>
      <vt:variant>
        <vt:i4>3670139</vt:i4>
      </vt:variant>
      <vt:variant>
        <vt:i4>54</vt:i4>
      </vt:variant>
      <vt:variant>
        <vt:i4>0</vt:i4>
      </vt:variant>
      <vt:variant>
        <vt:i4>5</vt:i4>
      </vt:variant>
      <vt:variant>
        <vt:lpwstr>http://www.nevo.co.il/case/26516895</vt:lpwstr>
      </vt:variant>
      <vt:variant>
        <vt:lpwstr/>
      </vt:variant>
      <vt:variant>
        <vt:i4>4128894</vt:i4>
      </vt:variant>
      <vt:variant>
        <vt:i4>51</vt:i4>
      </vt:variant>
      <vt:variant>
        <vt:i4>0</vt:i4>
      </vt:variant>
      <vt:variant>
        <vt:i4>5</vt:i4>
      </vt:variant>
      <vt:variant>
        <vt:lpwstr>http://www.nevo.co.il/case/23814812</vt:lpwstr>
      </vt:variant>
      <vt:variant>
        <vt:lpwstr/>
      </vt:variant>
      <vt:variant>
        <vt:i4>4128883</vt:i4>
      </vt:variant>
      <vt:variant>
        <vt:i4>48</vt:i4>
      </vt:variant>
      <vt:variant>
        <vt:i4>0</vt:i4>
      </vt:variant>
      <vt:variant>
        <vt:i4>5</vt:i4>
      </vt:variant>
      <vt:variant>
        <vt:lpwstr>http://www.nevo.co.il/case/6724249</vt:lpwstr>
      </vt:variant>
      <vt:variant>
        <vt:lpwstr/>
      </vt:variant>
      <vt:variant>
        <vt:i4>3145841</vt:i4>
      </vt:variant>
      <vt:variant>
        <vt:i4>45</vt:i4>
      </vt:variant>
      <vt:variant>
        <vt:i4>0</vt:i4>
      </vt:variant>
      <vt:variant>
        <vt:i4>5</vt:i4>
      </vt:variant>
      <vt:variant>
        <vt:lpwstr>http://www.nevo.co.il/case/5724364</vt:lpwstr>
      </vt:variant>
      <vt:variant>
        <vt:lpwstr/>
      </vt:variant>
      <vt:variant>
        <vt:i4>3145853</vt:i4>
      </vt:variant>
      <vt:variant>
        <vt:i4>42</vt:i4>
      </vt:variant>
      <vt:variant>
        <vt:i4>0</vt:i4>
      </vt:variant>
      <vt:variant>
        <vt:i4>5</vt:i4>
      </vt:variant>
      <vt:variant>
        <vt:lpwstr>http://www.nevo.co.il/case/6949290</vt:lpwstr>
      </vt:variant>
      <vt:variant>
        <vt:lpwstr/>
      </vt:variant>
      <vt:variant>
        <vt:i4>3539068</vt:i4>
      </vt:variant>
      <vt:variant>
        <vt:i4>39</vt:i4>
      </vt:variant>
      <vt:variant>
        <vt:i4>0</vt:i4>
      </vt:variant>
      <vt:variant>
        <vt:i4>5</vt:i4>
      </vt:variant>
      <vt:variant>
        <vt:lpwstr>http://www.nevo.co.il/case/5878682</vt:lpwstr>
      </vt:variant>
      <vt:variant>
        <vt:lpwstr/>
      </vt:variant>
      <vt:variant>
        <vt:i4>3145843</vt:i4>
      </vt:variant>
      <vt:variant>
        <vt:i4>36</vt:i4>
      </vt:variant>
      <vt:variant>
        <vt:i4>0</vt:i4>
      </vt:variant>
      <vt:variant>
        <vt:i4>5</vt:i4>
      </vt:variant>
      <vt:variant>
        <vt:lpwstr>http://www.nevo.co.il/case/24269595</vt:lpwstr>
      </vt:variant>
      <vt:variant>
        <vt:lpwstr/>
      </vt:variant>
      <vt:variant>
        <vt:i4>3932276</vt:i4>
      </vt:variant>
      <vt:variant>
        <vt:i4>33</vt:i4>
      </vt:variant>
      <vt:variant>
        <vt:i4>0</vt:i4>
      </vt:variant>
      <vt:variant>
        <vt:i4>5</vt:i4>
      </vt:variant>
      <vt:variant>
        <vt:lpwstr>http://www.nevo.co.il/case/25528737</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3211386</vt:i4>
      </vt:variant>
      <vt:variant>
        <vt:i4>24</vt:i4>
      </vt:variant>
      <vt:variant>
        <vt:i4>0</vt:i4>
      </vt:variant>
      <vt:variant>
        <vt:i4>5</vt:i4>
      </vt:variant>
      <vt:variant>
        <vt:lpwstr>http://www.nevo.co.il/case/26913995</vt:lpwstr>
      </vt:variant>
      <vt:variant>
        <vt:lpwstr/>
      </vt:variant>
      <vt:variant>
        <vt:i4>3342462</vt:i4>
      </vt:variant>
      <vt:variant>
        <vt:i4>21</vt:i4>
      </vt:variant>
      <vt:variant>
        <vt:i4>0</vt:i4>
      </vt:variant>
      <vt:variant>
        <vt:i4>5</vt:i4>
      </vt:variant>
      <vt:variant>
        <vt:lpwstr>http://www.nevo.co.il/case/25063920</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2025-01-19T16:37:00Z</dcterms:created>
  <dcterms:modified xsi:type="dcterms:W3CDTF">2025-01-19T16:37:00Z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56739</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מאג'די גדיפי</vt:lpwstr>
  </property>
  <property fmtid="{D5CDD505-2E9C-101B-9397-08002B2CF9AE}" pid="10" name="LAWYER">
    <vt:lpwstr>גיורא חזן;אחמד וותד</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20210506</vt:lpwstr>
  </property>
  <property fmtid="{D5CDD505-2E9C-101B-9397-08002B2CF9AE}" pid="14" name="TYPE_N_DATE">
    <vt:lpwstr>39020210506</vt:lpwstr>
  </property>
  <property fmtid="{D5CDD505-2E9C-101B-9397-08002B2CF9AE}" pid="15" name="WORDNUMPAGES">
    <vt:lpwstr>6</vt:lpwstr>
  </property>
  <property fmtid="{D5CDD505-2E9C-101B-9397-08002B2CF9AE}" pid="16" name="TYPE_ABS_DATE">
    <vt:lpwstr>390020210506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25824863:2;25063920;26913995;25528737;24269595;5878682;6949290;5724364;6724249;23814812;26516895;26484690;26988239;26278799;26708981</vt:lpwstr>
  </property>
  <property fmtid="{D5CDD505-2E9C-101B-9397-08002B2CF9AE}" pid="36" name="LAWLISTTMP1">
    <vt:lpwstr>70301/144.a;244</vt:lpwstr>
  </property>
</Properties>
</file>