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184D00" w:rsidRPr="00E60682" w14:paraId="598B0BF5" w14:textId="77777777" w:rsidTr="009505F1">
        <w:trPr>
          <w:trHeight w:hRule="exact" w:val="418"/>
          <w:jc w:val="center"/>
        </w:trPr>
        <w:tc>
          <w:tcPr>
            <w:tcW w:w="8721" w:type="dxa"/>
            <w:gridSpan w:val="2"/>
          </w:tcPr>
          <w:p w14:paraId="7B1B1895" w14:textId="77777777" w:rsidR="00184D00" w:rsidRPr="00E60682" w:rsidRDefault="00184D00" w:rsidP="007C370A">
            <w:pPr>
              <w:pStyle w:val="a3"/>
              <w:jc w:val="center"/>
              <w:rPr>
                <w:rFonts w:ascii="Tahoma" w:hAnsi="Tahoma" w:cs="Tahoma"/>
                <w:color w:val="000080"/>
                <w:rtl/>
              </w:rPr>
            </w:pPr>
            <w:bookmarkStart w:id="0" w:name="LastJudge"/>
            <w:r w:rsidRPr="00E60682">
              <w:rPr>
                <w:rFonts w:ascii="Tahoma" w:hAnsi="Tahoma" w:cs="Tahoma"/>
                <w:b/>
                <w:bCs/>
                <w:color w:val="000080"/>
                <w:rtl/>
              </w:rPr>
              <w:t>בית המשפט המחוזי בחיפה</w:t>
            </w:r>
          </w:p>
        </w:tc>
      </w:tr>
      <w:tr w:rsidR="00184D00" w:rsidRPr="00E60682" w14:paraId="3F63FEA8" w14:textId="77777777" w:rsidTr="009505F1">
        <w:trPr>
          <w:trHeight w:val="337"/>
          <w:jc w:val="center"/>
        </w:trPr>
        <w:tc>
          <w:tcPr>
            <w:tcW w:w="5065" w:type="dxa"/>
          </w:tcPr>
          <w:p w14:paraId="46568B59" w14:textId="77777777" w:rsidR="00184D00" w:rsidRPr="00E60682" w:rsidRDefault="00184D00" w:rsidP="007C370A">
            <w:pPr>
              <w:rPr>
                <w:rFonts w:cs="FrankRuehl"/>
                <w:sz w:val="28"/>
                <w:szCs w:val="28"/>
                <w:rtl/>
              </w:rPr>
            </w:pPr>
            <w:r w:rsidRPr="00E60682">
              <w:rPr>
                <w:rFonts w:cs="FrankRuehl"/>
                <w:sz w:val="28"/>
                <w:szCs w:val="28"/>
                <w:rtl/>
              </w:rPr>
              <w:t>ת"פ</w:t>
            </w:r>
            <w:r w:rsidRPr="00E60682">
              <w:rPr>
                <w:rFonts w:cs="FrankRuehl" w:hint="cs"/>
                <w:sz w:val="28"/>
                <w:szCs w:val="28"/>
                <w:rtl/>
              </w:rPr>
              <w:t xml:space="preserve"> </w:t>
            </w:r>
            <w:r w:rsidRPr="00E60682">
              <w:rPr>
                <w:rFonts w:cs="FrankRuehl"/>
                <w:sz w:val="28"/>
                <w:szCs w:val="28"/>
                <w:rtl/>
              </w:rPr>
              <w:t>40536-10-20</w:t>
            </w:r>
            <w:r w:rsidRPr="00E60682">
              <w:rPr>
                <w:rFonts w:cs="FrankRuehl" w:hint="cs"/>
                <w:sz w:val="28"/>
                <w:szCs w:val="28"/>
                <w:rtl/>
              </w:rPr>
              <w:t xml:space="preserve"> </w:t>
            </w:r>
            <w:r w:rsidRPr="00E60682">
              <w:rPr>
                <w:rFonts w:cs="FrankRuehl"/>
                <w:sz w:val="28"/>
                <w:szCs w:val="28"/>
                <w:rtl/>
              </w:rPr>
              <w:t>מדינת ישראל נ' סביחאת(עצור/אסיר בפיקוח)</w:t>
            </w:r>
          </w:p>
          <w:p w14:paraId="012CAAE8" w14:textId="77777777" w:rsidR="00184D00" w:rsidRPr="00E60682" w:rsidRDefault="00184D00" w:rsidP="007C370A">
            <w:pPr>
              <w:pStyle w:val="a3"/>
              <w:rPr>
                <w:rFonts w:cs="FrankRuehl"/>
                <w:sz w:val="28"/>
                <w:szCs w:val="28"/>
                <w:rtl/>
              </w:rPr>
            </w:pPr>
          </w:p>
        </w:tc>
        <w:tc>
          <w:tcPr>
            <w:tcW w:w="3656" w:type="dxa"/>
          </w:tcPr>
          <w:p w14:paraId="29A52408" w14:textId="77777777" w:rsidR="00184D00" w:rsidRPr="00E60682" w:rsidRDefault="00184D00" w:rsidP="007C370A">
            <w:pPr>
              <w:pStyle w:val="a3"/>
              <w:jc w:val="right"/>
              <w:rPr>
                <w:rFonts w:cs="FrankRuehl"/>
                <w:sz w:val="28"/>
                <w:szCs w:val="28"/>
                <w:rtl/>
              </w:rPr>
            </w:pPr>
          </w:p>
        </w:tc>
      </w:tr>
    </w:tbl>
    <w:p w14:paraId="7A2D3766" w14:textId="77777777" w:rsidR="00184D00" w:rsidRPr="00E60682" w:rsidRDefault="00184D00" w:rsidP="00184D00">
      <w:pPr>
        <w:pStyle w:val="a3"/>
        <w:rPr>
          <w:rtl/>
        </w:rPr>
      </w:pPr>
      <w:r w:rsidRPr="00E60682">
        <w:rPr>
          <w:rFonts w:hint="cs"/>
          <w:rtl/>
        </w:rPr>
        <w:t xml:space="preserve"> </w:t>
      </w:r>
    </w:p>
    <w:p w14:paraId="33B34DC6" w14:textId="77777777" w:rsidR="00184D00" w:rsidRPr="00E60682" w:rsidRDefault="00184D00" w:rsidP="00184D00">
      <w:pPr>
        <w:rPr>
          <w:sz w:val="26"/>
          <w:szCs w:val="26"/>
          <w:rtl/>
        </w:rPr>
      </w:pPr>
    </w:p>
    <w:p w14:paraId="00BB7961" w14:textId="77777777" w:rsidR="00184D00" w:rsidRPr="00E60682" w:rsidRDefault="00184D00" w:rsidP="00184D00">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184D00" w:rsidRPr="00E60682" w14:paraId="2D633A67" w14:textId="77777777" w:rsidTr="00184D00">
        <w:trPr>
          <w:trHeight w:val="295"/>
          <w:jc w:val="center"/>
        </w:trPr>
        <w:tc>
          <w:tcPr>
            <w:tcW w:w="923" w:type="dxa"/>
            <w:tcBorders>
              <w:top w:val="nil"/>
              <w:left w:val="nil"/>
              <w:bottom w:val="nil"/>
              <w:right w:val="nil"/>
            </w:tcBorders>
            <w:shd w:val="clear" w:color="auto" w:fill="auto"/>
          </w:tcPr>
          <w:p w14:paraId="332C268D" w14:textId="77777777" w:rsidR="00184D00" w:rsidRPr="00E60682" w:rsidRDefault="00184D00" w:rsidP="00184D00">
            <w:pPr>
              <w:jc w:val="both"/>
              <w:rPr>
                <w:rFonts w:ascii="David" w:hAnsi="David"/>
                <w:sz w:val="26"/>
                <w:szCs w:val="26"/>
              </w:rPr>
            </w:pPr>
            <w:r w:rsidRPr="00E60682">
              <w:rPr>
                <w:rFonts w:ascii="David" w:hAnsi="David"/>
                <w:sz w:val="26"/>
                <w:szCs w:val="26"/>
                <w:rtl/>
              </w:rPr>
              <w:t xml:space="preserve">בפני </w:t>
            </w:r>
          </w:p>
        </w:tc>
        <w:tc>
          <w:tcPr>
            <w:tcW w:w="7897" w:type="dxa"/>
            <w:tcBorders>
              <w:top w:val="nil"/>
              <w:left w:val="nil"/>
              <w:bottom w:val="nil"/>
              <w:right w:val="nil"/>
            </w:tcBorders>
            <w:shd w:val="clear" w:color="auto" w:fill="auto"/>
          </w:tcPr>
          <w:p w14:paraId="3FCFBE6C" w14:textId="77777777" w:rsidR="00184D00" w:rsidRPr="00E60682" w:rsidRDefault="00184D00" w:rsidP="007C370A">
            <w:pPr>
              <w:rPr>
                <w:rFonts w:ascii="David" w:hAnsi="David"/>
                <w:b/>
                <w:bCs/>
                <w:sz w:val="26"/>
                <w:szCs w:val="26"/>
                <w:rtl/>
              </w:rPr>
            </w:pPr>
            <w:r w:rsidRPr="00E60682">
              <w:rPr>
                <w:rFonts w:ascii="David" w:hAnsi="David"/>
                <w:b/>
                <w:bCs/>
                <w:sz w:val="26"/>
                <w:szCs w:val="26"/>
                <w:rtl/>
              </w:rPr>
              <w:t>כבוד השופט  נאסר ג'השאן</w:t>
            </w:r>
          </w:p>
          <w:p w14:paraId="1FC91A5A" w14:textId="77777777" w:rsidR="00184D00" w:rsidRPr="00E60682" w:rsidRDefault="00184D00" w:rsidP="007C370A">
            <w:pPr>
              <w:rPr>
                <w:rFonts w:ascii="David" w:hAnsi="David"/>
                <w:sz w:val="26"/>
                <w:szCs w:val="26"/>
                <w:rtl/>
              </w:rPr>
            </w:pPr>
          </w:p>
          <w:p w14:paraId="0104BA14" w14:textId="77777777" w:rsidR="00184D00" w:rsidRPr="00E60682" w:rsidRDefault="00184D00" w:rsidP="00184D00">
            <w:pPr>
              <w:jc w:val="both"/>
              <w:rPr>
                <w:rFonts w:ascii="David" w:hAnsi="David"/>
                <w:sz w:val="26"/>
                <w:szCs w:val="26"/>
              </w:rPr>
            </w:pPr>
          </w:p>
        </w:tc>
      </w:tr>
    </w:tbl>
    <w:p w14:paraId="52C4508B" w14:textId="77777777" w:rsidR="00184D00" w:rsidRPr="00E60682" w:rsidRDefault="00184D00" w:rsidP="00184D00">
      <w:pPr>
        <w:rPr>
          <w:sz w:val="26"/>
          <w:szCs w:val="26"/>
          <w:rtl/>
        </w:rPr>
      </w:pPr>
    </w:p>
    <w:tbl>
      <w:tblPr>
        <w:bidiVisual/>
        <w:tblW w:w="8802" w:type="dxa"/>
        <w:tblInd w:w="-28" w:type="dxa"/>
        <w:tblLook w:val="01E0" w:firstRow="1" w:lastRow="1" w:firstColumn="1" w:lastColumn="1" w:noHBand="0" w:noVBand="0"/>
      </w:tblPr>
      <w:tblGrid>
        <w:gridCol w:w="2880"/>
        <w:gridCol w:w="5922"/>
      </w:tblGrid>
      <w:tr w:rsidR="00184D00" w:rsidRPr="00E60682" w14:paraId="724DB50B" w14:textId="77777777" w:rsidTr="00184D00">
        <w:trPr>
          <w:cantSplit/>
          <w:trHeight w:val="511"/>
        </w:trPr>
        <w:tc>
          <w:tcPr>
            <w:tcW w:w="2880" w:type="dxa"/>
            <w:shd w:val="clear" w:color="auto" w:fill="auto"/>
          </w:tcPr>
          <w:p w14:paraId="5052C2A5" w14:textId="77777777" w:rsidR="00184D00" w:rsidRPr="00E60682" w:rsidRDefault="00184D00" w:rsidP="007C370A">
            <w:pPr>
              <w:rPr>
                <w:b/>
                <w:bCs/>
                <w:sz w:val="26"/>
                <w:szCs w:val="26"/>
                <w:rtl/>
              </w:rPr>
            </w:pPr>
            <w:bookmarkStart w:id="1" w:name="FirstAppellant"/>
            <w:r w:rsidRPr="00E60682">
              <w:rPr>
                <w:rFonts w:hint="cs"/>
                <w:b/>
                <w:bCs/>
                <w:sz w:val="26"/>
                <w:szCs w:val="26"/>
                <w:rtl/>
              </w:rPr>
              <w:t>ה</w:t>
            </w:r>
            <w:r w:rsidRPr="00E60682">
              <w:rPr>
                <w:b/>
                <w:bCs/>
                <w:sz w:val="26"/>
                <w:szCs w:val="26"/>
                <w:rtl/>
              </w:rPr>
              <w:t>מאשימה</w:t>
            </w:r>
          </w:p>
        </w:tc>
        <w:tc>
          <w:tcPr>
            <w:tcW w:w="5922" w:type="dxa"/>
            <w:shd w:val="clear" w:color="auto" w:fill="auto"/>
          </w:tcPr>
          <w:p w14:paraId="12020385" w14:textId="77777777" w:rsidR="00184D00" w:rsidRPr="00E60682" w:rsidRDefault="00184D00" w:rsidP="007C370A">
            <w:pPr>
              <w:rPr>
                <w:b/>
                <w:bCs/>
                <w:sz w:val="26"/>
                <w:szCs w:val="26"/>
                <w:rtl/>
              </w:rPr>
            </w:pPr>
            <w:r w:rsidRPr="00E60682">
              <w:rPr>
                <w:rtl/>
              </w:rPr>
              <w:t xml:space="preserve"> </w:t>
            </w:r>
            <w:r w:rsidRPr="00E60682">
              <w:rPr>
                <w:b/>
                <w:bCs/>
                <w:sz w:val="26"/>
                <w:szCs w:val="26"/>
                <w:rtl/>
              </w:rPr>
              <w:t>מדינת ישראל</w:t>
            </w:r>
          </w:p>
        </w:tc>
      </w:tr>
      <w:bookmarkEnd w:id="1"/>
      <w:tr w:rsidR="00184D00" w:rsidRPr="00E60682" w14:paraId="7297C8FA" w14:textId="77777777" w:rsidTr="00184D00">
        <w:tc>
          <w:tcPr>
            <w:tcW w:w="8802" w:type="dxa"/>
            <w:gridSpan w:val="2"/>
            <w:shd w:val="clear" w:color="auto" w:fill="auto"/>
            <w:vAlign w:val="center"/>
          </w:tcPr>
          <w:p w14:paraId="2A275BE3" w14:textId="77777777" w:rsidR="00184D00" w:rsidRPr="00E60682" w:rsidRDefault="00184D00" w:rsidP="00184D00">
            <w:pPr>
              <w:jc w:val="right"/>
              <w:rPr>
                <w:rFonts w:ascii="Arial" w:hAnsi="Arial"/>
                <w:b/>
                <w:bCs/>
                <w:sz w:val="26"/>
                <w:szCs w:val="26"/>
                <w:rtl/>
              </w:rPr>
            </w:pPr>
          </w:p>
          <w:p w14:paraId="42FCD4BA" w14:textId="77777777" w:rsidR="00184D00" w:rsidRPr="00E60682" w:rsidRDefault="00184D00" w:rsidP="00184D00">
            <w:pPr>
              <w:jc w:val="center"/>
              <w:rPr>
                <w:rFonts w:ascii="Arial" w:hAnsi="Arial"/>
                <w:b/>
                <w:bCs/>
                <w:sz w:val="26"/>
                <w:szCs w:val="26"/>
                <w:rtl/>
              </w:rPr>
            </w:pPr>
            <w:r w:rsidRPr="00E60682">
              <w:rPr>
                <w:rFonts w:ascii="Arial" w:hAnsi="Arial" w:hint="cs"/>
                <w:b/>
                <w:bCs/>
                <w:sz w:val="26"/>
                <w:szCs w:val="26"/>
                <w:rtl/>
              </w:rPr>
              <w:t>נגד</w:t>
            </w:r>
          </w:p>
          <w:p w14:paraId="7879C56C" w14:textId="77777777" w:rsidR="00184D00" w:rsidRPr="00E60682" w:rsidRDefault="00184D00" w:rsidP="00184D00">
            <w:pPr>
              <w:jc w:val="right"/>
              <w:rPr>
                <w:rFonts w:ascii="Arial" w:hAnsi="Arial"/>
                <w:b/>
                <w:bCs/>
                <w:sz w:val="26"/>
                <w:szCs w:val="26"/>
                <w:rtl/>
              </w:rPr>
            </w:pPr>
          </w:p>
        </w:tc>
      </w:tr>
      <w:tr w:rsidR="00184D00" w:rsidRPr="00E60682" w14:paraId="64107EAA" w14:textId="77777777" w:rsidTr="00184D00">
        <w:tc>
          <w:tcPr>
            <w:tcW w:w="2880" w:type="dxa"/>
            <w:shd w:val="clear" w:color="auto" w:fill="auto"/>
          </w:tcPr>
          <w:p w14:paraId="44060BB1" w14:textId="77777777" w:rsidR="00184D00" w:rsidRPr="00E60682" w:rsidRDefault="00184D00" w:rsidP="007C370A">
            <w:pPr>
              <w:rPr>
                <w:b/>
                <w:bCs/>
                <w:sz w:val="26"/>
                <w:szCs w:val="26"/>
                <w:rtl/>
              </w:rPr>
            </w:pPr>
            <w:r w:rsidRPr="00E60682">
              <w:rPr>
                <w:rFonts w:hint="cs"/>
                <w:b/>
                <w:bCs/>
                <w:sz w:val="26"/>
                <w:szCs w:val="26"/>
                <w:rtl/>
              </w:rPr>
              <w:t>ה</w:t>
            </w:r>
            <w:r w:rsidRPr="00E60682">
              <w:rPr>
                <w:b/>
                <w:bCs/>
                <w:sz w:val="26"/>
                <w:szCs w:val="26"/>
                <w:rtl/>
              </w:rPr>
              <w:t>נאשם</w:t>
            </w:r>
          </w:p>
        </w:tc>
        <w:tc>
          <w:tcPr>
            <w:tcW w:w="5922" w:type="dxa"/>
            <w:shd w:val="clear" w:color="auto" w:fill="auto"/>
          </w:tcPr>
          <w:p w14:paraId="36FB5C4B" w14:textId="77777777" w:rsidR="00184D00" w:rsidRPr="00E60682" w:rsidRDefault="00184D00" w:rsidP="007C370A">
            <w:pPr>
              <w:rPr>
                <w:b/>
                <w:bCs/>
                <w:sz w:val="26"/>
                <w:szCs w:val="26"/>
                <w:rtl/>
              </w:rPr>
            </w:pPr>
            <w:r w:rsidRPr="00E60682">
              <w:rPr>
                <w:rtl/>
              </w:rPr>
              <w:t xml:space="preserve"> </w:t>
            </w:r>
            <w:r w:rsidRPr="00E60682">
              <w:rPr>
                <w:b/>
                <w:bCs/>
                <w:sz w:val="26"/>
                <w:szCs w:val="26"/>
                <w:rtl/>
              </w:rPr>
              <w:t>אמין סביחאת (עצור/אסיר בפיקוח)</w:t>
            </w:r>
            <w:r w:rsidRPr="00E60682">
              <w:rPr>
                <w:rFonts w:cs="Times New Roman"/>
                <w:rtl/>
              </w:rPr>
              <w:t xml:space="preserve"> </w:t>
            </w:r>
            <w:r w:rsidRPr="00E60682">
              <w:rPr>
                <w:rFonts w:cs="Times New Roman"/>
                <w:b/>
                <w:bCs/>
                <w:sz w:val="26"/>
                <w:szCs w:val="26"/>
                <w:rtl/>
              </w:rPr>
              <w:t xml:space="preserve">ת"ז  </w:t>
            </w:r>
            <w:r w:rsidR="00E60682">
              <w:rPr>
                <w:rFonts w:cs="Times New Roman"/>
                <w:b/>
                <w:bCs/>
                <w:sz w:val="26"/>
                <w:szCs w:val="26"/>
              </w:rPr>
              <w:t>xxxxxxxxxx</w:t>
            </w:r>
          </w:p>
        </w:tc>
      </w:tr>
    </w:tbl>
    <w:p w14:paraId="67D81C4B" w14:textId="77777777" w:rsidR="00184D00" w:rsidRPr="00E60682" w:rsidRDefault="00184D00" w:rsidP="00184D00">
      <w:pPr>
        <w:rPr>
          <w:sz w:val="26"/>
          <w:szCs w:val="26"/>
          <w:rtl/>
        </w:rPr>
      </w:pPr>
    </w:p>
    <w:p w14:paraId="68C24F99" w14:textId="77777777" w:rsidR="00E60682" w:rsidRPr="00E60682" w:rsidRDefault="00E60682" w:rsidP="00E60682">
      <w:pPr>
        <w:spacing w:before="120" w:after="120" w:line="240" w:lineRule="exact"/>
        <w:ind w:left="283" w:hanging="283"/>
        <w:jc w:val="both"/>
        <w:rPr>
          <w:rFonts w:ascii="FrankRuehl" w:hAnsi="FrankRuehl" w:cs="FrankRuehl"/>
          <w:rtl/>
        </w:rPr>
      </w:pPr>
    </w:p>
    <w:p w14:paraId="01747F12" w14:textId="77777777" w:rsidR="00E60682" w:rsidRPr="00E60682" w:rsidRDefault="00E60682" w:rsidP="00E60682">
      <w:pPr>
        <w:rPr>
          <w:sz w:val="26"/>
          <w:szCs w:val="26"/>
          <w:rtl/>
        </w:rPr>
      </w:pPr>
    </w:p>
    <w:p w14:paraId="6D3B8AE3" w14:textId="77777777" w:rsidR="009505F1" w:rsidRPr="009505F1" w:rsidRDefault="009505F1" w:rsidP="009505F1">
      <w:pPr>
        <w:spacing w:before="120" w:after="120" w:line="240" w:lineRule="exact"/>
        <w:ind w:left="283" w:hanging="283"/>
        <w:jc w:val="both"/>
        <w:rPr>
          <w:rFonts w:ascii="FrankRuehl" w:hAnsi="FrankRuehl" w:cs="FrankRuehl"/>
          <w:rtl/>
        </w:rPr>
      </w:pPr>
    </w:p>
    <w:p w14:paraId="204C0CE5" w14:textId="77777777" w:rsidR="00A13159" w:rsidRDefault="00A13159" w:rsidP="00A13159">
      <w:pPr>
        <w:rPr>
          <w:sz w:val="26"/>
          <w:szCs w:val="26"/>
          <w:rtl/>
        </w:rPr>
      </w:pPr>
      <w:bookmarkStart w:id="2" w:name="LawTable"/>
      <w:bookmarkEnd w:id="2"/>
    </w:p>
    <w:p w14:paraId="209777E6" w14:textId="77777777" w:rsidR="00A13159" w:rsidRPr="00A13159" w:rsidRDefault="00A13159" w:rsidP="00A13159">
      <w:pPr>
        <w:spacing w:before="120" w:after="120" w:line="240" w:lineRule="exact"/>
        <w:ind w:left="283" w:hanging="283"/>
        <w:jc w:val="both"/>
        <w:rPr>
          <w:rFonts w:ascii="FrankRuehl" w:hAnsi="FrankRuehl" w:cs="FrankRuehl"/>
          <w:rtl/>
        </w:rPr>
      </w:pPr>
    </w:p>
    <w:p w14:paraId="6DDF69B3" w14:textId="77777777" w:rsidR="00A13159" w:rsidRPr="00A13159" w:rsidRDefault="00A13159" w:rsidP="00A13159">
      <w:pPr>
        <w:spacing w:before="120" w:after="120" w:line="240" w:lineRule="exact"/>
        <w:ind w:left="283" w:hanging="283"/>
        <w:jc w:val="both"/>
        <w:rPr>
          <w:rFonts w:ascii="FrankRuehl" w:hAnsi="FrankRuehl" w:cs="FrankRuehl"/>
          <w:rtl/>
        </w:rPr>
      </w:pPr>
    </w:p>
    <w:p w14:paraId="2EE6EC3E" w14:textId="77777777" w:rsidR="00A13159" w:rsidRPr="00A13159" w:rsidRDefault="00A13159" w:rsidP="00A13159">
      <w:pPr>
        <w:spacing w:before="120" w:after="120" w:line="240" w:lineRule="exact"/>
        <w:ind w:left="283" w:hanging="283"/>
        <w:jc w:val="both"/>
        <w:rPr>
          <w:rFonts w:ascii="FrankRuehl" w:hAnsi="FrankRuehl" w:cs="FrankRuehl"/>
          <w:rtl/>
        </w:rPr>
      </w:pPr>
      <w:r w:rsidRPr="00A13159">
        <w:rPr>
          <w:rFonts w:ascii="FrankRuehl" w:hAnsi="FrankRuehl" w:cs="FrankRuehl"/>
          <w:rtl/>
        </w:rPr>
        <w:t xml:space="preserve">חקיקה שאוזכרה: </w:t>
      </w:r>
    </w:p>
    <w:p w14:paraId="6C01D5DF" w14:textId="77777777" w:rsidR="00A13159" w:rsidRPr="00A13159" w:rsidRDefault="00A13159" w:rsidP="00A13159">
      <w:pPr>
        <w:spacing w:before="120" w:after="120" w:line="240" w:lineRule="exact"/>
        <w:ind w:left="283" w:hanging="283"/>
        <w:jc w:val="both"/>
        <w:rPr>
          <w:rFonts w:ascii="FrankRuehl" w:hAnsi="FrankRuehl" w:cs="FrankRuehl"/>
          <w:rtl/>
        </w:rPr>
      </w:pPr>
      <w:hyperlink r:id="rId7" w:history="1">
        <w:r w:rsidRPr="00A13159">
          <w:rPr>
            <w:rFonts w:ascii="FrankRuehl" w:hAnsi="FrankRuehl" w:cs="FrankRuehl"/>
            <w:color w:val="0000FF"/>
            <w:rtl/>
          </w:rPr>
          <w:t>חוק העונשין, תשל"ז-1977</w:t>
        </w:r>
      </w:hyperlink>
      <w:r w:rsidRPr="00A13159">
        <w:rPr>
          <w:rFonts w:ascii="FrankRuehl" w:hAnsi="FrankRuehl" w:cs="FrankRuehl"/>
          <w:rtl/>
        </w:rPr>
        <w:t xml:space="preserve">: סע'  </w:t>
      </w:r>
      <w:hyperlink r:id="rId8" w:history="1">
        <w:r w:rsidRPr="00A13159">
          <w:rPr>
            <w:rFonts w:ascii="FrankRuehl" w:hAnsi="FrankRuehl" w:cs="FrankRuehl"/>
            <w:color w:val="0000FF"/>
            <w:rtl/>
          </w:rPr>
          <w:t>40ב</w:t>
        </w:r>
      </w:hyperlink>
      <w:r w:rsidRPr="00A13159">
        <w:rPr>
          <w:rFonts w:ascii="FrankRuehl" w:hAnsi="FrankRuehl" w:cs="FrankRuehl"/>
          <w:rtl/>
        </w:rPr>
        <w:t xml:space="preserve">, </w:t>
      </w:r>
      <w:hyperlink r:id="rId9" w:history="1">
        <w:r w:rsidRPr="00A13159">
          <w:rPr>
            <w:rFonts w:ascii="FrankRuehl" w:hAnsi="FrankRuehl" w:cs="FrankRuehl"/>
            <w:color w:val="0000FF"/>
            <w:rtl/>
          </w:rPr>
          <w:t>40ג</w:t>
        </w:r>
      </w:hyperlink>
      <w:r w:rsidRPr="00A13159">
        <w:rPr>
          <w:rFonts w:ascii="FrankRuehl" w:hAnsi="FrankRuehl" w:cs="FrankRuehl"/>
          <w:rtl/>
        </w:rPr>
        <w:t xml:space="preserve">, </w:t>
      </w:r>
      <w:hyperlink r:id="rId10" w:history="1">
        <w:r w:rsidRPr="00A13159">
          <w:rPr>
            <w:rFonts w:ascii="FrankRuehl" w:hAnsi="FrankRuehl" w:cs="FrankRuehl"/>
            <w:color w:val="0000FF"/>
            <w:rtl/>
          </w:rPr>
          <w:t>144(א)</w:t>
        </w:r>
      </w:hyperlink>
      <w:r w:rsidRPr="00A13159">
        <w:rPr>
          <w:rFonts w:ascii="FrankRuehl" w:hAnsi="FrankRuehl" w:cs="FrankRuehl"/>
          <w:rtl/>
        </w:rPr>
        <w:t xml:space="preserve">, </w:t>
      </w:r>
      <w:hyperlink r:id="rId11" w:history="1">
        <w:r w:rsidRPr="00A13159">
          <w:rPr>
            <w:rFonts w:ascii="FrankRuehl" w:hAnsi="FrankRuehl" w:cs="FrankRuehl"/>
            <w:color w:val="0000FF"/>
            <w:rtl/>
          </w:rPr>
          <w:t>144(ב)</w:t>
        </w:r>
      </w:hyperlink>
    </w:p>
    <w:p w14:paraId="1D76B391" w14:textId="77777777" w:rsidR="00A13159" w:rsidRPr="00A13159" w:rsidRDefault="00A13159" w:rsidP="00A13159">
      <w:pPr>
        <w:rPr>
          <w:sz w:val="26"/>
          <w:szCs w:val="26"/>
          <w:rtl/>
        </w:rPr>
      </w:pPr>
      <w:bookmarkStart w:id="3" w:name="LawTable_End"/>
      <w:bookmarkEnd w:id="3"/>
    </w:p>
    <w:p w14:paraId="6DD37659" w14:textId="77777777" w:rsidR="00184D00" w:rsidRPr="009505F1" w:rsidRDefault="00184D00" w:rsidP="009505F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4D00" w14:paraId="46C4C059" w14:textId="77777777" w:rsidTr="00184D00">
        <w:trPr>
          <w:trHeight w:val="355"/>
          <w:jc w:val="center"/>
        </w:trPr>
        <w:tc>
          <w:tcPr>
            <w:tcW w:w="8820" w:type="dxa"/>
            <w:tcBorders>
              <w:top w:val="nil"/>
              <w:left w:val="nil"/>
              <w:bottom w:val="nil"/>
              <w:right w:val="nil"/>
            </w:tcBorders>
            <w:shd w:val="clear" w:color="auto" w:fill="auto"/>
          </w:tcPr>
          <w:p w14:paraId="647028C5" w14:textId="77777777" w:rsidR="00E60682" w:rsidRPr="00E60682" w:rsidRDefault="00E60682" w:rsidP="00E60682">
            <w:pPr>
              <w:jc w:val="center"/>
              <w:rPr>
                <w:rFonts w:ascii="David" w:hAnsi="David"/>
                <w:b/>
                <w:bCs/>
                <w:sz w:val="32"/>
                <w:szCs w:val="32"/>
                <w:u w:val="single"/>
                <w:rtl/>
              </w:rPr>
            </w:pPr>
            <w:bookmarkStart w:id="4" w:name="PsakDin" w:colFirst="0" w:colLast="0"/>
            <w:bookmarkEnd w:id="0"/>
            <w:r w:rsidRPr="00E60682">
              <w:rPr>
                <w:rFonts w:ascii="David" w:hAnsi="David"/>
                <w:b/>
                <w:bCs/>
                <w:sz w:val="32"/>
                <w:szCs w:val="32"/>
                <w:u w:val="single"/>
                <w:rtl/>
              </w:rPr>
              <w:t>גזר דין</w:t>
            </w:r>
          </w:p>
          <w:p w14:paraId="3DD8F1E5" w14:textId="77777777" w:rsidR="00184D00" w:rsidRPr="00E60682" w:rsidRDefault="00184D00" w:rsidP="00E60682">
            <w:pPr>
              <w:jc w:val="center"/>
              <w:rPr>
                <w:rFonts w:ascii="David" w:hAnsi="David"/>
                <w:bCs/>
                <w:sz w:val="32"/>
                <w:szCs w:val="32"/>
                <w:u w:val="single"/>
                <w:rtl/>
              </w:rPr>
            </w:pPr>
          </w:p>
        </w:tc>
      </w:tr>
      <w:bookmarkEnd w:id="4"/>
    </w:tbl>
    <w:p w14:paraId="0513EE3A" w14:textId="77777777" w:rsidR="00184D00" w:rsidRPr="002B7D23" w:rsidRDefault="00184D00" w:rsidP="00184D00">
      <w:pPr>
        <w:rPr>
          <w:rFonts w:ascii="David" w:hAnsi="David"/>
          <w:sz w:val="26"/>
          <w:szCs w:val="26"/>
          <w:rtl/>
        </w:rPr>
      </w:pPr>
    </w:p>
    <w:p w14:paraId="68A6DD04" w14:textId="77777777" w:rsidR="00184D00" w:rsidRDefault="00184D00" w:rsidP="00184D00">
      <w:pPr>
        <w:spacing w:line="360" w:lineRule="auto"/>
        <w:rPr>
          <w:rFonts w:ascii="David" w:hAnsi="David"/>
          <w:b/>
          <w:bCs/>
          <w:u w:val="single"/>
          <w:rtl/>
        </w:rPr>
      </w:pPr>
    </w:p>
    <w:p w14:paraId="6479DA43" w14:textId="77777777" w:rsidR="00184D00" w:rsidRDefault="00184D00" w:rsidP="00184D00">
      <w:pPr>
        <w:spacing w:line="360" w:lineRule="auto"/>
        <w:rPr>
          <w:rFonts w:ascii="David" w:hAnsi="David"/>
          <w:b/>
          <w:bCs/>
          <w:u w:val="single"/>
          <w:rtl/>
        </w:rPr>
      </w:pPr>
      <w:r>
        <w:rPr>
          <w:rFonts w:ascii="David" w:hAnsi="David"/>
          <w:b/>
          <w:bCs/>
          <w:u w:val="single"/>
          <w:rtl/>
        </w:rPr>
        <w:t>מבוא:</w:t>
      </w:r>
    </w:p>
    <w:p w14:paraId="31B72730" w14:textId="77777777" w:rsidR="00184D00" w:rsidRDefault="00184D00" w:rsidP="00184D00">
      <w:pPr>
        <w:spacing w:line="360" w:lineRule="auto"/>
        <w:rPr>
          <w:rFonts w:ascii="David" w:hAnsi="David"/>
          <w:rtl/>
        </w:rPr>
      </w:pPr>
    </w:p>
    <w:p w14:paraId="5A673706" w14:textId="77777777" w:rsidR="00184D00" w:rsidRDefault="00184D00" w:rsidP="00184D00">
      <w:pPr>
        <w:spacing w:line="360" w:lineRule="auto"/>
        <w:ind w:left="720" w:hanging="720"/>
        <w:jc w:val="both"/>
        <w:rPr>
          <w:rFonts w:ascii="David" w:hAnsi="David"/>
          <w:rtl/>
        </w:rPr>
      </w:pPr>
      <w:r>
        <w:rPr>
          <w:rFonts w:ascii="David" w:hAnsi="David"/>
          <w:rtl/>
        </w:rPr>
        <w:t>1.</w:t>
      </w:r>
      <w:r>
        <w:rPr>
          <w:rFonts w:ascii="David" w:hAnsi="David"/>
          <w:rtl/>
        </w:rPr>
        <w:tab/>
      </w:r>
      <w:bookmarkStart w:id="5" w:name="ABSTRACT_START"/>
      <w:bookmarkEnd w:id="5"/>
      <w:r>
        <w:rPr>
          <w:rFonts w:ascii="David" w:hAnsi="David"/>
          <w:rtl/>
        </w:rPr>
        <w:t xml:space="preserve">הנאשם הודה בעובדות כתב האישום המתוקן, במסגרת הסדר טיעון שלא כלל הסכמה לעניין העונש, והורשע על-פי הודאתו בביצוע עבירה של נשיאת והובלת נשק לפי </w:t>
      </w:r>
      <w:hyperlink r:id="rId12" w:history="1">
        <w:r w:rsidR="009505F1" w:rsidRPr="009505F1">
          <w:rPr>
            <w:rStyle w:val="Hyperlink"/>
            <w:rFonts w:ascii="David" w:hAnsi="David"/>
            <w:rtl/>
          </w:rPr>
          <w:t>סעיף 144(ב)</w:t>
        </w:r>
      </w:hyperlink>
      <w:r>
        <w:rPr>
          <w:rFonts w:ascii="David" w:hAnsi="David"/>
          <w:rtl/>
        </w:rPr>
        <w:t xml:space="preserve"> רישא ל</w:t>
      </w:r>
      <w:hyperlink r:id="rId13" w:history="1">
        <w:r w:rsidR="00E60682" w:rsidRPr="00E60682">
          <w:rPr>
            <w:rFonts w:ascii="David" w:hAnsi="David"/>
            <w:color w:val="0000FF"/>
            <w:u w:val="single"/>
            <w:rtl/>
          </w:rPr>
          <w:t>חוק העונשין</w:t>
        </w:r>
      </w:hyperlink>
      <w:r>
        <w:rPr>
          <w:rFonts w:ascii="David" w:hAnsi="David"/>
          <w:rtl/>
        </w:rPr>
        <w:t>, התשל"ז-1977 (להלן: "</w:t>
      </w:r>
      <w:r>
        <w:rPr>
          <w:rFonts w:ascii="David" w:hAnsi="David"/>
          <w:b/>
          <w:bCs/>
          <w:rtl/>
        </w:rPr>
        <w:t>חוק העונשין</w:t>
      </w:r>
      <w:r>
        <w:rPr>
          <w:rFonts w:ascii="David" w:hAnsi="David"/>
          <w:rtl/>
        </w:rPr>
        <w:t>").</w:t>
      </w:r>
    </w:p>
    <w:p w14:paraId="44B6D22C" w14:textId="77777777" w:rsidR="00184D00" w:rsidRDefault="00184D00" w:rsidP="00184D00">
      <w:pPr>
        <w:spacing w:line="360" w:lineRule="auto"/>
        <w:ind w:left="720" w:hanging="720"/>
        <w:jc w:val="both"/>
        <w:rPr>
          <w:rFonts w:ascii="David" w:hAnsi="David"/>
          <w:rtl/>
        </w:rPr>
      </w:pPr>
      <w:bookmarkStart w:id="6" w:name="ABSTRACT_END"/>
      <w:bookmarkEnd w:id="6"/>
    </w:p>
    <w:p w14:paraId="34A9B887" w14:textId="77777777" w:rsidR="00184D00" w:rsidRDefault="00184D00" w:rsidP="00184D00">
      <w:pPr>
        <w:spacing w:line="360" w:lineRule="auto"/>
        <w:ind w:left="720" w:hanging="720"/>
        <w:jc w:val="both"/>
        <w:rPr>
          <w:rFonts w:ascii="David" w:hAnsi="David"/>
          <w:rtl/>
        </w:rPr>
      </w:pPr>
      <w:r>
        <w:rPr>
          <w:rFonts w:ascii="David" w:hAnsi="David"/>
          <w:rtl/>
        </w:rPr>
        <w:t>2.</w:t>
      </w:r>
      <w:r>
        <w:rPr>
          <w:rFonts w:ascii="David" w:hAnsi="David"/>
          <w:rtl/>
        </w:rPr>
        <w:tab/>
        <w:t xml:space="preserve">על-פי עובדות כתב האישום המתוקן, בתאריך 14.10.2020 בשעה 16:00 או בסמוך לכך, שהה הנאשם בביתם של איברהים ופירוז אגבריה, דודיו של הנאשם המתגוררים בסאלם </w:t>
      </w:r>
      <w:r>
        <w:rPr>
          <w:rFonts w:ascii="David" w:hAnsi="David"/>
          <w:rtl/>
        </w:rPr>
        <w:lastRenderedPageBreak/>
        <w:t>(להלן: "</w:t>
      </w:r>
      <w:r>
        <w:rPr>
          <w:rFonts w:ascii="David" w:hAnsi="David"/>
          <w:b/>
          <w:bCs/>
          <w:rtl/>
        </w:rPr>
        <w:t>הבית</w:t>
      </w:r>
      <w:r>
        <w:rPr>
          <w:rFonts w:ascii="David" w:hAnsi="David"/>
          <w:rtl/>
        </w:rPr>
        <w:t>"), או בסמוך אליו.</w:t>
      </w:r>
      <w:r>
        <w:rPr>
          <w:rFonts w:ascii="David" w:hAnsi="David" w:hint="cs"/>
          <w:rtl/>
        </w:rPr>
        <w:t xml:space="preserve"> </w:t>
      </w:r>
      <w:r>
        <w:rPr>
          <w:rFonts w:ascii="David" w:hAnsi="David"/>
          <w:rtl/>
        </w:rPr>
        <w:t xml:space="preserve">במועד זה, הנאשם החזיק ונשא על גופו אקדח חצי אוטומטי </w:t>
      </w:r>
      <w:r>
        <w:rPr>
          <w:rFonts w:ascii="David" w:hAnsi="David"/>
        </w:rPr>
        <w:t>FN</w:t>
      </w:r>
      <w:r>
        <w:rPr>
          <w:rFonts w:ascii="David" w:hAnsi="David"/>
          <w:rtl/>
        </w:rPr>
        <w:t>, קליבר 9 מ"מ פאראבלום, הנושא מספר סידורי 07132878, שסוגל לירות כדור ובכוחו להמית אדם (להלן: "</w:t>
      </w:r>
      <w:r>
        <w:rPr>
          <w:rFonts w:ascii="David" w:hAnsi="David"/>
          <w:b/>
          <w:bCs/>
          <w:rtl/>
        </w:rPr>
        <w:t>הנשק</w:t>
      </w:r>
      <w:r>
        <w:rPr>
          <w:rFonts w:ascii="David" w:hAnsi="David"/>
          <w:rtl/>
        </w:rPr>
        <w:t>"), כשהוא טעון במחסנית מתאימה המהווה אביזר לנשק ובתכונה 9 כדורים בקוטר 9 מ"מ, כל זאת בלא רשות על-פי דין.</w:t>
      </w:r>
    </w:p>
    <w:p w14:paraId="6E18E503" w14:textId="77777777" w:rsidR="00184D00" w:rsidRDefault="00184D00" w:rsidP="00184D00">
      <w:pPr>
        <w:spacing w:line="360" w:lineRule="auto"/>
        <w:ind w:left="720" w:hanging="720"/>
        <w:jc w:val="both"/>
        <w:rPr>
          <w:rFonts w:ascii="David" w:hAnsi="David"/>
          <w:rtl/>
        </w:rPr>
      </w:pPr>
    </w:p>
    <w:p w14:paraId="4C16995A" w14:textId="77777777" w:rsidR="00184D00" w:rsidRDefault="00184D00" w:rsidP="00184D00">
      <w:pPr>
        <w:spacing w:line="360" w:lineRule="auto"/>
        <w:ind w:left="720" w:hanging="720"/>
        <w:jc w:val="both"/>
        <w:rPr>
          <w:rFonts w:ascii="David" w:hAnsi="David"/>
          <w:rtl/>
        </w:rPr>
      </w:pPr>
      <w:r>
        <w:rPr>
          <w:rFonts w:ascii="David" w:hAnsi="David"/>
          <w:rtl/>
        </w:rPr>
        <w:tab/>
        <w:t xml:space="preserve">הנאשם נשא את הנשק הטעון סמוך לבית, כשהוא אוחז אותו בידו עד אשר הגיע סמוך לפלטה גדולה המונחת על הקרקע מאחורי הבית והניח את האקדח שם. </w:t>
      </w:r>
    </w:p>
    <w:p w14:paraId="1A05F5E1" w14:textId="77777777" w:rsidR="00184D00" w:rsidRDefault="00184D00" w:rsidP="00184D00">
      <w:pPr>
        <w:spacing w:line="360" w:lineRule="auto"/>
        <w:jc w:val="both"/>
        <w:rPr>
          <w:rFonts w:ascii="David" w:hAnsi="David"/>
          <w:rtl/>
        </w:rPr>
      </w:pPr>
    </w:p>
    <w:p w14:paraId="71B66697" w14:textId="77777777" w:rsidR="00184D00" w:rsidRDefault="00184D00" w:rsidP="00184D00">
      <w:pPr>
        <w:spacing w:line="360" w:lineRule="auto"/>
        <w:ind w:left="720" w:hanging="720"/>
        <w:jc w:val="both"/>
        <w:rPr>
          <w:rFonts w:ascii="David" w:hAnsi="David"/>
          <w:rtl/>
        </w:rPr>
      </w:pPr>
      <w:r>
        <w:rPr>
          <w:rFonts w:ascii="David" w:hAnsi="David"/>
          <w:b/>
          <w:bCs/>
          <w:u w:val="single"/>
          <w:rtl/>
        </w:rPr>
        <w:t>ראיות הצדדים לעונש</w:t>
      </w:r>
      <w:r>
        <w:rPr>
          <w:rFonts w:ascii="David" w:hAnsi="David"/>
          <w:rtl/>
        </w:rPr>
        <w:t>:</w:t>
      </w:r>
    </w:p>
    <w:p w14:paraId="7D8AB559" w14:textId="77777777" w:rsidR="00184D00" w:rsidRDefault="00184D00" w:rsidP="00184D00">
      <w:pPr>
        <w:spacing w:line="360" w:lineRule="auto"/>
        <w:jc w:val="both"/>
        <w:rPr>
          <w:rFonts w:ascii="David" w:hAnsi="David"/>
          <w:rtl/>
        </w:rPr>
      </w:pPr>
    </w:p>
    <w:p w14:paraId="4D5C1955" w14:textId="77777777" w:rsidR="00184D00" w:rsidRDefault="00184D00" w:rsidP="00184D00">
      <w:pPr>
        <w:spacing w:line="360" w:lineRule="auto"/>
        <w:ind w:left="720" w:hanging="720"/>
        <w:jc w:val="both"/>
        <w:rPr>
          <w:rFonts w:ascii="David" w:hAnsi="David"/>
          <w:rtl/>
        </w:rPr>
      </w:pPr>
      <w:r>
        <w:rPr>
          <w:rFonts w:ascii="David" w:hAnsi="David"/>
          <w:rtl/>
        </w:rPr>
        <w:t>3.</w:t>
      </w:r>
      <w:r>
        <w:rPr>
          <w:rFonts w:ascii="David" w:hAnsi="David"/>
          <w:rtl/>
        </w:rPr>
        <w:tab/>
        <w:t xml:space="preserve">ב"כ הנאשם הגיש מסמכים רפואיים בעניינה של אשתו של הנאשם, אביו ואמו; מטעם המאשימה לא הוגשו ראיות. </w:t>
      </w:r>
    </w:p>
    <w:p w14:paraId="6144B169" w14:textId="77777777" w:rsidR="00184D00" w:rsidRDefault="00184D00" w:rsidP="00184D00">
      <w:pPr>
        <w:spacing w:line="360" w:lineRule="auto"/>
        <w:jc w:val="both"/>
        <w:rPr>
          <w:rFonts w:ascii="David" w:hAnsi="David"/>
          <w:rtl/>
        </w:rPr>
      </w:pPr>
    </w:p>
    <w:p w14:paraId="2356F9B0" w14:textId="77777777" w:rsidR="00184D00" w:rsidRDefault="00184D00" w:rsidP="00184D00">
      <w:pPr>
        <w:spacing w:line="360" w:lineRule="auto"/>
        <w:jc w:val="both"/>
        <w:rPr>
          <w:rFonts w:ascii="David" w:hAnsi="David"/>
          <w:rtl/>
        </w:rPr>
      </w:pPr>
    </w:p>
    <w:p w14:paraId="5AB5A808" w14:textId="77777777" w:rsidR="00184D00" w:rsidRDefault="00184D00" w:rsidP="00184D00">
      <w:pPr>
        <w:spacing w:line="360" w:lineRule="auto"/>
        <w:ind w:left="720" w:hanging="720"/>
        <w:jc w:val="both"/>
        <w:rPr>
          <w:rFonts w:ascii="David" w:hAnsi="David"/>
          <w:rtl/>
        </w:rPr>
      </w:pPr>
      <w:r>
        <w:rPr>
          <w:rFonts w:ascii="David" w:hAnsi="David"/>
          <w:b/>
          <w:bCs/>
          <w:u w:val="single"/>
          <w:rtl/>
        </w:rPr>
        <w:t>תסקיר שירות המבחן</w:t>
      </w:r>
      <w:r>
        <w:rPr>
          <w:rFonts w:ascii="David" w:hAnsi="David"/>
          <w:rtl/>
        </w:rPr>
        <w:t>:</w:t>
      </w:r>
    </w:p>
    <w:p w14:paraId="05FC259C" w14:textId="77777777" w:rsidR="00184D00" w:rsidRDefault="00184D00" w:rsidP="00184D00">
      <w:pPr>
        <w:spacing w:line="360" w:lineRule="auto"/>
        <w:jc w:val="both"/>
        <w:rPr>
          <w:rFonts w:ascii="David" w:hAnsi="David"/>
          <w:rtl/>
        </w:rPr>
      </w:pPr>
    </w:p>
    <w:p w14:paraId="353B77F6" w14:textId="77777777" w:rsidR="00184D00" w:rsidRDefault="00184D00" w:rsidP="00184D00">
      <w:pPr>
        <w:spacing w:line="360" w:lineRule="auto"/>
        <w:ind w:left="720" w:hanging="720"/>
        <w:jc w:val="both"/>
        <w:rPr>
          <w:rFonts w:ascii="David" w:hAnsi="David"/>
          <w:rtl/>
        </w:rPr>
      </w:pPr>
      <w:r>
        <w:rPr>
          <w:rFonts w:ascii="David" w:hAnsi="David"/>
          <w:rtl/>
        </w:rPr>
        <w:t>4.</w:t>
      </w:r>
      <w:r>
        <w:rPr>
          <w:rFonts w:ascii="David" w:hAnsi="David"/>
          <w:rtl/>
        </w:rPr>
        <w:tab/>
        <w:t>שירות המבחן נמנע מהמלצה טיפולית בעניינו של הנאשם</w:t>
      </w:r>
      <w:r>
        <w:rPr>
          <w:rFonts w:ascii="David" w:hAnsi="David" w:hint="cs"/>
          <w:rtl/>
        </w:rPr>
        <w:t>,</w:t>
      </w:r>
      <w:r>
        <w:rPr>
          <w:rFonts w:ascii="David" w:hAnsi="David"/>
          <w:rtl/>
        </w:rPr>
        <w:t xml:space="preserve"> וזאת לאור התייחסותו המורכבת לנסיבות ביצוע העבירה והקושי להתבונן בקשייו הרגשיים, כאשר להערכת קצינת המבחן ענישה קונקרטית מרתיעה ומציבת גבולות, ייתכן שיש בה כדי לצמצם ולהפחית את הסיכון להישנות מעורבות בפלילים בעתיד. </w:t>
      </w:r>
    </w:p>
    <w:p w14:paraId="4575EB3D" w14:textId="77777777" w:rsidR="00184D00" w:rsidRDefault="00184D00" w:rsidP="00184D00">
      <w:pPr>
        <w:spacing w:line="360" w:lineRule="auto"/>
        <w:ind w:left="720" w:hanging="720"/>
        <w:jc w:val="both"/>
        <w:rPr>
          <w:rFonts w:ascii="David" w:hAnsi="David"/>
          <w:rtl/>
        </w:rPr>
      </w:pPr>
    </w:p>
    <w:p w14:paraId="57CE58F4" w14:textId="77777777" w:rsidR="00184D00" w:rsidRDefault="00184D00" w:rsidP="00184D00">
      <w:pPr>
        <w:spacing w:line="360" w:lineRule="auto"/>
        <w:ind w:left="720" w:hanging="720"/>
        <w:jc w:val="both"/>
        <w:rPr>
          <w:rFonts w:ascii="David" w:hAnsi="David"/>
          <w:rtl/>
        </w:rPr>
      </w:pPr>
      <w:r>
        <w:rPr>
          <w:rFonts w:ascii="David" w:hAnsi="David"/>
          <w:rtl/>
        </w:rPr>
        <w:t>5.</w:t>
      </w:r>
      <w:r>
        <w:rPr>
          <w:rFonts w:ascii="David" w:hAnsi="David"/>
          <w:rtl/>
        </w:rPr>
        <w:tab/>
        <w:t>קצינת המבחן התייחסה בהרחבה לנסיבות חי</w:t>
      </w:r>
      <w:r>
        <w:rPr>
          <w:rFonts w:ascii="David" w:hAnsi="David" w:hint="cs"/>
          <w:rtl/>
        </w:rPr>
        <w:t xml:space="preserve">י </w:t>
      </w:r>
      <w:r>
        <w:rPr>
          <w:rFonts w:ascii="David" w:hAnsi="David"/>
          <w:rtl/>
        </w:rPr>
        <w:t>הנאשם</w:t>
      </w:r>
      <w:r>
        <w:rPr>
          <w:rFonts w:ascii="David" w:hAnsi="David" w:hint="cs"/>
          <w:rtl/>
        </w:rPr>
        <w:t>-</w:t>
      </w:r>
      <w:r>
        <w:rPr>
          <w:rFonts w:ascii="David" w:hAnsi="David"/>
          <w:rtl/>
        </w:rPr>
        <w:t xml:space="preserve"> צעיר בן 25 שגדל והתחנך בבית הוריו בסאלם, בן למשפחה המונה 6 ילדים, </w:t>
      </w:r>
      <w:r>
        <w:rPr>
          <w:rFonts w:ascii="David" w:hAnsi="David" w:hint="cs"/>
          <w:rtl/>
        </w:rPr>
        <w:t>ועמד על נסיבות רפואיות של בני משפחה</w:t>
      </w:r>
      <w:r>
        <w:rPr>
          <w:rFonts w:ascii="David" w:hAnsi="David"/>
          <w:rtl/>
        </w:rPr>
        <w:t>. הנאשם התחתן לפני כשנתיים, אב לילדה ואשתו בהיריון שני מתקדם.</w:t>
      </w:r>
    </w:p>
    <w:p w14:paraId="223761A8" w14:textId="77777777" w:rsidR="00184D00" w:rsidRDefault="00184D00" w:rsidP="00184D00">
      <w:pPr>
        <w:spacing w:line="360" w:lineRule="auto"/>
        <w:ind w:left="720" w:hanging="720"/>
        <w:jc w:val="both"/>
        <w:rPr>
          <w:rFonts w:ascii="David" w:hAnsi="David"/>
          <w:rtl/>
        </w:rPr>
      </w:pPr>
    </w:p>
    <w:p w14:paraId="41AA3BC7" w14:textId="77777777" w:rsidR="00184D00" w:rsidRDefault="00184D00" w:rsidP="00184D00">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hint="cs"/>
          <w:rtl/>
        </w:rPr>
        <w:t xml:space="preserve">עפ"י שירות המבחן, </w:t>
      </w:r>
      <w:r>
        <w:rPr>
          <w:rFonts w:ascii="David" w:hAnsi="David"/>
          <w:rtl/>
        </w:rPr>
        <w:t>הנאשם לקח אחריות חלקית ופורמאלית לביצוע העבירה, מזער וצמצם את חומרת מעשיו ואת הסיכון שנשקף מהם. הנאשם טען</w:t>
      </w:r>
      <w:r>
        <w:rPr>
          <w:rFonts w:ascii="David" w:hAnsi="David" w:hint="cs"/>
          <w:rtl/>
        </w:rPr>
        <w:t>,</w:t>
      </w:r>
      <w:r>
        <w:rPr>
          <w:rFonts w:ascii="David" w:hAnsi="David"/>
          <w:rtl/>
        </w:rPr>
        <w:t xml:space="preserve"> כי מצא את האקדח מונח מאחורי הבית של דודיו, ומתוך סקרנות הרים אותו ובהמשך החזיר אותו. הנאשם הכחיש כי נשא את הנשק על גופו. להתרשמות קצינת המבחן הנאשם מביע צער על מעורבותו בפלילים והוא נרתע מההליך הפלילי המתנהל נגדו, עם זאת ניכר כי הנאשם לא חשף בפני קצינת המבחן את המניעים שעמדו בבסיס העבירה וקשריו השוליים, שכן הציג עמדה הגנתית תוך צמצום רגשי וקושי להתבונן בדפוסי חשיבתו והתנהגותו שבאו לידי ביטוי בעת ביצוע העבירה.</w:t>
      </w:r>
    </w:p>
    <w:p w14:paraId="3AC421A7" w14:textId="77777777" w:rsidR="00184D00" w:rsidRDefault="00184D00" w:rsidP="00184D00">
      <w:pPr>
        <w:spacing w:line="360" w:lineRule="auto"/>
        <w:ind w:left="720" w:hanging="720"/>
        <w:jc w:val="both"/>
        <w:rPr>
          <w:rFonts w:ascii="David" w:hAnsi="David"/>
          <w:rtl/>
        </w:rPr>
      </w:pPr>
    </w:p>
    <w:p w14:paraId="114BCDC6" w14:textId="77777777" w:rsidR="00184D00" w:rsidRDefault="00184D00" w:rsidP="00184D00">
      <w:pPr>
        <w:spacing w:line="360" w:lineRule="auto"/>
        <w:ind w:left="720" w:hanging="720"/>
        <w:jc w:val="both"/>
        <w:rPr>
          <w:rFonts w:ascii="David" w:hAnsi="David"/>
          <w:rtl/>
        </w:rPr>
      </w:pPr>
      <w:r>
        <w:rPr>
          <w:rFonts w:ascii="David" w:hAnsi="David"/>
          <w:rtl/>
        </w:rPr>
        <w:lastRenderedPageBreak/>
        <w:t>7.</w:t>
      </w:r>
      <w:r>
        <w:rPr>
          <w:rFonts w:ascii="David" w:hAnsi="David"/>
          <w:rtl/>
        </w:rPr>
        <w:tab/>
        <w:t xml:space="preserve">במסגרת הערכת הסיכון לעבריינות והסיכוי לשיקום, התקשתה קצינת המבחן </w:t>
      </w:r>
      <w:r>
        <w:rPr>
          <w:rFonts w:ascii="David" w:hAnsi="David" w:hint="cs"/>
          <w:rtl/>
        </w:rPr>
        <w:t>להעריך סיכון</w:t>
      </w:r>
      <w:r>
        <w:rPr>
          <w:rFonts w:ascii="David" w:hAnsi="David"/>
          <w:rtl/>
        </w:rPr>
        <w:t xml:space="preserve"> להישנות עבירות מהסוג הנדון בעתיד, והעריכה כי לא ניתן לשלול סיכון מסוג זה בעתיד וזאת בשל דפוסי ההסתרה של הנאשם, הקושי לתת אמון בסביבה ובגורמי סמכות, הבאים לידי ביטוי בצמצום אחריותו, צמצום רגשי והתייחסות מצמצמת ומגמתית באשר לנסיבות ביצוע העבירה.</w:t>
      </w:r>
      <w:r>
        <w:rPr>
          <w:rFonts w:ascii="David" w:hAnsi="David" w:hint="cs"/>
          <w:rtl/>
        </w:rPr>
        <w:t xml:space="preserve"> </w:t>
      </w:r>
      <w:r>
        <w:rPr>
          <w:rFonts w:ascii="David" w:hAnsi="David"/>
          <w:rtl/>
        </w:rPr>
        <w:t xml:space="preserve">קצינת המבחן התרשמה כי בשל כל אלה, כמו גם הקושי בהפעלת שיקול דעת, העדר גבולות פנימיים ברורים ומחזקים ואופי העבירה שביצע, יתכן כי הנאשם פעל בהתאם לנורמות התנהגות עברייניות והם אלו שעמדו בבסיס ביצוע העבירה. </w:t>
      </w:r>
    </w:p>
    <w:p w14:paraId="2421F10F" w14:textId="77777777" w:rsidR="00184D00" w:rsidRDefault="00184D00" w:rsidP="00184D00">
      <w:pPr>
        <w:spacing w:line="360" w:lineRule="auto"/>
        <w:ind w:left="720" w:hanging="720"/>
        <w:jc w:val="both"/>
        <w:rPr>
          <w:rFonts w:ascii="David" w:hAnsi="David"/>
          <w:rtl/>
        </w:rPr>
      </w:pPr>
    </w:p>
    <w:p w14:paraId="452994E8" w14:textId="77777777" w:rsidR="00184D00" w:rsidRDefault="00184D00" w:rsidP="00184D00">
      <w:pPr>
        <w:spacing w:line="360" w:lineRule="auto"/>
        <w:ind w:left="720" w:hanging="720"/>
        <w:jc w:val="both"/>
        <w:rPr>
          <w:rFonts w:ascii="David" w:hAnsi="David"/>
          <w:rtl/>
        </w:rPr>
      </w:pPr>
      <w:r>
        <w:rPr>
          <w:rFonts w:ascii="David" w:hAnsi="David"/>
          <w:rtl/>
        </w:rPr>
        <w:t>8.</w:t>
      </w:r>
      <w:r>
        <w:rPr>
          <w:rFonts w:ascii="David" w:hAnsi="David"/>
          <w:rtl/>
        </w:rPr>
        <w:tab/>
        <w:t xml:space="preserve">קצינת המבחן ציינה כי לנאשם כוחות חיוביים מסוימים אשר סייעו לו לשמור על מסגרת תעסוקתית יציבה מגיל צעיר, תוך דאגה לפרנסת המשפחה, וניכר כי הנאשם נרתע מההליך הפלילי המשמש עבורו כגבול חיצוני ברור ולכן לא היו הפרות מצידו בכל תקופת המעצר. הנאשם הביע נכונות מילולית להשתלב בטיפול קבוצתי המיועד לעוברי חוק בתחם עבירות הנשק, אולם התייחסותו היתה שטחית תוך שהוא התקשה לקחת אחריות על מעשיו כבסיס להשתלבות בטיפול, להצביע על דפוסים מכשילים כלשהם בהתנהלותו ולהתבונן רגשית בקשיים שהובילו אותו לביצוע העבירה. בנסיבות העניין העריכה קצינת המבחן כי הנאשם אינו בשל לטיפול בשלב זה והוא מונע בעיקר על-ידי מוטיבציה חיצונית בשל אימת הדין. </w:t>
      </w:r>
    </w:p>
    <w:p w14:paraId="6742548E" w14:textId="77777777" w:rsidR="00184D00" w:rsidRDefault="00184D00" w:rsidP="00184D00">
      <w:pPr>
        <w:spacing w:line="360" w:lineRule="auto"/>
        <w:ind w:left="720" w:hanging="720"/>
        <w:jc w:val="both"/>
        <w:rPr>
          <w:rFonts w:ascii="David" w:hAnsi="David"/>
          <w:rtl/>
        </w:rPr>
      </w:pPr>
    </w:p>
    <w:p w14:paraId="76B2C857" w14:textId="77777777" w:rsidR="00184D00" w:rsidRDefault="00184D00" w:rsidP="00184D00">
      <w:pPr>
        <w:spacing w:line="360" w:lineRule="auto"/>
        <w:ind w:left="720" w:hanging="720"/>
        <w:jc w:val="both"/>
        <w:rPr>
          <w:rFonts w:ascii="David" w:hAnsi="David"/>
          <w:rtl/>
        </w:rPr>
      </w:pPr>
      <w:r>
        <w:rPr>
          <w:rFonts w:ascii="David" w:hAnsi="David"/>
          <w:rtl/>
        </w:rPr>
        <w:t>9.</w:t>
      </w:r>
      <w:r>
        <w:rPr>
          <w:rFonts w:ascii="David" w:hAnsi="David"/>
          <w:rtl/>
        </w:rPr>
        <w:tab/>
        <w:t xml:space="preserve">לאור האמור בתסקיר שירות המבחן לגבי נסיבות ביצוע העבירה וטענת הנאשם כי לא נשא את הנשק על גופו, בדיון שהתקיים בפניי ביום 15.07.2020, לפני שמיעת טיעוני הצדדים לעונש, </w:t>
      </w:r>
      <w:r>
        <w:rPr>
          <w:rFonts w:ascii="David" w:hAnsi="David" w:hint="cs"/>
          <w:rtl/>
        </w:rPr>
        <w:t xml:space="preserve">נדרש </w:t>
      </w:r>
      <w:r>
        <w:rPr>
          <w:rFonts w:ascii="David" w:hAnsi="David"/>
          <w:rtl/>
        </w:rPr>
        <w:t>הנאשם להבהיר עמדתו באשר לנטילת האחריות מצ</w:t>
      </w:r>
      <w:r>
        <w:rPr>
          <w:rFonts w:ascii="David" w:hAnsi="David" w:hint="cs"/>
          <w:rtl/>
        </w:rPr>
        <w:t>י</w:t>
      </w:r>
      <w:r>
        <w:rPr>
          <w:rFonts w:ascii="David" w:hAnsi="David"/>
          <w:rtl/>
        </w:rPr>
        <w:t xml:space="preserve">דו למיוחס לו בכתב האישום. עובדות כתב האישום המתוקן הוקראו לנאשם </w:t>
      </w:r>
      <w:r>
        <w:rPr>
          <w:rFonts w:ascii="David" w:hAnsi="David" w:hint="cs"/>
          <w:rtl/>
        </w:rPr>
        <w:t xml:space="preserve">בשנית </w:t>
      </w:r>
      <w:r>
        <w:rPr>
          <w:rFonts w:ascii="David" w:hAnsi="David"/>
          <w:rtl/>
        </w:rPr>
        <w:t>(ואף תורגמו לו על-ידי בית המשפט), והוא הבהיר כי הוא עומד על הודאתו. לפיכך, שמעתי את טיעוני הצדדים לעונש.</w:t>
      </w:r>
    </w:p>
    <w:p w14:paraId="43BC9C01" w14:textId="77777777" w:rsidR="00184D00" w:rsidRDefault="00184D00" w:rsidP="00184D00">
      <w:pPr>
        <w:spacing w:line="360" w:lineRule="auto"/>
        <w:jc w:val="both"/>
        <w:rPr>
          <w:rFonts w:ascii="David" w:hAnsi="David"/>
          <w:rtl/>
        </w:rPr>
      </w:pPr>
    </w:p>
    <w:p w14:paraId="35B9A981" w14:textId="77777777" w:rsidR="00184D00" w:rsidRDefault="00184D00" w:rsidP="00184D00">
      <w:pPr>
        <w:spacing w:line="360" w:lineRule="auto"/>
        <w:ind w:left="720" w:hanging="720"/>
        <w:jc w:val="both"/>
        <w:rPr>
          <w:rFonts w:ascii="David" w:hAnsi="David"/>
          <w:b/>
          <w:bCs/>
          <w:rtl/>
        </w:rPr>
      </w:pPr>
      <w:r>
        <w:rPr>
          <w:rFonts w:ascii="David" w:hAnsi="David"/>
          <w:b/>
          <w:bCs/>
          <w:u w:val="single"/>
          <w:rtl/>
        </w:rPr>
        <w:t>תמצית טענות הצדדים</w:t>
      </w:r>
      <w:r>
        <w:rPr>
          <w:rFonts w:ascii="David" w:hAnsi="David"/>
          <w:b/>
          <w:bCs/>
          <w:rtl/>
        </w:rPr>
        <w:t>:</w:t>
      </w:r>
    </w:p>
    <w:p w14:paraId="2EA89D38" w14:textId="77777777" w:rsidR="00184D00" w:rsidRDefault="00184D00" w:rsidP="00184D00">
      <w:pPr>
        <w:spacing w:line="360" w:lineRule="auto"/>
        <w:ind w:left="720" w:hanging="720"/>
        <w:jc w:val="both"/>
        <w:rPr>
          <w:rFonts w:ascii="David" w:hAnsi="David"/>
          <w:rtl/>
        </w:rPr>
      </w:pPr>
    </w:p>
    <w:p w14:paraId="15A441A4" w14:textId="77777777" w:rsidR="00184D00" w:rsidRDefault="00184D00" w:rsidP="00184D00">
      <w:pPr>
        <w:spacing w:line="360" w:lineRule="auto"/>
        <w:ind w:left="720" w:hanging="720"/>
        <w:jc w:val="both"/>
        <w:rPr>
          <w:rFonts w:ascii="David" w:hAnsi="David"/>
        </w:rPr>
      </w:pPr>
      <w:r>
        <w:rPr>
          <w:rFonts w:ascii="David" w:hAnsi="David"/>
          <w:rtl/>
        </w:rPr>
        <w:t>10.</w:t>
      </w:r>
      <w:r>
        <w:rPr>
          <w:rFonts w:ascii="David" w:hAnsi="David"/>
          <w:rtl/>
        </w:rPr>
        <w:tab/>
        <w:t>ב"כ המאשימה בטיעוניו לעונש בפניי</w:t>
      </w:r>
      <w:r>
        <w:rPr>
          <w:rFonts w:ascii="David" w:hAnsi="David" w:hint="cs"/>
          <w:rtl/>
        </w:rPr>
        <w:t>,</w:t>
      </w:r>
      <w:r>
        <w:rPr>
          <w:rFonts w:ascii="David" w:hAnsi="David"/>
          <w:rtl/>
        </w:rPr>
        <w:t xml:space="preserve"> טען למתחם ענישה הולם אשר נע בין שנה וחצי עד 4 שנות מאסר וביקש להשית על הנאשם עונש במחצית התחתונה של המתחם, תוך שהפנה לפסיקה בעניין. נטען</w:t>
      </w:r>
      <w:r>
        <w:rPr>
          <w:rFonts w:ascii="David" w:hAnsi="David" w:hint="cs"/>
          <w:rtl/>
        </w:rPr>
        <w:t>,</w:t>
      </w:r>
      <w:r>
        <w:rPr>
          <w:rFonts w:ascii="David" w:hAnsi="David"/>
          <w:rtl/>
        </w:rPr>
        <w:t xml:space="preserve"> כי יש לתת את הדעת לפוטנציאל הנזק ההרסני, להרתעה ולהגנה על הערכים המוגנים.</w:t>
      </w:r>
    </w:p>
    <w:p w14:paraId="5976F151" w14:textId="77777777" w:rsidR="00184D00" w:rsidRDefault="00184D00" w:rsidP="00184D00">
      <w:pPr>
        <w:spacing w:line="360" w:lineRule="auto"/>
        <w:ind w:left="720" w:hanging="720"/>
        <w:jc w:val="both"/>
        <w:rPr>
          <w:rFonts w:ascii="David" w:hAnsi="David"/>
          <w:rtl/>
        </w:rPr>
      </w:pPr>
    </w:p>
    <w:p w14:paraId="431487DE" w14:textId="77777777" w:rsidR="00184D00" w:rsidRDefault="00184D00" w:rsidP="00184D00">
      <w:pPr>
        <w:spacing w:line="360" w:lineRule="auto"/>
        <w:ind w:left="720" w:hanging="720"/>
        <w:jc w:val="both"/>
        <w:rPr>
          <w:rFonts w:ascii="David" w:hAnsi="David"/>
          <w:rtl/>
        </w:rPr>
      </w:pPr>
      <w:r>
        <w:rPr>
          <w:rFonts w:ascii="David" w:hAnsi="David"/>
          <w:rtl/>
        </w:rPr>
        <w:t>11.</w:t>
      </w:r>
      <w:r>
        <w:rPr>
          <w:rFonts w:ascii="David" w:hAnsi="David"/>
          <w:rtl/>
        </w:rPr>
        <w:tab/>
        <w:t>מנגד, ב"כ הנאשם טען כי מתחם העונש ההולם בנסיבות העניין נע בין מאסר שירוצה בעבודות שירות עד 12 חודשי מאסר בפועל. נטען</w:t>
      </w:r>
      <w:r>
        <w:rPr>
          <w:rFonts w:ascii="David" w:hAnsi="David" w:hint="cs"/>
          <w:rtl/>
        </w:rPr>
        <w:t>,</w:t>
      </w:r>
      <w:r>
        <w:rPr>
          <w:rFonts w:ascii="David" w:hAnsi="David"/>
          <w:rtl/>
        </w:rPr>
        <w:t xml:space="preserve"> כי מדובר בנאשם צעיר יליד 1996, נעדר הרשעות קודמות, בן למשפחה נורמטיבית, הודה בעובדות כתב האישום המתוקן ולקח אחריות מלאה. בהתייחסו לנסיבות ביצוע העבירה נטען כי הנאשם נשא את הנשק לפרק זמן </w:t>
      </w:r>
      <w:r>
        <w:rPr>
          <w:rFonts w:ascii="David" w:hAnsi="David" w:hint="cs"/>
          <w:rtl/>
        </w:rPr>
        <w:t>"</w:t>
      </w:r>
      <w:r>
        <w:rPr>
          <w:rFonts w:ascii="David" w:hAnsi="David"/>
          <w:rtl/>
        </w:rPr>
        <w:t>ספציפי ורגעי</w:t>
      </w:r>
      <w:r>
        <w:rPr>
          <w:rFonts w:ascii="David" w:hAnsi="David" w:hint="cs"/>
          <w:rtl/>
        </w:rPr>
        <w:t>"</w:t>
      </w:r>
      <w:r>
        <w:rPr>
          <w:rFonts w:ascii="David" w:hAnsi="David"/>
          <w:rtl/>
        </w:rPr>
        <w:t xml:space="preserve">, והניח אותו מאחורי הבית, כאשר הנאשם לא ניסה להעלים או לזרוק את הנשק. </w:t>
      </w:r>
      <w:r>
        <w:rPr>
          <w:rFonts w:ascii="David" w:hAnsi="David" w:hint="cs"/>
          <w:rtl/>
        </w:rPr>
        <w:t xml:space="preserve"> </w:t>
      </w:r>
      <w:r>
        <w:rPr>
          <w:rFonts w:ascii="David" w:hAnsi="David"/>
          <w:rtl/>
        </w:rPr>
        <w:t xml:space="preserve">נטען כי הנאשם חסך זמן שיפוטי יקר ובהעדת עדים רבים. </w:t>
      </w:r>
    </w:p>
    <w:p w14:paraId="05AD2884" w14:textId="77777777" w:rsidR="00184D00" w:rsidRDefault="00184D00" w:rsidP="00184D00">
      <w:pPr>
        <w:spacing w:line="360" w:lineRule="auto"/>
        <w:ind w:left="720" w:hanging="720"/>
        <w:jc w:val="both"/>
        <w:rPr>
          <w:rFonts w:ascii="David" w:hAnsi="David"/>
          <w:rtl/>
        </w:rPr>
      </w:pPr>
    </w:p>
    <w:p w14:paraId="5EF813C3" w14:textId="77777777" w:rsidR="00184D00" w:rsidRDefault="00184D00" w:rsidP="00184D00">
      <w:pPr>
        <w:spacing w:line="360" w:lineRule="auto"/>
        <w:ind w:left="720" w:hanging="720"/>
        <w:jc w:val="both"/>
        <w:rPr>
          <w:rFonts w:ascii="David" w:hAnsi="David"/>
          <w:rtl/>
        </w:rPr>
      </w:pPr>
      <w:r>
        <w:rPr>
          <w:rFonts w:ascii="David" w:hAnsi="David"/>
          <w:rtl/>
        </w:rPr>
        <w:t>12.</w:t>
      </w:r>
      <w:r>
        <w:rPr>
          <w:rFonts w:ascii="David" w:hAnsi="David"/>
          <w:rtl/>
        </w:rPr>
        <w:tab/>
        <w:t>ב"כ הנאשם הפנה לאמור בתסקיר שירות המבחן ולמחירים האישיים ששילם הנאשם בהרחקתו ממקום מגוריו ומאשתו. נטען כי לא נרשמו ל</w:t>
      </w:r>
      <w:r>
        <w:rPr>
          <w:rFonts w:ascii="David" w:hAnsi="David" w:hint="cs"/>
          <w:rtl/>
        </w:rPr>
        <w:t>חובת ה</w:t>
      </w:r>
      <w:r>
        <w:rPr>
          <w:rFonts w:ascii="David" w:hAnsi="David"/>
          <w:rtl/>
        </w:rPr>
        <w:t xml:space="preserve">נאשם הפרות במשך תקופת מעצרו באיזוק אלקטרוני. </w:t>
      </w:r>
    </w:p>
    <w:p w14:paraId="6E1B0870" w14:textId="77777777" w:rsidR="00184D00" w:rsidRDefault="00184D00" w:rsidP="00184D00">
      <w:pPr>
        <w:spacing w:line="360" w:lineRule="auto"/>
        <w:ind w:left="720" w:hanging="720"/>
        <w:jc w:val="both"/>
        <w:rPr>
          <w:rFonts w:ascii="David" w:hAnsi="David"/>
          <w:rtl/>
        </w:rPr>
      </w:pPr>
    </w:p>
    <w:p w14:paraId="1E1FA068" w14:textId="77777777" w:rsidR="00184D00" w:rsidRDefault="00184D00" w:rsidP="00184D00">
      <w:pPr>
        <w:spacing w:line="360" w:lineRule="auto"/>
        <w:ind w:left="720" w:hanging="720"/>
        <w:jc w:val="both"/>
        <w:rPr>
          <w:rFonts w:ascii="David" w:hAnsi="David"/>
          <w:rtl/>
        </w:rPr>
      </w:pPr>
      <w:r>
        <w:rPr>
          <w:rFonts w:ascii="David" w:hAnsi="David"/>
          <w:rtl/>
        </w:rPr>
        <w:t>13.</w:t>
      </w:r>
      <w:r>
        <w:rPr>
          <w:rFonts w:ascii="David" w:hAnsi="David"/>
          <w:rtl/>
        </w:rPr>
        <w:tab/>
        <w:t xml:space="preserve">בדברי הנאשם לבית המשפט הביע צער וחרטה על ביצוע העבירה, טען כי הוא לוקח אחריות על מעשיו ומבקש לפתוח דף חדש. טען כי "עשיתי טעות חמורה ולא אחזור על מעשיי". </w:t>
      </w:r>
    </w:p>
    <w:p w14:paraId="3E598907" w14:textId="77777777" w:rsidR="00184D00" w:rsidRDefault="00184D00" w:rsidP="00184D00">
      <w:pPr>
        <w:spacing w:line="360" w:lineRule="auto"/>
        <w:ind w:left="720" w:hanging="720"/>
        <w:jc w:val="both"/>
        <w:rPr>
          <w:rFonts w:ascii="David" w:hAnsi="David"/>
          <w:rtl/>
        </w:rPr>
      </w:pPr>
    </w:p>
    <w:p w14:paraId="0BEAA3D1" w14:textId="77777777" w:rsidR="00184D00" w:rsidRDefault="00184D00" w:rsidP="00184D00">
      <w:pPr>
        <w:spacing w:line="360" w:lineRule="auto"/>
        <w:ind w:left="720" w:hanging="720"/>
        <w:jc w:val="both"/>
        <w:rPr>
          <w:rFonts w:ascii="David" w:hAnsi="David"/>
          <w:rtl/>
        </w:rPr>
      </w:pPr>
    </w:p>
    <w:p w14:paraId="439B4D56" w14:textId="77777777" w:rsidR="00184D00" w:rsidRDefault="00184D00" w:rsidP="00184D00">
      <w:pPr>
        <w:spacing w:line="360" w:lineRule="auto"/>
        <w:ind w:left="720" w:hanging="720"/>
        <w:jc w:val="both"/>
        <w:rPr>
          <w:rFonts w:ascii="David" w:hAnsi="David"/>
          <w:rtl/>
        </w:rPr>
      </w:pPr>
    </w:p>
    <w:p w14:paraId="37F2AFDD" w14:textId="77777777" w:rsidR="00184D00" w:rsidRDefault="00184D00" w:rsidP="00184D00">
      <w:pPr>
        <w:spacing w:line="360" w:lineRule="auto"/>
        <w:ind w:left="720" w:hanging="720"/>
        <w:jc w:val="both"/>
        <w:rPr>
          <w:rFonts w:ascii="David" w:hAnsi="David"/>
          <w:rtl/>
        </w:rPr>
      </w:pPr>
    </w:p>
    <w:p w14:paraId="74518008" w14:textId="77777777" w:rsidR="00184D00" w:rsidRDefault="00184D00" w:rsidP="00184D00">
      <w:pPr>
        <w:spacing w:line="360" w:lineRule="auto"/>
        <w:ind w:left="720" w:hanging="720"/>
        <w:jc w:val="both"/>
        <w:rPr>
          <w:rFonts w:ascii="David" w:hAnsi="David"/>
          <w:rtl/>
        </w:rPr>
      </w:pPr>
      <w:r>
        <w:rPr>
          <w:rFonts w:ascii="David" w:hAnsi="David"/>
          <w:b/>
          <w:bCs/>
          <w:u w:val="single"/>
          <w:rtl/>
        </w:rPr>
        <w:t>דיון והכרעה</w:t>
      </w:r>
      <w:r>
        <w:rPr>
          <w:rFonts w:ascii="David" w:hAnsi="David"/>
          <w:b/>
          <w:bCs/>
          <w:rtl/>
        </w:rPr>
        <w:t>:</w:t>
      </w:r>
    </w:p>
    <w:p w14:paraId="75A9AF6F" w14:textId="77777777" w:rsidR="00184D00" w:rsidRDefault="00184D00" w:rsidP="00184D00">
      <w:pPr>
        <w:spacing w:line="360" w:lineRule="auto"/>
        <w:ind w:left="720" w:hanging="720"/>
        <w:jc w:val="both"/>
        <w:rPr>
          <w:rFonts w:ascii="David" w:hAnsi="David"/>
          <w:rtl/>
        </w:rPr>
      </w:pPr>
    </w:p>
    <w:p w14:paraId="09BC3156" w14:textId="77777777" w:rsidR="00184D00" w:rsidRDefault="00184D00" w:rsidP="00184D00">
      <w:pPr>
        <w:spacing w:line="360" w:lineRule="auto"/>
        <w:ind w:left="720" w:hanging="720"/>
        <w:jc w:val="both"/>
        <w:rPr>
          <w:rFonts w:ascii="David" w:hAnsi="David"/>
          <w:rtl/>
        </w:rPr>
      </w:pPr>
      <w:r>
        <w:rPr>
          <w:rFonts w:ascii="David" w:hAnsi="David"/>
          <w:rtl/>
        </w:rPr>
        <w:t>14.</w:t>
      </w:r>
      <w:r>
        <w:rPr>
          <w:rFonts w:ascii="David" w:hAnsi="David"/>
          <w:rtl/>
        </w:rPr>
        <w:tab/>
        <w:t>כידוע, העיקרון המנחה בענישה בהתאם לתיקון 113 ל</w:t>
      </w:r>
      <w:hyperlink r:id="rId14" w:history="1">
        <w:r w:rsidR="00E60682" w:rsidRPr="00E60682">
          <w:rPr>
            <w:rFonts w:ascii="David" w:hAnsi="David"/>
            <w:color w:val="0000FF"/>
            <w:u w:val="single"/>
            <w:rtl/>
          </w:rPr>
          <w:t>חוק העונשין</w:t>
        </w:r>
      </w:hyperlink>
      <w:r>
        <w:rPr>
          <w:rFonts w:ascii="David" w:hAnsi="David"/>
          <w:rtl/>
        </w:rPr>
        <w:t xml:space="preserve"> הוא עקרון ההלימה, דהיינו, "</w:t>
      </w:r>
      <w:r>
        <w:rPr>
          <w:rFonts w:ascii="David" w:hAnsi="David"/>
          <w:b/>
          <w:bCs/>
          <w:rtl/>
        </w:rPr>
        <w:t>קיומו של יחס הולם בין חומרת מעשה העבירה בנסיבותיו ומידת אשמו של הנאשם ובין סוג ומידת העונש המוטל עליו</w:t>
      </w:r>
      <w:r>
        <w:rPr>
          <w:rFonts w:ascii="David" w:hAnsi="David"/>
          <w:rtl/>
        </w:rPr>
        <w:t>" (</w:t>
      </w:r>
      <w:hyperlink r:id="rId15" w:history="1">
        <w:r w:rsidR="009505F1" w:rsidRPr="009505F1">
          <w:rPr>
            <w:rStyle w:val="Hyperlink"/>
            <w:rFonts w:ascii="David" w:hAnsi="David"/>
            <w:rtl/>
          </w:rPr>
          <w:t>סעיף 40ב</w:t>
        </w:r>
      </w:hyperlink>
      <w:r>
        <w:rPr>
          <w:rFonts w:ascii="David" w:hAnsi="David"/>
          <w:rtl/>
        </w:rPr>
        <w:t xml:space="preserve"> לחוק העונשין). בהתאם לאמור, תיקון 113 מתווה שלושה שלבים לקביעת עונשו של נאשם: בשלב הראשון, יש לקבוע את מתחם העונש ההולם לכל עבירה ולאור נסיבות ביצועה. כאשר יצוין כי ככל והנאשם הורשע במספר עבירות על בית המשפט לבחון האם מדובר בעבירות המהוות אירוע אחד, או מספר אירועים ובהתאם לקבוע מתחם ענישה הולם לכל אירוע בנפרד; בשלב השני, יש לבחון אם יש מקום לחרוג מן המתחם עקב שיקולי שיקום, או שלום הציבור הנוגעים לנאשם; בשלב השלישי, אם נמצא שאין מקום לחרוג מהמתחם כאמור, יגזור בית המשפט את עונשו של הנאשם בתוך המתחם, תוך בחינת נסיבותיו האישיות שאינן קשורות לביצוע העבירה (</w:t>
      </w:r>
      <w:hyperlink r:id="rId16" w:history="1">
        <w:r w:rsidR="00E60682" w:rsidRPr="00E60682">
          <w:rPr>
            <w:rFonts w:ascii="David" w:hAnsi="David"/>
            <w:color w:val="0000FF"/>
            <w:u w:val="single"/>
            <w:rtl/>
          </w:rPr>
          <w:t>ע"פ 5214/13</w:t>
        </w:r>
      </w:hyperlink>
      <w:r>
        <w:rPr>
          <w:rFonts w:ascii="David" w:hAnsi="David"/>
          <w:rtl/>
        </w:rPr>
        <w:t xml:space="preserve"> </w:t>
      </w:r>
      <w:r>
        <w:rPr>
          <w:rFonts w:ascii="David" w:hAnsi="David"/>
          <w:b/>
          <w:bCs/>
          <w:rtl/>
        </w:rPr>
        <w:t xml:space="preserve">סירחאן נ' מדינת ישראל </w:t>
      </w:r>
      <w:r>
        <w:rPr>
          <w:rFonts w:ascii="David" w:hAnsi="David"/>
          <w:rtl/>
        </w:rPr>
        <w:t xml:space="preserve">(30.12.2013)). </w:t>
      </w:r>
    </w:p>
    <w:p w14:paraId="13BD5509" w14:textId="77777777" w:rsidR="00184D00" w:rsidRDefault="00184D00" w:rsidP="00184D00">
      <w:pPr>
        <w:spacing w:line="360" w:lineRule="auto"/>
        <w:ind w:left="720" w:hanging="720"/>
        <w:jc w:val="both"/>
        <w:rPr>
          <w:rFonts w:ascii="David" w:hAnsi="David"/>
          <w:rtl/>
        </w:rPr>
      </w:pPr>
    </w:p>
    <w:p w14:paraId="6173F4DD" w14:textId="77777777" w:rsidR="00184D00" w:rsidRDefault="00184D00" w:rsidP="00184D00">
      <w:pPr>
        <w:spacing w:line="360" w:lineRule="auto"/>
        <w:ind w:left="720" w:hanging="720"/>
        <w:jc w:val="both"/>
        <w:rPr>
          <w:rFonts w:ascii="David" w:hAnsi="David"/>
          <w:rtl/>
        </w:rPr>
      </w:pPr>
      <w:r>
        <w:rPr>
          <w:rFonts w:ascii="David" w:hAnsi="David"/>
          <w:rtl/>
        </w:rPr>
        <w:t>15.</w:t>
      </w:r>
      <w:r>
        <w:rPr>
          <w:rFonts w:ascii="David" w:hAnsi="David"/>
          <w:rtl/>
        </w:rPr>
        <w:tab/>
      </w:r>
      <w:hyperlink r:id="rId17" w:history="1">
        <w:r w:rsidR="009505F1" w:rsidRPr="009505F1">
          <w:rPr>
            <w:rStyle w:val="Hyperlink"/>
            <w:rFonts w:ascii="David" w:hAnsi="David"/>
            <w:rtl/>
          </w:rPr>
          <w:t>סעיף 40ג</w:t>
        </w:r>
      </w:hyperlink>
      <w:r>
        <w:rPr>
          <w:rFonts w:ascii="David" w:hAnsi="David"/>
          <w:rtl/>
        </w:rPr>
        <w:t xml:space="preserve"> ל</w:t>
      </w:r>
      <w:hyperlink r:id="rId18" w:history="1">
        <w:r w:rsidR="00E60682" w:rsidRPr="00E60682">
          <w:rPr>
            <w:rFonts w:ascii="David" w:hAnsi="David"/>
            <w:color w:val="0000FF"/>
            <w:u w:val="single"/>
            <w:rtl/>
          </w:rPr>
          <w:t>חוק העונשין</w:t>
        </w:r>
      </w:hyperlink>
      <w:r>
        <w:rPr>
          <w:rFonts w:ascii="David" w:hAnsi="David"/>
          <w:rtl/>
        </w:rPr>
        <w:t xml:space="preserve"> קובע, כי בקביעת מתחם העונש ההולם למעשה העבירה, על בית המשפט להתחשב בערך החברתי שנפגע מביצוע העבירה, במידת הפגיעה בו, במדיניות הענישה הנהוגה ובנסיבות הקשורות בביצוע העבירה. </w:t>
      </w:r>
    </w:p>
    <w:p w14:paraId="38859DC6" w14:textId="77777777" w:rsidR="00184D00" w:rsidRDefault="00184D00" w:rsidP="00184D00">
      <w:pPr>
        <w:spacing w:line="360" w:lineRule="auto"/>
        <w:jc w:val="both"/>
        <w:rPr>
          <w:rFonts w:ascii="FrankRuehl" w:hAnsi="FrankRuehl" w:cs="FrankRuehl"/>
          <w:sz w:val="28"/>
          <w:szCs w:val="28"/>
          <w:rtl/>
        </w:rPr>
      </w:pPr>
    </w:p>
    <w:p w14:paraId="79028673" w14:textId="77777777" w:rsidR="00184D00" w:rsidRDefault="00184D00" w:rsidP="00184D00">
      <w:pPr>
        <w:spacing w:line="360" w:lineRule="auto"/>
        <w:ind w:left="720" w:hanging="720"/>
        <w:jc w:val="both"/>
        <w:rPr>
          <w:rFonts w:ascii="David" w:hAnsi="David"/>
          <w:rtl/>
        </w:rPr>
      </w:pPr>
      <w:r>
        <w:rPr>
          <w:rFonts w:ascii="David" w:hAnsi="David"/>
          <w:rtl/>
        </w:rPr>
        <w:t>16.</w:t>
      </w:r>
      <w:r>
        <w:rPr>
          <w:rFonts w:ascii="David" w:hAnsi="David"/>
          <w:rtl/>
        </w:rPr>
        <w:tab/>
      </w:r>
      <w:r>
        <w:rPr>
          <w:rFonts w:ascii="David" w:hAnsi="David"/>
          <w:b/>
          <w:bCs/>
          <w:rtl/>
        </w:rPr>
        <w:t>הערכים החברתיים המוגנים</w:t>
      </w:r>
      <w:r>
        <w:rPr>
          <w:rFonts w:ascii="David" w:hAnsi="David"/>
          <w:rtl/>
        </w:rPr>
        <w:t xml:space="preserve"> שנפגעו כתוצאה מביצוע עבירות הנשק, הנם שמירה על חיי אדם ועל שלמות גופו, שמירה על סדרי חיים תקינים ושלווים שאינם מופרעים על-ידי איש האוחז באקדח, וכן שמירה על שלטון החוק </w:t>
      </w:r>
      <w:r>
        <w:rPr>
          <w:rFonts w:ascii="David" w:hAnsi="David" w:hint="cs"/>
          <w:rtl/>
        </w:rPr>
        <w:t xml:space="preserve">ועל </w:t>
      </w:r>
      <w:r>
        <w:rPr>
          <w:rFonts w:ascii="David" w:hAnsi="David"/>
          <w:rtl/>
        </w:rPr>
        <w:t>ביטחון הציבור (</w:t>
      </w:r>
      <w:hyperlink r:id="rId19" w:history="1">
        <w:r w:rsidR="00E60682" w:rsidRPr="00E60682">
          <w:rPr>
            <w:rFonts w:ascii="David" w:hAnsi="David"/>
            <w:color w:val="0000FF"/>
            <w:u w:val="single"/>
            <w:rtl/>
          </w:rPr>
          <w:t>ע"פ 147/21</w:t>
        </w:r>
      </w:hyperlink>
      <w:r>
        <w:rPr>
          <w:rFonts w:ascii="David" w:hAnsi="David"/>
          <w:rtl/>
        </w:rPr>
        <w:t xml:space="preserve"> </w:t>
      </w:r>
      <w:r>
        <w:rPr>
          <w:rFonts w:ascii="David" w:hAnsi="David"/>
          <w:b/>
          <w:bCs/>
          <w:rtl/>
        </w:rPr>
        <w:t>מדינת ישראל נ' ביטון</w:t>
      </w:r>
      <w:r>
        <w:rPr>
          <w:rFonts w:ascii="David" w:hAnsi="David"/>
          <w:rtl/>
        </w:rPr>
        <w:t xml:space="preserve"> (14.02.2021) (להלן: "</w:t>
      </w:r>
      <w:r>
        <w:rPr>
          <w:rFonts w:ascii="David" w:hAnsi="David"/>
          <w:b/>
          <w:bCs/>
          <w:rtl/>
        </w:rPr>
        <w:t>עניין ביטון</w:t>
      </w:r>
      <w:r>
        <w:rPr>
          <w:rFonts w:ascii="David" w:hAnsi="David"/>
          <w:rtl/>
        </w:rPr>
        <w:t>")). לא נכביר מילים לגבי התופעה שפשתה במחוזותינו</w:t>
      </w:r>
      <w:r>
        <w:rPr>
          <w:rFonts w:ascii="David" w:hAnsi="David" w:hint="cs"/>
          <w:rtl/>
        </w:rPr>
        <w:t xml:space="preserve"> הנוגעת לעבירות נשק. </w:t>
      </w:r>
      <w:r>
        <w:rPr>
          <w:rFonts w:ascii="David" w:hAnsi="David"/>
          <w:rtl/>
        </w:rPr>
        <w:t xml:space="preserve"> כבר נקבע כי עבירות נשק לסוגיהן היו זה מכבר ל</w:t>
      </w:r>
      <w:r>
        <w:rPr>
          <w:rFonts w:ascii="David" w:hAnsi="David" w:hint="cs"/>
          <w:rtl/>
        </w:rPr>
        <w:t>"</w:t>
      </w:r>
      <w:r>
        <w:rPr>
          <w:rFonts w:ascii="David" w:hAnsi="David"/>
          <w:rtl/>
        </w:rPr>
        <w:t>מכת מדינה</w:t>
      </w:r>
      <w:r>
        <w:rPr>
          <w:rFonts w:ascii="David" w:hAnsi="David" w:hint="cs"/>
          <w:rtl/>
        </w:rPr>
        <w:t>"</w:t>
      </w:r>
      <w:r>
        <w:rPr>
          <w:rFonts w:ascii="David" w:hAnsi="David"/>
          <w:rtl/>
        </w:rPr>
        <w:t xml:space="preserve"> והן מגלמות בתוכן סיכון ממשי ופוטנציאל הרסני, המגיע כדי פגיעה בביטחון האישי הבסיסי והיומיומי של כלל האזרחים. </w:t>
      </w:r>
      <w:r>
        <w:rPr>
          <w:rFonts w:ascii="David" w:hAnsi="David" w:hint="cs"/>
          <w:rtl/>
        </w:rPr>
        <w:t xml:space="preserve">אזרחים, לעיתים עוברי אורח, מוצאים את מותם בשל שימוש בנשק בלתי חוקי. </w:t>
      </w:r>
      <w:r>
        <w:rPr>
          <w:rFonts w:ascii="David" w:hAnsi="David"/>
          <w:rtl/>
        </w:rPr>
        <w:t>ניסיון החיים מלמד, כי לרוב נעשה שימוש בנשק למטרות פליליות אשר גרמו לא אחת לפגיעה בחפים מפשע ולאובדן חיי אדם (</w:t>
      </w:r>
      <w:hyperlink r:id="rId20" w:history="1">
        <w:r w:rsidR="00E60682" w:rsidRPr="00E60682">
          <w:rPr>
            <w:rFonts w:ascii="David" w:hAnsi="David"/>
            <w:color w:val="0000FF"/>
            <w:u w:val="single"/>
            <w:rtl/>
          </w:rPr>
          <w:t>ע"פ 761/07</w:t>
        </w:r>
      </w:hyperlink>
      <w:r>
        <w:rPr>
          <w:rFonts w:ascii="David" w:hAnsi="David"/>
          <w:rtl/>
        </w:rPr>
        <w:t xml:space="preserve"> </w:t>
      </w:r>
      <w:r>
        <w:rPr>
          <w:rFonts w:ascii="David" w:hAnsi="David"/>
          <w:b/>
          <w:bCs/>
          <w:rtl/>
        </w:rPr>
        <w:t xml:space="preserve">מדינת ישראל נ' אדרי </w:t>
      </w:r>
      <w:r>
        <w:rPr>
          <w:rFonts w:ascii="David" w:hAnsi="David"/>
          <w:rtl/>
        </w:rPr>
        <w:t xml:space="preserve">(22.02.2007); </w:t>
      </w:r>
      <w:hyperlink r:id="rId21" w:history="1">
        <w:r w:rsidR="00E60682" w:rsidRPr="00E60682">
          <w:rPr>
            <w:rFonts w:ascii="David" w:hAnsi="David"/>
            <w:color w:val="0000FF"/>
            <w:u w:val="single"/>
            <w:rtl/>
          </w:rPr>
          <w:t>ע"פ 3169/21</w:t>
        </w:r>
      </w:hyperlink>
      <w:r>
        <w:rPr>
          <w:rFonts w:ascii="David" w:hAnsi="David"/>
          <w:rtl/>
        </w:rPr>
        <w:t xml:space="preserve"> </w:t>
      </w:r>
      <w:r>
        <w:rPr>
          <w:rFonts w:ascii="David" w:hAnsi="David"/>
          <w:b/>
          <w:bCs/>
          <w:rtl/>
        </w:rPr>
        <w:t>מדינת ישראל נ' אגבאריה</w:t>
      </w:r>
      <w:r>
        <w:rPr>
          <w:rFonts w:ascii="David" w:hAnsi="David"/>
          <w:rtl/>
        </w:rPr>
        <w:t>, פסקה 6 (21.06.2021)). זמינותם של כלי הנשק, מערערים את הסדר הציבורי ופוגעים בתחושת הביטחון האישי של אזרחי המדינה (</w:t>
      </w:r>
      <w:hyperlink r:id="rId22" w:history="1">
        <w:r w:rsidR="00E60682" w:rsidRPr="00E60682">
          <w:rPr>
            <w:rFonts w:ascii="David" w:hAnsi="David"/>
            <w:color w:val="0000FF"/>
            <w:u w:val="single"/>
            <w:rtl/>
          </w:rPr>
          <w:t>ע"פ 5833/07</w:t>
        </w:r>
      </w:hyperlink>
      <w:r>
        <w:rPr>
          <w:rFonts w:ascii="David" w:hAnsi="David"/>
          <w:rtl/>
        </w:rPr>
        <w:t xml:space="preserve"> </w:t>
      </w:r>
      <w:r>
        <w:rPr>
          <w:rFonts w:ascii="David" w:hAnsi="David"/>
          <w:b/>
          <w:bCs/>
          <w:rtl/>
        </w:rPr>
        <w:t xml:space="preserve">ח'ורי נ' מדינת ישראל </w:t>
      </w:r>
      <w:r>
        <w:rPr>
          <w:rFonts w:ascii="David" w:hAnsi="David"/>
          <w:rtl/>
        </w:rPr>
        <w:t>(18.11.2007)), ולדאבון הלב, סכסוכים רבים בין מחזיקי נשק, אף סכסוכים של מה בכך מתדרדרים במהרה כדי ירי מנשק חם. בית המשפט העליון חזר לא אחת על הסכנה הרבה הטמונה בעבירות נשק, בעיקר בשל כך שה</w:t>
      </w:r>
      <w:r>
        <w:rPr>
          <w:rFonts w:ascii="David" w:hAnsi="David" w:hint="cs"/>
          <w:rtl/>
        </w:rPr>
        <w:t>ן</w:t>
      </w:r>
      <w:r>
        <w:rPr>
          <w:rFonts w:ascii="David" w:hAnsi="David"/>
          <w:rtl/>
        </w:rPr>
        <w:t xml:space="preserve"> "</w:t>
      </w:r>
      <w:r>
        <w:rPr>
          <w:rFonts w:ascii="David" w:hAnsi="David"/>
          <w:b/>
          <w:bCs/>
          <w:rtl/>
        </w:rPr>
        <w:t>מקימות פוטנציאל להסלמה עבריינית ויוצרות סיכון ממשי וחמור לשלום הציבור וביטחונו</w:t>
      </w:r>
      <w:r>
        <w:rPr>
          <w:rFonts w:ascii="David" w:hAnsi="David"/>
          <w:rtl/>
        </w:rPr>
        <w:t>" (</w:t>
      </w:r>
      <w:hyperlink r:id="rId23" w:history="1">
        <w:r w:rsidR="00E60682" w:rsidRPr="00E60682">
          <w:rPr>
            <w:rFonts w:ascii="David" w:hAnsi="David"/>
            <w:color w:val="0000FF"/>
            <w:u w:val="single"/>
            <w:rtl/>
          </w:rPr>
          <w:t>ע"פ 6989/13</w:t>
        </w:r>
      </w:hyperlink>
      <w:r>
        <w:rPr>
          <w:rFonts w:ascii="David" w:hAnsi="David"/>
          <w:rtl/>
        </w:rPr>
        <w:t xml:space="preserve"> </w:t>
      </w:r>
      <w:r>
        <w:rPr>
          <w:rFonts w:ascii="David" w:hAnsi="David"/>
          <w:b/>
          <w:bCs/>
          <w:rtl/>
        </w:rPr>
        <w:t>פרח נ' מדינת ישראל</w:t>
      </w:r>
      <w:r>
        <w:rPr>
          <w:rFonts w:ascii="David" w:hAnsi="David"/>
          <w:rtl/>
        </w:rPr>
        <w:t>, פסקה 13 (25.02.2014)).</w:t>
      </w:r>
      <w:r>
        <w:rPr>
          <w:rFonts w:ascii="David" w:hAnsi="David" w:hint="cs"/>
          <w:rtl/>
        </w:rPr>
        <w:t xml:space="preserve"> </w:t>
      </w:r>
      <w:r>
        <w:rPr>
          <w:rFonts w:ascii="David" w:hAnsi="David"/>
          <w:rtl/>
        </w:rPr>
        <w:t>יפים לעניין זה הדברים שנקבעו ב</w:t>
      </w:r>
      <w:hyperlink r:id="rId24" w:history="1">
        <w:r w:rsidR="00E60682" w:rsidRPr="00E60682">
          <w:rPr>
            <w:rFonts w:ascii="David" w:hAnsi="David"/>
            <w:color w:val="0000FF"/>
            <w:u w:val="single"/>
            <w:rtl/>
          </w:rPr>
          <w:t>ע"פ 5807/20</w:t>
        </w:r>
      </w:hyperlink>
      <w:r>
        <w:rPr>
          <w:rFonts w:ascii="David" w:hAnsi="David"/>
          <w:rtl/>
        </w:rPr>
        <w:t xml:space="preserve"> </w:t>
      </w:r>
      <w:r>
        <w:rPr>
          <w:rFonts w:ascii="David" w:hAnsi="David"/>
          <w:b/>
          <w:bCs/>
          <w:rtl/>
        </w:rPr>
        <w:t>שיבלי נ' מדינת ישראל</w:t>
      </w:r>
      <w:r>
        <w:rPr>
          <w:rFonts w:ascii="David" w:hAnsi="David"/>
          <w:rtl/>
        </w:rPr>
        <w:t xml:space="preserve"> (30.12.2020):</w:t>
      </w:r>
    </w:p>
    <w:p w14:paraId="70ECDB97" w14:textId="77777777" w:rsidR="00184D00" w:rsidRDefault="00184D00" w:rsidP="00184D00">
      <w:pPr>
        <w:spacing w:line="360" w:lineRule="auto"/>
        <w:ind w:left="1218" w:right="426"/>
        <w:jc w:val="both"/>
        <w:rPr>
          <w:rFonts w:ascii="David" w:hAnsi="David"/>
          <w:b/>
          <w:bCs/>
          <w:rtl/>
        </w:rPr>
      </w:pPr>
    </w:p>
    <w:p w14:paraId="49B12CC3" w14:textId="77777777" w:rsidR="00184D00" w:rsidRDefault="00184D00" w:rsidP="00184D00">
      <w:pPr>
        <w:spacing w:line="360" w:lineRule="auto"/>
        <w:ind w:left="1218" w:right="426"/>
        <w:jc w:val="both"/>
        <w:rPr>
          <w:rFonts w:ascii="David" w:hAnsi="David"/>
          <w:b/>
          <w:bCs/>
          <w:rtl/>
        </w:rPr>
      </w:pPr>
      <w:r>
        <w:rPr>
          <w:rFonts w:ascii="David" w:hAnsi="David"/>
          <w:rtl/>
        </w:rPr>
        <w:t>"</w:t>
      </w:r>
      <w:r>
        <w:rPr>
          <w:rFonts w:ascii="David" w:hAnsi="David"/>
          <w:b/>
          <w:bCs/>
          <w:rtl/>
        </w:rPr>
        <w:t>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w:t>
      </w:r>
      <w:r>
        <w:rPr>
          <w:rFonts w:ascii="David" w:hAnsi="David"/>
          <w:rtl/>
        </w:rPr>
        <w:t xml:space="preserve">". </w:t>
      </w:r>
    </w:p>
    <w:p w14:paraId="2D0F06E3" w14:textId="77777777" w:rsidR="00184D00" w:rsidRDefault="00184D00" w:rsidP="00184D00">
      <w:pPr>
        <w:spacing w:line="360" w:lineRule="auto"/>
        <w:jc w:val="both"/>
        <w:rPr>
          <w:rFonts w:ascii="David" w:hAnsi="David"/>
          <w:b/>
          <w:bCs/>
          <w:rtl/>
        </w:rPr>
      </w:pPr>
    </w:p>
    <w:p w14:paraId="34880855" w14:textId="77777777" w:rsidR="00184D00" w:rsidRDefault="00184D00" w:rsidP="00184D00">
      <w:pPr>
        <w:spacing w:line="360" w:lineRule="auto"/>
        <w:ind w:left="720"/>
        <w:jc w:val="both"/>
        <w:rPr>
          <w:rFonts w:ascii="David" w:hAnsi="David"/>
          <w:rtl/>
        </w:rPr>
      </w:pPr>
      <w:r>
        <w:rPr>
          <w:rFonts w:ascii="David" w:hAnsi="David"/>
          <w:rtl/>
        </w:rPr>
        <w:t xml:space="preserve">וכן ראו: </w:t>
      </w:r>
      <w:hyperlink r:id="rId25" w:history="1">
        <w:r w:rsidR="00E60682" w:rsidRPr="00E60682">
          <w:rPr>
            <w:rFonts w:ascii="David" w:hAnsi="David"/>
            <w:color w:val="0000FF"/>
            <w:u w:val="single"/>
            <w:rtl/>
          </w:rPr>
          <w:t>ע"פ 5330/20</w:t>
        </w:r>
      </w:hyperlink>
      <w:r>
        <w:rPr>
          <w:rFonts w:ascii="David" w:hAnsi="David"/>
          <w:rtl/>
        </w:rPr>
        <w:t xml:space="preserve"> </w:t>
      </w:r>
      <w:r>
        <w:rPr>
          <w:rFonts w:ascii="David" w:hAnsi="David"/>
          <w:b/>
          <w:bCs/>
          <w:rtl/>
        </w:rPr>
        <w:t>ענבתאוי נ' מדינת ישראל</w:t>
      </w:r>
      <w:r>
        <w:rPr>
          <w:rFonts w:ascii="David" w:hAnsi="David"/>
          <w:rtl/>
        </w:rPr>
        <w:t>, פסקה 14 (22.11.2020) (להלן: "</w:t>
      </w:r>
      <w:r>
        <w:rPr>
          <w:rFonts w:ascii="David" w:hAnsi="David"/>
          <w:b/>
          <w:bCs/>
          <w:rtl/>
        </w:rPr>
        <w:t>עניין ענבתאוי</w:t>
      </w:r>
      <w:r>
        <w:rPr>
          <w:rFonts w:ascii="David" w:hAnsi="David"/>
          <w:rtl/>
        </w:rPr>
        <w:t xml:space="preserve">").  </w:t>
      </w:r>
    </w:p>
    <w:p w14:paraId="61B484DC" w14:textId="77777777" w:rsidR="00184D00" w:rsidRDefault="00184D00" w:rsidP="00184D00">
      <w:pPr>
        <w:spacing w:line="360" w:lineRule="auto"/>
        <w:ind w:right="426"/>
        <w:jc w:val="both"/>
        <w:rPr>
          <w:rFonts w:ascii="David" w:hAnsi="David"/>
          <w:rtl/>
        </w:rPr>
      </w:pPr>
    </w:p>
    <w:p w14:paraId="6559DFE9" w14:textId="77777777" w:rsidR="00184D00" w:rsidRDefault="00184D00" w:rsidP="00184D00">
      <w:pPr>
        <w:spacing w:line="360" w:lineRule="auto"/>
        <w:ind w:left="720" w:hanging="720"/>
        <w:jc w:val="both"/>
        <w:rPr>
          <w:rFonts w:ascii="David" w:hAnsi="David"/>
          <w:rtl/>
        </w:rPr>
      </w:pPr>
      <w:r>
        <w:rPr>
          <w:rFonts w:ascii="David" w:hAnsi="David"/>
          <w:rtl/>
        </w:rPr>
        <w:t>17.</w:t>
      </w:r>
      <w:r>
        <w:rPr>
          <w:rFonts w:ascii="David" w:hAnsi="David"/>
          <w:rtl/>
        </w:rPr>
        <w:tab/>
        <w:t xml:space="preserve">מידת הפגיעה בערכים החברתיים המוגנים במקרה שלפנינו הנה בינונית והיא נגזרת מנסיבות ביצוע העבירה. הנאשם החזיק ונשא על גופו אקדח חצי אוטומטי </w:t>
      </w:r>
      <w:r>
        <w:rPr>
          <w:rFonts w:ascii="David" w:hAnsi="David"/>
        </w:rPr>
        <w:t>FN</w:t>
      </w:r>
      <w:r>
        <w:rPr>
          <w:rFonts w:ascii="David" w:hAnsi="David"/>
          <w:rtl/>
        </w:rPr>
        <w:t>, קליבר 9 מ"מ פאראבלום, כשהוא טעון במחסנית מתאימה ובתוכה 9 כדורים בקוטר 9 מ"מ</w:t>
      </w:r>
      <w:r>
        <w:rPr>
          <w:rFonts w:ascii="David" w:hAnsi="David" w:hint="cs"/>
          <w:rtl/>
        </w:rPr>
        <w:t xml:space="preserve"> (דהיינו נשק "המוכן לירי")</w:t>
      </w:r>
      <w:r>
        <w:rPr>
          <w:rFonts w:ascii="David" w:hAnsi="David"/>
          <w:rtl/>
        </w:rPr>
        <w:t xml:space="preserve">, כל זאת בלא רשות על-פי דין. יש לתת את הדעת לכך שהנאשם נשא והוביל את הנשק הטעון סמוך לבית, כשהוא אוחז אותו בידו. </w:t>
      </w:r>
      <w:r>
        <w:rPr>
          <w:rFonts w:ascii="David" w:hAnsi="David" w:hint="cs"/>
          <w:rtl/>
        </w:rPr>
        <w:t xml:space="preserve">הגם שמדובר בעבירה </w:t>
      </w:r>
      <w:r>
        <w:rPr>
          <w:rFonts w:ascii="David" w:hAnsi="David"/>
          <w:rtl/>
        </w:rPr>
        <w:t xml:space="preserve">שהיא </w:t>
      </w:r>
      <w:r>
        <w:rPr>
          <w:rFonts w:ascii="David" w:hAnsi="David" w:hint="cs"/>
          <w:rtl/>
        </w:rPr>
        <w:t>"</w:t>
      </w:r>
      <w:r>
        <w:rPr>
          <w:rFonts w:ascii="David" w:hAnsi="David"/>
          <w:rtl/>
        </w:rPr>
        <w:t>פחות חמורה</w:t>
      </w:r>
      <w:r>
        <w:rPr>
          <w:rFonts w:ascii="David" w:hAnsi="David" w:hint="cs"/>
          <w:rtl/>
        </w:rPr>
        <w:t>"</w:t>
      </w:r>
      <w:r>
        <w:rPr>
          <w:rFonts w:ascii="David" w:hAnsi="David"/>
          <w:rtl/>
        </w:rPr>
        <w:t xml:space="preserve"> מאשר עבירה בנשק מסוג תת מקלע</w:t>
      </w:r>
      <w:r>
        <w:rPr>
          <w:rFonts w:ascii="David" w:hAnsi="David" w:hint="cs"/>
          <w:rtl/>
        </w:rPr>
        <w:t xml:space="preserve"> לדוגמא, הרי אף בעבירה בה עסקינן טמון פ</w:t>
      </w:r>
      <w:r>
        <w:rPr>
          <w:rFonts w:ascii="David" w:hAnsi="David"/>
          <w:rtl/>
        </w:rPr>
        <w:t xml:space="preserve">וטנציאל נזק </w:t>
      </w:r>
      <w:r>
        <w:rPr>
          <w:rFonts w:ascii="David" w:hAnsi="David" w:hint="cs"/>
          <w:rtl/>
        </w:rPr>
        <w:t>גדול</w:t>
      </w:r>
      <w:r>
        <w:rPr>
          <w:rFonts w:ascii="David" w:hAnsi="David"/>
          <w:rtl/>
        </w:rPr>
        <w:t xml:space="preserve">. </w:t>
      </w:r>
    </w:p>
    <w:p w14:paraId="43EFCE61" w14:textId="77777777" w:rsidR="00184D00" w:rsidRDefault="00184D00" w:rsidP="00184D00">
      <w:pPr>
        <w:spacing w:line="360" w:lineRule="auto"/>
        <w:ind w:left="720"/>
        <w:jc w:val="both"/>
        <w:rPr>
          <w:rFonts w:ascii="David" w:hAnsi="David"/>
          <w:rtl/>
        </w:rPr>
      </w:pPr>
      <w:r>
        <w:rPr>
          <w:rFonts w:ascii="David" w:hAnsi="David"/>
          <w:rtl/>
        </w:rPr>
        <w:t xml:space="preserve">חלקו של הנאשם בביצוע העבירה הוא מלא ובלעדי; לא נטען בפניי להסבר המניח את הדעת לפשר החזקת הנשק על-ידי הנאשם, והמניע לכך נותר עמום, בנוסף לא ברור כיצד ובאילו נסיבות הגיע הנשק לידי הנאשם. </w:t>
      </w:r>
    </w:p>
    <w:p w14:paraId="61CD25D2" w14:textId="77777777" w:rsidR="00184D00" w:rsidRDefault="00184D00" w:rsidP="00184D00">
      <w:pPr>
        <w:spacing w:line="360" w:lineRule="auto"/>
        <w:ind w:left="720" w:hanging="720"/>
        <w:jc w:val="both"/>
        <w:rPr>
          <w:rFonts w:ascii="David" w:hAnsi="David"/>
          <w:rtl/>
        </w:rPr>
      </w:pPr>
      <w:r>
        <w:rPr>
          <w:rFonts w:ascii="David" w:hAnsi="David"/>
          <w:rtl/>
        </w:rPr>
        <w:tab/>
        <w:t xml:space="preserve">אף בפני שירות המבחן לא נתן הנאשם הסבר המניח את הדעת להחזקת הנשק </w:t>
      </w:r>
      <w:r>
        <w:rPr>
          <w:rFonts w:ascii="David" w:hAnsi="David" w:hint="cs"/>
          <w:rtl/>
        </w:rPr>
        <w:t>.</w:t>
      </w:r>
    </w:p>
    <w:p w14:paraId="1630C72D" w14:textId="77777777" w:rsidR="00184D00" w:rsidRDefault="00184D00" w:rsidP="00184D00">
      <w:pPr>
        <w:spacing w:line="360" w:lineRule="auto"/>
        <w:ind w:left="720" w:hanging="720"/>
        <w:jc w:val="both"/>
        <w:rPr>
          <w:rFonts w:ascii="David" w:hAnsi="David"/>
          <w:rtl/>
        </w:rPr>
      </w:pPr>
    </w:p>
    <w:p w14:paraId="6855D3AD" w14:textId="77777777" w:rsidR="00184D00" w:rsidRDefault="00184D00" w:rsidP="00184D00">
      <w:pPr>
        <w:spacing w:line="360" w:lineRule="auto"/>
        <w:ind w:left="720" w:hanging="720"/>
        <w:jc w:val="both"/>
        <w:rPr>
          <w:rFonts w:ascii="David" w:hAnsi="David"/>
          <w:rtl/>
        </w:rPr>
      </w:pPr>
      <w:r>
        <w:rPr>
          <w:rFonts w:ascii="David" w:hAnsi="David"/>
          <w:rtl/>
        </w:rPr>
        <w:tab/>
        <w:t xml:space="preserve">פוטנציאל הנזק שצפוי היה להיגרם בעבירות נשק בכלל הוא רב וכולל פגיעה בגוף ובנפש, כפי שנקבע לא אחת בהלכה הפסוקה, החשש הוא כי נשק המוחזק שלא כדין ישמש לפעילות עבריינית, העלולה להביא לפגיעה ואף לקיפוח חייהם של אזרחים תמימים. יחד עם זאת, יש לתת את הדעת לכך שלא נעשה שימוש בנשק ולא נגרם נזק מוחשי, כאשר הנשק נתפס על-ידי המשטרה. </w:t>
      </w:r>
    </w:p>
    <w:p w14:paraId="3FA674E1" w14:textId="77777777" w:rsidR="00184D00" w:rsidRDefault="00184D00" w:rsidP="00184D00">
      <w:pPr>
        <w:spacing w:line="360" w:lineRule="auto"/>
        <w:ind w:left="720" w:hanging="720"/>
        <w:jc w:val="both"/>
        <w:rPr>
          <w:rFonts w:ascii="David" w:hAnsi="David"/>
          <w:rtl/>
        </w:rPr>
      </w:pPr>
    </w:p>
    <w:p w14:paraId="6FDEBE31" w14:textId="77777777" w:rsidR="00184D00" w:rsidRDefault="00184D00" w:rsidP="00184D00">
      <w:pPr>
        <w:spacing w:line="360" w:lineRule="auto"/>
        <w:ind w:left="720" w:hanging="720"/>
        <w:jc w:val="both"/>
        <w:rPr>
          <w:rFonts w:ascii="David" w:hAnsi="David"/>
          <w:rtl/>
        </w:rPr>
      </w:pPr>
      <w:r>
        <w:rPr>
          <w:rFonts w:ascii="David" w:hAnsi="David"/>
          <w:rtl/>
        </w:rPr>
        <w:t>18.</w:t>
      </w:r>
      <w:r>
        <w:rPr>
          <w:rFonts w:ascii="David" w:hAnsi="David"/>
          <w:rtl/>
        </w:rPr>
        <w:tab/>
        <w:t xml:space="preserve">באשר </w:t>
      </w:r>
      <w:r>
        <w:rPr>
          <w:rFonts w:ascii="David" w:hAnsi="David"/>
          <w:b/>
          <w:bCs/>
          <w:rtl/>
        </w:rPr>
        <w:t>למדיניות הענישה הנהוגה</w:t>
      </w:r>
      <w:r>
        <w:rPr>
          <w:rFonts w:ascii="David" w:hAnsi="David"/>
          <w:rtl/>
        </w:rPr>
        <w:t xml:space="preserve"> בעבירות נשק, לאחרונה ניכרת בפסיקה מגמת החמרה בעונשי המאסר הנגזרים על </w:t>
      </w:r>
      <w:r>
        <w:rPr>
          <w:rFonts w:ascii="David" w:hAnsi="David" w:hint="cs"/>
          <w:rtl/>
        </w:rPr>
        <w:t>מורשעים</w:t>
      </w:r>
      <w:r>
        <w:rPr>
          <w:rFonts w:ascii="David" w:hAnsi="David"/>
          <w:rtl/>
        </w:rPr>
        <w:t xml:space="preserve"> בעבירת הנ"ל, כך כפי שנקבע על-ידי בית המשפט העליון </w:t>
      </w:r>
      <w:r>
        <w:rPr>
          <w:rFonts w:ascii="David" w:hAnsi="David"/>
          <w:b/>
          <w:bCs/>
          <w:rtl/>
        </w:rPr>
        <w:t>בעניין ענבתאוי</w:t>
      </w:r>
      <w:r>
        <w:rPr>
          <w:rFonts w:ascii="David" w:hAnsi="David"/>
          <w:rtl/>
        </w:rPr>
        <w:t>, פסקה 14:</w:t>
      </w:r>
    </w:p>
    <w:p w14:paraId="4F335190" w14:textId="77777777" w:rsidR="00184D00" w:rsidRDefault="00184D00" w:rsidP="00184D00">
      <w:pPr>
        <w:spacing w:line="360" w:lineRule="auto"/>
        <w:jc w:val="both"/>
        <w:rPr>
          <w:rFonts w:ascii="David" w:hAnsi="David"/>
          <w:rtl/>
        </w:rPr>
      </w:pPr>
    </w:p>
    <w:p w14:paraId="7ECCF393" w14:textId="77777777" w:rsidR="00184D00" w:rsidRDefault="00184D00" w:rsidP="00184D00">
      <w:pPr>
        <w:spacing w:line="360" w:lineRule="auto"/>
        <w:ind w:left="1076" w:right="426"/>
        <w:jc w:val="both"/>
        <w:rPr>
          <w:rFonts w:ascii="David" w:hAnsi="David"/>
          <w:rtl/>
        </w:rPr>
      </w:pPr>
      <w:r>
        <w:rPr>
          <w:rFonts w:ascii="David" w:hAnsi="David"/>
          <w:rtl/>
        </w:rPr>
        <w:t>"</w:t>
      </w:r>
      <w:r>
        <w:rPr>
          <w:rFonts w:ascii="David" w:hAnsi="David"/>
          <w:b/>
          <w:bCs/>
          <w:rtl/>
        </w:rPr>
        <w:t>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 וכך גם אם מדובר בבגירים צעירים, במקרים המתאימים(...). יתרה מכך, בשל החומרה היתרה שבעבירות אלו והסיכון הגבוה שיש בהן לשלום הציבור ניתן משקל רב יותר לאינטרס הציבורי ולשיקולי ההרתעה מאשר לנסיבותיו האישיות של הנאשם (...). גישה מחמירה זו מיושמת גם במקרים שבהם נרכש הנשק למטרת 'הגנה עצמית', מתוך הבנה כי זמינות נשק בלתי חוקי מעודדת שימוש בו לביצוע עבירות ונושאת עמה פוטנציאל גבוה לפגיעה ממשית וקשה בביטחון הציבור ובשלומו...</w:t>
      </w:r>
      <w:r>
        <w:rPr>
          <w:rFonts w:ascii="David" w:hAnsi="David"/>
          <w:rtl/>
        </w:rPr>
        <w:t>".</w:t>
      </w:r>
    </w:p>
    <w:p w14:paraId="17A94EAF" w14:textId="77777777" w:rsidR="00184D00" w:rsidRDefault="00184D00" w:rsidP="00184D00">
      <w:pPr>
        <w:spacing w:line="360" w:lineRule="auto"/>
        <w:jc w:val="both"/>
        <w:rPr>
          <w:rFonts w:ascii="David" w:hAnsi="David"/>
          <w:rtl/>
        </w:rPr>
      </w:pPr>
    </w:p>
    <w:p w14:paraId="553C41DA" w14:textId="77777777" w:rsidR="00184D00" w:rsidRDefault="00184D00" w:rsidP="00184D00">
      <w:pPr>
        <w:spacing w:line="360" w:lineRule="auto"/>
        <w:ind w:left="720" w:hanging="720"/>
        <w:jc w:val="both"/>
        <w:rPr>
          <w:rFonts w:ascii="David" w:hAnsi="David"/>
          <w:rtl/>
        </w:rPr>
      </w:pPr>
      <w:r>
        <w:rPr>
          <w:rFonts w:ascii="David" w:hAnsi="David"/>
          <w:rtl/>
        </w:rPr>
        <w:t xml:space="preserve"> </w:t>
      </w:r>
      <w:r>
        <w:rPr>
          <w:rFonts w:ascii="David" w:hAnsi="David"/>
          <w:b/>
          <w:bCs/>
          <w:rtl/>
        </w:rPr>
        <w:tab/>
      </w:r>
      <w:r>
        <w:rPr>
          <w:rFonts w:ascii="David" w:hAnsi="David"/>
          <w:rtl/>
        </w:rPr>
        <w:t xml:space="preserve">וכן ראו בעניין זה דברי בית המשפט העליון </w:t>
      </w:r>
      <w:r>
        <w:rPr>
          <w:rFonts w:ascii="David" w:hAnsi="David"/>
          <w:b/>
          <w:bCs/>
          <w:rtl/>
        </w:rPr>
        <w:t>בעניין ביטון</w:t>
      </w:r>
      <w:r>
        <w:rPr>
          <w:rFonts w:ascii="David" w:hAnsi="David"/>
          <w:rtl/>
        </w:rPr>
        <w:t>, פסקה 10:</w:t>
      </w:r>
    </w:p>
    <w:p w14:paraId="03B71D78" w14:textId="77777777" w:rsidR="00184D00" w:rsidRDefault="00184D00" w:rsidP="00184D00">
      <w:pPr>
        <w:spacing w:line="360" w:lineRule="auto"/>
        <w:ind w:left="720" w:hanging="720"/>
        <w:jc w:val="both"/>
        <w:rPr>
          <w:rFonts w:ascii="David" w:hAnsi="David"/>
          <w:rtl/>
        </w:rPr>
      </w:pPr>
    </w:p>
    <w:p w14:paraId="22F22CD5" w14:textId="77777777" w:rsidR="00184D00" w:rsidRDefault="00184D00" w:rsidP="00184D00">
      <w:pPr>
        <w:spacing w:line="360" w:lineRule="auto"/>
        <w:ind w:left="1218" w:right="426"/>
        <w:jc w:val="both"/>
        <w:rPr>
          <w:rFonts w:ascii="David" w:hAnsi="David"/>
          <w:rtl/>
        </w:rPr>
      </w:pPr>
      <w:r>
        <w:rPr>
          <w:rFonts w:ascii="David" w:hAnsi="David"/>
          <w:rtl/>
        </w:rPr>
        <w:t>"</w:t>
      </w:r>
      <w:r>
        <w:rPr>
          <w:rFonts w:ascii="David" w:hAnsi="David"/>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 השופט</w:t>
      </w:r>
      <w:r w:rsidR="00E60682">
        <w:rPr>
          <w:rFonts w:ascii="David" w:hAnsi="David"/>
          <w:b/>
          <w:bCs/>
          <w:rtl/>
        </w:rPr>
        <w:t xml:space="preserve"> </w:t>
      </w:r>
      <w:r>
        <w:rPr>
          <w:rFonts w:ascii="David" w:hAnsi="David"/>
          <w:b/>
          <w:bCs/>
          <w:rtl/>
        </w:rPr>
        <w:t>מ' מזוז</w:t>
      </w:r>
      <w:r w:rsidR="00E60682">
        <w:rPr>
          <w:rFonts w:ascii="David" w:hAnsi="David"/>
          <w:b/>
          <w:bCs/>
          <w:rtl/>
        </w:rPr>
        <w:t xml:space="preserve"> </w:t>
      </w:r>
      <w:r>
        <w:rPr>
          <w:rFonts w:ascii="David" w:hAnsi="David"/>
          <w:b/>
          <w:bCs/>
          <w:rtl/>
        </w:rPr>
        <w:t>הטיב לתארה בעניין</w:t>
      </w:r>
      <w:r w:rsidR="00E60682">
        <w:rPr>
          <w:rFonts w:ascii="David" w:hAnsi="David"/>
          <w:b/>
          <w:bCs/>
          <w:rtl/>
        </w:rPr>
        <w:t xml:space="preserve"> </w:t>
      </w:r>
      <w:r>
        <w:rPr>
          <w:rFonts w:ascii="David" w:hAnsi="David"/>
          <w:b/>
          <w:bCs/>
          <w:rtl/>
        </w:rPr>
        <w:t>סובח,</w:t>
      </w:r>
      <w:r w:rsidR="00E60682">
        <w:rPr>
          <w:rFonts w:ascii="David" w:hAnsi="David"/>
          <w:b/>
          <w:bCs/>
          <w:rtl/>
        </w:rPr>
        <w:t xml:space="preserve"> </w:t>
      </w:r>
      <w:r>
        <w:rPr>
          <w:rFonts w:ascii="David" w:hAnsi="David"/>
          <w:b/>
          <w:bCs/>
          <w:rtl/>
        </w:rPr>
        <w:t>במילים אלו: 'המאבק בתופעות האלימות החמורות בחברה הישראלית בהן נעשה שימוש בנשק מחייב, מעבר למאמץ "לשים יד" על כלי הנשק הבלתי חוקיים הרבים שבידי הציבור, גם</w:t>
      </w:r>
      <w:r w:rsidR="00E60682">
        <w:rPr>
          <w:rFonts w:ascii="David" w:hAnsi="David"/>
          <w:b/>
          <w:bCs/>
          <w:rtl/>
        </w:rPr>
        <w:t xml:space="preserve"> </w:t>
      </w:r>
      <w:r>
        <w:rPr>
          <w:rFonts w:ascii="David" w:hAnsi="David"/>
          <w:b/>
          <w:bCs/>
          <w:rtl/>
        </w:rPr>
        <w:t>ענישה מחמירה ומרתיעה בעבירות נשק, לרבות על עצם החזקה או רכישה שלא כדין של נשק...</w:t>
      </w:r>
      <w:r>
        <w:rPr>
          <w:rFonts w:ascii="David" w:hAnsi="David"/>
          <w:rtl/>
        </w:rPr>
        <w:t xml:space="preserve">". </w:t>
      </w:r>
    </w:p>
    <w:p w14:paraId="3FAEAF9C" w14:textId="77777777" w:rsidR="00184D00" w:rsidRDefault="00184D00" w:rsidP="00184D00">
      <w:pPr>
        <w:spacing w:line="360" w:lineRule="auto"/>
        <w:ind w:left="1218" w:right="426"/>
        <w:jc w:val="both"/>
        <w:rPr>
          <w:rFonts w:ascii="David" w:hAnsi="David"/>
          <w:rtl/>
        </w:rPr>
      </w:pPr>
    </w:p>
    <w:p w14:paraId="2B93D169" w14:textId="77777777" w:rsidR="00184D00" w:rsidRDefault="00184D00" w:rsidP="00184D00">
      <w:pPr>
        <w:spacing w:line="360" w:lineRule="auto"/>
        <w:ind w:left="1218" w:right="426"/>
        <w:jc w:val="both"/>
        <w:rPr>
          <w:rFonts w:ascii="David" w:hAnsi="David"/>
          <w:rtl/>
        </w:rPr>
      </w:pPr>
    </w:p>
    <w:p w14:paraId="60D56589" w14:textId="77777777" w:rsidR="00184D00" w:rsidRDefault="00184D00" w:rsidP="00184D00">
      <w:pPr>
        <w:spacing w:line="360" w:lineRule="auto"/>
        <w:ind w:left="1218" w:right="426"/>
        <w:jc w:val="both"/>
        <w:rPr>
          <w:rFonts w:ascii="David" w:hAnsi="David"/>
          <w:rtl/>
        </w:rPr>
      </w:pPr>
    </w:p>
    <w:p w14:paraId="75A5220A" w14:textId="77777777" w:rsidR="00184D00" w:rsidRDefault="00184D00" w:rsidP="00184D00">
      <w:pPr>
        <w:spacing w:line="360" w:lineRule="auto"/>
        <w:ind w:left="1218" w:right="426"/>
        <w:jc w:val="both"/>
        <w:rPr>
          <w:rFonts w:ascii="David" w:hAnsi="David"/>
          <w:rtl/>
        </w:rPr>
      </w:pPr>
    </w:p>
    <w:p w14:paraId="5B17E1B4" w14:textId="77777777" w:rsidR="00184D00" w:rsidRDefault="00184D00" w:rsidP="00184D00">
      <w:pPr>
        <w:spacing w:line="360" w:lineRule="auto"/>
        <w:ind w:left="720" w:hanging="720"/>
        <w:jc w:val="both"/>
        <w:rPr>
          <w:rFonts w:ascii="David" w:hAnsi="David"/>
          <w:rtl/>
        </w:rPr>
      </w:pPr>
    </w:p>
    <w:p w14:paraId="3E3A8AD6" w14:textId="77777777" w:rsidR="00184D00" w:rsidRDefault="00184D00" w:rsidP="00184D00">
      <w:pPr>
        <w:spacing w:line="360" w:lineRule="auto"/>
        <w:ind w:left="720" w:hanging="720"/>
        <w:jc w:val="both"/>
        <w:rPr>
          <w:rFonts w:ascii="David" w:hAnsi="David"/>
          <w:rtl/>
        </w:rPr>
      </w:pPr>
      <w:r>
        <w:rPr>
          <w:rFonts w:ascii="David" w:hAnsi="David"/>
          <w:rtl/>
        </w:rPr>
        <w:t>19.</w:t>
      </w:r>
      <w:r>
        <w:rPr>
          <w:rFonts w:ascii="David" w:hAnsi="David"/>
          <w:rtl/>
        </w:rPr>
        <w:tab/>
        <w:t>בחינת מדיניות הענישה הנוהגת מעלה, כי במקרים דומים הוטלו על נאשמים עונשים במנעד רחב כפי שיפורט להלן:</w:t>
      </w:r>
    </w:p>
    <w:p w14:paraId="66ED026A" w14:textId="77777777" w:rsidR="00184D00" w:rsidRDefault="00184D00" w:rsidP="00184D00">
      <w:pPr>
        <w:spacing w:line="360" w:lineRule="auto"/>
        <w:ind w:left="720" w:hanging="720"/>
        <w:jc w:val="both"/>
        <w:rPr>
          <w:rFonts w:ascii="David" w:hAnsi="David"/>
          <w:rtl/>
        </w:rPr>
      </w:pPr>
    </w:p>
    <w:p w14:paraId="2D829212" w14:textId="77777777" w:rsidR="00184D00" w:rsidRDefault="00184D00" w:rsidP="00184D00">
      <w:pPr>
        <w:spacing w:line="360" w:lineRule="auto"/>
        <w:ind w:left="720" w:hanging="720"/>
        <w:jc w:val="both"/>
        <w:rPr>
          <w:rFonts w:ascii="David" w:hAnsi="David"/>
          <w:rtl/>
        </w:rPr>
      </w:pPr>
    </w:p>
    <w:p w14:paraId="052A9628" w14:textId="77777777" w:rsidR="00184D00" w:rsidRDefault="00184D00" w:rsidP="00184D00">
      <w:pPr>
        <w:spacing w:line="360" w:lineRule="auto"/>
        <w:ind w:left="1440" w:hanging="720"/>
        <w:jc w:val="both"/>
        <w:rPr>
          <w:rFonts w:ascii="David" w:hAnsi="David"/>
          <w:rtl/>
        </w:rPr>
      </w:pPr>
      <w:r>
        <w:rPr>
          <w:rFonts w:ascii="David" w:hAnsi="David"/>
          <w:rtl/>
        </w:rPr>
        <w:t>א.</w:t>
      </w:r>
      <w:r>
        <w:rPr>
          <w:rFonts w:ascii="David" w:hAnsi="David"/>
          <w:rtl/>
        </w:rPr>
        <w:tab/>
        <w:t>ב</w:t>
      </w:r>
      <w:hyperlink r:id="rId26" w:history="1">
        <w:r w:rsidR="00E60682" w:rsidRPr="00E60682">
          <w:rPr>
            <w:rFonts w:ascii="David" w:hAnsi="David"/>
            <w:color w:val="0000FF"/>
            <w:u w:val="single"/>
            <w:rtl/>
          </w:rPr>
          <w:t>ע"פ 6047/20</w:t>
        </w:r>
      </w:hyperlink>
      <w:r>
        <w:rPr>
          <w:rFonts w:ascii="David" w:hAnsi="David"/>
          <w:rtl/>
        </w:rPr>
        <w:t xml:space="preserve"> </w:t>
      </w:r>
      <w:r>
        <w:rPr>
          <w:rFonts w:ascii="David" w:hAnsi="David"/>
          <w:b/>
          <w:bCs/>
          <w:rtl/>
        </w:rPr>
        <w:t xml:space="preserve">רוש נ' מדינת ישראל </w:t>
      </w:r>
      <w:r>
        <w:rPr>
          <w:rFonts w:ascii="David" w:hAnsi="David"/>
          <w:rtl/>
        </w:rPr>
        <w:t xml:space="preserve">(18.11.2020) – בית המשפט העליון קיבל את ערעורו של נאשם שהורשע על-פי הודאתו בעבירה של נשיאה והובלה של נשק ללא רשות לפי </w:t>
      </w:r>
      <w:hyperlink r:id="rId27" w:history="1">
        <w:r w:rsidR="009505F1" w:rsidRPr="009505F1">
          <w:rPr>
            <w:rStyle w:val="Hyperlink"/>
            <w:rFonts w:ascii="David" w:hAnsi="David"/>
            <w:rtl/>
          </w:rPr>
          <w:t>סעיף 144(ב)</w:t>
        </w:r>
      </w:hyperlink>
      <w:r>
        <w:rPr>
          <w:rFonts w:ascii="David" w:hAnsi="David"/>
          <w:rtl/>
        </w:rPr>
        <w:t xml:space="preserve"> רישא וסיפא ל</w:t>
      </w:r>
      <w:hyperlink r:id="rId28" w:history="1">
        <w:r w:rsidR="00E60682" w:rsidRPr="00E60682">
          <w:rPr>
            <w:rFonts w:ascii="David" w:hAnsi="David"/>
            <w:color w:val="0000FF"/>
            <w:u w:val="single"/>
            <w:rtl/>
          </w:rPr>
          <w:t>חוק העונשין</w:t>
        </w:r>
      </w:hyperlink>
      <w:r>
        <w:rPr>
          <w:rFonts w:ascii="David" w:hAnsi="David"/>
          <w:rtl/>
        </w:rPr>
        <w:t xml:space="preserve">. הנאשם רכב על אופנוע כשהוא נושא אקדח חצי אוטומטי מסוג ברטה עם כדור אחד ומשתיק קול. הצדדים ביקשו במסגרת הסדר טיעון להשית על הנאשם עונש של 24 חודשי מאסר בפועל והפעלת מאסר מותנה חלקו במצטבר כך שירצה הנאשם 30 חודשי מאסר בפועל. בית המשפט המחוזי דחה את הסדר הטיעון, קבע מתחם עונש הולם אשר נע בין 2 עד 4.5 שנות מאסר בפועל, והשית על הנאשם 30 חודשי מאסר בפועל. בית המשפט העליון הקל בעונשו של הנאשם, בהסכמת הצדדים והטיל עליו 24 חודשי מאסר בפועל, בנוסף להפעלת המאסר המותנה (30 חודשי מאסר בפועל בסך הכל). </w:t>
      </w:r>
    </w:p>
    <w:p w14:paraId="4DCF394C" w14:textId="77777777" w:rsidR="00184D00" w:rsidRDefault="00184D00" w:rsidP="00184D00">
      <w:pPr>
        <w:spacing w:line="360" w:lineRule="auto"/>
        <w:jc w:val="both"/>
        <w:rPr>
          <w:rFonts w:ascii="David" w:hAnsi="David"/>
          <w:rtl/>
        </w:rPr>
      </w:pPr>
    </w:p>
    <w:p w14:paraId="21D5FE5D" w14:textId="77777777" w:rsidR="00184D00" w:rsidRDefault="00184D00" w:rsidP="00184D00">
      <w:pPr>
        <w:spacing w:line="360" w:lineRule="auto"/>
        <w:ind w:left="1440" w:hanging="720"/>
        <w:jc w:val="both"/>
        <w:rPr>
          <w:rFonts w:ascii="David" w:hAnsi="David"/>
          <w:rtl/>
        </w:rPr>
      </w:pPr>
      <w:r>
        <w:rPr>
          <w:rFonts w:ascii="David" w:hAnsi="David"/>
          <w:rtl/>
        </w:rPr>
        <w:t>ב.</w:t>
      </w:r>
      <w:r>
        <w:rPr>
          <w:rFonts w:ascii="David" w:hAnsi="David"/>
          <w:rtl/>
        </w:rPr>
        <w:tab/>
        <w:t>ב</w:t>
      </w:r>
      <w:hyperlink r:id="rId29" w:history="1">
        <w:r w:rsidR="00E60682" w:rsidRPr="00E60682">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(18.07.2019) – נדחה ערעורו של נאשם שהורשע על-פי הודאתו בעבירה של נשיאת נשק לפי </w:t>
      </w:r>
      <w:hyperlink r:id="rId30" w:history="1">
        <w:r w:rsidR="009505F1" w:rsidRPr="009505F1">
          <w:rPr>
            <w:rStyle w:val="Hyperlink"/>
            <w:rFonts w:ascii="David" w:hAnsi="David"/>
            <w:rtl/>
          </w:rPr>
          <w:t>סעיף 144(ב)</w:t>
        </w:r>
      </w:hyperlink>
      <w:r>
        <w:rPr>
          <w:rFonts w:ascii="David" w:hAnsi="David"/>
          <w:rtl/>
        </w:rPr>
        <w:t xml:space="preserve"> לחוק. הנאשם רכש אקדח גנוב מתוצרת "גלוק", קליבר 9 מ"מ, יחד עם מחסנית תואמת, בתמורה כספית. נקבע מתחם עונש הולם אשר נע בין 12-40 חודשי מאסר, והושת על הנאשם, ללא עבר פלילי, 16 חודשי מאסר בפועל. </w:t>
      </w:r>
    </w:p>
    <w:p w14:paraId="298C02E3" w14:textId="77777777" w:rsidR="00184D00" w:rsidRDefault="00184D00" w:rsidP="00184D00">
      <w:pPr>
        <w:spacing w:line="360" w:lineRule="auto"/>
        <w:ind w:left="1440" w:hanging="720"/>
        <w:jc w:val="both"/>
        <w:rPr>
          <w:rFonts w:ascii="David" w:hAnsi="David"/>
          <w:rtl/>
        </w:rPr>
      </w:pPr>
    </w:p>
    <w:p w14:paraId="7B5794C7" w14:textId="77777777" w:rsidR="00184D00" w:rsidRDefault="00184D00" w:rsidP="00184D00">
      <w:pPr>
        <w:spacing w:line="360" w:lineRule="auto"/>
        <w:ind w:left="1440" w:hanging="720"/>
        <w:jc w:val="both"/>
        <w:rPr>
          <w:rFonts w:ascii="David" w:hAnsi="David"/>
          <w:rtl/>
        </w:rPr>
      </w:pPr>
      <w:r>
        <w:rPr>
          <w:rFonts w:ascii="David" w:hAnsi="David"/>
          <w:rtl/>
        </w:rPr>
        <w:t>ג.</w:t>
      </w:r>
      <w:r>
        <w:rPr>
          <w:rFonts w:ascii="David" w:hAnsi="David"/>
          <w:rtl/>
        </w:rPr>
        <w:tab/>
        <w:t>ב</w:t>
      </w:r>
      <w:hyperlink r:id="rId31" w:history="1">
        <w:r w:rsidR="00E60682" w:rsidRPr="00E60682">
          <w:rPr>
            <w:rFonts w:ascii="David" w:hAnsi="David"/>
            <w:color w:val="0000FF"/>
            <w:u w:val="single"/>
            <w:rtl/>
          </w:rPr>
          <w:t>ע"פ 3877/16</w:t>
        </w:r>
      </w:hyperlink>
      <w:r>
        <w:rPr>
          <w:rFonts w:ascii="David" w:hAnsi="David"/>
          <w:rtl/>
        </w:rPr>
        <w:t xml:space="preserve"> </w:t>
      </w:r>
      <w:r>
        <w:rPr>
          <w:rFonts w:ascii="David" w:hAnsi="David"/>
          <w:b/>
          <w:bCs/>
          <w:rtl/>
        </w:rPr>
        <w:t>ג'באלי נ' מדינת ישראל</w:t>
      </w:r>
      <w:r>
        <w:rPr>
          <w:rFonts w:ascii="David" w:hAnsi="David"/>
          <w:rtl/>
        </w:rPr>
        <w:t xml:space="preserve"> (17.11.2016) – נדחה ערעורו של נאשם שהורשע בעבירה של נשיאת נשק לפי </w:t>
      </w:r>
      <w:hyperlink r:id="rId32" w:history="1">
        <w:r w:rsidR="009505F1" w:rsidRPr="009505F1">
          <w:rPr>
            <w:rStyle w:val="Hyperlink"/>
            <w:rFonts w:ascii="David" w:hAnsi="David"/>
            <w:rtl/>
          </w:rPr>
          <w:t>סעיף 144(ב)</w:t>
        </w:r>
      </w:hyperlink>
      <w:r>
        <w:rPr>
          <w:rFonts w:ascii="David" w:hAnsi="David"/>
          <w:rtl/>
        </w:rPr>
        <w:t xml:space="preserve"> רישא לחוק, בכך כשנשא עמו אקדח מסוג "גלוק" טעון במחסנית שהכילה 14 כדורים. נקבע מתחם אשר נע בין 24-48 חודשי מאסר בפועל, והושת על נאשם צעיר, בעל עבר פלילי מכביד, 34 חודשי מאסר בפועל. </w:t>
      </w:r>
    </w:p>
    <w:p w14:paraId="69F3A015" w14:textId="77777777" w:rsidR="00184D00" w:rsidRDefault="00184D00" w:rsidP="00184D00">
      <w:pPr>
        <w:spacing w:line="360" w:lineRule="auto"/>
        <w:ind w:left="1440" w:hanging="720"/>
        <w:jc w:val="both"/>
        <w:rPr>
          <w:rFonts w:ascii="David" w:hAnsi="David"/>
          <w:rtl/>
        </w:rPr>
      </w:pPr>
    </w:p>
    <w:p w14:paraId="42514754" w14:textId="77777777" w:rsidR="00184D00" w:rsidRDefault="00184D00" w:rsidP="00184D00">
      <w:pPr>
        <w:spacing w:line="360" w:lineRule="auto"/>
        <w:ind w:left="1440" w:hanging="720"/>
        <w:jc w:val="both"/>
        <w:rPr>
          <w:rFonts w:ascii="David" w:hAnsi="David"/>
          <w:rtl/>
        </w:rPr>
      </w:pPr>
      <w:r>
        <w:rPr>
          <w:rFonts w:ascii="David" w:hAnsi="David"/>
          <w:rtl/>
        </w:rPr>
        <w:t>ד.</w:t>
      </w:r>
      <w:r>
        <w:rPr>
          <w:rFonts w:ascii="David" w:hAnsi="David"/>
          <w:rtl/>
        </w:rPr>
        <w:tab/>
        <w:t>ב</w:t>
      </w:r>
      <w:hyperlink r:id="rId33" w:history="1">
        <w:r w:rsidR="00E60682" w:rsidRPr="00E60682">
          <w:rPr>
            <w:rFonts w:ascii="David" w:hAnsi="David"/>
            <w:color w:val="0000FF"/>
            <w:u w:val="single"/>
            <w:rtl/>
          </w:rPr>
          <w:t>ע"פ 4215/18</w:t>
        </w:r>
      </w:hyperlink>
      <w:r>
        <w:rPr>
          <w:rFonts w:ascii="David" w:hAnsi="David"/>
          <w:rtl/>
        </w:rPr>
        <w:t xml:space="preserve"> </w:t>
      </w:r>
      <w:r>
        <w:rPr>
          <w:rFonts w:ascii="David" w:hAnsi="David"/>
          <w:b/>
          <w:bCs/>
          <w:rtl/>
        </w:rPr>
        <w:t>ח'טיב נ' מדינת ישראל</w:t>
      </w:r>
      <w:r>
        <w:rPr>
          <w:rFonts w:ascii="David" w:hAnsi="David"/>
          <w:rtl/>
        </w:rPr>
        <w:t xml:space="preserve"> (08.07.2018) – נדחה ערעורו של נאשם שהורשע על-פי הודאתו בעבירה של נשיאת נשק ותחמושת לפי </w:t>
      </w:r>
      <w:hyperlink r:id="rId34" w:history="1">
        <w:r w:rsidR="009505F1" w:rsidRPr="009505F1">
          <w:rPr>
            <w:rStyle w:val="Hyperlink"/>
            <w:rFonts w:ascii="David" w:hAnsi="David"/>
            <w:rtl/>
          </w:rPr>
          <w:t>סעיף 144(ב)</w:t>
        </w:r>
      </w:hyperlink>
      <w:r>
        <w:rPr>
          <w:rFonts w:ascii="David" w:hAnsi="David"/>
          <w:rtl/>
        </w:rPr>
        <w:t xml:space="preserve"> לחוק, בכך ששהה בסמטה סמוכה לחצר ביתו, כשהוא נושא על גופו אקדח טעון בארבעה כדורים. הנאשם צירף עוד שני תיקים של החזקת סמים לצריכה עצמית. נקבע מתחם עונש הולם אשר נע בין 15 ל-36 חודשי מאסר בפועל והושת על הנאשם, צעיר שלחובתו הרשעה קודמת אחד, 15 חודשי מאסר בפועל. </w:t>
      </w:r>
    </w:p>
    <w:p w14:paraId="432A4B77" w14:textId="77777777" w:rsidR="00184D00" w:rsidRDefault="00184D00" w:rsidP="00184D00">
      <w:pPr>
        <w:spacing w:line="360" w:lineRule="auto"/>
        <w:ind w:left="1440" w:hanging="720"/>
        <w:jc w:val="both"/>
        <w:rPr>
          <w:rFonts w:ascii="David" w:hAnsi="David"/>
          <w:rtl/>
        </w:rPr>
      </w:pPr>
      <w:r>
        <w:rPr>
          <w:rFonts w:ascii="David" w:hAnsi="David"/>
          <w:rtl/>
        </w:rPr>
        <w:t>ה.</w:t>
      </w:r>
      <w:r>
        <w:rPr>
          <w:rFonts w:ascii="David" w:hAnsi="David"/>
          <w:rtl/>
        </w:rPr>
        <w:tab/>
        <w:t>ב</w:t>
      </w:r>
      <w:hyperlink r:id="rId35" w:history="1">
        <w:r w:rsidR="00E60682" w:rsidRPr="00E60682">
          <w:rPr>
            <w:rFonts w:ascii="David" w:hAnsi="David"/>
            <w:color w:val="0000FF"/>
            <w:u w:val="single"/>
            <w:rtl/>
          </w:rPr>
          <w:t>ע"פ 135/17</w:t>
        </w:r>
      </w:hyperlink>
      <w:r>
        <w:rPr>
          <w:rFonts w:ascii="David" w:hAnsi="David"/>
          <w:rtl/>
        </w:rPr>
        <w:t xml:space="preserve"> </w:t>
      </w:r>
      <w:r>
        <w:rPr>
          <w:rFonts w:ascii="David" w:hAnsi="David"/>
          <w:b/>
          <w:bCs/>
          <w:rtl/>
        </w:rPr>
        <w:t>מדינת ישראל נ' בסל</w:t>
      </w:r>
      <w:r>
        <w:rPr>
          <w:rFonts w:ascii="David" w:hAnsi="David"/>
          <w:rtl/>
        </w:rPr>
        <w:t xml:space="preserve"> (08.03.2017) – בית המשפט העליון קיבל את ערעורה של המדינה על קולת העונש שהושת על הנאשם שהורשע בעבירה של החזקה ונשיאת נשק מסוג תת מקלע מאולתר ומחסנית, לפי </w:t>
      </w:r>
      <w:hyperlink r:id="rId36" w:history="1">
        <w:r w:rsidR="009505F1" w:rsidRPr="009505F1">
          <w:rPr>
            <w:rStyle w:val="Hyperlink"/>
            <w:rFonts w:ascii="David" w:hAnsi="David"/>
            <w:rtl/>
          </w:rPr>
          <w:t>סעיפים 144(א)</w:t>
        </w:r>
      </w:hyperlink>
      <w:r>
        <w:rPr>
          <w:rFonts w:ascii="David" w:hAnsi="David"/>
          <w:rtl/>
        </w:rPr>
        <w:t xml:space="preserve"> ו-</w:t>
      </w:r>
      <w:hyperlink r:id="rId37" w:history="1">
        <w:r w:rsidR="009505F1" w:rsidRPr="009505F1">
          <w:rPr>
            <w:rStyle w:val="Hyperlink"/>
            <w:rFonts w:ascii="David" w:hAnsi="David"/>
            <w:rtl/>
          </w:rPr>
          <w:t>144(ב)</w:t>
        </w:r>
      </w:hyperlink>
      <w:r>
        <w:rPr>
          <w:rFonts w:ascii="David" w:hAnsi="David"/>
          <w:rtl/>
        </w:rPr>
        <w:t xml:space="preserve"> ל</w:t>
      </w:r>
      <w:hyperlink r:id="rId38" w:history="1">
        <w:r w:rsidR="00E60682" w:rsidRPr="00E60682">
          <w:rPr>
            <w:rFonts w:ascii="David" w:hAnsi="David"/>
            <w:color w:val="0000FF"/>
            <w:u w:val="single"/>
            <w:rtl/>
          </w:rPr>
          <w:t>חוק העונשין</w:t>
        </w:r>
      </w:hyperlink>
      <w:r>
        <w:rPr>
          <w:rFonts w:ascii="David" w:hAnsi="David"/>
          <w:rtl/>
        </w:rPr>
        <w:t>, והעמיד את עונשו של הנאשם על 18 חודשי מאסר בפועל, חלף 12 חודשי מאסר שנגזרו על הנאשם.</w:t>
      </w:r>
    </w:p>
    <w:p w14:paraId="489DE7ED" w14:textId="77777777" w:rsidR="00184D00" w:rsidRDefault="00184D00" w:rsidP="00184D00">
      <w:pPr>
        <w:spacing w:line="360" w:lineRule="auto"/>
        <w:ind w:left="1440" w:hanging="720"/>
        <w:jc w:val="both"/>
        <w:rPr>
          <w:rFonts w:ascii="David" w:hAnsi="David"/>
          <w:rtl/>
        </w:rPr>
      </w:pPr>
    </w:p>
    <w:p w14:paraId="6CD744D0" w14:textId="77777777" w:rsidR="00184D00" w:rsidRDefault="00184D00" w:rsidP="00184D00">
      <w:pPr>
        <w:spacing w:line="360" w:lineRule="auto"/>
        <w:ind w:left="1440" w:hanging="720"/>
        <w:jc w:val="both"/>
        <w:rPr>
          <w:rFonts w:ascii="David" w:hAnsi="David"/>
          <w:rtl/>
        </w:rPr>
      </w:pPr>
      <w:r>
        <w:rPr>
          <w:rFonts w:ascii="David" w:hAnsi="David"/>
          <w:rtl/>
        </w:rPr>
        <w:t>ו.</w:t>
      </w:r>
      <w:r>
        <w:rPr>
          <w:rFonts w:ascii="David" w:hAnsi="David"/>
          <w:rtl/>
        </w:rPr>
        <w:tab/>
        <w:t>ב</w:t>
      </w:r>
      <w:hyperlink r:id="rId39" w:history="1">
        <w:r w:rsidR="00E60682" w:rsidRPr="00E60682">
          <w:rPr>
            <w:rFonts w:ascii="David" w:hAnsi="David"/>
            <w:color w:val="0000FF"/>
            <w:u w:val="single"/>
            <w:rtl/>
          </w:rPr>
          <w:t>ת"פ (מחוזי מרכז) 52416-06-20</w:t>
        </w:r>
      </w:hyperlink>
      <w:r>
        <w:rPr>
          <w:rFonts w:ascii="David" w:hAnsi="David"/>
          <w:rtl/>
        </w:rPr>
        <w:t xml:space="preserve"> </w:t>
      </w:r>
      <w:r>
        <w:rPr>
          <w:rFonts w:ascii="David" w:hAnsi="David"/>
          <w:b/>
          <w:bCs/>
          <w:rtl/>
        </w:rPr>
        <w:t>מדינת ישראל נ' מתאני</w:t>
      </w:r>
      <w:r>
        <w:rPr>
          <w:rFonts w:ascii="David" w:hAnsi="David"/>
          <w:rtl/>
        </w:rPr>
        <w:t xml:space="preserve"> (12.01.2021) – הורשע נאשם על-פי הודאתו בעבירה של נשיאת נשק ותחמושת לפי </w:t>
      </w:r>
      <w:hyperlink r:id="rId40" w:history="1">
        <w:r w:rsidR="009505F1" w:rsidRPr="009505F1">
          <w:rPr>
            <w:rStyle w:val="Hyperlink"/>
            <w:rFonts w:ascii="David" w:hAnsi="David"/>
            <w:rtl/>
          </w:rPr>
          <w:t>סעיף 144(ב)</w:t>
        </w:r>
      </w:hyperlink>
      <w:r>
        <w:rPr>
          <w:rFonts w:ascii="David" w:hAnsi="David"/>
          <w:rtl/>
        </w:rPr>
        <w:t xml:space="preserve"> רישא וסיפא לחוק. הנאשם נשא עליו אקדח שהיה טעון במחסנית וכדורים תואמים, מוסתר במכנסיו. נקבע מתחם אשר נע בין 15 ל-40 חודשי מאסר והושת על הנאשם, צעיר כבן 23, שלחובתו הרשעה קודמת אחת בתחום הנשק, 23 חודשי מאסר בפועל. </w:t>
      </w:r>
    </w:p>
    <w:p w14:paraId="1977D7FA" w14:textId="77777777" w:rsidR="00184D00" w:rsidRDefault="00184D00" w:rsidP="00184D00">
      <w:pPr>
        <w:spacing w:line="360" w:lineRule="auto"/>
        <w:ind w:left="1440" w:hanging="720"/>
        <w:jc w:val="both"/>
        <w:rPr>
          <w:rFonts w:ascii="David" w:hAnsi="David"/>
          <w:rtl/>
        </w:rPr>
      </w:pPr>
    </w:p>
    <w:p w14:paraId="25A54167" w14:textId="77777777" w:rsidR="00184D00" w:rsidRDefault="00184D00" w:rsidP="00184D00">
      <w:pPr>
        <w:spacing w:line="360" w:lineRule="auto"/>
        <w:ind w:left="1440" w:hanging="720"/>
        <w:jc w:val="both"/>
        <w:rPr>
          <w:rFonts w:ascii="David" w:hAnsi="David"/>
          <w:u w:val="single"/>
          <w:rtl/>
        </w:rPr>
      </w:pPr>
      <w:r>
        <w:rPr>
          <w:rFonts w:ascii="David" w:hAnsi="David"/>
          <w:u w:val="single"/>
          <w:rtl/>
        </w:rPr>
        <w:t>ראו גם:</w:t>
      </w:r>
    </w:p>
    <w:p w14:paraId="4FCACD01" w14:textId="77777777" w:rsidR="00184D00" w:rsidRDefault="00E60682" w:rsidP="00184D00">
      <w:pPr>
        <w:pStyle w:val="a9"/>
        <w:numPr>
          <w:ilvl w:val="0"/>
          <w:numId w:val="1"/>
        </w:numPr>
        <w:spacing w:after="0" w:line="360" w:lineRule="auto"/>
        <w:jc w:val="both"/>
        <w:rPr>
          <w:rFonts w:ascii="David" w:hAnsi="David" w:cs="David"/>
          <w:sz w:val="24"/>
          <w:szCs w:val="24"/>
          <w:rtl/>
        </w:rPr>
      </w:pPr>
      <w:hyperlink r:id="rId41" w:history="1">
        <w:r w:rsidRPr="00E60682">
          <w:rPr>
            <w:rFonts w:ascii="David" w:hAnsi="David" w:cs="David"/>
            <w:color w:val="0000FF"/>
            <w:sz w:val="24"/>
            <w:szCs w:val="24"/>
            <w:u w:val="single"/>
            <w:rtl/>
          </w:rPr>
          <w:t>ת"פ (מחוזי מרכז) 44381-05-20</w:t>
        </w:r>
      </w:hyperlink>
      <w:r w:rsidR="00184D00">
        <w:rPr>
          <w:rFonts w:ascii="David" w:hAnsi="David" w:cs="David"/>
          <w:sz w:val="24"/>
          <w:szCs w:val="24"/>
          <w:rtl/>
        </w:rPr>
        <w:t xml:space="preserve"> </w:t>
      </w:r>
      <w:r w:rsidR="00184D00">
        <w:rPr>
          <w:rFonts w:ascii="David" w:hAnsi="David" w:cs="David"/>
          <w:b/>
          <w:bCs/>
          <w:sz w:val="24"/>
          <w:szCs w:val="24"/>
          <w:rtl/>
        </w:rPr>
        <w:t>מדינת ישראל נ' סאלח</w:t>
      </w:r>
      <w:r w:rsidR="00184D00">
        <w:rPr>
          <w:rFonts w:ascii="David" w:hAnsi="David" w:cs="David"/>
          <w:sz w:val="24"/>
          <w:szCs w:val="24"/>
          <w:rtl/>
        </w:rPr>
        <w:t xml:space="preserve"> (27.10.2020).</w:t>
      </w:r>
    </w:p>
    <w:p w14:paraId="32278F3B" w14:textId="77777777" w:rsidR="00184D00" w:rsidRDefault="00E60682" w:rsidP="00184D00">
      <w:pPr>
        <w:pStyle w:val="a9"/>
        <w:numPr>
          <w:ilvl w:val="0"/>
          <w:numId w:val="1"/>
        </w:numPr>
        <w:spacing w:after="0" w:line="360" w:lineRule="auto"/>
        <w:jc w:val="both"/>
        <w:rPr>
          <w:rFonts w:ascii="David" w:hAnsi="David" w:cs="David"/>
          <w:sz w:val="24"/>
          <w:szCs w:val="24"/>
        </w:rPr>
      </w:pPr>
      <w:hyperlink r:id="rId42" w:history="1">
        <w:r w:rsidRPr="00E60682">
          <w:rPr>
            <w:rFonts w:ascii="David" w:hAnsi="David" w:cs="David"/>
            <w:color w:val="0000FF"/>
            <w:sz w:val="24"/>
            <w:szCs w:val="24"/>
            <w:u w:val="single"/>
            <w:rtl/>
          </w:rPr>
          <w:t>ת"פ (מחוזי חי') 68389-07-20</w:t>
        </w:r>
      </w:hyperlink>
      <w:r w:rsidR="00184D00">
        <w:rPr>
          <w:rFonts w:ascii="David" w:hAnsi="David" w:cs="David"/>
          <w:sz w:val="24"/>
          <w:szCs w:val="24"/>
          <w:rtl/>
        </w:rPr>
        <w:t xml:space="preserve"> </w:t>
      </w:r>
      <w:r w:rsidR="00184D00">
        <w:rPr>
          <w:rFonts w:ascii="David" w:hAnsi="David" w:cs="David"/>
          <w:b/>
          <w:bCs/>
          <w:sz w:val="24"/>
          <w:szCs w:val="24"/>
          <w:rtl/>
        </w:rPr>
        <w:t>מדינת ישראל נ' ח'אלדי</w:t>
      </w:r>
      <w:r w:rsidR="00184D00">
        <w:rPr>
          <w:rFonts w:ascii="David" w:hAnsi="David" w:cs="David"/>
          <w:sz w:val="24"/>
          <w:szCs w:val="24"/>
          <w:rtl/>
        </w:rPr>
        <w:t xml:space="preserve"> (23.02.2021).</w:t>
      </w:r>
    </w:p>
    <w:p w14:paraId="32AEAB8B" w14:textId="77777777" w:rsidR="00184D00" w:rsidRDefault="00184D00" w:rsidP="00184D00">
      <w:pPr>
        <w:spacing w:line="360" w:lineRule="auto"/>
        <w:jc w:val="both"/>
        <w:rPr>
          <w:rFonts w:ascii="David" w:hAnsi="David"/>
          <w:rtl/>
        </w:rPr>
      </w:pPr>
    </w:p>
    <w:p w14:paraId="71F7B68E" w14:textId="77777777" w:rsidR="00184D00" w:rsidRDefault="00184D00" w:rsidP="00184D00">
      <w:pPr>
        <w:spacing w:line="360" w:lineRule="auto"/>
        <w:ind w:left="720" w:hanging="720"/>
        <w:jc w:val="both"/>
        <w:rPr>
          <w:rFonts w:ascii="David" w:hAnsi="David"/>
          <w:rtl/>
        </w:rPr>
      </w:pPr>
      <w:r>
        <w:rPr>
          <w:rFonts w:ascii="David" w:hAnsi="David"/>
          <w:rtl/>
        </w:rPr>
        <w:t>20.</w:t>
      </w:r>
      <w:r>
        <w:rPr>
          <w:rFonts w:ascii="David" w:hAnsi="David"/>
          <w:rtl/>
        </w:rPr>
        <w:tab/>
      </w:r>
      <w:r>
        <w:rPr>
          <w:rFonts w:ascii="David" w:hAnsi="David" w:hint="cs"/>
          <w:rtl/>
        </w:rPr>
        <w:t>לאור האמור לעיל</w:t>
      </w:r>
      <w:r>
        <w:rPr>
          <w:rFonts w:ascii="David" w:hAnsi="David"/>
          <w:rtl/>
        </w:rPr>
        <w:t>, בשים לב לעונש שנקבע בצידה של העבירה, בהתחשב בערכים שנפגעו מביצוע העבירה, מידת הפגיעה בהם, נסיבות ביצוע העבירות ומדיניות הענישה הנהוגה כמפורט לעיל, יש לאמץ מתחם ענישה התואם את דרגת החומרה של מעשיו של הנאשם, שאינם ברף העליון</w:t>
      </w:r>
      <w:r>
        <w:rPr>
          <w:rFonts w:ascii="David" w:hAnsi="David" w:hint="cs"/>
          <w:rtl/>
        </w:rPr>
        <w:t xml:space="preserve">. לשיטתי, </w:t>
      </w:r>
      <w:r>
        <w:rPr>
          <w:rFonts w:ascii="David" w:hAnsi="David"/>
          <w:rtl/>
        </w:rPr>
        <w:t>מתחם העונש ההולם בנסיבות העניין נע בין 1</w:t>
      </w:r>
      <w:r>
        <w:rPr>
          <w:rFonts w:ascii="David" w:hAnsi="David" w:hint="cs"/>
          <w:rtl/>
        </w:rPr>
        <w:t>6</w:t>
      </w:r>
      <w:r>
        <w:rPr>
          <w:rFonts w:ascii="David" w:hAnsi="David"/>
          <w:rtl/>
        </w:rPr>
        <w:t xml:space="preserve"> חודשי מאסר בפועל עד 40 חודשי מאסר בפועל, לצד רכיבי ענישה של מאסר מותנה וקנס.  </w:t>
      </w:r>
    </w:p>
    <w:p w14:paraId="4723553B" w14:textId="77777777" w:rsidR="00184D00" w:rsidRDefault="00184D00" w:rsidP="00184D00">
      <w:pPr>
        <w:spacing w:line="360" w:lineRule="auto"/>
        <w:ind w:left="720" w:hanging="720"/>
        <w:jc w:val="both"/>
        <w:rPr>
          <w:rFonts w:ascii="David" w:hAnsi="David"/>
          <w:rtl/>
        </w:rPr>
      </w:pPr>
    </w:p>
    <w:p w14:paraId="318984C9" w14:textId="77777777" w:rsidR="00184D00" w:rsidRDefault="00184D00" w:rsidP="00184D00">
      <w:pPr>
        <w:spacing w:line="360" w:lineRule="auto"/>
        <w:ind w:left="720" w:hanging="720"/>
        <w:jc w:val="both"/>
        <w:rPr>
          <w:rFonts w:ascii="David" w:hAnsi="David"/>
          <w:rtl/>
        </w:rPr>
      </w:pPr>
      <w:r>
        <w:rPr>
          <w:rFonts w:ascii="David" w:hAnsi="David"/>
          <w:u w:val="single"/>
          <w:rtl/>
        </w:rPr>
        <w:t>העונש המתאים לנאשם</w:t>
      </w:r>
      <w:r>
        <w:rPr>
          <w:rFonts w:ascii="David" w:hAnsi="David"/>
          <w:rtl/>
        </w:rPr>
        <w:t>:</w:t>
      </w:r>
    </w:p>
    <w:p w14:paraId="03B7F062" w14:textId="77777777" w:rsidR="00184D00" w:rsidRDefault="00184D00" w:rsidP="00184D00">
      <w:pPr>
        <w:spacing w:line="360" w:lineRule="auto"/>
        <w:ind w:left="720" w:hanging="720"/>
        <w:jc w:val="both"/>
        <w:rPr>
          <w:rFonts w:ascii="David" w:hAnsi="David"/>
          <w:rtl/>
        </w:rPr>
      </w:pPr>
    </w:p>
    <w:p w14:paraId="428D9F84" w14:textId="77777777" w:rsidR="00184D00" w:rsidRDefault="00184D00" w:rsidP="00184D00">
      <w:pPr>
        <w:spacing w:line="360" w:lineRule="auto"/>
        <w:ind w:left="720" w:hanging="720"/>
        <w:jc w:val="both"/>
        <w:rPr>
          <w:rFonts w:ascii="David" w:hAnsi="David"/>
          <w:rtl/>
        </w:rPr>
      </w:pPr>
      <w:r>
        <w:rPr>
          <w:rFonts w:ascii="David" w:hAnsi="David"/>
          <w:rtl/>
        </w:rPr>
        <w:t>21.</w:t>
      </w:r>
      <w:r>
        <w:rPr>
          <w:rFonts w:ascii="David" w:hAnsi="David"/>
          <w:rtl/>
        </w:rPr>
        <w:tab/>
        <w:t>בקביעת העונש המתאים לנאשם, בגדרי המתחם או בסטייה ממנו, יש להתחשב בנסיבות שאינן קשורות בביצוע העבירה ובכלל זה בנסיבותיו של הנאשם ובסיכויי שיוקמו. מאחר ועל-פי טיעוני הצדדים לא עולה שאלת שיקומו של הנאשם על הפרק, ומאחר ולא קיימים שיקולים אשר מצדיקים חריגה מהמתחם לחומרה או לקולה, אקבע עונשו של הנאשם בתוך המתחם שנקבע.</w:t>
      </w:r>
    </w:p>
    <w:p w14:paraId="4E2D6278" w14:textId="77777777" w:rsidR="00184D00" w:rsidRDefault="00184D00" w:rsidP="00184D00">
      <w:pPr>
        <w:spacing w:line="360" w:lineRule="auto"/>
        <w:ind w:left="720" w:hanging="720"/>
        <w:jc w:val="both"/>
        <w:rPr>
          <w:rFonts w:ascii="David" w:hAnsi="David"/>
          <w:rtl/>
        </w:rPr>
      </w:pPr>
    </w:p>
    <w:p w14:paraId="3E27756D" w14:textId="77777777" w:rsidR="00184D00" w:rsidRDefault="00184D00" w:rsidP="00184D00">
      <w:pPr>
        <w:spacing w:line="360" w:lineRule="auto"/>
        <w:ind w:left="720" w:hanging="720"/>
        <w:jc w:val="both"/>
        <w:rPr>
          <w:rFonts w:ascii="David" w:hAnsi="David"/>
          <w:rtl/>
        </w:rPr>
      </w:pPr>
    </w:p>
    <w:p w14:paraId="0AD0BCA7" w14:textId="77777777" w:rsidR="00184D00" w:rsidRDefault="00184D00" w:rsidP="00184D00">
      <w:pPr>
        <w:spacing w:line="360" w:lineRule="auto"/>
        <w:ind w:left="720" w:hanging="720"/>
        <w:jc w:val="both"/>
        <w:rPr>
          <w:rFonts w:ascii="David" w:hAnsi="David"/>
          <w:rtl/>
        </w:rPr>
      </w:pPr>
    </w:p>
    <w:p w14:paraId="04E21548" w14:textId="77777777" w:rsidR="00184D00" w:rsidRDefault="00184D00" w:rsidP="00184D00">
      <w:pPr>
        <w:spacing w:line="360" w:lineRule="auto"/>
        <w:ind w:left="720" w:hanging="720"/>
        <w:jc w:val="both"/>
        <w:rPr>
          <w:rFonts w:ascii="David" w:hAnsi="David"/>
          <w:rtl/>
        </w:rPr>
      </w:pPr>
      <w:r>
        <w:rPr>
          <w:rFonts w:ascii="David" w:hAnsi="David"/>
          <w:rtl/>
        </w:rPr>
        <w:t>22.</w:t>
      </w:r>
      <w:r>
        <w:rPr>
          <w:rFonts w:ascii="David" w:hAnsi="David"/>
          <w:rtl/>
        </w:rPr>
        <w:tab/>
        <w:t xml:space="preserve">הנאשם, בן 25 נשוי אב לילדה בת שנה ואשתו בהיריון מתקדם. הנאשם נעדר עבר פלילי, הודה בעובדות כתב האישום המתוקן. כעולה מדברי ב"כ הנאשם ומתסקיר שירות המבחן, עד לאירוע נשוא כתב האישום, ניהל הנאשם אורח חיים נורמטיבי והיה המפרנס העיקרי במשפחתו, כאשר החל לעבוד מגיל צעיר ודאג לפרנסת משפחתו, מכאן נראה כי הטלת מאסר ממושך עשויה לפוגע אף במשפחתו. בהקשר זה נתתי דעתי למסמכים הרפואיים שהובאו בפניי מהם עולה כי רעייתו של הנאשם נמצאת במעקב נוירולוגי לאור מצבה הרפואי. </w:t>
      </w:r>
    </w:p>
    <w:p w14:paraId="705730FD" w14:textId="77777777" w:rsidR="00184D00" w:rsidRDefault="00184D00" w:rsidP="00184D00">
      <w:pPr>
        <w:spacing w:line="360" w:lineRule="auto"/>
        <w:ind w:left="720" w:hanging="720"/>
        <w:jc w:val="both"/>
        <w:rPr>
          <w:rFonts w:ascii="David" w:hAnsi="David"/>
          <w:rtl/>
        </w:rPr>
      </w:pPr>
    </w:p>
    <w:p w14:paraId="5BFF3ED6" w14:textId="77777777" w:rsidR="00184D00" w:rsidRDefault="00184D00" w:rsidP="00184D00">
      <w:pPr>
        <w:spacing w:line="360" w:lineRule="auto"/>
        <w:ind w:left="720" w:hanging="720"/>
        <w:jc w:val="both"/>
        <w:rPr>
          <w:rFonts w:ascii="David" w:hAnsi="David"/>
          <w:rtl/>
        </w:rPr>
      </w:pPr>
      <w:r>
        <w:rPr>
          <w:rFonts w:ascii="David" w:hAnsi="David"/>
          <w:rtl/>
        </w:rPr>
        <w:t>23.</w:t>
      </w:r>
      <w:r>
        <w:rPr>
          <w:rFonts w:ascii="David" w:hAnsi="David"/>
          <w:rtl/>
        </w:rPr>
        <w:tab/>
      </w:r>
      <w:r>
        <w:rPr>
          <w:rFonts w:ascii="David" w:hAnsi="David" w:hint="cs"/>
          <w:rtl/>
        </w:rPr>
        <w:t xml:space="preserve">הנאשם </w:t>
      </w:r>
      <w:r>
        <w:rPr>
          <w:rFonts w:ascii="David" w:hAnsi="David"/>
          <w:rtl/>
        </w:rPr>
        <w:t xml:space="preserve">הביע חרטה וצער על ביצוע העבירה, </w:t>
      </w:r>
      <w:r>
        <w:rPr>
          <w:rFonts w:ascii="David" w:hAnsi="David" w:hint="cs"/>
          <w:rtl/>
        </w:rPr>
        <w:t xml:space="preserve">הגם שבפני שירות המבחן </w:t>
      </w:r>
      <w:r>
        <w:rPr>
          <w:rFonts w:ascii="David" w:hAnsi="David"/>
          <w:rtl/>
        </w:rPr>
        <w:t>לקח אחריות חלקית ופורמאלית לביצוע העבירה ונטה לצמצמם את מעשיו.</w:t>
      </w:r>
      <w:r>
        <w:rPr>
          <w:rFonts w:ascii="David" w:hAnsi="David" w:hint="cs"/>
          <w:rtl/>
        </w:rPr>
        <w:t xml:space="preserve"> </w:t>
      </w:r>
      <w:r>
        <w:rPr>
          <w:rFonts w:ascii="David" w:hAnsi="David"/>
          <w:rtl/>
        </w:rPr>
        <w:t xml:space="preserve">עוד יש ליתן משקל לקולה לעובדה כי הנאשם שוהה מאז יום 07.12.2020 בתנאי מעצר באיזוק אלקטרוני. </w:t>
      </w:r>
    </w:p>
    <w:p w14:paraId="6A1A8B5B" w14:textId="77777777" w:rsidR="00184D00" w:rsidRDefault="00184D00" w:rsidP="00184D00">
      <w:pPr>
        <w:spacing w:line="360" w:lineRule="auto"/>
        <w:jc w:val="both"/>
        <w:rPr>
          <w:rFonts w:ascii="David" w:hAnsi="David"/>
        </w:rPr>
      </w:pPr>
    </w:p>
    <w:p w14:paraId="17610651" w14:textId="77777777" w:rsidR="00184D00" w:rsidRDefault="00184D00" w:rsidP="00184D00">
      <w:pPr>
        <w:spacing w:line="360" w:lineRule="auto"/>
        <w:ind w:left="720" w:hanging="720"/>
        <w:jc w:val="both"/>
        <w:rPr>
          <w:rFonts w:ascii="David" w:hAnsi="David"/>
          <w:rtl/>
        </w:rPr>
      </w:pPr>
      <w:r>
        <w:rPr>
          <w:rFonts w:ascii="David" w:hAnsi="David"/>
          <w:rtl/>
        </w:rPr>
        <w:t>2</w:t>
      </w:r>
      <w:r>
        <w:rPr>
          <w:rFonts w:ascii="David" w:hAnsi="David" w:hint="cs"/>
          <w:rtl/>
        </w:rPr>
        <w:t>4.</w:t>
      </w:r>
      <w:r>
        <w:rPr>
          <w:rFonts w:ascii="David" w:hAnsi="David"/>
          <w:rtl/>
        </w:rPr>
        <w:tab/>
        <w:t>באיזון הראוי בין השיקולים, בשים לב לנסיבות ביצוע העבירה</w:t>
      </w:r>
      <w:r>
        <w:rPr>
          <w:rFonts w:ascii="David" w:hAnsi="David" w:hint="cs"/>
          <w:rtl/>
        </w:rPr>
        <w:t xml:space="preserve">, </w:t>
      </w:r>
      <w:r>
        <w:rPr>
          <w:rFonts w:ascii="David" w:hAnsi="David"/>
          <w:rtl/>
        </w:rPr>
        <w:t xml:space="preserve">באיזון בין נסיבותיו של הנאשם, ובשים לב לכך כי </w:t>
      </w:r>
      <w:r>
        <w:rPr>
          <w:rFonts w:ascii="David" w:hAnsi="David" w:hint="cs"/>
          <w:rtl/>
        </w:rPr>
        <w:t>בבוא בית המשפט לגזור עונש בעבירות נשק יש ליתן משקל יתר לאינטרס הציבורי עליו עמדתי לעיל</w:t>
      </w:r>
      <w:r>
        <w:rPr>
          <w:rFonts w:ascii="David" w:hAnsi="David"/>
          <w:rtl/>
        </w:rPr>
        <w:t xml:space="preserve"> על פני ענייניו של הנאשם, סבורני כי יש לגזור על הנאשם עונש מאסר בפועל ברף האמצעי</w:t>
      </w:r>
      <w:r>
        <w:rPr>
          <w:rFonts w:ascii="David" w:hAnsi="David" w:hint="cs"/>
          <w:rtl/>
        </w:rPr>
        <w:t>-</w:t>
      </w:r>
      <w:r>
        <w:rPr>
          <w:rFonts w:ascii="David" w:hAnsi="David"/>
          <w:rtl/>
        </w:rPr>
        <w:t xml:space="preserve">תחתון של המתחם, לצד עונש של מאסר מותנה וקנס.  </w:t>
      </w:r>
    </w:p>
    <w:p w14:paraId="003C0641" w14:textId="77777777" w:rsidR="00184D00" w:rsidRDefault="00184D00" w:rsidP="00184D00">
      <w:pPr>
        <w:spacing w:line="360" w:lineRule="auto"/>
        <w:jc w:val="both"/>
        <w:rPr>
          <w:rFonts w:ascii="David" w:hAnsi="David"/>
          <w:rtl/>
        </w:rPr>
      </w:pPr>
    </w:p>
    <w:p w14:paraId="19C8A144" w14:textId="77777777" w:rsidR="00184D00" w:rsidRDefault="00184D00" w:rsidP="00184D00">
      <w:pPr>
        <w:spacing w:line="360" w:lineRule="auto"/>
        <w:ind w:left="720" w:hanging="720"/>
        <w:jc w:val="both"/>
        <w:rPr>
          <w:rFonts w:ascii="David" w:hAnsi="David"/>
          <w:rtl/>
        </w:rPr>
      </w:pPr>
      <w:r>
        <w:rPr>
          <w:rFonts w:ascii="David" w:hAnsi="David"/>
          <w:rtl/>
        </w:rPr>
        <w:t>2</w:t>
      </w:r>
      <w:r>
        <w:rPr>
          <w:rFonts w:ascii="David" w:hAnsi="David" w:hint="cs"/>
          <w:rtl/>
        </w:rPr>
        <w:t>5.</w:t>
      </w:r>
      <w:r>
        <w:rPr>
          <w:rFonts w:ascii="David" w:hAnsi="David"/>
          <w:rtl/>
        </w:rPr>
        <w:tab/>
        <w:t>בסיכומו של דבר, הנני גוזר על הנאשם את העונשים הבאים:</w:t>
      </w:r>
    </w:p>
    <w:p w14:paraId="40DF6347" w14:textId="77777777" w:rsidR="00184D00" w:rsidRDefault="00184D00" w:rsidP="00184D00">
      <w:pPr>
        <w:spacing w:line="360" w:lineRule="auto"/>
        <w:ind w:left="720" w:hanging="720"/>
        <w:jc w:val="both"/>
        <w:rPr>
          <w:rFonts w:ascii="David" w:hAnsi="David"/>
          <w:rtl/>
        </w:rPr>
      </w:pPr>
    </w:p>
    <w:p w14:paraId="54F07E21" w14:textId="77777777" w:rsidR="00184D00" w:rsidRDefault="00184D00" w:rsidP="00184D00">
      <w:pPr>
        <w:spacing w:line="360" w:lineRule="auto"/>
        <w:ind w:left="1440" w:hanging="720"/>
        <w:jc w:val="both"/>
        <w:rPr>
          <w:rFonts w:ascii="David" w:hAnsi="David"/>
          <w:rtl/>
        </w:rPr>
      </w:pPr>
      <w:r>
        <w:rPr>
          <w:rFonts w:ascii="David" w:hAnsi="David"/>
          <w:rtl/>
        </w:rPr>
        <w:t>א.</w:t>
      </w:r>
      <w:r>
        <w:rPr>
          <w:rFonts w:ascii="David" w:hAnsi="David"/>
          <w:rtl/>
        </w:rPr>
        <w:tab/>
      </w:r>
      <w:r>
        <w:rPr>
          <w:rFonts w:ascii="David" w:hAnsi="David" w:hint="cs"/>
          <w:rtl/>
        </w:rPr>
        <w:t>18</w:t>
      </w:r>
      <w:r>
        <w:rPr>
          <w:rFonts w:ascii="David" w:hAnsi="David"/>
          <w:rtl/>
        </w:rPr>
        <w:t xml:space="preserve"> חודשי מאסר בפועל, בניכוי ימי מעצרו מיום 14.10.2020 עד ליום 07.12.2020.</w:t>
      </w:r>
    </w:p>
    <w:p w14:paraId="29239427" w14:textId="77777777" w:rsidR="00184D00" w:rsidRDefault="00184D00" w:rsidP="00184D00">
      <w:pPr>
        <w:spacing w:line="360" w:lineRule="auto"/>
        <w:ind w:left="1440"/>
        <w:jc w:val="both"/>
        <w:rPr>
          <w:rFonts w:ascii="David" w:hAnsi="David"/>
          <w:rtl/>
        </w:rPr>
      </w:pPr>
      <w:r>
        <w:rPr>
          <w:rFonts w:ascii="David" w:hAnsi="David"/>
          <w:rtl/>
        </w:rPr>
        <w:t xml:space="preserve">הנאשם יתייצב לריצוי מאסרו בבית מעצר קישון ביום 22.08.2021 עד השעה 10:00 או לפי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David" w:hAnsi="David"/>
          <w:u w:val="single"/>
          <w:rtl/>
        </w:rPr>
        <w:t>תנאי המעצר באיזוק בהם היה נתון הנאשם עד כה, ימשיכו לחול עד להתייצבותו לתחילת ריצוי עונשו.</w:t>
      </w:r>
      <w:r>
        <w:rPr>
          <w:rFonts w:ascii="David" w:hAnsi="David" w:hint="cs"/>
          <w:u w:val="single"/>
          <w:rtl/>
        </w:rPr>
        <w:t xml:space="preserve"> רשאי הנאשם להגיש בקשה להעתקת מקום המעצר באזוק אלקטרוני וככל שתוגש בקשה היא תישקל</w:t>
      </w:r>
    </w:p>
    <w:p w14:paraId="54F75FAD" w14:textId="77777777" w:rsidR="00184D00" w:rsidRDefault="00184D00" w:rsidP="00184D00">
      <w:pPr>
        <w:spacing w:line="360" w:lineRule="auto"/>
        <w:ind w:left="720" w:hanging="720"/>
        <w:jc w:val="both"/>
        <w:rPr>
          <w:rFonts w:ascii="David" w:hAnsi="David"/>
          <w:rtl/>
        </w:rPr>
      </w:pPr>
    </w:p>
    <w:p w14:paraId="311E62F0" w14:textId="77777777" w:rsidR="00184D00" w:rsidRDefault="00184D00" w:rsidP="00184D00">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והתנאי הוא שהנאשם לא יעבור תוך תקופה של 3 שנים מיום שחרורו, כל עבירת נשק מסוג פשע ויורשע בגינה. </w:t>
      </w:r>
    </w:p>
    <w:p w14:paraId="75C66B06" w14:textId="77777777" w:rsidR="00184D00" w:rsidRDefault="00184D00" w:rsidP="00184D00">
      <w:pPr>
        <w:spacing w:line="360" w:lineRule="auto"/>
        <w:ind w:left="1440" w:hanging="720"/>
        <w:jc w:val="both"/>
        <w:rPr>
          <w:rFonts w:ascii="David" w:hAnsi="David"/>
          <w:rtl/>
        </w:rPr>
      </w:pPr>
    </w:p>
    <w:p w14:paraId="5804BD37" w14:textId="77777777" w:rsidR="00184D00" w:rsidRDefault="00184D00" w:rsidP="00184D00">
      <w:pPr>
        <w:spacing w:line="360" w:lineRule="auto"/>
        <w:ind w:left="1440" w:hanging="720"/>
        <w:jc w:val="both"/>
        <w:rPr>
          <w:rFonts w:ascii="David" w:hAnsi="David"/>
          <w:rtl/>
        </w:rPr>
      </w:pPr>
      <w:r>
        <w:rPr>
          <w:rFonts w:ascii="David" w:hAnsi="David"/>
          <w:rtl/>
        </w:rPr>
        <w:t>ג.</w:t>
      </w:r>
      <w:r>
        <w:rPr>
          <w:rFonts w:ascii="David" w:hAnsi="David"/>
          <w:rtl/>
        </w:rPr>
        <w:tab/>
        <w:t>6 חודשי מאסר על תנאי, והתנאי הוא שהנאשם לא יעבור תוך תקופה של 3 שנים מיום שחרורו, כל עבירת נשק מסוג עוון ויורשע בגינה.</w:t>
      </w:r>
    </w:p>
    <w:p w14:paraId="48DBC085" w14:textId="77777777" w:rsidR="00184D00" w:rsidRDefault="00184D00" w:rsidP="00184D00">
      <w:pPr>
        <w:spacing w:line="360" w:lineRule="auto"/>
        <w:ind w:left="1440" w:hanging="720"/>
        <w:jc w:val="both"/>
        <w:rPr>
          <w:rFonts w:ascii="David" w:hAnsi="David"/>
          <w:rtl/>
        </w:rPr>
      </w:pPr>
    </w:p>
    <w:p w14:paraId="31758A7B" w14:textId="77777777" w:rsidR="00184D00" w:rsidRDefault="00184D00" w:rsidP="00184D00">
      <w:pPr>
        <w:spacing w:line="360" w:lineRule="auto"/>
        <w:ind w:left="1440" w:hanging="720"/>
        <w:jc w:val="both"/>
        <w:rPr>
          <w:rFonts w:ascii="David" w:hAnsi="David"/>
          <w:rtl/>
        </w:rPr>
      </w:pPr>
      <w:r>
        <w:rPr>
          <w:rFonts w:ascii="David" w:hAnsi="David" w:hint="cs"/>
          <w:rtl/>
        </w:rPr>
        <w:t>ד.</w:t>
      </w:r>
      <w:r>
        <w:rPr>
          <w:rFonts w:ascii="David" w:hAnsi="David"/>
          <w:rtl/>
        </w:rPr>
        <w:tab/>
        <w:t xml:space="preserve">קנס כספי בסך </w:t>
      </w:r>
      <w:r>
        <w:rPr>
          <w:rFonts w:ascii="David" w:hAnsi="David" w:hint="cs"/>
          <w:rtl/>
        </w:rPr>
        <w:t>3</w:t>
      </w:r>
      <w:r>
        <w:rPr>
          <w:rFonts w:ascii="David" w:hAnsi="David"/>
          <w:rtl/>
        </w:rPr>
        <w:t>,000 ₪ או 25 ימי מאסר תמורתו.</w:t>
      </w:r>
    </w:p>
    <w:p w14:paraId="054E5433" w14:textId="77777777" w:rsidR="00184D00" w:rsidRDefault="00184D00" w:rsidP="00184D00">
      <w:pPr>
        <w:spacing w:line="360" w:lineRule="auto"/>
        <w:ind w:left="1440" w:hanging="720"/>
        <w:jc w:val="both"/>
        <w:rPr>
          <w:rFonts w:ascii="David" w:hAnsi="David"/>
          <w:rtl/>
        </w:rPr>
      </w:pPr>
      <w:r>
        <w:rPr>
          <w:rFonts w:ascii="David" w:hAnsi="David"/>
          <w:rtl/>
        </w:rPr>
        <w:tab/>
        <w:t>הקנס ישולם בעשרה תשלומים חודשיים שווים ורצופים, החל מיום 15.0</w:t>
      </w:r>
      <w:r>
        <w:rPr>
          <w:rFonts w:ascii="David" w:hAnsi="David" w:hint="cs"/>
          <w:rtl/>
        </w:rPr>
        <w:t>9</w:t>
      </w:r>
      <w:r>
        <w:rPr>
          <w:rFonts w:ascii="David" w:hAnsi="David"/>
          <w:rtl/>
        </w:rPr>
        <w:t>.202</w:t>
      </w:r>
      <w:r>
        <w:rPr>
          <w:rFonts w:ascii="David" w:hAnsi="David" w:hint="cs"/>
          <w:rtl/>
        </w:rPr>
        <w:t>2</w:t>
      </w:r>
      <w:r>
        <w:rPr>
          <w:rFonts w:ascii="David" w:hAnsi="David"/>
          <w:rtl/>
        </w:rPr>
        <w:t xml:space="preserve"> ובכל ה-15 בחודש שלאחריו. </w:t>
      </w:r>
    </w:p>
    <w:p w14:paraId="2900CEE4" w14:textId="77777777" w:rsidR="00184D00" w:rsidRDefault="00184D00" w:rsidP="00184D00">
      <w:pPr>
        <w:spacing w:line="360" w:lineRule="auto"/>
        <w:ind w:left="1440" w:hanging="720"/>
        <w:jc w:val="both"/>
        <w:rPr>
          <w:rFonts w:ascii="David" w:hAnsi="David"/>
          <w:rtl/>
        </w:rPr>
      </w:pPr>
    </w:p>
    <w:p w14:paraId="1F0DDAAB" w14:textId="77777777" w:rsidR="00184D00" w:rsidRDefault="00184D00" w:rsidP="00184D00">
      <w:pPr>
        <w:spacing w:line="360" w:lineRule="auto"/>
        <w:ind w:left="1440" w:hanging="720"/>
        <w:jc w:val="both"/>
        <w:rPr>
          <w:rFonts w:ascii="David" w:hAnsi="David"/>
          <w:rtl/>
        </w:rPr>
      </w:pPr>
      <w:r>
        <w:rPr>
          <w:rFonts w:ascii="David" w:hAnsi="David"/>
          <w:rtl/>
        </w:rPr>
        <w:tab/>
        <w:t xml:space="preserve">במידה ולא יעמוד הנאשם בחלק מהתשלומים, תעמוד יתרת הקנס לפירעון מידי. </w:t>
      </w:r>
    </w:p>
    <w:p w14:paraId="718AA3CA" w14:textId="77777777" w:rsidR="00184D00" w:rsidRDefault="00184D00" w:rsidP="00184D00">
      <w:pPr>
        <w:spacing w:line="360" w:lineRule="auto"/>
        <w:jc w:val="both"/>
        <w:rPr>
          <w:rFonts w:ascii="David" w:hAnsi="David"/>
          <w:rtl/>
        </w:rPr>
      </w:pPr>
    </w:p>
    <w:p w14:paraId="6EBA7C22" w14:textId="77777777" w:rsidR="00184D00" w:rsidRDefault="00184D00" w:rsidP="00184D00">
      <w:pPr>
        <w:spacing w:line="360" w:lineRule="auto"/>
        <w:jc w:val="both"/>
        <w:rPr>
          <w:rFonts w:ascii="David" w:hAnsi="David"/>
          <w:rtl/>
        </w:rPr>
      </w:pPr>
    </w:p>
    <w:p w14:paraId="03391905" w14:textId="77777777" w:rsidR="00184D00" w:rsidRDefault="00184D00" w:rsidP="00184D00">
      <w:pPr>
        <w:spacing w:line="360" w:lineRule="auto"/>
        <w:jc w:val="both"/>
        <w:rPr>
          <w:rFonts w:ascii="David" w:hAnsi="David"/>
          <w:b/>
          <w:bCs/>
          <w:u w:val="single"/>
          <w:rtl/>
        </w:rPr>
      </w:pPr>
      <w:r>
        <w:rPr>
          <w:rFonts w:ascii="David" w:hAnsi="David"/>
          <w:b/>
          <w:bCs/>
          <w:u w:val="single"/>
          <w:rtl/>
        </w:rPr>
        <w:t xml:space="preserve">זכות ערעור לבית המשפט העליון תוך 45 ימים מהיום. </w:t>
      </w:r>
    </w:p>
    <w:p w14:paraId="40818140" w14:textId="77777777" w:rsidR="00184D00" w:rsidRDefault="00184D00" w:rsidP="00184D00">
      <w:pPr>
        <w:spacing w:line="360" w:lineRule="auto"/>
        <w:jc w:val="both"/>
        <w:rPr>
          <w:rFonts w:ascii="David" w:hAnsi="David"/>
          <w:rtl/>
        </w:rPr>
      </w:pPr>
    </w:p>
    <w:p w14:paraId="43484314" w14:textId="77777777" w:rsidR="00184D00" w:rsidRPr="00E60682" w:rsidRDefault="00E60682" w:rsidP="00184D00">
      <w:pPr>
        <w:rPr>
          <w:rFonts w:ascii="David" w:hAnsi="David"/>
          <w:color w:val="FFFFFF"/>
          <w:sz w:val="2"/>
          <w:szCs w:val="2"/>
          <w:rtl/>
        </w:rPr>
      </w:pPr>
      <w:r w:rsidRPr="00E60682">
        <w:rPr>
          <w:rFonts w:ascii="David" w:hAnsi="David"/>
          <w:color w:val="FFFFFF"/>
          <w:sz w:val="2"/>
          <w:szCs w:val="2"/>
          <w:rtl/>
        </w:rPr>
        <w:t>5129371</w:t>
      </w:r>
    </w:p>
    <w:p w14:paraId="4642240B" w14:textId="77777777" w:rsidR="00184D00" w:rsidRPr="00E60682" w:rsidRDefault="00E60682" w:rsidP="00184D00">
      <w:pPr>
        <w:rPr>
          <w:rFonts w:ascii="David" w:hAnsi="David"/>
          <w:color w:val="FFFFFF"/>
          <w:sz w:val="2"/>
          <w:szCs w:val="2"/>
          <w:rtl/>
        </w:rPr>
      </w:pPr>
      <w:r w:rsidRPr="00E60682">
        <w:rPr>
          <w:rFonts w:ascii="David" w:hAnsi="David"/>
          <w:color w:val="FFFFFF"/>
          <w:sz w:val="2"/>
          <w:szCs w:val="2"/>
          <w:rtl/>
        </w:rPr>
        <w:t>54678313</w:t>
      </w:r>
    </w:p>
    <w:p w14:paraId="726D824D" w14:textId="77777777" w:rsidR="00184D00" w:rsidRPr="002B7D23" w:rsidRDefault="00184D00" w:rsidP="00184D00">
      <w:pPr>
        <w:rPr>
          <w:rFonts w:ascii="David" w:hAnsi="David"/>
          <w:sz w:val="26"/>
          <w:szCs w:val="26"/>
          <w:rtl/>
        </w:rPr>
      </w:pPr>
    </w:p>
    <w:p w14:paraId="6E2CA8AC" w14:textId="77777777" w:rsidR="00184D00" w:rsidRPr="002B7D23" w:rsidRDefault="00E60682" w:rsidP="00184D00">
      <w:pPr>
        <w:rPr>
          <w:rFonts w:ascii="David" w:hAnsi="David"/>
          <w:sz w:val="26"/>
          <w:szCs w:val="26"/>
          <w:rtl/>
        </w:rPr>
      </w:pPr>
      <w:bookmarkStart w:id="7" w:name="Nitan"/>
      <w:r>
        <w:rPr>
          <w:rFonts w:ascii="David" w:hAnsi="David"/>
          <w:sz w:val="26"/>
          <w:szCs w:val="26"/>
          <w:rtl/>
        </w:rPr>
        <w:t xml:space="preserve">ניתן היום,  י"ט אב תשפ"א, 28 יולי 2021, בהעדר הצדדים. </w:t>
      </w:r>
      <w:bookmarkEnd w:id="7"/>
    </w:p>
    <w:p w14:paraId="424FD37B" w14:textId="77777777" w:rsidR="00184D00" w:rsidRPr="002B7D23" w:rsidRDefault="00184D00" w:rsidP="00E6068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B70FF69" w14:textId="77777777" w:rsidR="00184D00" w:rsidRPr="009505F1" w:rsidRDefault="009505F1" w:rsidP="00184D00">
      <w:pPr>
        <w:jc w:val="center"/>
        <w:rPr>
          <w:rFonts w:ascii="David" w:hAnsi="David"/>
          <w:color w:val="FFFFFF"/>
          <w:sz w:val="2"/>
          <w:szCs w:val="2"/>
          <w:rtl/>
        </w:rPr>
      </w:pPr>
      <w:r w:rsidRPr="009505F1">
        <w:rPr>
          <w:rFonts w:ascii="David" w:hAnsi="David"/>
          <w:color w:val="FFFFFF"/>
          <w:sz w:val="2"/>
          <w:szCs w:val="2"/>
          <w:rtl/>
        </w:rPr>
        <w:t>5129371</w:t>
      </w:r>
    </w:p>
    <w:p w14:paraId="09031DF0" w14:textId="77777777" w:rsidR="00187F04" w:rsidRPr="009505F1" w:rsidRDefault="009505F1" w:rsidP="00E60682">
      <w:pPr>
        <w:keepNext/>
        <w:rPr>
          <w:rFonts w:ascii="David" w:hAnsi="David"/>
          <w:color w:val="FFFFFF"/>
          <w:sz w:val="2"/>
          <w:szCs w:val="2"/>
          <w:rtl/>
        </w:rPr>
      </w:pPr>
      <w:r w:rsidRPr="009505F1">
        <w:rPr>
          <w:rFonts w:ascii="David" w:hAnsi="David"/>
          <w:color w:val="FFFFFF"/>
          <w:sz w:val="2"/>
          <w:szCs w:val="2"/>
          <w:rtl/>
        </w:rPr>
        <w:t>54678313</w:t>
      </w:r>
    </w:p>
    <w:p w14:paraId="57A03BE7" w14:textId="77777777" w:rsidR="00E60682" w:rsidRDefault="00E60682" w:rsidP="00E60682">
      <w:pPr>
        <w:rPr>
          <w:rtl/>
        </w:rPr>
      </w:pPr>
    </w:p>
    <w:p w14:paraId="39270434" w14:textId="77777777" w:rsidR="00E60682" w:rsidRDefault="00E60682" w:rsidP="00E60682">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8D91F53" w14:textId="77777777" w:rsidR="009505F1" w:rsidRPr="009505F1" w:rsidRDefault="009505F1" w:rsidP="009505F1">
      <w:pPr>
        <w:keepNext/>
        <w:rPr>
          <w:rFonts w:ascii="David" w:hAnsi="David"/>
          <w:color w:val="000000"/>
          <w:sz w:val="22"/>
          <w:szCs w:val="22"/>
          <w:rtl/>
        </w:rPr>
      </w:pPr>
    </w:p>
    <w:p w14:paraId="2C93843A" w14:textId="77777777" w:rsidR="009505F1" w:rsidRPr="009505F1" w:rsidRDefault="009505F1" w:rsidP="009505F1">
      <w:pPr>
        <w:keepNext/>
        <w:rPr>
          <w:rFonts w:ascii="David" w:hAnsi="David"/>
          <w:color w:val="000000"/>
          <w:sz w:val="22"/>
          <w:szCs w:val="22"/>
          <w:rtl/>
        </w:rPr>
      </w:pPr>
      <w:r w:rsidRPr="009505F1">
        <w:rPr>
          <w:rFonts w:ascii="David" w:hAnsi="David"/>
          <w:color w:val="000000"/>
          <w:sz w:val="22"/>
          <w:szCs w:val="22"/>
          <w:rtl/>
        </w:rPr>
        <w:t>נאסר ג'השאן 54678313-/</w:t>
      </w:r>
    </w:p>
    <w:p w14:paraId="32446D14" w14:textId="77777777" w:rsidR="00E60682" w:rsidRPr="00E60682" w:rsidRDefault="009505F1" w:rsidP="009505F1">
      <w:pPr>
        <w:rPr>
          <w:rFonts w:hint="cs"/>
          <w:color w:val="0000FF"/>
          <w:u w:val="single"/>
        </w:rPr>
      </w:pPr>
      <w:r w:rsidRPr="009505F1">
        <w:rPr>
          <w:color w:val="000000"/>
          <w:u w:val="single"/>
          <w:rtl/>
        </w:rPr>
        <w:t>נוסח מסמך זה כפוף לשינויי ניסוח ועריכה</w:t>
      </w:r>
      <w:r w:rsidR="00A81330">
        <w:rPr>
          <w:rFonts w:hint="cs"/>
          <w:color w:val="0000FF"/>
          <w:u w:val="single"/>
          <w:rtl/>
        </w:rPr>
        <w:t xml:space="preserve"> </w:t>
      </w:r>
    </w:p>
    <w:sectPr w:rsidR="00E60682" w:rsidRPr="00E60682" w:rsidSect="009505F1">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3183D" w14:textId="77777777" w:rsidR="00F813B3" w:rsidRDefault="00F813B3" w:rsidP="00995890">
      <w:r>
        <w:separator/>
      </w:r>
    </w:p>
  </w:endnote>
  <w:endnote w:type="continuationSeparator" w:id="0">
    <w:p w14:paraId="05D68915" w14:textId="77777777" w:rsidR="00F813B3" w:rsidRDefault="00F813B3" w:rsidP="0099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626A" w14:textId="77777777" w:rsidR="009505F1" w:rsidRDefault="009505F1" w:rsidP="009505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F26244" w14:textId="77777777" w:rsidR="007C370A" w:rsidRPr="009505F1" w:rsidRDefault="009505F1" w:rsidP="009505F1">
    <w:pPr>
      <w:pStyle w:val="a5"/>
      <w:pBdr>
        <w:top w:val="single" w:sz="4" w:space="1" w:color="auto"/>
        <w:between w:val="single" w:sz="4" w:space="0" w:color="auto"/>
      </w:pBdr>
      <w:spacing w:after="60"/>
      <w:jc w:val="center"/>
      <w:rPr>
        <w:rFonts w:ascii="FrankRuehl" w:hAnsi="FrankRuehl" w:cs="FrankRuehl"/>
        <w:color w:val="000000"/>
      </w:rPr>
    </w:pPr>
    <w:r w:rsidRPr="009505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CD25F" w14:textId="77777777" w:rsidR="009505F1" w:rsidRDefault="009505F1" w:rsidP="009505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4443">
      <w:rPr>
        <w:rFonts w:ascii="FrankRuehl" w:hAnsi="FrankRuehl" w:cs="FrankRuehl"/>
        <w:noProof/>
        <w:rtl/>
      </w:rPr>
      <w:t>1</w:t>
    </w:r>
    <w:r>
      <w:rPr>
        <w:rFonts w:ascii="FrankRuehl" w:hAnsi="FrankRuehl" w:cs="FrankRuehl"/>
        <w:rtl/>
      </w:rPr>
      <w:fldChar w:fldCharType="end"/>
    </w:r>
  </w:p>
  <w:p w14:paraId="351F4394" w14:textId="77777777" w:rsidR="007C370A" w:rsidRPr="009505F1" w:rsidRDefault="009505F1" w:rsidP="009505F1">
    <w:pPr>
      <w:pStyle w:val="a5"/>
      <w:pBdr>
        <w:top w:val="single" w:sz="4" w:space="1" w:color="auto"/>
        <w:between w:val="single" w:sz="4" w:space="0" w:color="auto"/>
      </w:pBdr>
      <w:spacing w:after="60"/>
      <w:jc w:val="center"/>
      <w:rPr>
        <w:rFonts w:ascii="FrankRuehl" w:hAnsi="FrankRuehl" w:cs="FrankRuehl"/>
        <w:color w:val="000000"/>
      </w:rPr>
    </w:pPr>
    <w:r w:rsidRPr="009505F1">
      <w:rPr>
        <w:rFonts w:ascii="FrankRuehl" w:hAnsi="FrankRuehl" w:cs="FrankRuehl"/>
        <w:color w:val="000000"/>
      </w:rPr>
      <w:pict w14:anchorId="12C61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EC4D7" w14:textId="77777777" w:rsidR="00F813B3" w:rsidRDefault="00F813B3" w:rsidP="00995890">
      <w:r>
        <w:separator/>
      </w:r>
    </w:p>
  </w:footnote>
  <w:footnote w:type="continuationSeparator" w:id="0">
    <w:p w14:paraId="3967701A" w14:textId="77777777" w:rsidR="00F813B3" w:rsidRDefault="00F813B3" w:rsidP="00995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DC3F0" w14:textId="77777777" w:rsidR="00E60682" w:rsidRPr="009505F1" w:rsidRDefault="009505F1" w:rsidP="009505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40536-10-20</w:t>
    </w:r>
    <w:r>
      <w:rPr>
        <w:rFonts w:ascii="David" w:hAnsi="David"/>
        <w:color w:val="000000"/>
        <w:sz w:val="22"/>
        <w:szCs w:val="22"/>
        <w:rtl/>
      </w:rPr>
      <w:tab/>
      <w:t xml:space="preserve"> מדינת ישראל נ' אמין סביחאת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CC761" w14:textId="77777777" w:rsidR="00E60682" w:rsidRPr="009505F1" w:rsidRDefault="009505F1" w:rsidP="009505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40536-10-20</w:t>
    </w:r>
    <w:r>
      <w:rPr>
        <w:rFonts w:ascii="David" w:hAnsi="David"/>
        <w:color w:val="000000"/>
        <w:sz w:val="22"/>
        <w:szCs w:val="22"/>
        <w:rtl/>
      </w:rPr>
      <w:tab/>
      <w:t xml:space="preserve"> מדינת ישראל נ' אמין סביחאת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7E7458"/>
    <w:multiLevelType w:val="hybridMultilevel"/>
    <w:tmpl w:val="8190DCD2"/>
    <w:lvl w:ilvl="0" w:tplc="48B245D6">
      <w:start w:val="6"/>
      <w:numFmt w:val="bullet"/>
      <w:lvlText w:val="-"/>
      <w:lvlJc w:val="left"/>
      <w:pPr>
        <w:ind w:left="1080" w:hanging="360"/>
      </w:pPr>
      <w:rPr>
        <w:rFonts w:ascii="David" w:eastAsia="Calibri"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1911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4D00"/>
    <w:rsid w:val="00184D00"/>
    <w:rsid w:val="00187F04"/>
    <w:rsid w:val="001B5A3B"/>
    <w:rsid w:val="004C1F2E"/>
    <w:rsid w:val="005C18BD"/>
    <w:rsid w:val="005E4452"/>
    <w:rsid w:val="007C370A"/>
    <w:rsid w:val="008E61E5"/>
    <w:rsid w:val="009505F1"/>
    <w:rsid w:val="00995890"/>
    <w:rsid w:val="00A13159"/>
    <w:rsid w:val="00A81330"/>
    <w:rsid w:val="00BE4630"/>
    <w:rsid w:val="00CC4443"/>
    <w:rsid w:val="00DF1BF4"/>
    <w:rsid w:val="00E60682"/>
    <w:rsid w:val="00F813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F1E440"/>
  <w15:chartTrackingRefBased/>
  <w15:docId w15:val="{5FA557CA-43E7-49DC-9FDA-E66C7C7F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4D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4D00"/>
    <w:pPr>
      <w:tabs>
        <w:tab w:val="center" w:pos="4153"/>
        <w:tab w:val="right" w:pos="8306"/>
      </w:tabs>
    </w:pPr>
  </w:style>
  <w:style w:type="character" w:customStyle="1" w:styleId="a4">
    <w:name w:val="כותרת עליונה תו"/>
    <w:link w:val="a3"/>
    <w:rsid w:val="00184D00"/>
    <w:rPr>
      <w:rFonts w:ascii="Times New Roman" w:eastAsia="Times New Roman" w:hAnsi="Times New Roman" w:cs="David"/>
      <w:sz w:val="24"/>
      <w:szCs w:val="24"/>
    </w:rPr>
  </w:style>
  <w:style w:type="paragraph" w:styleId="a5">
    <w:name w:val="footer"/>
    <w:basedOn w:val="a"/>
    <w:link w:val="a6"/>
    <w:rsid w:val="00184D00"/>
    <w:pPr>
      <w:tabs>
        <w:tab w:val="center" w:pos="4153"/>
        <w:tab w:val="right" w:pos="8306"/>
      </w:tabs>
    </w:pPr>
  </w:style>
  <w:style w:type="character" w:customStyle="1" w:styleId="a6">
    <w:name w:val="כותרת תחתונה תו"/>
    <w:link w:val="a5"/>
    <w:rsid w:val="00184D00"/>
    <w:rPr>
      <w:rFonts w:ascii="Times New Roman" w:eastAsia="Times New Roman" w:hAnsi="Times New Roman" w:cs="David"/>
      <w:sz w:val="24"/>
      <w:szCs w:val="24"/>
    </w:rPr>
  </w:style>
  <w:style w:type="table" w:styleId="a7">
    <w:name w:val="Table Grid"/>
    <w:basedOn w:val="a1"/>
    <w:rsid w:val="00184D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4D00"/>
  </w:style>
  <w:style w:type="table" w:customStyle="1" w:styleId="1">
    <w:name w:val="רשת טבלה1"/>
    <w:basedOn w:val="a1"/>
    <w:next w:val="a7"/>
    <w:rsid w:val="00184D00"/>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184D00"/>
    <w:pPr>
      <w:spacing w:after="160" w:line="256" w:lineRule="auto"/>
      <w:ind w:left="720"/>
      <w:contextualSpacing/>
    </w:pPr>
    <w:rPr>
      <w:rFonts w:ascii="Calibri" w:eastAsia="Calibri" w:hAnsi="Calibri" w:cs="Arial"/>
      <w:sz w:val="22"/>
      <w:szCs w:val="22"/>
    </w:rPr>
  </w:style>
  <w:style w:type="character" w:styleId="Hyperlink">
    <w:name w:val="Hyperlink"/>
    <w:rsid w:val="00E60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64498" TargetMode="External"/><Relationship Id="rId39" Type="http://schemas.openxmlformats.org/officeDocument/2006/relationships/hyperlink" Target="http://www.nevo.co.il/case/26779313" TargetMode="External"/><Relationship Id="rId21" Type="http://schemas.openxmlformats.org/officeDocument/2006/relationships/hyperlink" Target="http://www.nevo.co.il/case/27603872"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case/26886665"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7807298" TargetMode="External"/><Relationship Id="rId29" Type="http://schemas.openxmlformats.org/officeDocument/2006/relationships/hyperlink" Target="http://www.nevo.co.il/case/25612982"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6934681"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144.b"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8291683"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144.a"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7309272" TargetMode="External"/><Relationship Id="rId31" Type="http://schemas.openxmlformats.org/officeDocument/2006/relationships/hyperlink" Target="http://www.nevo.co.il/case/21474168"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34921"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2200650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26888657" TargetMode="External"/><Relationship Id="rId33" Type="http://schemas.openxmlformats.org/officeDocument/2006/relationships/hyperlink" Target="http://www.nevo.co.il/case/24263578"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case/5724364" TargetMode="External"/><Relationship Id="rId41" Type="http://schemas.openxmlformats.org/officeDocument/2006/relationships/hyperlink" Target="http://www.nevo.co.il/case/2668608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2981</Words>
  <Characters>14905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17851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3801212</vt:i4>
      </vt:variant>
      <vt:variant>
        <vt:i4>105</vt:i4>
      </vt:variant>
      <vt:variant>
        <vt:i4>0</vt:i4>
      </vt:variant>
      <vt:variant>
        <vt:i4>5</vt:i4>
      </vt:variant>
      <vt:variant>
        <vt:lpwstr>http://www.nevo.co.il/case/26886665</vt:lpwstr>
      </vt:variant>
      <vt:variant>
        <vt:lpwstr/>
      </vt:variant>
      <vt:variant>
        <vt:i4>3801210</vt:i4>
      </vt:variant>
      <vt:variant>
        <vt:i4>102</vt:i4>
      </vt:variant>
      <vt:variant>
        <vt:i4>0</vt:i4>
      </vt:variant>
      <vt:variant>
        <vt:i4>5</vt:i4>
      </vt:variant>
      <vt:variant>
        <vt:lpwstr>http://www.nevo.co.il/case/26686085</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3997814</vt:i4>
      </vt:variant>
      <vt:variant>
        <vt:i4>96</vt:i4>
      </vt:variant>
      <vt:variant>
        <vt:i4>0</vt:i4>
      </vt:variant>
      <vt:variant>
        <vt:i4>5</vt:i4>
      </vt:variant>
      <vt:variant>
        <vt:lpwstr>http://www.nevo.co.il/case/26779313</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3407987</vt:i4>
      </vt:variant>
      <vt:variant>
        <vt:i4>84</vt:i4>
      </vt:variant>
      <vt:variant>
        <vt:i4>0</vt:i4>
      </vt:variant>
      <vt:variant>
        <vt:i4>5</vt:i4>
      </vt:variant>
      <vt:variant>
        <vt:lpwstr>http://www.nevo.co.il/case/22006503</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3407987</vt:i4>
      </vt:variant>
      <vt:variant>
        <vt:i4>78</vt:i4>
      </vt:variant>
      <vt:variant>
        <vt:i4>0</vt:i4>
      </vt:variant>
      <vt:variant>
        <vt:i4>5</vt:i4>
      </vt:variant>
      <vt:variant>
        <vt:lpwstr>http://www.nevo.co.il/case/24263578</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3407987</vt:i4>
      </vt:variant>
      <vt:variant>
        <vt:i4>72</vt:i4>
      </vt:variant>
      <vt:variant>
        <vt:i4>0</vt:i4>
      </vt:variant>
      <vt:variant>
        <vt:i4>5</vt:i4>
      </vt:variant>
      <vt:variant>
        <vt:lpwstr>http://www.nevo.co.il/case/21474168</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4063353</vt:i4>
      </vt:variant>
      <vt:variant>
        <vt:i4>66</vt:i4>
      </vt:variant>
      <vt:variant>
        <vt:i4>0</vt:i4>
      </vt:variant>
      <vt:variant>
        <vt:i4>5</vt:i4>
      </vt:variant>
      <vt:variant>
        <vt:lpwstr>http://www.nevo.co.il/case/25612982</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3539056</vt:i4>
      </vt:variant>
      <vt:variant>
        <vt:i4>57</vt:i4>
      </vt:variant>
      <vt:variant>
        <vt:i4>0</vt:i4>
      </vt:variant>
      <vt:variant>
        <vt:i4>5</vt:i4>
      </vt:variant>
      <vt:variant>
        <vt:lpwstr>http://www.nevo.co.il/case/26964498</vt:lpwstr>
      </vt:variant>
      <vt:variant>
        <vt:lpwstr/>
      </vt:variant>
      <vt:variant>
        <vt:i4>3604604</vt:i4>
      </vt:variant>
      <vt:variant>
        <vt:i4>54</vt:i4>
      </vt:variant>
      <vt:variant>
        <vt:i4>0</vt:i4>
      </vt:variant>
      <vt:variant>
        <vt:i4>5</vt:i4>
      </vt:variant>
      <vt:variant>
        <vt:lpwstr>http://www.nevo.co.il/case/26888657</vt:lpwstr>
      </vt:variant>
      <vt:variant>
        <vt:lpwstr/>
      </vt:variant>
      <vt:variant>
        <vt:i4>3604599</vt:i4>
      </vt:variant>
      <vt:variant>
        <vt:i4>51</vt:i4>
      </vt:variant>
      <vt:variant>
        <vt:i4>0</vt:i4>
      </vt:variant>
      <vt:variant>
        <vt:i4>5</vt:i4>
      </vt:variant>
      <vt:variant>
        <vt:lpwstr>http://www.nevo.co.il/case/26934681</vt:lpwstr>
      </vt:variant>
      <vt:variant>
        <vt:lpwstr/>
      </vt:variant>
      <vt:variant>
        <vt:i4>3407999</vt:i4>
      </vt:variant>
      <vt:variant>
        <vt:i4>48</vt:i4>
      </vt:variant>
      <vt:variant>
        <vt:i4>0</vt:i4>
      </vt:variant>
      <vt:variant>
        <vt:i4>5</vt:i4>
      </vt:variant>
      <vt:variant>
        <vt:lpwstr>http://www.nevo.co.il/case/8291683</vt:lpwstr>
      </vt:variant>
      <vt:variant>
        <vt:lpwstr/>
      </vt:variant>
      <vt:variant>
        <vt:i4>3997810</vt:i4>
      </vt:variant>
      <vt:variant>
        <vt:i4>45</vt:i4>
      </vt:variant>
      <vt:variant>
        <vt:i4>0</vt:i4>
      </vt:variant>
      <vt:variant>
        <vt:i4>5</vt:i4>
      </vt:variant>
      <vt:variant>
        <vt:lpwstr>http://www.nevo.co.il/case/6034921</vt:lpwstr>
      </vt:variant>
      <vt:variant>
        <vt:lpwstr/>
      </vt:variant>
      <vt:variant>
        <vt:i4>3145851</vt:i4>
      </vt:variant>
      <vt:variant>
        <vt:i4>42</vt:i4>
      </vt:variant>
      <vt:variant>
        <vt:i4>0</vt:i4>
      </vt:variant>
      <vt:variant>
        <vt:i4>5</vt:i4>
      </vt:variant>
      <vt:variant>
        <vt:lpwstr>http://www.nevo.co.il/case/27603872</vt:lpwstr>
      </vt:variant>
      <vt:variant>
        <vt:lpwstr/>
      </vt:variant>
      <vt:variant>
        <vt:i4>3145841</vt:i4>
      </vt:variant>
      <vt:variant>
        <vt:i4>39</vt:i4>
      </vt:variant>
      <vt:variant>
        <vt:i4>0</vt:i4>
      </vt:variant>
      <vt:variant>
        <vt:i4>5</vt:i4>
      </vt:variant>
      <vt:variant>
        <vt:lpwstr>http://www.nevo.co.il/case/5724364</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3997810</vt:i4>
      </vt:variant>
      <vt:variant>
        <vt:i4>27</vt:i4>
      </vt:variant>
      <vt:variant>
        <vt:i4>0</vt:i4>
      </vt:variant>
      <vt:variant>
        <vt:i4>5</vt:i4>
      </vt:variant>
      <vt:variant>
        <vt:lpwstr>http://www.nevo.co.il/case/7807298</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40536</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אמין סביחאת</vt:lpwstr>
  </property>
  <property fmtid="{D5CDD505-2E9C-101B-9397-08002B2CF9AE}" pid="10" name="JUDGE">
    <vt:lpwstr>נאסר ג'השאן</vt:lpwstr>
  </property>
  <property fmtid="{D5CDD505-2E9C-101B-9397-08002B2CF9AE}" pid="11" name="CITY">
    <vt:lpwstr>חי'</vt:lpwstr>
  </property>
  <property fmtid="{D5CDD505-2E9C-101B-9397-08002B2CF9AE}" pid="12" name="DATE">
    <vt:lpwstr>20210728</vt:lpwstr>
  </property>
  <property fmtid="{D5CDD505-2E9C-101B-9397-08002B2CF9AE}" pid="13" name="TYPE_N_DATE">
    <vt:lpwstr>39020210728</vt:lpwstr>
  </property>
  <property fmtid="{D5CDD505-2E9C-101B-9397-08002B2CF9AE}" pid="14" name="WORDNUMPAGES">
    <vt:lpwstr>10</vt:lpwstr>
  </property>
  <property fmtid="{D5CDD505-2E9C-101B-9397-08002B2CF9AE}" pid="15" name="TYPE_ABS_DATE">
    <vt:lpwstr>390020210728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7807298;27309272;5724364;27603872;6034921;8291683;26934681;26888657;26964498;25612982;21474168;24263578;22006503;26779313;26686085;26886665</vt:lpwstr>
  </property>
  <property fmtid="{D5CDD505-2E9C-101B-9397-08002B2CF9AE}" pid="36" name="LAWLISTTMP1">
    <vt:lpwstr>70301/144.b:7;040b;040c;144.a</vt:lpwstr>
  </property>
</Properties>
</file>