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A0BAE" w:rsidRPr="00B478C2" w14:paraId="2B2961C0" w14:textId="77777777" w:rsidTr="00B41110">
        <w:trPr>
          <w:trHeight w:hRule="exact" w:val="418"/>
          <w:jc w:val="center"/>
        </w:trPr>
        <w:tc>
          <w:tcPr>
            <w:tcW w:w="8721" w:type="dxa"/>
            <w:gridSpan w:val="2"/>
          </w:tcPr>
          <w:p w14:paraId="07142703" w14:textId="77777777" w:rsidR="00CA0BAE" w:rsidRPr="00B478C2" w:rsidRDefault="00CA0BAE" w:rsidP="00B14CB3">
            <w:pPr>
              <w:pStyle w:val="a3"/>
              <w:jc w:val="center"/>
              <w:rPr>
                <w:rFonts w:ascii="Tahoma" w:hAnsi="Tahoma" w:cs="Tahoma"/>
                <w:color w:val="000080"/>
                <w:rtl/>
              </w:rPr>
            </w:pPr>
            <w:bookmarkStart w:id="0" w:name="LastJudge"/>
            <w:r w:rsidRPr="00B478C2">
              <w:rPr>
                <w:rFonts w:ascii="Tahoma" w:hAnsi="Tahoma" w:cs="Tahoma"/>
                <w:b/>
                <w:bCs/>
                <w:color w:val="000080"/>
                <w:rtl/>
              </w:rPr>
              <w:t>בית המשפט המחוזי בחיפה</w:t>
            </w:r>
          </w:p>
        </w:tc>
      </w:tr>
      <w:tr w:rsidR="00CA0BAE" w:rsidRPr="00B478C2" w14:paraId="2739D4BA" w14:textId="77777777" w:rsidTr="00B41110">
        <w:trPr>
          <w:trHeight w:val="337"/>
          <w:jc w:val="center"/>
        </w:trPr>
        <w:tc>
          <w:tcPr>
            <w:tcW w:w="5057" w:type="dxa"/>
          </w:tcPr>
          <w:p w14:paraId="6D97DD69" w14:textId="77777777" w:rsidR="00CA0BAE" w:rsidRPr="00B478C2" w:rsidRDefault="00CA0BAE" w:rsidP="00B14CB3">
            <w:pPr>
              <w:rPr>
                <w:rFonts w:cs="FrankRuehl"/>
                <w:sz w:val="28"/>
                <w:szCs w:val="28"/>
                <w:rtl/>
              </w:rPr>
            </w:pPr>
            <w:r w:rsidRPr="00B478C2">
              <w:rPr>
                <w:rFonts w:cs="FrankRuehl"/>
                <w:sz w:val="28"/>
                <w:szCs w:val="28"/>
                <w:rtl/>
              </w:rPr>
              <w:t>ת"פ</w:t>
            </w:r>
            <w:r w:rsidRPr="00B478C2">
              <w:rPr>
                <w:rFonts w:cs="FrankRuehl" w:hint="cs"/>
                <w:sz w:val="28"/>
                <w:szCs w:val="28"/>
                <w:rtl/>
              </w:rPr>
              <w:t xml:space="preserve"> </w:t>
            </w:r>
            <w:r w:rsidRPr="00B478C2">
              <w:rPr>
                <w:rFonts w:cs="FrankRuehl"/>
                <w:sz w:val="28"/>
                <w:szCs w:val="28"/>
                <w:rtl/>
              </w:rPr>
              <w:t>52099-10-20</w:t>
            </w:r>
            <w:r w:rsidRPr="00B478C2">
              <w:rPr>
                <w:rFonts w:cs="FrankRuehl" w:hint="cs"/>
                <w:sz w:val="28"/>
                <w:szCs w:val="28"/>
                <w:rtl/>
              </w:rPr>
              <w:t xml:space="preserve"> </w:t>
            </w:r>
            <w:r w:rsidRPr="00B478C2">
              <w:rPr>
                <w:rFonts w:cs="FrankRuehl"/>
                <w:sz w:val="28"/>
                <w:szCs w:val="28"/>
                <w:rtl/>
              </w:rPr>
              <w:t>מדינת ישראל נ' דדון(עציר)</w:t>
            </w:r>
          </w:p>
          <w:p w14:paraId="7615FD1A" w14:textId="77777777" w:rsidR="00CA0BAE" w:rsidRPr="00B478C2" w:rsidRDefault="00CA0BAE" w:rsidP="00B14CB3">
            <w:pPr>
              <w:pStyle w:val="a3"/>
              <w:rPr>
                <w:rFonts w:cs="FrankRuehl"/>
                <w:sz w:val="28"/>
                <w:szCs w:val="28"/>
                <w:rtl/>
              </w:rPr>
            </w:pPr>
          </w:p>
        </w:tc>
        <w:tc>
          <w:tcPr>
            <w:tcW w:w="3664" w:type="dxa"/>
          </w:tcPr>
          <w:p w14:paraId="449BC74E" w14:textId="77777777" w:rsidR="00CA0BAE" w:rsidRPr="00B478C2" w:rsidRDefault="00CA0BAE" w:rsidP="00B14CB3">
            <w:pPr>
              <w:pStyle w:val="a3"/>
              <w:jc w:val="right"/>
              <w:rPr>
                <w:rFonts w:cs="FrankRuehl"/>
                <w:sz w:val="28"/>
                <w:szCs w:val="28"/>
                <w:rtl/>
              </w:rPr>
            </w:pPr>
          </w:p>
        </w:tc>
      </w:tr>
    </w:tbl>
    <w:p w14:paraId="70A2B1CB" w14:textId="77777777" w:rsidR="00CA0BAE" w:rsidRPr="00B478C2" w:rsidRDefault="00CA0BAE" w:rsidP="00CA0BAE">
      <w:pPr>
        <w:pStyle w:val="a3"/>
        <w:rPr>
          <w:rtl/>
        </w:rPr>
      </w:pPr>
      <w:r w:rsidRPr="00B478C2">
        <w:rPr>
          <w:rFonts w:hint="cs"/>
          <w:rtl/>
        </w:rPr>
        <w:t xml:space="preserve"> </w:t>
      </w:r>
    </w:p>
    <w:p w14:paraId="2C8BAADD" w14:textId="77777777" w:rsidR="00CA0BAE" w:rsidRPr="00B478C2" w:rsidRDefault="00CA0BAE" w:rsidP="00CA0BAE">
      <w:pPr>
        <w:spacing w:line="360" w:lineRule="auto"/>
        <w:jc w:val="both"/>
        <w:rPr>
          <w:rFonts w:ascii="David" w:hAnsi="David"/>
          <w:sz w:val="6"/>
          <w:szCs w:val="6"/>
          <w:rtl/>
        </w:rPr>
      </w:pPr>
    </w:p>
    <w:p w14:paraId="0526AC57" w14:textId="77777777" w:rsidR="00CA0BAE" w:rsidRPr="00B478C2" w:rsidRDefault="00CA0BAE" w:rsidP="00CA0BAE">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CA0BAE" w:rsidRPr="00B478C2" w14:paraId="33EA341E" w14:textId="77777777" w:rsidTr="00CA0BAE">
        <w:trPr>
          <w:gridAfter w:val="1"/>
          <w:wAfter w:w="56" w:type="dxa"/>
        </w:trPr>
        <w:tc>
          <w:tcPr>
            <w:tcW w:w="8718" w:type="dxa"/>
            <w:gridSpan w:val="2"/>
            <w:shd w:val="clear" w:color="auto" w:fill="auto"/>
          </w:tcPr>
          <w:p w14:paraId="37AE4718" w14:textId="77777777" w:rsidR="00CA0BAE" w:rsidRPr="00B478C2" w:rsidRDefault="00CA0BAE" w:rsidP="00B14CB3">
            <w:pPr>
              <w:rPr>
                <w:rFonts w:ascii="David" w:hAnsi="David"/>
                <w:b/>
                <w:bCs/>
                <w:sz w:val="26"/>
                <w:szCs w:val="26"/>
                <w:rtl/>
              </w:rPr>
            </w:pPr>
            <w:r w:rsidRPr="00B478C2">
              <w:rPr>
                <w:rFonts w:ascii="David" w:hAnsi="David"/>
                <w:b/>
                <w:bCs/>
                <w:sz w:val="26"/>
                <w:szCs w:val="26"/>
                <w:rtl/>
              </w:rPr>
              <w:t>לפני כבוד השופט ארז פורת</w:t>
            </w:r>
            <w:r w:rsidRPr="00B478C2">
              <w:rPr>
                <w:rStyle w:val="TimesNewRomanTimesNewRoman"/>
                <w:rFonts w:ascii="David" w:hAnsi="David"/>
                <w:rtl/>
              </w:rPr>
              <w:t xml:space="preserve"> </w:t>
            </w:r>
          </w:p>
        </w:tc>
      </w:tr>
      <w:tr w:rsidR="00CA0BAE" w:rsidRPr="00B478C2" w14:paraId="47587B88" w14:textId="77777777" w:rsidTr="00CA0BAE">
        <w:trPr>
          <w:cantSplit/>
          <w:trHeight w:val="724"/>
        </w:trPr>
        <w:tc>
          <w:tcPr>
            <w:tcW w:w="2880" w:type="dxa"/>
            <w:shd w:val="clear" w:color="auto" w:fill="auto"/>
          </w:tcPr>
          <w:p w14:paraId="3ADE38EB" w14:textId="77777777" w:rsidR="00CA0BAE" w:rsidRPr="00B478C2" w:rsidRDefault="00CA0BAE" w:rsidP="00CA0BAE">
            <w:pPr>
              <w:ind w:left="26"/>
              <w:rPr>
                <w:rFonts w:ascii="David" w:hAnsi="David"/>
                <w:b/>
                <w:bCs/>
                <w:sz w:val="26"/>
                <w:szCs w:val="26"/>
                <w:rtl/>
              </w:rPr>
            </w:pPr>
            <w:bookmarkStart w:id="1" w:name="FirstAppellant"/>
          </w:p>
          <w:p w14:paraId="7A3A56ED" w14:textId="77777777" w:rsidR="00CA0BAE" w:rsidRPr="00B478C2" w:rsidRDefault="00CA0BAE" w:rsidP="00CA0BAE">
            <w:pPr>
              <w:ind w:left="26"/>
              <w:rPr>
                <w:rFonts w:ascii="David" w:hAnsi="David"/>
                <w:b/>
                <w:bCs/>
                <w:sz w:val="26"/>
                <w:szCs w:val="26"/>
                <w:rtl/>
              </w:rPr>
            </w:pPr>
            <w:r w:rsidRPr="00B478C2">
              <w:rPr>
                <w:rFonts w:ascii="David" w:hAnsi="David"/>
                <w:b/>
                <w:bCs/>
                <w:sz w:val="26"/>
                <w:szCs w:val="26"/>
                <w:rtl/>
              </w:rPr>
              <w:t>המאשימה</w:t>
            </w:r>
          </w:p>
        </w:tc>
        <w:tc>
          <w:tcPr>
            <w:tcW w:w="5922" w:type="dxa"/>
            <w:gridSpan w:val="2"/>
            <w:shd w:val="clear" w:color="auto" w:fill="auto"/>
          </w:tcPr>
          <w:p w14:paraId="2B25ADD9" w14:textId="77777777" w:rsidR="00CA0BAE" w:rsidRPr="00B478C2" w:rsidRDefault="00CA0BAE" w:rsidP="00B14CB3">
            <w:pPr>
              <w:rPr>
                <w:rFonts w:ascii="David" w:hAnsi="David"/>
                <w:rtl/>
              </w:rPr>
            </w:pPr>
          </w:p>
          <w:p w14:paraId="5F8B1919" w14:textId="77777777" w:rsidR="00CA0BAE" w:rsidRPr="00B478C2" w:rsidRDefault="00CA0BAE" w:rsidP="00B14CB3">
            <w:pPr>
              <w:rPr>
                <w:rFonts w:ascii="David" w:hAnsi="David"/>
                <w:b/>
                <w:bCs/>
                <w:sz w:val="26"/>
                <w:szCs w:val="26"/>
                <w:rtl/>
              </w:rPr>
            </w:pPr>
            <w:r w:rsidRPr="00B478C2">
              <w:rPr>
                <w:rFonts w:ascii="David" w:hAnsi="David"/>
                <w:rtl/>
              </w:rPr>
              <w:t xml:space="preserve"> </w:t>
            </w:r>
            <w:r w:rsidRPr="00B478C2">
              <w:rPr>
                <w:rFonts w:ascii="David" w:hAnsi="David"/>
                <w:b/>
                <w:bCs/>
                <w:sz w:val="26"/>
                <w:szCs w:val="26"/>
                <w:rtl/>
              </w:rPr>
              <w:t>מדינת ישראל</w:t>
            </w:r>
          </w:p>
          <w:p w14:paraId="764EC7EB" w14:textId="77777777" w:rsidR="00CA0BAE" w:rsidRPr="00B478C2" w:rsidRDefault="00CA0BAE" w:rsidP="00B14CB3">
            <w:pPr>
              <w:rPr>
                <w:rFonts w:ascii="David" w:hAnsi="David"/>
                <w:b/>
                <w:bCs/>
                <w:sz w:val="26"/>
                <w:szCs w:val="26"/>
                <w:rtl/>
              </w:rPr>
            </w:pPr>
          </w:p>
        </w:tc>
      </w:tr>
      <w:bookmarkEnd w:id="1"/>
      <w:tr w:rsidR="00CA0BAE" w:rsidRPr="00B478C2" w14:paraId="743D494C" w14:textId="77777777" w:rsidTr="00CA0BAE">
        <w:tc>
          <w:tcPr>
            <w:tcW w:w="8802" w:type="dxa"/>
            <w:gridSpan w:val="3"/>
            <w:shd w:val="clear" w:color="auto" w:fill="auto"/>
            <w:vAlign w:val="center"/>
          </w:tcPr>
          <w:p w14:paraId="2887DF4F" w14:textId="77777777" w:rsidR="00CA0BAE" w:rsidRPr="00B478C2" w:rsidRDefault="00CA0BAE" w:rsidP="00CA0BAE">
            <w:pPr>
              <w:jc w:val="center"/>
              <w:rPr>
                <w:rFonts w:ascii="David" w:hAnsi="David"/>
                <w:b/>
                <w:bCs/>
                <w:sz w:val="26"/>
                <w:szCs w:val="26"/>
                <w:rtl/>
              </w:rPr>
            </w:pPr>
          </w:p>
          <w:p w14:paraId="7F8E9770" w14:textId="77777777" w:rsidR="00CA0BAE" w:rsidRPr="00B478C2" w:rsidRDefault="00CA0BAE" w:rsidP="00CA0BAE">
            <w:pPr>
              <w:jc w:val="center"/>
              <w:rPr>
                <w:rFonts w:ascii="David" w:hAnsi="David"/>
                <w:b/>
                <w:bCs/>
                <w:sz w:val="26"/>
                <w:szCs w:val="26"/>
                <w:rtl/>
              </w:rPr>
            </w:pPr>
            <w:r w:rsidRPr="00B478C2">
              <w:rPr>
                <w:rFonts w:ascii="David" w:hAnsi="David"/>
                <w:b/>
                <w:bCs/>
                <w:sz w:val="26"/>
                <w:szCs w:val="26"/>
                <w:rtl/>
              </w:rPr>
              <w:t>נגד</w:t>
            </w:r>
          </w:p>
          <w:p w14:paraId="1C54974E" w14:textId="77777777" w:rsidR="00CA0BAE" w:rsidRPr="00B478C2" w:rsidRDefault="00CA0BAE" w:rsidP="00B14CB3">
            <w:pPr>
              <w:rPr>
                <w:rFonts w:ascii="David" w:hAnsi="David"/>
                <w:b/>
                <w:bCs/>
                <w:sz w:val="26"/>
                <w:szCs w:val="26"/>
                <w:rtl/>
              </w:rPr>
            </w:pPr>
          </w:p>
        </w:tc>
      </w:tr>
      <w:tr w:rsidR="00CA0BAE" w:rsidRPr="00B478C2" w14:paraId="47A391DE" w14:textId="77777777" w:rsidTr="00CA0BAE">
        <w:tc>
          <w:tcPr>
            <w:tcW w:w="2880" w:type="dxa"/>
            <w:shd w:val="clear" w:color="auto" w:fill="auto"/>
          </w:tcPr>
          <w:p w14:paraId="6E31F120" w14:textId="77777777" w:rsidR="00CA0BAE" w:rsidRPr="00B478C2" w:rsidRDefault="00CA0BAE" w:rsidP="00CA0BAE">
            <w:pPr>
              <w:ind w:left="26"/>
              <w:rPr>
                <w:rFonts w:ascii="David" w:hAnsi="David"/>
                <w:b/>
                <w:bCs/>
                <w:sz w:val="26"/>
                <w:szCs w:val="26"/>
              </w:rPr>
            </w:pPr>
            <w:r w:rsidRPr="00B478C2">
              <w:rPr>
                <w:rFonts w:ascii="David" w:hAnsi="David"/>
                <w:b/>
                <w:bCs/>
                <w:sz w:val="26"/>
                <w:szCs w:val="26"/>
                <w:rtl/>
              </w:rPr>
              <w:t>הנאשם</w:t>
            </w:r>
          </w:p>
        </w:tc>
        <w:tc>
          <w:tcPr>
            <w:tcW w:w="5922" w:type="dxa"/>
            <w:gridSpan w:val="2"/>
            <w:shd w:val="clear" w:color="auto" w:fill="auto"/>
          </w:tcPr>
          <w:p w14:paraId="0CFC5708" w14:textId="77777777" w:rsidR="00CA0BAE" w:rsidRPr="00B478C2" w:rsidRDefault="00CA0BAE" w:rsidP="00B14CB3">
            <w:pPr>
              <w:rPr>
                <w:rFonts w:ascii="David" w:hAnsi="David"/>
                <w:b/>
                <w:bCs/>
                <w:sz w:val="26"/>
                <w:szCs w:val="26"/>
                <w:rtl/>
              </w:rPr>
            </w:pPr>
            <w:r w:rsidRPr="00B478C2">
              <w:rPr>
                <w:rFonts w:ascii="David" w:hAnsi="David"/>
                <w:rtl/>
              </w:rPr>
              <w:t xml:space="preserve"> </w:t>
            </w:r>
            <w:r w:rsidRPr="00B478C2">
              <w:rPr>
                <w:rFonts w:ascii="David" w:hAnsi="David"/>
                <w:b/>
                <w:bCs/>
                <w:sz w:val="26"/>
                <w:szCs w:val="26"/>
                <w:rtl/>
              </w:rPr>
              <w:t>ניסן דדון (עציר)</w:t>
            </w:r>
            <w:r w:rsidRPr="00B478C2">
              <w:rPr>
                <w:rFonts w:ascii="David" w:hAnsi="David"/>
                <w:rtl/>
              </w:rPr>
              <w:t xml:space="preserve"> </w:t>
            </w:r>
            <w:r w:rsidRPr="00B478C2">
              <w:rPr>
                <w:rFonts w:ascii="David" w:hAnsi="David"/>
                <w:b/>
                <w:bCs/>
                <w:sz w:val="26"/>
                <w:szCs w:val="26"/>
                <w:rtl/>
              </w:rPr>
              <w:t xml:space="preserve">ת"ז  </w:t>
            </w:r>
            <w:r w:rsidR="00B478C2">
              <w:rPr>
                <w:rFonts w:ascii="David" w:hAnsi="David"/>
                <w:b/>
                <w:bCs/>
                <w:sz w:val="26"/>
                <w:szCs w:val="26"/>
              </w:rPr>
              <w:t>xxxxxxxxxx</w:t>
            </w:r>
          </w:p>
        </w:tc>
      </w:tr>
    </w:tbl>
    <w:p w14:paraId="691FC1D2" w14:textId="77777777" w:rsidR="00CA0BAE" w:rsidRPr="00B478C2" w:rsidRDefault="00CA0BAE" w:rsidP="00CA0BAE">
      <w:pPr>
        <w:spacing w:line="360" w:lineRule="auto"/>
        <w:jc w:val="both"/>
        <w:rPr>
          <w:rFonts w:ascii="David" w:hAnsi="David"/>
          <w:sz w:val="6"/>
          <w:szCs w:val="6"/>
          <w:rtl/>
        </w:rPr>
      </w:pPr>
      <w:r w:rsidRPr="00B478C2">
        <w:rPr>
          <w:rFonts w:ascii="David" w:hAnsi="David"/>
          <w:sz w:val="6"/>
          <w:szCs w:val="6"/>
          <w:rtl/>
        </w:rPr>
        <w:t>&lt;#1#&gt;</w:t>
      </w:r>
    </w:p>
    <w:p w14:paraId="025B7CC5" w14:textId="77777777" w:rsidR="00CA0BAE" w:rsidRPr="00B478C2" w:rsidRDefault="00CA0BAE" w:rsidP="00CA0BAE">
      <w:pPr>
        <w:pStyle w:val="12"/>
        <w:rPr>
          <w:rFonts w:ascii="David" w:hAnsi="David"/>
          <w:b w:val="0"/>
          <w:bCs w:val="0"/>
          <w:u w:val="none"/>
          <w:rtl/>
        </w:rPr>
      </w:pPr>
    </w:p>
    <w:p w14:paraId="0ACE3F20" w14:textId="77777777" w:rsidR="00B41110" w:rsidRDefault="00B41110" w:rsidP="00CA0BAE">
      <w:pPr>
        <w:rPr>
          <w:rFonts w:ascii="David" w:hAnsi="David"/>
          <w:rtl/>
        </w:rPr>
      </w:pPr>
    </w:p>
    <w:p w14:paraId="255872E4" w14:textId="77777777" w:rsidR="00B41110" w:rsidRPr="00B41110" w:rsidRDefault="00B41110" w:rsidP="00B41110">
      <w:pPr>
        <w:spacing w:after="120" w:line="240" w:lineRule="exact"/>
        <w:ind w:left="283" w:hanging="283"/>
        <w:jc w:val="both"/>
        <w:rPr>
          <w:rFonts w:ascii="FrankRuehl" w:hAnsi="FrankRuehl" w:cs="FrankRuehl"/>
          <w:rtl/>
        </w:rPr>
      </w:pPr>
    </w:p>
    <w:p w14:paraId="4D3C4B24" w14:textId="77777777" w:rsidR="00C21A62" w:rsidRDefault="00C21A62" w:rsidP="00C21A62">
      <w:pPr>
        <w:rPr>
          <w:rFonts w:ascii="David" w:hAnsi="David"/>
          <w:sz w:val="26"/>
          <w:szCs w:val="26"/>
          <w:rtl/>
        </w:rPr>
      </w:pPr>
      <w:bookmarkStart w:id="2" w:name="LawTable"/>
      <w:bookmarkEnd w:id="2"/>
    </w:p>
    <w:p w14:paraId="1D1B891F" w14:textId="77777777" w:rsidR="00C21A62" w:rsidRPr="00C21A62" w:rsidRDefault="00C21A62" w:rsidP="00C21A62">
      <w:pPr>
        <w:spacing w:before="120" w:after="120" w:line="240" w:lineRule="exact"/>
        <w:ind w:left="283" w:hanging="283"/>
        <w:jc w:val="both"/>
        <w:rPr>
          <w:rFonts w:ascii="FrankRuehl" w:hAnsi="FrankRuehl" w:cs="FrankRuehl"/>
          <w:rtl/>
        </w:rPr>
      </w:pPr>
    </w:p>
    <w:p w14:paraId="44682EBF" w14:textId="77777777" w:rsidR="00C21A62" w:rsidRPr="00C21A62" w:rsidRDefault="00C21A62" w:rsidP="00C21A62">
      <w:pPr>
        <w:spacing w:before="120" w:after="120" w:line="240" w:lineRule="exact"/>
        <w:ind w:left="283" w:hanging="283"/>
        <w:jc w:val="both"/>
        <w:rPr>
          <w:rFonts w:ascii="FrankRuehl" w:hAnsi="FrankRuehl" w:cs="FrankRuehl"/>
          <w:rtl/>
        </w:rPr>
      </w:pPr>
    </w:p>
    <w:p w14:paraId="6BD62FF9" w14:textId="77777777" w:rsidR="00C21A62" w:rsidRPr="00C21A62" w:rsidRDefault="00C21A62" w:rsidP="00C21A62">
      <w:pPr>
        <w:spacing w:before="120" w:after="120" w:line="240" w:lineRule="exact"/>
        <w:ind w:left="283" w:hanging="283"/>
        <w:jc w:val="both"/>
        <w:rPr>
          <w:rFonts w:ascii="FrankRuehl" w:hAnsi="FrankRuehl" w:cs="FrankRuehl"/>
          <w:rtl/>
        </w:rPr>
      </w:pPr>
      <w:r w:rsidRPr="00C21A62">
        <w:rPr>
          <w:rFonts w:ascii="FrankRuehl" w:hAnsi="FrankRuehl" w:cs="FrankRuehl"/>
          <w:rtl/>
        </w:rPr>
        <w:t xml:space="preserve">חקיקה שאוזכרה: </w:t>
      </w:r>
    </w:p>
    <w:p w14:paraId="12FB5474" w14:textId="77777777" w:rsidR="00C21A62" w:rsidRPr="00C21A62" w:rsidRDefault="00C21A62" w:rsidP="00C21A62">
      <w:pPr>
        <w:spacing w:before="120" w:after="120" w:line="240" w:lineRule="exact"/>
        <w:ind w:left="283" w:hanging="283"/>
        <w:jc w:val="both"/>
        <w:rPr>
          <w:rFonts w:ascii="FrankRuehl" w:hAnsi="FrankRuehl" w:cs="FrankRuehl"/>
          <w:rtl/>
        </w:rPr>
      </w:pPr>
      <w:hyperlink r:id="rId6" w:history="1">
        <w:r w:rsidRPr="00C21A62">
          <w:rPr>
            <w:rFonts w:ascii="FrankRuehl" w:hAnsi="FrankRuehl" w:cs="FrankRuehl"/>
            <w:color w:val="0000FF"/>
            <w:rtl/>
          </w:rPr>
          <w:t>חוק העונשין, תשל"ז-1977</w:t>
        </w:r>
      </w:hyperlink>
      <w:r w:rsidRPr="00C21A62">
        <w:rPr>
          <w:rFonts w:ascii="FrankRuehl" w:hAnsi="FrankRuehl" w:cs="FrankRuehl"/>
          <w:rtl/>
        </w:rPr>
        <w:t xml:space="preserve">: סע'  </w:t>
      </w:r>
      <w:hyperlink r:id="rId7" w:history="1">
        <w:r w:rsidRPr="00C21A62">
          <w:rPr>
            <w:rFonts w:ascii="FrankRuehl" w:hAnsi="FrankRuehl" w:cs="FrankRuehl"/>
            <w:color w:val="0000FF"/>
            <w:rtl/>
          </w:rPr>
          <w:t>25</w:t>
        </w:r>
      </w:hyperlink>
      <w:r w:rsidRPr="00C21A62">
        <w:rPr>
          <w:rFonts w:ascii="FrankRuehl" w:hAnsi="FrankRuehl" w:cs="FrankRuehl"/>
          <w:rtl/>
        </w:rPr>
        <w:t xml:space="preserve">, </w:t>
      </w:r>
      <w:hyperlink r:id="rId8" w:history="1">
        <w:r w:rsidRPr="00C21A62">
          <w:rPr>
            <w:rFonts w:ascii="FrankRuehl" w:hAnsi="FrankRuehl" w:cs="FrankRuehl"/>
            <w:color w:val="0000FF"/>
            <w:rtl/>
          </w:rPr>
          <w:t>144(א)</w:t>
        </w:r>
      </w:hyperlink>
      <w:r w:rsidRPr="00C21A62">
        <w:rPr>
          <w:rFonts w:ascii="FrankRuehl" w:hAnsi="FrankRuehl" w:cs="FrankRuehl"/>
          <w:rtl/>
        </w:rPr>
        <w:t xml:space="preserve">, </w:t>
      </w:r>
      <w:hyperlink r:id="rId9" w:history="1">
        <w:r w:rsidRPr="00C21A62">
          <w:rPr>
            <w:rFonts w:ascii="FrankRuehl" w:hAnsi="FrankRuehl" w:cs="FrankRuehl"/>
            <w:color w:val="0000FF"/>
            <w:rtl/>
          </w:rPr>
          <w:t>144(ב)</w:t>
        </w:r>
      </w:hyperlink>
      <w:r w:rsidRPr="00C21A62">
        <w:rPr>
          <w:rFonts w:ascii="FrankRuehl" w:hAnsi="FrankRuehl" w:cs="FrankRuehl"/>
          <w:rtl/>
        </w:rPr>
        <w:t xml:space="preserve">, </w:t>
      </w:r>
      <w:hyperlink r:id="rId10" w:history="1">
        <w:r w:rsidRPr="00C21A62">
          <w:rPr>
            <w:rFonts w:ascii="FrankRuehl" w:hAnsi="FrankRuehl" w:cs="FrankRuehl"/>
            <w:color w:val="0000FF"/>
            <w:rtl/>
          </w:rPr>
          <w:t>244</w:t>
        </w:r>
      </w:hyperlink>
      <w:r w:rsidRPr="00C21A62">
        <w:rPr>
          <w:rFonts w:ascii="FrankRuehl" w:hAnsi="FrankRuehl" w:cs="FrankRuehl"/>
          <w:rtl/>
        </w:rPr>
        <w:t xml:space="preserve">, </w:t>
      </w:r>
      <w:hyperlink r:id="rId11" w:history="1">
        <w:r w:rsidRPr="00C21A62">
          <w:rPr>
            <w:rFonts w:ascii="FrankRuehl" w:hAnsi="FrankRuehl" w:cs="FrankRuehl"/>
            <w:color w:val="0000FF"/>
            <w:rtl/>
          </w:rPr>
          <w:t>275</w:t>
        </w:r>
      </w:hyperlink>
      <w:r w:rsidRPr="00C21A62">
        <w:rPr>
          <w:rFonts w:ascii="FrankRuehl" w:hAnsi="FrankRuehl" w:cs="FrankRuehl"/>
          <w:rtl/>
        </w:rPr>
        <w:t xml:space="preserve">, </w:t>
      </w:r>
      <w:hyperlink r:id="rId12" w:history="1">
        <w:r w:rsidRPr="00C21A62">
          <w:rPr>
            <w:rFonts w:ascii="FrankRuehl" w:hAnsi="FrankRuehl" w:cs="FrankRuehl"/>
            <w:color w:val="0000FF"/>
            <w:rtl/>
          </w:rPr>
          <w:t>452</w:t>
        </w:r>
      </w:hyperlink>
      <w:r w:rsidRPr="00C21A62">
        <w:rPr>
          <w:rFonts w:ascii="FrankRuehl" w:hAnsi="FrankRuehl" w:cs="FrankRuehl"/>
          <w:rtl/>
        </w:rPr>
        <w:t xml:space="preserve">, </w:t>
      </w:r>
      <w:hyperlink r:id="rId13" w:history="1">
        <w:r w:rsidRPr="00C21A62">
          <w:rPr>
            <w:rFonts w:ascii="FrankRuehl" w:hAnsi="FrankRuehl" w:cs="FrankRuehl"/>
            <w:color w:val="0000FF"/>
            <w:rtl/>
          </w:rPr>
          <w:t>454</w:t>
        </w:r>
      </w:hyperlink>
    </w:p>
    <w:p w14:paraId="4EE39652" w14:textId="77777777" w:rsidR="00C21A62" w:rsidRPr="00C21A62" w:rsidRDefault="00C21A62" w:rsidP="00C21A62">
      <w:pPr>
        <w:rPr>
          <w:rFonts w:ascii="David" w:hAnsi="David"/>
          <w:sz w:val="26"/>
          <w:szCs w:val="26"/>
          <w:rtl/>
        </w:rPr>
      </w:pPr>
      <w:bookmarkStart w:id="3" w:name="LawTable_End"/>
      <w:bookmarkEnd w:id="3"/>
    </w:p>
    <w:p w14:paraId="0C0A99C4" w14:textId="77777777" w:rsidR="00CA0BAE" w:rsidRPr="00B478C2" w:rsidRDefault="00CA0BAE" w:rsidP="00CA0BAE">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0BAE" w14:paraId="4A0E4674" w14:textId="77777777" w:rsidTr="00CA0BAE">
        <w:trPr>
          <w:trHeight w:val="355"/>
          <w:jc w:val="center"/>
        </w:trPr>
        <w:tc>
          <w:tcPr>
            <w:tcW w:w="8820" w:type="dxa"/>
            <w:tcBorders>
              <w:top w:val="nil"/>
              <w:left w:val="nil"/>
              <w:bottom w:val="nil"/>
              <w:right w:val="nil"/>
            </w:tcBorders>
            <w:shd w:val="clear" w:color="auto" w:fill="auto"/>
          </w:tcPr>
          <w:p w14:paraId="0DB99CBE" w14:textId="77777777" w:rsidR="00B478C2" w:rsidRPr="00B478C2" w:rsidRDefault="00B478C2" w:rsidP="00B478C2">
            <w:pPr>
              <w:jc w:val="center"/>
              <w:rPr>
                <w:rFonts w:ascii="David" w:hAnsi="David"/>
                <w:b/>
                <w:bCs/>
                <w:sz w:val="32"/>
                <w:szCs w:val="32"/>
                <w:u w:val="single"/>
                <w:rtl/>
              </w:rPr>
            </w:pPr>
            <w:bookmarkStart w:id="4" w:name="PsakDin" w:colFirst="0" w:colLast="0"/>
            <w:bookmarkEnd w:id="0"/>
            <w:r w:rsidRPr="00B478C2">
              <w:rPr>
                <w:rFonts w:ascii="David" w:hAnsi="David"/>
                <w:b/>
                <w:bCs/>
                <w:sz w:val="32"/>
                <w:szCs w:val="32"/>
                <w:u w:val="single"/>
                <w:rtl/>
              </w:rPr>
              <w:t>גזר דין</w:t>
            </w:r>
          </w:p>
          <w:p w14:paraId="24BEE2C4" w14:textId="77777777" w:rsidR="00CA0BAE" w:rsidRPr="00B478C2" w:rsidRDefault="00CA0BAE" w:rsidP="00B478C2">
            <w:pPr>
              <w:jc w:val="center"/>
              <w:rPr>
                <w:rFonts w:ascii="David" w:hAnsi="David"/>
                <w:bCs/>
                <w:sz w:val="32"/>
                <w:szCs w:val="32"/>
                <w:u w:val="single"/>
                <w:rtl/>
              </w:rPr>
            </w:pPr>
          </w:p>
        </w:tc>
      </w:tr>
      <w:bookmarkEnd w:id="4"/>
    </w:tbl>
    <w:p w14:paraId="20B1B466" w14:textId="77777777" w:rsidR="00CA0BAE" w:rsidRPr="002B7D23" w:rsidRDefault="00CA0BAE" w:rsidP="00CA0BAE">
      <w:pPr>
        <w:rPr>
          <w:rFonts w:ascii="David" w:hAnsi="David"/>
          <w:sz w:val="26"/>
          <w:szCs w:val="26"/>
          <w:rtl/>
        </w:rPr>
      </w:pPr>
    </w:p>
    <w:p w14:paraId="5C6261E1" w14:textId="77777777" w:rsidR="00CA0BAE" w:rsidRDefault="00CA0BAE" w:rsidP="00CA0BAE">
      <w:pPr>
        <w:spacing w:line="360" w:lineRule="auto"/>
        <w:jc w:val="both"/>
        <w:rPr>
          <w:rFonts w:ascii="David" w:hAnsi="David"/>
        </w:rPr>
      </w:pPr>
    </w:p>
    <w:p w14:paraId="4551D0C0" w14:textId="77777777" w:rsidR="00CA0BAE" w:rsidRDefault="00CA0BAE" w:rsidP="00CA0BAE">
      <w:pPr>
        <w:spacing w:line="360" w:lineRule="auto"/>
        <w:jc w:val="both"/>
        <w:rPr>
          <w:rFonts w:ascii="David" w:hAnsi="David"/>
          <w:rtl/>
        </w:rPr>
      </w:pPr>
      <w:r>
        <w:rPr>
          <w:rFonts w:ascii="David" w:hAnsi="David"/>
          <w:rtl/>
        </w:rPr>
        <w:t>1.</w:t>
      </w:r>
      <w:r>
        <w:rPr>
          <w:rFonts w:ascii="David" w:hAnsi="David"/>
          <w:rtl/>
        </w:rPr>
        <w:tab/>
      </w:r>
      <w:bookmarkStart w:id="5" w:name="ABSTRACT_START"/>
      <w:bookmarkEnd w:id="5"/>
      <w:r>
        <w:rPr>
          <w:rFonts w:ascii="David" w:hAnsi="David"/>
          <w:rtl/>
        </w:rPr>
        <w:t xml:space="preserve">הנאשם הודה והורשע בעובדות כתב אישום מתוקן בביצוע עבירות של </w:t>
      </w:r>
      <w:r>
        <w:rPr>
          <w:rFonts w:ascii="David" w:hAnsi="David"/>
          <w:b/>
          <w:bCs/>
          <w:rtl/>
        </w:rPr>
        <w:t>ניסיון להיזק בחומר נפיץ</w:t>
      </w:r>
      <w:r>
        <w:rPr>
          <w:rFonts w:ascii="David" w:hAnsi="David"/>
          <w:rtl/>
        </w:rPr>
        <w:t xml:space="preserve">, לפי סעיפים </w:t>
      </w:r>
      <w:hyperlink r:id="rId14" w:history="1">
        <w:r w:rsidR="00B41110" w:rsidRPr="00B41110">
          <w:rPr>
            <w:rStyle w:val="Hyperlink"/>
            <w:rFonts w:ascii="David" w:hAnsi="David"/>
            <w:rtl/>
          </w:rPr>
          <w:t>452, 454 ו-25</w:t>
        </w:r>
      </w:hyperlink>
      <w:r>
        <w:rPr>
          <w:rFonts w:ascii="David" w:hAnsi="David"/>
          <w:rtl/>
        </w:rPr>
        <w:t xml:space="preserve"> ל</w:t>
      </w:r>
      <w:hyperlink r:id="rId15" w:history="1">
        <w:r w:rsidR="00B478C2" w:rsidRPr="00B478C2">
          <w:rPr>
            <w:rFonts w:ascii="David" w:hAnsi="David"/>
            <w:color w:val="0000FF"/>
            <w:u w:val="single"/>
            <w:rtl/>
          </w:rPr>
          <w:t>חוק העונשין</w:t>
        </w:r>
      </w:hyperlink>
      <w:r>
        <w:rPr>
          <w:rFonts w:ascii="David" w:hAnsi="David"/>
          <w:rtl/>
        </w:rPr>
        <w:t xml:space="preserve">, התשל"ז-1977; </w:t>
      </w:r>
      <w:r>
        <w:rPr>
          <w:rFonts w:ascii="David" w:hAnsi="David"/>
          <w:b/>
          <w:bCs/>
          <w:rtl/>
        </w:rPr>
        <w:t>החזקה, נשיאה והובלה של נשק (רימון)</w:t>
      </w:r>
      <w:r>
        <w:rPr>
          <w:rFonts w:ascii="David" w:hAnsi="David"/>
          <w:rtl/>
        </w:rPr>
        <w:t xml:space="preserve">, לפי </w:t>
      </w:r>
      <w:hyperlink r:id="rId16" w:history="1">
        <w:r w:rsidR="00B41110" w:rsidRPr="00B41110">
          <w:rPr>
            <w:rStyle w:val="Hyperlink"/>
            <w:rFonts w:ascii="David" w:hAnsi="David"/>
            <w:rtl/>
          </w:rPr>
          <w:t>סעיפים 144(א)</w:t>
        </w:r>
      </w:hyperlink>
      <w:r>
        <w:rPr>
          <w:rFonts w:ascii="David" w:hAnsi="David"/>
          <w:rtl/>
        </w:rPr>
        <w:t xml:space="preserve"> רישה ו</w:t>
      </w:r>
      <w:hyperlink r:id="rId17" w:history="1">
        <w:r w:rsidR="00B41110" w:rsidRPr="00B41110">
          <w:rPr>
            <w:rStyle w:val="Hyperlink"/>
            <w:rFonts w:ascii="David" w:hAnsi="David"/>
            <w:rtl/>
          </w:rPr>
          <w:t>144(ב)</w:t>
        </w:r>
      </w:hyperlink>
      <w:r>
        <w:rPr>
          <w:rFonts w:ascii="David" w:hAnsi="David"/>
          <w:rtl/>
        </w:rPr>
        <w:t xml:space="preserve"> רישה לחוק; </w:t>
      </w:r>
      <w:r>
        <w:rPr>
          <w:rFonts w:ascii="David" w:hAnsi="David"/>
          <w:b/>
          <w:bCs/>
          <w:rtl/>
        </w:rPr>
        <w:t>החזקת נשק (אקדח וכדורים)</w:t>
      </w:r>
      <w:r>
        <w:rPr>
          <w:rFonts w:ascii="David" w:hAnsi="David"/>
          <w:rtl/>
        </w:rPr>
        <w:t xml:space="preserve"> לפי </w:t>
      </w:r>
      <w:hyperlink r:id="rId18" w:history="1">
        <w:r w:rsidR="00B41110" w:rsidRPr="00B41110">
          <w:rPr>
            <w:rStyle w:val="Hyperlink"/>
            <w:rFonts w:ascii="David" w:hAnsi="David"/>
            <w:rtl/>
          </w:rPr>
          <w:t>סעיף 144(א)</w:t>
        </w:r>
      </w:hyperlink>
      <w:r>
        <w:rPr>
          <w:rFonts w:ascii="David" w:hAnsi="David"/>
          <w:rtl/>
        </w:rPr>
        <w:t xml:space="preserve"> רישה וסיפה לחוק; </w:t>
      </w:r>
      <w:r>
        <w:rPr>
          <w:rFonts w:ascii="David" w:hAnsi="David"/>
          <w:b/>
          <w:bCs/>
          <w:rtl/>
        </w:rPr>
        <w:t>הפרעה לשוטר בשעת מילוי תפקידו</w:t>
      </w:r>
      <w:r>
        <w:rPr>
          <w:rFonts w:ascii="David" w:hAnsi="David"/>
          <w:rtl/>
        </w:rPr>
        <w:t xml:space="preserve">, לפי </w:t>
      </w:r>
      <w:hyperlink r:id="rId19" w:history="1">
        <w:r w:rsidR="00B41110" w:rsidRPr="00B41110">
          <w:rPr>
            <w:rStyle w:val="Hyperlink"/>
            <w:rFonts w:ascii="David" w:hAnsi="David"/>
            <w:rtl/>
          </w:rPr>
          <w:t>סעיף 275</w:t>
        </w:r>
      </w:hyperlink>
      <w:r>
        <w:rPr>
          <w:rFonts w:ascii="David" w:hAnsi="David"/>
          <w:rtl/>
        </w:rPr>
        <w:t xml:space="preserve"> לחוק; ו</w:t>
      </w:r>
      <w:r>
        <w:rPr>
          <w:rFonts w:ascii="David" w:hAnsi="David"/>
          <w:b/>
          <w:bCs/>
          <w:rtl/>
        </w:rPr>
        <w:t>שיבוש מהלכי משפט,</w:t>
      </w:r>
      <w:r>
        <w:rPr>
          <w:rFonts w:ascii="David" w:hAnsi="David"/>
          <w:rtl/>
        </w:rPr>
        <w:t xml:space="preserve"> לפי </w:t>
      </w:r>
      <w:hyperlink r:id="rId20" w:history="1">
        <w:r w:rsidR="00B41110" w:rsidRPr="00B41110">
          <w:rPr>
            <w:rStyle w:val="Hyperlink"/>
            <w:rFonts w:ascii="David" w:hAnsi="David"/>
            <w:rtl/>
          </w:rPr>
          <w:t>סעיף 244</w:t>
        </w:r>
      </w:hyperlink>
      <w:r>
        <w:rPr>
          <w:rFonts w:ascii="David" w:hAnsi="David"/>
          <w:rtl/>
        </w:rPr>
        <w:t xml:space="preserve"> לחוק. הודאתו באה במהלך פרשת התביעה, ולאחר שכתב האישום תוקן. </w:t>
      </w:r>
    </w:p>
    <w:p w14:paraId="6EC231AF" w14:textId="77777777" w:rsidR="00CA0BAE" w:rsidRDefault="00CA0BAE" w:rsidP="00CA0BAE">
      <w:pPr>
        <w:spacing w:line="360" w:lineRule="auto"/>
        <w:jc w:val="both"/>
        <w:rPr>
          <w:rFonts w:ascii="David" w:hAnsi="David"/>
          <w:rtl/>
        </w:rPr>
      </w:pPr>
      <w:bookmarkStart w:id="6" w:name="ABSTRACT_END"/>
      <w:bookmarkEnd w:id="6"/>
    </w:p>
    <w:p w14:paraId="2AF901E8" w14:textId="77777777" w:rsidR="00CA0BAE" w:rsidRDefault="00CA0BAE" w:rsidP="00CA0BAE">
      <w:pPr>
        <w:spacing w:line="360" w:lineRule="auto"/>
        <w:jc w:val="both"/>
        <w:rPr>
          <w:rFonts w:ascii="David" w:hAnsi="David"/>
          <w:rtl/>
        </w:rPr>
      </w:pPr>
      <w:r>
        <w:rPr>
          <w:rFonts w:ascii="David" w:hAnsi="David"/>
          <w:rtl/>
        </w:rPr>
        <w:tab/>
        <w:t xml:space="preserve">מדובר בנאשם שלחובתו הרשעות בעבירות אלימות ורכוש בשנים 2012 ו-2013, כשבגין הרשעתו בתיק 11170-04-12, הוטל עליו עונש מאסר ממשי ממושך, ושנתיים מאסר על תנאי. העונש המותנה כאן הינו חב הפעלה נוכח הרשעת הנאשם בהליך הנוכחי ביותר מעבירת תנאי אחת. </w:t>
      </w:r>
    </w:p>
    <w:p w14:paraId="2DCAFA86" w14:textId="77777777" w:rsidR="00CA0BAE" w:rsidRDefault="00CA0BAE" w:rsidP="00CA0BAE">
      <w:pPr>
        <w:spacing w:line="360" w:lineRule="auto"/>
        <w:jc w:val="both"/>
        <w:rPr>
          <w:rFonts w:ascii="David" w:hAnsi="David"/>
          <w:rtl/>
        </w:rPr>
      </w:pPr>
    </w:p>
    <w:p w14:paraId="5EF9A6F7" w14:textId="77777777" w:rsidR="00CA0BAE" w:rsidRDefault="00CA0BAE" w:rsidP="00CA0BAE">
      <w:pPr>
        <w:spacing w:line="360" w:lineRule="auto"/>
        <w:jc w:val="both"/>
        <w:rPr>
          <w:rFonts w:ascii="David" w:hAnsi="David"/>
          <w:rtl/>
        </w:rPr>
      </w:pPr>
      <w:r>
        <w:rPr>
          <w:rFonts w:ascii="David" w:hAnsi="David"/>
          <w:rtl/>
        </w:rPr>
        <w:t>2.</w:t>
      </w:r>
      <w:r>
        <w:rPr>
          <w:rFonts w:ascii="David" w:hAnsi="David"/>
          <w:rtl/>
        </w:rPr>
        <w:tab/>
        <w:t xml:space="preserve">כתב האישום המתוקן מתאר בתמצית, כי הנאשם השליך רימון רסס לעבר דלת כניסה של משרד בו שהו אנשים, והרימון לא התפוצץ. כעולה מכתב האישום המתוקן, ביום 5.10.2020 בשעות </w:t>
      </w:r>
      <w:r>
        <w:rPr>
          <w:rFonts w:ascii="David" w:hAnsi="David"/>
          <w:rtl/>
        </w:rPr>
        <w:lastRenderedPageBreak/>
        <w:t>הבוקר, הגיע הנאשם רכוב על קטנוע, לרחוב בחיפה שבו ממוקם משרד של חברת ק.ס.מ.ג., כשהוא מצויד במסכה, כפפות וקסדה, ונושא עמו רימון רסס, עטוף באיזולירבנד. לפני הגעתו למקום הדביק הנאשם פתק עם מספר פיקטיבי על לוחית הרישוי של הקטנוע. במרחק של מטרים ספורים מהמשרד, ניסה הנאשם להפעיל את הרימון והשליכו מעבר לשער פתוח לכיוון דלת הכניסה. באותה עת נכחו במשרד עובדים רבים, ואחד מהם, אף הלך מכיוון דלת הכניסה לכיוון הנאשם  בעת קרות האירוע, והיה במרחק קצר ממנו. הרימון שהשליך הנאשם נפל ליד דלת הכניסה, אך לא התפוצץ. הנאשם נמלט מהמקום בקטנוע כשהוא נוהג בניגוד לכיוון התנועה, ונעצר ליד רכב מזדה. הוא הוריד את בגדיו, נעליו והפתק עם המספר הפיקטיבי והניחם ברכב המזדה. לאחר מכן פנה לכיוון פח אשפה סמוך, עם הקסדה בידו, כשהוא ללא נעליים. שוטר שהיה בפעילות שגרתית במקום הבחין בו, והנאשם החל להימלט ממנו חרף קריאת השוטר כי יעצור. במהלך הבריחה מהשוטר השליך הנאשם את הקסדה אל שיח בצד הדרך. בסופו של דבר הדביק השוטר את הנאשם ועצר אותו. בהמשך התברר כי באותו מועד החזיק הנאשם באקדח חצי אוטומטי, מחסנית ומספר כדורים, שנמצאו ברכב המזדה האמור.</w:t>
      </w:r>
    </w:p>
    <w:p w14:paraId="2A874C17" w14:textId="77777777" w:rsidR="00CA0BAE" w:rsidRDefault="00CA0BAE" w:rsidP="00CA0BAE">
      <w:pPr>
        <w:spacing w:line="360" w:lineRule="auto"/>
        <w:jc w:val="both"/>
        <w:rPr>
          <w:rFonts w:ascii="David" w:hAnsi="David"/>
          <w:rtl/>
        </w:rPr>
      </w:pPr>
    </w:p>
    <w:p w14:paraId="237ED996" w14:textId="77777777" w:rsidR="00CA0BAE" w:rsidRDefault="00CA0BAE" w:rsidP="00CA0BAE">
      <w:pPr>
        <w:spacing w:line="360" w:lineRule="auto"/>
        <w:jc w:val="both"/>
        <w:rPr>
          <w:rFonts w:ascii="David" w:hAnsi="David"/>
          <w:rtl/>
        </w:rPr>
      </w:pPr>
      <w:r>
        <w:rPr>
          <w:rFonts w:ascii="David" w:hAnsi="David"/>
          <w:rtl/>
        </w:rPr>
        <w:t xml:space="preserve"> </w:t>
      </w:r>
      <w:r>
        <w:rPr>
          <w:rFonts w:ascii="David" w:hAnsi="David"/>
          <w:rtl/>
        </w:rPr>
        <w:tab/>
        <w:t xml:space="preserve">בנסיבות אלו ניסה הנאשם לגרום לנזק לרכוש על ידי שימוש בנשק חם, תוך סיכון חיי אדם, בשל נוכחות אנשים בסמוך למקום השלכת הרימון. הוא עשה זאת לאחר תכנון מוקדם, ונתפס לאחר מרדף משטרתי. נוסף לכך החזיק הנאשם באקדח, בתוך רכב שהיה בשימושו.  </w:t>
      </w:r>
    </w:p>
    <w:p w14:paraId="546E110E" w14:textId="77777777" w:rsidR="00CA0BAE" w:rsidRDefault="00CA0BAE" w:rsidP="00CA0BAE">
      <w:pPr>
        <w:spacing w:line="360" w:lineRule="auto"/>
        <w:jc w:val="both"/>
        <w:rPr>
          <w:rFonts w:ascii="David" w:hAnsi="David"/>
        </w:rPr>
      </w:pPr>
    </w:p>
    <w:p w14:paraId="1D911D74" w14:textId="77777777" w:rsidR="00CA0BAE" w:rsidRDefault="00CA0BAE" w:rsidP="00CA0BAE">
      <w:pPr>
        <w:spacing w:line="360" w:lineRule="auto"/>
        <w:jc w:val="both"/>
        <w:rPr>
          <w:rFonts w:ascii="David" w:hAnsi="David"/>
          <w:rtl/>
        </w:rPr>
      </w:pPr>
      <w:r>
        <w:rPr>
          <w:rFonts w:ascii="David" w:hAnsi="David"/>
          <w:rtl/>
        </w:rPr>
        <w:t>3.</w:t>
      </w:r>
      <w:r>
        <w:rPr>
          <w:rFonts w:ascii="David" w:hAnsi="David"/>
          <w:rtl/>
        </w:rPr>
        <w:tab/>
        <w:t xml:space="preserve">הצדדים טענו לעונש והציגו את עמדתם לענישה ההולמת: המאשימה עתרה לקביעת מתחם ענישה שנע בין </w:t>
      </w:r>
      <w:r>
        <w:rPr>
          <w:rFonts w:ascii="David" w:hAnsi="David"/>
          <w:b/>
          <w:bCs/>
          <w:rtl/>
        </w:rPr>
        <w:t>שש ועד תשע שנות מאסר בפועל</w:t>
      </w:r>
      <w:r>
        <w:rPr>
          <w:rFonts w:ascii="David" w:hAnsi="David"/>
          <w:rtl/>
        </w:rPr>
        <w:t xml:space="preserve">, וכן לעונש של מאסר מותנה, קנס ופיצוי כספי לנפגעי העבירה. היא ביקשה לגזור את עונשו של הנאשם בחלקו העליון של המתחם, נוכח עברו הפלילי בעבירות נשק, אלימות ורכוש, והצורך בהרתעה אישית. עוד עתרה להפעלת עונש מותנה חב הפעלה מתיק קודם, במצטבר לעונש בתיק זה. </w:t>
      </w:r>
    </w:p>
    <w:p w14:paraId="6323BD09" w14:textId="77777777" w:rsidR="00CA0BAE" w:rsidRDefault="00CA0BAE" w:rsidP="00CA0BAE">
      <w:pPr>
        <w:spacing w:line="360" w:lineRule="auto"/>
        <w:jc w:val="both"/>
        <w:rPr>
          <w:rFonts w:ascii="David" w:hAnsi="David"/>
          <w:rtl/>
        </w:rPr>
      </w:pPr>
    </w:p>
    <w:p w14:paraId="6D17F090" w14:textId="77777777" w:rsidR="00CA0BAE" w:rsidRDefault="00CA0BAE" w:rsidP="00CA0BAE">
      <w:pPr>
        <w:spacing w:line="360" w:lineRule="auto"/>
        <w:ind w:firstLine="720"/>
        <w:jc w:val="both"/>
        <w:rPr>
          <w:rFonts w:ascii="David" w:hAnsi="David"/>
          <w:rtl/>
        </w:rPr>
      </w:pPr>
      <w:r>
        <w:rPr>
          <w:rFonts w:ascii="David" w:hAnsi="David"/>
          <w:rtl/>
        </w:rPr>
        <w:t xml:space="preserve">יוער כי בכתב האישום ביקשה המאשימה לחלט את רכב המזדה, אך לא שבה על בקשתה זו בדיון הטיעון לעונש. </w:t>
      </w:r>
    </w:p>
    <w:p w14:paraId="4A74AC8A" w14:textId="77777777" w:rsidR="00CA0BAE" w:rsidRDefault="00CA0BAE" w:rsidP="00CA0BAE">
      <w:pPr>
        <w:spacing w:line="360" w:lineRule="auto"/>
        <w:jc w:val="both"/>
        <w:rPr>
          <w:rFonts w:ascii="David" w:hAnsi="David"/>
          <w:rtl/>
        </w:rPr>
      </w:pPr>
    </w:p>
    <w:p w14:paraId="790BF715" w14:textId="77777777" w:rsidR="00CA0BAE" w:rsidRDefault="00CA0BAE" w:rsidP="00CA0BAE">
      <w:pPr>
        <w:spacing w:line="360" w:lineRule="auto"/>
        <w:ind w:firstLine="720"/>
        <w:jc w:val="both"/>
        <w:rPr>
          <w:rFonts w:ascii="David" w:hAnsi="David"/>
          <w:rtl/>
        </w:rPr>
      </w:pPr>
      <w:r>
        <w:rPr>
          <w:rFonts w:ascii="David" w:hAnsi="David"/>
          <w:rtl/>
        </w:rPr>
        <w:t>הסנגור עתר למתחם ענישה המתחיל ב</w:t>
      </w:r>
      <w:r>
        <w:rPr>
          <w:rFonts w:ascii="David" w:hAnsi="David"/>
          <w:b/>
          <w:bCs/>
          <w:rtl/>
        </w:rPr>
        <w:t>מספר חודשי מאסר בפועל ועד לשלוש שנות מאסר בפועל</w:t>
      </w:r>
      <w:r>
        <w:rPr>
          <w:rFonts w:ascii="David" w:hAnsi="David"/>
          <w:rtl/>
        </w:rPr>
        <w:t xml:space="preserve">. עוד ביקש כי עונש המאסר המותנה, יופעל כך שחלקו ירוצה במצטבר וחלקו בחופף לעונש המאסר שייגזר בגין תיק זה. </w:t>
      </w:r>
    </w:p>
    <w:p w14:paraId="5B12CF5F" w14:textId="77777777" w:rsidR="00CA0BAE" w:rsidRDefault="00CA0BAE" w:rsidP="00CA0BAE">
      <w:pPr>
        <w:spacing w:line="360" w:lineRule="auto"/>
        <w:jc w:val="both"/>
        <w:rPr>
          <w:rFonts w:ascii="David" w:hAnsi="David"/>
          <w:rtl/>
        </w:rPr>
      </w:pPr>
    </w:p>
    <w:p w14:paraId="7BAA5B55" w14:textId="77777777" w:rsidR="00CA0BAE" w:rsidRDefault="00CA0BAE" w:rsidP="00CA0BAE">
      <w:pPr>
        <w:spacing w:line="360" w:lineRule="auto"/>
        <w:jc w:val="both"/>
        <w:rPr>
          <w:rFonts w:ascii="David" w:hAnsi="David"/>
          <w:u w:val="single"/>
          <w:rtl/>
        </w:rPr>
      </w:pPr>
      <w:r>
        <w:rPr>
          <w:rFonts w:ascii="David" w:hAnsi="David"/>
          <w:u w:val="single"/>
          <w:rtl/>
        </w:rPr>
        <w:t>דיון והכרעה:</w:t>
      </w:r>
    </w:p>
    <w:p w14:paraId="517EB454" w14:textId="77777777" w:rsidR="00CA0BAE" w:rsidRDefault="00CA0BAE" w:rsidP="00CA0BAE">
      <w:pPr>
        <w:spacing w:line="360" w:lineRule="auto"/>
        <w:jc w:val="both"/>
        <w:rPr>
          <w:rFonts w:ascii="David" w:hAnsi="David"/>
          <w:rtl/>
        </w:rPr>
      </w:pPr>
      <w:r>
        <w:rPr>
          <w:rFonts w:ascii="David" w:hAnsi="David"/>
          <w:rtl/>
        </w:rPr>
        <w:t>4.</w:t>
      </w:r>
      <w:r>
        <w:rPr>
          <w:rFonts w:ascii="David" w:hAnsi="David"/>
          <w:rtl/>
        </w:rPr>
        <w:tab/>
        <w:t>רבות נכתב על החומרה היתרה של עבירות בנשק: "</w:t>
      </w:r>
      <w:r>
        <w:rPr>
          <w:rFonts w:ascii="David" w:hAnsi="David"/>
          <w:b/>
          <w:bCs/>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w:t>
      </w:r>
      <w:r>
        <w:rPr>
          <w:rFonts w:ascii="David" w:hAnsi="David"/>
          <w:rtl/>
        </w:rPr>
        <w:t>" (</w:t>
      </w:r>
      <w:hyperlink r:id="rId21" w:history="1">
        <w:r w:rsidR="00B478C2" w:rsidRPr="00B478C2">
          <w:rPr>
            <w:rFonts w:ascii="David" w:hAnsi="David"/>
            <w:color w:val="0000FF"/>
            <w:u w:val="single"/>
            <w:rtl/>
          </w:rPr>
          <w:t>ע"פ 3169/21</w:t>
        </w:r>
      </w:hyperlink>
      <w:r>
        <w:rPr>
          <w:rFonts w:ascii="David" w:hAnsi="David"/>
          <w:rtl/>
        </w:rPr>
        <w:t xml:space="preserve"> </w:t>
      </w:r>
      <w:r>
        <w:rPr>
          <w:rFonts w:ascii="David" w:hAnsi="David"/>
          <w:b/>
          <w:bCs/>
          <w:rtl/>
        </w:rPr>
        <w:t xml:space="preserve">מדינת ישראל נ' </w:t>
      </w:r>
      <w:r>
        <w:rPr>
          <w:rFonts w:ascii="David" w:hAnsi="David"/>
          <w:b/>
          <w:bCs/>
          <w:rtl/>
        </w:rPr>
        <w:lastRenderedPageBreak/>
        <w:t xml:space="preserve">אגבאריה, </w:t>
      </w:r>
      <w:r>
        <w:rPr>
          <w:rFonts w:ascii="David" w:hAnsi="David"/>
          <w:rtl/>
        </w:rPr>
        <w:t xml:space="preserve">בפס' 6 (נבו 21.6.2021)). עבירות מסוג זה פשטו בשורות החברה, הפכו לנפוצות, וחדשות לבקרים נפגעים רבים בשל ביצוע עבירות בנשק. משכך, הוכרזה מלחמת חומרה כלפי מבצעי עבירה כאלה, הבאה לידי ביטוי אף בענישה מחמירה. </w:t>
      </w:r>
    </w:p>
    <w:p w14:paraId="04D8DC73" w14:textId="77777777" w:rsidR="00CA0BAE" w:rsidRDefault="00CA0BAE" w:rsidP="00CA0BAE">
      <w:pPr>
        <w:spacing w:line="360" w:lineRule="auto"/>
        <w:jc w:val="both"/>
        <w:rPr>
          <w:rFonts w:ascii="David" w:hAnsi="David"/>
        </w:rPr>
      </w:pPr>
    </w:p>
    <w:p w14:paraId="0E8DEAC4" w14:textId="77777777" w:rsidR="00CA0BAE" w:rsidRDefault="00CA0BAE" w:rsidP="00CA0BAE">
      <w:pPr>
        <w:spacing w:line="360" w:lineRule="auto"/>
        <w:jc w:val="both"/>
        <w:rPr>
          <w:rFonts w:ascii="Miriam" w:hAnsi="Miriam" w:cs="Miriam"/>
          <w:rtl/>
        </w:rPr>
      </w:pPr>
      <w:r>
        <w:rPr>
          <w:rFonts w:ascii="David" w:hAnsi="David"/>
          <w:rtl/>
        </w:rPr>
        <w:t>5.</w:t>
      </w:r>
      <w:r>
        <w:rPr>
          <w:rFonts w:ascii="David" w:hAnsi="David"/>
          <w:rtl/>
        </w:rPr>
        <w:tab/>
        <w:t xml:space="preserve">הערכים החברתיים המוגנים שנפגעו הם שמירה על הביטחון האישי והסדר הציבורי, הגנה על החיים ושלמות הגוף, וכן הגנה על הזכות לקניין ושלמות הרכוש. מידת הפגיעה בערכים כאן הייתה ברף בינוני-גבוה, בשים לב לטיב הנשק בו נעשה שימוש ומאידך העובדה שהרימון לא התפוצץ ולא נגרם נזק פיזי לגוף או לרכוש. עם זאת, הרימון נזרק למבנה ששהו בו אנשים רבים, ואחד מהם אף היה קרוב אליו מאוד. </w:t>
      </w:r>
    </w:p>
    <w:p w14:paraId="75742383" w14:textId="77777777" w:rsidR="00CA0BAE" w:rsidRDefault="00CA0BAE" w:rsidP="00CA0BAE">
      <w:pPr>
        <w:spacing w:line="360" w:lineRule="auto"/>
        <w:jc w:val="both"/>
        <w:rPr>
          <w:rFonts w:ascii="Miriam" w:hAnsi="Miriam" w:cs="Miriam"/>
          <w:rtl/>
        </w:rPr>
      </w:pPr>
    </w:p>
    <w:p w14:paraId="03834F48" w14:textId="77777777" w:rsidR="00CA0BAE" w:rsidRDefault="00CA0BAE" w:rsidP="00CA0BAE">
      <w:pPr>
        <w:spacing w:line="360" w:lineRule="auto"/>
        <w:jc w:val="both"/>
        <w:rPr>
          <w:rFonts w:ascii="Miriam" w:hAnsi="Miriam" w:cs="Miriam"/>
          <w:rtl/>
        </w:rPr>
      </w:pPr>
    </w:p>
    <w:p w14:paraId="5F8525D7" w14:textId="77777777" w:rsidR="00CA0BAE" w:rsidRDefault="00CA0BAE" w:rsidP="00CA0BAE">
      <w:pPr>
        <w:spacing w:line="360" w:lineRule="auto"/>
        <w:jc w:val="both"/>
        <w:rPr>
          <w:rFonts w:ascii="David" w:hAnsi="David"/>
          <w:rtl/>
        </w:rPr>
      </w:pPr>
      <w:r>
        <w:rPr>
          <w:rFonts w:ascii="David" w:hAnsi="David"/>
          <w:rtl/>
        </w:rPr>
        <w:t>6.</w:t>
      </w:r>
      <w:r>
        <w:rPr>
          <w:rFonts w:ascii="David" w:hAnsi="David"/>
          <w:rtl/>
        </w:rPr>
        <w:tab/>
        <w:t xml:space="preserve">באשר למדיניות הענישה במקרים דומים: </w:t>
      </w:r>
      <w:r>
        <w:rPr>
          <w:rFonts w:ascii="David" w:hAnsi="David"/>
          <w:rtl/>
        </w:rPr>
        <w:tab/>
        <w:t>ב</w:t>
      </w:r>
      <w:hyperlink r:id="rId22" w:history="1">
        <w:r w:rsidR="00B478C2" w:rsidRPr="00B478C2">
          <w:rPr>
            <w:rFonts w:ascii="David" w:hAnsi="David"/>
            <w:color w:val="0000FF"/>
            <w:u w:val="single"/>
            <w:rtl/>
          </w:rPr>
          <w:t>ע"פ 723/19</w:t>
        </w:r>
      </w:hyperlink>
      <w:r>
        <w:rPr>
          <w:rFonts w:ascii="David" w:hAnsi="David"/>
          <w:rtl/>
        </w:rPr>
        <w:t xml:space="preserve"> </w:t>
      </w:r>
      <w:r>
        <w:rPr>
          <w:rFonts w:ascii="David" w:hAnsi="David"/>
          <w:b/>
          <w:bCs/>
          <w:rtl/>
        </w:rPr>
        <w:t>שיינברג נ' מדינת ישראל</w:t>
      </w:r>
      <w:r>
        <w:rPr>
          <w:rFonts w:ascii="David" w:hAnsi="David"/>
          <w:rtl/>
        </w:rPr>
        <w:t xml:space="preserve"> (נבו 18.4.2019) – דובר על מערער שהורשע בהנחת מטען נפץ מאולתר, שאותו הכין בעצמו, מתחת לרכב, במטרה לאיים על אדם. המערער זייף את מספר לוחית הזיהוי של האופנוע עמו הגיע למקום ביצוע העבירה. בשל כשל טכני המטען לא התפוצץ, והוא הורשע בעבירות של ניסיון להרוס נכס בחומר נפיץ, ייצור נשק שלא כדין, החזקת נשק ונשיאתו. בית המשפט המחוזי קבע את מתחם הענישה לאותו אישום </w:t>
      </w:r>
      <w:r>
        <w:rPr>
          <w:rFonts w:ascii="David" w:hAnsi="David"/>
          <w:b/>
          <w:bCs/>
          <w:rtl/>
        </w:rPr>
        <w:t>כנע בין 62-34 חודשי מאסר בפועל</w:t>
      </w:r>
      <w:r>
        <w:rPr>
          <w:rFonts w:ascii="David" w:hAnsi="David"/>
          <w:rtl/>
        </w:rPr>
        <w:t xml:space="preserve">, וגזר </w:t>
      </w:r>
      <w:r>
        <w:rPr>
          <w:rFonts w:ascii="David" w:hAnsi="David"/>
          <w:b/>
          <w:bCs/>
          <w:rtl/>
        </w:rPr>
        <w:t>עונש מאסר בן 42 חודשים</w:t>
      </w:r>
      <w:r>
        <w:rPr>
          <w:rFonts w:ascii="David" w:hAnsi="David"/>
          <w:rtl/>
        </w:rPr>
        <w:t xml:space="preserve"> בגין אישום זה (הוא הורשע באישומים נוספים וכן הופעל עונש מאסר מותנה). בית המשפט העליון דחה את הערעור על חומרת העונש. </w:t>
      </w:r>
    </w:p>
    <w:p w14:paraId="12099B26" w14:textId="77777777" w:rsidR="00CA0BAE" w:rsidRDefault="00CA0BAE" w:rsidP="00CA0BAE">
      <w:pPr>
        <w:spacing w:line="360" w:lineRule="auto"/>
        <w:jc w:val="both"/>
        <w:rPr>
          <w:rFonts w:ascii="David" w:hAnsi="David"/>
          <w:rtl/>
        </w:rPr>
      </w:pPr>
    </w:p>
    <w:p w14:paraId="1591C5D1" w14:textId="77777777" w:rsidR="00CA0BAE" w:rsidRDefault="00CA0BAE" w:rsidP="00CA0BAE">
      <w:pPr>
        <w:spacing w:line="360" w:lineRule="auto"/>
        <w:ind w:firstLine="720"/>
        <w:jc w:val="both"/>
        <w:rPr>
          <w:rFonts w:ascii="David" w:hAnsi="David"/>
          <w:rtl/>
        </w:rPr>
      </w:pPr>
      <w:r>
        <w:rPr>
          <w:rFonts w:ascii="David" w:hAnsi="David"/>
          <w:rtl/>
        </w:rPr>
        <w:t>ב</w:t>
      </w:r>
      <w:hyperlink r:id="rId23" w:history="1">
        <w:r w:rsidR="00B478C2" w:rsidRPr="00B478C2">
          <w:rPr>
            <w:rFonts w:ascii="David" w:hAnsi="David"/>
            <w:color w:val="0000FF"/>
            <w:u w:val="single"/>
            <w:rtl/>
          </w:rPr>
          <w:t>ע"פ 649/15</w:t>
        </w:r>
      </w:hyperlink>
      <w:r>
        <w:rPr>
          <w:rFonts w:ascii="David" w:hAnsi="David"/>
          <w:rtl/>
        </w:rPr>
        <w:t xml:space="preserve"> </w:t>
      </w:r>
      <w:r>
        <w:rPr>
          <w:rFonts w:ascii="David" w:hAnsi="David"/>
          <w:b/>
          <w:bCs/>
          <w:rtl/>
        </w:rPr>
        <w:t>לוגסי נ' מדינת ישראל</w:t>
      </w:r>
      <w:r>
        <w:rPr>
          <w:rFonts w:ascii="David" w:hAnsi="David"/>
          <w:rtl/>
        </w:rPr>
        <w:t xml:space="preserve"> (נבו 3.8.2017), הורשע המערער בעבירות של נשיאת נשק, חבלה בכוונה מחמירה והיזק בחומר נפץ. באותו מקרה הגיע המערער רכוב באופנוע והשליך רימון רסס לעבר חזית בית, שעה ששהו בו בני הבית. הרימון התפוצץ וגרם לנזק לקירות הבית ולחצר. בית המשפט המחוזי קבע מתחם ענישה שנע בין </w:t>
      </w:r>
      <w:r>
        <w:rPr>
          <w:rFonts w:ascii="David" w:hAnsi="David"/>
          <w:b/>
          <w:bCs/>
          <w:rtl/>
        </w:rPr>
        <w:t>5 ועד ל-8 שנות מאסר בפועל</w:t>
      </w:r>
      <w:r>
        <w:rPr>
          <w:rFonts w:ascii="David" w:hAnsi="David"/>
          <w:rtl/>
        </w:rPr>
        <w:t xml:space="preserve">, וגזר עליו עונש של </w:t>
      </w:r>
      <w:r>
        <w:rPr>
          <w:rFonts w:ascii="David" w:hAnsi="David"/>
          <w:b/>
          <w:bCs/>
          <w:rtl/>
        </w:rPr>
        <w:t>שש שנות מאסר בפועל</w:t>
      </w:r>
      <w:r>
        <w:rPr>
          <w:rFonts w:ascii="David" w:hAnsi="David"/>
          <w:rtl/>
        </w:rPr>
        <w:t xml:space="preserve">. בית המשפט העליון הפחית את העונש ב-8 חודשים, והעמידו על </w:t>
      </w:r>
      <w:r>
        <w:rPr>
          <w:rFonts w:ascii="David" w:hAnsi="David"/>
          <w:b/>
          <w:bCs/>
          <w:rtl/>
        </w:rPr>
        <w:t>חמש שנים וארבעה חודשי מאסר</w:t>
      </w:r>
      <w:r>
        <w:rPr>
          <w:rFonts w:ascii="David" w:hAnsi="David"/>
          <w:rtl/>
        </w:rPr>
        <w:t xml:space="preserve">, נוכח הליך שיקומי שהחל. יובהר כי בניגוד לענייננו, באותו מקרה הורשע הנאשם גם בעבירה של חבלה בכוונה מחמירה.  </w:t>
      </w:r>
    </w:p>
    <w:p w14:paraId="145EA192" w14:textId="77777777" w:rsidR="00CA0BAE" w:rsidRDefault="00CA0BAE" w:rsidP="00CA0BAE">
      <w:pPr>
        <w:spacing w:line="360" w:lineRule="auto"/>
        <w:jc w:val="both"/>
        <w:rPr>
          <w:rFonts w:ascii="David" w:hAnsi="David"/>
          <w:rtl/>
        </w:rPr>
      </w:pPr>
    </w:p>
    <w:p w14:paraId="0D690BD3" w14:textId="77777777" w:rsidR="00CA0BAE" w:rsidRDefault="00CA0BAE" w:rsidP="00CA0BAE">
      <w:pPr>
        <w:spacing w:line="360" w:lineRule="auto"/>
        <w:ind w:firstLine="720"/>
        <w:jc w:val="both"/>
        <w:rPr>
          <w:rFonts w:ascii="David" w:hAnsi="David"/>
          <w:rtl/>
        </w:rPr>
      </w:pPr>
      <w:r>
        <w:rPr>
          <w:rFonts w:ascii="David" w:hAnsi="David"/>
          <w:rtl/>
        </w:rPr>
        <w:t>ב</w:t>
      </w:r>
      <w:hyperlink r:id="rId24" w:history="1">
        <w:r w:rsidR="00B478C2" w:rsidRPr="00B478C2">
          <w:rPr>
            <w:rFonts w:ascii="David" w:hAnsi="David"/>
            <w:color w:val="0000FF"/>
            <w:u w:val="single"/>
            <w:rtl/>
          </w:rPr>
          <w:t>ע"פ 5995/11</w:t>
        </w:r>
      </w:hyperlink>
      <w:r>
        <w:rPr>
          <w:rFonts w:ascii="David" w:hAnsi="David"/>
          <w:rtl/>
        </w:rPr>
        <w:t xml:space="preserve"> </w:t>
      </w:r>
      <w:r>
        <w:rPr>
          <w:rFonts w:ascii="David" w:hAnsi="David"/>
          <w:b/>
          <w:bCs/>
          <w:rtl/>
        </w:rPr>
        <w:t>בדראן נ' מדינת ישראל</w:t>
      </w:r>
      <w:r>
        <w:rPr>
          <w:rFonts w:ascii="David" w:hAnsi="David"/>
          <w:rtl/>
        </w:rPr>
        <w:t xml:space="preserve"> (נבו 14.10.2012) הורשע המערער בעבירות של החזקת נשק, נשיאתו, והיזק בחומר נפיץ. המערער הניח מטען חבלה מאולתר בחזית ביתו של גיסו, בשעה שבני המשפחה שהו בבית, זאת על רקע סכסוך בתוך המשפחה. המטען התפוצץ וגרם לנזקים לרכבים ולקירות הבית. בית המשפט המחוזי גזר עליו עונש של </w:t>
      </w:r>
      <w:r>
        <w:rPr>
          <w:rFonts w:ascii="David" w:hAnsi="David"/>
          <w:b/>
          <w:bCs/>
          <w:rtl/>
        </w:rPr>
        <w:t>ארבע שנות מאסר בפועל</w:t>
      </w:r>
      <w:r>
        <w:rPr>
          <w:rFonts w:ascii="David" w:hAnsi="David"/>
          <w:rtl/>
        </w:rPr>
        <w:t xml:space="preserve"> וענישה נלווית. בית המשפט העליון הפחית את העונש </w:t>
      </w:r>
      <w:r>
        <w:rPr>
          <w:rFonts w:ascii="David" w:hAnsi="David"/>
          <w:b/>
          <w:bCs/>
          <w:rtl/>
        </w:rPr>
        <w:t>לשלוש שנות מאסר בפועל</w:t>
      </w:r>
      <w:r>
        <w:rPr>
          <w:rFonts w:ascii="David" w:hAnsi="David"/>
          <w:rtl/>
        </w:rPr>
        <w:t>, נוכח היעדר פגיעה בגוף, גילו של המערער ועברו הפלילי הנקי.</w:t>
      </w:r>
    </w:p>
    <w:p w14:paraId="11F75075" w14:textId="77777777" w:rsidR="00CA0BAE" w:rsidRDefault="00CA0BAE" w:rsidP="00CA0BAE">
      <w:pPr>
        <w:spacing w:line="360" w:lineRule="auto"/>
        <w:jc w:val="both"/>
        <w:rPr>
          <w:rFonts w:ascii="David" w:hAnsi="David"/>
          <w:rtl/>
        </w:rPr>
      </w:pPr>
    </w:p>
    <w:p w14:paraId="57D651D3" w14:textId="77777777" w:rsidR="00CA0BAE" w:rsidRDefault="00CA0BAE" w:rsidP="00CA0BAE">
      <w:pPr>
        <w:spacing w:line="360" w:lineRule="auto"/>
        <w:ind w:firstLine="720"/>
        <w:jc w:val="both"/>
        <w:rPr>
          <w:rFonts w:ascii="David" w:hAnsi="David"/>
          <w:rtl/>
        </w:rPr>
      </w:pPr>
      <w:r>
        <w:rPr>
          <w:rFonts w:ascii="David" w:hAnsi="David"/>
          <w:rtl/>
        </w:rPr>
        <w:t>ב</w:t>
      </w:r>
      <w:hyperlink r:id="rId25" w:history="1">
        <w:r w:rsidR="00B478C2" w:rsidRPr="00B478C2">
          <w:rPr>
            <w:rFonts w:ascii="David" w:hAnsi="David"/>
            <w:color w:val="0000FF"/>
            <w:u w:val="single"/>
            <w:rtl/>
          </w:rPr>
          <w:t>ע"פ 3817/09</w:t>
        </w:r>
      </w:hyperlink>
      <w:r>
        <w:rPr>
          <w:rFonts w:ascii="David" w:hAnsi="David"/>
          <w:rtl/>
        </w:rPr>
        <w:t xml:space="preserve"> </w:t>
      </w:r>
      <w:r>
        <w:rPr>
          <w:rFonts w:ascii="David" w:hAnsi="David"/>
          <w:b/>
          <w:bCs/>
          <w:rtl/>
        </w:rPr>
        <w:t>אזברגה נ' מדינת ישראל</w:t>
      </w:r>
      <w:r>
        <w:rPr>
          <w:rFonts w:ascii="David" w:hAnsi="David"/>
          <w:rtl/>
        </w:rPr>
        <w:t xml:space="preserve"> (נבו 16.9.2010) הורשע המערער בעבירות של החזקת נשק; נשיאתו; ניסיון לחבול בחומר נפיץ; נהיגה בזמן פסילה; וזיוף בקשר לבעלות ברכב. נגזרו עליו </w:t>
      </w:r>
      <w:r>
        <w:rPr>
          <w:rFonts w:ascii="David" w:hAnsi="David"/>
          <w:b/>
          <w:bCs/>
          <w:rtl/>
        </w:rPr>
        <w:t>60 חודשי מאסר בפועל</w:t>
      </w:r>
      <w:r>
        <w:rPr>
          <w:rFonts w:ascii="David" w:hAnsi="David"/>
          <w:rtl/>
        </w:rPr>
        <w:t xml:space="preserve">. דובר על אירוע של זריקת רימון לעבר ביתו של ראש מועצת כפר יונה, שהתפוצץ ורסיסיו התפזרו באזור. בית המשפט העליון דחה את הערעור על הכרעת הדין ועל גזר הדין. </w:t>
      </w:r>
    </w:p>
    <w:p w14:paraId="540DE3C4" w14:textId="77777777" w:rsidR="00CA0BAE" w:rsidRDefault="00CA0BAE" w:rsidP="00CA0BAE">
      <w:pPr>
        <w:spacing w:line="360" w:lineRule="auto"/>
        <w:jc w:val="both"/>
        <w:rPr>
          <w:rFonts w:ascii="David" w:hAnsi="David"/>
          <w:rtl/>
        </w:rPr>
      </w:pPr>
    </w:p>
    <w:p w14:paraId="33E7C76C" w14:textId="77777777" w:rsidR="00CA0BAE" w:rsidRDefault="00CA0BAE" w:rsidP="00CA0BAE">
      <w:pPr>
        <w:spacing w:line="360" w:lineRule="auto"/>
        <w:jc w:val="both"/>
        <w:rPr>
          <w:rFonts w:ascii="David" w:hAnsi="David"/>
          <w:rtl/>
        </w:rPr>
      </w:pPr>
      <w:r>
        <w:rPr>
          <w:rFonts w:ascii="David" w:hAnsi="David"/>
          <w:rtl/>
        </w:rPr>
        <w:t>7.</w:t>
      </w:r>
      <w:r>
        <w:rPr>
          <w:rFonts w:ascii="David" w:hAnsi="David"/>
          <w:rtl/>
        </w:rPr>
        <w:tab/>
        <w:t xml:space="preserve">ראיתי לקבוע מתחם אחד לגבי כל העבירות, נוכח ביצוען בסמיכות זמנים וברצף עובדתי, כשלמעט האקדח שהוחזק ברכב המזדה, שבו לא נעשה שימוש, יתר העבירות בוצעו במסגרת אותה תכנית עבריינית, וכחלק מאירוע השלכת הרימון. נתתי דעתי לתכנון שקדם לביצוע העבירות, לרבות שינוי לוחית הזיהוי של הקטנוע והשימוש בכלי רכב נוסף לאחר האירוע, שכלל ניסיון להיפטר מהבגדים והנעליים. עוד נתתי דעתי לכך שבסופו של יום לא נגרם נזק ממשי לגוף או לרכוש. </w:t>
      </w:r>
    </w:p>
    <w:p w14:paraId="5DDA3F51" w14:textId="77777777" w:rsidR="00CA0BAE" w:rsidRDefault="00CA0BAE" w:rsidP="00CA0BAE">
      <w:pPr>
        <w:spacing w:line="360" w:lineRule="auto"/>
        <w:jc w:val="both"/>
        <w:rPr>
          <w:rFonts w:ascii="David" w:hAnsi="David"/>
          <w:rtl/>
        </w:rPr>
      </w:pPr>
      <w:r>
        <w:rPr>
          <w:rFonts w:ascii="David" w:hAnsi="David"/>
          <w:rtl/>
        </w:rPr>
        <w:t xml:space="preserve">לצד זאת, פוטנציאל הנזק היה קיים, נוכח טיב הנשק – רימון רסס, ומועד ביצוע העבירות – במהלך שעות העבודה הרגילות, שעה שבמקום שהו אנשים, כשאחד מהם היה מצוי בסמיכות למקום השלכת הרימון. בבחינת פוטנציאל הנזק נתתי דעתי גם לכך שהרימון הושלך כשהוא היה עטוף באיזולירבנד.  </w:t>
      </w:r>
    </w:p>
    <w:p w14:paraId="18BBF266" w14:textId="77777777" w:rsidR="00CA0BAE" w:rsidRDefault="00CA0BAE" w:rsidP="00CA0BAE">
      <w:pPr>
        <w:jc w:val="both"/>
        <w:rPr>
          <w:rFonts w:ascii="David" w:hAnsi="David"/>
          <w:rtl/>
        </w:rPr>
      </w:pPr>
    </w:p>
    <w:p w14:paraId="7D4F0313" w14:textId="77777777" w:rsidR="00CA0BAE" w:rsidRDefault="00CA0BAE" w:rsidP="00CA0BAE">
      <w:pPr>
        <w:spacing w:line="360" w:lineRule="auto"/>
        <w:jc w:val="both"/>
        <w:rPr>
          <w:rFonts w:ascii="David" w:hAnsi="David"/>
          <w:rtl/>
        </w:rPr>
      </w:pPr>
      <w:r>
        <w:rPr>
          <w:rFonts w:ascii="David" w:hAnsi="David"/>
          <w:rtl/>
        </w:rPr>
        <w:t>8.</w:t>
      </w:r>
      <w:r>
        <w:rPr>
          <w:rFonts w:ascii="David" w:hAnsi="David"/>
          <w:rtl/>
        </w:rPr>
        <w:tab/>
        <w:t xml:space="preserve">בשים לב למידת הפגיעה בערכים המוגנים, למדיניות הענישה הנוהגת, להצבר העבירות הכולל, טיבן, ונסיבותיהן, ראיתי לקבוע את מתחם הענישה בתיק זה כנע </w:t>
      </w:r>
      <w:r>
        <w:rPr>
          <w:rFonts w:ascii="David" w:hAnsi="David"/>
          <w:b/>
          <w:bCs/>
          <w:rtl/>
        </w:rPr>
        <w:t>בין 42 חודשי מאסר בפועל ברף התחתון ועד ל-78 חודשי מאסר בפועל בתקרתו</w:t>
      </w:r>
      <w:r>
        <w:rPr>
          <w:rFonts w:ascii="David" w:hAnsi="David"/>
          <w:rtl/>
        </w:rPr>
        <w:t xml:space="preserve">. זאת לצד עונש מאסר מותנה ופיצוי למתלוננים. בנסיבות העניין, ובהיעדר אינדיקציה לרווח כלכלי מביצוע העבירות, אני נמנע מלקבוע רכיב של קנס כחלק ממתחם הענישה. </w:t>
      </w:r>
    </w:p>
    <w:p w14:paraId="5B35EFCE" w14:textId="77777777" w:rsidR="00CA0BAE" w:rsidRDefault="00CA0BAE" w:rsidP="00CA0BAE">
      <w:pPr>
        <w:jc w:val="both"/>
        <w:rPr>
          <w:rFonts w:ascii="David" w:hAnsi="David"/>
          <w:rtl/>
        </w:rPr>
      </w:pPr>
    </w:p>
    <w:p w14:paraId="3F3D8E13" w14:textId="77777777" w:rsidR="00CA0BAE" w:rsidRDefault="00CA0BAE" w:rsidP="00CA0BAE">
      <w:pPr>
        <w:spacing w:line="360" w:lineRule="auto"/>
        <w:jc w:val="both"/>
        <w:rPr>
          <w:rFonts w:ascii="David" w:hAnsi="David"/>
          <w:rtl/>
        </w:rPr>
      </w:pPr>
      <w:r>
        <w:rPr>
          <w:rFonts w:ascii="David" w:hAnsi="David"/>
          <w:rtl/>
        </w:rPr>
        <w:t>9.</w:t>
      </w:r>
      <w:r>
        <w:rPr>
          <w:rFonts w:ascii="David" w:hAnsi="David"/>
          <w:rtl/>
        </w:rPr>
        <w:tab/>
        <w:t xml:space="preserve">לא מצאתי עילה לסטייה ממתחם הענישה שקבעתי, בהעדר נסיבות חומרה ייחודיות או אפיק שיקומי ברור. </w:t>
      </w:r>
    </w:p>
    <w:p w14:paraId="37803962" w14:textId="77777777" w:rsidR="00CA0BAE" w:rsidRDefault="00CA0BAE" w:rsidP="00CA0BAE">
      <w:pPr>
        <w:jc w:val="both"/>
        <w:rPr>
          <w:rFonts w:ascii="David" w:hAnsi="David"/>
          <w:rtl/>
        </w:rPr>
      </w:pPr>
    </w:p>
    <w:p w14:paraId="4D262D35" w14:textId="77777777" w:rsidR="00CA0BAE" w:rsidRDefault="00CA0BAE" w:rsidP="00CA0BAE">
      <w:pPr>
        <w:spacing w:line="360" w:lineRule="auto"/>
        <w:jc w:val="both"/>
        <w:rPr>
          <w:rFonts w:ascii="David" w:hAnsi="David"/>
          <w:rtl/>
        </w:rPr>
      </w:pPr>
      <w:r>
        <w:rPr>
          <w:rFonts w:ascii="David" w:hAnsi="David"/>
          <w:rtl/>
        </w:rPr>
        <w:t>10.</w:t>
      </w:r>
      <w:r>
        <w:rPr>
          <w:rFonts w:ascii="David" w:hAnsi="David"/>
          <w:rtl/>
        </w:rPr>
        <w:tab/>
        <w:t xml:space="preserve">באשר לנסיבות שאינן קשורות לביצוע העבירה: נתתי דעתי להודאת הנאשם מיד לאחר תיקון כתב האישום, המעידה על נטילת אחריות על מעשיו. הודאתו אף הביאה לחיסכון במשאב הציבורי. לצד זאת, שקלתי את עברו הפלילי שהינו מכביד, חרף גילו הצעיר, וכולל ביצוע עבירות נשק, אלימות וכנגד הרכוש, שבגינן ריצה הנאשם תקופות מאסר משמעותיות מאחורי סורג ובריח. נתתי דעתי גם לאינטרס הרתעת היחיד והרבים, בשים לב לכך שהנאשם לא הורתע מעונש מאסר מותנה בן שנתיים שהיה תלוי ועומד נגדו, בעת ביצוע העבירות כאן. בשקלול כלל הנסיבות לקולה ולחומרה, מצאתי לגזור את עונשו של הנאשם בחלקו האמצעי של המתחם בעניינו. </w:t>
      </w:r>
    </w:p>
    <w:p w14:paraId="4CA12478" w14:textId="77777777" w:rsidR="00CA0BAE" w:rsidRDefault="00CA0BAE" w:rsidP="00CA0BAE">
      <w:pPr>
        <w:jc w:val="both"/>
        <w:rPr>
          <w:rFonts w:ascii="David" w:hAnsi="David"/>
          <w:rtl/>
        </w:rPr>
      </w:pPr>
    </w:p>
    <w:p w14:paraId="5D00DDBE" w14:textId="77777777" w:rsidR="00CA0BAE" w:rsidRDefault="00CA0BAE" w:rsidP="00CA0BAE">
      <w:pPr>
        <w:spacing w:line="360" w:lineRule="auto"/>
        <w:jc w:val="both"/>
        <w:rPr>
          <w:rFonts w:ascii="David" w:hAnsi="David"/>
          <w:rtl/>
        </w:rPr>
      </w:pPr>
      <w:r>
        <w:rPr>
          <w:rFonts w:ascii="David" w:hAnsi="David"/>
          <w:rtl/>
        </w:rPr>
        <w:t>11.</w:t>
      </w:r>
      <w:r>
        <w:rPr>
          <w:rFonts w:ascii="David" w:hAnsi="David"/>
          <w:rtl/>
        </w:rPr>
        <w:tab/>
        <w:t xml:space="preserve">באשר לסוגיית חילוט רכב המזדה – לא מצאתי להורות על חילוטו, נוכח העובדה שהרכב הינו בבעלות אדם אחר, שאינו צד להליך, ולא הוזמן להשמיע עמדתו, ובשים לב שלא הובררה הזיקה בין הנאשם לרכב. כמו כן, במסגרת הטיעון לעונש (הן בטיעון הכתוב שהוגש והן בעל פה), לא שבה המשיבה על בקשת החילוט, ודומה כי זו נזנחה.  </w:t>
      </w:r>
    </w:p>
    <w:p w14:paraId="0547AD2D" w14:textId="77777777" w:rsidR="00CA0BAE" w:rsidRDefault="00CA0BAE" w:rsidP="00CA0BAE">
      <w:pPr>
        <w:spacing w:line="360" w:lineRule="auto"/>
        <w:jc w:val="both"/>
        <w:rPr>
          <w:rFonts w:ascii="David" w:hAnsi="David"/>
          <w:rtl/>
        </w:rPr>
      </w:pPr>
    </w:p>
    <w:p w14:paraId="29CB4116" w14:textId="77777777" w:rsidR="00CA0BAE" w:rsidRDefault="00CA0BAE" w:rsidP="00CA0BAE">
      <w:pPr>
        <w:spacing w:line="360" w:lineRule="auto"/>
        <w:jc w:val="both"/>
        <w:rPr>
          <w:rFonts w:ascii="David" w:hAnsi="David"/>
          <w:rtl/>
        </w:rPr>
      </w:pPr>
      <w:r>
        <w:rPr>
          <w:rFonts w:ascii="David" w:hAnsi="David"/>
          <w:rtl/>
        </w:rPr>
        <w:t>12.</w:t>
      </w:r>
      <w:r>
        <w:rPr>
          <w:rFonts w:ascii="David" w:hAnsi="David"/>
          <w:rtl/>
        </w:rPr>
        <w:tab/>
      </w:r>
      <w:r>
        <w:rPr>
          <w:rFonts w:ascii="David" w:hAnsi="David"/>
          <w:u w:val="single"/>
          <w:rtl/>
        </w:rPr>
        <w:t>אשר על כן, אני גוזר את עונשו של הנאשם כדלקמן</w:t>
      </w:r>
      <w:r>
        <w:rPr>
          <w:rFonts w:ascii="David" w:hAnsi="David"/>
          <w:rtl/>
        </w:rPr>
        <w:t xml:space="preserve">: </w:t>
      </w:r>
    </w:p>
    <w:p w14:paraId="758CA322" w14:textId="77777777" w:rsidR="00CA0BAE" w:rsidRDefault="00CA0BAE" w:rsidP="00CA0BAE">
      <w:pPr>
        <w:spacing w:line="360" w:lineRule="auto"/>
        <w:jc w:val="both"/>
        <w:rPr>
          <w:rFonts w:ascii="David" w:hAnsi="David"/>
          <w:rtl/>
        </w:rPr>
      </w:pPr>
    </w:p>
    <w:p w14:paraId="2F5B4DC2" w14:textId="77777777" w:rsidR="00CA0BAE" w:rsidRDefault="00CA0BAE" w:rsidP="00CA0BAE">
      <w:pPr>
        <w:spacing w:line="360" w:lineRule="auto"/>
        <w:ind w:firstLine="720"/>
        <w:jc w:val="both"/>
        <w:rPr>
          <w:rFonts w:ascii="David" w:hAnsi="David"/>
          <w:rtl/>
        </w:rPr>
      </w:pPr>
      <w:r>
        <w:rPr>
          <w:rFonts w:ascii="David" w:hAnsi="David"/>
          <w:b/>
          <w:bCs/>
          <w:rtl/>
        </w:rPr>
        <w:t>חמישים וארבעה 54 חודשי מאסר אשר יהוו עונש מאסר לריצוי בפועל ומניינם מיום מעצרו בתיק זה, בתאריך 5.10.2020</w:t>
      </w:r>
      <w:r>
        <w:rPr>
          <w:rFonts w:ascii="David" w:hAnsi="David"/>
          <w:rtl/>
        </w:rPr>
        <w:t>.</w:t>
      </w:r>
    </w:p>
    <w:p w14:paraId="5CC2CF6F" w14:textId="77777777" w:rsidR="00CA0BAE" w:rsidRDefault="00CA0BAE" w:rsidP="00CA0BAE">
      <w:pPr>
        <w:spacing w:line="360" w:lineRule="auto"/>
        <w:jc w:val="both"/>
        <w:rPr>
          <w:rFonts w:ascii="David" w:hAnsi="David"/>
          <w:b/>
          <w:bCs/>
          <w:rtl/>
        </w:rPr>
      </w:pPr>
    </w:p>
    <w:p w14:paraId="389CCBDD" w14:textId="77777777" w:rsidR="00CA0BAE" w:rsidRDefault="00CA0BAE" w:rsidP="00CA0BAE">
      <w:pPr>
        <w:spacing w:line="360" w:lineRule="auto"/>
        <w:jc w:val="both"/>
        <w:rPr>
          <w:rFonts w:ascii="David" w:hAnsi="David"/>
          <w:b/>
          <w:bCs/>
          <w:rtl/>
        </w:rPr>
      </w:pPr>
      <w:r>
        <w:rPr>
          <w:rFonts w:ascii="David" w:hAnsi="David"/>
          <w:b/>
          <w:bCs/>
          <w:rtl/>
        </w:rPr>
        <w:tab/>
        <w:t>אני מפעיל עונש מאסר מותנה בן שנתיים, מ</w:t>
      </w:r>
      <w:hyperlink r:id="rId26" w:history="1">
        <w:r w:rsidR="00B478C2" w:rsidRPr="00B478C2">
          <w:rPr>
            <w:rFonts w:ascii="David" w:hAnsi="David"/>
            <w:b/>
            <w:bCs/>
            <w:color w:val="0000FF"/>
            <w:u w:val="single"/>
            <w:rtl/>
          </w:rPr>
          <w:t>ת"פ 11170-04-12</w:t>
        </w:r>
      </w:hyperlink>
      <w:r>
        <w:rPr>
          <w:rFonts w:ascii="David" w:hAnsi="David"/>
          <w:b/>
          <w:bCs/>
          <w:rtl/>
        </w:rPr>
        <w:t xml:space="preserve"> (ערעור על גזר הדין לבית המשפט העליון נדחה, ב</w:t>
      </w:r>
      <w:hyperlink r:id="rId27" w:history="1">
        <w:r w:rsidR="00B478C2" w:rsidRPr="00B478C2">
          <w:rPr>
            <w:rFonts w:ascii="David" w:hAnsi="David"/>
            <w:b/>
            <w:bCs/>
            <w:color w:val="0000FF"/>
            <w:u w:val="single"/>
            <w:rtl/>
          </w:rPr>
          <w:t>ע"פ 8205/12</w:t>
        </w:r>
      </w:hyperlink>
      <w:r>
        <w:rPr>
          <w:rFonts w:ascii="David" w:hAnsi="David"/>
          <w:b/>
          <w:bCs/>
          <w:rtl/>
        </w:rPr>
        <w:t xml:space="preserve">), באופן שמחציתו (שנה) תרוצה במצטבר לעונש המאסר שהוטל על הנאשם בתיק זה, ומחציתו תרוצה בחופף. </w:t>
      </w:r>
      <w:r>
        <w:rPr>
          <w:rFonts w:ascii="David" w:hAnsi="David"/>
          <w:rtl/>
        </w:rPr>
        <w:t>הפעלה זו של המאסר המותנה נובעת מקבלת אחריות על ידי הנאשם בשלב התחלתי של ההליך, וכן בשים לב לתקופת המאסר הכוללת.</w:t>
      </w:r>
    </w:p>
    <w:p w14:paraId="72459E65" w14:textId="77777777" w:rsidR="00CA0BAE" w:rsidRDefault="00CA0BAE" w:rsidP="00CA0BAE">
      <w:pPr>
        <w:spacing w:line="360" w:lineRule="auto"/>
        <w:jc w:val="both"/>
        <w:rPr>
          <w:rFonts w:ascii="David" w:hAnsi="David"/>
          <w:b/>
          <w:bCs/>
          <w:rtl/>
        </w:rPr>
      </w:pPr>
    </w:p>
    <w:p w14:paraId="73DA82F9" w14:textId="77777777" w:rsidR="00CA0BAE" w:rsidRDefault="00CA0BAE" w:rsidP="00CA0BAE">
      <w:pPr>
        <w:spacing w:line="360" w:lineRule="auto"/>
        <w:jc w:val="both"/>
        <w:rPr>
          <w:rFonts w:ascii="David" w:hAnsi="David"/>
          <w:b/>
          <w:bCs/>
          <w:u w:val="single"/>
          <w:rtl/>
        </w:rPr>
      </w:pPr>
      <w:r>
        <w:rPr>
          <w:rFonts w:ascii="David" w:hAnsi="David"/>
          <w:b/>
          <w:bCs/>
          <w:u w:val="single"/>
          <w:rtl/>
        </w:rPr>
        <w:t xml:space="preserve">העולה מן האמור הוא שהנאשם ירצה סך הכל שישים ושישה (66) חודשי מאסר בפועל החל מיום מעצרו בתיק זה, בתאריך 5.10.2020. </w:t>
      </w:r>
    </w:p>
    <w:p w14:paraId="20DF7515" w14:textId="77777777" w:rsidR="00CA0BAE" w:rsidRDefault="00CA0BAE" w:rsidP="00CA0BAE">
      <w:pPr>
        <w:spacing w:line="360" w:lineRule="auto"/>
        <w:jc w:val="both"/>
        <w:rPr>
          <w:rFonts w:ascii="David" w:hAnsi="David"/>
          <w:b/>
          <w:bCs/>
          <w:rtl/>
        </w:rPr>
      </w:pPr>
    </w:p>
    <w:p w14:paraId="379B6C63" w14:textId="77777777" w:rsidR="00CA0BAE" w:rsidRDefault="00CA0BAE" w:rsidP="00CA0BAE">
      <w:pPr>
        <w:spacing w:line="360" w:lineRule="auto"/>
        <w:ind w:firstLine="720"/>
        <w:jc w:val="both"/>
        <w:rPr>
          <w:rFonts w:ascii="David" w:hAnsi="David"/>
          <w:rtl/>
        </w:rPr>
      </w:pPr>
      <w:r>
        <w:rPr>
          <w:rFonts w:ascii="David" w:hAnsi="David"/>
          <w:b/>
          <w:bCs/>
          <w:rtl/>
        </w:rPr>
        <w:t>עוד אני גוזר על הנאשם שלושים (30) חודשי מאסר אותם לא ירצה אלא אם בתוך שלוש (3) שנים מיום שחרורו ממאסרו, ישוב ויעבור על עבירה מסוג פשע בנשק או ברכוש</w:t>
      </w:r>
      <w:r>
        <w:rPr>
          <w:rFonts w:ascii="David" w:hAnsi="David"/>
          <w:rtl/>
        </w:rPr>
        <w:t xml:space="preserve">. </w:t>
      </w:r>
    </w:p>
    <w:p w14:paraId="6099EFEC" w14:textId="77777777" w:rsidR="00CA0BAE" w:rsidRDefault="00CA0BAE" w:rsidP="00CA0BAE">
      <w:pPr>
        <w:spacing w:line="360" w:lineRule="auto"/>
        <w:jc w:val="both"/>
        <w:rPr>
          <w:rFonts w:ascii="David" w:hAnsi="David"/>
          <w:b/>
          <w:bCs/>
          <w:rtl/>
        </w:rPr>
      </w:pPr>
    </w:p>
    <w:p w14:paraId="0C962866" w14:textId="77777777" w:rsidR="00CA0BAE" w:rsidRDefault="00CA0BAE" w:rsidP="00CA0BAE">
      <w:pPr>
        <w:spacing w:line="360" w:lineRule="auto"/>
        <w:ind w:firstLine="720"/>
        <w:jc w:val="both"/>
        <w:rPr>
          <w:rFonts w:ascii="David" w:hAnsi="David"/>
          <w:b/>
          <w:bCs/>
          <w:rtl/>
        </w:rPr>
      </w:pPr>
      <w:r>
        <w:rPr>
          <w:rFonts w:ascii="David" w:hAnsi="David"/>
          <w:b/>
          <w:bCs/>
          <w:rtl/>
        </w:rPr>
        <w:t xml:space="preserve">כמו כן אני מורה לנאשם לשלם פיצוי בסך של 2,500 ₪ למר אמיר קייזר, אחד מנפגעי העבירה, שהרימון הושלך בסמיכות אליו, כאמור, זאת באמצעות קופת בית המשפט, ועד ליום 1.1.2022. </w:t>
      </w:r>
      <w:r>
        <w:rPr>
          <w:rFonts w:ascii="David" w:hAnsi="David"/>
          <w:rtl/>
        </w:rPr>
        <w:t xml:space="preserve">המאשימה תודיע לזוכים על זכאותם כאמור. </w:t>
      </w:r>
    </w:p>
    <w:p w14:paraId="77988799" w14:textId="77777777" w:rsidR="00CA0BAE" w:rsidRDefault="00CA0BAE" w:rsidP="00CA0BAE">
      <w:pPr>
        <w:tabs>
          <w:tab w:val="left" w:pos="720"/>
          <w:tab w:val="left" w:pos="2741"/>
        </w:tabs>
        <w:spacing w:line="360" w:lineRule="auto"/>
        <w:jc w:val="both"/>
        <w:rPr>
          <w:rFonts w:ascii="David" w:hAnsi="David"/>
          <w:rtl/>
        </w:rPr>
      </w:pPr>
      <w:r>
        <w:rPr>
          <w:rFonts w:ascii="David" w:hAnsi="David"/>
          <w:rtl/>
        </w:rPr>
        <w:tab/>
      </w:r>
    </w:p>
    <w:p w14:paraId="319701C7" w14:textId="77777777" w:rsidR="00CA0BAE" w:rsidRPr="004D755B" w:rsidRDefault="00CA0BAE" w:rsidP="00CA0BAE">
      <w:pPr>
        <w:spacing w:line="360" w:lineRule="auto"/>
        <w:ind w:firstLine="720"/>
        <w:jc w:val="both"/>
        <w:rPr>
          <w:rFonts w:ascii="David" w:hAnsi="David"/>
          <w:b/>
          <w:bCs/>
          <w:u w:val="single"/>
          <w:rtl/>
        </w:rPr>
      </w:pPr>
      <w:r w:rsidRPr="004D755B">
        <w:rPr>
          <w:rFonts w:ascii="David" w:hAnsi="David"/>
          <w:b/>
          <w:bCs/>
          <w:u w:val="single"/>
          <w:rtl/>
        </w:rPr>
        <w:t>זכות ערעור כחוק מהיום, הודעה.</w:t>
      </w:r>
    </w:p>
    <w:p w14:paraId="092BF940" w14:textId="77777777" w:rsidR="00CA0BAE" w:rsidRDefault="00CA0BAE" w:rsidP="00CA0BAE">
      <w:pPr>
        <w:tabs>
          <w:tab w:val="left" w:pos="720"/>
          <w:tab w:val="left" w:pos="2741"/>
        </w:tabs>
        <w:spacing w:line="360" w:lineRule="auto"/>
        <w:jc w:val="both"/>
        <w:rPr>
          <w:rFonts w:ascii="David" w:hAnsi="David"/>
          <w:rtl/>
        </w:rPr>
      </w:pPr>
      <w:r>
        <w:rPr>
          <w:rFonts w:ascii="David" w:hAnsi="David"/>
          <w:rtl/>
        </w:rPr>
        <w:tab/>
      </w:r>
    </w:p>
    <w:p w14:paraId="7705CA70" w14:textId="77777777" w:rsidR="00CA0BAE" w:rsidRDefault="00B478C2" w:rsidP="00CA0BAE">
      <w:pPr>
        <w:spacing w:line="360" w:lineRule="auto"/>
        <w:ind w:firstLine="720"/>
        <w:jc w:val="both"/>
        <w:rPr>
          <w:rFonts w:ascii="David" w:hAnsi="David"/>
          <w:b/>
          <w:bCs/>
          <w:rtl/>
        </w:rPr>
      </w:pPr>
      <w:bookmarkStart w:id="7" w:name="Nitan"/>
      <w:r>
        <w:rPr>
          <w:rFonts w:ascii="David" w:hAnsi="David"/>
          <w:rtl/>
        </w:rPr>
        <w:t xml:space="preserve">ניתן היום,  י"ג אב תשפ"א, 22 יולי 2021, במעמד ב"כ המאשימה   עו"ד אילנה קוזמינר; </w:t>
      </w:r>
      <w:bookmarkEnd w:id="7"/>
      <w:r w:rsidR="00CA0BAE" w:rsidRPr="004D755B">
        <w:rPr>
          <w:rFonts w:ascii="David" w:hAnsi="David" w:hint="cs"/>
          <w:rtl/>
        </w:rPr>
        <w:t xml:space="preserve">ב"כ הנאשם </w:t>
      </w:r>
      <w:r w:rsidR="00CA0BAE" w:rsidRPr="004D755B">
        <w:rPr>
          <w:rFonts w:ascii="David" w:hAnsi="David"/>
          <w:rtl/>
        </w:rPr>
        <w:t>–</w:t>
      </w:r>
      <w:r w:rsidR="00CA0BAE" w:rsidRPr="004D755B">
        <w:rPr>
          <w:rFonts w:ascii="David" w:hAnsi="David" w:hint="cs"/>
          <w:rtl/>
        </w:rPr>
        <w:t xml:space="preserve"> עו"ד ענאן עליאן והנאשם באמצעות ויעוד חזותי. </w:t>
      </w:r>
    </w:p>
    <w:p w14:paraId="343421C0" w14:textId="77777777" w:rsidR="00CA0BAE" w:rsidRDefault="00CA0BAE" w:rsidP="00CA0BAE">
      <w:pPr>
        <w:spacing w:line="360" w:lineRule="auto"/>
        <w:ind w:firstLine="720"/>
        <w:jc w:val="both"/>
        <w:rPr>
          <w:rFonts w:ascii="David" w:hAnsi="David"/>
          <w:b/>
          <w:bCs/>
          <w:rtl/>
        </w:rPr>
      </w:pPr>
    </w:p>
    <w:p w14:paraId="4EFF8E5A" w14:textId="77777777" w:rsidR="00CA0BAE" w:rsidRPr="004D755B" w:rsidRDefault="00CA0BAE" w:rsidP="00CA0BAE">
      <w:pPr>
        <w:spacing w:line="360" w:lineRule="auto"/>
        <w:ind w:firstLine="720"/>
        <w:jc w:val="both"/>
        <w:rPr>
          <w:rFonts w:ascii="David" w:hAnsi="David"/>
          <w:b/>
          <w:bCs/>
        </w:rPr>
      </w:pPr>
      <w:r>
        <w:rPr>
          <w:rFonts w:ascii="David" w:hAnsi="David" w:hint="cs"/>
          <w:b/>
          <w:bCs/>
          <w:rtl/>
        </w:rPr>
        <w:t xml:space="preserve">הצדדים והנאשם קיבלו עותקי גזר הדין. </w:t>
      </w:r>
    </w:p>
    <w:p w14:paraId="3D04F71A" w14:textId="77777777" w:rsidR="00CA0BAE" w:rsidRPr="00B478C2" w:rsidRDefault="00B478C2" w:rsidP="00CA0BAE">
      <w:pPr>
        <w:spacing w:line="360" w:lineRule="auto"/>
        <w:ind w:firstLine="720"/>
        <w:jc w:val="both"/>
        <w:rPr>
          <w:rFonts w:ascii="David" w:hAnsi="David"/>
          <w:color w:val="FFFFFF"/>
          <w:sz w:val="2"/>
          <w:szCs w:val="2"/>
          <w:rtl/>
        </w:rPr>
      </w:pPr>
      <w:r w:rsidRPr="00B478C2">
        <w:rPr>
          <w:rFonts w:ascii="David" w:hAnsi="David"/>
          <w:color w:val="FFFFFF"/>
          <w:sz w:val="2"/>
          <w:szCs w:val="2"/>
          <w:rtl/>
        </w:rPr>
        <w:t>5129371</w:t>
      </w:r>
    </w:p>
    <w:p w14:paraId="02886336" w14:textId="77777777" w:rsidR="00CA0BAE" w:rsidRPr="00B478C2" w:rsidRDefault="00B478C2" w:rsidP="00CA0BAE">
      <w:pPr>
        <w:rPr>
          <w:rFonts w:ascii="David" w:hAnsi="David"/>
          <w:color w:val="FFFFFF"/>
          <w:sz w:val="2"/>
          <w:szCs w:val="2"/>
          <w:rtl/>
        </w:rPr>
      </w:pPr>
      <w:r w:rsidRPr="00B478C2">
        <w:rPr>
          <w:rFonts w:ascii="David" w:hAnsi="David"/>
          <w:color w:val="FFFFFF"/>
          <w:sz w:val="2"/>
          <w:szCs w:val="2"/>
          <w:rtl/>
        </w:rPr>
        <w:t>54678313</w:t>
      </w:r>
      <w:r w:rsidR="00CA0BAE" w:rsidRPr="00B478C2">
        <w:rPr>
          <w:rFonts w:ascii="David" w:hAnsi="David" w:hint="cs"/>
          <w:color w:val="FFFFFF"/>
          <w:sz w:val="2"/>
          <w:szCs w:val="2"/>
          <w:rtl/>
        </w:rPr>
        <w:t xml:space="preserve"> </w:t>
      </w:r>
      <w:r w:rsidR="00CA0BAE" w:rsidRPr="00B478C2">
        <w:rPr>
          <w:rFonts w:ascii="David" w:hAnsi="David" w:hint="cs"/>
          <w:b/>
          <w:bCs/>
          <w:color w:val="FFFFFF"/>
          <w:sz w:val="2"/>
          <w:szCs w:val="2"/>
          <w:u w:val="single"/>
          <w:rtl/>
        </w:rPr>
        <w:t xml:space="preserve"> </w:t>
      </w:r>
    </w:p>
    <w:p w14:paraId="4552BC06" w14:textId="77777777" w:rsidR="00CA0BAE" w:rsidRPr="002B7D23" w:rsidRDefault="00CA0BAE" w:rsidP="00CA0BAE">
      <w:pPr>
        <w:rPr>
          <w:rFonts w:ascii="David" w:hAnsi="David"/>
          <w:sz w:val="26"/>
          <w:szCs w:val="26"/>
          <w:rtl/>
        </w:rPr>
      </w:pPr>
    </w:p>
    <w:p w14:paraId="12040EDF" w14:textId="77777777" w:rsidR="00CA0BAE" w:rsidRPr="002B7D23" w:rsidRDefault="00CA0BAE" w:rsidP="00CA0BAE">
      <w:pPr>
        <w:rPr>
          <w:rFonts w:ascii="David" w:hAnsi="David"/>
          <w:sz w:val="26"/>
          <w:szCs w:val="26"/>
          <w:rtl/>
        </w:rPr>
      </w:pPr>
    </w:p>
    <w:p w14:paraId="40BB3F94" w14:textId="77777777" w:rsidR="00B478C2" w:rsidRDefault="00B478C2" w:rsidP="00B478C2">
      <w:pPr>
        <w:rPr>
          <w:rtl/>
        </w:rPr>
      </w:pPr>
    </w:p>
    <w:p w14:paraId="6A82DDF1" w14:textId="77777777" w:rsidR="00B478C2" w:rsidRDefault="00B478C2" w:rsidP="00B478C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98943D6" w14:textId="77777777" w:rsidR="00B41110" w:rsidRPr="00B41110" w:rsidRDefault="00B41110" w:rsidP="00B41110">
      <w:pPr>
        <w:keepNext/>
        <w:rPr>
          <w:rFonts w:ascii="David" w:hAnsi="David"/>
          <w:color w:val="000000"/>
          <w:sz w:val="22"/>
          <w:szCs w:val="22"/>
          <w:rtl/>
        </w:rPr>
      </w:pPr>
    </w:p>
    <w:p w14:paraId="61FC480D" w14:textId="77777777" w:rsidR="00B41110" w:rsidRPr="00B41110" w:rsidRDefault="00B41110" w:rsidP="00B41110">
      <w:pPr>
        <w:keepNext/>
        <w:rPr>
          <w:rFonts w:ascii="David" w:hAnsi="David"/>
          <w:color w:val="000000"/>
          <w:sz w:val="22"/>
          <w:szCs w:val="22"/>
          <w:rtl/>
        </w:rPr>
      </w:pPr>
      <w:r w:rsidRPr="00B41110">
        <w:rPr>
          <w:rFonts w:ascii="David" w:hAnsi="David"/>
          <w:color w:val="000000"/>
          <w:sz w:val="22"/>
          <w:szCs w:val="22"/>
          <w:rtl/>
        </w:rPr>
        <w:t>ארז פורת 54678313-/</w:t>
      </w:r>
    </w:p>
    <w:p w14:paraId="2664F65D" w14:textId="77777777" w:rsidR="00B478C2" w:rsidRPr="00B478C2" w:rsidRDefault="00B41110" w:rsidP="00B41110">
      <w:pPr>
        <w:rPr>
          <w:rFonts w:hint="cs"/>
          <w:color w:val="0000FF"/>
          <w:u w:val="single"/>
        </w:rPr>
      </w:pPr>
      <w:r w:rsidRPr="00B41110">
        <w:rPr>
          <w:color w:val="000000"/>
          <w:u w:val="single"/>
          <w:rtl/>
        </w:rPr>
        <w:t>נוסח מסמך זה כפוף לשינויי ניסוח ועריכה</w:t>
      </w:r>
      <w:r w:rsidR="00AA6AB1">
        <w:rPr>
          <w:rFonts w:hint="cs"/>
          <w:color w:val="0000FF"/>
          <w:u w:val="single"/>
          <w:rtl/>
        </w:rPr>
        <w:t xml:space="preserve"> </w:t>
      </w:r>
    </w:p>
    <w:sectPr w:rsidR="00B478C2" w:rsidRPr="00B478C2" w:rsidSect="00B4111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5EE04" w14:textId="77777777" w:rsidR="00B24165" w:rsidRDefault="00B24165" w:rsidP="00832437">
      <w:r>
        <w:separator/>
      </w:r>
    </w:p>
  </w:endnote>
  <w:endnote w:type="continuationSeparator" w:id="0">
    <w:p w14:paraId="00A79E24" w14:textId="77777777" w:rsidR="00B24165" w:rsidRDefault="00B24165" w:rsidP="0083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F07A8" w14:textId="77777777" w:rsidR="00B41110" w:rsidRDefault="00B41110" w:rsidP="00B411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259205" w14:textId="77777777" w:rsidR="00B14CB3" w:rsidRPr="00B41110" w:rsidRDefault="00B41110" w:rsidP="00B41110">
    <w:pPr>
      <w:pStyle w:val="a5"/>
      <w:pBdr>
        <w:top w:val="single" w:sz="4" w:space="1" w:color="auto"/>
        <w:between w:val="single" w:sz="4" w:space="0" w:color="auto"/>
      </w:pBdr>
      <w:spacing w:after="60"/>
      <w:jc w:val="center"/>
      <w:rPr>
        <w:rFonts w:ascii="FrankRuehl" w:hAnsi="FrankRuehl" w:cs="FrankRuehl"/>
        <w:color w:val="000000"/>
      </w:rPr>
    </w:pPr>
    <w:r w:rsidRPr="00B411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38BC0" w14:textId="77777777" w:rsidR="00B41110" w:rsidRDefault="00B41110" w:rsidP="00B411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626B">
      <w:rPr>
        <w:rFonts w:ascii="FrankRuehl" w:hAnsi="FrankRuehl" w:cs="FrankRuehl"/>
        <w:noProof/>
        <w:rtl/>
      </w:rPr>
      <w:t>1</w:t>
    </w:r>
    <w:r>
      <w:rPr>
        <w:rFonts w:ascii="FrankRuehl" w:hAnsi="FrankRuehl" w:cs="FrankRuehl"/>
        <w:rtl/>
      </w:rPr>
      <w:fldChar w:fldCharType="end"/>
    </w:r>
  </w:p>
  <w:p w14:paraId="1944ED5D" w14:textId="77777777" w:rsidR="00B14CB3" w:rsidRPr="00B41110" w:rsidRDefault="00B41110" w:rsidP="00B41110">
    <w:pPr>
      <w:pStyle w:val="a5"/>
      <w:pBdr>
        <w:top w:val="single" w:sz="4" w:space="1" w:color="auto"/>
        <w:between w:val="single" w:sz="4" w:space="0" w:color="auto"/>
      </w:pBdr>
      <w:spacing w:after="60"/>
      <w:jc w:val="center"/>
      <w:rPr>
        <w:rFonts w:ascii="FrankRuehl" w:hAnsi="FrankRuehl" w:cs="FrankRuehl"/>
        <w:color w:val="000000"/>
      </w:rPr>
    </w:pPr>
    <w:r w:rsidRPr="00B41110">
      <w:rPr>
        <w:rFonts w:ascii="FrankRuehl" w:hAnsi="FrankRuehl" w:cs="FrankRuehl"/>
        <w:color w:val="000000"/>
      </w:rPr>
      <w:pict w14:anchorId="2807F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0CF50" w14:textId="77777777" w:rsidR="00B24165" w:rsidRDefault="00B24165" w:rsidP="00832437">
      <w:r>
        <w:separator/>
      </w:r>
    </w:p>
  </w:footnote>
  <w:footnote w:type="continuationSeparator" w:id="0">
    <w:p w14:paraId="103A191F" w14:textId="77777777" w:rsidR="00B24165" w:rsidRDefault="00B24165" w:rsidP="00832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0A20C" w14:textId="77777777" w:rsidR="00B478C2" w:rsidRPr="00B41110" w:rsidRDefault="00B41110" w:rsidP="00B411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52099-10-20</w:t>
    </w:r>
    <w:r>
      <w:rPr>
        <w:rFonts w:ascii="David" w:hAnsi="David"/>
        <w:color w:val="000000"/>
        <w:sz w:val="22"/>
        <w:szCs w:val="22"/>
        <w:rtl/>
      </w:rPr>
      <w:tab/>
      <w:t xml:space="preserve"> מדינת ישראל נ' ניסן דדון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22A0B" w14:textId="77777777" w:rsidR="00B478C2" w:rsidRPr="00B41110" w:rsidRDefault="00B41110" w:rsidP="00B411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52099-10-20</w:t>
    </w:r>
    <w:r>
      <w:rPr>
        <w:rFonts w:ascii="David" w:hAnsi="David"/>
        <w:color w:val="000000"/>
        <w:sz w:val="22"/>
        <w:szCs w:val="22"/>
        <w:rtl/>
      </w:rPr>
      <w:tab/>
      <w:t xml:space="preserve"> מדינת ישראל נ' ניסן דדון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0BAE"/>
    <w:rsid w:val="0009198E"/>
    <w:rsid w:val="005956E0"/>
    <w:rsid w:val="005F62BB"/>
    <w:rsid w:val="00822456"/>
    <w:rsid w:val="00832437"/>
    <w:rsid w:val="009A4E4C"/>
    <w:rsid w:val="00A1626B"/>
    <w:rsid w:val="00AA6AB1"/>
    <w:rsid w:val="00B14CB3"/>
    <w:rsid w:val="00B24165"/>
    <w:rsid w:val="00B41110"/>
    <w:rsid w:val="00B478C2"/>
    <w:rsid w:val="00C21A62"/>
    <w:rsid w:val="00C85183"/>
    <w:rsid w:val="00CA0BAE"/>
    <w:rsid w:val="00D73B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035523"/>
  <w15:chartTrackingRefBased/>
  <w15:docId w15:val="{3CFB25F0-A38F-417C-8A82-83B13466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0B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0BAE"/>
    <w:pPr>
      <w:tabs>
        <w:tab w:val="center" w:pos="4153"/>
        <w:tab w:val="right" w:pos="8306"/>
      </w:tabs>
    </w:pPr>
  </w:style>
  <w:style w:type="character" w:customStyle="1" w:styleId="a4">
    <w:name w:val="כותרת עליונה תו"/>
    <w:link w:val="a3"/>
    <w:rsid w:val="00CA0BAE"/>
    <w:rPr>
      <w:rFonts w:ascii="Times New Roman" w:eastAsia="Times New Roman" w:hAnsi="Times New Roman" w:cs="David"/>
      <w:sz w:val="24"/>
      <w:szCs w:val="24"/>
    </w:rPr>
  </w:style>
  <w:style w:type="paragraph" w:styleId="a5">
    <w:name w:val="footer"/>
    <w:basedOn w:val="a"/>
    <w:link w:val="a6"/>
    <w:rsid w:val="00CA0BAE"/>
    <w:pPr>
      <w:tabs>
        <w:tab w:val="center" w:pos="4153"/>
        <w:tab w:val="right" w:pos="8306"/>
      </w:tabs>
    </w:pPr>
  </w:style>
  <w:style w:type="character" w:customStyle="1" w:styleId="a6">
    <w:name w:val="כותרת תחתונה תו"/>
    <w:link w:val="a5"/>
    <w:rsid w:val="00CA0BAE"/>
    <w:rPr>
      <w:rFonts w:ascii="Times New Roman" w:eastAsia="Times New Roman" w:hAnsi="Times New Roman" w:cs="David"/>
      <w:sz w:val="24"/>
      <w:szCs w:val="24"/>
    </w:rPr>
  </w:style>
  <w:style w:type="table" w:styleId="a7">
    <w:name w:val="Table Grid"/>
    <w:basedOn w:val="a1"/>
    <w:rsid w:val="00CA0B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0BAE"/>
  </w:style>
  <w:style w:type="paragraph" w:customStyle="1" w:styleId="12">
    <w:name w:val="רגיל + ‏12 נק'"/>
    <w:aliases w:val="מיושר לשני הצדדים,מרווח בין שורות:  שורה וחצי"/>
    <w:basedOn w:val="a"/>
    <w:rsid w:val="00CA0BAE"/>
    <w:rPr>
      <w:b/>
      <w:bCs/>
      <w:u w:val="single"/>
    </w:rPr>
  </w:style>
  <w:style w:type="character" w:customStyle="1" w:styleId="TimesNewRomanTimesNewRoman">
    <w:name w:val="סגנון (לטיני) Times New Roman (עברית ושפות אחרות) Times New Roman..."/>
    <w:rsid w:val="00CA0BAE"/>
    <w:rPr>
      <w:rFonts w:ascii="Times New Roman" w:hAnsi="Times New Roman" w:cs="David" w:hint="default"/>
      <w:b/>
      <w:bCs/>
      <w:sz w:val="26"/>
      <w:szCs w:val="26"/>
    </w:rPr>
  </w:style>
  <w:style w:type="character" w:styleId="Hyperlink">
    <w:name w:val="Hyperlink"/>
    <w:rsid w:val="00B47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4"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4142792" TargetMode="External"/><Relationship Id="rId3" Type="http://schemas.openxmlformats.org/officeDocument/2006/relationships/webSettings" Target="webSettings.xml"/><Relationship Id="rId21" Type="http://schemas.openxmlformats.org/officeDocument/2006/relationships/hyperlink" Target="http://www.nevo.co.il/case/27603872" TargetMode="External"/><Relationship Id="rId34" Type="http://schemas.openxmlformats.org/officeDocument/2006/relationships/theme" Target="theme/theme1.xml"/><Relationship Id="rId7" Type="http://schemas.openxmlformats.org/officeDocument/2006/relationships/hyperlink" Target="http://www.nevo.co.il/law/70301/25" TargetMode="External"/><Relationship Id="rId12" Type="http://schemas.openxmlformats.org/officeDocument/2006/relationships/hyperlink" Target="http://www.nevo.co.il/law/70301/45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68714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yperlink" Target="http://www.nevo.co.il/law/70301/24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6043688"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00356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244" TargetMode="External"/><Relationship Id="rId19" Type="http://schemas.openxmlformats.org/officeDocument/2006/relationships/hyperlink" Target="http://www.nevo.co.il/law/70301/275"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52;454;25" TargetMode="External"/><Relationship Id="rId22" Type="http://schemas.openxmlformats.org/officeDocument/2006/relationships/hyperlink" Target="http://www.nevo.co.il/case/25387737" TargetMode="External"/><Relationship Id="rId27" Type="http://schemas.openxmlformats.org/officeDocument/2006/relationships/hyperlink" Target="http://www.nevo.co.il/case/5606146"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1721</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10309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3276912</vt:i4>
      </vt:variant>
      <vt:variant>
        <vt:i4>63</vt:i4>
      </vt:variant>
      <vt:variant>
        <vt:i4>0</vt:i4>
      </vt:variant>
      <vt:variant>
        <vt:i4>5</vt:i4>
      </vt:variant>
      <vt:variant>
        <vt:lpwstr>http://www.nevo.co.il/case/5606146</vt:lpwstr>
      </vt:variant>
      <vt:variant>
        <vt:lpwstr/>
      </vt:variant>
      <vt:variant>
        <vt:i4>3473534</vt:i4>
      </vt:variant>
      <vt:variant>
        <vt:i4>60</vt:i4>
      </vt:variant>
      <vt:variant>
        <vt:i4>0</vt:i4>
      </vt:variant>
      <vt:variant>
        <vt:i4>5</vt:i4>
      </vt:variant>
      <vt:variant>
        <vt:lpwstr>http://www.nevo.co.il/case/4142792</vt:lpwstr>
      </vt:variant>
      <vt:variant>
        <vt:lpwstr/>
      </vt:variant>
      <vt:variant>
        <vt:i4>3473521</vt:i4>
      </vt:variant>
      <vt:variant>
        <vt:i4>57</vt:i4>
      </vt:variant>
      <vt:variant>
        <vt:i4>0</vt:i4>
      </vt:variant>
      <vt:variant>
        <vt:i4>5</vt:i4>
      </vt:variant>
      <vt:variant>
        <vt:lpwstr>http://www.nevo.co.il/case/5687149</vt:lpwstr>
      </vt:variant>
      <vt:variant>
        <vt:lpwstr/>
      </vt:variant>
      <vt:variant>
        <vt:i4>3932287</vt:i4>
      </vt:variant>
      <vt:variant>
        <vt:i4>54</vt:i4>
      </vt:variant>
      <vt:variant>
        <vt:i4>0</vt:i4>
      </vt:variant>
      <vt:variant>
        <vt:i4>5</vt:i4>
      </vt:variant>
      <vt:variant>
        <vt:lpwstr>http://www.nevo.co.il/case/6043688</vt:lpwstr>
      </vt:variant>
      <vt:variant>
        <vt:lpwstr/>
      </vt:variant>
      <vt:variant>
        <vt:i4>3604593</vt:i4>
      </vt:variant>
      <vt:variant>
        <vt:i4>51</vt:i4>
      </vt:variant>
      <vt:variant>
        <vt:i4>0</vt:i4>
      </vt:variant>
      <vt:variant>
        <vt:i4>5</vt:i4>
      </vt:variant>
      <vt:variant>
        <vt:lpwstr>http://www.nevo.co.il/case/20003566</vt:lpwstr>
      </vt:variant>
      <vt:variant>
        <vt:lpwstr/>
      </vt:variant>
      <vt:variant>
        <vt:i4>3473534</vt:i4>
      </vt:variant>
      <vt:variant>
        <vt:i4>48</vt:i4>
      </vt:variant>
      <vt:variant>
        <vt:i4>0</vt:i4>
      </vt:variant>
      <vt:variant>
        <vt:i4>5</vt:i4>
      </vt:variant>
      <vt:variant>
        <vt:lpwstr>http://www.nevo.co.il/case/25387737</vt:lpwstr>
      </vt:variant>
      <vt:variant>
        <vt:lpwstr/>
      </vt:variant>
      <vt:variant>
        <vt:i4>3145851</vt:i4>
      </vt:variant>
      <vt:variant>
        <vt:i4>45</vt:i4>
      </vt:variant>
      <vt:variant>
        <vt:i4>0</vt:i4>
      </vt:variant>
      <vt:variant>
        <vt:i4>5</vt:i4>
      </vt:variant>
      <vt:variant>
        <vt:lpwstr>http://www.nevo.co.il/case/27603872</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6291553</vt:i4>
      </vt:variant>
      <vt:variant>
        <vt:i4>24</vt:i4>
      </vt:variant>
      <vt:variant>
        <vt:i4>0</vt:i4>
      </vt:variant>
      <vt:variant>
        <vt:i4>5</vt:i4>
      </vt:variant>
      <vt:variant>
        <vt:lpwstr>http://www.nevo.co.il/law/70301/452;454;25</vt:lpwstr>
      </vt:variant>
      <vt:variant>
        <vt:lpwstr/>
      </vt:variant>
      <vt:variant>
        <vt:i4>6291553</vt:i4>
      </vt:variant>
      <vt:variant>
        <vt:i4>21</vt:i4>
      </vt:variant>
      <vt:variant>
        <vt:i4>0</vt:i4>
      </vt:variant>
      <vt:variant>
        <vt:i4>5</vt:i4>
      </vt:variant>
      <vt:variant>
        <vt:lpwstr>http://www.nevo.co.il/law/70301/454</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52099</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ניסן דדון  </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20210722</vt:lpwstr>
  </property>
  <property fmtid="{D5CDD505-2E9C-101B-9397-08002B2CF9AE}" pid="13" name="TYPE_N_DATE">
    <vt:lpwstr>39020210722</vt:lpwstr>
  </property>
  <property fmtid="{D5CDD505-2E9C-101B-9397-08002B2CF9AE}" pid="14" name="WORDNUMPAGES">
    <vt:lpwstr>5</vt:lpwstr>
  </property>
  <property fmtid="{D5CDD505-2E9C-101B-9397-08002B2CF9AE}" pid="15" name="TYPE_ABS_DATE">
    <vt:lpwstr>390020210722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27603872;25387737;20003566;6043688;5687149;4142792;5606146</vt:lpwstr>
  </property>
  <property fmtid="{D5CDD505-2E9C-101B-9397-08002B2CF9AE}" pid="36" name="LAWLISTTMP1">
    <vt:lpwstr>70301/452;454;025;144.a:2;144.b;275;244</vt:lpwstr>
  </property>
</Properties>
</file>