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F44020" w:rsidRPr="008C58C2" w14:paraId="6E26F3F2" w14:textId="77777777" w:rsidTr="00952203">
        <w:trPr>
          <w:trHeight w:hRule="exact" w:val="418"/>
          <w:jc w:val="center"/>
        </w:trPr>
        <w:tc>
          <w:tcPr>
            <w:tcW w:w="8721" w:type="dxa"/>
            <w:gridSpan w:val="2"/>
          </w:tcPr>
          <w:p w14:paraId="663A85AC" w14:textId="77777777" w:rsidR="00F44020" w:rsidRPr="008C58C2" w:rsidRDefault="00F44020" w:rsidP="000A2A11">
            <w:pPr>
              <w:pStyle w:val="a3"/>
              <w:jc w:val="center"/>
              <w:rPr>
                <w:rFonts w:ascii="Tahoma" w:hAnsi="Tahoma" w:cs="Tahoma"/>
                <w:color w:val="000080"/>
                <w:rtl/>
              </w:rPr>
            </w:pPr>
            <w:r w:rsidRPr="008C58C2">
              <w:rPr>
                <w:rFonts w:ascii="Tahoma" w:hAnsi="Tahoma" w:cs="Tahoma"/>
                <w:b/>
                <w:bCs/>
                <w:color w:val="000080"/>
                <w:rtl/>
              </w:rPr>
              <w:t>בית המשפט המחוזי בבאר שבע</w:t>
            </w:r>
          </w:p>
        </w:tc>
      </w:tr>
      <w:tr w:rsidR="00F44020" w:rsidRPr="008C58C2" w14:paraId="2B5B9444" w14:textId="77777777" w:rsidTr="00952203">
        <w:trPr>
          <w:trHeight w:val="337"/>
          <w:jc w:val="center"/>
        </w:trPr>
        <w:tc>
          <w:tcPr>
            <w:tcW w:w="5059" w:type="dxa"/>
          </w:tcPr>
          <w:p w14:paraId="67696A4C" w14:textId="77777777" w:rsidR="00F44020" w:rsidRPr="008C58C2" w:rsidRDefault="00F44020" w:rsidP="000A2A11">
            <w:pPr>
              <w:rPr>
                <w:rFonts w:cs="FrankRuehl"/>
                <w:sz w:val="28"/>
                <w:szCs w:val="28"/>
                <w:rtl/>
              </w:rPr>
            </w:pPr>
            <w:r w:rsidRPr="008C58C2">
              <w:rPr>
                <w:rFonts w:cs="FrankRuehl"/>
                <w:sz w:val="28"/>
                <w:szCs w:val="28"/>
                <w:rtl/>
              </w:rPr>
              <w:t>ת"פ</w:t>
            </w:r>
            <w:r w:rsidRPr="008C58C2">
              <w:rPr>
                <w:rFonts w:cs="FrankRuehl" w:hint="cs"/>
                <w:sz w:val="28"/>
                <w:szCs w:val="28"/>
                <w:rtl/>
              </w:rPr>
              <w:t xml:space="preserve"> </w:t>
            </w:r>
            <w:r w:rsidRPr="008C58C2">
              <w:rPr>
                <w:rFonts w:cs="FrankRuehl"/>
                <w:sz w:val="28"/>
                <w:szCs w:val="28"/>
                <w:rtl/>
              </w:rPr>
              <w:t>39675-11-20</w:t>
            </w:r>
            <w:r w:rsidRPr="008C58C2">
              <w:rPr>
                <w:rFonts w:cs="FrankRuehl" w:hint="cs"/>
                <w:sz w:val="28"/>
                <w:szCs w:val="28"/>
                <w:rtl/>
              </w:rPr>
              <w:t xml:space="preserve"> </w:t>
            </w:r>
            <w:r w:rsidRPr="008C58C2">
              <w:rPr>
                <w:rFonts w:cs="FrankRuehl"/>
                <w:sz w:val="28"/>
                <w:szCs w:val="28"/>
                <w:rtl/>
              </w:rPr>
              <w:t>מדינת ישראל נ' טראבין(עציר)</w:t>
            </w:r>
          </w:p>
          <w:p w14:paraId="521FC84A" w14:textId="77777777" w:rsidR="00F44020" w:rsidRPr="008C58C2" w:rsidRDefault="00F44020" w:rsidP="000A2A11">
            <w:pPr>
              <w:pStyle w:val="a3"/>
              <w:rPr>
                <w:rFonts w:cs="FrankRuehl"/>
                <w:sz w:val="28"/>
                <w:szCs w:val="28"/>
                <w:rtl/>
              </w:rPr>
            </w:pPr>
          </w:p>
        </w:tc>
        <w:tc>
          <w:tcPr>
            <w:tcW w:w="3662" w:type="dxa"/>
          </w:tcPr>
          <w:p w14:paraId="2853A131" w14:textId="77777777" w:rsidR="00F44020" w:rsidRPr="008C58C2" w:rsidRDefault="00F44020" w:rsidP="000A2A11">
            <w:pPr>
              <w:pStyle w:val="a3"/>
              <w:jc w:val="right"/>
              <w:rPr>
                <w:rFonts w:cs="FrankRuehl"/>
                <w:sz w:val="28"/>
                <w:szCs w:val="28"/>
                <w:rtl/>
              </w:rPr>
            </w:pPr>
          </w:p>
        </w:tc>
      </w:tr>
    </w:tbl>
    <w:p w14:paraId="7353C8C5" w14:textId="77777777" w:rsidR="00F44020" w:rsidRPr="008C58C2" w:rsidRDefault="00F44020" w:rsidP="00F44020">
      <w:pPr>
        <w:pStyle w:val="a3"/>
        <w:rPr>
          <w:rtl/>
        </w:rPr>
      </w:pPr>
      <w:r w:rsidRPr="008C58C2">
        <w:rPr>
          <w:rFonts w:hint="cs"/>
          <w:rtl/>
        </w:rPr>
        <w:t xml:space="preserve"> </w:t>
      </w:r>
    </w:p>
    <w:p w14:paraId="704A2620" w14:textId="77777777" w:rsidR="00F44020" w:rsidRPr="008C58C2" w:rsidRDefault="00F44020" w:rsidP="00F44020">
      <w:pPr>
        <w:rPr>
          <w:rtl/>
        </w:rPr>
      </w:pPr>
    </w:p>
    <w:p w14:paraId="67A57D81" w14:textId="77777777" w:rsidR="00F44020" w:rsidRPr="008C58C2" w:rsidRDefault="00F44020" w:rsidP="00F4402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2848"/>
        <w:gridCol w:w="923"/>
      </w:tblGrid>
      <w:tr w:rsidR="00F44020" w:rsidRPr="008C58C2" w14:paraId="05EAD9FD" w14:textId="77777777" w:rsidTr="00F44020">
        <w:trPr>
          <w:gridAfter w:val="1"/>
          <w:wAfter w:w="923" w:type="dxa"/>
          <w:trHeight w:val="295"/>
          <w:jc w:val="center"/>
        </w:trPr>
        <w:tc>
          <w:tcPr>
            <w:tcW w:w="7897" w:type="dxa"/>
            <w:gridSpan w:val="3"/>
            <w:tcBorders>
              <w:top w:val="nil"/>
              <w:left w:val="nil"/>
              <w:bottom w:val="nil"/>
              <w:right w:val="nil"/>
            </w:tcBorders>
            <w:shd w:val="clear" w:color="auto" w:fill="auto"/>
          </w:tcPr>
          <w:p w14:paraId="52CC9CA6" w14:textId="77777777" w:rsidR="00F44020" w:rsidRPr="008C58C2" w:rsidRDefault="00F44020" w:rsidP="000A2A11">
            <w:pPr>
              <w:rPr>
                <w:rFonts w:ascii="Arial" w:hAnsi="Arial"/>
                <w:b/>
                <w:bCs/>
                <w:sz w:val="26"/>
                <w:szCs w:val="26"/>
                <w:rtl/>
              </w:rPr>
            </w:pPr>
            <w:r w:rsidRPr="008C58C2">
              <w:rPr>
                <w:rFonts w:ascii="Arial" w:hAnsi="Arial" w:hint="cs"/>
                <w:b/>
                <w:bCs/>
                <w:sz w:val="26"/>
                <w:szCs w:val="26"/>
                <w:rtl/>
              </w:rPr>
              <w:t>בפני כב' סגן הנשיאה, השופט אליהו ביתן</w:t>
            </w:r>
          </w:p>
          <w:p w14:paraId="0EA25D88" w14:textId="77777777" w:rsidR="00F44020" w:rsidRPr="008C58C2" w:rsidRDefault="00F44020" w:rsidP="000A2A11">
            <w:pPr>
              <w:rPr>
                <w:rFonts w:ascii="Arial" w:hAnsi="Arial"/>
                <w:b/>
                <w:bCs/>
                <w:sz w:val="26"/>
                <w:szCs w:val="26"/>
              </w:rPr>
            </w:pPr>
          </w:p>
        </w:tc>
      </w:tr>
      <w:tr w:rsidR="00F44020" w:rsidRPr="008C58C2" w14:paraId="78EDA304" w14:textId="77777777" w:rsidTr="00F44020">
        <w:trPr>
          <w:trHeight w:val="355"/>
          <w:jc w:val="center"/>
        </w:trPr>
        <w:tc>
          <w:tcPr>
            <w:tcW w:w="923" w:type="dxa"/>
            <w:tcBorders>
              <w:top w:val="nil"/>
              <w:left w:val="nil"/>
              <w:bottom w:val="nil"/>
              <w:right w:val="nil"/>
            </w:tcBorders>
            <w:shd w:val="clear" w:color="auto" w:fill="auto"/>
          </w:tcPr>
          <w:p w14:paraId="1DB97F80" w14:textId="77777777" w:rsidR="00F44020" w:rsidRPr="008C58C2" w:rsidRDefault="00F44020" w:rsidP="00F44020">
            <w:pPr>
              <w:jc w:val="both"/>
              <w:rPr>
                <w:rFonts w:ascii="Arial" w:hAnsi="Arial"/>
                <w:b/>
                <w:bCs/>
                <w:sz w:val="26"/>
                <w:szCs w:val="26"/>
              </w:rPr>
            </w:pPr>
            <w:bookmarkStart w:id="0" w:name="FirstAppellant"/>
            <w:bookmarkStart w:id="1" w:name="LastJudge"/>
            <w:bookmarkEnd w:id="1"/>
            <w:r w:rsidRPr="008C58C2">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05D1B01" w14:textId="77777777" w:rsidR="00F44020" w:rsidRPr="008C58C2" w:rsidRDefault="00F44020" w:rsidP="000A2A11">
            <w:pPr>
              <w:rPr>
                <w:rFonts w:ascii="Arial" w:hAnsi="Arial"/>
                <w:b/>
                <w:bCs/>
                <w:sz w:val="26"/>
                <w:szCs w:val="26"/>
              </w:rPr>
            </w:pPr>
            <w:r w:rsidRPr="008C58C2">
              <w:rPr>
                <w:rFonts w:ascii="Arial" w:hAnsi="Arial"/>
                <w:b/>
                <w:bCs/>
                <w:sz w:val="26"/>
                <w:szCs w:val="26"/>
                <w:rtl/>
              </w:rPr>
              <w:t>מדינת ישראל</w:t>
            </w:r>
          </w:p>
        </w:tc>
        <w:tc>
          <w:tcPr>
            <w:tcW w:w="3771" w:type="dxa"/>
            <w:gridSpan w:val="2"/>
            <w:tcBorders>
              <w:top w:val="nil"/>
              <w:left w:val="nil"/>
              <w:bottom w:val="nil"/>
              <w:right w:val="nil"/>
            </w:tcBorders>
            <w:shd w:val="clear" w:color="auto" w:fill="auto"/>
          </w:tcPr>
          <w:p w14:paraId="3EE1D679" w14:textId="77777777" w:rsidR="00F44020" w:rsidRPr="008C58C2" w:rsidRDefault="00F44020" w:rsidP="00F44020">
            <w:pPr>
              <w:jc w:val="both"/>
              <w:rPr>
                <w:rFonts w:ascii="Arial" w:hAnsi="Arial"/>
                <w:b/>
                <w:bCs/>
                <w:sz w:val="26"/>
                <w:szCs w:val="26"/>
              </w:rPr>
            </w:pPr>
          </w:p>
        </w:tc>
      </w:tr>
      <w:bookmarkEnd w:id="0"/>
      <w:tr w:rsidR="00F44020" w:rsidRPr="008C58C2" w14:paraId="3D372600" w14:textId="77777777" w:rsidTr="00F44020">
        <w:trPr>
          <w:trHeight w:val="355"/>
          <w:jc w:val="center"/>
        </w:trPr>
        <w:tc>
          <w:tcPr>
            <w:tcW w:w="923" w:type="dxa"/>
            <w:tcBorders>
              <w:top w:val="nil"/>
              <w:left w:val="nil"/>
              <w:bottom w:val="nil"/>
              <w:right w:val="nil"/>
            </w:tcBorders>
            <w:shd w:val="clear" w:color="auto" w:fill="auto"/>
          </w:tcPr>
          <w:p w14:paraId="4F93C018" w14:textId="77777777" w:rsidR="00F44020" w:rsidRPr="008C58C2" w:rsidRDefault="00F44020" w:rsidP="00F44020">
            <w:pPr>
              <w:jc w:val="both"/>
              <w:rPr>
                <w:rFonts w:ascii="Arial" w:hAnsi="Arial"/>
                <w:b/>
                <w:bCs/>
                <w:sz w:val="26"/>
                <w:szCs w:val="26"/>
                <w:rtl/>
              </w:rPr>
            </w:pPr>
          </w:p>
        </w:tc>
        <w:tc>
          <w:tcPr>
            <w:tcW w:w="4126" w:type="dxa"/>
            <w:tcBorders>
              <w:top w:val="nil"/>
              <w:left w:val="nil"/>
              <w:bottom w:val="nil"/>
              <w:right w:val="nil"/>
            </w:tcBorders>
            <w:shd w:val="clear" w:color="auto" w:fill="auto"/>
          </w:tcPr>
          <w:p w14:paraId="723D4B6E" w14:textId="77777777" w:rsidR="00F44020" w:rsidRPr="008C58C2" w:rsidRDefault="00F44020" w:rsidP="00F44020">
            <w:pPr>
              <w:jc w:val="both"/>
              <w:rPr>
                <w:rFonts w:ascii="Arial" w:hAnsi="Arial"/>
                <w:b/>
                <w:bCs/>
                <w:sz w:val="26"/>
                <w:szCs w:val="26"/>
                <w:rtl/>
              </w:rPr>
            </w:pPr>
          </w:p>
        </w:tc>
        <w:tc>
          <w:tcPr>
            <w:tcW w:w="3771" w:type="dxa"/>
            <w:gridSpan w:val="2"/>
            <w:tcBorders>
              <w:top w:val="nil"/>
              <w:left w:val="nil"/>
              <w:bottom w:val="nil"/>
              <w:right w:val="nil"/>
            </w:tcBorders>
            <w:shd w:val="clear" w:color="auto" w:fill="auto"/>
          </w:tcPr>
          <w:p w14:paraId="3483BEB0" w14:textId="77777777" w:rsidR="00F44020" w:rsidRPr="008C58C2" w:rsidRDefault="00F44020" w:rsidP="00F44020">
            <w:pPr>
              <w:jc w:val="right"/>
              <w:rPr>
                <w:rFonts w:ascii="Arial" w:hAnsi="Arial"/>
                <w:b/>
                <w:bCs/>
                <w:sz w:val="26"/>
                <w:szCs w:val="26"/>
                <w:rtl/>
              </w:rPr>
            </w:pPr>
            <w:r w:rsidRPr="008C58C2">
              <w:rPr>
                <w:rFonts w:ascii="Arial" w:hAnsi="Arial" w:hint="cs"/>
                <w:b/>
                <w:bCs/>
                <w:sz w:val="26"/>
                <w:szCs w:val="26"/>
                <w:rtl/>
              </w:rPr>
              <w:t>ה</w:t>
            </w:r>
            <w:r w:rsidRPr="008C58C2">
              <w:rPr>
                <w:rFonts w:ascii="Arial" w:hAnsi="Arial"/>
                <w:b/>
                <w:bCs/>
                <w:sz w:val="26"/>
                <w:szCs w:val="26"/>
                <w:rtl/>
              </w:rPr>
              <w:t>מאשימה</w:t>
            </w:r>
          </w:p>
        </w:tc>
      </w:tr>
      <w:tr w:rsidR="00F44020" w:rsidRPr="008C58C2" w14:paraId="33303C6C" w14:textId="77777777" w:rsidTr="00F44020">
        <w:trPr>
          <w:trHeight w:val="355"/>
          <w:jc w:val="center"/>
        </w:trPr>
        <w:tc>
          <w:tcPr>
            <w:tcW w:w="923" w:type="dxa"/>
            <w:tcBorders>
              <w:top w:val="nil"/>
              <w:left w:val="nil"/>
              <w:bottom w:val="nil"/>
              <w:right w:val="nil"/>
            </w:tcBorders>
            <w:shd w:val="clear" w:color="auto" w:fill="auto"/>
          </w:tcPr>
          <w:p w14:paraId="07B9B375" w14:textId="77777777" w:rsidR="00F44020" w:rsidRPr="008C58C2" w:rsidRDefault="00F44020" w:rsidP="00F44020">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7A2640BB" w14:textId="77777777" w:rsidR="00F44020" w:rsidRPr="008C58C2" w:rsidRDefault="00F44020" w:rsidP="00F44020">
            <w:pPr>
              <w:jc w:val="center"/>
              <w:rPr>
                <w:rFonts w:ascii="Arial" w:hAnsi="Arial"/>
                <w:b/>
                <w:bCs/>
                <w:sz w:val="26"/>
                <w:szCs w:val="26"/>
                <w:rtl/>
              </w:rPr>
            </w:pPr>
          </w:p>
          <w:p w14:paraId="288E2CBD" w14:textId="77777777" w:rsidR="00F44020" w:rsidRPr="008C58C2" w:rsidRDefault="00F44020" w:rsidP="00F44020">
            <w:pPr>
              <w:jc w:val="center"/>
              <w:rPr>
                <w:rFonts w:ascii="Arial" w:hAnsi="Arial"/>
                <w:b/>
                <w:bCs/>
                <w:sz w:val="26"/>
                <w:szCs w:val="26"/>
                <w:rtl/>
              </w:rPr>
            </w:pPr>
            <w:r w:rsidRPr="008C58C2">
              <w:rPr>
                <w:rFonts w:ascii="Arial" w:hAnsi="Arial"/>
                <w:b/>
                <w:bCs/>
                <w:sz w:val="26"/>
                <w:szCs w:val="26"/>
                <w:rtl/>
              </w:rPr>
              <w:t>נגד</w:t>
            </w:r>
          </w:p>
          <w:p w14:paraId="71570A3A" w14:textId="77777777" w:rsidR="00F44020" w:rsidRPr="008C58C2" w:rsidRDefault="00F44020" w:rsidP="00F44020">
            <w:pPr>
              <w:jc w:val="both"/>
              <w:rPr>
                <w:rFonts w:ascii="Arial" w:hAnsi="Arial"/>
                <w:b/>
                <w:bCs/>
                <w:sz w:val="26"/>
                <w:szCs w:val="26"/>
              </w:rPr>
            </w:pPr>
          </w:p>
        </w:tc>
      </w:tr>
      <w:tr w:rsidR="00F44020" w:rsidRPr="008C58C2" w14:paraId="19017DB6" w14:textId="77777777" w:rsidTr="00F44020">
        <w:trPr>
          <w:trHeight w:val="355"/>
          <w:jc w:val="center"/>
        </w:trPr>
        <w:tc>
          <w:tcPr>
            <w:tcW w:w="923" w:type="dxa"/>
            <w:tcBorders>
              <w:top w:val="nil"/>
              <w:left w:val="nil"/>
              <w:bottom w:val="nil"/>
              <w:right w:val="nil"/>
            </w:tcBorders>
            <w:shd w:val="clear" w:color="auto" w:fill="auto"/>
          </w:tcPr>
          <w:p w14:paraId="5C8ABDB2" w14:textId="77777777" w:rsidR="00F44020" w:rsidRPr="008C58C2" w:rsidRDefault="00F44020" w:rsidP="000A2A11">
            <w:pPr>
              <w:rPr>
                <w:rFonts w:ascii="Arial" w:hAnsi="Arial"/>
                <w:b/>
                <w:bCs/>
                <w:sz w:val="26"/>
                <w:szCs w:val="26"/>
                <w:rtl/>
              </w:rPr>
            </w:pPr>
          </w:p>
        </w:tc>
        <w:tc>
          <w:tcPr>
            <w:tcW w:w="4126" w:type="dxa"/>
            <w:tcBorders>
              <w:top w:val="nil"/>
              <w:left w:val="nil"/>
              <w:bottom w:val="nil"/>
              <w:right w:val="nil"/>
            </w:tcBorders>
            <w:shd w:val="clear" w:color="auto" w:fill="auto"/>
          </w:tcPr>
          <w:p w14:paraId="519C33EC" w14:textId="77777777" w:rsidR="00F44020" w:rsidRPr="008C58C2" w:rsidRDefault="00F44020" w:rsidP="000A2A11">
            <w:pPr>
              <w:rPr>
                <w:rFonts w:ascii="Arial" w:hAnsi="Arial"/>
                <w:b/>
                <w:bCs/>
                <w:sz w:val="26"/>
                <w:szCs w:val="26"/>
                <w:rtl/>
              </w:rPr>
            </w:pPr>
            <w:r w:rsidRPr="008C58C2">
              <w:rPr>
                <w:rFonts w:ascii="Arial" w:hAnsi="Arial"/>
                <w:b/>
                <w:bCs/>
                <w:sz w:val="26"/>
                <w:szCs w:val="26"/>
                <w:rtl/>
              </w:rPr>
              <w:t>חמדה טראבין (עציר)</w:t>
            </w:r>
          </w:p>
        </w:tc>
        <w:tc>
          <w:tcPr>
            <w:tcW w:w="3771" w:type="dxa"/>
            <w:gridSpan w:val="2"/>
            <w:tcBorders>
              <w:top w:val="nil"/>
              <w:left w:val="nil"/>
              <w:bottom w:val="nil"/>
              <w:right w:val="nil"/>
            </w:tcBorders>
            <w:shd w:val="clear" w:color="auto" w:fill="auto"/>
          </w:tcPr>
          <w:p w14:paraId="7080D1E7" w14:textId="77777777" w:rsidR="00F44020" w:rsidRPr="008C58C2" w:rsidRDefault="00F44020" w:rsidP="00F44020">
            <w:pPr>
              <w:jc w:val="right"/>
              <w:rPr>
                <w:rFonts w:ascii="Arial" w:hAnsi="Arial"/>
                <w:b/>
                <w:bCs/>
                <w:sz w:val="26"/>
                <w:szCs w:val="26"/>
              </w:rPr>
            </w:pPr>
          </w:p>
        </w:tc>
      </w:tr>
      <w:tr w:rsidR="00F44020" w:rsidRPr="008C58C2" w14:paraId="6279C4F4" w14:textId="77777777" w:rsidTr="00F44020">
        <w:trPr>
          <w:trHeight w:val="355"/>
          <w:jc w:val="center"/>
        </w:trPr>
        <w:tc>
          <w:tcPr>
            <w:tcW w:w="923" w:type="dxa"/>
            <w:tcBorders>
              <w:top w:val="nil"/>
              <w:left w:val="nil"/>
              <w:bottom w:val="nil"/>
              <w:right w:val="nil"/>
            </w:tcBorders>
            <w:shd w:val="clear" w:color="auto" w:fill="auto"/>
          </w:tcPr>
          <w:p w14:paraId="69406D15" w14:textId="77777777" w:rsidR="00F44020" w:rsidRPr="008C58C2" w:rsidRDefault="00F44020" w:rsidP="00F44020">
            <w:pPr>
              <w:jc w:val="both"/>
              <w:rPr>
                <w:rFonts w:ascii="Arial" w:hAnsi="Arial"/>
                <w:b/>
                <w:bCs/>
                <w:sz w:val="26"/>
                <w:szCs w:val="26"/>
                <w:rtl/>
              </w:rPr>
            </w:pPr>
          </w:p>
        </w:tc>
        <w:tc>
          <w:tcPr>
            <w:tcW w:w="4126" w:type="dxa"/>
            <w:tcBorders>
              <w:top w:val="nil"/>
              <w:left w:val="nil"/>
              <w:bottom w:val="nil"/>
              <w:right w:val="nil"/>
            </w:tcBorders>
            <w:shd w:val="clear" w:color="auto" w:fill="auto"/>
          </w:tcPr>
          <w:p w14:paraId="67A5A0C8" w14:textId="77777777" w:rsidR="00F44020" w:rsidRPr="008C58C2" w:rsidRDefault="00F44020" w:rsidP="00F44020">
            <w:pPr>
              <w:jc w:val="both"/>
              <w:rPr>
                <w:rFonts w:ascii="Arial" w:hAnsi="Arial"/>
                <w:b/>
                <w:bCs/>
                <w:sz w:val="26"/>
                <w:szCs w:val="26"/>
                <w:rtl/>
              </w:rPr>
            </w:pPr>
          </w:p>
        </w:tc>
        <w:tc>
          <w:tcPr>
            <w:tcW w:w="3771" w:type="dxa"/>
            <w:gridSpan w:val="2"/>
            <w:tcBorders>
              <w:top w:val="nil"/>
              <w:left w:val="nil"/>
              <w:bottom w:val="nil"/>
              <w:right w:val="nil"/>
            </w:tcBorders>
            <w:shd w:val="clear" w:color="auto" w:fill="auto"/>
          </w:tcPr>
          <w:p w14:paraId="581616E9" w14:textId="77777777" w:rsidR="00F44020" w:rsidRPr="008C58C2" w:rsidRDefault="00F44020" w:rsidP="00F44020">
            <w:pPr>
              <w:jc w:val="right"/>
              <w:rPr>
                <w:rFonts w:ascii="Arial" w:hAnsi="Arial"/>
                <w:b/>
                <w:bCs/>
                <w:sz w:val="26"/>
                <w:szCs w:val="26"/>
              </w:rPr>
            </w:pPr>
            <w:r w:rsidRPr="008C58C2">
              <w:rPr>
                <w:rFonts w:ascii="Arial" w:hAnsi="Arial" w:hint="cs"/>
                <w:b/>
                <w:bCs/>
                <w:sz w:val="26"/>
                <w:szCs w:val="26"/>
                <w:rtl/>
              </w:rPr>
              <w:t>ה</w:t>
            </w:r>
            <w:r w:rsidRPr="008C58C2">
              <w:rPr>
                <w:rFonts w:ascii="Arial" w:hAnsi="Arial"/>
                <w:b/>
                <w:bCs/>
                <w:sz w:val="26"/>
                <w:szCs w:val="26"/>
                <w:rtl/>
              </w:rPr>
              <w:t>נאשם</w:t>
            </w:r>
          </w:p>
        </w:tc>
      </w:tr>
    </w:tbl>
    <w:p w14:paraId="7485BC73" w14:textId="77777777" w:rsidR="00277149" w:rsidRPr="00277149" w:rsidRDefault="00277149" w:rsidP="00277149">
      <w:pPr>
        <w:spacing w:before="120" w:after="120" w:line="240" w:lineRule="exact"/>
        <w:ind w:left="283" w:hanging="283"/>
        <w:jc w:val="both"/>
        <w:rPr>
          <w:rFonts w:ascii="FrankRuehl" w:hAnsi="FrankRuehl" w:cs="FrankRuehl"/>
          <w:rtl/>
        </w:rPr>
      </w:pPr>
    </w:p>
    <w:p w14:paraId="499B72A0" w14:textId="77777777" w:rsidR="00A31B92" w:rsidRDefault="00A31B92" w:rsidP="00A31B92">
      <w:pPr>
        <w:rPr>
          <w:rFonts w:ascii="Arial" w:hAnsi="Arial"/>
          <w:sz w:val="26"/>
          <w:szCs w:val="26"/>
          <w:rtl/>
        </w:rPr>
      </w:pPr>
      <w:bookmarkStart w:id="2" w:name="LawTable"/>
      <w:bookmarkEnd w:id="2"/>
    </w:p>
    <w:p w14:paraId="6B893EDC" w14:textId="77777777" w:rsidR="00A31B92" w:rsidRPr="00A31B92" w:rsidRDefault="00A31B92" w:rsidP="00A31B92">
      <w:pPr>
        <w:spacing w:before="120" w:after="120" w:line="240" w:lineRule="exact"/>
        <w:ind w:left="283" w:hanging="283"/>
        <w:jc w:val="both"/>
        <w:rPr>
          <w:rFonts w:ascii="FrankRuehl" w:hAnsi="FrankRuehl" w:cs="FrankRuehl"/>
          <w:rtl/>
        </w:rPr>
      </w:pPr>
    </w:p>
    <w:p w14:paraId="0B3D7CDB" w14:textId="77777777" w:rsidR="00A31B92" w:rsidRPr="00A31B92" w:rsidRDefault="00A31B92" w:rsidP="00A31B92">
      <w:pPr>
        <w:spacing w:before="120" w:after="120" w:line="240" w:lineRule="exact"/>
        <w:ind w:left="283" w:hanging="283"/>
        <w:jc w:val="both"/>
        <w:rPr>
          <w:rFonts w:ascii="FrankRuehl" w:hAnsi="FrankRuehl" w:cs="FrankRuehl"/>
          <w:rtl/>
        </w:rPr>
      </w:pPr>
    </w:p>
    <w:p w14:paraId="50EB85A5" w14:textId="77777777" w:rsidR="00A31B92" w:rsidRPr="00A31B92" w:rsidRDefault="00A31B92" w:rsidP="00A31B92">
      <w:pPr>
        <w:spacing w:before="120" w:after="120" w:line="240" w:lineRule="exact"/>
        <w:ind w:left="283" w:hanging="283"/>
        <w:jc w:val="both"/>
        <w:rPr>
          <w:rFonts w:ascii="FrankRuehl" w:hAnsi="FrankRuehl" w:cs="FrankRuehl"/>
          <w:rtl/>
        </w:rPr>
      </w:pPr>
      <w:r w:rsidRPr="00A31B92">
        <w:rPr>
          <w:rFonts w:ascii="FrankRuehl" w:hAnsi="FrankRuehl" w:cs="FrankRuehl"/>
          <w:rtl/>
        </w:rPr>
        <w:t xml:space="preserve">חקיקה שאוזכרה: </w:t>
      </w:r>
    </w:p>
    <w:p w14:paraId="7672EB99" w14:textId="77777777" w:rsidR="00A31B92" w:rsidRPr="00A31B92" w:rsidRDefault="00A31B92" w:rsidP="00A31B92">
      <w:pPr>
        <w:spacing w:before="120" w:after="120" w:line="240" w:lineRule="exact"/>
        <w:ind w:left="283" w:hanging="283"/>
        <w:jc w:val="both"/>
        <w:rPr>
          <w:rFonts w:ascii="FrankRuehl" w:hAnsi="FrankRuehl" w:cs="FrankRuehl"/>
          <w:rtl/>
        </w:rPr>
      </w:pPr>
      <w:hyperlink r:id="rId6" w:history="1">
        <w:r w:rsidRPr="00A31B92">
          <w:rPr>
            <w:rFonts w:ascii="FrankRuehl" w:hAnsi="FrankRuehl" w:cs="FrankRuehl"/>
            <w:color w:val="0000FF"/>
            <w:rtl/>
          </w:rPr>
          <w:t>חוק העונשין, תשל"ז-1977</w:t>
        </w:r>
      </w:hyperlink>
      <w:r w:rsidRPr="00A31B92">
        <w:rPr>
          <w:rFonts w:ascii="FrankRuehl" w:hAnsi="FrankRuehl" w:cs="FrankRuehl"/>
          <w:rtl/>
        </w:rPr>
        <w:t xml:space="preserve">: סע'  </w:t>
      </w:r>
      <w:hyperlink r:id="rId7" w:history="1">
        <w:r w:rsidRPr="00A31B92">
          <w:rPr>
            <w:rFonts w:ascii="FrankRuehl" w:hAnsi="FrankRuehl" w:cs="FrankRuehl"/>
            <w:color w:val="0000FF"/>
            <w:rtl/>
          </w:rPr>
          <w:t>63</w:t>
        </w:r>
      </w:hyperlink>
      <w:r w:rsidRPr="00A31B92">
        <w:rPr>
          <w:rFonts w:ascii="FrankRuehl" w:hAnsi="FrankRuehl" w:cs="FrankRuehl"/>
          <w:rtl/>
        </w:rPr>
        <w:t xml:space="preserve">, </w:t>
      </w:r>
      <w:hyperlink r:id="rId8" w:history="1">
        <w:r w:rsidRPr="00A31B92">
          <w:rPr>
            <w:rFonts w:ascii="FrankRuehl" w:hAnsi="FrankRuehl" w:cs="FrankRuehl"/>
            <w:color w:val="0000FF"/>
            <w:rtl/>
          </w:rPr>
          <w:t>144(א)</w:t>
        </w:r>
      </w:hyperlink>
      <w:r w:rsidRPr="00A31B92">
        <w:rPr>
          <w:rFonts w:ascii="FrankRuehl" w:hAnsi="FrankRuehl" w:cs="FrankRuehl"/>
          <w:rtl/>
        </w:rPr>
        <w:t xml:space="preserve">, </w:t>
      </w:r>
      <w:hyperlink r:id="rId9" w:history="1">
        <w:r w:rsidRPr="00A31B92">
          <w:rPr>
            <w:rFonts w:ascii="FrankRuehl" w:hAnsi="FrankRuehl" w:cs="FrankRuehl"/>
            <w:color w:val="0000FF"/>
            <w:rtl/>
          </w:rPr>
          <w:t>144(ב)</w:t>
        </w:r>
      </w:hyperlink>
      <w:r w:rsidRPr="00A31B92">
        <w:rPr>
          <w:rFonts w:ascii="FrankRuehl" w:hAnsi="FrankRuehl" w:cs="FrankRuehl"/>
          <w:rtl/>
        </w:rPr>
        <w:t xml:space="preserve">, </w:t>
      </w:r>
      <w:hyperlink r:id="rId10" w:history="1">
        <w:r w:rsidRPr="00A31B92">
          <w:rPr>
            <w:rFonts w:ascii="FrankRuehl" w:hAnsi="FrankRuehl" w:cs="FrankRuehl"/>
            <w:color w:val="0000FF"/>
            <w:rtl/>
          </w:rPr>
          <w:t>144(ב2)</w:t>
        </w:r>
      </w:hyperlink>
    </w:p>
    <w:p w14:paraId="31C53290" w14:textId="77777777" w:rsidR="00A31B92" w:rsidRPr="00A31B92" w:rsidRDefault="00A31B92" w:rsidP="00A31B92">
      <w:pPr>
        <w:spacing w:before="120" w:after="120" w:line="240" w:lineRule="exact"/>
        <w:ind w:left="283" w:hanging="283"/>
        <w:jc w:val="both"/>
        <w:rPr>
          <w:rFonts w:ascii="FrankRuehl" w:hAnsi="FrankRuehl" w:cs="FrankRuehl"/>
          <w:rtl/>
        </w:rPr>
      </w:pPr>
      <w:hyperlink r:id="rId11" w:history="1">
        <w:r w:rsidRPr="00A31B92">
          <w:rPr>
            <w:rFonts w:ascii="FrankRuehl" w:hAnsi="FrankRuehl" w:cs="FrankRuehl"/>
            <w:color w:val="0000FF"/>
            <w:rtl/>
          </w:rPr>
          <w:t>פקודת מס הכנסה [נוסח חדש] - לא מרובד</w:t>
        </w:r>
      </w:hyperlink>
      <w:r w:rsidRPr="00A31B92">
        <w:rPr>
          <w:rFonts w:ascii="FrankRuehl" w:hAnsi="FrankRuehl" w:cs="FrankRuehl"/>
          <w:rtl/>
        </w:rPr>
        <w:t xml:space="preserve">: סע'  </w:t>
      </w:r>
      <w:hyperlink r:id="rId12" w:history="1">
        <w:r w:rsidRPr="00A31B92">
          <w:rPr>
            <w:rFonts w:ascii="FrankRuehl" w:hAnsi="FrankRuehl" w:cs="FrankRuehl"/>
            <w:color w:val="0000FF"/>
            <w:rtl/>
          </w:rPr>
          <w:t>216 (5)</w:t>
        </w:r>
      </w:hyperlink>
      <w:r w:rsidRPr="00A31B92">
        <w:rPr>
          <w:rFonts w:ascii="FrankRuehl" w:hAnsi="FrankRuehl" w:cs="FrankRuehl"/>
          <w:rtl/>
        </w:rPr>
        <w:t xml:space="preserve">, </w:t>
      </w:r>
      <w:hyperlink r:id="rId13" w:history="1">
        <w:r w:rsidRPr="00A31B92">
          <w:rPr>
            <w:rFonts w:ascii="FrankRuehl" w:hAnsi="FrankRuehl" w:cs="FrankRuehl"/>
            <w:color w:val="0000FF"/>
            <w:rtl/>
          </w:rPr>
          <w:t>220(5)</w:t>
        </w:r>
      </w:hyperlink>
    </w:p>
    <w:p w14:paraId="75317A07" w14:textId="77777777" w:rsidR="00A31B92" w:rsidRPr="00A31B92" w:rsidRDefault="00A31B92" w:rsidP="00A31B92">
      <w:pPr>
        <w:rPr>
          <w:rFonts w:ascii="Arial" w:hAnsi="Arial"/>
          <w:sz w:val="26"/>
          <w:szCs w:val="26"/>
          <w:rtl/>
        </w:rPr>
      </w:pPr>
      <w:bookmarkStart w:id="3" w:name="LawTable_End"/>
      <w:bookmarkEnd w:id="3"/>
    </w:p>
    <w:p w14:paraId="062355D5" w14:textId="77777777" w:rsidR="00F44020" w:rsidRPr="00277149" w:rsidRDefault="00F44020" w:rsidP="00277149">
      <w:pPr>
        <w:rPr>
          <w:rFonts w:ascii="Arial" w:hAnsi="Arial"/>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44020" w:rsidRPr="004C04B9" w14:paraId="19D70534" w14:textId="77777777" w:rsidTr="00F44020">
        <w:trPr>
          <w:trHeight w:val="355"/>
          <w:jc w:val="center"/>
        </w:trPr>
        <w:tc>
          <w:tcPr>
            <w:tcW w:w="8820" w:type="dxa"/>
            <w:tcBorders>
              <w:top w:val="nil"/>
              <w:left w:val="nil"/>
              <w:bottom w:val="nil"/>
              <w:right w:val="nil"/>
            </w:tcBorders>
            <w:shd w:val="clear" w:color="auto" w:fill="auto"/>
          </w:tcPr>
          <w:p w14:paraId="14A08674" w14:textId="77777777" w:rsidR="008C58C2" w:rsidRPr="008C58C2" w:rsidRDefault="008C58C2" w:rsidP="008C58C2">
            <w:pPr>
              <w:jc w:val="center"/>
              <w:rPr>
                <w:rFonts w:ascii="Arial" w:hAnsi="Arial"/>
                <w:b/>
                <w:bCs/>
                <w:sz w:val="26"/>
                <w:szCs w:val="26"/>
                <w:rtl/>
              </w:rPr>
            </w:pPr>
            <w:bookmarkStart w:id="4" w:name="PsakDin" w:colFirst="0" w:colLast="0"/>
            <w:r w:rsidRPr="008C58C2">
              <w:rPr>
                <w:rFonts w:ascii="Arial" w:hAnsi="Arial"/>
                <w:b/>
                <w:bCs/>
                <w:sz w:val="26"/>
                <w:szCs w:val="26"/>
                <w:rtl/>
              </w:rPr>
              <w:t>גזר דין</w:t>
            </w:r>
          </w:p>
          <w:p w14:paraId="6D52BAD9" w14:textId="77777777" w:rsidR="00F44020" w:rsidRPr="008C58C2" w:rsidRDefault="00F44020" w:rsidP="008C58C2">
            <w:pPr>
              <w:jc w:val="center"/>
              <w:rPr>
                <w:rFonts w:ascii="Arial" w:hAnsi="Arial"/>
                <w:b/>
                <w:bCs/>
                <w:sz w:val="26"/>
                <w:szCs w:val="26"/>
                <w:rtl/>
              </w:rPr>
            </w:pPr>
          </w:p>
        </w:tc>
      </w:tr>
      <w:bookmarkEnd w:id="4"/>
    </w:tbl>
    <w:p w14:paraId="68EF64CB" w14:textId="77777777" w:rsidR="00F44020" w:rsidRPr="00B05847" w:rsidRDefault="00F44020" w:rsidP="00F44020">
      <w:pPr>
        <w:rPr>
          <w:rFonts w:ascii="Arial" w:hAnsi="Arial"/>
          <w:rtl/>
        </w:rPr>
      </w:pPr>
    </w:p>
    <w:p w14:paraId="42FAB5D5" w14:textId="77777777" w:rsidR="00F44020" w:rsidRDefault="00F44020" w:rsidP="00F44020">
      <w:pPr>
        <w:spacing w:line="360" w:lineRule="auto"/>
        <w:jc w:val="center"/>
        <w:rPr>
          <w:rFonts w:ascii="David" w:hAnsi="David"/>
          <w:b/>
          <w:bCs/>
          <w:u w:val="single"/>
          <w:rtl/>
        </w:rPr>
      </w:pPr>
    </w:p>
    <w:p w14:paraId="271E9069" w14:textId="77777777" w:rsidR="00F44020" w:rsidRDefault="00F44020" w:rsidP="00F44020">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לאחר שמיעת 8 עדי תביעה, הגיעו הצדדים להסדר טיעון במסגרתו הוגש נגד הנאשם כתב אישום מתוקן בשלישית והנאשם הודה בעובדותיו. </w:t>
      </w:r>
    </w:p>
    <w:p w14:paraId="5A96D26D" w14:textId="77777777" w:rsidR="00F44020" w:rsidRDefault="00F44020" w:rsidP="00F44020">
      <w:pPr>
        <w:spacing w:line="360" w:lineRule="auto"/>
        <w:ind w:left="720" w:hanging="720"/>
        <w:jc w:val="both"/>
        <w:rPr>
          <w:rtl/>
        </w:rPr>
      </w:pPr>
      <w:r>
        <w:rPr>
          <w:rFonts w:hint="cs"/>
          <w:rtl/>
        </w:rPr>
        <w:t xml:space="preserve"> </w:t>
      </w:r>
      <w:r>
        <w:rPr>
          <w:rFonts w:hint="cs"/>
          <w:rtl/>
        </w:rPr>
        <w:tab/>
        <w:t>כתב האישום כולל שלושה אישומים, שעיקריהם הם כדלהלן:</w:t>
      </w:r>
    </w:p>
    <w:p w14:paraId="671387F9" w14:textId="77777777" w:rsidR="00F44020" w:rsidRDefault="00F44020" w:rsidP="00F44020">
      <w:pPr>
        <w:spacing w:line="360" w:lineRule="auto"/>
        <w:ind w:left="720" w:hanging="720"/>
        <w:jc w:val="both"/>
        <w:rPr>
          <w:rtl/>
        </w:rPr>
      </w:pPr>
      <w:r>
        <w:rPr>
          <w:rFonts w:hint="cs"/>
          <w:rtl/>
        </w:rPr>
        <w:tab/>
        <w:t xml:space="preserve">בחלק הכללי של כתב האישום מצוין שהנאשם קשר עם אחרים- מהדי אלסופי (להלן: "מהדי"), שריף טראבין (להלן: "שריף") ורג'א אבו רגאל (להלן: "רג'א") לבצע עבירות בנשק. </w:t>
      </w:r>
    </w:p>
    <w:p w14:paraId="73543644" w14:textId="77777777" w:rsidR="00F44020" w:rsidRDefault="00F44020" w:rsidP="00F44020">
      <w:pPr>
        <w:spacing w:line="360" w:lineRule="auto"/>
        <w:ind w:left="720"/>
        <w:jc w:val="both"/>
        <w:rPr>
          <w:u w:val="single"/>
          <w:rtl/>
        </w:rPr>
      </w:pPr>
      <w:bookmarkStart w:id="6" w:name="ABSTRACT_END"/>
      <w:bookmarkEnd w:id="6"/>
      <w:r>
        <w:rPr>
          <w:rFonts w:hint="cs"/>
          <w:u w:val="single"/>
          <w:rtl/>
        </w:rPr>
        <w:t>אישום ראשון</w:t>
      </w:r>
    </w:p>
    <w:p w14:paraId="00B2D49B" w14:textId="77777777" w:rsidR="00F44020" w:rsidRDefault="00F44020" w:rsidP="00F44020">
      <w:pPr>
        <w:spacing w:line="360" w:lineRule="auto"/>
        <w:ind w:left="720"/>
        <w:jc w:val="both"/>
        <w:rPr>
          <w:u w:val="single"/>
          <w:rtl/>
        </w:rPr>
      </w:pPr>
      <w:r>
        <w:rPr>
          <w:rFonts w:hint="cs"/>
          <w:rtl/>
        </w:rPr>
        <w:t xml:space="preserve">עובר לחודש מאי 2020 הנאשם קשר קשר עם אחרים לייבא אקדחים מירדן לישראל. אותם אחרים עמדו בראש הקשר, והתקשרו עם אחר בירדן (להלן: "הירדני") לשם ייבוא האקדחים. לאחר האמור, הנאשם הציע למהדי 30,000 ₪ תמורת הבאת האקדחים מגבול ישראל- ירדן. מהדי הסכים להצעה ואחר כך הציע לשריף להצטרף אליו תמורת חצי </w:t>
      </w:r>
      <w:r>
        <w:rPr>
          <w:rFonts w:hint="cs"/>
          <w:rtl/>
        </w:rPr>
        <w:lastRenderedPageBreak/>
        <w:t>מהסכום, ושריף הסכים. במסגרת האמור, הנאשם לקח את מהדי ברכבו לגבול ישראל ירדן על מנת להראות לו מהיכן יועברו האקדחים (להלן: "נקודת ההברחה"). ולצורך ביצוע ההברחה הנאשם העמיד לרשות מהדי ושריף שני רכבים המצויים בבעלותו. בתאריך 13.10.20 הנאשם השאיר לשריף ומהדי את אחד הרכבים ובו טלפון נייד עם סים ירדני, ושריף ומהדי נסעו באותו רכב לנקודת ההברחה, יצרו קשר עם הירדני, והוא העביר להם בזריקה מהצד הירדני  60 אקדחים. שריף ומהדי העמיסו את האקדחים על הרכב ונסעו מהמקום. ובשלב מסוים הם נעצרו על ידי המשטרה כשברכבם  60 האקדחים.</w:t>
      </w:r>
    </w:p>
    <w:p w14:paraId="6792E232" w14:textId="77777777" w:rsidR="00F44020" w:rsidRDefault="00F44020" w:rsidP="00F44020">
      <w:pPr>
        <w:spacing w:line="360" w:lineRule="auto"/>
        <w:ind w:left="720"/>
        <w:jc w:val="both"/>
        <w:rPr>
          <w:u w:val="single"/>
          <w:rtl/>
        </w:rPr>
      </w:pPr>
      <w:r>
        <w:rPr>
          <w:rFonts w:hint="cs"/>
          <w:u w:val="single"/>
          <w:rtl/>
        </w:rPr>
        <w:t>אישום שני</w:t>
      </w:r>
    </w:p>
    <w:p w14:paraId="08FC9899" w14:textId="77777777" w:rsidR="00F44020" w:rsidRDefault="00F44020" w:rsidP="00F44020">
      <w:pPr>
        <w:spacing w:line="360" w:lineRule="auto"/>
        <w:ind w:left="720" w:hanging="720"/>
        <w:jc w:val="both"/>
        <w:rPr>
          <w:rtl/>
        </w:rPr>
      </w:pPr>
      <w:r>
        <w:rPr>
          <w:rFonts w:hint="cs"/>
          <w:rtl/>
        </w:rPr>
        <w:tab/>
        <w:t xml:space="preserve">בסוף חודש מאי 2020, הנאשם הגיע לביתו של רג'א, מסר לו 3 אקדחים ומחסניות ריקות וביקש ממנו לשמור עליהם, ואמר לו שהוא יכול למכור את הנשק. רג'א מכר את אחד האקדחים תמורת סך של 35,000 ₪. ולמחרת הנאשם הגיע לביתו של רג'א, לקח ממנו את הנשק שנותר אצלו וכן 31,000 ₪ תמורת האקדח שנמכר. ימים אחדים לאחר ה- 26.05.20 הנאשם הגיע לביתו של רג'א ומסר לו ארבעה אקדחים ורג'א החזיק בהם שלא כדין. ולמחרת, הנאשם בא לביתו של רג'א ולקח את האקדחים. וכחודשיים לפני יום 01.11.20 הנאשם מסר לרג'א שני אקדחים ורג'א החזיק בהם עד ליום מעצרו- 22.10.20 אז מסרם למשטרה. </w:t>
      </w:r>
    </w:p>
    <w:p w14:paraId="5D76CAE5" w14:textId="77777777" w:rsidR="00F44020" w:rsidRDefault="00F44020" w:rsidP="00F44020">
      <w:pPr>
        <w:spacing w:line="360" w:lineRule="auto"/>
        <w:ind w:left="720" w:hanging="720"/>
        <w:jc w:val="both"/>
        <w:rPr>
          <w:u w:val="single"/>
          <w:rtl/>
        </w:rPr>
      </w:pPr>
      <w:r>
        <w:rPr>
          <w:rFonts w:hint="cs"/>
          <w:rtl/>
        </w:rPr>
        <w:tab/>
      </w:r>
      <w:r>
        <w:rPr>
          <w:rFonts w:hint="cs"/>
          <w:u w:val="single"/>
          <w:rtl/>
        </w:rPr>
        <w:t>אישום שלישי</w:t>
      </w:r>
      <w:r>
        <w:rPr>
          <w:rFonts w:hint="cs"/>
          <w:rtl/>
        </w:rPr>
        <w:tab/>
      </w:r>
    </w:p>
    <w:p w14:paraId="31529E91" w14:textId="77777777" w:rsidR="00F44020" w:rsidRDefault="00F44020" w:rsidP="00F44020">
      <w:pPr>
        <w:spacing w:line="360" w:lineRule="auto"/>
        <w:ind w:left="720"/>
        <w:jc w:val="both"/>
        <w:rPr>
          <w:rtl/>
        </w:rPr>
      </w:pPr>
      <w:r>
        <w:rPr>
          <w:rFonts w:hint="cs"/>
          <w:rtl/>
        </w:rPr>
        <w:t xml:space="preserve">במועדים המתוארים באישום הראשון, סמוך לחודש 05/20 ועד לפני 31/10/20, הנאשם מכר, יחד עם אחרים, אקדחים בכמות שאינה ידועה, אותם ייבא כמתואר, במחיר של כ-30,000 ₪ לאקדח. ובנוסף, במועד המתואר באישום השני הנאשם מכר לרג'א אקדח תמורת 31,000 ₪. וסך הכל הנאשם הפיק, יחד עם אחרים, הכנסות בסך כולל של 700,000 ₪. והוא הסתיר מרשויות המס את עיסוקו, לא דיווח על הכנסותיו ולא ניהל ספרי חשבונות. </w:t>
      </w:r>
    </w:p>
    <w:p w14:paraId="4999DF51" w14:textId="77777777" w:rsidR="00F44020" w:rsidRDefault="00F44020" w:rsidP="00F44020">
      <w:pPr>
        <w:spacing w:line="360" w:lineRule="auto"/>
        <w:ind w:left="720"/>
        <w:jc w:val="both"/>
        <w:rPr>
          <w:rtl/>
        </w:rPr>
      </w:pPr>
    </w:p>
    <w:p w14:paraId="2F18FA92" w14:textId="77777777" w:rsidR="00F44020" w:rsidRDefault="00F44020" w:rsidP="00F44020">
      <w:pPr>
        <w:spacing w:line="360" w:lineRule="auto"/>
        <w:ind w:left="720" w:hanging="720"/>
        <w:jc w:val="both"/>
        <w:rPr>
          <w:rtl/>
        </w:rPr>
      </w:pPr>
      <w:r>
        <w:rPr>
          <w:rFonts w:hint="cs"/>
          <w:rtl/>
        </w:rPr>
        <w:t>2.</w:t>
      </w:r>
      <w:r>
        <w:rPr>
          <w:rFonts w:hint="cs"/>
          <w:rtl/>
        </w:rPr>
        <w:tab/>
        <w:t xml:space="preserve">על יסוד הודאת הנאשם בעובדות כאמור, הוא הורשע בעבירה של ייבוא נשק, לפי </w:t>
      </w:r>
      <w:hyperlink r:id="rId14" w:history="1">
        <w:r w:rsidR="00952203" w:rsidRPr="00952203">
          <w:rPr>
            <w:rStyle w:val="Hyperlink"/>
            <w:rFonts w:cs="David" w:hint="eastAsia"/>
            <w:rtl/>
          </w:rPr>
          <w:t>סעיף</w:t>
        </w:r>
        <w:r w:rsidR="00952203" w:rsidRPr="00952203">
          <w:rPr>
            <w:rStyle w:val="Hyperlink"/>
            <w:rFonts w:cs="David"/>
            <w:rtl/>
          </w:rPr>
          <w:t xml:space="preserve"> 144(ב2)</w:t>
        </w:r>
      </w:hyperlink>
      <w:r>
        <w:rPr>
          <w:rFonts w:hint="cs"/>
          <w:rtl/>
        </w:rPr>
        <w:t xml:space="preserve"> ב</w:t>
      </w:r>
      <w:hyperlink r:id="rId15" w:history="1">
        <w:r w:rsidR="008C58C2" w:rsidRPr="008C58C2">
          <w:rPr>
            <w:color w:val="0000FF"/>
            <w:u w:val="single"/>
            <w:rtl/>
          </w:rPr>
          <w:t>חוק העונשין</w:t>
        </w:r>
      </w:hyperlink>
      <w:r>
        <w:rPr>
          <w:rFonts w:hint="cs"/>
          <w:rtl/>
        </w:rPr>
        <w:t xml:space="preserve"> התשל"ז-1977 (להלן: "חוק העונשין"); עסקה אחרת בנשק, לפי </w:t>
      </w:r>
      <w:hyperlink r:id="rId16" w:history="1">
        <w:r w:rsidR="00952203" w:rsidRPr="00952203">
          <w:rPr>
            <w:rStyle w:val="Hyperlink"/>
            <w:rFonts w:cs="David" w:hint="eastAsia"/>
            <w:rtl/>
          </w:rPr>
          <w:t>סעיף</w:t>
        </w:r>
        <w:r w:rsidR="00952203" w:rsidRPr="00952203">
          <w:rPr>
            <w:rStyle w:val="Hyperlink"/>
            <w:rFonts w:cs="David"/>
            <w:rtl/>
          </w:rPr>
          <w:t xml:space="preserve"> 144(ב2)</w:t>
        </w:r>
      </w:hyperlink>
      <w:r>
        <w:rPr>
          <w:rFonts w:hint="cs"/>
          <w:rtl/>
        </w:rPr>
        <w:t xml:space="preserve"> בחוק העונשין; הובלת נשק, לפי </w:t>
      </w:r>
      <w:hyperlink r:id="rId17" w:history="1">
        <w:r w:rsidR="00952203" w:rsidRPr="00952203">
          <w:rPr>
            <w:rStyle w:val="Hyperlink"/>
            <w:rFonts w:cs="David" w:hint="eastAsia"/>
            <w:rtl/>
          </w:rPr>
          <w:t>סעיף</w:t>
        </w:r>
        <w:r w:rsidR="00952203" w:rsidRPr="00952203">
          <w:rPr>
            <w:rStyle w:val="Hyperlink"/>
            <w:rFonts w:cs="David"/>
            <w:rtl/>
          </w:rPr>
          <w:t xml:space="preserve"> 144(ב)</w:t>
        </w:r>
      </w:hyperlink>
      <w:r>
        <w:rPr>
          <w:rFonts w:hint="cs"/>
          <w:rtl/>
        </w:rPr>
        <w:t xml:space="preserve"> רישא בחוק העונשין; החזקת נשק, לפי </w:t>
      </w:r>
      <w:hyperlink r:id="rId18" w:history="1">
        <w:r w:rsidR="00952203" w:rsidRPr="00952203">
          <w:rPr>
            <w:rStyle w:val="Hyperlink"/>
            <w:rFonts w:cs="David" w:hint="eastAsia"/>
            <w:rtl/>
          </w:rPr>
          <w:t>סעיף</w:t>
        </w:r>
        <w:r w:rsidR="00952203" w:rsidRPr="00952203">
          <w:rPr>
            <w:rStyle w:val="Hyperlink"/>
            <w:rFonts w:cs="David"/>
            <w:rtl/>
          </w:rPr>
          <w:t xml:space="preserve"> 144(א)</w:t>
        </w:r>
      </w:hyperlink>
      <w:r>
        <w:rPr>
          <w:rFonts w:hint="cs"/>
          <w:rtl/>
        </w:rPr>
        <w:t xml:space="preserve"> רישא בחוק העונשין; עורמה, מרמה ותחבולה, לפי </w:t>
      </w:r>
      <w:hyperlink r:id="rId19" w:history="1">
        <w:r w:rsidR="00952203" w:rsidRPr="00952203">
          <w:rPr>
            <w:rStyle w:val="Hyperlink"/>
            <w:rFonts w:cs="David" w:hint="eastAsia"/>
            <w:rtl/>
          </w:rPr>
          <w:t>סעיף</w:t>
        </w:r>
        <w:r w:rsidR="00952203" w:rsidRPr="00952203">
          <w:rPr>
            <w:rStyle w:val="Hyperlink"/>
            <w:rFonts w:cs="David"/>
            <w:rtl/>
          </w:rPr>
          <w:t xml:space="preserve"> 220(5)</w:t>
        </w:r>
      </w:hyperlink>
      <w:r>
        <w:rPr>
          <w:rFonts w:hint="cs"/>
          <w:rtl/>
        </w:rPr>
        <w:t xml:space="preserve"> ב</w:t>
      </w:r>
      <w:hyperlink r:id="rId20" w:history="1">
        <w:r w:rsidR="008C58C2" w:rsidRPr="008C58C2">
          <w:rPr>
            <w:color w:val="0000FF"/>
            <w:u w:val="single"/>
            <w:rtl/>
          </w:rPr>
          <w:t>פקודת מס הכנסה</w:t>
        </w:r>
      </w:hyperlink>
      <w:r>
        <w:rPr>
          <w:rFonts w:hint="cs"/>
          <w:rtl/>
        </w:rPr>
        <w:t xml:space="preserve"> [נוסח חדש] התשכ"א-1961; ואי ניהול ספרי חשבונות, לפי </w:t>
      </w:r>
      <w:hyperlink r:id="rId21" w:history="1">
        <w:r w:rsidR="00952203" w:rsidRPr="00952203">
          <w:rPr>
            <w:rStyle w:val="Hyperlink"/>
            <w:rFonts w:cs="David" w:hint="eastAsia"/>
            <w:rtl/>
          </w:rPr>
          <w:t>סעיף</w:t>
        </w:r>
        <w:r w:rsidR="00952203" w:rsidRPr="00952203">
          <w:rPr>
            <w:rStyle w:val="Hyperlink"/>
            <w:rFonts w:cs="David"/>
            <w:rtl/>
          </w:rPr>
          <w:t xml:space="preserve"> 216 (5)</w:t>
        </w:r>
      </w:hyperlink>
      <w:r>
        <w:rPr>
          <w:rFonts w:hint="cs"/>
          <w:rtl/>
        </w:rPr>
        <w:t xml:space="preserve"> בפקודת מס הכנסה [נוסח חדש] התשכ"א-1961.</w:t>
      </w:r>
    </w:p>
    <w:p w14:paraId="6C518C34" w14:textId="77777777" w:rsidR="00F44020" w:rsidRDefault="00F44020" w:rsidP="00F44020">
      <w:pPr>
        <w:spacing w:line="360" w:lineRule="auto"/>
        <w:jc w:val="both"/>
        <w:rPr>
          <w:rtl/>
        </w:rPr>
      </w:pPr>
    </w:p>
    <w:p w14:paraId="0F7C8694" w14:textId="77777777" w:rsidR="00F44020" w:rsidRDefault="00F44020" w:rsidP="00F44020">
      <w:pPr>
        <w:spacing w:line="360" w:lineRule="auto"/>
        <w:ind w:left="720" w:hanging="720"/>
        <w:jc w:val="both"/>
        <w:rPr>
          <w:rtl/>
        </w:rPr>
      </w:pPr>
      <w:r>
        <w:rPr>
          <w:rFonts w:hint="cs"/>
          <w:rtl/>
        </w:rPr>
        <w:t>3.</w:t>
      </w:r>
      <w:r>
        <w:rPr>
          <w:rFonts w:hint="cs"/>
          <w:rtl/>
        </w:rPr>
        <w:tab/>
        <w:t xml:space="preserve">הודאת הנאשם באה במסגרת הסדר טיעון בו הסכימו הצדדים להמליץ לבית המשפט להטיל על הנאשם 11 שנים ותשעה חודשים מאסר בפועל, מיום מעצרו, מאסר על תנאי וחילוט רכב איסוזו מ.ר. 6621734 ששימש בעבירה נשוא האישום הראשון. והוסכם שהתביעה תעתור לקנס כספי וההגנה תטען לרכיב זה כהבנתה. </w:t>
      </w:r>
    </w:p>
    <w:p w14:paraId="37438D98" w14:textId="77777777" w:rsidR="00F44020" w:rsidRDefault="00F44020" w:rsidP="00F44020">
      <w:pPr>
        <w:spacing w:line="360" w:lineRule="auto"/>
        <w:ind w:left="720" w:hanging="720"/>
        <w:jc w:val="both"/>
        <w:rPr>
          <w:rtl/>
        </w:rPr>
      </w:pPr>
    </w:p>
    <w:p w14:paraId="359BD20B" w14:textId="77777777" w:rsidR="00F44020" w:rsidRDefault="00F44020" w:rsidP="00F44020">
      <w:pPr>
        <w:spacing w:line="360" w:lineRule="auto"/>
        <w:ind w:left="720" w:hanging="720"/>
        <w:jc w:val="both"/>
        <w:rPr>
          <w:rtl/>
        </w:rPr>
      </w:pPr>
      <w:r>
        <w:rPr>
          <w:rFonts w:hint="cs"/>
          <w:rtl/>
        </w:rPr>
        <w:lastRenderedPageBreak/>
        <w:t>4.</w:t>
      </w:r>
      <w:r>
        <w:rPr>
          <w:rFonts w:hint="cs"/>
          <w:rtl/>
        </w:rPr>
        <w:tab/>
        <w:t>ב"כ התביעה ציין כי העונש המוצע בהסדר הטיעון חורג משמעותית לקולא מהעונש הראוי, ושהנימוק העיקרי להסדר נעוץ במורכבות חסיונית. הסביר, כי מדובר בתיק שהוא חלק מפרשיית נשק, במסגרתה הוגשה לבית המשפט העליון עתירה לגילוי ראיה, בה נידון החומר המודיעיני הרב שבתיק, והגם שהעתירה נדחתה, בית המשפט העליון קבע שלמידע המודיעיני יש השלכה לעניין העונש, והדבר הוסכם על ידי התביעה גם ביחס למעורבים האחרים וגם ביחס לנאשם. עוד ציין, כי עניינם של האחרים, מהדי, שריף ורג'א, נדון בפני מותב אחר, ובית המשפט קיבל את המלצת הצדדים לעונש, והטיל על מהדי ושריף 8 שנות מאסר ועל רג'א, 4.5 שנות מאסר. טען כי עניינו של הנאשם כאן חמור יותר, שכן הוא זה ששילח את מהדי ושריף להביא את האקדחים, והוא זה שמסר את האקדחים לרג'א, והעונש המוצע שומר על יחס מתאים בין הנאשמים השונים וחלקם במעשים. עוד טען, שעל אף שנשמעו מרבית עדי התביעה, הרי שהודאת הנאשם חוסכת זמן שיפוטי ויש לה משמעות. ב"כ התביעה הפנה לרווח הכספי שהופק מהעבירות. ציין כי שווי רכב האיסוזו שהוסכם על חילוטו עומד על 154,000 ₪, וציין כי אין עמדה סופית של המדינה אם לפתוח בהליכים אזרחיים נגד הנאשם בשל עבירות המס שביצע. וטען שלא צריכה להיות לכך השפעה לעניין העונש. עוד צוין, כי על מהדי ושריף הוטל קנס כספי בסך 25,000 ₪, ועל רג'א הוטל קנס כספי בסך 15,000 ₪, והקנס שיש להשית על הנאשם צריך להיות גבוה משמעותית. ועתר לאמץ את הסדר הטיעון בענין רכיב המאסר ולהטיל על הנאשם מאסר על תנאי וקנס בסדר גודל של מאות אלפי שקלים.</w:t>
      </w:r>
    </w:p>
    <w:p w14:paraId="35D5B0F6" w14:textId="77777777" w:rsidR="00F44020" w:rsidRDefault="00F44020" w:rsidP="00F44020">
      <w:pPr>
        <w:spacing w:line="360" w:lineRule="auto"/>
        <w:ind w:left="720" w:hanging="720"/>
        <w:jc w:val="both"/>
        <w:rPr>
          <w:rtl/>
        </w:rPr>
      </w:pPr>
      <w:r>
        <w:rPr>
          <w:rFonts w:hint="cs"/>
          <w:rtl/>
        </w:rPr>
        <w:tab/>
      </w:r>
    </w:p>
    <w:p w14:paraId="61F29359" w14:textId="77777777" w:rsidR="00F44020" w:rsidRDefault="00F44020" w:rsidP="00F44020">
      <w:pPr>
        <w:spacing w:line="360" w:lineRule="auto"/>
        <w:ind w:left="720" w:hanging="720"/>
        <w:jc w:val="both"/>
        <w:rPr>
          <w:b/>
          <w:bCs/>
          <w:u w:val="single"/>
          <w:rtl/>
        </w:rPr>
      </w:pPr>
      <w:r>
        <w:rPr>
          <w:rFonts w:hint="cs"/>
          <w:rtl/>
        </w:rPr>
        <w:t>5.</w:t>
      </w:r>
      <w:r>
        <w:rPr>
          <w:rFonts w:hint="cs"/>
          <w:rtl/>
        </w:rPr>
        <w:tab/>
        <w:t xml:space="preserve">ב"כ הנאשם עתרה לאמץ את הסדר הטיעון. טענה כי הנאשם הודה בכתב אישום שתוקן בפעם השלישית, ומעובדות כתב האישום המתוקן עולה במפורש שהנאשם אמנם היה זה ששלח את האחרים לביצוע ההברחה והעמיד לרשותם את הרכב- שהוסכם על חילוטו, אך לא הנאשם הוא שעמד בראש הפירמידה. ציינה כי בהחלטת בית המשפט העליון עלה שישנם גורמים מעורבים נוספים שעמדו בקשר עם הצד הירדני, והם אלה שנמצאים בראש ההברחה, הפיקו רווח, ולא הועמדו לדין, ושיש לכך משמעות לענין העונש. וציינה כי לנתון זה משמעות הן בהקשר של אכיפה שוויונית והן בהקשר הכלכלי, שכן הרווח שצוין בכתב האישום התחלק בין מעורבים נוספים. הוסיפה, שהנאשם בן 30, נשוי ואב לארבעה ילדים קטינים. לפני מעצרו עבד בעבודות מזדמנות. חלק מבני משפחתו משרתים בצבא. הוא הודה והביע חרטה. והודאתו הביאה לחיסכון בזמן שיפוטי. וביקשה, בהתחשב בתקופת המאסר שתוטל על הנאשם, ובכך שהמדינה טרם החליטה אם לנקוט לגביו הליכים נוספים, שלא להטיל עליו קנס כספי. </w:t>
      </w:r>
    </w:p>
    <w:p w14:paraId="320BB033" w14:textId="77777777" w:rsidR="00F44020" w:rsidRDefault="00F44020" w:rsidP="00F44020">
      <w:pPr>
        <w:spacing w:line="360" w:lineRule="auto"/>
        <w:ind w:left="720" w:hanging="720"/>
        <w:jc w:val="both"/>
        <w:rPr>
          <w:b/>
          <w:bCs/>
          <w:u w:val="single"/>
          <w:rtl/>
        </w:rPr>
      </w:pPr>
    </w:p>
    <w:p w14:paraId="05735977" w14:textId="77777777" w:rsidR="00F44020" w:rsidRDefault="00F44020" w:rsidP="00F44020">
      <w:pPr>
        <w:spacing w:line="360" w:lineRule="auto"/>
        <w:ind w:left="720" w:hanging="720"/>
        <w:jc w:val="both"/>
        <w:rPr>
          <w:rtl/>
        </w:rPr>
      </w:pPr>
      <w:r>
        <w:rPr>
          <w:rFonts w:hint="cs"/>
          <w:rtl/>
        </w:rPr>
        <w:t>6.</w:t>
      </w:r>
      <w:r>
        <w:rPr>
          <w:rFonts w:hint="cs"/>
          <w:rtl/>
        </w:rPr>
        <w:tab/>
        <w:t xml:space="preserve">כתב האישום מגולל פרשה חמורה ביותר של התארגנות עבריינית לייבוא כלי נשק מירדן לישראל, במסגרתה הוכנסו לישראל שלא כדין עשרות רבות של אקדחים. </w:t>
      </w:r>
    </w:p>
    <w:p w14:paraId="353BE1E7" w14:textId="77777777" w:rsidR="00F44020" w:rsidRDefault="00F44020" w:rsidP="00F44020">
      <w:pPr>
        <w:spacing w:line="360" w:lineRule="auto"/>
        <w:ind w:left="720"/>
        <w:jc w:val="both"/>
        <w:rPr>
          <w:rtl/>
        </w:rPr>
      </w:pPr>
      <w:r>
        <w:rPr>
          <w:rFonts w:hint="cs"/>
          <w:rtl/>
        </w:rPr>
        <w:t xml:space="preserve">הפרשה מאופיינת במרכיבי חומרה בולטים, שהצטברותם משווה לאירוע חומרה יוצאת דופן – החבירה יחד של קבוצת תושבי ישראל במטרה להכניס לישראל עשרות רבות של כלי נשק, מעשה בעל השלכות ביטחוניות מובהקות, המכתים את המעורבים בו בהפרת אמונים של אזרח כלפי מדינתו; הוצאת היוזמה העבריינית אל הפועל היתה כרוכה בשיתוף פעולה עם גורמים ירדנים מעבר לגבול, וחייבה תכנון והיערכות מוקדמים; סכומי הכסף המעורבים בעסקה, הן מצד ההשקעה ברכישת כלי הנשק והן מצד הרווח הצפוי ממכירת כלי הנשק – משמעותיים מאוד; ומספר לא מבוטל של כלי נשק שיובאו נמכרו לאחרים ולא נתפסו. </w:t>
      </w:r>
    </w:p>
    <w:p w14:paraId="5556332F" w14:textId="77777777" w:rsidR="00F44020" w:rsidRDefault="00F44020" w:rsidP="00F44020">
      <w:pPr>
        <w:spacing w:line="360" w:lineRule="auto"/>
        <w:ind w:left="720"/>
        <w:jc w:val="both"/>
        <w:rPr>
          <w:rtl/>
        </w:rPr>
      </w:pPr>
      <w:r>
        <w:rPr>
          <w:rFonts w:hint="cs"/>
          <w:rtl/>
        </w:rPr>
        <w:t xml:space="preserve">והתמונה בכללותה מלמדת על פעילות עבריינית מקצועית, מאורגנת ושיטתית, בהיקף משמעותי מאוד, שבוצעה לאורך זמן. </w:t>
      </w:r>
    </w:p>
    <w:p w14:paraId="66F66ADD" w14:textId="77777777" w:rsidR="00F44020" w:rsidRDefault="00F44020" w:rsidP="00F44020">
      <w:pPr>
        <w:spacing w:line="360" w:lineRule="auto"/>
        <w:ind w:left="720" w:hanging="720"/>
        <w:jc w:val="both"/>
        <w:rPr>
          <w:rtl/>
        </w:rPr>
      </w:pPr>
    </w:p>
    <w:p w14:paraId="166E837E" w14:textId="77777777" w:rsidR="00F44020" w:rsidRDefault="00F44020" w:rsidP="00F44020">
      <w:pPr>
        <w:spacing w:line="360" w:lineRule="auto"/>
        <w:ind w:left="793" w:hanging="793"/>
        <w:jc w:val="both"/>
        <w:rPr>
          <w:rtl/>
        </w:rPr>
      </w:pPr>
      <w:r>
        <w:rPr>
          <w:rFonts w:hint="cs"/>
          <w:rtl/>
        </w:rPr>
        <w:t xml:space="preserve">7.           המציאות בה כמות רבה מאוד של כלי נשק נמצאת בידי אזרחים שאינם מורשים להחזיק נשק, מעמידה בסכנה את הסדר הציבורי ואת בטחון הציבור, ויש לה השלכות מרחיקות לכת על החברה ודמותה. אירועים של ירי, הגובים מחיר בפגיעות גוף ונפש, הפכו לחזון נפרץ, כמעט מעשה של יום ביומו, במיוחד בחברה הערבית. ואין להסתיר גם את הדאגה מפני עשיית שימוש בנשק בהקשרים לאומניים, המדירה שינה.  </w:t>
      </w:r>
    </w:p>
    <w:p w14:paraId="28B73F22" w14:textId="77777777" w:rsidR="00F44020" w:rsidRDefault="00F44020" w:rsidP="00F44020">
      <w:pPr>
        <w:spacing w:line="360" w:lineRule="auto"/>
        <w:ind w:left="1440" w:hanging="1498"/>
        <w:jc w:val="both"/>
        <w:rPr>
          <w:rtl/>
        </w:rPr>
      </w:pPr>
    </w:p>
    <w:p w14:paraId="18FDC456" w14:textId="77777777" w:rsidR="00F44020" w:rsidRDefault="00F44020" w:rsidP="00F44020">
      <w:pPr>
        <w:spacing w:line="360" w:lineRule="auto"/>
        <w:ind w:left="2160"/>
        <w:jc w:val="both"/>
        <w:rPr>
          <w:rtl/>
        </w:rPr>
      </w:pPr>
      <w:r>
        <w:rPr>
          <w:rFonts w:hint="cs"/>
          <w:rtl/>
        </w:rPr>
        <w:t>"רבות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על רקע המציאות אותה אנו חווים למרבה הצער מדי יום, אנו עדים לקריאה ציבורית נרגשת להגברת האכיפה כלפי עבירות נשק – ולהחמרה במדיניות הענישה הנוהגת.. 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hyperlink r:id="rId22" w:history="1">
        <w:r w:rsidR="008C58C2" w:rsidRPr="008C58C2">
          <w:rPr>
            <w:rFonts w:cs="Times New Roman"/>
            <w:color w:val="0000FF"/>
            <w:u w:val="single"/>
            <w:rtl/>
          </w:rPr>
          <w:t>ע"פ 4406/19</w:t>
        </w:r>
      </w:hyperlink>
      <w:r>
        <w:rPr>
          <w:rFonts w:hint="cs"/>
          <w:rtl/>
        </w:rPr>
        <w:t xml:space="preserve"> </w:t>
      </w:r>
      <w:r>
        <w:rPr>
          <w:rFonts w:hint="cs"/>
          <w:b/>
          <w:rtl/>
        </w:rPr>
        <w:t>מדינת ישראל נ' סובח</w:t>
      </w:r>
      <w:r>
        <w:rPr>
          <w:rFonts w:hint="cs"/>
          <w:rtl/>
        </w:rPr>
        <w:t xml:space="preserve">, פסקאות 17-16 [פורסם בנבו] (5.11.2019)).. בהתאם לזאת, וכחלק מתפקידו של בית המשפט בביעורן של תופעות קשות אלו, קיימת חשיבות של ממש להטלת ענישה הולמת ומרתיעה </w:t>
      </w:r>
      <w:r>
        <w:rPr>
          <w:rFonts w:hint="cs"/>
          <w:b/>
          <w:rtl/>
        </w:rPr>
        <w:t>על כל חוליות השרשרת העבריינית</w:t>
      </w:r>
      <w:r>
        <w:rPr>
          <w:rFonts w:hint="cs"/>
          <w:rtl/>
        </w:rPr>
        <w:t xml:space="preserve"> – החל מיצרני או מבריחי הנשק הבלתי חוקי, דרך הסוחרים בו, ועד לאלו הנוטלים אותו לידם ועושים בו שימוש בלתי חוקי.." </w:t>
      </w:r>
    </w:p>
    <w:p w14:paraId="5A61C792" w14:textId="77777777" w:rsidR="00F44020" w:rsidRDefault="00F44020" w:rsidP="00F44020">
      <w:pPr>
        <w:spacing w:line="360" w:lineRule="auto"/>
        <w:ind w:left="720" w:hanging="720"/>
        <w:jc w:val="both"/>
        <w:rPr>
          <w:rtl/>
        </w:rPr>
      </w:pPr>
    </w:p>
    <w:p w14:paraId="74320BF2" w14:textId="77777777" w:rsidR="00F44020" w:rsidRDefault="00F44020" w:rsidP="00F44020">
      <w:pPr>
        <w:spacing w:line="360" w:lineRule="auto"/>
        <w:ind w:left="720" w:hanging="720"/>
        <w:jc w:val="both"/>
        <w:rPr>
          <w:rtl/>
          <w:lang w:eastAsia="he-IL"/>
        </w:rPr>
      </w:pPr>
      <w:r>
        <w:rPr>
          <w:rFonts w:hint="cs"/>
          <w:rtl/>
        </w:rPr>
        <w:t>8.</w:t>
      </w:r>
      <w:r>
        <w:rPr>
          <w:rFonts w:hint="cs"/>
          <w:rtl/>
        </w:rPr>
        <w:tab/>
        <w:t xml:space="preserve">העונש הקבוע לעבירת ייבוא נשק הוא 15 שנות מאסר. העונש הקבוע לעבירת נשיאת נשק הוא 10 שנות מאסר. והעונש הקבוע לעבירת החזקת נשק הוא 7 שנות מאסר. </w:t>
      </w:r>
    </w:p>
    <w:p w14:paraId="3F012FEF" w14:textId="77777777" w:rsidR="00F44020" w:rsidRDefault="00F44020" w:rsidP="00F44020">
      <w:pPr>
        <w:spacing w:line="360" w:lineRule="auto"/>
        <w:ind w:left="720"/>
        <w:jc w:val="both"/>
        <w:rPr>
          <w:rtl/>
        </w:rPr>
      </w:pPr>
      <w:r>
        <w:rPr>
          <w:rFonts w:hint="cs"/>
          <w:rtl/>
        </w:rPr>
        <w:t xml:space="preserve">כל אחת מהעבירות האמורות יכולה להשתכלל בהקשר לכלי נשק בודד. וכאן מדובר ב-60 אקדחים שנתפסו ועוד כמות נכבדה של כלי נשק שנמכרו, שההכנסות ממכירתם העומדות על כ-700,000 ₪ יכולות ללמד על מספרם. </w:t>
      </w:r>
    </w:p>
    <w:p w14:paraId="2B98C8C1" w14:textId="77777777" w:rsidR="00F44020" w:rsidRDefault="00F44020" w:rsidP="00F44020">
      <w:pPr>
        <w:spacing w:line="360" w:lineRule="auto"/>
        <w:jc w:val="both"/>
        <w:rPr>
          <w:rtl/>
        </w:rPr>
      </w:pPr>
    </w:p>
    <w:p w14:paraId="1F5A614B" w14:textId="77777777" w:rsidR="00F44020" w:rsidRDefault="00F44020" w:rsidP="00F44020">
      <w:pPr>
        <w:spacing w:line="360" w:lineRule="auto"/>
        <w:ind w:left="720" w:hanging="720"/>
        <w:jc w:val="both"/>
        <w:rPr>
          <w:rtl/>
        </w:rPr>
      </w:pPr>
      <w:r>
        <w:rPr>
          <w:rFonts w:hint="cs"/>
          <w:rtl/>
        </w:rPr>
        <w:t>9.</w:t>
      </w:r>
      <w:r>
        <w:rPr>
          <w:rFonts w:hint="cs"/>
          <w:rtl/>
        </w:rPr>
        <w:tab/>
        <w:t xml:space="preserve">בהתחשב בחומרת המעשים, בפוטנציאל הנזק הגלום בכל אחד מכלי הנשק שיובאו, בפוטנציאל הנזק העצום הטמון במספר הכולל של כלי הנשק שיובאו, ובנזק שנגרם ממכירת כלי הנשק – שהיקפו וטיבו לא יתבררו לעולם - העונש המתאים למעשי הנאשם מבחינת שיקולי הגמול וההרתעה נע סביב 20 שנות מאסר בפועל. </w:t>
      </w:r>
    </w:p>
    <w:p w14:paraId="6953312B" w14:textId="77777777" w:rsidR="00F44020" w:rsidRDefault="00F44020" w:rsidP="00F44020">
      <w:pPr>
        <w:spacing w:line="360" w:lineRule="auto"/>
        <w:ind w:left="720" w:hanging="720"/>
        <w:jc w:val="both"/>
        <w:rPr>
          <w:rtl/>
        </w:rPr>
      </w:pPr>
    </w:p>
    <w:p w14:paraId="37921DEE" w14:textId="77777777" w:rsidR="00F44020" w:rsidRDefault="00F44020" w:rsidP="00F44020">
      <w:pPr>
        <w:spacing w:line="360" w:lineRule="auto"/>
        <w:ind w:left="720" w:hanging="720"/>
        <w:jc w:val="both"/>
        <w:rPr>
          <w:rtl/>
        </w:rPr>
      </w:pPr>
      <w:r>
        <w:rPr>
          <w:rFonts w:hint="cs"/>
          <w:rtl/>
        </w:rPr>
        <w:t>10.</w:t>
      </w:r>
      <w:r>
        <w:rPr>
          <w:rFonts w:hint="cs"/>
          <w:rtl/>
        </w:rPr>
        <w:tab/>
        <w:t xml:space="preserve">אלא שכאן, ברקע הסדר הטיעון עומדים שיקולים הקשורים לחומר מודיעיני חסוי, שבנסיבות יש להניח שהמדובר בעניינים חשובים ורגישים; בית המשפט העליון שבחן את החומר החסוי במסגרת עתירה לגילוי ראיה חסויה ציין שאנשים אחרים הם שעמדו בראש ההברחה ושלמידע זה עשויה להיות השלכה לענין העונש; ובעקבות זאת כתב האישום המתוקן מציין כעובדה, שאנשים אחרים עמדו בראש הקשר לייבוא כלי הנשק; ומעורבים שונים בפרשה לא הובאו לדין. </w:t>
      </w:r>
    </w:p>
    <w:p w14:paraId="7B930F18" w14:textId="77777777" w:rsidR="00F44020" w:rsidRDefault="00F44020" w:rsidP="00F44020">
      <w:pPr>
        <w:spacing w:line="360" w:lineRule="auto"/>
        <w:ind w:left="720" w:hanging="720"/>
        <w:jc w:val="both"/>
        <w:rPr>
          <w:rtl/>
          <w:lang w:eastAsia="he-IL"/>
        </w:rPr>
      </w:pPr>
    </w:p>
    <w:p w14:paraId="53B7118A" w14:textId="77777777" w:rsidR="00F44020" w:rsidRDefault="00F44020" w:rsidP="00F44020">
      <w:pPr>
        <w:spacing w:line="360" w:lineRule="auto"/>
        <w:ind w:left="720" w:hanging="720"/>
        <w:jc w:val="both"/>
        <w:rPr>
          <w:rtl/>
        </w:rPr>
      </w:pPr>
      <w:r>
        <w:rPr>
          <w:rFonts w:hint="cs"/>
          <w:rtl/>
        </w:rPr>
        <w:tab/>
        <w:t xml:space="preserve">שותפיו של הנאשם באישום הראשון, מהדי ושריף, נדונו על חלקם בפרשה ל- 8 שנות מאסר בפועל, מאסר על תנאי וקנס בסך 25,000 ₪. ורג'א, שהיה מעורב באישום השלישי,  נידון ל- 4.5 שנות מאסר בפועל, מאסר על תנאי וקנס בסך 15,000 ₪. </w:t>
      </w:r>
    </w:p>
    <w:p w14:paraId="3128C4DC" w14:textId="77777777" w:rsidR="00F44020" w:rsidRDefault="00F44020" w:rsidP="00F44020">
      <w:pPr>
        <w:spacing w:line="360" w:lineRule="auto"/>
        <w:ind w:left="720" w:hanging="720"/>
        <w:jc w:val="both"/>
        <w:rPr>
          <w:rtl/>
        </w:rPr>
      </w:pPr>
    </w:p>
    <w:p w14:paraId="0414EAB7" w14:textId="77777777" w:rsidR="00F44020" w:rsidRDefault="00F44020" w:rsidP="00F44020">
      <w:pPr>
        <w:spacing w:line="360" w:lineRule="auto"/>
        <w:ind w:left="720" w:hanging="720"/>
        <w:jc w:val="both"/>
        <w:rPr>
          <w:rtl/>
        </w:rPr>
      </w:pPr>
      <w:r>
        <w:rPr>
          <w:rFonts w:hint="cs"/>
          <w:rtl/>
        </w:rPr>
        <w:t>11.</w:t>
      </w:r>
      <w:r>
        <w:rPr>
          <w:rFonts w:hint="cs"/>
          <w:rtl/>
        </w:rPr>
        <w:tab/>
        <w:t xml:space="preserve">בטרם הודאת הנאשם, בית המשפט שמע את מרבית ראיות התביעה וההליכים התמשכו שלא לצורך. אולם, הנאשם היה מיוצג ואין לזקוף לחובתו את ההתנהלות הדיונית של ההגנה, ובסופו של יום הנאשם הודה במסגרת הסדר טיעון הכולל הסכמה משותפת למרכיב המאסר בעונש. </w:t>
      </w:r>
    </w:p>
    <w:p w14:paraId="317D2A33" w14:textId="77777777" w:rsidR="00F44020" w:rsidRDefault="00F44020" w:rsidP="00F44020">
      <w:pPr>
        <w:spacing w:line="360" w:lineRule="auto"/>
        <w:ind w:left="720" w:hanging="720"/>
        <w:jc w:val="both"/>
        <w:rPr>
          <w:rtl/>
        </w:rPr>
      </w:pPr>
      <w:r>
        <w:rPr>
          <w:rFonts w:hint="cs"/>
          <w:rtl/>
        </w:rPr>
        <w:tab/>
        <w:t xml:space="preserve">בנוסף, הנאשם בן 30, נשוי ואב לארבעה ילדים קטינים, ועברו הפלילי אינו מכביד. </w:t>
      </w:r>
    </w:p>
    <w:p w14:paraId="29C8B774" w14:textId="77777777" w:rsidR="00F44020" w:rsidRDefault="00F44020" w:rsidP="00F44020">
      <w:pPr>
        <w:spacing w:line="360" w:lineRule="auto"/>
        <w:ind w:left="720" w:hanging="720"/>
        <w:jc w:val="both"/>
        <w:rPr>
          <w:rtl/>
        </w:rPr>
      </w:pPr>
    </w:p>
    <w:p w14:paraId="14329737" w14:textId="77777777" w:rsidR="00F44020" w:rsidRDefault="00F44020" w:rsidP="00F44020">
      <w:pPr>
        <w:spacing w:line="360" w:lineRule="auto"/>
        <w:ind w:left="720" w:hanging="720"/>
        <w:jc w:val="both"/>
        <w:rPr>
          <w:rtl/>
        </w:rPr>
      </w:pPr>
      <w:r>
        <w:rPr>
          <w:rFonts w:hint="cs"/>
          <w:rtl/>
        </w:rPr>
        <w:t>12.</w:t>
      </w:r>
      <w:r>
        <w:rPr>
          <w:rFonts w:hint="cs"/>
          <w:rtl/>
        </w:rPr>
        <w:tab/>
        <w:t xml:space="preserve">נוכח האמור, אני מקבל את המלצת הצדדים בנוגע לעונש המאסר של הנאשם. </w:t>
      </w:r>
    </w:p>
    <w:p w14:paraId="73DFC3B0" w14:textId="77777777" w:rsidR="00F44020" w:rsidRDefault="00F44020" w:rsidP="00F44020">
      <w:pPr>
        <w:spacing w:line="360" w:lineRule="auto"/>
        <w:ind w:left="720" w:hanging="720"/>
        <w:jc w:val="both"/>
        <w:rPr>
          <w:rtl/>
        </w:rPr>
      </w:pPr>
    </w:p>
    <w:p w14:paraId="6A63254E" w14:textId="77777777" w:rsidR="00F44020" w:rsidRDefault="00F44020" w:rsidP="00F44020">
      <w:pPr>
        <w:spacing w:line="360" w:lineRule="auto"/>
        <w:ind w:left="720" w:hanging="720"/>
        <w:jc w:val="both"/>
        <w:rPr>
          <w:rtl/>
        </w:rPr>
      </w:pPr>
      <w:r>
        <w:rPr>
          <w:rFonts w:hint="cs"/>
          <w:rtl/>
        </w:rPr>
        <w:t>13.</w:t>
      </w:r>
      <w:r>
        <w:rPr>
          <w:rFonts w:hint="cs"/>
          <w:rtl/>
        </w:rPr>
        <w:tab/>
        <w:t xml:space="preserve">אשר לקנס הכספי. העבירות שהנאשם ביצע נעברו לשם הפקת רווח כספי. בכתב האישום מצוין שהאקדחים שנמכרו נמכרו במחיר של כ-30 אלף ₪ לאקדח. מכאן ששווי 60 האקדחים שנתפסו עומד על סדר גודל של כמיליון ושמונה מאות אלף ₪. ובנוסף, הנאשם והמעורבים האחרים הפיקו ממכירת האקדחים שמכרו הכנסות בסך של כ-700,000 ₪. כמובן שלא כל הסכום הזה הוא רווח ושלצורך הערכת הרווח של הנאשם יש להתחשב במחיר ששולם לרכישת כלי הנשק ולחלק שקיבלו המעורבים האחרים. </w:t>
      </w:r>
    </w:p>
    <w:p w14:paraId="789B109A" w14:textId="77777777" w:rsidR="00F44020" w:rsidRDefault="00F44020" w:rsidP="00F44020">
      <w:pPr>
        <w:spacing w:line="360" w:lineRule="auto"/>
        <w:ind w:left="720" w:hanging="720"/>
        <w:jc w:val="both"/>
        <w:rPr>
          <w:rtl/>
        </w:rPr>
      </w:pPr>
      <w:r>
        <w:rPr>
          <w:rFonts w:hint="cs"/>
          <w:rtl/>
        </w:rPr>
        <w:tab/>
      </w:r>
    </w:p>
    <w:p w14:paraId="6FD8DA08" w14:textId="77777777" w:rsidR="00F44020" w:rsidRDefault="00F44020" w:rsidP="00F44020">
      <w:pPr>
        <w:spacing w:line="360" w:lineRule="auto"/>
        <w:ind w:left="720"/>
        <w:jc w:val="both"/>
        <w:rPr>
          <w:rtl/>
        </w:rPr>
      </w:pPr>
      <w:r>
        <w:rPr>
          <w:rFonts w:hint="cs"/>
          <w:rtl/>
        </w:rPr>
        <w:t xml:space="preserve">בהקשר זה יצוין, </w:t>
      </w:r>
      <w:hyperlink r:id="rId23" w:history="1">
        <w:r w:rsidR="00952203" w:rsidRPr="00952203">
          <w:rPr>
            <w:rStyle w:val="Hyperlink"/>
            <w:rFonts w:cs="David" w:hint="eastAsia"/>
            <w:rtl/>
          </w:rPr>
          <w:t>שסעיף</w:t>
        </w:r>
        <w:r w:rsidR="00952203" w:rsidRPr="00952203">
          <w:rPr>
            <w:rStyle w:val="Hyperlink"/>
            <w:rFonts w:cs="David"/>
            <w:rtl/>
          </w:rPr>
          <w:t xml:space="preserve"> 63</w:t>
        </w:r>
      </w:hyperlink>
      <w:r>
        <w:rPr>
          <w:rFonts w:hint="cs"/>
          <w:rtl/>
        </w:rPr>
        <w:t xml:space="preserve"> ב</w:t>
      </w:r>
      <w:hyperlink r:id="rId24" w:history="1">
        <w:r w:rsidR="008C58C2" w:rsidRPr="008C58C2">
          <w:rPr>
            <w:color w:val="0000FF"/>
            <w:u w:val="single"/>
            <w:rtl/>
          </w:rPr>
          <w:t>חוק העונשין</w:t>
        </w:r>
      </w:hyperlink>
      <w:r>
        <w:rPr>
          <w:rFonts w:hint="cs"/>
          <w:rtl/>
        </w:rPr>
        <w:t xml:space="preserve"> קובע כי בשל עבירה שנתכוון בה הנאשם לגרום נזק ממון לאחר או להשיג טובת הנאה לעצמו או לאחר, רשאי בית המשפט להטיל על הנאשם קנס פי ארבעה משווים של הנזק שנגרם או של טובת ההנאה שהושגה על ידי העבירה. </w:t>
      </w:r>
    </w:p>
    <w:p w14:paraId="6D3148EF" w14:textId="77777777" w:rsidR="00F44020" w:rsidRDefault="00F44020" w:rsidP="00F44020">
      <w:pPr>
        <w:spacing w:line="360" w:lineRule="auto"/>
        <w:ind w:left="720" w:hanging="720"/>
        <w:jc w:val="both"/>
        <w:rPr>
          <w:rtl/>
        </w:rPr>
      </w:pPr>
      <w:r>
        <w:rPr>
          <w:rFonts w:hint="cs"/>
          <w:rtl/>
        </w:rPr>
        <w:t xml:space="preserve"> </w:t>
      </w:r>
    </w:p>
    <w:p w14:paraId="16C7E58C" w14:textId="77777777" w:rsidR="00F44020" w:rsidRDefault="00F44020" w:rsidP="00F44020">
      <w:pPr>
        <w:spacing w:line="360" w:lineRule="auto"/>
        <w:ind w:left="720"/>
        <w:jc w:val="both"/>
        <w:rPr>
          <w:rtl/>
        </w:rPr>
      </w:pPr>
      <w:r>
        <w:rPr>
          <w:rFonts w:hint="cs"/>
          <w:rtl/>
        </w:rPr>
        <w:t xml:space="preserve">בקביעת סכום הקנס יש להתחשב בשווי הרכב של הנאשם שחולט לטובת המדינה, העומד על כ- 154,000 ₪. וביכולת התשלום של הנאשם, הגם שמקום שבו נאשם הפיק בפועל רווח מהעבירה שביצע יש לתת למרכיב זה משקל קטן יותר.  וכן יש לקחת בחשבון את האפשרות שהנאשם יידרש לשלם לשלטונות המס סכומי כסף הנגזרים מההכנסות שהפיק ממכירות האקדחים המתוארות בכתב האישום. </w:t>
      </w:r>
    </w:p>
    <w:p w14:paraId="0DBDF4EB" w14:textId="77777777" w:rsidR="00F44020" w:rsidRDefault="00F44020" w:rsidP="00F44020">
      <w:pPr>
        <w:spacing w:line="360" w:lineRule="auto"/>
        <w:ind w:left="720"/>
        <w:jc w:val="both"/>
        <w:rPr>
          <w:rtl/>
        </w:rPr>
      </w:pPr>
    </w:p>
    <w:p w14:paraId="4B6992AB" w14:textId="77777777" w:rsidR="00F44020" w:rsidRDefault="00F44020" w:rsidP="00F44020">
      <w:pPr>
        <w:spacing w:line="360" w:lineRule="auto"/>
        <w:jc w:val="both"/>
        <w:rPr>
          <w:rtl/>
        </w:rPr>
      </w:pPr>
      <w:r>
        <w:rPr>
          <w:rFonts w:hint="cs"/>
          <w:rtl/>
        </w:rPr>
        <w:t>14.</w:t>
      </w:r>
      <w:r>
        <w:rPr>
          <w:rFonts w:hint="cs"/>
          <w:rtl/>
        </w:rPr>
        <w:tab/>
        <w:t>נוכח כל האמור, אני גוזר על הנאשם את העונשים הבאים:</w:t>
      </w:r>
    </w:p>
    <w:p w14:paraId="2C2C85E9" w14:textId="77777777" w:rsidR="00F44020" w:rsidRDefault="00F44020" w:rsidP="00F44020">
      <w:pPr>
        <w:spacing w:line="360" w:lineRule="auto"/>
        <w:ind w:left="1440" w:hanging="720"/>
        <w:jc w:val="both"/>
        <w:rPr>
          <w:rtl/>
        </w:rPr>
      </w:pPr>
      <w:r>
        <w:rPr>
          <w:rFonts w:hint="cs"/>
          <w:rtl/>
        </w:rPr>
        <w:t xml:space="preserve">א. </w:t>
      </w:r>
      <w:r>
        <w:rPr>
          <w:rFonts w:hint="cs"/>
          <w:rtl/>
        </w:rPr>
        <w:tab/>
        <w:t xml:space="preserve">מאסר בפועל למשך 11 שנים ותשעה חודשים, בניכוי ימי מעצרו. </w:t>
      </w:r>
    </w:p>
    <w:p w14:paraId="431A02AD" w14:textId="77777777" w:rsidR="00F44020" w:rsidRDefault="00F44020" w:rsidP="00F44020">
      <w:pPr>
        <w:spacing w:line="360" w:lineRule="auto"/>
        <w:ind w:left="1440" w:hanging="720"/>
        <w:jc w:val="both"/>
        <w:rPr>
          <w:rtl/>
        </w:rPr>
      </w:pPr>
      <w:r>
        <w:rPr>
          <w:rFonts w:hint="cs"/>
          <w:rtl/>
        </w:rPr>
        <w:t>ב.</w:t>
      </w:r>
      <w:r>
        <w:rPr>
          <w:rFonts w:hint="cs"/>
          <w:rtl/>
        </w:rPr>
        <w:tab/>
        <w:t>12 חודשי מאסר על תנאי למשך 3 שנים מיום שחרורו מהמאסר, שלא יעבור עבירת נשק המסווגת כפשע.</w:t>
      </w:r>
    </w:p>
    <w:p w14:paraId="57E5882E" w14:textId="77777777" w:rsidR="00F44020" w:rsidRDefault="00F44020" w:rsidP="00F44020">
      <w:pPr>
        <w:spacing w:line="360" w:lineRule="auto"/>
        <w:ind w:left="1440" w:hanging="720"/>
        <w:jc w:val="both"/>
        <w:rPr>
          <w:rtl/>
        </w:rPr>
      </w:pPr>
      <w:r>
        <w:rPr>
          <w:rFonts w:hint="cs"/>
          <w:rtl/>
        </w:rPr>
        <w:t>ג.</w:t>
      </w:r>
      <w:r>
        <w:rPr>
          <w:rFonts w:hint="cs"/>
          <w:rtl/>
        </w:rPr>
        <w:tab/>
        <w:t>רכב איסוזו מ"ר 6621734 יחולט לטובת אוצר המדינה.</w:t>
      </w:r>
    </w:p>
    <w:p w14:paraId="1BA624AE" w14:textId="77777777" w:rsidR="00F44020" w:rsidRDefault="00F44020" w:rsidP="00F44020">
      <w:pPr>
        <w:spacing w:line="360" w:lineRule="auto"/>
        <w:ind w:left="1440" w:hanging="720"/>
        <w:jc w:val="both"/>
        <w:rPr>
          <w:rtl/>
        </w:rPr>
      </w:pPr>
      <w:r>
        <w:rPr>
          <w:rFonts w:hint="cs"/>
          <w:rtl/>
        </w:rPr>
        <w:t>ד.</w:t>
      </w:r>
      <w:r>
        <w:rPr>
          <w:rFonts w:hint="cs"/>
          <w:rtl/>
        </w:rPr>
        <w:tab/>
        <w:t xml:space="preserve">קנס בסך 75,000 ₪ או עשרה חודשי מאסר תחתיו. </w:t>
      </w:r>
    </w:p>
    <w:p w14:paraId="4FD9E421" w14:textId="77777777" w:rsidR="00F44020" w:rsidRDefault="00F44020" w:rsidP="00F44020">
      <w:pPr>
        <w:spacing w:line="360" w:lineRule="auto"/>
        <w:ind w:left="1440" w:hanging="720"/>
        <w:jc w:val="both"/>
        <w:rPr>
          <w:rtl/>
        </w:rPr>
      </w:pPr>
    </w:p>
    <w:p w14:paraId="75119350" w14:textId="77777777" w:rsidR="00F44020" w:rsidRDefault="00F44020" w:rsidP="00F44020">
      <w:pPr>
        <w:spacing w:line="360" w:lineRule="auto"/>
        <w:jc w:val="both"/>
        <w:rPr>
          <w:rtl/>
        </w:rPr>
      </w:pPr>
      <w:r>
        <w:rPr>
          <w:rFonts w:hint="cs"/>
          <w:rtl/>
        </w:rPr>
        <w:t xml:space="preserve">זכות ערעור בתוך 45 יום. </w:t>
      </w:r>
    </w:p>
    <w:p w14:paraId="3E4D4F49" w14:textId="77777777" w:rsidR="00F44020" w:rsidRDefault="00F44020" w:rsidP="00F44020">
      <w:pPr>
        <w:spacing w:line="360" w:lineRule="auto"/>
        <w:rPr>
          <w:sz w:val="6"/>
          <w:szCs w:val="6"/>
          <w:rtl/>
        </w:rPr>
      </w:pPr>
      <w:r>
        <w:rPr>
          <w:rFonts w:hint="cs"/>
          <w:sz w:val="6"/>
          <w:szCs w:val="6"/>
          <w:rtl/>
        </w:rPr>
        <w:t>&lt;#3#&gt;</w:t>
      </w:r>
    </w:p>
    <w:p w14:paraId="36E77AA9" w14:textId="77777777" w:rsidR="00F44020" w:rsidRPr="008C58C2" w:rsidRDefault="008C58C2" w:rsidP="00F44020">
      <w:pPr>
        <w:rPr>
          <w:color w:val="FFFFFF"/>
          <w:sz w:val="2"/>
          <w:szCs w:val="2"/>
          <w:rtl/>
        </w:rPr>
      </w:pPr>
      <w:r w:rsidRPr="008C58C2">
        <w:rPr>
          <w:color w:val="FFFFFF"/>
          <w:sz w:val="2"/>
          <w:szCs w:val="2"/>
          <w:rtl/>
        </w:rPr>
        <w:t>5129371</w:t>
      </w:r>
    </w:p>
    <w:p w14:paraId="695988BF" w14:textId="77777777" w:rsidR="00F44020" w:rsidRDefault="008C58C2" w:rsidP="00F44020">
      <w:pPr>
        <w:rPr>
          <w:rFonts w:cs="FrankRuehl"/>
          <w:sz w:val="28"/>
          <w:szCs w:val="28"/>
          <w:rtl/>
        </w:rPr>
      </w:pPr>
      <w:bookmarkStart w:id="7" w:name="Nitan"/>
      <w:r w:rsidRPr="008C58C2">
        <w:rPr>
          <w:rFonts w:ascii="Arial" w:hAnsi="Arial"/>
          <w:color w:val="FFFFFF"/>
          <w:sz w:val="2"/>
          <w:szCs w:val="2"/>
          <w:rtl/>
        </w:rPr>
        <w:t>54678313</w:t>
      </w:r>
      <w:r>
        <w:rPr>
          <w:rFonts w:ascii="Arial" w:hAnsi="Arial"/>
          <w:rtl/>
        </w:rPr>
        <w:t xml:space="preserve">ניתן היום,  י"א אלול תשפ"ב, 07 ספטמבר 2022, בהעדר הצדדים. </w:t>
      </w:r>
      <w:bookmarkEnd w:id="7"/>
    </w:p>
    <w:p w14:paraId="2AE0020C" w14:textId="77777777" w:rsidR="00F44020" w:rsidRDefault="00F44020" w:rsidP="008C58C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EBB4718" w14:textId="77777777" w:rsidR="00F44020" w:rsidRDefault="00F44020" w:rsidP="00F44020">
      <w:pPr>
        <w:jc w:val="center"/>
        <w:rPr>
          <w:rFonts w:ascii="Arial" w:hAnsi="Arial" w:cs="FrankRuehl"/>
          <w:sz w:val="28"/>
          <w:szCs w:val="28"/>
          <w:rtl/>
        </w:rPr>
      </w:pPr>
    </w:p>
    <w:p w14:paraId="21A36187" w14:textId="77777777" w:rsidR="00F44020" w:rsidRDefault="00F44020" w:rsidP="00F44020">
      <w:pPr>
        <w:rPr>
          <w:rFonts w:cs="FrankRuehl"/>
          <w:sz w:val="28"/>
          <w:szCs w:val="28"/>
          <w:rtl/>
        </w:rPr>
      </w:pPr>
    </w:p>
    <w:p w14:paraId="13E12A9F" w14:textId="77777777" w:rsidR="00F44020" w:rsidRDefault="00F44020" w:rsidP="00F44020">
      <w:pPr>
        <w:pStyle w:val="a3"/>
        <w:jc w:val="center"/>
        <w:rPr>
          <w:rtl/>
        </w:rPr>
      </w:pPr>
    </w:p>
    <w:p w14:paraId="402CE08A" w14:textId="77777777" w:rsidR="00A92F08" w:rsidRPr="008C58C2" w:rsidRDefault="00A92F08" w:rsidP="008C58C2">
      <w:pPr>
        <w:keepNext/>
        <w:rPr>
          <w:rFonts w:ascii="David" w:hAnsi="David"/>
          <w:color w:val="000000"/>
          <w:sz w:val="22"/>
          <w:szCs w:val="22"/>
          <w:rtl/>
        </w:rPr>
      </w:pPr>
    </w:p>
    <w:p w14:paraId="14AEF29D" w14:textId="77777777" w:rsidR="008C58C2" w:rsidRPr="008C58C2" w:rsidRDefault="008C58C2" w:rsidP="008C58C2">
      <w:pPr>
        <w:keepNext/>
        <w:rPr>
          <w:rFonts w:ascii="David" w:hAnsi="David"/>
          <w:color w:val="000000"/>
          <w:sz w:val="22"/>
          <w:szCs w:val="22"/>
          <w:rtl/>
        </w:rPr>
      </w:pPr>
      <w:r w:rsidRPr="008C58C2">
        <w:rPr>
          <w:rFonts w:ascii="David" w:hAnsi="David"/>
          <w:color w:val="000000"/>
          <w:sz w:val="22"/>
          <w:szCs w:val="22"/>
          <w:rtl/>
        </w:rPr>
        <w:t>אליהו ביתן 54678313</w:t>
      </w:r>
    </w:p>
    <w:p w14:paraId="169E3AC4" w14:textId="77777777" w:rsidR="008C58C2" w:rsidRDefault="008C58C2" w:rsidP="008C58C2">
      <w:r w:rsidRPr="008C58C2">
        <w:rPr>
          <w:color w:val="000000"/>
          <w:rtl/>
        </w:rPr>
        <w:t>נוסח מסמך זה כפוף לשינויי ניסוח ועריכה</w:t>
      </w:r>
    </w:p>
    <w:p w14:paraId="4F4140DA" w14:textId="77777777" w:rsidR="008C58C2" w:rsidRDefault="008C58C2" w:rsidP="008C58C2">
      <w:pPr>
        <w:rPr>
          <w:rtl/>
        </w:rPr>
      </w:pPr>
    </w:p>
    <w:p w14:paraId="1561C842" w14:textId="77777777" w:rsidR="008C58C2" w:rsidRDefault="008C58C2" w:rsidP="008C58C2">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634C5661" w14:textId="77777777" w:rsidR="008C58C2" w:rsidRPr="008C58C2" w:rsidRDefault="008C58C2" w:rsidP="008C58C2">
      <w:pPr>
        <w:jc w:val="center"/>
        <w:rPr>
          <w:color w:val="0000FF"/>
          <w:u w:val="single"/>
        </w:rPr>
      </w:pPr>
    </w:p>
    <w:sectPr w:rsidR="008C58C2" w:rsidRPr="008C58C2" w:rsidSect="008C58C2">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1BFA0" w14:textId="77777777" w:rsidR="00F17DAC" w:rsidRDefault="00F17DAC" w:rsidP="0045128D">
      <w:r>
        <w:separator/>
      </w:r>
    </w:p>
  </w:endnote>
  <w:endnote w:type="continuationSeparator" w:id="0">
    <w:p w14:paraId="032384E2" w14:textId="77777777" w:rsidR="00F17DAC" w:rsidRDefault="00F17DAC" w:rsidP="00451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FCC9D" w14:textId="77777777" w:rsidR="008C58C2" w:rsidRDefault="008C58C2" w:rsidP="008C58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B95E75" w14:textId="77777777" w:rsidR="000A2A11" w:rsidRPr="008C58C2" w:rsidRDefault="008C58C2" w:rsidP="008C58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D0923" w14:textId="77777777" w:rsidR="008C58C2" w:rsidRDefault="008C58C2" w:rsidP="008C58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5B23">
      <w:rPr>
        <w:rFonts w:ascii="FrankRuehl" w:hAnsi="FrankRuehl" w:cs="FrankRuehl"/>
        <w:noProof/>
        <w:rtl/>
      </w:rPr>
      <w:t>1</w:t>
    </w:r>
    <w:r>
      <w:rPr>
        <w:rFonts w:ascii="FrankRuehl" w:hAnsi="FrankRuehl" w:cs="FrankRuehl"/>
        <w:rtl/>
      </w:rPr>
      <w:fldChar w:fldCharType="end"/>
    </w:r>
  </w:p>
  <w:p w14:paraId="23F479A7" w14:textId="77777777" w:rsidR="000A2A11" w:rsidRPr="008C58C2" w:rsidRDefault="008C58C2" w:rsidP="008C58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86A4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19580" w14:textId="77777777" w:rsidR="00F17DAC" w:rsidRDefault="00F17DAC" w:rsidP="0045128D">
      <w:r>
        <w:separator/>
      </w:r>
    </w:p>
  </w:footnote>
  <w:footnote w:type="continuationSeparator" w:id="0">
    <w:p w14:paraId="53DD4E50" w14:textId="77777777" w:rsidR="00F17DAC" w:rsidRDefault="00F17DAC" w:rsidP="00451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BE6B0" w14:textId="77777777" w:rsidR="008C58C2" w:rsidRPr="008C58C2" w:rsidRDefault="008C58C2" w:rsidP="008C58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39675-11-20</w:t>
    </w:r>
    <w:r>
      <w:rPr>
        <w:rFonts w:ascii="David" w:hAnsi="David"/>
        <w:color w:val="000000"/>
        <w:sz w:val="22"/>
        <w:szCs w:val="22"/>
        <w:rtl/>
      </w:rPr>
      <w:tab/>
      <w:t xml:space="preserve"> מדינת ישראל נ' חמדה טראבין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4B0F0" w14:textId="77777777" w:rsidR="008C58C2" w:rsidRPr="008C58C2" w:rsidRDefault="008C58C2" w:rsidP="008C58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39675-11-20</w:t>
    </w:r>
    <w:r>
      <w:rPr>
        <w:rFonts w:ascii="David" w:hAnsi="David"/>
        <w:color w:val="000000"/>
        <w:sz w:val="22"/>
        <w:szCs w:val="22"/>
        <w:rtl/>
      </w:rPr>
      <w:tab/>
      <w:t xml:space="preserve"> מדינת ישראל נ' חמדה טראבין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4020"/>
    <w:rsid w:val="000A2A11"/>
    <w:rsid w:val="001B5A3B"/>
    <w:rsid w:val="00277149"/>
    <w:rsid w:val="00330F36"/>
    <w:rsid w:val="00435B23"/>
    <w:rsid w:val="0045128D"/>
    <w:rsid w:val="004A3DAA"/>
    <w:rsid w:val="00596BD0"/>
    <w:rsid w:val="008C58C2"/>
    <w:rsid w:val="00936DD4"/>
    <w:rsid w:val="00952203"/>
    <w:rsid w:val="00A31B92"/>
    <w:rsid w:val="00A92F08"/>
    <w:rsid w:val="00B20C3D"/>
    <w:rsid w:val="00E57250"/>
    <w:rsid w:val="00F17DAC"/>
    <w:rsid w:val="00F44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695DE7"/>
  <w15:chartTrackingRefBased/>
  <w15:docId w15:val="{1D5D833C-16EE-4162-BE8D-33E8DE22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402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4020"/>
    <w:pPr>
      <w:tabs>
        <w:tab w:val="center" w:pos="4153"/>
        <w:tab w:val="right" w:pos="8306"/>
      </w:tabs>
    </w:pPr>
  </w:style>
  <w:style w:type="character" w:customStyle="1" w:styleId="a4">
    <w:name w:val="כותרת עליונה תו"/>
    <w:link w:val="a3"/>
    <w:rsid w:val="00F44020"/>
    <w:rPr>
      <w:rFonts w:ascii="Times New Roman" w:eastAsia="Times New Roman" w:hAnsi="Times New Roman" w:cs="David"/>
      <w:sz w:val="24"/>
      <w:szCs w:val="24"/>
    </w:rPr>
  </w:style>
  <w:style w:type="paragraph" w:styleId="a5">
    <w:name w:val="footer"/>
    <w:basedOn w:val="a"/>
    <w:link w:val="a6"/>
    <w:rsid w:val="00F44020"/>
    <w:pPr>
      <w:tabs>
        <w:tab w:val="center" w:pos="4153"/>
        <w:tab w:val="right" w:pos="8306"/>
      </w:tabs>
    </w:pPr>
  </w:style>
  <w:style w:type="character" w:customStyle="1" w:styleId="a6">
    <w:name w:val="כותרת תחתונה תו"/>
    <w:link w:val="a5"/>
    <w:rsid w:val="00F44020"/>
    <w:rPr>
      <w:rFonts w:ascii="Times New Roman" w:eastAsia="Times New Roman" w:hAnsi="Times New Roman" w:cs="David"/>
      <w:sz w:val="24"/>
      <w:szCs w:val="24"/>
    </w:rPr>
  </w:style>
  <w:style w:type="table" w:styleId="a7">
    <w:name w:val="Table Grid"/>
    <w:basedOn w:val="a1"/>
    <w:rsid w:val="00F440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44020"/>
  </w:style>
  <w:style w:type="character" w:styleId="Hyperlink">
    <w:name w:val="Hyperlink"/>
    <w:rsid w:val="00F44020"/>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84255/220.5" TargetMode="External"/><Relationship Id="rId18" Type="http://schemas.openxmlformats.org/officeDocument/2006/relationships/hyperlink" Target="http://www.nevo.co.il/law/70301/144.a"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84255/216.5" TargetMode="External"/><Relationship Id="rId7" Type="http://schemas.openxmlformats.org/officeDocument/2006/relationships/hyperlink" Target="http://www.nevo.co.il/law/70301/63" TargetMode="External"/><Relationship Id="rId12" Type="http://schemas.openxmlformats.org/officeDocument/2006/relationships/hyperlink" Target="http://www.nevo.co.il/law/84255/216.5"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144.b2" TargetMode="External"/><Relationship Id="rId20" Type="http://schemas.openxmlformats.org/officeDocument/2006/relationships/hyperlink" Target="http://www.nevo.co.il/law/84255"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84255" TargetMode="External"/><Relationship Id="rId24"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63" TargetMode="External"/><Relationship Id="rId28" Type="http://schemas.openxmlformats.org/officeDocument/2006/relationships/footer" Target="footer1.xml"/><Relationship Id="rId10" Type="http://schemas.openxmlformats.org/officeDocument/2006/relationships/hyperlink" Target="http://www.nevo.co.il/law/70301/144.b2" TargetMode="External"/><Relationship Id="rId19" Type="http://schemas.openxmlformats.org/officeDocument/2006/relationships/hyperlink" Target="http://www.nevo.co.il/law/84255/220.5"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5824863"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1966</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11778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6684771</vt:i4>
      </vt:variant>
      <vt:variant>
        <vt:i4>51</vt:i4>
      </vt:variant>
      <vt:variant>
        <vt:i4>0</vt:i4>
      </vt:variant>
      <vt:variant>
        <vt:i4>5</vt:i4>
      </vt:variant>
      <vt:variant>
        <vt:lpwstr>http://www.nevo.co.il/law/70301/63</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4915291</vt:i4>
      </vt:variant>
      <vt:variant>
        <vt:i4>45</vt:i4>
      </vt:variant>
      <vt:variant>
        <vt:i4>0</vt:i4>
      </vt:variant>
      <vt:variant>
        <vt:i4>5</vt:i4>
      </vt:variant>
      <vt:variant>
        <vt:lpwstr>http://www.nevo.co.il/law/84255/216.5</vt:lpwstr>
      </vt:variant>
      <vt:variant>
        <vt:lpwstr/>
      </vt:variant>
      <vt:variant>
        <vt:i4>8061034</vt:i4>
      </vt:variant>
      <vt:variant>
        <vt:i4>42</vt:i4>
      </vt:variant>
      <vt:variant>
        <vt:i4>0</vt:i4>
      </vt:variant>
      <vt:variant>
        <vt:i4>5</vt:i4>
      </vt:variant>
      <vt:variant>
        <vt:lpwstr>http://www.nevo.co.il/law/84255</vt:lpwstr>
      </vt:variant>
      <vt:variant>
        <vt:lpwstr/>
      </vt:variant>
      <vt:variant>
        <vt:i4>4718685</vt:i4>
      </vt:variant>
      <vt:variant>
        <vt:i4>39</vt:i4>
      </vt:variant>
      <vt:variant>
        <vt:i4>0</vt:i4>
      </vt:variant>
      <vt:variant>
        <vt:i4>5</vt:i4>
      </vt:variant>
      <vt:variant>
        <vt:lpwstr>http://www.nevo.co.il/law/84255/220.5</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7995492</vt:i4>
      </vt:variant>
      <vt:variant>
        <vt:i4>27</vt:i4>
      </vt:variant>
      <vt:variant>
        <vt:i4>0</vt:i4>
      </vt:variant>
      <vt:variant>
        <vt:i4>5</vt:i4>
      </vt:variant>
      <vt:variant>
        <vt:lpwstr>http://www.nevo.co.il/law/70301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4718685</vt:i4>
      </vt:variant>
      <vt:variant>
        <vt:i4>21</vt:i4>
      </vt:variant>
      <vt:variant>
        <vt:i4>0</vt:i4>
      </vt:variant>
      <vt:variant>
        <vt:i4>5</vt:i4>
      </vt:variant>
      <vt:variant>
        <vt:lpwstr>http://www.nevo.co.il/law/84255/220.5</vt:lpwstr>
      </vt:variant>
      <vt:variant>
        <vt:lpwstr/>
      </vt:variant>
      <vt:variant>
        <vt:i4>4915291</vt:i4>
      </vt:variant>
      <vt:variant>
        <vt:i4>18</vt:i4>
      </vt:variant>
      <vt:variant>
        <vt:i4>0</vt:i4>
      </vt:variant>
      <vt:variant>
        <vt:i4>5</vt:i4>
      </vt:variant>
      <vt:variant>
        <vt:lpwstr>http://www.nevo.co.il/law/84255/216.5</vt:lpwstr>
      </vt:variant>
      <vt:variant>
        <vt:lpwstr/>
      </vt:variant>
      <vt:variant>
        <vt:i4>8061034</vt:i4>
      </vt:variant>
      <vt:variant>
        <vt:i4>15</vt:i4>
      </vt:variant>
      <vt:variant>
        <vt:i4>0</vt:i4>
      </vt:variant>
      <vt:variant>
        <vt:i4>5</vt:i4>
      </vt:variant>
      <vt:variant>
        <vt:lpwstr>http://www.nevo.co.il/law/84255</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6684771</vt:i4>
      </vt:variant>
      <vt:variant>
        <vt:i4>3</vt:i4>
      </vt:variant>
      <vt:variant>
        <vt:i4>0</vt:i4>
      </vt:variant>
      <vt:variant>
        <vt:i4>5</vt:i4>
      </vt:variant>
      <vt:variant>
        <vt:lpwstr>http://www.nevo.co.il/law/70301/63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2025-01-19T16:38:00Z</dcterms:created>
  <dcterms:modified xsi:type="dcterms:W3CDTF">2025-01-19T16:38:00Z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39675</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חמדה טראבין</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20220907</vt:lpwstr>
  </property>
  <property fmtid="{D5CDD505-2E9C-101B-9397-08002B2CF9AE}" pid="13" name="TYPE_N_DATE">
    <vt:lpwstr>39020220907</vt:lpwstr>
  </property>
  <property fmtid="{D5CDD505-2E9C-101B-9397-08002B2CF9AE}" pid="14" name="WORDNUMPAGES">
    <vt:lpwstr>6</vt:lpwstr>
  </property>
  <property fmtid="{D5CDD505-2E9C-101B-9397-08002B2CF9AE}" pid="15" name="TYPE_ABS_DATE">
    <vt:lpwstr>390020220907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vt:lpwstr>
  </property>
  <property fmtid="{D5CDD505-2E9C-101B-9397-08002B2CF9AE}" pid="36" name="LAWLISTTMP1">
    <vt:lpwstr>70301/144.b2:2;144.b;144.a;063</vt:lpwstr>
  </property>
  <property fmtid="{D5CDD505-2E9C-101B-9397-08002B2CF9AE}" pid="37" name="LAWLISTTMP2">
    <vt:lpwstr>84255/220.5;216.5</vt:lpwstr>
  </property>
</Properties>
</file>