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99" w:type="dxa"/>
        <w:jc w:val="center"/>
        <w:tblLook w:val="0000" w:firstRow="0" w:lastRow="0" w:firstColumn="0" w:lastColumn="0" w:noHBand="0" w:noVBand="0"/>
      </w:tblPr>
      <w:tblGrid>
        <w:gridCol w:w="5953"/>
        <w:gridCol w:w="3540"/>
        <w:gridCol w:w="6"/>
      </w:tblGrid>
      <w:tr w:rsidR="0022716A" w:rsidRPr="00ED20C3" w14:paraId="47DFE6BE" w14:textId="77777777" w:rsidTr="00B9307C">
        <w:trPr>
          <w:gridAfter w:val="1"/>
          <w:wAfter w:w="6" w:type="dxa"/>
          <w:trHeight w:hRule="exact" w:val="418"/>
          <w:jc w:val="center"/>
        </w:trPr>
        <w:tc>
          <w:tcPr>
            <w:tcW w:w="9493" w:type="dxa"/>
            <w:gridSpan w:val="2"/>
          </w:tcPr>
          <w:p w14:paraId="2BAF1ADC" w14:textId="77777777" w:rsidR="0022716A" w:rsidRPr="00ED20C3" w:rsidRDefault="0022716A" w:rsidP="00B9307C">
            <w:pPr>
              <w:pStyle w:val="a3"/>
              <w:jc w:val="center"/>
              <w:rPr>
                <w:sz w:val="32"/>
                <w:szCs w:val="32"/>
                <w:rtl/>
              </w:rPr>
            </w:pPr>
            <w:r w:rsidRPr="00ED20C3">
              <w:rPr>
                <w:rFonts w:ascii="Tahoma" w:hAnsi="Tahoma"/>
                <w:b/>
                <w:bCs/>
                <w:color w:val="000080"/>
                <w:sz w:val="32"/>
                <w:szCs w:val="32"/>
                <w:rtl/>
              </w:rPr>
              <w:t>בית המשפט המחוזי בתל אביב – יפו</w:t>
            </w:r>
          </w:p>
          <w:p w14:paraId="77A62EC7" w14:textId="77777777" w:rsidR="0022716A" w:rsidRPr="00ED20C3" w:rsidRDefault="0022716A" w:rsidP="00B9307C">
            <w:pPr>
              <w:pStyle w:val="a3"/>
              <w:jc w:val="center"/>
              <w:rPr>
                <w:rFonts w:ascii="Tahoma" w:hAnsi="Tahoma"/>
                <w:color w:val="000080"/>
                <w:sz w:val="32"/>
                <w:szCs w:val="32"/>
                <w:rtl/>
              </w:rPr>
            </w:pPr>
          </w:p>
          <w:p w14:paraId="3D5D85B9" w14:textId="77777777" w:rsidR="0022716A" w:rsidRPr="00ED20C3" w:rsidRDefault="0022716A" w:rsidP="00B9307C">
            <w:pPr>
              <w:pStyle w:val="a3"/>
              <w:jc w:val="center"/>
              <w:rPr>
                <w:rFonts w:ascii="Tahoma" w:hAnsi="Tahoma"/>
                <w:color w:val="000080"/>
                <w:sz w:val="32"/>
                <w:szCs w:val="32"/>
                <w:rtl/>
              </w:rPr>
            </w:pPr>
          </w:p>
        </w:tc>
      </w:tr>
      <w:tr w:rsidR="0022716A" w:rsidRPr="00ED20C3" w14:paraId="64B3CD12" w14:textId="77777777" w:rsidTr="00B9307C">
        <w:trPr>
          <w:trHeight w:val="567"/>
          <w:jc w:val="center"/>
        </w:trPr>
        <w:tc>
          <w:tcPr>
            <w:tcW w:w="5953" w:type="dxa"/>
          </w:tcPr>
          <w:p w14:paraId="73A3ED5F" w14:textId="77777777" w:rsidR="0022716A" w:rsidRPr="00ED20C3" w:rsidRDefault="0022716A" w:rsidP="00B9307C">
            <w:pPr>
              <w:rPr>
                <w:b/>
                <w:bCs/>
                <w:rtl/>
              </w:rPr>
            </w:pPr>
          </w:p>
          <w:p w14:paraId="72D65A5B" w14:textId="77777777" w:rsidR="0022716A" w:rsidRPr="00ED20C3" w:rsidRDefault="0022716A" w:rsidP="00B9307C">
            <w:pPr>
              <w:rPr>
                <w:b/>
                <w:bCs/>
                <w:rtl/>
              </w:rPr>
            </w:pPr>
            <w:r w:rsidRPr="00ED20C3">
              <w:rPr>
                <w:b/>
                <w:bCs/>
                <w:rtl/>
              </w:rPr>
              <w:t>ת"פ</w:t>
            </w:r>
            <w:r w:rsidRPr="00ED20C3">
              <w:rPr>
                <w:rFonts w:hint="cs"/>
                <w:b/>
                <w:bCs/>
                <w:rtl/>
              </w:rPr>
              <w:t xml:space="preserve"> </w:t>
            </w:r>
            <w:r w:rsidRPr="00ED20C3">
              <w:rPr>
                <w:b/>
                <w:bCs/>
                <w:rtl/>
              </w:rPr>
              <w:t>67454-11-20</w:t>
            </w:r>
            <w:r w:rsidRPr="00ED20C3">
              <w:rPr>
                <w:rFonts w:hint="cs"/>
                <w:b/>
                <w:bCs/>
                <w:rtl/>
              </w:rPr>
              <w:t xml:space="preserve"> </w:t>
            </w:r>
            <w:r w:rsidRPr="00ED20C3">
              <w:rPr>
                <w:b/>
                <w:bCs/>
                <w:rtl/>
              </w:rPr>
              <w:t>מדינת ישראל נ' סמוני</w:t>
            </w:r>
            <w:r w:rsidRPr="00ED20C3">
              <w:rPr>
                <w:rFonts w:hint="cs"/>
                <w:b/>
                <w:bCs/>
                <w:rtl/>
              </w:rPr>
              <w:t xml:space="preserve"> </w:t>
            </w:r>
          </w:p>
          <w:p w14:paraId="24555736" w14:textId="77777777" w:rsidR="0022716A" w:rsidRPr="00ED20C3" w:rsidRDefault="0022716A" w:rsidP="00B9307C">
            <w:pPr>
              <w:pStyle w:val="a3"/>
              <w:rPr>
                <w:rFonts w:cs="FrankRuehl"/>
                <w:b/>
                <w:bCs/>
                <w:rtl/>
              </w:rPr>
            </w:pPr>
          </w:p>
        </w:tc>
        <w:tc>
          <w:tcPr>
            <w:tcW w:w="3546" w:type="dxa"/>
            <w:gridSpan w:val="2"/>
          </w:tcPr>
          <w:p w14:paraId="78FF79B9" w14:textId="77777777" w:rsidR="0022716A" w:rsidRPr="00ED20C3" w:rsidRDefault="0022716A" w:rsidP="00B9307C">
            <w:pPr>
              <w:pStyle w:val="a3"/>
              <w:jc w:val="right"/>
              <w:rPr>
                <w:rFonts w:cs="FrankRuehl"/>
                <w:b/>
                <w:bCs/>
                <w:rtl/>
              </w:rPr>
            </w:pPr>
          </w:p>
          <w:p w14:paraId="7BED9681" w14:textId="77777777" w:rsidR="0022716A" w:rsidRPr="00ED20C3" w:rsidRDefault="0022716A" w:rsidP="00B9307C">
            <w:pPr>
              <w:pStyle w:val="a3"/>
              <w:jc w:val="right"/>
              <w:rPr>
                <w:rFonts w:cs="FrankRuehl"/>
                <w:b/>
                <w:bCs/>
                <w:rtl/>
              </w:rPr>
            </w:pPr>
            <w:r w:rsidRPr="00ED20C3">
              <w:rPr>
                <w:rFonts w:cs="FrankRuehl" w:hint="cs"/>
                <w:b/>
                <w:bCs/>
                <w:rtl/>
              </w:rPr>
              <w:t>12 אוגוסט 2021</w:t>
            </w:r>
          </w:p>
        </w:tc>
      </w:tr>
    </w:tbl>
    <w:p w14:paraId="60CF0F44" w14:textId="77777777" w:rsidR="0022716A" w:rsidRPr="00ED20C3" w:rsidRDefault="0022716A" w:rsidP="0022716A">
      <w:pPr>
        <w:pStyle w:val="a3"/>
        <w:rPr>
          <w:rtl/>
        </w:rPr>
      </w:pPr>
      <w:r w:rsidRPr="00ED20C3">
        <w:rPr>
          <w:rFonts w:hint="cs"/>
          <w:rtl/>
        </w:rPr>
        <w:t xml:space="preserve"> </w:t>
      </w:r>
    </w:p>
    <w:p w14:paraId="02899AD8" w14:textId="77777777" w:rsidR="0022716A" w:rsidRPr="00ED20C3" w:rsidRDefault="0022716A" w:rsidP="0022716A">
      <w:pPr>
        <w:rPr>
          <w:rFonts w:ascii="Arial" w:hAnsi="Arial"/>
          <w:rtl/>
        </w:rPr>
      </w:pPr>
    </w:p>
    <w:p w14:paraId="7405FC99" w14:textId="77777777" w:rsidR="0022716A" w:rsidRPr="00ED20C3" w:rsidRDefault="0022716A" w:rsidP="0022716A">
      <w:pPr>
        <w:rPr>
          <w:rFonts w:ascii="Arial" w:hAnsi="Arial"/>
          <w:rtl/>
        </w:rPr>
      </w:pPr>
    </w:p>
    <w:tbl>
      <w:tblPr>
        <w:bidiVisual/>
        <w:tblW w:w="8359" w:type="dxa"/>
        <w:tblInd w:w="415" w:type="dxa"/>
        <w:tblLook w:val="01E0" w:firstRow="1" w:lastRow="1" w:firstColumn="1" w:lastColumn="1" w:noHBand="0" w:noVBand="0"/>
      </w:tblPr>
      <w:tblGrid>
        <w:gridCol w:w="2437"/>
        <w:gridCol w:w="5866"/>
        <w:gridCol w:w="56"/>
      </w:tblGrid>
      <w:tr w:rsidR="0022716A" w:rsidRPr="00ED20C3" w14:paraId="5410DDAC" w14:textId="77777777" w:rsidTr="0022716A">
        <w:trPr>
          <w:gridAfter w:val="1"/>
          <w:wAfter w:w="56" w:type="dxa"/>
        </w:trPr>
        <w:tc>
          <w:tcPr>
            <w:tcW w:w="8303" w:type="dxa"/>
            <w:gridSpan w:val="2"/>
            <w:shd w:val="clear" w:color="auto" w:fill="auto"/>
          </w:tcPr>
          <w:p w14:paraId="24B87944" w14:textId="77777777" w:rsidR="0022716A" w:rsidRPr="00ED20C3" w:rsidRDefault="0022716A" w:rsidP="0022716A">
            <w:pPr>
              <w:spacing w:line="360" w:lineRule="auto"/>
              <w:jc w:val="both"/>
              <w:rPr>
                <w:rStyle w:val="TimesNewRomanTimesNewRoman"/>
              </w:rPr>
            </w:pPr>
            <w:r w:rsidRPr="00ED20C3">
              <w:rPr>
                <w:b/>
                <w:bCs/>
                <w:rtl/>
              </w:rPr>
              <w:t>לפני כבוד השופט בני שגיא, סגן נשיא</w:t>
            </w:r>
            <w:r w:rsidRPr="00ED20C3">
              <w:rPr>
                <w:rStyle w:val="TimesNewRomanTimesNewRoman"/>
                <w:rtl/>
              </w:rPr>
              <w:t xml:space="preserve"> </w:t>
            </w:r>
          </w:p>
        </w:tc>
      </w:tr>
      <w:tr w:rsidR="0022716A" w:rsidRPr="00ED20C3" w14:paraId="7F03B790" w14:textId="77777777" w:rsidTr="0022716A">
        <w:trPr>
          <w:cantSplit/>
          <w:trHeight w:val="724"/>
        </w:trPr>
        <w:tc>
          <w:tcPr>
            <w:tcW w:w="2437" w:type="dxa"/>
            <w:shd w:val="clear" w:color="auto" w:fill="auto"/>
          </w:tcPr>
          <w:p w14:paraId="261503A0" w14:textId="77777777" w:rsidR="0022716A" w:rsidRPr="00ED20C3" w:rsidRDefault="0022716A" w:rsidP="0022716A">
            <w:pPr>
              <w:ind w:left="26"/>
              <w:jc w:val="right"/>
              <w:rPr>
                <w:b/>
                <w:bCs/>
                <w:rtl/>
              </w:rPr>
            </w:pPr>
            <w:bookmarkStart w:id="0" w:name="FirstAppellant"/>
            <w:bookmarkStart w:id="1" w:name="FirstLawyer"/>
            <w:bookmarkStart w:id="2" w:name="LastJudge"/>
            <w:bookmarkEnd w:id="2"/>
          </w:p>
          <w:p w14:paraId="0F38D96F" w14:textId="77777777" w:rsidR="0022716A" w:rsidRPr="00ED20C3" w:rsidRDefault="0022716A" w:rsidP="0022716A">
            <w:pPr>
              <w:ind w:left="26"/>
              <w:rPr>
                <w:b/>
                <w:bCs/>
                <w:rtl/>
              </w:rPr>
            </w:pPr>
            <w:r w:rsidRPr="00ED20C3">
              <w:rPr>
                <w:b/>
                <w:bCs/>
                <w:rtl/>
              </w:rPr>
              <w:t>המאשימה:</w:t>
            </w:r>
          </w:p>
        </w:tc>
        <w:tc>
          <w:tcPr>
            <w:tcW w:w="5922" w:type="dxa"/>
            <w:gridSpan w:val="2"/>
            <w:shd w:val="clear" w:color="auto" w:fill="auto"/>
          </w:tcPr>
          <w:p w14:paraId="12FA35AB" w14:textId="77777777" w:rsidR="0022716A" w:rsidRPr="00ED20C3" w:rsidRDefault="0022716A" w:rsidP="0022716A">
            <w:pPr>
              <w:jc w:val="right"/>
              <w:rPr>
                <w:rtl/>
              </w:rPr>
            </w:pPr>
          </w:p>
          <w:p w14:paraId="23E99965" w14:textId="77777777" w:rsidR="0022716A" w:rsidRPr="00ED20C3" w:rsidRDefault="0022716A" w:rsidP="0022716A">
            <w:pPr>
              <w:spacing w:line="360" w:lineRule="auto"/>
              <w:rPr>
                <w:rtl/>
              </w:rPr>
            </w:pPr>
            <w:r w:rsidRPr="00ED20C3">
              <w:rPr>
                <w:rtl/>
              </w:rPr>
              <w:t xml:space="preserve"> </w:t>
            </w:r>
            <w:r w:rsidRPr="00ED20C3">
              <w:rPr>
                <w:b/>
                <w:bCs/>
                <w:rtl/>
              </w:rPr>
              <w:t>מדינת ישראל</w:t>
            </w:r>
          </w:p>
          <w:p w14:paraId="53AE7AFA" w14:textId="77777777" w:rsidR="0022716A" w:rsidRPr="00ED20C3" w:rsidRDefault="0022716A" w:rsidP="0022716A">
            <w:pPr>
              <w:spacing w:line="360" w:lineRule="auto"/>
              <w:rPr>
                <w:rtl/>
              </w:rPr>
            </w:pPr>
            <w:r w:rsidRPr="00ED20C3">
              <w:rPr>
                <w:rtl/>
              </w:rPr>
              <w:t xml:space="preserve">על-ידי ב"כ עו"ד </w:t>
            </w:r>
            <w:r w:rsidRPr="00ED20C3">
              <w:rPr>
                <w:rFonts w:hint="cs"/>
                <w:rtl/>
              </w:rPr>
              <w:t>ענת בן זאב</w:t>
            </w:r>
            <w:r w:rsidRPr="00ED20C3">
              <w:rPr>
                <w:rtl/>
              </w:rPr>
              <w:t xml:space="preserve"> ועו"ד שלי קוטין</w:t>
            </w:r>
          </w:p>
          <w:p w14:paraId="67B0A701" w14:textId="77777777" w:rsidR="0022716A" w:rsidRPr="00ED20C3" w:rsidRDefault="0022716A" w:rsidP="0022716A">
            <w:pPr>
              <w:jc w:val="right"/>
              <w:rPr>
                <w:b/>
                <w:bCs/>
                <w:rtl/>
              </w:rPr>
            </w:pPr>
          </w:p>
        </w:tc>
      </w:tr>
      <w:bookmarkEnd w:id="0"/>
      <w:bookmarkEnd w:id="1"/>
      <w:tr w:rsidR="0022716A" w:rsidRPr="00ED20C3" w14:paraId="5B0EC4F1" w14:textId="77777777" w:rsidTr="0022716A">
        <w:tc>
          <w:tcPr>
            <w:tcW w:w="8359" w:type="dxa"/>
            <w:gridSpan w:val="3"/>
            <w:shd w:val="clear" w:color="auto" w:fill="auto"/>
            <w:vAlign w:val="center"/>
          </w:tcPr>
          <w:p w14:paraId="4CA60639" w14:textId="77777777" w:rsidR="0022716A" w:rsidRPr="00ED20C3" w:rsidRDefault="0022716A" w:rsidP="0022716A">
            <w:pPr>
              <w:jc w:val="center"/>
              <w:rPr>
                <w:rFonts w:ascii="Arial" w:hAnsi="Arial"/>
                <w:b/>
                <w:bCs/>
                <w:rtl/>
              </w:rPr>
            </w:pPr>
            <w:r w:rsidRPr="00ED20C3">
              <w:rPr>
                <w:rFonts w:ascii="Arial" w:hAnsi="Arial"/>
                <w:b/>
                <w:bCs/>
                <w:rtl/>
              </w:rPr>
              <w:t>נגד</w:t>
            </w:r>
          </w:p>
          <w:p w14:paraId="18499CBD" w14:textId="77777777" w:rsidR="0022716A" w:rsidRPr="00ED20C3" w:rsidRDefault="0022716A" w:rsidP="0022716A">
            <w:pPr>
              <w:jc w:val="right"/>
              <w:rPr>
                <w:rFonts w:ascii="Arial" w:hAnsi="Arial"/>
                <w:b/>
                <w:bCs/>
                <w:rtl/>
              </w:rPr>
            </w:pPr>
          </w:p>
        </w:tc>
      </w:tr>
      <w:tr w:rsidR="0022716A" w:rsidRPr="00ED20C3" w14:paraId="67D62CEC" w14:textId="77777777" w:rsidTr="0022716A">
        <w:tc>
          <w:tcPr>
            <w:tcW w:w="2437" w:type="dxa"/>
            <w:shd w:val="clear" w:color="auto" w:fill="auto"/>
          </w:tcPr>
          <w:p w14:paraId="60A639ED" w14:textId="77777777" w:rsidR="0022716A" w:rsidRPr="00ED20C3" w:rsidRDefault="0022716A" w:rsidP="0022716A">
            <w:pPr>
              <w:ind w:left="26"/>
              <w:rPr>
                <w:b/>
                <w:bCs/>
                <w:rtl/>
              </w:rPr>
            </w:pPr>
            <w:r w:rsidRPr="00ED20C3">
              <w:rPr>
                <w:b/>
                <w:bCs/>
                <w:rtl/>
              </w:rPr>
              <w:t>הנאשם:</w:t>
            </w:r>
          </w:p>
        </w:tc>
        <w:tc>
          <w:tcPr>
            <w:tcW w:w="5922" w:type="dxa"/>
            <w:gridSpan w:val="2"/>
            <w:shd w:val="clear" w:color="auto" w:fill="auto"/>
          </w:tcPr>
          <w:p w14:paraId="640913E9" w14:textId="77777777" w:rsidR="0022716A" w:rsidRPr="00ED20C3" w:rsidRDefault="0022716A" w:rsidP="0022716A">
            <w:pPr>
              <w:spacing w:line="360" w:lineRule="auto"/>
              <w:rPr>
                <w:rtl/>
              </w:rPr>
            </w:pPr>
            <w:r w:rsidRPr="00ED20C3">
              <w:rPr>
                <w:rFonts w:hint="cs"/>
                <w:b/>
                <w:bCs/>
                <w:rtl/>
              </w:rPr>
              <w:t xml:space="preserve">סמי סמוני ת.ז. </w:t>
            </w:r>
            <w:r w:rsidR="00ED20C3">
              <w:rPr>
                <w:b/>
                <w:bCs/>
              </w:rPr>
              <w:t>xxxxxxxxx</w:t>
            </w:r>
          </w:p>
          <w:p w14:paraId="4B4DB12E" w14:textId="77777777" w:rsidR="0022716A" w:rsidRPr="00ED20C3" w:rsidRDefault="0022716A" w:rsidP="0022716A">
            <w:pPr>
              <w:spacing w:line="360" w:lineRule="auto"/>
              <w:rPr>
                <w:rtl/>
              </w:rPr>
            </w:pPr>
            <w:r w:rsidRPr="00ED20C3">
              <w:rPr>
                <w:rtl/>
              </w:rPr>
              <w:t xml:space="preserve">על-ידי ב"כ עו"ד </w:t>
            </w:r>
            <w:r w:rsidRPr="00ED20C3">
              <w:rPr>
                <w:rFonts w:hint="cs"/>
                <w:rtl/>
              </w:rPr>
              <w:t>מחמוד נעאמנה</w:t>
            </w:r>
          </w:p>
          <w:p w14:paraId="7E92FBE3" w14:textId="77777777" w:rsidR="0022716A" w:rsidRPr="00ED20C3" w:rsidRDefault="0022716A" w:rsidP="0022716A">
            <w:pPr>
              <w:jc w:val="right"/>
              <w:rPr>
                <w:b/>
                <w:bCs/>
                <w:rtl/>
              </w:rPr>
            </w:pPr>
          </w:p>
        </w:tc>
      </w:tr>
    </w:tbl>
    <w:p w14:paraId="1E864482" w14:textId="77777777" w:rsidR="0022716A" w:rsidRPr="00ED20C3" w:rsidRDefault="0022716A" w:rsidP="0022716A">
      <w:pPr>
        <w:rPr>
          <w:rFonts w:ascii="Arial" w:hAnsi="Arial"/>
          <w:rtl/>
        </w:rPr>
      </w:pPr>
    </w:p>
    <w:p w14:paraId="1FFF02D9" w14:textId="77777777" w:rsidR="00164ECF" w:rsidRDefault="00164ECF" w:rsidP="0022716A">
      <w:pPr>
        <w:rPr>
          <w:rFonts w:ascii="Arial" w:hAnsi="Arial"/>
          <w:rtl/>
        </w:rPr>
      </w:pPr>
    </w:p>
    <w:p w14:paraId="151D0D96" w14:textId="77777777" w:rsidR="00164ECF" w:rsidRPr="00164ECF" w:rsidRDefault="00164ECF" w:rsidP="00164ECF">
      <w:pPr>
        <w:spacing w:after="120" w:line="240" w:lineRule="exact"/>
        <w:ind w:left="283" w:hanging="283"/>
        <w:jc w:val="both"/>
        <w:rPr>
          <w:rFonts w:ascii="FrankRuehl" w:hAnsi="FrankRuehl" w:cs="FrankRuehl"/>
          <w:rtl/>
        </w:rPr>
      </w:pPr>
    </w:p>
    <w:p w14:paraId="169EE34D" w14:textId="77777777" w:rsidR="00D84CC4" w:rsidRDefault="00D84CC4" w:rsidP="00D84CC4">
      <w:pPr>
        <w:jc w:val="center"/>
        <w:rPr>
          <w:rFonts w:ascii="Arial" w:hAnsi="Arial"/>
          <w:sz w:val="30"/>
          <w:szCs w:val="30"/>
          <w:rtl/>
        </w:rPr>
      </w:pPr>
      <w:bookmarkStart w:id="3" w:name="LawTable"/>
      <w:bookmarkEnd w:id="3"/>
    </w:p>
    <w:p w14:paraId="6882B01A" w14:textId="77777777" w:rsidR="00D84CC4" w:rsidRPr="00D84CC4" w:rsidRDefault="00D84CC4" w:rsidP="00D84CC4">
      <w:pPr>
        <w:spacing w:before="120" w:after="120" w:line="240" w:lineRule="exact"/>
        <w:ind w:left="283" w:hanging="283"/>
        <w:jc w:val="both"/>
        <w:rPr>
          <w:rFonts w:ascii="FrankRuehl" w:hAnsi="FrankRuehl" w:cs="FrankRuehl"/>
          <w:rtl/>
        </w:rPr>
      </w:pPr>
    </w:p>
    <w:p w14:paraId="78AAB8F2" w14:textId="77777777" w:rsidR="00D84CC4" w:rsidRPr="00D84CC4" w:rsidRDefault="00D84CC4" w:rsidP="00D84CC4">
      <w:pPr>
        <w:spacing w:before="120" w:after="120" w:line="240" w:lineRule="exact"/>
        <w:ind w:left="283" w:hanging="283"/>
        <w:jc w:val="both"/>
        <w:rPr>
          <w:rFonts w:ascii="FrankRuehl" w:hAnsi="FrankRuehl" w:cs="FrankRuehl"/>
          <w:rtl/>
        </w:rPr>
      </w:pPr>
    </w:p>
    <w:p w14:paraId="48862482" w14:textId="77777777" w:rsidR="00D84CC4" w:rsidRPr="00D84CC4" w:rsidRDefault="00D84CC4" w:rsidP="00D84CC4">
      <w:pPr>
        <w:spacing w:before="120" w:after="120" w:line="240" w:lineRule="exact"/>
        <w:ind w:left="283" w:hanging="283"/>
        <w:jc w:val="both"/>
        <w:rPr>
          <w:rFonts w:ascii="FrankRuehl" w:hAnsi="FrankRuehl" w:cs="FrankRuehl"/>
          <w:rtl/>
        </w:rPr>
      </w:pPr>
      <w:r w:rsidRPr="00D84CC4">
        <w:rPr>
          <w:rFonts w:ascii="FrankRuehl" w:hAnsi="FrankRuehl" w:cs="FrankRuehl"/>
          <w:rtl/>
        </w:rPr>
        <w:t xml:space="preserve">חקיקה שאוזכרה: </w:t>
      </w:r>
    </w:p>
    <w:p w14:paraId="5D336E29" w14:textId="77777777" w:rsidR="00D84CC4" w:rsidRPr="00D84CC4" w:rsidRDefault="00D84CC4" w:rsidP="00D84CC4">
      <w:pPr>
        <w:spacing w:before="120" w:after="120" w:line="240" w:lineRule="exact"/>
        <w:ind w:left="283" w:hanging="283"/>
        <w:jc w:val="both"/>
        <w:rPr>
          <w:rFonts w:ascii="FrankRuehl" w:hAnsi="FrankRuehl" w:cs="FrankRuehl"/>
          <w:rtl/>
        </w:rPr>
      </w:pPr>
      <w:hyperlink r:id="rId7" w:history="1">
        <w:r w:rsidRPr="00D84CC4">
          <w:rPr>
            <w:rFonts w:ascii="FrankRuehl" w:hAnsi="FrankRuehl" w:cs="FrankRuehl"/>
            <w:color w:val="0000FF"/>
            <w:rtl/>
          </w:rPr>
          <w:t>חוק העונשין, תשל"ז-1977</w:t>
        </w:r>
      </w:hyperlink>
      <w:r w:rsidRPr="00D84CC4">
        <w:rPr>
          <w:rFonts w:ascii="FrankRuehl" w:hAnsi="FrankRuehl" w:cs="FrankRuehl"/>
          <w:rtl/>
        </w:rPr>
        <w:t xml:space="preserve">: סע'  </w:t>
      </w:r>
      <w:hyperlink r:id="rId8" w:history="1">
        <w:r w:rsidRPr="00D84CC4">
          <w:rPr>
            <w:rFonts w:ascii="FrankRuehl" w:hAnsi="FrankRuehl" w:cs="FrankRuehl"/>
            <w:color w:val="0000FF"/>
            <w:rtl/>
          </w:rPr>
          <w:t>144(א)</w:t>
        </w:r>
      </w:hyperlink>
      <w:r w:rsidRPr="00D84CC4">
        <w:rPr>
          <w:rFonts w:ascii="FrankRuehl" w:hAnsi="FrankRuehl" w:cs="FrankRuehl"/>
          <w:rtl/>
        </w:rPr>
        <w:t xml:space="preserve">, </w:t>
      </w:r>
      <w:hyperlink r:id="rId9" w:history="1">
        <w:r w:rsidRPr="00D84CC4">
          <w:rPr>
            <w:rFonts w:ascii="FrankRuehl" w:hAnsi="FrankRuehl" w:cs="FrankRuehl"/>
            <w:color w:val="0000FF"/>
            <w:rtl/>
          </w:rPr>
          <w:t>340א(ב)(1)</w:t>
        </w:r>
      </w:hyperlink>
    </w:p>
    <w:p w14:paraId="1915FA0E" w14:textId="77777777" w:rsidR="00D84CC4" w:rsidRPr="00D84CC4" w:rsidRDefault="00D84CC4" w:rsidP="00D84CC4">
      <w:pPr>
        <w:jc w:val="center"/>
        <w:rPr>
          <w:rFonts w:ascii="Arial" w:hAnsi="Arial"/>
          <w:sz w:val="30"/>
          <w:szCs w:val="30"/>
          <w:rtl/>
        </w:rPr>
      </w:pPr>
      <w:bookmarkStart w:id="4" w:name="LawTable_End"/>
      <w:bookmarkEnd w:id="4"/>
    </w:p>
    <w:p w14:paraId="7B26B8C9" w14:textId="77777777" w:rsidR="00ED20C3" w:rsidRPr="00ED20C3" w:rsidRDefault="00ED20C3" w:rsidP="0022716A">
      <w:pPr>
        <w:jc w:val="center"/>
        <w:rPr>
          <w:rFonts w:ascii="Arial" w:hAnsi="Arial"/>
          <w:b/>
          <w:bCs/>
          <w:sz w:val="30"/>
          <w:szCs w:val="30"/>
          <w:rtl/>
        </w:rPr>
      </w:pPr>
    </w:p>
    <w:p w14:paraId="178BDEB9" w14:textId="77777777" w:rsidR="00ED20C3" w:rsidRPr="00ED20C3" w:rsidRDefault="00ED20C3" w:rsidP="00ED20C3">
      <w:pPr>
        <w:spacing w:line="360" w:lineRule="auto"/>
        <w:jc w:val="center"/>
        <w:rPr>
          <w:rFonts w:ascii="Arial" w:hAnsi="Arial"/>
          <w:b/>
          <w:bCs/>
          <w:sz w:val="30"/>
          <w:szCs w:val="30"/>
          <w:u w:val="single"/>
          <w:rtl/>
        </w:rPr>
      </w:pPr>
      <w:bookmarkStart w:id="5" w:name="PsakDin"/>
      <w:r w:rsidRPr="00ED20C3">
        <w:rPr>
          <w:rFonts w:ascii="Arial" w:hAnsi="Arial"/>
          <w:b/>
          <w:bCs/>
          <w:sz w:val="30"/>
          <w:szCs w:val="30"/>
          <w:u w:val="single"/>
          <w:rtl/>
        </w:rPr>
        <w:t>גזר דין</w:t>
      </w:r>
    </w:p>
    <w:bookmarkEnd w:id="5"/>
    <w:p w14:paraId="6BEC21AB" w14:textId="77777777" w:rsidR="0022716A" w:rsidRDefault="0022716A" w:rsidP="0022716A">
      <w:pPr>
        <w:spacing w:line="360" w:lineRule="auto"/>
        <w:rPr>
          <w:rFonts w:ascii="Arial" w:hAnsi="Arial"/>
          <w:rtl/>
        </w:rPr>
      </w:pPr>
    </w:p>
    <w:p w14:paraId="5CD47B61" w14:textId="77777777" w:rsidR="0022716A" w:rsidRDefault="0022716A" w:rsidP="0022716A">
      <w:pPr>
        <w:spacing w:before="240" w:after="240" w:line="360" w:lineRule="auto"/>
        <w:ind w:firstLine="360"/>
        <w:jc w:val="both"/>
        <w:rPr>
          <w:rFonts w:ascii="Arial" w:hAnsi="Arial"/>
          <w:rtl/>
        </w:rPr>
      </w:pPr>
      <w:r>
        <w:rPr>
          <w:rFonts w:ascii="Arial" w:hAnsi="Arial"/>
          <w:u w:val="single"/>
          <w:rtl/>
        </w:rPr>
        <w:t>כללי</w:t>
      </w:r>
    </w:p>
    <w:p w14:paraId="5E8E258F" w14:textId="77777777" w:rsidR="0022716A" w:rsidRDefault="0022716A" w:rsidP="0022716A">
      <w:pPr>
        <w:pStyle w:val="a9"/>
        <w:numPr>
          <w:ilvl w:val="0"/>
          <w:numId w:val="1"/>
        </w:numPr>
        <w:spacing w:before="240" w:after="240" w:line="360" w:lineRule="auto"/>
        <w:contextualSpacing w:val="0"/>
        <w:jc w:val="both"/>
        <w:rPr>
          <w:rtl/>
        </w:rPr>
      </w:pPr>
      <w:bookmarkStart w:id="6" w:name="ABSTRACT_START"/>
      <w:bookmarkEnd w:id="6"/>
      <w:r>
        <w:rPr>
          <w:rtl/>
        </w:rPr>
        <w:t xml:space="preserve">הנאשם הורשע על יסוד הודאתו, במסגרת הסדר טיעון, בעבירה של החזקת נשק לפי </w:t>
      </w:r>
      <w:hyperlink r:id="rId10" w:history="1">
        <w:r w:rsidR="00164ECF" w:rsidRPr="00164ECF">
          <w:rPr>
            <w:rStyle w:val="Hyperlink"/>
            <w:rtl/>
          </w:rPr>
          <w:t>סעיף 144(א)</w:t>
        </w:r>
      </w:hyperlink>
      <w:r>
        <w:rPr>
          <w:rtl/>
        </w:rPr>
        <w:t xml:space="preserve"> ל</w:t>
      </w:r>
      <w:hyperlink r:id="rId11" w:history="1">
        <w:r w:rsidR="00ED20C3" w:rsidRPr="00ED20C3">
          <w:rPr>
            <w:color w:val="0000FF"/>
            <w:u w:val="single"/>
            <w:rtl/>
          </w:rPr>
          <w:t>חוק העונשין</w:t>
        </w:r>
      </w:hyperlink>
      <w:r>
        <w:rPr>
          <w:rtl/>
        </w:rPr>
        <w:t xml:space="preserve"> (להלן - </w:t>
      </w:r>
      <w:r w:rsidRPr="006D0C21">
        <w:rPr>
          <w:bCs/>
          <w:rtl/>
        </w:rPr>
        <w:t>חוק העונשין</w:t>
      </w:r>
      <w:r>
        <w:rPr>
          <w:rtl/>
        </w:rPr>
        <w:t xml:space="preserve"> או </w:t>
      </w:r>
      <w:r w:rsidRPr="006D0C21">
        <w:rPr>
          <w:bCs/>
          <w:rtl/>
        </w:rPr>
        <w:t>החוק</w:t>
      </w:r>
      <w:r>
        <w:rPr>
          <w:rtl/>
        </w:rPr>
        <w:t xml:space="preserve">) ועבירה של ירי בנשק חם באזור מגורים לפי </w:t>
      </w:r>
      <w:hyperlink r:id="rId12" w:history="1">
        <w:r w:rsidR="00164ECF" w:rsidRPr="00164ECF">
          <w:rPr>
            <w:rStyle w:val="Hyperlink"/>
            <w:rtl/>
          </w:rPr>
          <w:t>סעיף 340א(ב)(1)</w:t>
        </w:r>
      </w:hyperlink>
      <w:r>
        <w:rPr>
          <w:rtl/>
        </w:rPr>
        <w:t xml:space="preserve"> לחוק. </w:t>
      </w:r>
      <w:r>
        <w:rPr>
          <w:rFonts w:hint="cs"/>
          <w:rtl/>
        </w:rPr>
        <w:t xml:space="preserve">הצדדים לא הגיעו להסכמה לעניין העונש, </w:t>
      </w:r>
      <w:r>
        <w:rPr>
          <w:rtl/>
        </w:rPr>
        <w:t xml:space="preserve">ובהקשר זה </w:t>
      </w:r>
      <w:r>
        <w:rPr>
          <w:rFonts w:hint="cs"/>
          <w:rtl/>
        </w:rPr>
        <w:t>כל צד טען</w:t>
      </w:r>
      <w:r>
        <w:rPr>
          <w:rtl/>
        </w:rPr>
        <w:t xml:space="preserve"> על-פי מיטב שיקול דעת</w:t>
      </w:r>
      <w:r>
        <w:rPr>
          <w:rFonts w:hint="cs"/>
          <w:rtl/>
        </w:rPr>
        <w:t>ו</w:t>
      </w:r>
      <w:r>
        <w:rPr>
          <w:rtl/>
        </w:rPr>
        <w:t>.</w:t>
      </w:r>
      <w:r>
        <w:rPr>
          <w:rFonts w:hint="cs"/>
          <w:rtl/>
        </w:rPr>
        <w:t xml:space="preserve"> </w:t>
      </w:r>
    </w:p>
    <w:p w14:paraId="0E43B951" w14:textId="77777777" w:rsidR="0022716A" w:rsidRDefault="0022716A" w:rsidP="0022716A">
      <w:pPr>
        <w:pStyle w:val="a9"/>
        <w:numPr>
          <w:ilvl w:val="0"/>
          <w:numId w:val="1"/>
        </w:numPr>
        <w:spacing w:before="240" w:after="240" w:line="360" w:lineRule="auto"/>
        <w:ind w:left="357"/>
        <w:contextualSpacing w:val="0"/>
        <w:jc w:val="both"/>
      </w:pPr>
      <w:bookmarkStart w:id="7" w:name="ABSTRACT_END"/>
      <w:bookmarkEnd w:id="7"/>
      <w:r>
        <w:rPr>
          <w:rtl/>
        </w:rPr>
        <w:t xml:space="preserve">על-פי עובדות כתב האישום המתוקן, הנאשם מתגורר יחד עם אחרים </w:t>
      </w:r>
      <w:r>
        <w:rPr>
          <w:rFonts w:hint="cs"/>
          <w:rtl/>
        </w:rPr>
        <w:t xml:space="preserve">(להלן - </w:t>
      </w:r>
      <w:r>
        <w:rPr>
          <w:rFonts w:hint="cs"/>
          <w:b/>
          <w:bCs/>
          <w:rtl/>
        </w:rPr>
        <w:t xml:space="preserve">האחרים </w:t>
      </w:r>
      <w:r>
        <w:rPr>
          <w:rFonts w:hint="cs"/>
          <w:rtl/>
        </w:rPr>
        <w:t xml:space="preserve">או </w:t>
      </w:r>
      <w:r>
        <w:rPr>
          <w:rFonts w:hint="cs"/>
          <w:b/>
          <w:bCs/>
          <w:rtl/>
        </w:rPr>
        <w:t>המתלוננים</w:t>
      </w:r>
      <w:r>
        <w:rPr>
          <w:rFonts w:hint="cs"/>
          <w:rtl/>
        </w:rPr>
        <w:t xml:space="preserve">) </w:t>
      </w:r>
      <w:r>
        <w:rPr>
          <w:rtl/>
        </w:rPr>
        <w:t xml:space="preserve">במתחם בתים משותף בתל-אביב. בין המתגוררים המתחם המשותף נתגלע סכסוך שעניינו התקנת מצלמות אבטחה. במסגרת הסכסוך, דרשו האחרים להסיר את מצלמת האבטחה שהותקנה בשער הכניסה לחצר ביתה של אחת המתלוננות. ביום 3.11.2020 נתלשה מצלמת האבטחה ממקומה בדרך שאינה ידועה לתביעה. בעקבות כך, ובהמשך לסכסוך, החל במתחם ויכוח קולני שהתפתח לתגרה אלימה. בסמוך לכך הנאשם, שהחזיק אקדח חצי אוטומטי מסוג "גלוק", עמד על גג הבית של הוריו, כיוון את האקדח כלפי מעלה וירה מספר יריות באזור </w:t>
      </w:r>
      <w:r>
        <w:rPr>
          <w:rFonts w:hint="cs"/>
          <w:rtl/>
        </w:rPr>
        <w:t>ה</w:t>
      </w:r>
      <w:r>
        <w:rPr>
          <w:rtl/>
        </w:rPr>
        <w:t xml:space="preserve">מגורים </w:t>
      </w:r>
      <w:r>
        <w:rPr>
          <w:rFonts w:hint="cs"/>
          <w:rtl/>
        </w:rPr>
        <w:t>ה</w:t>
      </w:r>
      <w:r>
        <w:rPr>
          <w:rtl/>
        </w:rPr>
        <w:t xml:space="preserve">צפוף. בהמשך, עת עמד במרחק מטרים ספורים מהמתלוננים, כיוון הנאשם את האקדח כלפי מעלה </w:t>
      </w:r>
      <w:r>
        <w:rPr>
          <w:rtl/>
        </w:rPr>
        <w:lastRenderedPageBreak/>
        <w:t>וירה פעם נוספת, באופן שיש בו כדי לסכן חיי אדם, בעודו מאיים על המתלוננים כי יהרוג אותם. כאשר אחת המתלוננות הזעיקה את כוחות המשטרה, נמלט הנאשם מן המקום תוך שהסליק את הנשק על גג בית סמוך למקום האירוע.</w:t>
      </w:r>
    </w:p>
    <w:p w14:paraId="57290E26" w14:textId="77777777" w:rsidR="0022716A" w:rsidRDefault="0022716A" w:rsidP="0022716A">
      <w:pPr>
        <w:pStyle w:val="a9"/>
        <w:spacing w:before="240" w:after="240" w:line="360" w:lineRule="auto"/>
        <w:ind w:left="357"/>
        <w:contextualSpacing w:val="0"/>
        <w:jc w:val="both"/>
        <w:rPr>
          <w:rtl/>
        </w:rPr>
      </w:pPr>
      <w:r>
        <w:rPr>
          <w:rtl/>
        </w:rPr>
        <w:t>על בסיס האמור לעיל הורשע הנאשם, כאמור, בעבירה של החזקת נשק וירי בנשק חם באזור מגורים.</w:t>
      </w:r>
    </w:p>
    <w:p w14:paraId="5D10AAB5" w14:textId="77777777" w:rsidR="0022716A" w:rsidRDefault="0022716A" w:rsidP="0022716A">
      <w:pPr>
        <w:pStyle w:val="a9"/>
        <w:spacing w:before="240" w:after="240" w:line="360" w:lineRule="auto"/>
        <w:ind w:left="357"/>
        <w:contextualSpacing w:val="0"/>
        <w:jc w:val="both"/>
        <w:rPr>
          <w:rtl/>
        </w:rPr>
      </w:pPr>
      <w:r>
        <w:rPr>
          <w:rFonts w:hint="cs"/>
          <w:u w:val="single"/>
          <w:rtl/>
        </w:rPr>
        <w:t>ראיות לעונש</w:t>
      </w:r>
    </w:p>
    <w:p w14:paraId="6371D8F7" w14:textId="77777777" w:rsidR="0022716A" w:rsidRDefault="0022716A" w:rsidP="0022716A">
      <w:pPr>
        <w:pStyle w:val="a9"/>
        <w:numPr>
          <w:ilvl w:val="0"/>
          <w:numId w:val="1"/>
        </w:numPr>
        <w:spacing w:before="240" w:after="240" w:line="360" w:lineRule="auto"/>
        <w:ind w:left="357" w:hanging="357"/>
        <w:contextualSpacing w:val="0"/>
        <w:jc w:val="both"/>
      </w:pPr>
      <w:r>
        <w:rPr>
          <w:rtl/>
        </w:rPr>
        <w:t xml:space="preserve">מטעם </w:t>
      </w:r>
      <w:r w:rsidRPr="00B87D8C">
        <w:rPr>
          <w:b/>
          <w:bCs/>
          <w:rtl/>
        </w:rPr>
        <w:t>ההגנה</w:t>
      </w:r>
      <w:r>
        <w:rPr>
          <w:rtl/>
        </w:rPr>
        <w:t xml:space="preserve"> הוגשה אסופת </w:t>
      </w:r>
      <w:r w:rsidRPr="00667C10">
        <w:rPr>
          <w:rtl/>
        </w:rPr>
        <w:t>מסמכים (נע/1),</w:t>
      </w:r>
      <w:r>
        <w:rPr>
          <w:rtl/>
        </w:rPr>
        <w:t xml:space="preserve"> הכולל</w:t>
      </w:r>
      <w:r>
        <w:rPr>
          <w:rFonts w:hint="cs"/>
          <w:rtl/>
        </w:rPr>
        <w:t xml:space="preserve">ת מסמכים רפואיים בדבר מצבו הבריאותי של הנאשם; מכתבים מטעם המועצה המוסלמית הנבחרת ביפו ומעסיקו הקודם של הנאשם, המדברים בשבחו ועומדים על תרומתו החברתית; והסכם סולחה שמסמל את סוף הסכסוך בין הנאשם למתלוננים. כמו כן הוגש מכתב מטעם מרכז אלאמל לשירותים חברתיים, ממנו עולה כי הנאשם מטופל במרכז ומשולב בשיחות פרטניות עם עו"ס ומגלה מוטיבציה גבוהה להליך טיפולי.  </w:t>
      </w:r>
    </w:p>
    <w:p w14:paraId="219D5532" w14:textId="77777777" w:rsidR="0022716A" w:rsidRPr="00B87D8C" w:rsidRDefault="0022716A" w:rsidP="0022716A">
      <w:pPr>
        <w:spacing w:before="240" w:after="240" w:line="360" w:lineRule="auto"/>
        <w:ind w:left="-58" w:firstLine="415"/>
        <w:rPr>
          <w:u w:val="single"/>
          <w:rtl/>
        </w:rPr>
      </w:pPr>
      <w:r w:rsidRPr="00B87D8C">
        <w:rPr>
          <w:u w:val="single"/>
          <w:rtl/>
        </w:rPr>
        <w:t>טיעוני הצדדים לעונש</w:t>
      </w:r>
    </w:p>
    <w:p w14:paraId="2BDA345C" w14:textId="77777777" w:rsidR="0022716A" w:rsidRDefault="0022716A" w:rsidP="0022716A">
      <w:pPr>
        <w:pStyle w:val="a9"/>
        <w:numPr>
          <w:ilvl w:val="0"/>
          <w:numId w:val="1"/>
        </w:numPr>
        <w:spacing w:before="240" w:after="240" w:line="360" w:lineRule="auto"/>
        <w:contextualSpacing w:val="0"/>
        <w:jc w:val="both"/>
      </w:pPr>
      <w:r>
        <w:rPr>
          <w:b/>
          <w:bCs/>
          <w:rtl/>
        </w:rPr>
        <w:t>התובעות</w:t>
      </w:r>
      <w:r>
        <w:rPr>
          <w:rtl/>
        </w:rPr>
        <w:t>, עו"ד ענת בן-זאב ועו"ד שלי קוטין, עמדו בטיעוניהן על כלל הנתונים הרלוונטיים לקביעת מתחם העונש ההולם</w:t>
      </w:r>
      <w:r>
        <w:rPr>
          <w:rFonts w:hint="cs"/>
          <w:rtl/>
        </w:rPr>
        <w:t>,</w:t>
      </w:r>
      <w:r>
        <w:rPr>
          <w:rtl/>
        </w:rPr>
        <w:t xml:space="preserve"> ובכלל אלה</w:t>
      </w:r>
      <w:r>
        <w:rPr>
          <w:rFonts w:hint="cs"/>
          <w:rtl/>
        </w:rPr>
        <w:t>:</w:t>
      </w:r>
      <w:r>
        <w:rPr>
          <w:rtl/>
        </w:rPr>
        <w:t xml:space="preserve"> חומרת העבירות והסכנה הרבה הטמונה בהן; הערכים המוגנים שנפגעו; סוג הנשק; פוטנציאל הפגיעה באמצעות הנשק; והעובדה כי הנאשם החזיק את הנשק שלא כדין וביצע את הירי במקום מגורים צפוף ובנוכחות אנשים. </w:t>
      </w:r>
    </w:p>
    <w:p w14:paraId="6D17750D" w14:textId="77777777" w:rsidR="0022716A" w:rsidRDefault="0022716A" w:rsidP="0022716A">
      <w:pPr>
        <w:pStyle w:val="a9"/>
        <w:spacing w:before="240" w:after="240" w:line="360" w:lineRule="auto"/>
        <w:ind w:left="360"/>
        <w:contextualSpacing w:val="0"/>
        <w:jc w:val="both"/>
        <w:rPr>
          <w:rtl/>
        </w:rPr>
      </w:pPr>
      <w:r>
        <w:rPr>
          <w:rtl/>
        </w:rPr>
        <w:t>ל</w:t>
      </w:r>
      <w:r>
        <w:rPr>
          <w:rFonts w:hint="cs"/>
          <w:rtl/>
        </w:rPr>
        <w:t>שיטת</w:t>
      </w:r>
      <w:r>
        <w:rPr>
          <w:rtl/>
        </w:rPr>
        <w:t xml:space="preserve"> התביעה, נוכח ריבוי אירוע הירי באזור מגורים בעת האחרונה ו</w:t>
      </w:r>
      <w:r>
        <w:rPr>
          <w:rFonts w:hint="cs"/>
          <w:rtl/>
        </w:rPr>
        <w:t>ה</w:t>
      </w:r>
      <w:r>
        <w:rPr>
          <w:rtl/>
        </w:rPr>
        <w:t>שימוש</w:t>
      </w:r>
      <w:r>
        <w:rPr>
          <w:rFonts w:hint="cs"/>
          <w:rtl/>
        </w:rPr>
        <w:t xml:space="preserve"> הגובר</w:t>
      </w:r>
      <w:r>
        <w:rPr>
          <w:rtl/>
        </w:rPr>
        <w:t xml:space="preserve"> בנשק חם ליישוב סכסוכים, יש צורך בהחמרה בענישה וקביעת מתחם עונש הולם </w:t>
      </w:r>
      <w:r>
        <w:rPr>
          <w:b/>
          <w:bCs/>
          <w:rtl/>
        </w:rPr>
        <w:t>הנע בין 27 ל</w:t>
      </w:r>
      <w:r>
        <w:rPr>
          <w:rFonts w:hint="cs"/>
          <w:b/>
          <w:bCs/>
          <w:rtl/>
        </w:rPr>
        <w:t xml:space="preserve">- 52 </w:t>
      </w:r>
      <w:r>
        <w:rPr>
          <w:b/>
          <w:bCs/>
          <w:rtl/>
        </w:rPr>
        <w:t>חודשי מאסר</w:t>
      </w:r>
      <w:r>
        <w:rPr>
          <w:rtl/>
        </w:rPr>
        <w:t xml:space="preserve">. </w:t>
      </w:r>
    </w:p>
    <w:p w14:paraId="37F26670" w14:textId="77777777" w:rsidR="0022716A" w:rsidRDefault="0022716A" w:rsidP="0022716A">
      <w:pPr>
        <w:pStyle w:val="a9"/>
        <w:spacing w:before="240" w:after="240" w:line="360" w:lineRule="auto"/>
        <w:ind w:left="360"/>
        <w:contextualSpacing w:val="0"/>
        <w:jc w:val="both"/>
      </w:pPr>
      <w:r>
        <w:rPr>
          <w:rtl/>
        </w:rPr>
        <w:t xml:space="preserve">בשים לב לגילו הצעיר של הנאשם ובהתחשב </w:t>
      </w:r>
      <w:r>
        <w:rPr>
          <w:rFonts w:hint="cs"/>
          <w:rtl/>
        </w:rPr>
        <w:t>בעברו הפלילי הנקי</w:t>
      </w:r>
      <w:r>
        <w:rPr>
          <w:rtl/>
        </w:rPr>
        <w:t xml:space="preserve">, </w:t>
      </w:r>
      <w:r>
        <w:rPr>
          <w:rFonts w:hint="cs"/>
          <w:rtl/>
        </w:rPr>
        <w:t xml:space="preserve">בהודאה ולקיחת האחריות, סברה </w:t>
      </w:r>
      <w:r>
        <w:rPr>
          <w:rtl/>
        </w:rPr>
        <w:t xml:space="preserve">התביעה כי יש למקם את עונשו בשליש התחתון של המתחם.  </w:t>
      </w:r>
    </w:p>
    <w:p w14:paraId="6950B41F" w14:textId="77777777" w:rsidR="0022716A" w:rsidRDefault="0022716A" w:rsidP="0022716A">
      <w:pPr>
        <w:pStyle w:val="a9"/>
        <w:numPr>
          <w:ilvl w:val="0"/>
          <w:numId w:val="1"/>
        </w:numPr>
        <w:spacing w:before="240" w:after="240" w:line="360" w:lineRule="auto"/>
        <w:contextualSpacing w:val="0"/>
        <w:jc w:val="both"/>
      </w:pPr>
      <w:r>
        <w:rPr>
          <w:b/>
          <w:bCs/>
          <w:rtl/>
        </w:rPr>
        <w:t>הסניגור</w:t>
      </w:r>
      <w:r>
        <w:rPr>
          <w:rtl/>
        </w:rPr>
        <w:t>, עו"ד מחמוד נעאמנה</w:t>
      </w:r>
      <w:r>
        <w:rPr>
          <w:rFonts w:hint="cs"/>
          <w:rtl/>
        </w:rPr>
        <w:t xml:space="preserve">, ציין בפתח טיעונו כי הנאשם הודה בשלב מוקדם של ההליך, נטל אחריות על מעשיו, הפנים את הפסול וחסך בזמן ציבורי. </w:t>
      </w:r>
      <w:r w:rsidRPr="000A1924">
        <w:rPr>
          <w:rFonts w:hint="cs"/>
          <w:rtl/>
        </w:rPr>
        <w:t xml:space="preserve">לשיטתו, יש משמעות לעובדה שהנשק נתפס ושכתב האישום תוקן באופן כה משמעותי. </w:t>
      </w:r>
      <w:r>
        <w:rPr>
          <w:rFonts w:hint="cs"/>
          <w:rtl/>
        </w:rPr>
        <w:t xml:space="preserve">עוד הדגיש את ההבדל בין עבירה של החזקת נשק (כפי שבענייננו) לבין עבירה של נשיאת נשק, שכידוע מתחמי הענישה בעניינה של האחרונה גבוהים יותר.  </w:t>
      </w:r>
    </w:p>
    <w:p w14:paraId="581AF682" w14:textId="77777777" w:rsidR="0022716A" w:rsidRDefault="0022716A" w:rsidP="0022716A">
      <w:pPr>
        <w:pStyle w:val="a9"/>
        <w:spacing w:before="240" w:after="240" w:line="360" w:lineRule="auto"/>
        <w:ind w:left="360"/>
        <w:contextualSpacing w:val="0"/>
        <w:jc w:val="both"/>
        <w:rPr>
          <w:rtl/>
        </w:rPr>
      </w:pPr>
      <w:r>
        <w:rPr>
          <w:rFonts w:hint="cs"/>
          <w:rtl/>
        </w:rPr>
        <w:t xml:space="preserve">באשר לנסיבותיו האישיות נטען כי הנאשם נשוי ואב לתינוקת בת שנה, נעדר עבר פלילי ותנאי המעצר הקשים בהם היה נתון הרתיעו אותו והשיגו את מטרתם. לקולא צוינו גם תרומתו החברתית וההתנדבותית, היציבות התעסוקתית שגילה לאורך השנים עד שפרצה מגפת הקורונה, ומצבו הבריאותי (הנאשם צפוי לעבור ניתוח אורתופדי מורכב).  </w:t>
      </w:r>
    </w:p>
    <w:p w14:paraId="1D6FACA0" w14:textId="77777777" w:rsidR="0022716A" w:rsidRDefault="0022716A" w:rsidP="0022716A">
      <w:pPr>
        <w:pStyle w:val="a9"/>
        <w:spacing w:before="240" w:after="240" w:line="360" w:lineRule="auto"/>
        <w:ind w:left="360"/>
        <w:contextualSpacing w:val="0"/>
        <w:jc w:val="both"/>
        <w:rPr>
          <w:rtl/>
        </w:rPr>
      </w:pPr>
      <w:r>
        <w:rPr>
          <w:rFonts w:hint="cs"/>
          <w:rtl/>
        </w:rPr>
        <w:t xml:space="preserve">לטענת ההגנה, הנאשם פנה לשירות מבחן והביע נזקקות טיפולית, רצון ומוטיבציה להשתלב בטיפול אולם לא נמצא לו מקום ועל כן פנה למרכז אלאמל המטפל בנאשמים ואסירים משוחררים, במסגרתו הוא משולב בשיחות פרטניות שיימשכו עד לקבלת גזר הדין. </w:t>
      </w:r>
    </w:p>
    <w:p w14:paraId="603E2FF8" w14:textId="77777777" w:rsidR="0022716A" w:rsidRPr="00BD7540" w:rsidRDefault="0022716A" w:rsidP="0022716A">
      <w:pPr>
        <w:pStyle w:val="a9"/>
        <w:spacing w:before="240" w:after="240" w:line="360" w:lineRule="auto"/>
        <w:ind w:left="360"/>
        <w:contextualSpacing w:val="0"/>
        <w:jc w:val="both"/>
        <w:rPr>
          <w:rtl/>
        </w:rPr>
      </w:pPr>
      <w:r>
        <w:rPr>
          <w:rFonts w:hint="cs"/>
          <w:rtl/>
        </w:rPr>
        <w:lastRenderedPageBreak/>
        <w:t>לאור</w:t>
      </w:r>
      <w:r>
        <w:rPr>
          <w:rtl/>
        </w:rPr>
        <w:t xml:space="preserve"> האמור, </w:t>
      </w:r>
      <w:r>
        <w:rPr>
          <w:rFonts w:hint="cs"/>
          <w:rtl/>
        </w:rPr>
        <w:t>הסנגור סבר</w:t>
      </w:r>
      <w:r>
        <w:rPr>
          <w:rtl/>
        </w:rPr>
        <w:t xml:space="preserve"> </w:t>
      </w:r>
      <w:r>
        <w:rPr>
          <w:rFonts w:hint="cs"/>
          <w:rtl/>
        </w:rPr>
        <w:t xml:space="preserve">כי יש </w:t>
      </w:r>
      <w:r w:rsidRPr="00D33F9F">
        <w:rPr>
          <w:rtl/>
        </w:rPr>
        <w:t>לקב</w:t>
      </w:r>
      <w:r>
        <w:rPr>
          <w:rFonts w:hint="cs"/>
          <w:rtl/>
        </w:rPr>
        <w:t>ו</w:t>
      </w:r>
      <w:r w:rsidRPr="00D33F9F">
        <w:rPr>
          <w:rtl/>
        </w:rPr>
        <w:t xml:space="preserve">ע מתחם עונש הולם נמוך משמעותית מזה </w:t>
      </w:r>
      <w:r>
        <w:rPr>
          <w:rFonts w:hint="cs"/>
          <w:rtl/>
        </w:rPr>
        <w:t xml:space="preserve">לו </w:t>
      </w:r>
      <w:r w:rsidRPr="00D33F9F">
        <w:rPr>
          <w:rtl/>
        </w:rPr>
        <w:t>ע</w:t>
      </w:r>
      <w:r>
        <w:rPr>
          <w:rtl/>
        </w:rPr>
        <w:t xml:space="preserve">תרה </w:t>
      </w:r>
      <w:r w:rsidRPr="00D33F9F">
        <w:rPr>
          <w:rtl/>
        </w:rPr>
        <w:t>התביעה, המתחיל</w:t>
      </w:r>
      <w:r w:rsidRPr="00D33F9F">
        <w:rPr>
          <w:b/>
          <w:bCs/>
          <w:rtl/>
        </w:rPr>
        <w:t xml:space="preserve"> מעונש מאסר שירוצה בעבודות שירות עד למאסר בפועל</w:t>
      </w:r>
      <w:r>
        <w:rPr>
          <w:rtl/>
        </w:rPr>
        <w:t>.</w:t>
      </w:r>
    </w:p>
    <w:p w14:paraId="4CC31FA0" w14:textId="77777777" w:rsidR="0022716A" w:rsidRDefault="0022716A" w:rsidP="0022716A">
      <w:pPr>
        <w:pStyle w:val="a9"/>
        <w:numPr>
          <w:ilvl w:val="0"/>
          <w:numId w:val="1"/>
        </w:numPr>
        <w:spacing w:before="240" w:after="240" w:line="360" w:lineRule="auto"/>
        <w:contextualSpacing w:val="0"/>
        <w:jc w:val="both"/>
        <w:rPr>
          <w:sz w:val="26"/>
          <w:szCs w:val="26"/>
          <w:rtl/>
        </w:rPr>
      </w:pPr>
      <w:r>
        <w:rPr>
          <w:rFonts w:hint="cs"/>
          <w:rtl/>
        </w:rPr>
        <w:t xml:space="preserve">בדברו האחרון לעונש הביע הנאשם צער על מעשיו. </w:t>
      </w:r>
    </w:p>
    <w:p w14:paraId="74A1117E" w14:textId="77777777" w:rsidR="0022716A" w:rsidRDefault="0022716A" w:rsidP="0022716A">
      <w:pPr>
        <w:spacing w:before="240" w:after="240" w:line="360" w:lineRule="auto"/>
        <w:ind w:left="360"/>
        <w:jc w:val="both"/>
        <w:rPr>
          <w:b/>
          <w:bCs/>
          <w:sz w:val="28"/>
          <w:szCs w:val="28"/>
          <w:u w:val="single"/>
          <w:rtl/>
        </w:rPr>
      </w:pPr>
    </w:p>
    <w:p w14:paraId="6228FCD7" w14:textId="77777777" w:rsidR="0022716A" w:rsidRDefault="0022716A" w:rsidP="0022716A">
      <w:pPr>
        <w:spacing w:before="240" w:after="240" w:line="360" w:lineRule="auto"/>
        <w:ind w:left="360"/>
        <w:jc w:val="both"/>
        <w:rPr>
          <w:b/>
          <w:bCs/>
          <w:sz w:val="28"/>
          <w:szCs w:val="28"/>
          <w:u w:val="single"/>
          <w:rtl/>
        </w:rPr>
      </w:pPr>
    </w:p>
    <w:p w14:paraId="5978BDDD" w14:textId="77777777" w:rsidR="0022716A" w:rsidRDefault="0022716A" w:rsidP="0022716A">
      <w:pPr>
        <w:spacing w:before="240" w:after="240" w:line="360" w:lineRule="auto"/>
        <w:ind w:left="360"/>
        <w:jc w:val="both"/>
        <w:rPr>
          <w:b/>
          <w:bCs/>
          <w:sz w:val="28"/>
          <w:szCs w:val="28"/>
          <w:u w:val="single"/>
          <w:rtl/>
        </w:rPr>
      </w:pPr>
    </w:p>
    <w:p w14:paraId="0818A77F" w14:textId="77777777" w:rsidR="0022716A" w:rsidRDefault="0022716A" w:rsidP="0022716A">
      <w:pPr>
        <w:spacing w:before="240" w:after="240" w:line="360" w:lineRule="auto"/>
        <w:ind w:left="360"/>
        <w:jc w:val="both"/>
        <w:rPr>
          <w:b/>
          <w:bCs/>
          <w:sz w:val="28"/>
          <w:szCs w:val="28"/>
          <w:u w:val="single"/>
          <w:rtl/>
        </w:rPr>
      </w:pPr>
    </w:p>
    <w:p w14:paraId="34DE6F4E" w14:textId="77777777" w:rsidR="0022716A" w:rsidRPr="00BC720E" w:rsidRDefault="0022716A" w:rsidP="0022716A">
      <w:pPr>
        <w:spacing w:before="240" w:after="240" w:line="360" w:lineRule="auto"/>
        <w:ind w:left="360"/>
        <w:jc w:val="both"/>
        <w:rPr>
          <w:sz w:val="28"/>
          <w:szCs w:val="28"/>
          <w:rtl/>
        </w:rPr>
      </w:pPr>
      <w:r w:rsidRPr="00BC720E">
        <w:rPr>
          <w:rFonts w:hint="cs"/>
          <w:b/>
          <w:bCs/>
          <w:sz w:val="28"/>
          <w:szCs w:val="28"/>
          <w:u w:val="single"/>
          <w:rtl/>
        </w:rPr>
        <w:t>דיון והכרעה</w:t>
      </w:r>
    </w:p>
    <w:p w14:paraId="5460D7B4" w14:textId="77777777" w:rsidR="0022716A" w:rsidRDefault="0022716A" w:rsidP="0022716A">
      <w:pPr>
        <w:spacing w:before="240" w:after="240" w:line="360" w:lineRule="auto"/>
        <w:ind w:firstLine="360"/>
        <w:jc w:val="both"/>
        <w:rPr>
          <w:u w:val="single"/>
          <w:rtl/>
        </w:rPr>
      </w:pPr>
      <w:r>
        <w:rPr>
          <w:rFonts w:hint="cs"/>
          <w:u w:val="single"/>
          <w:rtl/>
        </w:rPr>
        <w:t>מתחם העונש ההולם</w:t>
      </w:r>
    </w:p>
    <w:p w14:paraId="22400276" w14:textId="77777777" w:rsidR="0022716A" w:rsidRDefault="0022716A" w:rsidP="0022716A">
      <w:pPr>
        <w:pStyle w:val="a9"/>
        <w:numPr>
          <w:ilvl w:val="0"/>
          <w:numId w:val="1"/>
        </w:numPr>
        <w:spacing w:before="240" w:after="240" w:line="360" w:lineRule="auto"/>
        <w:contextualSpacing w:val="0"/>
        <w:jc w:val="both"/>
      </w:pPr>
      <w:r>
        <w:rPr>
          <w:rFonts w:hint="cs"/>
          <w:rtl/>
        </w:rPr>
        <w:t xml:space="preserve">דומה, כי אין צורך להכביר מילים על </w:t>
      </w:r>
      <w:r w:rsidRPr="00486AD2">
        <w:rPr>
          <w:rFonts w:ascii="David" w:hAnsi="David" w:hint="cs"/>
          <w:color w:val="000000"/>
          <w:rtl/>
        </w:rPr>
        <w:t xml:space="preserve">החומרה </w:t>
      </w:r>
      <w:r w:rsidRPr="00486AD2">
        <w:rPr>
          <w:rFonts w:ascii="David" w:hAnsi="David"/>
          <w:color w:val="000000"/>
          <w:rtl/>
        </w:rPr>
        <w:t>הגלומה בעבירות בהן הורשע הנאשם</w:t>
      </w:r>
      <w:r>
        <w:rPr>
          <w:rFonts w:ascii="David" w:hAnsi="David" w:hint="cs"/>
          <w:color w:val="000000"/>
          <w:rtl/>
        </w:rPr>
        <w:t>, על הסכנה הרבה הטמונה בהן</w:t>
      </w:r>
      <w:r w:rsidRPr="00486AD2">
        <w:rPr>
          <w:rFonts w:ascii="David" w:hAnsi="David"/>
          <w:color w:val="000000"/>
          <w:rtl/>
        </w:rPr>
        <w:t xml:space="preserve"> ו</w:t>
      </w:r>
      <w:r w:rsidRPr="00486AD2">
        <w:rPr>
          <w:rFonts w:ascii="David" w:hAnsi="David" w:hint="cs"/>
          <w:color w:val="000000"/>
          <w:rtl/>
        </w:rPr>
        <w:t xml:space="preserve">על </w:t>
      </w:r>
      <w:r w:rsidRPr="00486AD2">
        <w:rPr>
          <w:rFonts w:ascii="David" w:hAnsi="David"/>
          <w:color w:val="000000"/>
          <w:rtl/>
        </w:rPr>
        <w:t>מדיניות הענישה המחמירה בה נוקט בית המשפט ביחס לעבירות בנשק</w:t>
      </w:r>
      <w:r>
        <w:rPr>
          <w:rFonts w:hint="cs"/>
          <w:rtl/>
        </w:rPr>
        <w:t>, בין היתר, בשל כך</w:t>
      </w:r>
      <w:r w:rsidRPr="00486AD2">
        <w:rPr>
          <w:rFonts w:hint="cs"/>
          <w:b/>
          <w:bCs/>
          <w:rtl/>
        </w:rPr>
        <w:t xml:space="preserve"> </w:t>
      </w:r>
      <w:r>
        <w:rPr>
          <w:rFonts w:hint="cs"/>
          <w:rtl/>
        </w:rPr>
        <w:t>ש"</w:t>
      </w:r>
      <w:r w:rsidRPr="00486AD2">
        <w:rPr>
          <w:rFonts w:hint="cs"/>
          <w:b/>
          <w:bCs/>
          <w:rtl/>
        </w:rPr>
        <w:t>עבירות מסוג זה מקימות פוטנציאל להסלמה עבריינית ויוצרות סיכון ממשי וחמור לשלום הציבור וביטחונו</w:t>
      </w:r>
      <w:r>
        <w:rPr>
          <w:rFonts w:hint="cs"/>
          <w:rtl/>
        </w:rPr>
        <w:t>" [</w:t>
      </w:r>
      <w:hyperlink r:id="rId13" w:history="1">
        <w:r w:rsidR="00ED20C3" w:rsidRPr="00ED20C3">
          <w:rPr>
            <w:color w:val="0000FF"/>
            <w:u w:val="single"/>
            <w:rtl/>
          </w:rPr>
          <w:t>ע"פ 3156/11</w:t>
        </w:r>
      </w:hyperlink>
      <w:r>
        <w:rPr>
          <w:rFonts w:hint="cs"/>
          <w:rtl/>
        </w:rPr>
        <w:t xml:space="preserve"> </w:t>
      </w:r>
      <w:r w:rsidRPr="00486AD2">
        <w:rPr>
          <w:rFonts w:hint="cs"/>
          <w:b/>
          <w:bCs/>
          <w:rtl/>
        </w:rPr>
        <w:t>זראיעה נ' מדינת ישראל</w:t>
      </w:r>
      <w:r>
        <w:rPr>
          <w:rFonts w:hint="cs"/>
          <w:rtl/>
        </w:rPr>
        <w:t xml:space="preserve">, פס' 5 (21.2.2012)]. </w:t>
      </w:r>
    </w:p>
    <w:p w14:paraId="0CAB3C31" w14:textId="77777777" w:rsidR="0022716A" w:rsidRDefault="0022716A" w:rsidP="0022716A">
      <w:pPr>
        <w:pStyle w:val="a9"/>
        <w:spacing w:before="240" w:after="240" w:line="360" w:lineRule="auto"/>
        <w:ind w:left="360"/>
        <w:contextualSpacing w:val="0"/>
        <w:jc w:val="both"/>
      </w:pPr>
      <w:r>
        <w:rPr>
          <w:rFonts w:hint="cs"/>
          <w:rtl/>
        </w:rPr>
        <w:t xml:space="preserve">הערכים החברתיים הרלוונטיים לעבירות נשק הם הגנה על שלום הציבור, ביטחונו, שלמות גופו ורכושו וכן על הסדר הציבורי, ועוצמת הפגיעה בהם בנסיבות העניין היא בינונית, כפי שיפורט להלן.    </w:t>
      </w:r>
    </w:p>
    <w:p w14:paraId="2030D6AE" w14:textId="77777777" w:rsidR="0022716A" w:rsidRDefault="0022716A" w:rsidP="0022716A">
      <w:pPr>
        <w:pStyle w:val="a9"/>
        <w:spacing w:before="240" w:after="240" w:line="360" w:lineRule="auto"/>
        <w:ind w:left="360"/>
        <w:contextualSpacing w:val="0"/>
        <w:jc w:val="both"/>
        <w:rPr>
          <w:rtl/>
        </w:rPr>
      </w:pPr>
      <w:r>
        <w:rPr>
          <w:rFonts w:hint="cs"/>
          <w:rtl/>
        </w:rPr>
        <w:t xml:space="preserve">הנאשם החזיק בידו, במהלך תגרה אלימה שהתרחשה בשעות היום במתחם מגורים צפוף, כלי נשק מסוג אקדח חצי אוטומטי ("גלוק") כשהוא טעון ודרוך, כיוונו </w:t>
      </w:r>
      <w:r>
        <w:rPr>
          <w:rtl/>
        </w:rPr>
        <w:t>כלפי מעלה וירה מספר יריות</w:t>
      </w:r>
      <w:r>
        <w:rPr>
          <w:rFonts w:hint="cs"/>
          <w:rtl/>
        </w:rPr>
        <w:t xml:space="preserve"> באוויר, באופן שיש בו כדי לסכן חיי אדם ושעה שהוא מאיים על המתלוננים כי יהרוג אותם. </w:t>
      </w:r>
    </w:p>
    <w:p w14:paraId="0CA89181" w14:textId="77777777" w:rsidR="0022716A" w:rsidRDefault="0022716A" w:rsidP="0022716A">
      <w:pPr>
        <w:pStyle w:val="a9"/>
        <w:spacing w:before="240" w:after="240" w:line="360" w:lineRule="auto"/>
        <w:ind w:left="360"/>
        <w:contextualSpacing w:val="0"/>
        <w:jc w:val="both"/>
        <w:rPr>
          <w:rtl/>
        </w:rPr>
      </w:pPr>
      <w:r>
        <w:rPr>
          <w:rFonts w:hint="cs"/>
          <w:rtl/>
        </w:rPr>
        <w:t>הגם שבפועל לא נגרם נזק ממשי בגין העבירות בהן הורשע הנאשם והנשק נתפס על ידי המשטרה; הרי שפוטנציאל הנזק בהקשר זה משמעותי ביותר, שכן "</w:t>
      </w:r>
      <w:r w:rsidRPr="00EC641C">
        <w:rPr>
          <w:rFonts w:hint="cs"/>
          <w:b/>
          <w:bCs/>
          <w:rtl/>
        </w:rPr>
        <w:t>חומרתן של עבירות נשק אינה מסתכמת רק במה שאירע בפועל, אלא גם במה שעלול היה להתרחש</w:t>
      </w:r>
      <w:r>
        <w:rPr>
          <w:rFonts w:hint="cs"/>
          <w:rtl/>
        </w:rPr>
        <w:t xml:space="preserve"> </w:t>
      </w:r>
      <w:r>
        <w:rPr>
          <w:rFonts w:hint="cs"/>
          <w:b/>
          <w:bCs/>
          <w:rtl/>
        </w:rPr>
        <w:t>-</w:t>
      </w:r>
      <w:r w:rsidRPr="00150DD5">
        <w:rPr>
          <w:rFonts w:hint="cs"/>
          <w:b/>
          <w:bCs/>
          <w:rtl/>
        </w:rPr>
        <w:t xml:space="preserve"> קרי: בסיכון הפוטנציאלי שהיה טמון בהתנהגות</w:t>
      </w:r>
      <w:r>
        <w:rPr>
          <w:rFonts w:hint="cs"/>
          <w:rtl/>
        </w:rPr>
        <w:t>" [</w:t>
      </w:r>
      <w:hyperlink r:id="rId14" w:history="1">
        <w:r w:rsidR="00ED20C3" w:rsidRPr="00ED20C3">
          <w:rPr>
            <w:color w:val="0000FF"/>
            <w:u w:val="single"/>
            <w:rtl/>
          </w:rPr>
          <w:t>ע"פ 116/13</w:t>
        </w:r>
      </w:hyperlink>
      <w:r>
        <w:rPr>
          <w:rFonts w:hint="cs"/>
          <w:rtl/>
        </w:rPr>
        <w:t xml:space="preserve"> </w:t>
      </w:r>
      <w:r w:rsidRPr="00F11B83">
        <w:rPr>
          <w:rFonts w:hint="cs"/>
          <w:b/>
          <w:bCs/>
          <w:rtl/>
        </w:rPr>
        <w:t xml:space="preserve">וקנין נ' מדינת ישראל </w:t>
      </w:r>
      <w:r>
        <w:rPr>
          <w:rFonts w:hint="cs"/>
          <w:rtl/>
        </w:rPr>
        <w:t xml:space="preserve">(31.7.2013)]. לכן, לא מן הנמנע כי שליפת אקדח וביצוע ירי במהלך תגרה אלימה בין מספר מעורבים, עלולים היו להוביל להסלמת האירוע ולפגיעות בגוף, בנפש או בחיי אדם. </w:t>
      </w:r>
    </w:p>
    <w:p w14:paraId="39E2AF7F" w14:textId="77777777" w:rsidR="0022716A" w:rsidRPr="00086C15" w:rsidRDefault="0022716A" w:rsidP="0022716A">
      <w:pPr>
        <w:pStyle w:val="a9"/>
        <w:numPr>
          <w:ilvl w:val="0"/>
          <w:numId w:val="1"/>
        </w:numPr>
        <w:spacing w:before="240" w:after="240" w:line="360" w:lineRule="auto"/>
        <w:contextualSpacing w:val="0"/>
        <w:jc w:val="both"/>
        <w:rPr>
          <w:u w:val="single"/>
        </w:rPr>
      </w:pPr>
      <w:r>
        <w:rPr>
          <w:rFonts w:hint="cs"/>
          <w:rtl/>
        </w:rPr>
        <w:t>לצורך קביעת מתחם העונש ההולם, מצאתי את פסקי הדין הבאים כרלוונטיים:</w:t>
      </w:r>
    </w:p>
    <w:p w14:paraId="4873665D" w14:textId="77777777" w:rsidR="0022716A" w:rsidRDefault="0022716A" w:rsidP="0022716A">
      <w:pPr>
        <w:pStyle w:val="a9"/>
        <w:spacing w:before="240" w:after="240" w:line="360" w:lineRule="auto"/>
        <w:ind w:left="360"/>
        <w:contextualSpacing w:val="0"/>
        <w:jc w:val="both"/>
        <w:rPr>
          <w:rtl/>
        </w:rPr>
      </w:pPr>
      <w:r>
        <w:rPr>
          <w:rFonts w:hint="cs"/>
          <w:u w:val="single"/>
          <w:rtl/>
        </w:rPr>
        <w:t>אשר לעבירת החזקת נשק</w:t>
      </w:r>
      <w:r>
        <w:rPr>
          <w:rFonts w:hint="cs"/>
          <w:rtl/>
        </w:rPr>
        <w:t xml:space="preserve"> </w:t>
      </w:r>
      <w:r>
        <w:rPr>
          <w:rtl/>
        </w:rPr>
        <w:t>–</w:t>
      </w:r>
      <w:r>
        <w:rPr>
          <w:rFonts w:hint="cs"/>
          <w:rtl/>
        </w:rPr>
        <w:t xml:space="preserve"> </w:t>
      </w:r>
    </w:p>
    <w:p w14:paraId="0E2AE5B7" w14:textId="77777777" w:rsidR="0022716A" w:rsidRDefault="0022716A" w:rsidP="0022716A">
      <w:pPr>
        <w:pStyle w:val="a9"/>
        <w:numPr>
          <w:ilvl w:val="0"/>
          <w:numId w:val="1"/>
        </w:numPr>
        <w:spacing w:before="240" w:after="240" w:line="360" w:lineRule="auto"/>
        <w:contextualSpacing w:val="0"/>
        <w:jc w:val="both"/>
        <w:rPr>
          <w:rtl/>
        </w:rPr>
      </w:pPr>
      <w:r>
        <w:rPr>
          <w:rFonts w:hint="cs"/>
          <w:rtl/>
        </w:rPr>
        <w:t>בתי המשפט עמדו לא פעם על חומרתה של עבירת החזקת הנשק. מדיניות הענישה, במרבית המקרים, היא של הטלת עונשי מאסר בפועל גם על מי שזו עבירתו הראשונה (</w:t>
      </w:r>
      <w:hyperlink r:id="rId15" w:history="1">
        <w:r w:rsidR="00ED20C3" w:rsidRPr="00ED20C3">
          <w:rPr>
            <w:color w:val="0000FF"/>
            <w:u w:val="single"/>
            <w:rtl/>
          </w:rPr>
          <w:t>רע"פ 2718/04</w:t>
        </w:r>
      </w:hyperlink>
      <w:r>
        <w:rPr>
          <w:rFonts w:hint="cs"/>
          <w:rtl/>
        </w:rPr>
        <w:t xml:space="preserve"> </w:t>
      </w:r>
      <w:r>
        <w:rPr>
          <w:rFonts w:hint="cs"/>
          <w:b/>
          <w:bCs/>
          <w:rtl/>
        </w:rPr>
        <w:t xml:space="preserve">אבו דאחל נ' מדינת ישראל </w:t>
      </w:r>
      <w:r>
        <w:rPr>
          <w:rFonts w:hint="cs"/>
          <w:rtl/>
        </w:rPr>
        <w:t xml:space="preserve">(29.3.2004)). </w:t>
      </w:r>
    </w:p>
    <w:p w14:paraId="1EBB4E7C" w14:textId="77777777" w:rsidR="0022716A" w:rsidRDefault="00ED20C3" w:rsidP="0022716A">
      <w:pPr>
        <w:pStyle w:val="a9"/>
        <w:numPr>
          <w:ilvl w:val="0"/>
          <w:numId w:val="2"/>
        </w:numPr>
        <w:spacing w:before="240" w:after="240" w:line="360" w:lineRule="auto"/>
        <w:contextualSpacing w:val="0"/>
        <w:jc w:val="both"/>
      </w:pPr>
      <w:hyperlink r:id="rId16" w:history="1">
        <w:r w:rsidRPr="00ED20C3">
          <w:rPr>
            <w:color w:val="0000FF"/>
            <w:u w:val="single"/>
            <w:rtl/>
          </w:rPr>
          <w:t>רע"פ 5613/20</w:t>
        </w:r>
      </w:hyperlink>
      <w:r w:rsidR="0022716A">
        <w:rPr>
          <w:rFonts w:hint="cs"/>
          <w:rtl/>
        </w:rPr>
        <w:t xml:space="preserve"> </w:t>
      </w:r>
      <w:r w:rsidR="0022716A">
        <w:rPr>
          <w:rFonts w:hint="cs"/>
          <w:b/>
          <w:bCs/>
          <w:rtl/>
        </w:rPr>
        <w:t xml:space="preserve">אלהוזייל נ' מדינת ישראל </w:t>
      </w:r>
      <w:r w:rsidR="0022716A">
        <w:rPr>
          <w:rFonts w:hint="cs"/>
          <w:rtl/>
        </w:rPr>
        <w:t xml:space="preserve">(25.8.2020) - המערער הורשע על יסוד הודאתו בעבירה של החזקת נזק ותחמושת בכך שהחזיק במקום מגוריו אקדח מסוג </w:t>
      </w:r>
      <w:r w:rsidR="0022716A">
        <w:rPr>
          <w:rFonts w:hint="cs"/>
        </w:rPr>
        <w:t>FN</w:t>
      </w:r>
      <w:r w:rsidR="0022716A">
        <w:rPr>
          <w:rFonts w:hint="cs"/>
          <w:rtl/>
        </w:rPr>
        <w:t xml:space="preserve"> בקוטר 9 מ"מ וכן 20 כדורים תואמים. בית המשפט המחוזי קבע </w:t>
      </w:r>
      <w:r w:rsidR="0022716A" w:rsidRPr="00222844">
        <w:rPr>
          <w:rFonts w:hint="cs"/>
          <w:b/>
          <w:bCs/>
          <w:rtl/>
        </w:rPr>
        <w:t>מתחם ענישה שנע בין 11 ל- 33 חודשי מאסר</w:t>
      </w:r>
      <w:r w:rsidR="0022716A">
        <w:rPr>
          <w:rFonts w:hint="cs"/>
          <w:rtl/>
        </w:rPr>
        <w:t xml:space="preserve"> והטיל על המערער 12 חודשי מאסר בפועל, לצד עונשים נלווים. בית המשפט העליון דחה את הערעור שהוגש על חומרת העונש. </w:t>
      </w:r>
    </w:p>
    <w:p w14:paraId="12BEBCF2" w14:textId="77777777" w:rsidR="0022716A" w:rsidRDefault="00ED20C3" w:rsidP="0022716A">
      <w:pPr>
        <w:pStyle w:val="a9"/>
        <w:numPr>
          <w:ilvl w:val="0"/>
          <w:numId w:val="2"/>
        </w:numPr>
        <w:spacing w:before="240" w:after="240" w:line="360" w:lineRule="auto"/>
        <w:contextualSpacing w:val="0"/>
        <w:jc w:val="both"/>
      </w:pPr>
      <w:hyperlink r:id="rId17" w:history="1">
        <w:r w:rsidRPr="00ED20C3">
          <w:rPr>
            <w:color w:val="0000FF"/>
            <w:u w:val="single"/>
            <w:rtl/>
          </w:rPr>
          <w:t>ע"פ 2826/19</w:t>
        </w:r>
      </w:hyperlink>
      <w:r w:rsidR="0022716A">
        <w:rPr>
          <w:rFonts w:hint="cs"/>
          <w:rtl/>
        </w:rPr>
        <w:t xml:space="preserve"> </w:t>
      </w:r>
      <w:r w:rsidR="0022716A">
        <w:rPr>
          <w:rFonts w:hint="cs"/>
          <w:b/>
          <w:bCs/>
          <w:rtl/>
        </w:rPr>
        <w:t xml:space="preserve">מרעאנה נ' מדינת ישראל </w:t>
      </w:r>
      <w:r w:rsidR="0022716A">
        <w:rPr>
          <w:rFonts w:hint="cs"/>
          <w:rtl/>
        </w:rPr>
        <w:t xml:space="preserve">(11.7.2019) - המערער הורשע על יסוד הודאתו בעבירה של החזקת נשק בכך שהחביא בביתו אקדח חצי אוטומטי טעון במחסנית ריקה מכדורים כשהוא עטוף בגרביים ובנייר כסף, וזאת לבקשת גיסו אשר חשש שהמשטרה תאתר את האקדח בביתו. בית המשפט המחוזי קבע </w:t>
      </w:r>
      <w:r w:rsidR="0022716A" w:rsidRPr="0053038D">
        <w:rPr>
          <w:rFonts w:hint="cs"/>
          <w:b/>
          <w:bCs/>
          <w:rtl/>
        </w:rPr>
        <w:t>מתחם ענישה שנע בין 9 ל- 24 חודשי מאסר</w:t>
      </w:r>
      <w:r w:rsidR="0022716A">
        <w:rPr>
          <w:rFonts w:hint="cs"/>
          <w:rtl/>
        </w:rPr>
        <w:t xml:space="preserve"> והטיל על המערער 10 חודשי מאסר, לצד עונשים נלווים. בית המשפט העליון קיבל את הערעור שהוגש על חומרת העונש והעמיד את עונשו של המערער על 9 חודשי מאסר לריצוי בדרך של עבודות שירות נוכח הנסיבות המיוחדת של התיק. יחד עם זאת, בית המשפט העליון ציין כי "</w:t>
      </w:r>
      <w:r w:rsidR="0022716A">
        <w:rPr>
          <w:rFonts w:hint="cs"/>
          <w:b/>
          <w:bCs/>
          <w:rtl/>
        </w:rPr>
        <w:t>גזר דינו של בית משפט קמא מתון ומאוזן, ובמצב הדברים הרגיל לא היה מקום להתערבות ערכאת ערעור</w:t>
      </w:r>
      <w:r w:rsidR="0022716A">
        <w:rPr>
          <w:rFonts w:hint="cs"/>
          <w:rtl/>
        </w:rPr>
        <w:t xml:space="preserve">". </w:t>
      </w:r>
    </w:p>
    <w:p w14:paraId="3A6357D9" w14:textId="77777777" w:rsidR="0022716A" w:rsidRDefault="00ED20C3" w:rsidP="0022716A">
      <w:pPr>
        <w:pStyle w:val="a9"/>
        <w:numPr>
          <w:ilvl w:val="0"/>
          <w:numId w:val="2"/>
        </w:numPr>
        <w:spacing w:before="240" w:after="240" w:line="360" w:lineRule="auto"/>
        <w:contextualSpacing w:val="0"/>
        <w:jc w:val="both"/>
      </w:pPr>
      <w:hyperlink r:id="rId18" w:history="1">
        <w:r w:rsidRPr="00ED20C3">
          <w:rPr>
            <w:color w:val="0000FF"/>
            <w:u w:val="single"/>
            <w:rtl/>
          </w:rPr>
          <w:t>רע"פ 4559/16</w:t>
        </w:r>
      </w:hyperlink>
      <w:r w:rsidR="0022716A">
        <w:rPr>
          <w:rFonts w:hint="cs"/>
          <w:rtl/>
        </w:rPr>
        <w:t xml:space="preserve"> </w:t>
      </w:r>
      <w:r w:rsidR="0022716A">
        <w:rPr>
          <w:rFonts w:hint="cs"/>
          <w:b/>
          <w:bCs/>
          <w:rtl/>
        </w:rPr>
        <w:t xml:space="preserve">נוסיראת נ' מדינת ישראל </w:t>
      </w:r>
      <w:r w:rsidR="0022716A">
        <w:rPr>
          <w:rFonts w:hint="cs"/>
          <w:rtl/>
        </w:rPr>
        <w:t xml:space="preserve">(22.6.2016) - המערער הורשע על יסוד הודאתו בעבירה של החזקת נשק ותחמושת בכך שהחזיק בדירתו נשק מאולתר הדומה לנשק מסוג "קארל גוסטב" ותחמושת בתוך שקית עטופה בחולצה. בית משפט השלום קבע </w:t>
      </w:r>
      <w:r w:rsidR="0022716A" w:rsidRPr="0058144B">
        <w:rPr>
          <w:rFonts w:hint="cs"/>
          <w:b/>
          <w:bCs/>
          <w:rtl/>
        </w:rPr>
        <w:t>מתחם ענישה שנע בין 9 ל- 24 חודשי מאסר</w:t>
      </w:r>
      <w:r w:rsidR="0022716A">
        <w:rPr>
          <w:rFonts w:hint="cs"/>
          <w:rtl/>
        </w:rPr>
        <w:t xml:space="preserve">, ואגב כך, חרג לקולא מהמתחם והטיל על המערער 6 חודשי מאסר לריצוי בדרך של עבודות שירות. בית המשפט המחוזי קיבל את ערעור המדינה וקבע כי מדיניות הענישה הנוהגת מצדיקה הטלת עונש מאסר לריצוי בפועל גם על מי שזו עבירתו הראשונה, מה גם שלא הייתה הצדקה לחרוג ממתחם העונש ההולם שנקבע ועל כן הטיל על הנאשם 9 חודשי מאסר. בית המשפט העליון דחה את בקשת רשות הערעור שהגיש המערער. </w:t>
      </w:r>
    </w:p>
    <w:p w14:paraId="102DE1B2" w14:textId="77777777" w:rsidR="0022716A" w:rsidRPr="006F4352" w:rsidRDefault="00ED20C3" w:rsidP="0022716A">
      <w:pPr>
        <w:pStyle w:val="a9"/>
        <w:numPr>
          <w:ilvl w:val="0"/>
          <w:numId w:val="2"/>
        </w:numPr>
        <w:spacing w:before="240" w:after="240" w:line="360" w:lineRule="auto"/>
        <w:contextualSpacing w:val="0"/>
        <w:jc w:val="both"/>
        <w:rPr>
          <w:rFonts w:ascii="David" w:hAnsi="David"/>
        </w:rPr>
      </w:pPr>
      <w:hyperlink r:id="rId19" w:history="1">
        <w:r w:rsidRPr="00ED20C3">
          <w:rPr>
            <w:color w:val="0000FF"/>
            <w:u w:val="single"/>
            <w:rtl/>
          </w:rPr>
          <w:t>ע"פ 2398/14</w:t>
        </w:r>
      </w:hyperlink>
      <w:r w:rsidR="0022716A">
        <w:rPr>
          <w:rFonts w:hint="cs"/>
          <w:rtl/>
        </w:rPr>
        <w:t xml:space="preserve"> </w:t>
      </w:r>
      <w:r w:rsidR="0022716A" w:rsidRPr="006F4352">
        <w:rPr>
          <w:rFonts w:hint="cs"/>
          <w:b/>
          <w:bCs/>
          <w:rtl/>
        </w:rPr>
        <w:t xml:space="preserve">אלהוזייל נ' מדינת ישראל </w:t>
      </w:r>
      <w:r w:rsidR="0022716A">
        <w:rPr>
          <w:rFonts w:hint="cs"/>
          <w:rtl/>
        </w:rPr>
        <w:t xml:space="preserve">(8.7.2014) - המערער הורשע על יסוד הודאתו במסגרת הסדר טיעון בעבירה של החזקת נשק בכך שנתפס כשהוא מחזיק ברכבו אקדח ובו מחסנית עם 8 כדורים וקופסה ובה 38 כדורים נוספים. בית המשפט המחוזי קבע </w:t>
      </w:r>
      <w:r w:rsidR="0022716A" w:rsidRPr="006F4352">
        <w:rPr>
          <w:rFonts w:hint="cs"/>
          <w:b/>
          <w:bCs/>
          <w:rtl/>
        </w:rPr>
        <w:t xml:space="preserve">מתחם ענישה שנע בין 10 ל- 24 חודשי מאסר </w:t>
      </w:r>
      <w:r w:rsidR="0022716A">
        <w:rPr>
          <w:rFonts w:hint="cs"/>
          <w:rtl/>
        </w:rPr>
        <w:t xml:space="preserve">והטיל על המערער 13 חודשי מאסר, לצד עונשים נלווים. בית המשפט העליון דחה את הערעור שהגיש המערער תוך שהדגיש: </w:t>
      </w:r>
      <w:r w:rsidR="0022716A" w:rsidRPr="006F4352">
        <w:rPr>
          <w:rFonts w:ascii="David" w:hAnsi="David"/>
          <w:rtl/>
        </w:rPr>
        <w:t>"</w:t>
      </w:r>
      <w:r w:rsidR="0022716A" w:rsidRPr="006F4352">
        <w:rPr>
          <w:rFonts w:ascii="David" w:hAnsi="David"/>
          <w:b/>
          <w:bCs/>
          <w:color w:val="000000"/>
          <w:rtl/>
        </w:rPr>
        <w:t>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r w:rsidR="0022716A">
        <w:rPr>
          <w:rFonts w:ascii="David" w:hAnsi="David" w:hint="cs"/>
          <w:color w:val="000000"/>
          <w:rtl/>
        </w:rPr>
        <w:t xml:space="preserve">". </w:t>
      </w:r>
    </w:p>
    <w:p w14:paraId="4B38368A" w14:textId="77777777" w:rsidR="0022716A" w:rsidRDefault="00ED20C3" w:rsidP="0022716A">
      <w:pPr>
        <w:pStyle w:val="a9"/>
        <w:numPr>
          <w:ilvl w:val="0"/>
          <w:numId w:val="2"/>
        </w:numPr>
        <w:spacing w:before="240" w:after="240" w:line="360" w:lineRule="auto"/>
        <w:contextualSpacing w:val="0"/>
        <w:jc w:val="both"/>
      </w:pPr>
      <w:hyperlink r:id="rId20" w:history="1">
        <w:r w:rsidRPr="00ED20C3">
          <w:rPr>
            <w:color w:val="0000FF"/>
            <w:u w:val="single"/>
            <w:rtl/>
          </w:rPr>
          <w:t>ע"פ 3288/14</w:t>
        </w:r>
      </w:hyperlink>
      <w:r w:rsidR="0022716A">
        <w:rPr>
          <w:rFonts w:hint="cs"/>
          <w:rtl/>
        </w:rPr>
        <w:t xml:space="preserve"> </w:t>
      </w:r>
      <w:r w:rsidR="0022716A" w:rsidRPr="00BC136E">
        <w:rPr>
          <w:rFonts w:hint="cs"/>
          <w:b/>
          <w:bCs/>
          <w:rtl/>
        </w:rPr>
        <w:t>מדינת ישראל נ' קריספיל</w:t>
      </w:r>
      <w:r w:rsidR="0022716A">
        <w:rPr>
          <w:rFonts w:hint="cs"/>
          <w:rtl/>
        </w:rPr>
        <w:t xml:space="preserve"> (24.8.2014) - המשיב הורשע על יסוד הודאתו בעבירות של החזקת נשק והחזקת נכס החשוד כגנוב בכך שנסע לכתובת מסוימת בעיר עפולה, נכנס לדירה ויצא ממנה כעבור מספר דקות, כשהוא מחזיק בידו שקית ובה אקדח טעון ומשתיק קול. בית המשפט המחוזי קבע </w:t>
      </w:r>
      <w:r w:rsidR="0022716A" w:rsidRPr="00F061DD">
        <w:rPr>
          <w:rFonts w:hint="cs"/>
          <w:b/>
          <w:bCs/>
          <w:rtl/>
        </w:rPr>
        <w:t>מתחם ענישה שנע בין 6 ל- 22 חודשי מאסר</w:t>
      </w:r>
      <w:r w:rsidR="0022716A">
        <w:rPr>
          <w:rFonts w:hint="cs"/>
          <w:rtl/>
        </w:rPr>
        <w:t xml:space="preserve">, והטיל על המשיב עונש של 9 חודשי מאסר בפועל לצד ענישה נלווית. ערעור שהוגש על קולת העונש התקבל. בית המשפט העליון ציין כי בשנים האחרונות חלה עליה מטרידה בכל הקשור לביצוע עבירות נשק, ועמד על חומרת עבירות אלה נוכח פוטנציאל ההרס הטמון בכלי הנשק, הכולל גם אפשרות לפגיעה עיוורת באנשים מן היישוב. על יסוד נימוקים אלה ונוספים, קיבל בית המשפט העליון את ערעור המדינה והעמיד את עונשו של המשיב על 18 חודשי מאסר בפועל.  </w:t>
      </w:r>
    </w:p>
    <w:p w14:paraId="469133E9" w14:textId="77777777" w:rsidR="0022716A" w:rsidRPr="00BE2114" w:rsidRDefault="00ED20C3" w:rsidP="0022716A">
      <w:pPr>
        <w:pStyle w:val="a9"/>
        <w:numPr>
          <w:ilvl w:val="0"/>
          <w:numId w:val="2"/>
        </w:numPr>
        <w:spacing w:before="240" w:after="240" w:line="360" w:lineRule="auto"/>
        <w:contextualSpacing w:val="0"/>
        <w:jc w:val="both"/>
      </w:pPr>
      <w:hyperlink r:id="rId21" w:history="1">
        <w:r w:rsidRPr="00ED20C3">
          <w:rPr>
            <w:color w:val="0000FF"/>
            <w:u w:val="single"/>
            <w:rtl/>
          </w:rPr>
          <w:t>רע"פ 2822/12</w:t>
        </w:r>
      </w:hyperlink>
      <w:r w:rsidR="0022716A">
        <w:rPr>
          <w:rFonts w:hint="cs"/>
          <w:rtl/>
        </w:rPr>
        <w:t xml:space="preserve"> </w:t>
      </w:r>
      <w:r w:rsidR="0022716A">
        <w:rPr>
          <w:rFonts w:hint="cs"/>
          <w:b/>
          <w:bCs/>
          <w:rtl/>
        </w:rPr>
        <w:t>דואהרי נ' מדינת ישראל</w:t>
      </w:r>
      <w:r w:rsidR="0022716A">
        <w:rPr>
          <w:rFonts w:hint="cs"/>
          <w:rtl/>
        </w:rPr>
        <w:t xml:space="preserve"> (25.4.2012) - המערער הורשע על יסוד הודאתו במסגרת הסדר טיעון בעבירה של החזקת נשק בכך שהחזיק בסמוך לבית מגוריו תיק ובו אקדח, מחסניות וכדורים תואמים. בית משפט השלום השית על המערער עונש של 15 חודשי מאסר בפועל, והפעיל מאסר על תנאי של 10 חודשים בחופף ובמצטבר כך שסך הכל הושתו על המערער 22 חודשי מאסר בפועל. ערעור שהוגש על קולת העונש התקבל, ובית המשפט המחוזי החמיר בעונשו והעמידו </w:t>
      </w:r>
      <w:r w:rsidR="0022716A" w:rsidRPr="0038053E">
        <w:rPr>
          <w:rFonts w:hint="cs"/>
          <w:b/>
          <w:bCs/>
          <w:rtl/>
        </w:rPr>
        <w:t xml:space="preserve">על 20 חודשי מאסר בפועל </w:t>
      </w:r>
      <w:r w:rsidR="0022716A">
        <w:rPr>
          <w:rFonts w:hint="cs"/>
          <w:rtl/>
        </w:rPr>
        <w:t xml:space="preserve">והפעיל את עונש המאסר על תנאי בן 10 חודשים במצטבר כך שסך הכל הושתו על המערער 30 חודשי מאסר בפועל. ערעור על חומרת העונש נדחה על ידי בית המשפט העליון, בין היתר, נוכח עברו הפלילי של המערער. </w:t>
      </w:r>
    </w:p>
    <w:p w14:paraId="4B813B13" w14:textId="77777777" w:rsidR="0022716A" w:rsidRDefault="0022716A" w:rsidP="0022716A">
      <w:pPr>
        <w:spacing w:before="240" w:after="240" w:line="360" w:lineRule="auto"/>
        <w:ind w:left="360"/>
        <w:jc w:val="both"/>
        <w:rPr>
          <w:rtl/>
        </w:rPr>
      </w:pPr>
      <w:r>
        <w:rPr>
          <w:rFonts w:hint="cs"/>
          <w:u w:val="single"/>
          <w:rtl/>
        </w:rPr>
        <w:t xml:space="preserve">אשר לעבירת ירי באזור מגורים </w:t>
      </w:r>
      <w:r>
        <w:rPr>
          <w:rFonts w:hint="cs"/>
          <w:rtl/>
        </w:rPr>
        <w:t xml:space="preserve"> - </w:t>
      </w:r>
    </w:p>
    <w:p w14:paraId="37C4220B" w14:textId="77777777" w:rsidR="0022716A" w:rsidRPr="0043117D" w:rsidRDefault="0022716A" w:rsidP="0022716A">
      <w:pPr>
        <w:pStyle w:val="a9"/>
        <w:numPr>
          <w:ilvl w:val="0"/>
          <w:numId w:val="1"/>
        </w:numPr>
        <w:spacing w:before="240" w:after="240" w:line="360" w:lineRule="auto"/>
        <w:contextualSpacing w:val="0"/>
        <w:jc w:val="both"/>
      </w:pPr>
      <w:r>
        <w:rPr>
          <w:rFonts w:hint="cs"/>
          <w:rtl/>
        </w:rPr>
        <w:t xml:space="preserve">בחינת פסיקת בית המשפט העליון מהשנים האחרונות מלמדת על מגמת החמרה בענישה בעבירות ירי באזור </w:t>
      </w:r>
      <w:r w:rsidRPr="0043117D">
        <w:rPr>
          <w:rFonts w:hint="cs"/>
          <w:rtl/>
        </w:rPr>
        <w:t xml:space="preserve">מגורים, זאת </w:t>
      </w:r>
      <w:r>
        <w:rPr>
          <w:rFonts w:hint="cs"/>
          <w:rtl/>
        </w:rPr>
        <w:t>בהתחשב בתיקון 134 ל</w:t>
      </w:r>
      <w:hyperlink r:id="rId22" w:history="1">
        <w:r w:rsidR="00ED20C3" w:rsidRPr="00ED20C3">
          <w:rPr>
            <w:color w:val="0000FF"/>
            <w:u w:val="single"/>
            <w:rtl/>
          </w:rPr>
          <w:t>חוק העונשין</w:t>
        </w:r>
      </w:hyperlink>
      <w:r>
        <w:rPr>
          <w:rFonts w:hint="cs"/>
          <w:rtl/>
        </w:rPr>
        <w:t xml:space="preserve"> במסגרתו הוחמר העונש המרבי בגין ירי מנשק חם באזור מגורים לחמש שנות מאסר, וכן </w:t>
      </w:r>
      <w:r w:rsidRPr="0043117D">
        <w:rPr>
          <w:rFonts w:hint="cs"/>
          <w:rtl/>
        </w:rPr>
        <w:t>"</w:t>
      </w:r>
      <w:r w:rsidRPr="001111DC">
        <w:rPr>
          <w:rFonts w:hint="cs"/>
          <w:b/>
          <w:bCs/>
          <w:rtl/>
        </w:rPr>
        <w:t>על רקע המציאות הקשה שבה אנו נתונים כעת, ואשר חלה ביתר שאת במקרים של ירי מכלי נשק אוטומטי</w:t>
      </w:r>
      <w:r>
        <w:rPr>
          <w:rFonts w:hint="cs"/>
          <w:rtl/>
        </w:rPr>
        <w:t>" [</w:t>
      </w:r>
      <w:hyperlink r:id="rId23" w:history="1">
        <w:r w:rsidR="00ED20C3" w:rsidRPr="00ED20C3">
          <w:rPr>
            <w:color w:val="0000FF"/>
            <w:u w:val="single"/>
            <w:rtl/>
          </w:rPr>
          <w:t>ע"פ 1509/20</w:t>
        </w:r>
      </w:hyperlink>
      <w:r w:rsidRPr="0043117D">
        <w:rPr>
          <w:rFonts w:hint="cs"/>
          <w:rtl/>
        </w:rPr>
        <w:t xml:space="preserve"> </w:t>
      </w:r>
      <w:r w:rsidRPr="001111DC">
        <w:rPr>
          <w:rFonts w:hint="cs"/>
          <w:b/>
          <w:bCs/>
          <w:rtl/>
        </w:rPr>
        <w:t>מדינת ישראל נ' נבארי</w:t>
      </w:r>
      <w:r>
        <w:rPr>
          <w:rFonts w:hint="cs"/>
          <w:rtl/>
        </w:rPr>
        <w:t>, פס' 11-10 (2.7.2020)]</w:t>
      </w:r>
      <w:r w:rsidRPr="0043117D">
        <w:rPr>
          <w:rFonts w:hint="cs"/>
          <w:rtl/>
        </w:rPr>
        <w:t xml:space="preserve">.  </w:t>
      </w:r>
    </w:p>
    <w:p w14:paraId="7A5AC72D" w14:textId="77777777" w:rsidR="0022716A" w:rsidRDefault="0022716A" w:rsidP="0022716A">
      <w:pPr>
        <w:pStyle w:val="a9"/>
        <w:spacing w:before="240" w:after="240" w:line="360" w:lineRule="auto"/>
        <w:ind w:left="360"/>
        <w:contextualSpacing w:val="0"/>
        <w:jc w:val="both"/>
      </w:pPr>
      <w:r>
        <w:rPr>
          <w:rFonts w:hint="cs"/>
          <w:rtl/>
        </w:rPr>
        <w:t>כך למשל נקבע ב</w:t>
      </w:r>
      <w:hyperlink r:id="rId24" w:history="1">
        <w:r w:rsidR="00ED20C3" w:rsidRPr="00ED20C3">
          <w:rPr>
            <w:color w:val="0000FF"/>
            <w:u w:val="single"/>
            <w:rtl/>
          </w:rPr>
          <w:t>ע"פ 4406/19</w:t>
        </w:r>
      </w:hyperlink>
      <w:r>
        <w:rPr>
          <w:rFonts w:hint="cs"/>
          <w:rtl/>
        </w:rPr>
        <w:t xml:space="preserve"> </w:t>
      </w:r>
      <w:r>
        <w:rPr>
          <w:rFonts w:hint="cs"/>
          <w:b/>
          <w:bCs/>
          <w:rtl/>
        </w:rPr>
        <w:t>מדינת ישראל נ' סובח</w:t>
      </w:r>
      <w:r>
        <w:rPr>
          <w:rFonts w:hint="cs"/>
          <w:rtl/>
        </w:rPr>
        <w:t xml:space="preserve"> (5.11.2019): </w:t>
      </w:r>
    </w:p>
    <w:p w14:paraId="0797F89F" w14:textId="77777777" w:rsidR="0022716A" w:rsidRDefault="0022716A" w:rsidP="0022716A">
      <w:pPr>
        <w:pStyle w:val="a9"/>
        <w:spacing w:before="240" w:after="240" w:line="360" w:lineRule="auto"/>
        <w:ind w:left="360"/>
        <w:contextualSpacing w:val="0"/>
        <w:jc w:val="both"/>
        <w:rPr>
          <w:rFonts w:ascii="David" w:hAnsi="David"/>
          <w:rtl/>
        </w:rPr>
      </w:pPr>
      <w:r>
        <w:rPr>
          <w:rFonts w:hint="cs"/>
          <w:rtl/>
        </w:rPr>
        <w:t>"</w:t>
      </w:r>
      <w:r w:rsidRPr="00A379E9">
        <w:rPr>
          <w:rFonts w:ascii="David" w:hAnsi="David"/>
          <w:b/>
          <w:bCs/>
          <w:color w:val="00000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w:t>
      </w:r>
      <w:r w:rsidR="00ED20C3">
        <w:rPr>
          <w:rFonts w:ascii="David" w:hAnsi="David"/>
          <w:b/>
          <w:bCs/>
          <w:color w:val="000000"/>
          <w:rtl/>
        </w:rPr>
        <w:t xml:space="preserve"> </w:t>
      </w:r>
      <w:r w:rsidRPr="00A379E9">
        <w:rPr>
          <w:rFonts w:ascii="David" w:hAnsi="David"/>
          <w:b/>
          <w:bCs/>
          <w:color w:val="000000"/>
          <w:rtl/>
        </w:rPr>
        <w:t>עמאש</w:t>
      </w:r>
      <w:r w:rsidR="00ED20C3">
        <w:rPr>
          <w:rFonts w:ascii="David" w:hAnsi="David"/>
          <w:b/>
          <w:bCs/>
          <w:color w:val="000000"/>
          <w:rtl/>
        </w:rPr>
        <w:t xml:space="preserve"> </w:t>
      </w:r>
      <w:r w:rsidRPr="00A379E9">
        <w:rPr>
          <w:rFonts w:ascii="David" w:hAnsi="David"/>
          <w:b/>
          <w:bCs/>
          <w:color w:val="000000"/>
          <w:rtl/>
        </w:rPr>
        <w:t>צוין כי:</w:t>
      </w:r>
      <w:r>
        <w:rPr>
          <w:rFonts w:ascii="David" w:hAnsi="David" w:hint="cs"/>
          <w:b/>
          <w:bCs/>
          <w:color w:val="000000"/>
          <w:rtl/>
        </w:rPr>
        <w:t xml:space="preserve"> '</w:t>
      </w:r>
      <w:r w:rsidRPr="00A379E9">
        <w:rPr>
          <w:rFonts w:ascii="David" w:hAnsi="David"/>
          <w:b/>
          <w:bCs/>
          <w:color w:val="000000"/>
          <w:rtl/>
        </w:rPr>
        <w:t>רבות נאמר ונכתב על הרעה החולה הפוקדת את מקומותינו ומותירה חלל והרס, היא התופעה של שימוש בנשק חם ברחובה של עיר, גם בשל סכסוכים בעניינים של מה בכך. בית</w:t>
      </w:r>
      <w:r w:rsidR="00ED20C3">
        <w:rPr>
          <w:rFonts w:ascii="David" w:hAnsi="David"/>
          <w:b/>
          <w:bCs/>
          <w:color w:val="000000"/>
          <w:rtl/>
        </w:rPr>
        <w:t xml:space="preserve"> </w:t>
      </w:r>
      <w:r w:rsidRPr="00A379E9">
        <w:rPr>
          <w:rFonts w:ascii="David" w:hAnsi="David"/>
          <w:b/>
          <w:bCs/>
          <w:color w:val="000000"/>
          <w:rtl/>
        </w:rPr>
        <w:t>משפט</w:t>
      </w:r>
      <w:r w:rsidR="00ED20C3">
        <w:rPr>
          <w:rFonts w:ascii="David" w:hAnsi="David"/>
          <w:b/>
          <w:bCs/>
          <w:color w:val="000000"/>
          <w:rtl/>
        </w:rPr>
        <w:t xml:space="preserve"> </w:t>
      </w:r>
      <w:r w:rsidRPr="00A379E9">
        <w:rPr>
          <w:rFonts w:ascii="David" w:hAnsi="David"/>
          <w:b/>
          <w:bCs/>
          <w:color w:val="000000"/>
          <w:rtl/>
        </w:rPr>
        <w:t xml:space="preserve">זה חזר והתריע מפני התפשטות התופעה, וקבע באופן </w:t>
      </w:r>
      <w:r w:rsidRPr="00A379E9">
        <w:rPr>
          <w:rFonts w:ascii="David" w:hAnsi="David"/>
          <w:b/>
          <w:bCs/>
          <w:rtl/>
        </w:rPr>
        <w:t>ברור כי יש להילחם בה ולמגרה באופן הנחרץ ביותר</w:t>
      </w:r>
      <w:r>
        <w:rPr>
          <w:rFonts w:ascii="David" w:hAnsi="David" w:hint="cs"/>
          <w:rtl/>
        </w:rPr>
        <w:t>...</w:t>
      </w:r>
      <w:r>
        <w:rPr>
          <w:rFonts w:ascii="David" w:hAnsi="David" w:hint="cs"/>
          <w:b/>
          <w:bCs/>
          <w:rtl/>
        </w:rPr>
        <w:t>'</w:t>
      </w:r>
      <w:r>
        <w:rPr>
          <w:rFonts w:ascii="David" w:hAnsi="David" w:hint="cs"/>
          <w:rtl/>
        </w:rPr>
        <w:t xml:space="preserve">". </w:t>
      </w:r>
    </w:p>
    <w:p w14:paraId="6C299532" w14:textId="77777777" w:rsidR="0022716A" w:rsidRDefault="00ED20C3" w:rsidP="0022716A">
      <w:pPr>
        <w:pStyle w:val="a9"/>
        <w:numPr>
          <w:ilvl w:val="0"/>
          <w:numId w:val="3"/>
        </w:numPr>
        <w:spacing w:before="240" w:after="240" w:line="360" w:lineRule="auto"/>
        <w:contextualSpacing w:val="0"/>
        <w:jc w:val="both"/>
      </w:pPr>
      <w:hyperlink r:id="rId25" w:history="1">
        <w:r w:rsidRPr="00ED20C3">
          <w:rPr>
            <w:color w:val="0000FF"/>
            <w:u w:val="single"/>
            <w:rtl/>
          </w:rPr>
          <w:t>ע"פ 1509/20</w:t>
        </w:r>
      </w:hyperlink>
      <w:r w:rsidR="0022716A">
        <w:rPr>
          <w:rFonts w:hint="cs"/>
          <w:rtl/>
        </w:rPr>
        <w:t xml:space="preserve"> </w:t>
      </w:r>
      <w:r w:rsidR="0022716A">
        <w:rPr>
          <w:rFonts w:hint="cs"/>
          <w:b/>
          <w:bCs/>
          <w:rtl/>
        </w:rPr>
        <w:t>מדינת ישראל נ' נבארי</w:t>
      </w:r>
      <w:r w:rsidR="0022716A">
        <w:rPr>
          <w:rFonts w:hint="cs"/>
          <w:rtl/>
        </w:rPr>
        <w:t xml:space="preserve"> (2.7.2020) - המשיב הורשע על יסוד הודאתו בעבירות של </w:t>
      </w:r>
      <w:r w:rsidR="0022716A" w:rsidRPr="001111DC">
        <w:rPr>
          <w:rFonts w:hint="cs"/>
          <w:u w:val="single"/>
          <w:rtl/>
        </w:rPr>
        <w:t>נשיאה והובלה</w:t>
      </w:r>
      <w:r w:rsidR="0022716A">
        <w:rPr>
          <w:rFonts w:hint="cs"/>
          <w:rtl/>
        </w:rPr>
        <w:t xml:space="preserve"> של נשק וירי מנשק חם באזור מגורים בכך שבעת לילה נהג ברכב בעיר לוד כשברשותו </w:t>
      </w:r>
      <w:r w:rsidR="0022716A" w:rsidRPr="0050419D">
        <w:rPr>
          <w:rFonts w:hint="cs"/>
          <w:u w:val="single"/>
          <w:rtl/>
        </w:rPr>
        <w:t>תת מקלע</w:t>
      </w:r>
      <w:r w:rsidR="0022716A">
        <w:rPr>
          <w:rFonts w:hint="cs"/>
          <w:rtl/>
        </w:rPr>
        <w:t xml:space="preserve"> מאולתר מסוג קרלו, כשהוא דרוך ובו מחסנית טעונה בכדורים. מסיבה בלתי ידועה, המשיב ירה שני כדורים באזור מגורים ועזב את המקום ברכבו. בית המשפט המחוזי קבע </w:t>
      </w:r>
      <w:r w:rsidR="0022716A" w:rsidRPr="00385A24">
        <w:rPr>
          <w:rFonts w:hint="cs"/>
          <w:b/>
          <w:bCs/>
          <w:rtl/>
        </w:rPr>
        <w:t>מתחם ענישה שנע בין 20 ל- 50 חודשי מאסר</w:t>
      </w:r>
      <w:r w:rsidR="0022716A">
        <w:rPr>
          <w:rFonts w:hint="cs"/>
          <w:rtl/>
        </w:rPr>
        <w:t xml:space="preserve"> והטיל על המשיב 27 חודשי מאסר בפועל, לצד עונשים נלווים. בית המשפט העליון קיבל את ערעור המדינה והעמיד את עונשו של המשיב על 36 חודשי מאסר, תוך שציין כי:</w:t>
      </w:r>
    </w:p>
    <w:p w14:paraId="124D8A2A" w14:textId="77777777" w:rsidR="0022716A" w:rsidRPr="009B4471" w:rsidRDefault="0022716A" w:rsidP="0022716A">
      <w:pPr>
        <w:pStyle w:val="a9"/>
        <w:spacing w:before="240" w:after="240" w:line="360" w:lineRule="auto"/>
        <w:ind w:left="360"/>
        <w:contextualSpacing w:val="0"/>
        <w:jc w:val="both"/>
        <w:rPr>
          <w:rFonts w:ascii="David" w:hAnsi="David"/>
          <w:rtl/>
        </w:rPr>
      </w:pPr>
      <w:r>
        <w:rPr>
          <w:rFonts w:hint="cs"/>
          <w:rtl/>
        </w:rPr>
        <w:t>"</w:t>
      </w:r>
      <w:r w:rsidRPr="00BB1DAE">
        <w:rPr>
          <w:rFonts w:ascii="David" w:hAnsi="David"/>
          <w:b/>
          <w:bCs/>
          <w:rtl/>
        </w:rPr>
        <w:t>בבואו לקבוע את עונשו של המשיב, בית משפט קמא שקל את כל השיקולים שעליו לשקול ואף היה ער לפסיקתו של בית משפט זה בעניין</w:t>
      </w:r>
      <w:r w:rsidR="00ED20C3">
        <w:rPr>
          <w:rFonts w:ascii="David" w:hAnsi="David"/>
          <w:b/>
          <w:bCs/>
          <w:rtl/>
        </w:rPr>
        <w:t xml:space="preserve"> </w:t>
      </w:r>
      <w:r w:rsidRPr="00BB1DAE">
        <w:rPr>
          <w:rFonts w:ascii="David" w:hAnsi="David"/>
          <w:b/>
          <w:bCs/>
          <w:rtl/>
        </w:rPr>
        <w:t>סובח</w:t>
      </w:r>
      <w:r>
        <w:rPr>
          <w:rFonts w:ascii="David" w:hAnsi="David" w:hint="cs"/>
          <w:b/>
          <w:bCs/>
          <w:rtl/>
        </w:rPr>
        <w:t xml:space="preserve">, </w:t>
      </w:r>
      <w:r w:rsidRPr="00BB1DAE">
        <w:rPr>
          <w:rFonts w:ascii="David" w:hAnsi="David"/>
          <w:b/>
          <w:bCs/>
          <w:rtl/>
        </w:rPr>
        <w:t xml:space="preserve">אשר הצהירה על מדיניות ההחמרה בענישה. ברם, </w:t>
      </w:r>
      <w:r w:rsidRPr="00817C67">
        <w:rPr>
          <w:rFonts w:ascii="David" w:hAnsi="David"/>
          <w:b/>
          <w:bCs/>
          <w:rtl/>
        </w:rPr>
        <w:t>ב</w:t>
      </w:r>
      <w:r w:rsidRPr="005F3EF3">
        <w:rPr>
          <w:rFonts w:ascii="David" w:hAnsi="David"/>
          <w:b/>
          <w:bCs/>
          <w:u w:val="single"/>
          <w:rtl/>
        </w:rPr>
        <w:t>ית משפט קמא לא נתן ביטוי הולם למדיניות זו בקביעת המתחם הראוי לעונשו של המשיב</w:t>
      </w:r>
      <w:r w:rsidRPr="00BB1DAE">
        <w:rPr>
          <w:rFonts w:ascii="David" w:hAnsi="David"/>
          <w:b/>
          <w:bCs/>
          <w:rtl/>
        </w:rPr>
        <w:t xml:space="preserve">. לאור מדיניות זו, </w:t>
      </w:r>
      <w:r w:rsidRPr="00817C67">
        <w:rPr>
          <w:rFonts w:ascii="David" w:hAnsi="David"/>
          <w:b/>
          <w:bCs/>
          <w:rtl/>
        </w:rPr>
        <w:t xml:space="preserve">ולנוכח הריבוי של אירועי ירי באזורי מגורים בעת האחרונה, </w:t>
      </w:r>
      <w:r w:rsidRPr="00BB1DAE">
        <w:rPr>
          <w:rFonts w:ascii="David" w:hAnsi="David"/>
          <w:b/>
          <w:bCs/>
          <w:u w:val="single"/>
          <w:rtl/>
        </w:rPr>
        <w:t>הרף התחתון של המתחם צריך, לדעתי, להיות גבוה יותר מעשרים חודשי מאסר, וזאת באופן משמעותי</w:t>
      </w:r>
      <w:r w:rsidRPr="00817C67">
        <w:rPr>
          <w:rFonts w:ascii="David" w:hAnsi="David" w:hint="cs"/>
          <w:b/>
          <w:bCs/>
          <w:rtl/>
        </w:rPr>
        <w:t xml:space="preserve">... </w:t>
      </w:r>
      <w:r w:rsidRPr="00817C67">
        <w:rPr>
          <w:rFonts w:ascii="David" w:hAnsi="David"/>
          <w:b/>
          <w:bCs/>
          <w:rtl/>
        </w:rPr>
        <w:t>לאור הצורך החברתי להחמיר בענישה כל אימת שמדובר בירי באזור מגורים, וכן בהתחשב במכלול הנסיבות – לרבות השימוש שעשה המשיב בנשק אוטומטי מאולתר – הנני סבור אפוא כי ראוי היה להטיל על המשיב מאסר בפועל לתקופה ממושכת</w:t>
      </w:r>
      <w:r>
        <w:rPr>
          <w:rFonts w:ascii="David" w:hAnsi="David" w:hint="cs"/>
          <w:rtl/>
        </w:rPr>
        <w:t xml:space="preserve">" [ההדגשות הוספו - ב.ש]. </w:t>
      </w:r>
    </w:p>
    <w:p w14:paraId="43BA2F6B" w14:textId="77777777" w:rsidR="0022716A" w:rsidRPr="007642A0" w:rsidRDefault="0022716A" w:rsidP="0022716A">
      <w:pPr>
        <w:pStyle w:val="a9"/>
        <w:spacing w:before="240" w:after="240" w:line="360" w:lineRule="auto"/>
        <w:ind w:left="360"/>
        <w:contextualSpacing w:val="0"/>
        <w:jc w:val="both"/>
        <w:rPr>
          <w:rtl/>
        </w:rPr>
      </w:pPr>
      <w:r w:rsidRPr="007642A0">
        <w:rPr>
          <w:rFonts w:hint="cs"/>
          <w:rtl/>
        </w:rPr>
        <w:t xml:space="preserve">אני ער לעובדה כי קיים שוני ברמת החומרה בין עבירה של נשיאת נשק מסוג תת מקלע לבין עבירה של החזקת נשק מסוג אקדח חצי אוטומטי. אך כידוע, שומה על בית המשפט להפעיל את שיקול דעתו ולבחון כל מקרה לגופו, על פי נסיבותיו הפרטניות. בעניין נבארי, נשיאת הנשק, תוך כדי נסיעה ברכב, הייתה למרחק קצר בלבד, בתוך "בלוק מבנים", הירי כוון לאוויר ובוצע בשעת לילה מאוחרת כשנבארי היה בגפו. לעומת זאת, בעניינו, החזיק הנאשם אקדח חצי אוטומטי במהלך תגרה אלימה שהתרחשה בשעות היום במתחם מגורים צפוף ומרובה משתתפים וביצע ירי באוויר תוך קריאות איום לעברם. </w:t>
      </w:r>
      <w:r>
        <w:rPr>
          <w:rFonts w:hint="cs"/>
          <w:rtl/>
        </w:rPr>
        <w:t xml:space="preserve">בהינתן העובדה כי המתחם שנקבע בעניינו של נבארי זכה לביקורת של בית המשפט העליון, ועל יסוד ההנחה כי עניינו של נבארי חמור במעט מענייננו נוכח השוני בהוראות החיקוק; נראה כי מתחם שהרף התחתון שלו עומד על 20 חודשי מאסר משקף באופן הולם את כלל הנתונים. </w:t>
      </w:r>
    </w:p>
    <w:p w14:paraId="58BA049F" w14:textId="77777777" w:rsidR="0022716A" w:rsidRDefault="00ED20C3" w:rsidP="0022716A">
      <w:pPr>
        <w:pStyle w:val="a9"/>
        <w:numPr>
          <w:ilvl w:val="0"/>
          <w:numId w:val="3"/>
        </w:numPr>
        <w:spacing w:before="240" w:after="240" w:line="360" w:lineRule="auto"/>
        <w:contextualSpacing w:val="0"/>
        <w:jc w:val="both"/>
      </w:pPr>
      <w:hyperlink r:id="rId26" w:history="1">
        <w:r w:rsidRPr="00ED20C3">
          <w:rPr>
            <w:color w:val="0000FF"/>
            <w:u w:val="single"/>
            <w:rtl/>
          </w:rPr>
          <w:t>ע"פ 4876/12</w:t>
        </w:r>
      </w:hyperlink>
      <w:r w:rsidR="0022716A">
        <w:rPr>
          <w:rFonts w:hint="cs"/>
          <w:rtl/>
        </w:rPr>
        <w:t xml:space="preserve"> </w:t>
      </w:r>
      <w:r w:rsidR="0022716A">
        <w:rPr>
          <w:rFonts w:hint="cs"/>
          <w:b/>
          <w:bCs/>
          <w:rtl/>
        </w:rPr>
        <w:t>עמר נ' מדינת ישראל</w:t>
      </w:r>
      <w:r w:rsidR="0022716A">
        <w:rPr>
          <w:rFonts w:hint="cs"/>
          <w:rtl/>
        </w:rPr>
        <w:t xml:space="preserve"> (23.1.2013) - המערער הורשע על יסוד הודאתו במסגרת הסדר טיעון בעבירות של החזקת נשק, איומים, ירי באזור מגורים ומעשה פזיזות ורשלנות בכך שעל רקע סכסוך עם המתלונן, שלף המערער אקדח וירה מתוך רכבו מספר יריות אשר חלקן פגעו בחלק האחורי של הרכב של המתלונן. בית המשפט המחוזי הטיל על המערער 30 חודשי מאסר בפועל, לצד עונשים נלווים. בית המשפט העליון קיבל את הערעור שהגיש המערער והעמיד את עונשו על</w:t>
      </w:r>
      <w:r w:rsidR="0022716A" w:rsidRPr="00385114">
        <w:rPr>
          <w:rFonts w:hint="cs"/>
          <w:b/>
          <w:bCs/>
          <w:rtl/>
        </w:rPr>
        <w:t xml:space="preserve"> 24 חודשי מאסר</w:t>
      </w:r>
      <w:r w:rsidR="0022716A">
        <w:rPr>
          <w:rFonts w:hint="cs"/>
          <w:rtl/>
        </w:rPr>
        <w:t xml:space="preserve">, בין היתר, נוכח הסכמת המשיבה להפחתה "שולית" בעונשו של המערער על רקע הסדר אליו הגיעו הצדדים. </w:t>
      </w:r>
    </w:p>
    <w:p w14:paraId="73501F0D" w14:textId="77777777" w:rsidR="0022716A" w:rsidRDefault="00ED20C3" w:rsidP="0022716A">
      <w:pPr>
        <w:pStyle w:val="a9"/>
        <w:numPr>
          <w:ilvl w:val="0"/>
          <w:numId w:val="3"/>
        </w:numPr>
        <w:spacing w:before="240" w:after="240" w:line="360" w:lineRule="auto"/>
        <w:contextualSpacing w:val="0"/>
        <w:jc w:val="both"/>
      </w:pPr>
      <w:hyperlink r:id="rId27" w:history="1">
        <w:r w:rsidRPr="00ED20C3">
          <w:rPr>
            <w:color w:val="0000FF"/>
            <w:u w:val="single"/>
            <w:rtl/>
          </w:rPr>
          <w:t>ת"פ (י-ם) 30340-08-20</w:t>
        </w:r>
      </w:hyperlink>
      <w:r w:rsidR="0022716A">
        <w:rPr>
          <w:rFonts w:hint="cs"/>
          <w:rtl/>
        </w:rPr>
        <w:t xml:space="preserve"> </w:t>
      </w:r>
      <w:r w:rsidR="0022716A">
        <w:rPr>
          <w:rFonts w:hint="cs"/>
          <w:b/>
          <w:bCs/>
          <w:rtl/>
        </w:rPr>
        <w:t>מדינת ישראל נ' סביח</w:t>
      </w:r>
      <w:r w:rsidR="0022716A">
        <w:rPr>
          <w:rFonts w:hint="cs"/>
          <w:rtl/>
        </w:rPr>
        <w:t xml:space="preserve"> (31.1.2021) - הנאשם 1 (להלן - </w:t>
      </w:r>
      <w:r w:rsidR="0022716A">
        <w:rPr>
          <w:rFonts w:hint="cs"/>
          <w:b/>
          <w:bCs/>
          <w:rtl/>
        </w:rPr>
        <w:t>הנאשם</w:t>
      </w:r>
      <w:r w:rsidR="0022716A">
        <w:rPr>
          <w:rFonts w:hint="cs"/>
          <w:rtl/>
        </w:rPr>
        <w:t xml:space="preserve">) הורשע על יסוד הודאתו במסגרת הסדר טיעון בעבירות של החזקת נשק ותחמושת, נשיאת נשק וירי באזור מגורים בכך שהשיג נשק מסוג </w:t>
      </w:r>
      <w:r w:rsidR="0022716A">
        <w:t>M-16</w:t>
      </w:r>
      <w:r w:rsidR="0022716A">
        <w:rPr>
          <w:rFonts w:hint="cs"/>
          <w:rtl/>
        </w:rPr>
        <w:t xml:space="preserve"> ותחמושת. במספר הזדמנויות ירה הנאשם בנשק באוויר, בין היתר במסגרת חגיגות שונות. בית המשפט המחוזי קבע </w:t>
      </w:r>
      <w:r w:rsidR="0022716A" w:rsidRPr="00762AB0">
        <w:rPr>
          <w:rFonts w:hint="cs"/>
          <w:b/>
          <w:bCs/>
          <w:rtl/>
        </w:rPr>
        <w:t>מתחם ענישה שנע בין 30 ל- 60 חודשי מאסר</w:t>
      </w:r>
      <w:r w:rsidR="0022716A">
        <w:rPr>
          <w:rFonts w:hint="cs"/>
          <w:rtl/>
        </w:rPr>
        <w:t xml:space="preserve"> והטיל על הנאשם 32 חודש מאסר, לצד עונשים נלווים. הוגש ערעור על חומרת העונש אולם טרם ניתן פסק דין. </w:t>
      </w:r>
    </w:p>
    <w:p w14:paraId="63C42703" w14:textId="77777777" w:rsidR="0022716A" w:rsidRDefault="0022716A" w:rsidP="0022716A">
      <w:pPr>
        <w:pStyle w:val="a9"/>
        <w:numPr>
          <w:ilvl w:val="0"/>
          <w:numId w:val="1"/>
        </w:numPr>
        <w:spacing w:before="240" w:after="240" w:line="360" w:lineRule="auto"/>
        <w:contextualSpacing w:val="0"/>
        <w:jc w:val="both"/>
        <w:rPr>
          <w:rFonts w:ascii="David" w:hAnsi="David"/>
        </w:rPr>
      </w:pPr>
      <w:r>
        <w:rPr>
          <w:rFonts w:ascii="David" w:hAnsi="David" w:hint="cs"/>
          <w:rtl/>
        </w:rPr>
        <w:t xml:space="preserve">על יסוד כלל השיקולים שפורטו, ראיתי לקבוע </w:t>
      </w:r>
      <w:r w:rsidRPr="00385A24">
        <w:rPr>
          <w:rFonts w:ascii="David" w:hAnsi="David" w:hint="cs"/>
          <w:b/>
          <w:bCs/>
          <w:rtl/>
        </w:rPr>
        <w:t>מתחם עונש הולם נע בין</w:t>
      </w:r>
      <w:r>
        <w:rPr>
          <w:rFonts w:ascii="David" w:hAnsi="David" w:hint="cs"/>
          <w:b/>
          <w:bCs/>
          <w:rtl/>
        </w:rPr>
        <w:t xml:space="preserve"> 20 ל- 48 </w:t>
      </w:r>
      <w:r w:rsidRPr="00385A24">
        <w:rPr>
          <w:rFonts w:ascii="David" w:hAnsi="David" w:hint="cs"/>
          <w:b/>
          <w:bCs/>
          <w:rtl/>
        </w:rPr>
        <w:t>חודשי מאסר</w:t>
      </w:r>
      <w:r>
        <w:rPr>
          <w:rFonts w:ascii="David" w:hAnsi="David" w:hint="cs"/>
          <w:rtl/>
        </w:rPr>
        <w:t xml:space="preserve">.  </w:t>
      </w:r>
    </w:p>
    <w:p w14:paraId="77199081" w14:textId="77777777" w:rsidR="0022716A" w:rsidRPr="003D1209" w:rsidRDefault="0022716A" w:rsidP="0022716A">
      <w:pPr>
        <w:pStyle w:val="a9"/>
        <w:spacing w:before="240" w:after="240" w:line="360" w:lineRule="auto"/>
        <w:ind w:left="360"/>
        <w:contextualSpacing w:val="0"/>
        <w:jc w:val="both"/>
        <w:rPr>
          <w:rFonts w:ascii="David" w:hAnsi="David"/>
          <w:u w:val="single"/>
        </w:rPr>
      </w:pPr>
      <w:r>
        <w:rPr>
          <w:rFonts w:ascii="David" w:hAnsi="David" w:hint="cs"/>
          <w:u w:val="single"/>
          <w:rtl/>
        </w:rPr>
        <w:t>קביעת העונש המתאים</w:t>
      </w:r>
    </w:p>
    <w:p w14:paraId="2AC98CB7" w14:textId="77777777" w:rsidR="0022716A" w:rsidRPr="003D1209" w:rsidRDefault="0022716A" w:rsidP="0022716A">
      <w:pPr>
        <w:pStyle w:val="a9"/>
        <w:numPr>
          <w:ilvl w:val="0"/>
          <w:numId w:val="1"/>
        </w:numPr>
        <w:spacing w:before="240" w:after="240" w:line="360" w:lineRule="auto"/>
        <w:contextualSpacing w:val="0"/>
        <w:jc w:val="both"/>
        <w:rPr>
          <w:rFonts w:ascii="David" w:hAnsi="David"/>
        </w:rPr>
      </w:pPr>
      <w:r>
        <w:rPr>
          <w:rFonts w:hint="cs"/>
          <w:rtl/>
        </w:rPr>
        <w:t>בבחינת הנסיבות שאינן קשורות לביצוע העבירה נתתי דעתי לנתונים הבאים:</w:t>
      </w:r>
    </w:p>
    <w:p w14:paraId="11281908" w14:textId="77777777" w:rsidR="0022716A" w:rsidRDefault="0022716A" w:rsidP="0022716A">
      <w:pPr>
        <w:pStyle w:val="a9"/>
        <w:spacing w:before="240" w:after="240" w:line="360" w:lineRule="auto"/>
        <w:ind w:left="360"/>
        <w:contextualSpacing w:val="0"/>
        <w:jc w:val="both"/>
        <w:rPr>
          <w:rFonts w:ascii="David" w:hAnsi="David"/>
          <w:rtl/>
        </w:rPr>
      </w:pPr>
      <w:r w:rsidRPr="00932BDB">
        <w:rPr>
          <w:rFonts w:hint="cs"/>
          <w:b/>
          <w:bCs/>
          <w:rtl/>
        </w:rPr>
        <w:t>הודאת הנאשם ולקיחת האחריות</w:t>
      </w:r>
      <w:r>
        <w:rPr>
          <w:rFonts w:hint="cs"/>
          <w:rtl/>
        </w:rPr>
        <w:t xml:space="preserve"> - אין חולק כי מדובר בנתון המצדיק הקלה בעונש, הן נוכח החיסכון בזמן הציבורי, הן </w:t>
      </w:r>
      <w:r>
        <w:rPr>
          <w:rFonts w:ascii="David" w:hAnsi="David" w:hint="cs"/>
          <w:rtl/>
        </w:rPr>
        <w:t xml:space="preserve">נוכח מוטיב הפנמת הפסול במעשיו, והן נוכח העובדה כי הודאתו הובילה לחסכון בעדות עדים מבני המשפחה, סיטואציה שהיה בה כדי להעצים את הסכסוך המתואר בכתב האישום.  </w:t>
      </w:r>
    </w:p>
    <w:p w14:paraId="4A55057F" w14:textId="77777777" w:rsidR="0022716A" w:rsidRDefault="0022716A" w:rsidP="0022716A">
      <w:pPr>
        <w:pStyle w:val="a9"/>
        <w:spacing w:before="240" w:after="240" w:line="360" w:lineRule="auto"/>
        <w:ind w:left="360"/>
        <w:contextualSpacing w:val="0"/>
        <w:jc w:val="both"/>
        <w:rPr>
          <w:rFonts w:ascii="David" w:hAnsi="David"/>
          <w:rtl/>
        </w:rPr>
      </w:pPr>
      <w:r>
        <w:rPr>
          <w:rFonts w:ascii="David" w:hAnsi="David" w:hint="cs"/>
          <w:b/>
          <w:bCs/>
          <w:rtl/>
        </w:rPr>
        <w:t>העדר עבר פלילי</w:t>
      </w:r>
      <w:r>
        <w:rPr>
          <w:rFonts w:ascii="David" w:hAnsi="David" w:hint="cs"/>
          <w:rtl/>
        </w:rPr>
        <w:t xml:space="preserve"> - אין לחובת הנאשם הרשעות קודמות וזוהי הרשעתו היחידה בפלילים. לנתון זה משקל משמעותי בקביעת העונש המתאים. </w:t>
      </w:r>
    </w:p>
    <w:p w14:paraId="3AC0BED1" w14:textId="77777777" w:rsidR="0022716A" w:rsidRPr="00EE5C3C" w:rsidRDefault="0022716A" w:rsidP="0022716A">
      <w:pPr>
        <w:pStyle w:val="a9"/>
        <w:spacing w:before="240" w:after="240" w:line="360" w:lineRule="auto"/>
        <w:ind w:left="360"/>
        <w:contextualSpacing w:val="0"/>
        <w:jc w:val="both"/>
        <w:rPr>
          <w:rFonts w:ascii="David" w:hAnsi="David"/>
          <w:rtl/>
        </w:rPr>
      </w:pPr>
      <w:r>
        <w:rPr>
          <w:rFonts w:ascii="David" w:hAnsi="David" w:hint="cs"/>
          <w:b/>
          <w:bCs/>
          <w:rtl/>
        </w:rPr>
        <w:t>ריצוי מאסר ראשון</w:t>
      </w:r>
      <w:r>
        <w:rPr>
          <w:rFonts w:ascii="David" w:hAnsi="David" w:hint="cs"/>
          <w:rtl/>
        </w:rPr>
        <w:t xml:space="preserve"> - הפסיקה הכירה בתקופת המאסר הראשונה כקשה במיוחד והכירה בנתון זה כמצדיק התחשבות בענישה. יש לפעול כך גם בעניינו של הנאשם. </w:t>
      </w:r>
    </w:p>
    <w:p w14:paraId="0F651E10" w14:textId="77777777" w:rsidR="0022716A" w:rsidRDefault="0022716A" w:rsidP="0022716A">
      <w:pPr>
        <w:pStyle w:val="a9"/>
        <w:spacing w:before="240" w:after="240" w:line="360" w:lineRule="auto"/>
        <w:ind w:left="360"/>
        <w:contextualSpacing w:val="0"/>
        <w:jc w:val="both"/>
        <w:rPr>
          <w:rFonts w:ascii="David" w:hAnsi="David"/>
          <w:rtl/>
        </w:rPr>
      </w:pPr>
      <w:r>
        <w:rPr>
          <w:rFonts w:ascii="David" w:hAnsi="David" w:hint="cs"/>
          <w:b/>
          <w:bCs/>
          <w:rtl/>
        </w:rPr>
        <w:t>נסיבות אישיות נוספות</w:t>
      </w:r>
      <w:r>
        <w:rPr>
          <w:rFonts w:ascii="David" w:hAnsi="David" w:hint="cs"/>
          <w:rtl/>
        </w:rPr>
        <w:t xml:space="preserve"> - נתתי דעתי לעובדה שהנאשם נשוי ואב לתינוקת בת שנה, כמו גם למצבו הרפואי ולהשתלבותו בהליך טיפולי. </w:t>
      </w:r>
    </w:p>
    <w:p w14:paraId="353EFFE3" w14:textId="77777777" w:rsidR="0022716A" w:rsidRDefault="0022716A" w:rsidP="0022716A">
      <w:pPr>
        <w:pStyle w:val="a9"/>
        <w:numPr>
          <w:ilvl w:val="0"/>
          <w:numId w:val="1"/>
        </w:numPr>
        <w:spacing w:before="240" w:after="240" w:line="360" w:lineRule="auto"/>
        <w:contextualSpacing w:val="0"/>
        <w:jc w:val="both"/>
        <w:rPr>
          <w:rFonts w:ascii="David" w:hAnsi="David"/>
        </w:rPr>
      </w:pPr>
      <w:r>
        <w:rPr>
          <w:rFonts w:ascii="David" w:hAnsi="David" w:hint="cs"/>
          <w:rtl/>
        </w:rPr>
        <w:t xml:space="preserve">לאור האמור, מצאתי למקם את עונשו של הנאשם בתחתית המתחם שנקבע. </w:t>
      </w:r>
    </w:p>
    <w:p w14:paraId="4CEB8A85" w14:textId="77777777" w:rsidR="0022716A" w:rsidRDefault="0022716A" w:rsidP="0022716A">
      <w:pPr>
        <w:pStyle w:val="a9"/>
        <w:spacing w:before="240" w:after="240" w:line="360" w:lineRule="auto"/>
        <w:ind w:left="360"/>
        <w:contextualSpacing w:val="0"/>
        <w:jc w:val="both"/>
        <w:rPr>
          <w:rFonts w:ascii="David" w:hAnsi="David"/>
          <w:u w:val="single"/>
          <w:rtl/>
        </w:rPr>
      </w:pPr>
    </w:p>
    <w:p w14:paraId="032DEF1B" w14:textId="77777777" w:rsidR="0022716A" w:rsidRDefault="0022716A" w:rsidP="0022716A">
      <w:pPr>
        <w:pStyle w:val="a9"/>
        <w:spacing w:before="240" w:after="240" w:line="360" w:lineRule="auto"/>
        <w:ind w:left="360"/>
        <w:contextualSpacing w:val="0"/>
        <w:jc w:val="both"/>
        <w:rPr>
          <w:rFonts w:ascii="David" w:hAnsi="David"/>
          <w:u w:val="single"/>
          <w:rtl/>
        </w:rPr>
      </w:pPr>
    </w:p>
    <w:p w14:paraId="143A89AC" w14:textId="77777777" w:rsidR="0022716A" w:rsidRDefault="0022716A" w:rsidP="0022716A">
      <w:pPr>
        <w:pStyle w:val="a9"/>
        <w:spacing w:before="240" w:after="240" w:line="360" w:lineRule="auto"/>
        <w:ind w:left="360"/>
        <w:contextualSpacing w:val="0"/>
        <w:jc w:val="both"/>
        <w:rPr>
          <w:rFonts w:ascii="David" w:hAnsi="David"/>
          <w:u w:val="single"/>
          <w:rtl/>
        </w:rPr>
      </w:pPr>
      <w:r>
        <w:rPr>
          <w:rFonts w:ascii="David" w:hAnsi="David" w:hint="cs"/>
          <w:u w:val="single"/>
          <w:rtl/>
        </w:rPr>
        <w:t>סוף דבר</w:t>
      </w:r>
    </w:p>
    <w:p w14:paraId="24C03B11" w14:textId="77777777" w:rsidR="0022716A" w:rsidRPr="00A07014" w:rsidRDefault="0022716A" w:rsidP="0022716A">
      <w:pPr>
        <w:pStyle w:val="a9"/>
        <w:numPr>
          <w:ilvl w:val="0"/>
          <w:numId w:val="1"/>
        </w:numPr>
        <w:spacing w:before="240" w:after="240" w:line="360" w:lineRule="auto"/>
        <w:contextualSpacing w:val="0"/>
        <w:jc w:val="both"/>
        <w:rPr>
          <w:rFonts w:ascii="David" w:hAnsi="David"/>
        </w:rPr>
      </w:pPr>
      <w:r>
        <w:rPr>
          <w:rtl/>
        </w:rPr>
        <w:t>על בסיס השיקולים שפורטו לעיל, ראיתי לגזור על הנאשם את העונשים הבאים:</w:t>
      </w:r>
    </w:p>
    <w:p w14:paraId="7DA6D2C3" w14:textId="77777777" w:rsidR="0022716A" w:rsidRDefault="0022716A" w:rsidP="0022716A">
      <w:pPr>
        <w:pStyle w:val="a9"/>
        <w:numPr>
          <w:ilvl w:val="0"/>
          <w:numId w:val="4"/>
        </w:numPr>
        <w:spacing w:before="240" w:after="240" w:line="360" w:lineRule="auto"/>
        <w:contextualSpacing w:val="0"/>
        <w:jc w:val="both"/>
        <w:rPr>
          <w:rFonts w:ascii="David" w:hAnsi="David"/>
        </w:rPr>
      </w:pPr>
      <w:r>
        <w:rPr>
          <w:rFonts w:hint="cs"/>
          <w:rtl/>
        </w:rPr>
        <w:t xml:space="preserve">20 </w:t>
      </w:r>
      <w:r>
        <w:rPr>
          <w:rtl/>
        </w:rPr>
        <w:t>חודשי מאסר בפועל, בקיזוז ימי מעצרו</w:t>
      </w:r>
      <w:r>
        <w:rPr>
          <w:rFonts w:hint="cs"/>
          <w:rtl/>
        </w:rPr>
        <w:t xml:space="preserve"> (20.1.2021-17.11.2020). </w:t>
      </w:r>
    </w:p>
    <w:p w14:paraId="03F09002" w14:textId="77777777" w:rsidR="0022716A" w:rsidRPr="0015044A" w:rsidRDefault="0022716A" w:rsidP="0022716A">
      <w:pPr>
        <w:pStyle w:val="a9"/>
        <w:spacing w:before="240" w:after="240" w:line="360" w:lineRule="auto"/>
        <w:ind w:left="662" w:right="302"/>
        <w:contextualSpacing w:val="0"/>
        <w:jc w:val="both"/>
        <w:rPr>
          <w:rFonts w:ascii="David" w:hAnsi="David"/>
        </w:rPr>
      </w:pPr>
      <w:r>
        <w:rPr>
          <w:rFonts w:ascii="David" w:hAnsi="David" w:hint="cs"/>
          <w:rtl/>
        </w:rPr>
        <w:t xml:space="preserve">הנאשם יתייצב ביום 3.10.2021 בשעה 08:00 במתקן ניצן או במתקן אחר עליו יורה שב"ס בהליך המיון המוקדם, ככל שייערך כזה. </w:t>
      </w:r>
    </w:p>
    <w:p w14:paraId="3ED1584C" w14:textId="77777777" w:rsidR="0022716A" w:rsidRPr="00A07014" w:rsidRDefault="0022716A" w:rsidP="0022716A">
      <w:pPr>
        <w:pStyle w:val="a9"/>
        <w:numPr>
          <w:ilvl w:val="0"/>
          <w:numId w:val="4"/>
        </w:numPr>
        <w:spacing w:before="240" w:after="240" w:line="360" w:lineRule="auto"/>
        <w:contextualSpacing w:val="0"/>
        <w:jc w:val="both"/>
        <w:rPr>
          <w:rFonts w:ascii="David" w:hAnsi="David"/>
        </w:rPr>
      </w:pPr>
      <w:r>
        <w:rPr>
          <w:rtl/>
        </w:rPr>
        <w:t xml:space="preserve">8 חודשי מאסר אולם הנאשם לא יישא עונש זה, אלא אם יעבור תוך 3 שנים מיום שחרורו </w:t>
      </w:r>
      <w:r>
        <w:rPr>
          <w:rFonts w:hint="cs"/>
          <w:rtl/>
        </w:rPr>
        <w:t xml:space="preserve">כל עבירת נשק מסוג פשע, או עבירת אלימות נגד </w:t>
      </w:r>
      <w:r>
        <w:rPr>
          <w:rtl/>
        </w:rPr>
        <w:t>הגוף מסוג פשע</w:t>
      </w:r>
      <w:r>
        <w:rPr>
          <w:rFonts w:hint="cs"/>
          <w:rtl/>
        </w:rPr>
        <w:t>.</w:t>
      </w:r>
    </w:p>
    <w:p w14:paraId="00351E99" w14:textId="77777777" w:rsidR="0022716A" w:rsidRDefault="0022716A" w:rsidP="0022716A">
      <w:pPr>
        <w:pStyle w:val="a9"/>
        <w:numPr>
          <w:ilvl w:val="0"/>
          <w:numId w:val="4"/>
        </w:numPr>
        <w:spacing w:before="240" w:after="240" w:line="360" w:lineRule="auto"/>
        <w:contextualSpacing w:val="0"/>
        <w:jc w:val="both"/>
        <w:rPr>
          <w:rFonts w:ascii="David" w:hAnsi="David"/>
        </w:rPr>
      </w:pPr>
      <w:r>
        <w:rPr>
          <w:rFonts w:hint="cs"/>
          <w:rtl/>
        </w:rPr>
        <w:t>4</w:t>
      </w:r>
      <w:r>
        <w:rPr>
          <w:rtl/>
        </w:rPr>
        <w:t xml:space="preserve"> חודשי מאסר אולם הנאשם לא יישא עונש זה, אלא אם יעבור תוך 3 שנים מיום שחרורו </w:t>
      </w:r>
      <w:r>
        <w:rPr>
          <w:rFonts w:hint="cs"/>
          <w:rtl/>
        </w:rPr>
        <w:t xml:space="preserve">כל </w:t>
      </w:r>
      <w:r>
        <w:rPr>
          <w:rtl/>
        </w:rPr>
        <w:t>עבירת אלימות נגד הגוף מסוג עוון.</w:t>
      </w:r>
    </w:p>
    <w:p w14:paraId="10E395E6" w14:textId="77777777" w:rsidR="0022716A" w:rsidRPr="00991513" w:rsidRDefault="0022716A" w:rsidP="0022716A">
      <w:pPr>
        <w:pStyle w:val="a9"/>
        <w:numPr>
          <w:ilvl w:val="0"/>
          <w:numId w:val="4"/>
        </w:numPr>
        <w:spacing w:before="240" w:after="240" w:line="360" w:lineRule="auto"/>
        <w:contextualSpacing w:val="0"/>
        <w:jc w:val="both"/>
      </w:pPr>
      <w:r w:rsidRPr="00991513">
        <w:rPr>
          <w:rFonts w:ascii="David" w:hAnsi="David" w:hint="cs"/>
          <w:rtl/>
        </w:rPr>
        <w:t>קנס כספי בסך 3,000 ₪ או 15 ימי מאסר תמורתו</w:t>
      </w:r>
      <w:r>
        <w:rPr>
          <w:rFonts w:ascii="David" w:hAnsi="David" w:hint="cs"/>
          <w:rtl/>
        </w:rPr>
        <w:t>. הקנס יקוזז מההפקדה הקיימת בתיק המעצר (</w:t>
      </w:r>
      <w:hyperlink r:id="rId28" w:history="1">
        <w:r w:rsidR="00ED20C3" w:rsidRPr="00ED20C3">
          <w:rPr>
            <w:rFonts w:ascii="David" w:hAnsi="David"/>
            <w:color w:val="0000FF"/>
            <w:u w:val="single"/>
            <w:rtl/>
          </w:rPr>
          <w:t>מ"ת 67460-11-20</w:t>
        </w:r>
      </w:hyperlink>
      <w:r>
        <w:rPr>
          <w:rFonts w:ascii="David" w:hAnsi="David" w:hint="cs"/>
          <w:rtl/>
        </w:rPr>
        <w:t xml:space="preserve">) והיתרה תושב לנאשם לאחר התייצבותו למאסר. </w:t>
      </w:r>
    </w:p>
    <w:p w14:paraId="05FA4285" w14:textId="77777777" w:rsidR="0022716A" w:rsidRDefault="0022716A" w:rsidP="0022716A">
      <w:pPr>
        <w:spacing w:before="240" w:after="240" w:line="360" w:lineRule="auto"/>
        <w:ind w:left="302"/>
        <w:jc w:val="both"/>
        <w:rPr>
          <w:rtl/>
        </w:rPr>
      </w:pPr>
    </w:p>
    <w:p w14:paraId="6CD69F5E" w14:textId="77777777" w:rsidR="0022716A" w:rsidRDefault="0022716A" w:rsidP="0022716A">
      <w:pPr>
        <w:spacing w:before="240" w:after="240" w:line="360" w:lineRule="auto"/>
        <w:ind w:left="302"/>
        <w:jc w:val="both"/>
        <w:rPr>
          <w:rtl/>
        </w:rPr>
      </w:pPr>
      <w:r>
        <w:rPr>
          <w:rFonts w:hint="cs"/>
          <w:rtl/>
        </w:rPr>
        <w:t xml:space="preserve">ניתן צו כללי למוצגים לשיקול קצין משטרה ו/או התביעה. </w:t>
      </w:r>
    </w:p>
    <w:p w14:paraId="00ACCE3F" w14:textId="77777777" w:rsidR="0022716A" w:rsidRPr="00A07014" w:rsidRDefault="0022716A" w:rsidP="0022716A">
      <w:pPr>
        <w:spacing w:before="240" w:after="240" w:line="360" w:lineRule="auto"/>
        <w:ind w:left="302"/>
        <w:jc w:val="both"/>
      </w:pPr>
      <w:r>
        <w:rPr>
          <w:rFonts w:hint="cs"/>
          <w:rtl/>
        </w:rPr>
        <w:t xml:space="preserve">הטלפונים הניידים שנתפסו, יושבו לנאשם או לבעליהם. </w:t>
      </w:r>
    </w:p>
    <w:p w14:paraId="0070FE90" w14:textId="77777777" w:rsidR="0022716A" w:rsidRDefault="0022716A" w:rsidP="0022716A">
      <w:pPr>
        <w:spacing w:before="240" w:after="240" w:line="360" w:lineRule="auto"/>
        <w:ind w:firstLine="302"/>
      </w:pPr>
      <w:r>
        <w:rPr>
          <w:rtl/>
        </w:rPr>
        <w:t>זכות ערעור כחוק.</w:t>
      </w:r>
    </w:p>
    <w:p w14:paraId="09E28C38" w14:textId="77777777" w:rsidR="0022716A" w:rsidRDefault="00ED20C3" w:rsidP="0022716A">
      <w:pPr>
        <w:rPr>
          <w:rFonts w:hint="cs"/>
          <w:rtl/>
        </w:rPr>
      </w:pPr>
      <w:bookmarkStart w:id="8" w:name="Nitan"/>
      <w:r>
        <w:rPr>
          <w:b/>
          <w:bCs/>
          <w:rtl/>
        </w:rPr>
        <w:t xml:space="preserve">ניתן והודע היום ד' אלול תשפ"א, 12/08/2021 במעמד הצדדים. </w:t>
      </w:r>
      <w:bookmarkEnd w:id="8"/>
      <w:r w:rsidR="00A02CA9">
        <w:rPr>
          <w:rFonts w:hint="cs"/>
          <w:rtl/>
        </w:rPr>
        <w:t xml:space="preserve"> </w:t>
      </w:r>
    </w:p>
    <w:p w14:paraId="5329FE45" w14:textId="77777777" w:rsidR="0022716A" w:rsidRPr="00ED20C3" w:rsidRDefault="00ED20C3" w:rsidP="0022716A">
      <w:pPr>
        <w:spacing w:before="240" w:after="240" w:line="360" w:lineRule="auto"/>
        <w:ind w:firstLine="302"/>
        <w:rPr>
          <w:color w:val="FFFFFF"/>
          <w:sz w:val="2"/>
          <w:szCs w:val="2"/>
          <w:rtl/>
        </w:rPr>
      </w:pPr>
      <w:r w:rsidRPr="00ED20C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2716A" w14:paraId="32619E2F" w14:textId="77777777" w:rsidTr="0022716A">
        <w:trPr>
          <w:trHeight w:val="316"/>
          <w:jc w:val="right"/>
        </w:trPr>
        <w:tc>
          <w:tcPr>
            <w:tcW w:w="3936" w:type="dxa"/>
            <w:tcBorders>
              <w:top w:val="nil"/>
              <w:left w:val="nil"/>
              <w:bottom w:val="single" w:sz="4" w:space="0" w:color="auto"/>
              <w:right w:val="nil"/>
            </w:tcBorders>
            <w:shd w:val="clear" w:color="auto" w:fill="auto"/>
            <w:vAlign w:val="bottom"/>
          </w:tcPr>
          <w:p w14:paraId="0D0C77EE" w14:textId="77777777" w:rsidR="0022716A" w:rsidRPr="00ED20C3" w:rsidRDefault="00ED20C3" w:rsidP="0022716A">
            <w:pPr>
              <w:jc w:val="center"/>
              <w:rPr>
                <w:color w:val="FFFFFF"/>
                <w:sz w:val="2"/>
                <w:szCs w:val="2"/>
                <w:rtl/>
              </w:rPr>
            </w:pPr>
            <w:r w:rsidRPr="00ED20C3">
              <w:rPr>
                <w:color w:val="FFFFFF"/>
                <w:sz w:val="2"/>
                <w:szCs w:val="2"/>
                <w:rtl/>
              </w:rPr>
              <w:t>54678313</w:t>
            </w:r>
          </w:p>
        </w:tc>
      </w:tr>
      <w:tr w:rsidR="0022716A" w14:paraId="463EA67B" w14:textId="77777777" w:rsidTr="0022716A">
        <w:trPr>
          <w:trHeight w:val="361"/>
          <w:jc w:val="right"/>
        </w:trPr>
        <w:tc>
          <w:tcPr>
            <w:tcW w:w="3936" w:type="dxa"/>
            <w:tcBorders>
              <w:top w:val="single" w:sz="4" w:space="0" w:color="auto"/>
              <w:left w:val="nil"/>
              <w:bottom w:val="nil"/>
              <w:right w:val="nil"/>
            </w:tcBorders>
            <w:shd w:val="clear" w:color="auto" w:fill="auto"/>
          </w:tcPr>
          <w:p w14:paraId="65FE37CE" w14:textId="77777777" w:rsidR="0022716A" w:rsidRPr="0022716A" w:rsidRDefault="0022716A" w:rsidP="0022716A">
            <w:pPr>
              <w:jc w:val="center"/>
              <w:rPr>
                <w:b/>
                <w:bCs/>
                <w:rtl/>
              </w:rPr>
            </w:pPr>
            <w:r w:rsidRPr="0022716A">
              <w:rPr>
                <w:rFonts w:hint="cs"/>
                <w:b/>
                <w:bCs/>
                <w:rtl/>
              </w:rPr>
              <w:t>בני שגיא, שופט</w:t>
            </w:r>
          </w:p>
          <w:p w14:paraId="64AFC5A8" w14:textId="77777777" w:rsidR="0022716A" w:rsidRPr="0022716A" w:rsidRDefault="0022716A" w:rsidP="0022716A">
            <w:pPr>
              <w:jc w:val="center"/>
              <w:rPr>
                <w:b/>
                <w:bCs/>
                <w:rtl/>
              </w:rPr>
            </w:pPr>
            <w:r w:rsidRPr="0022716A">
              <w:rPr>
                <w:rFonts w:hint="cs"/>
                <w:b/>
                <w:bCs/>
                <w:rtl/>
              </w:rPr>
              <w:t>סגן נשיא</w:t>
            </w:r>
          </w:p>
        </w:tc>
      </w:tr>
    </w:tbl>
    <w:p w14:paraId="6C859E76" w14:textId="77777777" w:rsidR="00ED20C3" w:rsidRDefault="00164ECF" w:rsidP="00ED20C3">
      <w:r w:rsidRPr="00164ECF">
        <w:rPr>
          <w:color w:val="FFFFFF"/>
          <w:sz w:val="2"/>
          <w:szCs w:val="2"/>
          <w:rtl/>
        </w:rPr>
        <w:t>5129371</w:t>
      </w:r>
    </w:p>
    <w:p w14:paraId="5D1D16A4" w14:textId="77777777" w:rsidR="00ED20C3" w:rsidRDefault="00ED20C3" w:rsidP="00ED20C3">
      <w:pPr>
        <w:rPr>
          <w:rtl/>
        </w:rPr>
      </w:pPr>
    </w:p>
    <w:p w14:paraId="3FFA827F" w14:textId="77777777" w:rsidR="00ED20C3" w:rsidRDefault="00ED20C3" w:rsidP="00ED20C3">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86D11B7" w14:textId="77777777" w:rsidR="00164ECF" w:rsidRPr="00164ECF" w:rsidRDefault="00164ECF" w:rsidP="00164ECF">
      <w:pPr>
        <w:keepNext/>
        <w:rPr>
          <w:rFonts w:ascii="David" w:hAnsi="David"/>
          <w:color w:val="000000"/>
          <w:sz w:val="22"/>
          <w:szCs w:val="22"/>
          <w:rtl/>
        </w:rPr>
      </w:pPr>
    </w:p>
    <w:p w14:paraId="5B4D4935" w14:textId="77777777" w:rsidR="00164ECF" w:rsidRPr="00164ECF" w:rsidRDefault="00164ECF" w:rsidP="00164ECF">
      <w:pPr>
        <w:keepNext/>
        <w:rPr>
          <w:rFonts w:ascii="David" w:hAnsi="David"/>
          <w:color w:val="000000"/>
          <w:sz w:val="22"/>
          <w:szCs w:val="22"/>
          <w:rtl/>
        </w:rPr>
      </w:pPr>
      <w:r w:rsidRPr="00164ECF">
        <w:rPr>
          <w:rFonts w:ascii="David" w:hAnsi="David"/>
          <w:color w:val="000000"/>
          <w:sz w:val="22"/>
          <w:szCs w:val="22"/>
          <w:rtl/>
        </w:rPr>
        <w:t>בני שגיא 54678313-/</w:t>
      </w:r>
    </w:p>
    <w:p w14:paraId="3EFE6B24" w14:textId="77777777" w:rsidR="00ED20C3" w:rsidRPr="00ED20C3" w:rsidRDefault="00164ECF" w:rsidP="00164ECF">
      <w:pPr>
        <w:rPr>
          <w:color w:val="0000FF"/>
          <w:u w:val="single"/>
        </w:rPr>
      </w:pPr>
      <w:r w:rsidRPr="00164ECF">
        <w:rPr>
          <w:color w:val="000000"/>
          <w:u w:val="single"/>
          <w:rtl/>
        </w:rPr>
        <w:t>נוסח מסמך זה כפוף לשינויי ניסוח ועריכה</w:t>
      </w:r>
    </w:p>
    <w:sectPr w:rsidR="00ED20C3" w:rsidRPr="00ED20C3" w:rsidSect="00164ECF">
      <w:headerReference w:type="even" r:id="rId30"/>
      <w:headerReference w:type="default" r:id="rId31"/>
      <w:footerReference w:type="even" r:id="rId32"/>
      <w:footerReference w:type="default" r:id="rId33"/>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75259" w14:textId="77777777" w:rsidR="00251B50" w:rsidRDefault="00251B50" w:rsidP="00B71E0D">
      <w:r>
        <w:separator/>
      </w:r>
    </w:p>
  </w:endnote>
  <w:endnote w:type="continuationSeparator" w:id="0">
    <w:p w14:paraId="3AE77089" w14:textId="77777777" w:rsidR="00251B50" w:rsidRDefault="00251B50" w:rsidP="00B7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25E67" w14:textId="77777777" w:rsidR="00164ECF" w:rsidRDefault="00164ECF" w:rsidP="00164E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9C6CB6" w14:textId="77777777" w:rsidR="00B9307C" w:rsidRPr="00164ECF" w:rsidRDefault="00164ECF" w:rsidP="00164ECF">
    <w:pPr>
      <w:pStyle w:val="a5"/>
      <w:pBdr>
        <w:top w:val="single" w:sz="4" w:space="1" w:color="auto"/>
        <w:between w:val="single" w:sz="4" w:space="0" w:color="auto"/>
      </w:pBdr>
      <w:spacing w:after="60"/>
      <w:jc w:val="center"/>
      <w:rPr>
        <w:rFonts w:ascii="FrankRuehl" w:hAnsi="FrankRuehl" w:cs="FrankRuehl"/>
        <w:color w:val="000000"/>
      </w:rPr>
    </w:pPr>
    <w:r w:rsidRPr="00164E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F9169" w14:textId="77777777" w:rsidR="00164ECF" w:rsidRDefault="00164ECF" w:rsidP="00164E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656E">
      <w:rPr>
        <w:rFonts w:ascii="FrankRuehl" w:hAnsi="FrankRuehl" w:cs="FrankRuehl"/>
        <w:noProof/>
        <w:rtl/>
      </w:rPr>
      <w:t>1</w:t>
    </w:r>
    <w:r>
      <w:rPr>
        <w:rFonts w:ascii="FrankRuehl" w:hAnsi="FrankRuehl" w:cs="FrankRuehl"/>
        <w:rtl/>
      </w:rPr>
      <w:fldChar w:fldCharType="end"/>
    </w:r>
  </w:p>
  <w:p w14:paraId="4C6A50FF" w14:textId="77777777" w:rsidR="00B9307C" w:rsidRPr="00164ECF" w:rsidRDefault="00164ECF" w:rsidP="00164ECF">
    <w:pPr>
      <w:pStyle w:val="a5"/>
      <w:pBdr>
        <w:top w:val="single" w:sz="4" w:space="1" w:color="auto"/>
        <w:between w:val="single" w:sz="4" w:space="0" w:color="auto"/>
      </w:pBdr>
      <w:spacing w:after="60"/>
      <w:jc w:val="center"/>
      <w:rPr>
        <w:rFonts w:ascii="FrankRuehl" w:hAnsi="FrankRuehl" w:cs="FrankRuehl"/>
        <w:color w:val="000000"/>
      </w:rPr>
    </w:pPr>
    <w:r w:rsidRPr="00164ECF">
      <w:rPr>
        <w:rFonts w:ascii="FrankRuehl" w:hAnsi="FrankRuehl" w:cs="FrankRuehl"/>
        <w:color w:val="000000"/>
      </w:rPr>
      <w:pict w14:anchorId="47080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67A3F" w14:textId="77777777" w:rsidR="00251B50" w:rsidRDefault="00251B50" w:rsidP="00B71E0D">
      <w:r>
        <w:separator/>
      </w:r>
    </w:p>
  </w:footnote>
  <w:footnote w:type="continuationSeparator" w:id="0">
    <w:p w14:paraId="07FD0E81" w14:textId="77777777" w:rsidR="00251B50" w:rsidRDefault="00251B50" w:rsidP="00B7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6FE6" w14:textId="77777777" w:rsidR="00ED20C3" w:rsidRPr="00164ECF" w:rsidRDefault="00164ECF" w:rsidP="00164E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67454-11-20</w:t>
    </w:r>
    <w:r>
      <w:rPr>
        <w:rFonts w:ascii="David" w:hAnsi="David"/>
        <w:color w:val="000000"/>
        <w:sz w:val="22"/>
        <w:szCs w:val="22"/>
        <w:rtl/>
      </w:rPr>
      <w:tab/>
      <w:t xml:space="preserve"> מדינת ישראל נ' סמי סמוני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459B1" w14:textId="77777777" w:rsidR="00ED20C3" w:rsidRPr="00164ECF" w:rsidRDefault="00164ECF" w:rsidP="00164E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67454-11-20</w:t>
    </w:r>
    <w:r>
      <w:rPr>
        <w:rFonts w:ascii="David" w:hAnsi="David"/>
        <w:color w:val="000000"/>
        <w:sz w:val="22"/>
        <w:szCs w:val="22"/>
        <w:rtl/>
      </w:rPr>
      <w:tab/>
      <w:t xml:space="preserve"> מדינת ישראל נ' סמי סמוני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67307"/>
    <w:multiLevelType w:val="hybridMultilevel"/>
    <w:tmpl w:val="9A624D7C"/>
    <w:lvl w:ilvl="0" w:tplc="FE6E7A32">
      <w:start w:val="1"/>
      <w:numFmt w:val="hebrew1"/>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5F5DD6"/>
    <w:multiLevelType w:val="hybridMultilevel"/>
    <w:tmpl w:val="4C7243B6"/>
    <w:lvl w:ilvl="0" w:tplc="0F7C777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CA3F0C"/>
    <w:multiLevelType w:val="hybridMultilevel"/>
    <w:tmpl w:val="72FC9AB0"/>
    <w:lvl w:ilvl="0" w:tplc="65666732">
      <w:start w:val="1"/>
      <w:numFmt w:val="hebrew1"/>
      <w:lvlText w:val="%1."/>
      <w:lvlJc w:val="left"/>
      <w:pPr>
        <w:ind w:left="662" w:right="302" w:hanging="360"/>
      </w:pPr>
      <w:rPr>
        <w:sz w:val="24"/>
      </w:rPr>
    </w:lvl>
    <w:lvl w:ilvl="1" w:tplc="04090019">
      <w:start w:val="1"/>
      <w:numFmt w:val="lowerLetter"/>
      <w:lvlText w:val="%2."/>
      <w:lvlJc w:val="left"/>
      <w:pPr>
        <w:ind w:left="1382" w:right="1022" w:hanging="360"/>
      </w:pPr>
    </w:lvl>
    <w:lvl w:ilvl="2" w:tplc="0409001B">
      <w:start w:val="1"/>
      <w:numFmt w:val="lowerRoman"/>
      <w:lvlText w:val="%3."/>
      <w:lvlJc w:val="right"/>
      <w:pPr>
        <w:ind w:left="2102" w:right="1742" w:hanging="180"/>
      </w:pPr>
    </w:lvl>
    <w:lvl w:ilvl="3" w:tplc="0409000F">
      <w:start w:val="1"/>
      <w:numFmt w:val="decimal"/>
      <w:lvlText w:val="%4."/>
      <w:lvlJc w:val="left"/>
      <w:pPr>
        <w:ind w:left="2822" w:right="2462" w:hanging="360"/>
      </w:pPr>
    </w:lvl>
    <w:lvl w:ilvl="4" w:tplc="04090019">
      <w:start w:val="1"/>
      <w:numFmt w:val="lowerLetter"/>
      <w:lvlText w:val="%5."/>
      <w:lvlJc w:val="left"/>
      <w:pPr>
        <w:ind w:left="3542" w:right="3182" w:hanging="360"/>
      </w:pPr>
    </w:lvl>
    <w:lvl w:ilvl="5" w:tplc="0409001B">
      <w:start w:val="1"/>
      <w:numFmt w:val="lowerRoman"/>
      <w:lvlText w:val="%6."/>
      <w:lvlJc w:val="right"/>
      <w:pPr>
        <w:ind w:left="4262" w:right="3902" w:hanging="180"/>
      </w:pPr>
    </w:lvl>
    <w:lvl w:ilvl="6" w:tplc="0409000F">
      <w:start w:val="1"/>
      <w:numFmt w:val="decimal"/>
      <w:lvlText w:val="%7."/>
      <w:lvlJc w:val="left"/>
      <w:pPr>
        <w:ind w:left="4982" w:right="4622" w:hanging="360"/>
      </w:pPr>
    </w:lvl>
    <w:lvl w:ilvl="7" w:tplc="04090019">
      <w:start w:val="1"/>
      <w:numFmt w:val="lowerLetter"/>
      <w:lvlText w:val="%8."/>
      <w:lvlJc w:val="left"/>
      <w:pPr>
        <w:ind w:left="5702" w:right="5342" w:hanging="360"/>
      </w:pPr>
    </w:lvl>
    <w:lvl w:ilvl="8" w:tplc="0409001B">
      <w:start w:val="1"/>
      <w:numFmt w:val="lowerRoman"/>
      <w:lvlText w:val="%9."/>
      <w:lvlJc w:val="right"/>
      <w:pPr>
        <w:ind w:left="6422" w:right="6062" w:hanging="180"/>
      </w:pPr>
    </w:lvl>
  </w:abstractNum>
  <w:abstractNum w:abstractNumId="3" w15:restartNumberingAfterBreak="0">
    <w:nsid w:val="6C6C3E6E"/>
    <w:multiLevelType w:val="hybridMultilevel"/>
    <w:tmpl w:val="79B0D00E"/>
    <w:lvl w:ilvl="0" w:tplc="42B2FDE0">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36203606">
    <w:abstractNumId w:val="3"/>
  </w:num>
  <w:num w:numId="2" w16cid:durableId="1694845641">
    <w:abstractNumId w:val="0"/>
  </w:num>
  <w:num w:numId="3" w16cid:durableId="1326126128">
    <w:abstractNumId w:val="1"/>
  </w:num>
  <w:num w:numId="4" w16cid:durableId="858347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716A"/>
    <w:rsid w:val="00164ECF"/>
    <w:rsid w:val="001B3243"/>
    <w:rsid w:val="001B5A3B"/>
    <w:rsid w:val="0022716A"/>
    <w:rsid w:val="00251B50"/>
    <w:rsid w:val="00404565"/>
    <w:rsid w:val="0041656E"/>
    <w:rsid w:val="00763D61"/>
    <w:rsid w:val="009156F9"/>
    <w:rsid w:val="00A02CA9"/>
    <w:rsid w:val="00B71E0D"/>
    <w:rsid w:val="00B9307C"/>
    <w:rsid w:val="00C039C3"/>
    <w:rsid w:val="00D84CC4"/>
    <w:rsid w:val="00EC5FD8"/>
    <w:rsid w:val="00ED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E7E7CF"/>
  <w15:chartTrackingRefBased/>
  <w15:docId w15:val="{AD625937-3EF1-4F28-A84B-C7F4E0B6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71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716A"/>
    <w:pPr>
      <w:tabs>
        <w:tab w:val="center" w:pos="4153"/>
        <w:tab w:val="right" w:pos="8306"/>
      </w:tabs>
    </w:pPr>
  </w:style>
  <w:style w:type="character" w:customStyle="1" w:styleId="a4">
    <w:name w:val="כותרת עליונה תו"/>
    <w:link w:val="a3"/>
    <w:rsid w:val="0022716A"/>
    <w:rPr>
      <w:rFonts w:ascii="Times New Roman" w:eastAsia="Times New Roman" w:hAnsi="Times New Roman" w:cs="David"/>
      <w:sz w:val="24"/>
      <w:szCs w:val="24"/>
    </w:rPr>
  </w:style>
  <w:style w:type="paragraph" w:styleId="a5">
    <w:name w:val="footer"/>
    <w:basedOn w:val="a"/>
    <w:link w:val="a6"/>
    <w:rsid w:val="0022716A"/>
    <w:pPr>
      <w:tabs>
        <w:tab w:val="center" w:pos="4153"/>
        <w:tab w:val="right" w:pos="8306"/>
      </w:tabs>
    </w:pPr>
  </w:style>
  <w:style w:type="character" w:customStyle="1" w:styleId="a6">
    <w:name w:val="כותרת תחתונה תו"/>
    <w:link w:val="a5"/>
    <w:rsid w:val="0022716A"/>
    <w:rPr>
      <w:rFonts w:ascii="Times New Roman" w:eastAsia="Times New Roman" w:hAnsi="Times New Roman" w:cs="David"/>
      <w:sz w:val="24"/>
      <w:szCs w:val="24"/>
    </w:rPr>
  </w:style>
  <w:style w:type="table" w:styleId="a7">
    <w:name w:val="Table Grid"/>
    <w:basedOn w:val="a1"/>
    <w:rsid w:val="002271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2716A"/>
  </w:style>
  <w:style w:type="paragraph" w:styleId="a9">
    <w:name w:val="List Paragraph"/>
    <w:basedOn w:val="a"/>
    <w:qFormat/>
    <w:rsid w:val="0022716A"/>
    <w:pPr>
      <w:ind w:left="720"/>
      <w:contextualSpacing/>
    </w:pPr>
  </w:style>
  <w:style w:type="character" w:customStyle="1" w:styleId="TimesNewRomanTimesNewRoman">
    <w:name w:val="סגנון (לטיני) Times New Roman (עברית ושפות אחרות) Times New Roman..."/>
    <w:rsid w:val="0022716A"/>
    <w:rPr>
      <w:rFonts w:ascii="Times New Roman" w:hAnsi="Times New Roman" w:cs="David" w:hint="default"/>
      <w:b/>
      <w:bCs/>
      <w:sz w:val="26"/>
      <w:szCs w:val="26"/>
    </w:rPr>
  </w:style>
  <w:style w:type="character" w:styleId="Hyperlink">
    <w:name w:val="Hyperlink"/>
    <w:rsid w:val="00ED2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78682" TargetMode="External"/><Relationship Id="rId18" Type="http://schemas.openxmlformats.org/officeDocument/2006/relationships/hyperlink" Target="http://www.nevo.co.il/case/21475135" TargetMode="External"/><Relationship Id="rId26" Type="http://schemas.openxmlformats.org/officeDocument/2006/relationships/hyperlink" Target="http://www.nevo.co.il/case/5588206" TargetMode="External"/><Relationship Id="rId3" Type="http://schemas.openxmlformats.org/officeDocument/2006/relationships/settings" Target="settings.xml"/><Relationship Id="rId21" Type="http://schemas.openxmlformats.org/officeDocument/2006/relationships/hyperlink" Target="http://www.nevo.co.il/case/5580781"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0a.b.1" TargetMode="External"/><Relationship Id="rId17" Type="http://schemas.openxmlformats.org/officeDocument/2006/relationships/hyperlink" Target="http://www.nevo.co.il/case/25637368" TargetMode="External"/><Relationship Id="rId25" Type="http://schemas.openxmlformats.org/officeDocument/2006/relationships/hyperlink" Target="http://www.nevo.co.il/case/26492590"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6913995" TargetMode="External"/><Relationship Id="rId20" Type="http://schemas.openxmlformats.org/officeDocument/2006/relationships/hyperlink" Target="http://www.nevo.co.il/case/16913730"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82486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852404" TargetMode="External"/><Relationship Id="rId23" Type="http://schemas.openxmlformats.org/officeDocument/2006/relationships/hyperlink" Target="http://www.nevo.co.il/case/26492590" TargetMode="External"/><Relationship Id="rId28" Type="http://schemas.openxmlformats.org/officeDocument/2006/relationships/hyperlink" Target="http://www.nevo.co.il/case/27193839"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1309374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0a.b.1" TargetMode="External"/><Relationship Id="rId14" Type="http://schemas.openxmlformats.org/officeDocument/2006/relationships/hyperlink" Target="http://www.nevo.co.il/case/5568354"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92375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2613</Words>
  <Characters>13065</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15647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3342450</vt:i4>
      </vt:variant>
      <vt:variant>
        <vt:i4>63</vt:i4>
      </vt:variant>
      <vt:variant>
        <vt:i4>0</vt:i4>
      </vt:variant>
      <vt:variant>
        <vt:i4>5</vt:i4>
      </vt:variant>
      <vt:variant>
        <vt:lpwstr>http://www.nevo.co.il/case/27193839</vt:lpwstr>
      </vt:variant>
      <vt:variant>
        <vt:lpwstr/>
      </vt:variant>
      <vt:variant>
        <vt:i4>3997815</vt:i4>
      </vt:variant>
      <vt:variant>
        <vt:i4>60</vt:i4>
      </vt:variant>
      <vt:variant>
        <vt:i4>0</vt:i4>
      </vt:variant>
      <vt:variant>
        <vt:i4>5</vt:i4>
      </vt:variant>
      <vt:variant>
        <vt:lpwstr>http://www.nevo.co.il/case/26923758</vt:lpwstr>
      </vt:variant>
      <vt:variant>
        <vt:lpwstr/>
      </vt:variant>
      <vt:variant>
        <vt:i4>3735673</vt:i4>
      </vt:variant>
      <vt:variant>
        <vt:i4>57</vt:i4>
      </vt:variant>
      <vt:variant>
        <vt:i4>0</vt:i4>
      </vt:variant>
      <vt:variant>
        <vt:i4>5</vt:i4>
      </vt:variant>
      <vt:variant>
        <vt:lpwstr>http://www.nevo.co.il/case/5588206</vt:lpwstr>
      </vt:variant>
      <vt:variant>
        <vt:lpwstr/>
      </vt:variant>
      <vt:variant>
        <vt:i4>3997822</vt:i4>
      </vt:variant>
      <vt:variant>
        <vt:i4>54</vt:i4>
      </vt:variant>
      <vt:variant>
        <vt:i4>0</vt:i4>
      </vt:variant>
      <vt:variant>
        <vt:i4>5</vt:i4>
      </vt:variant>
      <vt:variant>
        <vt:lpwstr>http://www.nevo.co.il/case/26492590</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3997822</vt:i4>
      </vt:variant>
      <vt:variant>
        <vt:i4>48</vt:i4>
      </vt:variant>
      <vt:variant>
        <vt:i4>0</vt:i4>
      </vt:variant>
      <vt:variant>
        <vt:i4>5</vt:i4>
      </vt:variant>
      <vt:variant>
        <vt:lpwstr>http://www.nevo.co.il/case/26492590</vt:lpwstr>
      </vt:variant>
      <vt:variant>
        <vt:lpwstr/>
      </vt:variant>
      <vt:variant>
        <vt:i4>7995492</vt:i4>
      </vt:variant>
      <vt:variant>
        <vt:i4>45</vt:i4>
      </vt:variant>
      <vt:variant>
        <vt:i4>0</vt:i4>
      </vt:variant>
      <vt:variant>
        <vt:i4>5</vt:i4>
      </vt:variant>
      <vt:variant>
        <vt:lpwstr>http://www.nevo.co.il/law/70301</vt:lpwstr>
      </vt:variant>
      <vt:variant>
        <vt:lpwstr/>
      </vt:variant>
      <vt:variant>
        <vt:i4>3866745</vt:i4>
      </vt:variant>
      <vt:variant>
        <vt:i4>42</vt:i4>
      </vt:variant>
      <vt:variant>
        <vt:i4>0</vt:i4>
      </vt:variant>
      <vt:variant>
        <vt:i4>5</vt:i4>
      </vt:variant>
      <vt:variant>
        <vt:lpwstr>http://www.nevo.co.il/case/5580781</vt:lpwstr>
      </vt:variant>
      <vt:variant>
        <vt:lpwstr/>
      </vt:variant>
      <vt:variant>
        <vt:i4>3670132</vt:i4>
      </vt:variant>
      <vt:variant>
        <vt:i4>39</vt:i4>
      </vt:variant>
      <vt:variant>
        <vt:i4>0</vt:i4>
      </vt:variant>
      <vt:variant>
        <vt:i4>5</vt:i4>
      </vt:variant>
      <vt:variant>
        <vt:lpwstr>http://www.nevo.co.il/case/16913730</vt:lpwstr>
      </vt:variant>
      <vt:variant>
        <vt:lpwstr/>
      </vt:variant>
      <vt:variant>
        <vt:i4>3539065</vt:i4>
      </vt:variant>
      <vt:variant>
        <vt:i4>36</vt:i4>
      </vt:variant>
      <vt:variant>
        <vt:i4>0</vt:i4>
      </vt:variant>
      <vt:variant>
        <vt:i4>5</vt:i4>
      </vt:variant>
      <vt:variant>
        <vt:lpwstr>http://www.nevo.co.il/case/13093744</vt:lpwstr>
      </vt:variant>
      <vt:variant>
        <vt:lpwstr/>
      </vt:variant>
      <vt:variant>
        <vt:i4>3145843</vt:i4>
      </vt:variant>
      <vt:variant>
        <vt:i4>33</vt:i4>
      </vt:variant>
      <vt:variant>
        <vt:i4>0</vt:i4>
      </vt:variant>
      <vt:variant>
        <vt:i4>5</vt:i4>
      </vt:variant>
      <vt:variant>
        <vt:lpwstr>http://www.nevo.co.il/case/21475135</vt:lpwstr>
      </vt:variant>
      <vt:variant>
        <vt:lpwstr/>
      </vt:variant>
      <vt:variant>
        <vt:i4>3473521</vt:i4>
      </vt:variant>
      <vt:variant>
        <vt:i4>30</vt:i4>
      </vt:variant>
      <vt:variant>
        <vt:i4>0</vt:i4>
      </vt:variant>
      <vt:variant>
        <vt:i4>5</vt:i4>
      </vt:variant>
      <vt:variant>
        <vt:lpwstr>http://www.nevo.co.il/case/25637368</vt:lpwstr>
      </vt:variant>
      <vt:variant>
        <vt:lpwstr/>
      </vt:variant>
      <vt:variant>
        <vt:i4>3211386</vt:i4>
      </vt:variant>
      <vt:variant>
        <vt:i4>27</vt:i4>
      </vt:variant>
      <vt:variant>
        <vt:i4>0</vt:i4>
      </vt:variant>
      <vt:variant>
        <vt:i4>5</vt:i4>
      </vt:variant>
      <vt:variant>
        <vt:lpwstr>http://www.nevo.co.il/case/26913995</vt:lpwstr>
      </vt:variant>
      <vt:variant>
        <vt:lpwstr/>
      </vt:variant>
      <vt:variant>
        <vt:i4>3145854</vt:i4>
      </vt:variant>
      <vt:variant>
        <vt:i4>24</vt:i4>
      </vt:variant>
      <vt:variant>
        <vt:i4>0</vt:i4>
      </vt:variant>
      <vt:variant>
        <vt:i4>5</vt:i4>
      </vt:variant>
      <vt:variant>
        <vt:lpwstr>http://www.nevo.co.il/case/5852404</vt:lpwstr>
      </vt:variant>
      <vt:variant>
        <vt:lpwstr/>
      </vt:variant>
      <vt:variant>
        <vt:i4>3407996</vt:i4>
      </vt:variant>
      <vt:variant>
        <vt:i4>21</vt:i4>
      </vt:variant>
      <vt:variant>
        <vt:i4>0</vt:i4>
      </vt:variant>
      <vt:variant>
        <vt:i4>5</vt:i4>
      </vt:variant>
      <vt:variant>
        <vt:lpwstr>http://www.nevo.co.il/case/5568354</vt:lpwstr>
      </vt:variant>
      <vt:variant>
        <vt:lpwstr/>
      </vt:variant>
      <vt:variant>
        <vt:i4>3539068</vt:i4>
      </vt:variant>
      <vt:variant>
        <vt:i4>18</vt:i4>
      </vt:variant>
      <vt:variant>
        <vt:i4>0</vt:i4>
      </vt:variant>
      <vt:variant>
        <vt:i4>5</vt:i4>
      </vt:variant>
      <vt:variant>
        <vt:lpwstr>http://www.nevo.co.il/case/5878682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5439574</vt:i4>
      </vt:variant>
      <vt:variant>
        <vt:i4>6</vt:i4>
      </vt:variant>
      <vt:variant>
        <vt:i4>0</vt:i4>
      </vt:variant>
      <vt:variant>
        <vt:i4>5</vt:i4>
      </vt:variant>
      <vt:variant>
        <vt:lpwstr>http://www.nevo.co.il/law/70301/340a.b.1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67454</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סמי סמוני</vt:lpwstr>
  </property>
  <property fmtid="{D5CDD505-2E9C-101B-9397-08002B2CF9AE}" pid="10" name="LAWYER">
    <vt:lpwstr>ענת בן זאב;שלי קוטין;מחמוד נעאמנה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20210812</vt:lpwstr>
  </property>
  <property fmtid="{D5CDD505-2E9C-101B-9397-08002B2CF9AE}" pid="14" name="TYPE_N_DATE">
    <vt:lpwstr>39020210812</vt:lpwstr>
  </property>
  <property fmtid="{D5CDD505-2E9C-101B-9397-08002B2CF9AE}" pid="15" name="WORDNUMPAGES">
    <vt:lpwstr>7</vt:lpwstr>
  </property>
  <property fmtid="{D5CDD505-2E9C-101B-9397-08002B2CF9AE}" pid="16" name="TYPE_ABS_DATE">
    <vt:lpwstr>390020210812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5878682;5568354;5852404;26913995;25637368;21475135;13093744;16913730;5580781;26492590:2;25824863;5588206;26923758;27193839</vt:lpwstr>
  </property>
  <property fmtid="{D5CDD505-2E9C-101B-9397-08002B2CF9AE}" pid="36" name="LAWLISTTMP1">
    <vt:lpwstr>70301/144.a;340a.b.1</vt:lpwstr>
  </property>
</Properties>
</file>