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2530EA" w:rsidRPr="00CF39E3" w14:paraId="25B69848" w14:textId="77777777" w:rsidTr="007F528F">
        <w:trPr>
          <w:trHeight w:hRule="exact" w:val="418"/>
          <w:jc w:val="center"/>
        </w:trPr>
        <w:tc>
          <w:tcPr>
            <w:tcW w:w="8721" w:type="dxa"/>
            <w:gridSpan w:val="2"/>
          </w:tcPr>
          <w:p w14:paraId="356CB05C" w14:textId="77777777" w:rsidR="002530EA" w:rsidRPr="00CF39E3" w:rsidRDefault="002530EA" w:rsidP="00E87495">
            <w:pPr>
              <w:pStyle w:val="a3"/>
              <w:jc w:val="center"/>
              <w:rPr>
                <w:rFonts w:ascii="Tahoma" w:hAnsi="Tahoma" w:cs="Tahoma"/>
                <w:color w:val="000080"/>
                <w:rtl/>
              </w:rPr>
            </w:pPr>
            <w:bookmarkStart w:id="0" w:name="LastJudge"/>
            <w:r w:rsidRPr="00CF39E3">
              <w:rPr>
                <w:rFonts w:ascii="Tahoma" w:hAnsi="Tahoma" w:cs="Tahoma"/>
                <w:b/>
                <w:bCs/>
                <w:color w:val="000080"/>
                <w:rtl/>
              </w:rPr>
              <w:t>בית המשפט המחוזי בירושלים</w:t>
            </w:r>
          </w:p>
        </w:tc>
      </w:tr>
      <w:tr w:rsidR="002530EA" w:rsidRPr="00B91F2A" w14:paraId="16FC717F" w14:textId="77777777" w:rsidTr="007F528F">
        <w:trPr>
          <w:trHeight w:val="337"/>
          <w:jc w:val="center"/>
        </w:trPr>
        <w:tc>
          <w:tcPr>
            <w:tcW w:w="5056" w:type="dxa"/>
          </w:tcPr>
          <w:p w14:paraId="68FCDA58" w14:textId="77777777" w:rsidR="002530EA" w:rsidRPr="00B91F2A" w:rsidRDefault="002530EA" w:rsidP="00B91F2A">
            <w:pPr>
              <w:pStyle w:val="a3"/>
              <w:spacing w:before="120" w:after="120" w:line="240" w:lineRule="exact"/>
              <w:rPr>
                <w:rFonts w:ascii="David" w:hAnsi="David"/>
                <w:b/>
                <w:bCs/>
                <w:sz w:val="26"/>
                <w:szCs w:val="26"/>
                <w:rtl/>
              </w:rPr>
            </w:pPr>
            <w:r w:rsidRPr="00B91F2A">
              <w:rPr>
                <w:rFonts w:ascii="David" w:hAnsi="David"/>
                <w:b/>
                <w:bCs/>
                <w:sz w:val="26"/>
                <w:szCs w:val="26"/>
                <w:rtl/>
              </w:rPr>
              <w:t>ת"פ 36371-12-20 מדינת ישראל נ' עלי</w:t>
            </w:r>
            <w:r w:rsidR="00B91F2A">
              <w:rPr>
                <w:rFonts w:ascii="David" w:hAnsi="David" w:hint="cs"/>
                <w:b/>
                <w:bCs/>
                <w:sz w:val="26"/>
                <w:szCs w:val="26"/>
                <w:rtl/>
              </w:rPr>
              <w:t xml:space="preserve"> </w:t>
            </w:r>
            <w:r w:rsidRPr="00B91F2A">
              <w:rPr>
                <w:rFonts w:ascii="David" w:hAnsi="David"/>
                <w:b/>
                <w:bCs/>
                <w:sz w:val="26"/>
                <w:szCs w:val="26"/>
                <w:rtl/>
              </w:rPr>
              <w:t>(עציר) ואח'</w:t>
            </w:r>
          </w:p>
        </w:tc>
        <w:tc>
          <w:tcPr>
            <w:tcW w:w="3665" w:type="dxa"/>
          </w:tcPr>
          <w:p w14:paraId="47515A27" w14:textId="77777777" w:rsidR="002530EA" w:rsidRPr="00B91F2A" w:rsidRDefault="002530EA" w:rsidP="00B91F2A">
            <w:pPr>
              <w:pStyle w:val="a3"/>
              <w:spacing w:before="120" w:after="120" w:line="240" w:lineRule="exact"/>
              <w:jc w:val="right"/>
              <w:rPr>
                <w:rFonts w:ascii="David" w:hAnsi="David"/>
                <w:b/>
                <w:bCs/>
                <w:sz w:val="26"/>
                <w:szCs w:val="26"/>
                <w:rtl/>
              </w:rPr>
            </w:pPr>
          </w:p>
        </w:tc>
      </w:tr>
    </w:tbl>
    <w:p w14:paraId="6D9ADB1E" w14:textId="77777777" w:rsidR="002530EA" w:rsidRPr="00B91F2A" w:rsidRDefault="002530EA" w:rsidP="00B91F2A">
      <w:pPr>
        <w:pStyle w:val="a3"/>
        <w:spacing w:before="120" w:after="120" w:line="240" w:lineRule="exact"/>
        <w:rPr>
          <w:rFonts w:ascii="David" w:hAnsi="David"/>
          <w:sz w:val="26"/>
          <w:szCs w:val="26"/>
          <w:rtl/>
        </w:rPr>
      </w:pPr>
      <w:r w:rsidRPr="00B91F2A">
        <w:rPr>
          <w:rtl/>
        </w:rPr>
        <w:t xml:space="preserve"> </w:t>
      </w:r>
    </w:p>
    <w:tbl>
      <w:tblPr>
        <w:bidiVisual/>
        <w:tblW w:w="8802" w:type="dxa"/>
        <w:tblInd w:w="-28" w:type="dxa"/>
        <w:tblLook w:val="01E0" w:firstRow="1" w:lastRow="1" w:firstColumn="1" w:lastColumn="1" w:noHBand="0" w:noVBand="0"/>
      </w:tblPr>
      <w:tblGrid>
        <w:gridCol w:w="3697"/>
        <w:gridCol w:w="5105"/>
      </w:tblGrid>
      <w:tr w:rsidR="002530EA" w:rsidRPr="00B91F2A" w14:paraId="4E8B2436" w14:textId="77777777" w:rsidTr="002530EA">
        <w:tc>
          <w:tcPr>
            <w:tcW w:w="8802" w:type="dxa"/>
            <w:gridSpan w:val="2"/>
            <w:shd w:val="clear" w:color="auto" w:fill="auto"/>
          </w:tcPr>
          <w:p w14:paraId="68D500C3" w14:textId="77777777" w:rsidR="002530EA" w:rsidRPr="00B91F2A" w:rsidRDefault="002530EA" w:rsidP="00B91F2A">
            <w:pPr>
              <w:spacing w:before="120" w:after="120" w:line="240" w:lineRule="exact"/>
              <w:jc w:val="right"/>
              <w:rPr>
                <w:rFonts w:ascii="David" w:hAnsi="David"/>
                <w:b/>
                <w:bCs/>
                <w:sz w:val="26"/>
                <w:szCs w:val="26"/>
                <w:rtl/>
              </w:rPr>
            </w:pPr>
            <w:r w:rsidRPr="00B91F2A">
              <w:rPr>
                <w:rFonts w:ascii="David" w:hAnsi="David"/>
                <w:b/>
                <w:bCs/>
                <w:sz w:val="26"/>
                <w:szCs w:val="26"/>
                <w:rtl/>
              </w:rPr>
              <w:t>1.12.2021</w:t>
            </w:r>
          </w:p>
        </w:tc>
      </w:tr>
      <w:tr w:rsidR="002530EA" w:rsidRPr="00B91F2A" w14:paraId="4FFF77E8" w14:textId="77777777" w:rsidTr="002530EA">
        <w:tc>
          <w:tcPr>
            <w:tcW w:w="8802" w:type="dxa"/>
            <w:gridSpan w:val="2"/>
            <w:shd w:val="clear" w:color="auto" w:fill="auto"/>
          </w:tcPr>
          <w:p w14:paraId="4AF9109F" w14:textId="77777777" w:rsidR="002530EA" w:rsidRPr="00B91F2A" w:rsidRDefault="002530EA" w:rsidP="00B91F2A">
            <w:pPr>
              <w:spacing w:before="120" w:after="120" w:line="240" w:lineRule="exact"/>
              <w:rPr>
                <w:rFonts w:ascii="David" w:hAnsi="David"/>
                <w:b/>
                <w:bCs/>
                <w:sz w:val="26"/>
                <w:szCs w:val="26"/>
                <w:rtl/>
              </w:rPr>
            </w:pPr>
            <w:r w:rsidRPr="00B91F2A">
              <w:rPr>
                <w:rFonts w:ascii="David" w:hAnsi="David"/>
                <w:b/>
                <w:bCs/>
                <w:sz w:val="26"/>
                <w:szCs w:val="26"/>
                <w:rtl/>
              </w:rPr>
              <w:t>לפני כבוד השופטת תמר בר-אשר</w:t>
            </w:r>
          </w:p>
        </w:tc>
      </w:tr>
      <w:tr w:rsidR="002530EA" w:rsidRPr="00B91F2A" w14:paraId="43913033" w14:textId="77777777" w:rsidTr="002530EA">
        <w:tc>
          <w:tcPr>
            <w:tcW w:w="3697" w:type="dxa"/>
            <w:shd w:val="clear" w:color="auto" w:fill="auto"/>
          </w:tcPr>
          <w:p w14:paraId="16A7D873" w14:textId="77777777" w:rsidR="002530EA" w:rsidRPr="00B91F2A" w:rsidRDefault="002530EA" w:rsidP="00B91F2A">
            <w:pPr>
              <w:spacing w:before="120" w:after="120" w:line="240" w:lineRule="exact"/>
              <w:rPr>
                <w:rFonts w:ascii="David" w:hAnsi="David"/>
                <w:b/>
                <w:bCs/>
                <w:sz w:val="26"/>
                <w:szCs w:val="26"/>
                <w:rtl/>
              </w:rPr>
            </w:pPr>
            <w:bookmarkStart w:id="1" w:name="FirstAppellant"/>
            <w:r w:rsidRPr="00B91F2A">
              <w:rPr>
                <w:rFonts w:ascii="David" w:hAnsi="David"/>
                <w:b/>
                <w:bCs/>
                <w:sz w:val="26"/>
                <w:szCs w:val="26"/>
                <w:rtl/>
              </w:rPr>
              <w:t>המאשימה</w:t>
            </w:r>
          </w:p>
        </w:tc>
        <w:tc>
          <w:tcPr>
            <w:tcW w:w="5105" w:type="dxa"/>
            <w:shd w:val="clear" w:color="auto" w:fill="auto"/>
          </w:tcPr>
          <w:p w14:paraId="40276D19" w14:textId="77777777" w:rsidR="002530EA" w:rsidRPr="00B91F2A" w:rsidRDefault="002530EA" w:rsidP="00B91F2A">
            <w:pPr>
              <w:spacing w:before="120" w:after="120" w:line="240" w:lineRule="exact"/>
              <w:rPr>
                <w:rFonts w:ascii="David" w:hAnsi="David"/>
                <w:b/>
                <w:bCs/>
                <w:sz w:val="26"/>
                <w:szCs w:val="26"/>
                <w:rtl/>
              </w:rPr>
            </w:pPr>
            <w:r w:rsidRPr="00B91F2A">
              <w:rPr>
                <w:rFonts w:ascii="David" w:hAnsi="David"/>
                <w:b/>
                <w:bCs/>
                <w:sz w:val="26"/>
                <w:szCs w:val="26"/>
                <w:rtl/>
              </w:rPr>
              <w:t>מדינת ישראל</w:t>
            </w:r>
          </w:p>
        </w:tc>
      </w:tr>
      <w:bookmarkEnd w:id="1"/>
      <w:tr w:rsidR="002530EA" w:rsidRPr="00B91F2A" w14:paraId="077077B0" w14:textId="77777777" w:rsidTr="002530EA">
        <w:tc>
          <w:tcPr>
            <w:tcW w:w="8802" w:type="dxa"/>
            <w:gridSpan w:val="2"/>
            <w:shd w:val="clear" w:color="auto" w:fill="auto"/>
          </w:tcPr>
          <w:p w14:paraId="33F2DF62" w14:textId="77777777" w:rsidR="002530EA" w:rsidRPr="00B91F2A" w:rsidRDefault="002530EA" w:rsidP="00B91F2A">
            <w:pPr>
              <w:spacing w:before="240" w:after="240" w:line="240" w:lineRule="exact"/>
              <w:jc w:val="center"/>
              <w:rPr>
                <w:rFonts w:ascii="David" w:hAnsi="David" w:hint="cs"/>
                <w:b/>
                <w:bCs/>
                <w:sz w:val="26"/>
                <w:szCs w:val="26"/>
                <w:rtl/>
              </w:rPr>
            </w:pPr>
            <w:r w:rsidRPr="00B91F2A">
              <w:rPr>
                <w:rFonts w:ascii="David" w:hAnsi="David"/>
                <w:b/>
                <w:bCs/>
                <w:sz w:val="26"/>
                <w:szCs w:val="26"/>
                <w:rtl/>
              </w:rPr>
              <w:t>נגד</w:t>
            </w:r>
          </w:p>
        </w:tc>
      </w:tr>
      <w:tr w:rsidR="002530EA" w:rsidRPr="00B91F2A" w14:paraId="71CFC18C" w14:textId="77777777" w:rsidTr="002530EA">
        <w:tc>
          <w:tcPr>
            <w:tcW w:w="3697" w:type="dxa"/>
            <w:shd w:val="clear" w:color="auto" w:fill="auto"/>
          </w:tcPr>
          <w:p w14:paraId="00AC608D" w14:textId="77777777" w:rsidR="002530EA" w:rsidRPr="00B91F2A" w:rsidRDefault="002530EA" w:rsidP="00B91F2A">
            <w:pPr>
              <w:spacing w:before="120" w:after="120" w:line="240" w:lineRule="exact"/>
              <w:rPr>
                <w:rFonts w:ascii="David" w:hAnsi="David"/>
                <w:b/>
                <w:bCs/>
                <w:sz w:val="26"/>
                <w:szCs w:val="26"/>
              </w:rPr>
            </w:pPr>
            <w:r w:rsidRPr="00B91F2A">
              <w:rPr>
                <w:rFonts w:ascii="David" w:hAnsi="David"/>
                <w:b/>
                <w:bCs/>
                <w:sz w:val="26"/>
                <w:szCs w:val="26"/>
                <w:rtl/>
              </w:rPr>
              <w:t>הנאשמים</w:t>
            </w:r>
          </w:p>
        </w:tc>
        <w:tc>
          <w:tcPr>
            <w:tcW w:w="5105" w:type="dxa"/>
            <w:shd w:val="clear" w:color="auto" w:fill="auto"/>
          </w:tcPr>
          <w:p w14:paraId="7000AAE1" w14:textId="77777777" w:rsidR="002530EA" w:rsidRPr="00B91F2A" w:rsidRDefault="002530EA" w:rsidP="00B91F2A">
            <w:pPr>
              <w:spacing w:before="120" w:after="120" w:line="240" w:lineRule="exact"/>
              <w:rPr>
                <w:rFonts w:ascii="David" w:hAnsi="David"/>
                <w:b/>
                <w:bCs/>
                <w:sz w:val="26"/>
                <w:szCs w:val="26"/>
                <w:rtl/>
              </w:rPr>
            </w:pPr>
            <w:r w:rsidRPr="00B91F2A">
              <w:rPr>
                <w:rFonts w:ascii="David" w:hAnsi="David"/>
                <w:b/>
                <w:bCs/>
                <w:sz w:val="26"/>
                <w:szCs w:val="26"/>
                <w:rtl/>
              </w:rPr>
              <w:t xml:space="preserve">1.   עבדאללה עלי </w:t>
            </w:r>
          </w:p>
          <w:p w14:paraId="64A879A4" w14:textId="77777777" w:rsidR="002530EA" w:rsidRPr="00B91F2A" w:rsidRDefault="002530EA" w:rsidP="00B91F2A">
            <w:pPr>
              <w:spacing w:before="120" w:after="120" w:line="240" w:lineRule="exact"/>
              <w:rPr>
                <w:rFonts w:ascii="David" w:hAnsi="David"/>
                <w:b/>
                <w:bCs/>
                <w:sz w:val="26"/>
                <w:szCs w:val="26"/>
                <w:rtl/>
              </w:rPr>
            </w:pPr>
            <w:r w:rsidRPr="00B91F2A">
              <w:rPr>
                <w:rFonts w:ascii="David" w:hAnsi="David"/>
                <w:b/>
                <w:bCs/>
                <w:sz w:val="26"/>
                <w:szCs w:val="26"/>
                <w:rtl/>
              </w:rPr>
              <w:t>2.   מחמוד מוחמד עלי (הסתיים)</w:t>
            </w:r>
          </w:p>
          <w:p w14:paraId="2E4F705B" w14:textId="77777777" w:rsidR="002530EA" w:rsidRPr="00B91F2A" w:rsidRDefault="002530EA" w:rsidP="00B91F2A">
            <w:pPr>
              <w:spacing w:before="120" w:after="120" w:line="240" w:lineRule="exact"/>
              <w:rPr>
                <w:rFonts w:ascii="David" w:hAnsi="David"/>
                <w:b/>
                <w:bCs/>
                <w:sz w:val="26"/>
                <w:szCs w:val="26"/>
                <w:rtl/>
              </w:rPr>
            </w:pPr>
            <w:r w:rsidRPr="00B91F2A">
              <w:rPr>
                <w:rFonts w:ascii="David" w:hAnsi="David"/>
                <w:b/>
                <w:bCs/>
                <w:sz w:val="26"/>
                <w:szCs w:val="26"/>
                <w:rtl/>
              </w:rPr>
              <w:t>3.   אחמד מוחמד עלי (הסתיים)</w:t>
            </w:r>
          </w:p>
          <w:p w14:paraId="38961C7D" w14:textId="77777777" w:rsidR="002530EA" w:rsidRPr="00B91F2A" w:rsidRDefault="002530EA" w:rsidP="00B91F2A">
            <w:pPr>
              <w:spacing w:before="120" w:after="120" w:line="240" w:lineRule="exact"/>
              <w:rPr>
                <w:rFonts w:ascii="David" w:hAnsi="David"/>
                <w:b/>
                <w:bCs/>
                <w:sz w:val="26"/>
                <w:szCs w:val="26"/>
                <w:rtl/>
              </w:rPr>
            </w:pPr>
            <w:r w:rsidRPr="00B91F2A">
              <w:rPr>
                <w:rFonts w:ascii="David" w:hAnsi="David"/>
                <w:b/>
                <w:bCs/>
                <w:sz w:val="26"/>
                <w:szCs w:val="26"/>
                <w:rtl/>
              </w:rPr>
              <w:t>4.   אוסאמה עלי (הסתיים)</w:t>
            </w:r>
          </w:p>
        </w:tc>
      </w:tr>
    </w:tbl>
    <w:p w14:paraId="4A410567" w14:textId="77777777" w:rsidR="002530EA" w:rsidRPr="00CF39E3" w:rsidRDefault="002530EA" w:rsidP="002530EA">
      <w:pPr>
        <w:rPr>
          <w:rtl/>
        </w:rPr>
      </w:pPr>
    </w:p>
    <w:p w14:paraId="3B792FD6" w14:textId="77777777" w:rsidR="002530EA" w:rsidRPr="00B91F2A" w:rsidRDefault="002530EA" w:rsidP="002530EA">
      <w:pPr>
        <w:rPr>
          <w:b/>
          <w:bCs/>
          <w:rtl/>
        </w:rPr>
      </w:pPr>
      <w:r w:rsidRPr="00B91F2A">
        <w:rPr>
          <w:rFonts w:hint="cs"/>
          <w:b/>
          <w:bCs/>
          <w:rtl/>
        </w:rPr>
        <w:t xml:space="preserve">באי-כוח המאשימה: </w:t>
      </w:r>
      <w:r w:rsidRPr="00B91F2A">
        <w:rPr>
          <w:rFonts w:hint="cs"/>
          <w:b/>
          <w:bCs/>
          <w:rtl/>
        </w:rPr>
        <w:tab/>
        <w:t>עו"ד שי עציון, עו"ד אור גבאי (פרקליטות מחוז ירושלים (פלילי))</w:t>
      </w:r>
    </w:p>
    <w:p w14:paraId="332D0267" w14:textId="77777777" w:rsidR="002530EA" w:rsidRPr="00B91F2A" w:rsidRDefault="002530EA" w:rsidP="002530EA">
      <w:pPr>
        <w:rPr>
          <w:b/>
          <w:bCs/>
          <w:rtl/>
        </w:rPr>
      </w:pPr>
      <w:bookmarkStart w:id="2" w:name="FirstLawyer"/>
      <w:r w:rsidRPr="00B91F2A">
        <w:rPr>
          <w:rFonts w:hint="cs"/>
          <w:b/>
          <w:bCs/>
          <w:rtl/>
        </w:rPr>
        <w:t>בא-כ</w:t>
      </w:r>
      <w:bookmarkEnd w:id="2"/>
      <w:r w:rsidRPr="00B91F2A">
        <w:rPr>
          <w:rFonts w:hint="cs"/>
          <w:b/>
          <w:bCs/>
          <w:rtl/>
        </w:rPr>
        <w:t>וח הנאשם 4:</w:t>
      </w:r>
      <w:r w:rsidRPr="00B91F2A">
        <w:rPr>
          <w:b/>
          <w:bCs/>
          <w:rtl/>
        </w:rPr>
        <w:tab/>
      </w:r>
      <w:r w:rsidRPr="00B91F2A">
        <w:rPr>
          <w:rFonts w:hint="cs"/>
          <w:b/>
          <w:bCs/>
          <w:rtl/>
        </w:rPr>
        <w:t>עו"ד יוסי זילברברג</w:t>
      </w:r>
    </w:p>
    <w:p w14:paraId="60C20534" w14:textId="77777777" w:rsidR="002530EA" w:rsidRPr="00CF39E3" w:rsidRDefault="002530EA" w:rsidP="002530EA"/>
    <w:p w14:paraId="0E4E894A" w14:textId="77777777" w:rsidR="00B91F2A" w:rsidRPr="00B91F2A" w:rsidRDefault="00B91F2A" w:rsidP="00B91F2A">
      <w:pPr>
        <w:spacing w:before="120" w:after="120" w:line="240" w:lineRule="exact"/>
        <w:ind w:left="283" w:hanging="283"/>
        <w:jc w:val="both"/>
        <w:rPr>
          <w:rFonts w:ascii="FrankRuehl" w:hAnsi="FrankRuehl" w:cs="FrankRuehl"/>
          <w:rtl/>
        </w:rPr>
      </w:pPr>
      <w:r w:rsidRPr="00B91F2A">
        <w:rPr>
          <w:rFonts w:ascii="FrankRuehl" w:hAnsi="FrankRuehl" w:cs="FrankRuehl"/>
          <w:rtl/>
        </w:rPr>
        <w:t xml:space="preserve">חקיקה שאוזכרה: </w:t>
      </w:r>
    </w:p>
    <w:p w14:paraId="75F596D9" w14:textId="77777777" w:rsidR="00B91F2A" w:rsidRPr="00B91F2A" w:rsidRDefault="00B91F2A" w:rsidP="00B91F2A">
      <w:pPr>
        <w:spacing w:before="120" w:after="120" w:line="240" w:lineRule="exact"/>
        <w:ind w:left="283" w:hanging="283"/>
        <w:jc w:val="both"/>
        <w:rPr>
          <w:rFonts w:ascii="FrankRuehl" w:hAnsi="FrankRuehl" w:cs="FrankRuehl"/>
          <w:color w:val="0000FF"/>
          <w:rtl/>
        </w:rPr>
      </w:pPr>
      <w:hyperlink r:id="rId6" w:history="1">
        <w:r w:rsidRPr="00B91F2A">
          <w:rPr>
            <w:rStyle w:val="Hyperlink"/>
            <w:rFonts w:ascii="FrankRuehl" w:hAnsi="FrankRuehl" w:cs="FrankRuehl"/>
            <w:u w:val="none"/>
            <w:rtl/>
          </w:rPr>
          <w:t>חוק העונשין, תשל"ז-1977</w:t>
        </w:r>
      </w:hyperlink>
      <w:r w:rsidRPr="00B91F2A">
        <w:rPr>
          <w:rFonts w:ascii="FrankRuehl" w:hAnsi="FrankRuehl" w:cs="FrankRuehl"/>
          <w:color w:val="0000FF"/>
          <w:rtl/>
        </w:rPr>
        <w:t xml:space="preserve">: סע'  </w:t>
      </w:r>
      <w:hyperlink r:id="rId7" w:history="1">
        <w:r w:rsidRPr="00B91F2A">
          <w:rPr>
            <w:rStyle w:val="Hyperlink"/>
            <w:rFonts w:ascii="FrankRuehl" w:hAnsi="FrankRuehl" w:cs="FrankRuehl"/>
            <w:u w:val="none"/>
          </w:rPr>
          <w:t>29</w:t>
        </w:r>
      </w:hyperlink>
      <w:r w:rsidRPr="00B91F2A">
        <w:rPr>
          <w:rFonts w:ascii="FrankRuehl" w:hAnsi="FrankRuehl" w:cs="FrankRuehl"/>
          <w:color w:val="0000FF"/>
          <w:rtl/>
        </w:rPr>
        <w:t xml:space="preserve">, </w:t>
      </w:r>
      <w:hyperlink r:id="rId8" w:history="1">
        <w:r w:rsidRPr="00B91F2A">
          <w:rPr>
            <w:rStyle w:val="Hyperlink"/>
            <w:rFonts w:ascii="FrankRuehl" w:hAnsi="FrankRuehl" w:cs="FrankRuehl"/>
            <w:u w:val="none"/>
          </w:rPr>
          <w:t>144</w:t>
        </w:r>
      </w:hyperlink>
      <w:r w:rsidRPr="00B91F2A">
        <w:rPr>
          <w:rFonts w:ascii="FrankRuehl" w:hAnsi="FrankRuehl" w:cs="FrankRuehl"/>
          <w:color w:val="0000FF"/>
          <w:rtl/>
        </w:rPr>
        <w:t xml:space="preserve">(א), </w:t>
      </w:r>
      <w:hyperlink r:id="rId9" w:history="1">
        <w:r w:rsidRPr="00B91F2A">
          <w:rPr>
            <w:rStyle w:val="Hyperlink"/>
            <w:rFonts w:ascii="FrankRuehl" w:hAnsi="FrankRuehl" w:cs="FrankRuehl"/>
            <w:u w:val="none"/>
          </w:rPr>
          <w:t>192</w:t>
        </w:r>
      </w:hyperlink>
      <w:r w:rsidRPr="00B91F2A">
        <w:rPr>
          <w:rFonts w:ascii="FrankRuehl" w:hAnsi="FrankRuehl" w:cs="FrankRuehl"/>
          <w:color w:val="0000FF"/>
          <w:rtl/>
        </w:rPr>
        <w:t xml:space="preserve">, </w:t>
      </w:r>
      <w:hyperlink r:id="rId10" w:history="1">
        <w:r w:rsidRPr="00B91F2A">
          <w:rPr>
            <w:rStyle w:val="Hyperlink"/>
            <w:rFonts w:ascii="FrankRuehl" w:hAnsi="FrankRuehl" w:cs="FrankRuehl"/>
            <w:u w:val="none"/>
          </w:rPr>
          <w:t>334</w:t>
        </w:r>
      </w:hyperlink>
      <w:r w:rsidRPr="00B91F2A">
        <w:rPr>
          <w:rFonts w:ascii="FrankRuehl" w:hAnsi="FrankRuehl" w:cs="FrankRuehl"/>
          <w:color w:val="0000FF"/>
          <w:rtl/>
        </w:rPr>
        <w:t xml:space="preserve">, </w:t>
      </w:r>
      <w:hyperlink r:id="rId11" w:history="1">
        <w:r w:rsidRPr="00B91F2A">
          <w:rPr>
            <w:rStyle w:val="Hyperlink"/>
            <w:rFonts w:ascii="FrankRuehl" w:hAnsi="FrankRuehl" w:cs="FrankRuehl"/>
            <w:u w:val="none"/>
          </w:rPr>
          <w:t>335</w:t>
        </w:r>
      </w:hyperlink>
      <w:r w:rsidRPr="00B91F2A">
        <w:rPr>
          <w:rFonts w:ascii="FrankRuehl" w:hAnsi="FrankRuehl" w:cs="FrankRuehl"/>
          <w:color w:val="0000FF"/>
          <w:rtl/>
        </w:rPr>
        <w:t xml:space="preserve">(א)(1), </w:t>
      </w:r>
      <w:hyperlink r:id="rId12" w:history="1">
        <w:r w:rsidRPr="00B91F2A">
          <w:rPr>
            <w:rStyle w:val="Hyperlink"/>
            <w:rFonts w:ascii="FrankRuehl" w:hAnsi="FrankRuehl" w:cs="FrankRuehl"/>
            <w:u w:val="none"/>
          </w:rPr>
          <w:t>(2)</w:t>
        </w:r>
      </w:hyperlink>
      <w:r w:rsidRPr="00B91F2A">
        <w:rPr>
          <w:rFonts w:ascii="FrankRuehl" w:hAnsi="FrankRuehl" w:cs="FrankRuehl"/>
          <w:color w:val="0000FF"/>
          <w:rtl/>
        </w:rPr>
        <w:t xml:space="preserve">, </w:t>
      </w:r>
      <w:hyperlink r:id="rId13" w:history="1">
        <w:r w:rsidRPr="00B91F2A">
          <w:rPr>
            <w:rStyle w:val="Hyperlink"/>
            <w:rFonts w:ascii="FrankRuehl" w:hAnsi="FrankRuehl" w:cs="FrankRuehl"/>
            <w:u w:val="none"/>
          </w:rPr>
          <w:t>340</w:t>
        </w:r>
        <w:r w:rsidRPr="00B91F2A">
          <w:rPr>
            <w:rStyle w:val="Hyperlink"/>
            <w:rFonts w:ascii="FrankRuehl" w:hAnsi="FrankRuehl" w:cs="FrankRuehl"/>
            <w:u w:val="none"/>
            <w:rtl/>
          </w:rPr>
          <w:t>א</w:t>
        </w:r>
      </w:hyperlink>
      <w:r w:rsidRPr="00B91F2A">
        <w:rPr>
          <w:rFonts w:ascii="FrankRuehl" w:hAnsi="FrankRuehl" w:cs="FrankRuehl"/>
          <w:color w:val="0000FF"/>
          <w:rtl/>
        </w:rPr>
        <w:t>(ב)</w:t>
      </w:r>
    </w:p>
    <w:p w14:paraId="69A90129" w14:textId="77777777" w:rsidR="00B91F2A" w:rsidRPr="00B91F2A" w:rsidRDefault="00B91F2A" w:rsidP="00B91F2A">
      <w:pPr>
        <w:spacing w:before="120" w:after="120" w:line="240" w:lineRule="exact"/>
        <w:ind w:left="283" w:hanging="283"/>
        <w:jc w:val="both"/>
        <w:rPr>
          <w:rFonts w:ascii="FrankRuehl" w:hAnsi="FrankRuehl" w:cs="FrankRuehl"/>
          <w:color w:val="0000FF"/>
          <w:rtl/>
        </w:rPr>
      </w:pPr>
      <w:hyperlink r:id="rId14" w:history="1">
        <w:r w:rsidRPr="00B91F2A">
          <w:rPr>
            <w:rStyle w:val="Hyperlink"/>
            <w:rFonts w:ascii="FrankRuehl" w:hAnsi="FrankRuehl" w:cs="FrankRuehl"/>
            <w:u w:val="none"/>
            <w:rtl/>
          </w:rPr>
          <w:t>פקודת מס הכנסה [נוסח חדש] - לא מרובד</w:t>
        </w:r>
      </w:hyperlink>
      <w:r w:rsidRPr="00B91F2A">
        <w:rPr>
          <w:rFonts w:ascii="FrankRuehl" w:hAnsi="FrankRuehl" w:cs="FrankRuehl"/>
          <w:color w:val="0000FF"/>
          <w:rtl/>
        </w:rPr>
        <w:t xml:space="preserve">: סע'  </w:t>
      </w:r>
      <w:hyperlink r:id="rId15" w:history="1">
        <w:r w:rsidRPr="00B91F2A">
          <w:rPr>
            <w:rStyle w:val="Hyperlink"/>
            <w:rFonts w:ascii="FrankRuehl" w:hAnsi="FrankRuehl" w:cs="FrankRuehl"/>
            <w:u w:val="none"/>
          </w:rPr>
          <w:t>220</w:t>
        </w:r>
      </w:hyperlink>
      <w:r w:rsidRPr="00B91F2A">
        <w:rPr>
          <w:rFonts w:ascii="FrankRuehl" w:hAnsi="FrankRuehl" w:cs="FrankRuehl"/>
          <w:color w:val="0000FF"/>
          <w:rtl/>
        </w:rPr>
        <w:t>(5)</w:t>
      </w:r>
    </w:p>
    <w:p w14:paraId="139E6554" w14:textId="77777777" w:rsidR="00B91F2A" w:rsidRPr="00B91F2A" w:rsidRDefault="00B91F2A" w:rsidP="00B91F2A">
      <w:pPr>
        <w:spacing w:before="120" w:after="120" w:line="240" w:lineRule="exact"/>
        <w:ind w:left="283" w:hanging="283"/>
        <w:jc w:val="both"/>
        <w:rPr>
          <w:rFonts w:ascii="FrankRuehl" w:hAnsi="FrankRuehl" w:cs="FrankRuehl"/>
          <w:color w:val="0000FF"/>
          <w:rtl/>
        </w:rPr>
      </w:pPr>
      <w:hyperlink r:id="rId16" w:history="1">
        <w:r w:rsidRPr="00B91F2A">
          <w:rPr>
            <w:rStyle w:val="Hyperlink"/>
            <w:rFonts w:ascii="FrankRuehl" w:hAnsi="FrankRuehl" w:cs="FrankRuehl"/>
            <w:u w:val="none"/>
            <w:rtl/>
          </w:rPr>
          <w:t>חוק מס ערך מוסף, תשל"ו-1975</w:t>
        </w:r>
      </w:hyperlink>
      <w:r w:rsidRPr="00B91F2A">
        <w:rPr>
          <w:rFonts w:ascii="FrankRuehl" w:hAnsi="FrankRuehl" w:cs="FrankRuehl"/>
          <w:color w:val="0000FF"/>
          <w:rtl/>
        </w:rPr>
        <w:t xml:space="preserve">: סע'  </w:t>
      </w:r>
      <w:hyperlink r:id="rId17" w:history="1">
        <w:r w:rsidRPr="00B91F2A">
          <w:rPr>
            <w:rStyle w:val="Hyperlink"/>
            <w:rFonts w:ascii="FrankRuehl" w:hAnsi="FrankRuehl" w:cs="FrankRuehl"/>
            <w:u w:val="none"/>
          </w:rPr>
          <w:t>117</w:t>
        </w:r>
      </w:hyperlink>
      <w:r w:rsidRPr="00B91F2A">
        <w:rPr>
          <w:rFonts w:ascii="FrankRuehl" w:hAnsi="FrankRuehl" w:cs="FrankRuehl"/>
          <w:color w:val="0000FF"/>
          <w:rtl/>
        </w:rPr>
        <w:t>(ב)(8)</w:t>
      </w:r>
    </w:p>
    <w:p w14:paraId="3EA1FC6A" w14:textId="77777777" w:rsidR="002530EA" w:rsidRDefault="002530EA" w:rsidP="00B91F2A">
      <w:pPr>
        <w:spacing w:line="360" w:lineRule="auto"/>
        <w:jc w:val="both"/>
        <w:rPr>
          <w:rFonts w:ascii="David" w:hAnsi="David" w:hint="cs"/>
          <w:rtl/>
        </w:rPr>
      </w:pPr>
      <w:bookmarkStart w:id="3" w:name="LawTable_End"/>
      <w:bookmarkEnd w:id="3"/>
    </w:p>
    <w:p w14:paraId="675D517C" w14:textId="77777777" w:rsidR="00B91F2A" w:rsidRDefault="00B91F2A" w:rsidP="00B91F2A">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020C003B" w14:textId="77777777" w:rsidR="00B91F2A" w:rsidRPr="00694E2E" w:rsidRDefault="00B91F2A" w:rsidP="00B91F2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694E2E">
        <w:rPr>
          <w:rFonts w:cs="FrankRuehl" w:hint="cs"/>
          <w:szCs w:val="26"/>
          <w:rtl/>
        </w:rPr>
        <w:t>אושר הסדר טיעון בעניינו של הנאשם שהורשע בעבירות נשק, אלימות ואיומים. הנאשם נידון ל-24 חודשי מאסר שיחפפו בחלקם את המאסר שהוא נושא בו בגין הליך אחר, ומאסרים מותנים.</w:t>
      </w:r>
    </w:p>
    <w:p w14:paraId="2171866A" w14:textId="77777777" w:rsidR="00B91F2A" w:rsidRDefault="00B91F2A" w:rsidP="00B91F2A">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דרכי ענישה: מאסרים חופפים</w:t>
      </w:r>
    </w:p>
    <w:p w14:paraId="1B3E6615" w14:textId="77777777" w:rsidR="00B91F2A" w:rsidRDefault="00B91F2A" w:rsidP="00B91F2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3DEE861" w14:textId="77777777" w:rsidR="00B91F2A" w:rsidRPr="00694E2E" w:rsidRDefault="00B91F2A" w:rsidP="00B91F2A">
      <w:pPr>
        <w:pBdr>
          <w:top w:val="single" w:sz="4" w:space="1" w:color="auto"/>
          <w:bottom w:val="single" w:sz="4" w:space="1" w:color="auto"/>
        </w:pBdr>
        <w:spacing w:after="120" w:line="320" w:lineRule="exact"/>
        <w:jc w:val="both"/>
        <w:rPr>
          <w:rFonts w:cs="FrankRuehl" w:hint="cs"/>
          <w:szCs w:val="26"/>
          <w:rtl/>
        </w:rPr>
      </w:pPr>
      <w:r w:rsidRPr="00694E2E">
        <w:rPr>
          <w:rFonts w:cs="FrankRuehl"/>
          <w:szCs w:val="26"/>
          <w:rtl/>
        </w:rPr>
        <w:t>הנאשם 1 ה</w:t>
      </w:r>
      <w:r w:rsidRPr="00694E2E">
        <w:rPr>
          <w:rFonts w:cs="FrankRuehl" w:hint="cs"/>
          <w:szCs w:val="26"/>
          <w:rtl/>
        </w:rPr>
        <w:t>ורשע בעקבות</w:t>
      </w:r>
      <w:r w:rsidRPr="00694E2E">
        <w:rPr>
          <w:rFonts w:cs="FrankRuehl"/>
          <w:szCs w:val="26"/>
          <w:rtl/>
        </w:rPr>
        <w:t xml:space="preserve"> הסדר טיעון בעבירת החזקת נשק בצוותא, עבירת פציעה בנסיבות מחמירות שנעברה בצוותא, עבירת איומים ועבירת ירי מנשק חם.</w:t>
      </w:r>
      <w:r w:rsidRPr="00694E2E">
        <w:rPr>
          <w:rFonts w:cs="FrankRuehl" w:hint="cs"/>
          <w:szCs w:val="26"/>
          <w:rtl/>
        </w:rPr>
        <w:t xml:space="preserve"> הצדדים הסכימו על הטלת 24 חודשי מאסר ומאסרים מותנים.</w:t>
      </w:r>
    </w:p>
    <w:p w14:paraId="5985A648" w14:textId="77777777" w:rsidR="00B91F2A" w:rsidRDefault="00B91F2A" w:rsidP="00B91F2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748F836" w14:textId="77777777" w:rsidR="00B91F2A" w:rsidRPr="00694E2E" w:rsidRDefault="00B91F2A" w:rsidP="00B91F2A">
      <w:pPr>
        <w:pBdr>
          <w:top w:val="single" w:sz="4" w:space="1" w:color="auto"/>
          <w:bottom w:val="single" w:sz="4" w:space="1" w:color="auto"/>
        </w:pBdr>
        <w:spacing w:after="120" w:line="320" w:lineRule="exact"/>
        <w:jc w:val="both"/>
        <w:rPr>
          <w:rFonts w:cs="FrankRuehl" w:hint="cs"/>
          <w:szCs w:val="26"/>
          <w:rtl/>
        </w:rPr>
      </w:pPr>
      <w:r w:rsidRPr="00694E2E">
        <w:rPr>
          <w:rFonts w:cs="FrankRuehl" w:hint="cs"/>
          <w:szCs w:val="26"/>
          <w:rtl/>
        </w:rPr>
        <w:t>בית המשפט המחוזי גזר את הדין כדלהלן:</w:t>
      </w:r>
    </w:p>
    <w:p w14:paraId="45672A93" w14:textId="77777777" w:rsidR="00B91F2A" w:rsidRPr="00694E2E" w:rsidRDefault="00B91F2A" w:rsidP="00B91F2A">
      <w:pPr>
        <w:pBdr>
          <w:top w:val="single" w:sz="4" w:space="1" w:color="auto"/>
          <w:bottom w:val="single" w:sz="4" w:space="1" w:color="auto"/>
        </w:pBdr>
        <w:spacing w:after="120" w:line="320" w:lineRule="exact"/>
        <w:jc w:val="both"/>
        <w:rPr>
          <w:rFonts w:cs="FrankRuehl" w:hint="cs"/>
          <w:szCs w:val="26"/>
          <w:rtl/>
        </w:rPr>
      </w:pPr>
      <w:r w:rsidRPr="00694E2E">
        <w:rPr>
          <w:rFonts w:cs="FrankRuehl"/>
          <w:szCs w:val="26"/>
          <w:rtl/>
        </w:rPr>
        <w:t xml:space="preserve">העונש שעליו הוסכם במסגרת הסדר הטיעון מצוי ברף הנמוך של רמת הענישה הנוהגת לגבי העבירות שבהן הורשע הנאשם. עם זאת, לנוכח מכלול השיקולים, בהתחשב בנסיבות שבהן נעברו העבירות ובנסיבותיו של הנאשם, העונש המוסכם הולם את העבירות שבהן הורשע הנאשם ועל כן </w:t>
      </w:r>
      <w:r w:rsidRPr="00694E2E">
        <w:rPr>
          <w:rFonts w:cs="FrankRuehl" w:hint="cs"/>
          <w:szCs w:val="26"/>
          <w:rtl/>
        </w:rPr>
        <w:t>יש</w:t>
      </w:r>
      <w:r w:rsidRPr="00694E2E">
        <w:rPr>
          <w:rFonts w:cs="FrankRuehl"/>
          <w:szCs w:val="26"/>
          <w:rtl/>
        </w:rPr>
        <w:t xml:space="preserve"> לכבד את הסדר הטיעון.</w:t>
      </w:r>
      <w:r w:rsidRPr="00694E2E">
        <w:rPr>
          <w:rFonts w:cs="FrankRuehl" w:hint="cs"/>
          <w:szCs w:val="26"/>
          <w:rtl/>
        </w:rPr>
        <w:t xml:space="preserve"> </w:t>
      </w:r>
      <w:r w:rsidRPr="00694E2E">
        <w:rPr>
          <w:rFonts w:cs="FrankRuehl"/>
          <w:szCs w:val="26"/>
          <w:rtl/>
        </w:rPr>
        <w:t xml:space="preserve">אם תקופת מעצרו של הנאשם הייתה במהלך תקופה שבה נשא עונש מאסר בפועל בשל </w:t>
      </w:r>
      <w:r w:rsidRPr="00694E2E">
        <w:rPr>
          <w:rFonts w:cs="FrankRuehl"/>
          <w:szCs w:val="26"/>
          <w:rtl/>
        </w:rPr>
        <w:lastRenderedPageBreak/>
        <w:t>הליך אחר, כי אז ימי המעצר לא ינוכו מתקופת המאסר.</w:t>
      </w:r>
      <w:r w:rsidRPr="00694E2E">
        <w:rPr>
          <w:rFonts w:cs="FrankRuehl" w:hint="cs"/>
          <w:szCs w:val="26"/>
          <w:rtl/>
        </w:rPr>
        <w:t xml:space="preserve"> </w:t>
      </w:r>
      <w:r w:rsidRPr="00694E2E">
        <w:rPr>
          <w:rFonts w:cs="FrankRuehl"/>
          <w:szCs w:val="26"/>
          <w:rtl/>
        </w:rPr>
        <w:t>הוראה לפיה העונשים ירוצו במצטבר היא הכלל, והחלטה על חפיפת העונשים היא המצריכה הנמקה מיוחדת</w:t>
      </w:r>
      <w:r w:rsidRPr="00694E2E">
        <w:rPr>
          <w:rFonts w:cs="FrankRuehl" w:hint="cs"/>
          <w:szCs w:val="26"/>
          <w:rtl/>
        </w:rPr>
        <w:t>.</w:t>
      </w:r>
      <w:r w:rsidRPr="00694E2E">
        <w:rPr>
          <w:rFonts w:cs="FrankRuehl"/>
          <w:szCs w:val="26"/>
          <w:rtl/>
        </w:rPr>
        <w:t xml:space="preserve"> עם זאת, בית המשפט </w:t>
      </w:r>
      <w:r w:rsidRPr="00694E2E">
        <w:rPr>
          <w:rFonts w:cs="FrankRuehl" w:hint="cs"/>
          <w:szCs w:val="26"/>
          <w:rtl/>
        </w:rPr>
        <w:t>הטעים</w:t>
      </w:r>
      <w:r w:rsidRPr="00694E2E">
        <w:rPr>
          <w:rFonts w:cs="FrankRuehl"/>
          <w:szCs w:val="26"/>
          <w:rtl/>
        </w:rPr>
        <w:t xml:space="preserve"> כי "הכרעה בסוגיה זו נעשית בראי נסיבותיו של כל מקרה, כאשר יש לתת את הדעת לשני שיקולים מרכזיים</w:t>
      </w:r>
      <w:r w:rsidRPr="00694E2E">
        <w:rPr>
          <w:rFonts w:cs="FrankRuehl" w:hint="cs"/>
          <w:szCs w:val="26"/>
          <w:rtl/>
        </w:rPr>
        <w:t xml:space="preserve">: </w:t>
      </w:r>
      <w:r w:rsidRPr="00694E2E">
        <w:rPr>
          <w:rFonts w:cs="FrankRuehl"/>
          <w:szCs w:val="26"/>
          <w:rtl/>
        </w:rPr>
        <w:t>זיקתן של העבירות בהן הורשע הנאשם, כאשר זיקה חזקה עשויה להצדיק חפיפת העונשים</w:t>
      </w:r>
      <w:r w:rsidRPr="00694E2E">
        <w:rPr>
          <w:rFonts w:cs="FrankRuehl" w:hint="cs"/>
          <w:szCs w:val="26"/>
          <w:rtl/>
        </w:rPr>
        <w:t>; ו</w:t>
      </w:r>
      <w:r w:rsidRPr="00694E2E">
        <w:rPr>
          <w:rFonts w:cs="FrankRuehl"/>
          <w:szCs w:val="26"/>
          <w:rtl/>
        </w:rPr>
        <w:t>מהותן וחומרתן של העבירות</w:t>
      </w:r>
      <w:r w:rsidRPr="00694E2E">
        <w:rPr>
          <w:rFonts w:cs="FrankRuehl" w:hint="cs"/>
          <w:szCs w:val="26"/>
          <w:rtl/>
        </w:rPr>
        <w:t xml:space="preserve">. </w:t>
      </w:r>
      <w:r w:rsidRPr="00694E2E">
        <w:rPr>
          <w:rFonts w:cs="FrankRuehl"/>
          <w:szCs w:val="26"/>
          <w:rtl/>
        </w:rPr>
        <w:t>בנוסף לאלו, בית המשפט רשאי להתחשב גם בנסיבותיו האישיות של נאשם</w:t>
      </w:r>
      <w:r w:rsidRPr="00694E2E">
        <w:rPr>
          <w:rFonts w:cs="FrankRuehl" w:hint="cs"/>
          <w:szCs w:val="26"/>
          <w:rtl/>
        </w:rPr>
        <w:t>.</w:t>
      </w:r>
    </w:p>
    <w:p w14:paraId="21D92617" w14:textId="77777777" w:rsidR="00B91F2A" w:rsidRPr="00694E2E" w:rsidRDefault="00B91F2A" w:rsidP="00B91F2A">
      <w:pPr>
        <w:pBdr>
          <w:top w:val="single" w:sz="4" w:space="1" w:color="auto"/>
          <w:bottom w:val="single" w:sz="4" w:space="1" w:color="auto"/>
        </w:pBdr>
        <w:spacing w:after="120" w:line="320" w:lineRule="exact"/>
        <w:jc w:val="both"/>
        <w:rPr>
          <w:rFonts w:cs="FrankRuehl"/>
          <w:szCs w:val="26"/>
          <w:rtl/>
        </w:rPr>
      </w:pPr>
      <w:r w:rsidRPr="00694E2E">
        <w:rPr>
          <w:rFonts w:cs="FrankRuehl"/>
          <w:szCs w:val="26"/>
          <w:rtl/>
        </w:rPr>
        <w:t>בנסיבות העניין יהיה זה נכון להורות על חפיפה חלקית של שני העונשים</w:t>
      </w:r>
      <w:r w:rsidRPr="00694E2E">
        <w:rPr>
          <w:rFonts w:cs="FrankRuehl" w:hint="cs"/>
          <w:szCs w:val="26"/>
          <w:rtl/>
        </w:rPr>
        <w:t xml:space="preserve"> </w:t>
      </w:r>
      <w:r w:rsidRPr="00694E2E">
        <w:rPr>
          <w:rFonts w:cs="FrankRuehl"/>
          <w:szCs w:val="26"/>
          <w:rtl/>
        </w:rPr>
        <w:t xml:space="preserve">כך </w:t>
      </w:r>
      <w:r w:rsidRPr="00694E2E">
        <w:rPr>
          <w:rFonts w:cs="FrankRuehl" w:hint="cs"/>
          <w:szCs w:val="26"/>
          <w:rtl/>
        </w:rPr>
        <w:t>ש</w:t>
      </w:r>
      <w:r w:rsidRPr="00694E2E">
        <w:rPr>
          <w:rFonts w:cs="FrankRuehl"/>
          <w:szCs w:val="26"/>
          <w:rtl/>
        </w:rPr>
        <w:t xml:space="preserve">מתוך </w:t>
      </w:r>
      <w:r w:rsidRPr="00694E2E">
        <w:rPr>
          <w:rFonts w:cs="FrankRuehl" w:hint="cs"/>
          <w:szCs w:val="26"/>
          <w:rtl/>
        </w:rPr>
        <w:t xml:space="preserve">24 </w:t>
      </w:r>
      <w:r w:rsidRPr="00694E2E">
        <w:rPr>
          <w:rFonts w:cs="FrankRuehl"/>
          <w:szCs w:val="26"/>
          <w:rtl/>
        </w:rPr>
        <w:t xml:space="preserve">חודשי המאסר שיושתו על הנאשם, </w:t>
      </w:r>
      <w:r w:rsidRPr="00694E2E">
        <w:rPr>
          <w:rFonts w:cs="FrankRuehl" w:hint="cs"/>
          <w:szCs w:val="26"/>
          <w:rtl/>
        </w:rPr>
        <w:t>14</w:t>
      </w:r>
      <w:r w:rsidRPr="00694E2E">
        <w:rPr>
          <w:rFonts w:cs="FrankRuehl"/>
          <w:szCs w:val="26"/>
          <w:rtl/>
        </w:rPr>
        <w:t xml:space="preserve"> מתוכם יחפפו את העונש שה</w:t>
      </w:r>
      <w:r w:rsidRPr="00694E2E">
        <w:rPr>
          <w:rFonts w:cs="FrankRuehl" w:hint="cs"/>
          <w:szCs w:val="26"/>
          <w:rtl/>
        </w:rPr>
        <w:t>וא</w:t>
      </w:r>
      <w:r w:rsidRPr="00694E2E">
        <w:rPr>
          <w:rFonts w:cs="FrankRuehl"/>
          <w:szCs w:val="26"/>
          <w:rtl/>
        </w:rPr>
        <w:t xml:space="preserve"> נושא עתה בשל ההליך האחר ו</w:t>
      </w:r>
      <w:r w:rsidRPr="00694E2E">
        <w:rPr>
          <w:rFonts w:cs="FrankRuehl" w:hint="cs"/>
          <w:szCs w:val="26"/>
          <w:rtl/>
        </w:rPr>
        <w:t xml:space="preserve">-10 חודשים יצטברו </w:t>
      </w:r>
      <w:r w:rsidRPr="00694E2E">
        <w:rPr>
          <w:rFonts w:cs="FrankRuehl"/>
          <w:szCs w:val="26"/>
          <w:rtl/>
        </w:rPr>
        <w:t>לע</w:t>
      </w:r>
      <w:r w:rsidRPr="00694E2E">
        <w:rPr>
          <w:rFonts w:cs="FrankRuehl" w:hint="cs"/>
          <w:szCs w:val="26"/>
          <w:rtl/>
        </w:rPr>
        <w:t>ו</w:t>
      </w:r>
      <w:r w:rsidRPr="00694E2E">
        <w:rPr>
          <w:rFonts w:cs="FrankRuehl"/>
          <w:szCs w:val="26"/>
          <w:rtl/>
        </w:rPr>
        <w:t>נש</w:t>
      </w:r>
      <w:r w:rsidRPr="00694E2E">
        <w:rPr>
          <w:rFonts w:cs="FrankRuehl" w:hint="cs"/>
          <w:szCs w:val="26"/>
          <w:rtl/>
        </w:rPr>
        <w:t xml:space="preserve"> שהושת</w:t>
      </w:r>
      <w:r w:rsidRPr="00694E2E">
        <w:rPr>
          <w:rFonts w:cs="FrankRuehl"/>
          <w:szCs w:val="26"/>
          <w:rtl/>
        </w:rPr>
        <w:t xml:space="preserve"> בשל ההליך האחר.</w:t>
      </w:r>
      <w:r w:rsidRPr="00694E2E">
        <w:rPr>
          <w:rFonts w:cs="FrankRuehl" w:hint="cs"/>
          <w:szCs w:val="26"/>
          <w:rtl/>
        </w:rPr>
        <w:t xml:space="preserve"> בנוסף לכך הושתו על הנאשם שני מאסרים על תנאי.</w:t>
      </w:r>
    </w:p>
    <w:p w14:paraId="22970E48" w14:textId="77777777" w:rsidR="00B91F2A" w:rsidRPr="00B91F2A" w:rsidRDefault="00B91F2A" w:rsidP="00B91F2A">
      <w:pPr>
        <w:spacing w:line="360" w:lineRule="auto"/>
        <w:jc w:val="both"/>
        <w:rPr>
          <w:rFonts w:ascii="David" w:hAnsi="David"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530EA" w14:paraId="1A950BDA" w14:textId="77777777" w:rsidTr="002530EA">
        <w:trPr>
          <w:trHeight w:val="355"/>
          <w:jc w:val="center"/>
        </w:trPr>
        <w:tc>
          <w:tcPr>
            <w:tcW w:w="8820" w:type="dxa"/>
            <w:tcBorders>
              <w:top w:val="nil"/>
              <w:left w:val="nil"/>
              <w:bottom w:val="nil"/>
              <w:right w:val="nil"/>
            </w:tcBorders>
            <w:shd w:val="clear" w:color="auto" w:fill="auto"/>
          </w:tcPr>
          <w:p w14:paraId="180BB667" w14:textId="77777777" w:rsidR="00CF39E3" w:rsidRPr="00CF39E3" w:rsidRDefault="00CF39E3" w:rsidP="00CF39E3">
            <w:pPr>
              <w:jc w:val="center"/>
              <w:rPr>
                <w:rFonts w:ascii="David" w:hAnsi="David"/>
                <w:b/>
                <w:bCs/>
                <w:sz w:val="28"/>
                <w:szCs w:val="28"/>
                <w:u w:val="single"/>
                <w:rtl/>
              </w:rPr>
            </w:pPr>
            <w:bookmarkStart w:id="6" w:name="PsakDin"/>
            <w:r w:rsidRPr="00CF39E3">
              <w:rPr>
                <w:rFonts w:ascii="David" w:hAnsi="David"/>
                <w:b/>
                <w:bCs/>
                <w:sz w:val="28"/>
                <w:szCs w:val="28"/>
                <w:u w:val="single"/>
                <w:rtl/>
              </w:rPr>
              <w:t>גזר דין</w:t>
            </w:r>
          </w:p>
          <w:bookmarkEnd w:id="6"/>
          <w:p w14:paraId="14614385" w14:textId="77777777" w:rsidR="002530EA" w:rsidRPr="002530EA" w:rsidRDefault="002530EA" w:rsidP="002530EA">
            <w:pPr>
              <w:jc w:val="center"/>
              <w:rPr>
                <w:rFonts w:ascii="David" w:hAnsi="David"/>
                <w:b/>
                <w:bCs/>
                <w:sz w:val="28"/>
                <w:szCs w:val="28"/>
                <w:u w:val="single"/>
                <w:rtl/>
              </w:rPr>
            </w:pPr>
            <w:r w:rsidRPr="002530EA">
              <w:rPr>
                <w:rFonts w:ascii="David" w:hAnsi="David" w:hint="cs"/>
                <w:b/>
                <w:bCs/>
                <w:sz w:val="28"/>
                <w:szCs w:val="28"/>
                <w:u w:val="single"/>
                <w:rtl/>
              </w:rPr>
              <w:t>בעניין הנאשם 1</w:t>
            </w:r>
          </w:p>
          <w:p w14:paraId="7267FE56" w14:textId="77777777" w:rsidR="002530EA" w:rsidRPr="002530EA" w:rsidRDefault="002530EA" w:rsidP="002530EA">
            <w:pPr>
              <w:jc w:val="center"/>
              <w:rPr>
                <w:rFonts w:ascii="David" w:hAnsi="David"/>
                <w:u w:val="single"/>
                <w:rtl/>
              </w:rPr>
            </w:pPr>
          </w:p>
        </w:tc>
      </w:tr>
      <w:bookmarkEnd w:id="0"/>
    </w:tbl>
    <w:p w14:paraId="62F45F2B" w14:textId="77777777" w:rsidR="00B91F2A" w:rsidRDefault="00B91F2A" w:rsidP="002530EA">
      <w:pPr>
        <w:spacing w:line="360" w:lineRule="auto"/>
        <w:jc w:val="both"/>
        <w:rPr>
          <w:rFonts w:ascii="David" w:hAnsi="David" w:hint="cs"/>
          <w:rtl/>
        </w:rPr>
      </w:pPr>
    </w:p>
    <w:p w14:paraId="53F3DE92" w14:textId="77777777" w:rsidR="002530EA" w:rsidRPr="00D2310F" w:rsidRDefault="002530EA" w:rsidP="002530EA">
      <w:pPr>
        <w:spacing w:line="360" w:lineRule="auto"/>
        <w:jc w:val="both"/>
        <w:rPr>
          <w:rFonts w:ascii="David" w:hAnsi="David"/>
          <w:rtl/>
        </w:rPr>
      </w:pPr>
      <w:r w:rsidRPr="00D2310F">
        <w:rPr>
          <w:rFonts w:ascii="David" w:hAnsi="David"/>
          <w:rtl/>
        </w:rPr>
        <w:t xml:space="preserve">הנאשם 1 (להלן – </w:t>
      </w:r>
      <w:r w:rsidRPr="00D2310F">
        <w:rPr>
          <w:rFonts w:ascii="David" w:hAnsi="David"/>
          <w:b/>
          <w:bCs/>
          <w:rtl/>
        </w:rPr>
        <w:t>הנאשם</w:t>
      </w:r>
      <w:r w:rsidRPr="00D2310F">
        <w:rPr>
          <w:rFonts w:ascii="David" w:hAnsi="David"/>
          <w:rtl/>
        </w:rPr>
        <w:t xml:space="preserve">), יליד 4.5.1962 (כבן 60), הודה בעובדות כתב אישום מתוקן במסגרת הסדר טיעון ובהתאם לכך הורשע ביום 18.11.2021 בעבירת </w:t>
      </w:r>
      <w:r w:rsidRPr="00D2310F">
        <w:rPr>
          <w:rFonts w:ascii="David" w:hAnsi="David"/>
          <w:b/>
          <w:bCs/>
          <w:rtl/>
        </w:rPr>
        <w:t>החזקת נשק בצוותא</w:t>
      </w:r>
      <w:r w:rsidRPr="00D2310F">
        <w:rPr>
          <w:rFonts w:ascii="David" w:hAnsi="David"/>
          <w:rtl/>
        </w:rPr>
        <w:t xml:space="preserve">, לפי </w:t>
      </w:r>
      <w:hyperlink r:id="rId18" w:history="1">
        <w:r w:rsidR="007F528F" w:rsidRPr="007F528F">
          <w:rPr>
            <w:rStyle w:val="Hyperlink"/>
            <w:rFonts w:ascii="David" w:hAnsi="David"/>
            <w:rtl/>
          </w:rPr>
          <w:t>סעיפים 144(א)</w:t>
        </w:r>
      </w:hyperlink>
      <w:r w:rsidRPr="00D2310F">
        <w:rPr>
          <w:rFonts w:ascii="David" w:hAnsi="David"/>
          <w:rtl/>
        </w:rPr>
        <w:t xml:space="preserve"> ו-</w:t>
      </w:r>
      <w:hyperlink r:id="rId19" w:history="1">
        <w:r w:rsidR="007F528F" w:rsidRPr="007F528F">
          <w:rPr>
            <w:rStyle w:val="Hyperlink"/>
            <w:rFonts w:ascii="David" w:hAnsi="David"/>
            <w:rtl/>
          </w:rPr>
          <w:t>29</w:t>
        </w:r>
      </w:hyperlink>
      <w:r w:rsidRPr="00D2310F">
        <w:rPr>
          <w:rFonts w:ascii="David" w:hAnsi="David"/>
          <w:rtl/>
        </w:rPr>
        <w:t xml:space="preserve"> ב</w:t>
      </w:r>
      <w:hyperlink r:id="rId20" w:history="1">
        <w:r w:rsidR="00CF39E3" w:rsidRPr="00CF39E3">
          <w:rPr>
            <w:rFonts w:ascii="David" w:hAnsi="David"/>
            <w:color w:val="0000FF"/>
            <w:u w:val="single"/>
            <w:rtl/>
          </w:rPr>
          <w:t>חוק העונשין</w:t>
        </w:r>
      </w:hyperlink>
      <w:r w:rsidRPr="00D2310F">
        <w:rPr>
          <w:rFonts w:ascii="David" w:hAnsi="David"/>
          <w:rtl/>
        </w:rPr>
        <w:t xml:space="preserve">, התשל"ז-1977 (להלן – </w:t>
      </w:r>
      <w:r w:rsidRPr="00D2310F">
        <w:rPr>
          <w:rFonts w:ascii="David" w:hAnsi="David"/>
          <w:b/>
          <w:bCs/>
          <w:rtl/>
        </w:rPr>
        <w:t>החוק</w:t>
      </w:r>
      <w:r w:rsidRPr="00D2310F">
        <w:rPr>
          <w:rFonts w:ascii="David" w:hAnsi="David"/>
          <w:rtl/>
        </w:rPr>
        <w:t xml:space="preserve">), עבירת </w:t>
      </w:r>
      <w:r w:rsidRPr="00D2310F">
        <w:rPr>
          <w:rFonts w:ascii="David" w:hAnsi="David"/>
          <w:b/>
          <w:bCs/>
          <w:rtl/>
        </w:rPr>
        <w:t>פציעה בנסיבות מחמירות שנעברה בצוותא</w:t>
      </w:r>
      <w:r w:rsidRPr="00D2310F">
        <w:rPr>
          <w:rFonts w:ascii="David" w:hAnsi="David"/>
          <w:rtl/>
        </w:rPr>
        <w:t xml:space="preserve">, לפי </w:t>
      </w:r>
      <w:hyperlink r:id="rId21" w:history="1">
        <w:r w:rsidR="007F528F" w:rsidRPr="007F528F">
          <w:rPr>
            <w:rStyle w:val="Hyperlink"/>
            <w:rFonts w:ascii="David" w:hAnsi="David"/>
            <w:rtl/>
          </w:rPr>
          <w:t>סעיפים 334</w:t>
        </w:r>
      </w:hyperlink>
      <w:r w:rsidRPr="00D2310F">
        <w:rPr>
          <w:rFonts w:ascii="David" w:hAnsi="David"/>
          <w:rtl/>
        </w:rPr>
        <w:t xml:space="preserve">, </w:t>
      </w:r>
      <w:hyperlink r:id="rId22" w:history="1">
        <w:r w:rsidR="007F528F" w:rsidRPr="007F528F">
          <w:rPr>
            <w:rStyle w:val="Hyperlink"/>
            <w:rFonts w:ascii="David" w:hAnsi="David"/>
            <w:rtl/>
          </w:rPr>
          <w:t>335(א)(1)</w:t>
        </w:r>
      </w:hyperlink>
      <w:r w:rsidRPr="00D2310F">
        <w:rPr>
          <w:rFonts w:ascii="David" w:hAnsi="David"/>
          <w:rtl/>
        </w:rPr>
        <w:t xml:space="preserve"> ו-</w:t>
      </w:r>
      <w:hyperlink r:id="rId23" w:history="1">
        <w:r w:rsidR="007F528F" w:rsidRPr="007F528F">
          <w:rPr>
            <w:rStyle w:val="Hyperlink"/>
            <w:rFonts w:ascii="David" w:hAnsi="David"/>
            <w:rtl/>
          </w:rPr>
          <w:t>(2)</w:t>
        </w:r>
      </w:hyperlink>
      <w:r w:rsidRPr="00D2310F">
        <w:rPr>
          <w:rFonts w:ascii="David" w:hAnsi="David"/>
          <w:rtl/>
        </w:rPr>
        <w:t xml:space="preserve"> ו-</w:t>
      </w:r>
      <w:hyperlink r:id="rId24" w:history="1">
        <w:r w:rsidR="007F528F" w:rsidRPr="007F528F">
          <w:rPr>
            <w:rStyle w:val="Hyperlink"/>
            <w:rFonts w:ascii="David" w:hAnsi="David"/>
            <w:rtl/>
          </w:rPr>
          <w:t>29</w:t>
        </w:r>
      </w:hyperlink>
      <w:r w:rsidRPr="00D2310F">
        <w:rPr>
          <w:rFonts w:ascii="David" w:hAnsi="David"/>
          <w:rtl/>
        </w:rPr>
        <w:t xml:space="preserve"> בחוק, עבירת </w:t>
      </w:r>
      <w:r w:rsidRPr="00D2310F">
        <w:rPr>
          <w:rFonts w:ascii="David" w:hAnsi="David"/>
          <w:b/>
          <w:bCs/>
          <w:rtl/>
        </w:rPr>
        <w:t>איומים</w:t>
      </w:r>
      <w:r w:rsidRPr="00D2310F">
        <w:rPr>
          <w:rFonts w:ascii="David" w:hAnsi="David"/>
          <w:rtl/>
        </w:rPr>
        <w:t xml:space="preserve"> לפי </w:t>
      </w:r>
      <w:hyperlink r:id="rId25" w:history="1">
        <w:r w:rsidR="007F528F" w:rsidRPr="007F528F">
          <w:rPr>
            <w:rStyle w:val="Hyperlink"/>
            <w:rFonts w:ascii="David" w:hAnsi="David"/>
            <w:rtl/>
          </w:rPr>
          <w:t>סעיף 192</w:t>
        </w:r>
      </w:hyperlink>
      <w:r w:rsidRPr="00D2310F">
        <w:rPr>
          <w:rFonts w:ascii="David" w:hAnsi="David"/>
          <w:rtl/>
        </w:rPr>
        <w:t xml:space="preserve"> בחוק ועבירת </w:t>
      </w:r>
      <w:r w:rsidRPr="00D2310F">
        <w:rPr>
          <w:rFonts w:ascii="David" w:hAnsi="David"/>
          <w:b/>
          <w:bCs/>
          <w:rtl/>
        </w:rPr>
        <w:t>ירי מנשק חם</w:t>
      </w:r>
      <w:r w:rsidRPr="00D2310F">
        <w:rPr>
          <w:rFonts w:ascii="David" w:hAnsi="David"/>
          <w:rtl/>
        </w:rPr>
        <w:t xml:space="preserve"> לפי </w:t>
      </w:r>
      <w:hyperlink r:id="rId26" w:history="1">
        <w:r w:rsidR="007F528F" w:rsidRPr="007F528F">
          <w:rPr>
            <w:rStyle w:val="Hyperlink"/>
            <w:rFonts w:ascii="David" w:hAnsi="David"/>
            <w:rtl/>
          </w:rPr>
          <w:t>סעיף 340א(ב)</w:t>
        </w:r>
      </w:hyperlink>
      <w:r w:rsidRPr="00D2310F">
        <w:rPr>
          <w:rFonts w:ascii="David" w:hAnsi="David"/>
          <w:rtl/>
        </w:rPr>
        <w:t xml:space="preserve"> בחוק.</w:t>
      </w:r>
    </w:p>
    <w:p w14:paraId="4DAE5ABC" w14:textId="77777777" w:rsidR="002530EA" w:rsidRPr="00D2310F" w:rsidRDefault="002530EA" w:rsidP="002530EA">
      <w:pPr>
        <w:spacing w:line="360" w:lineRule="auto"/>
        <w:jc w:val="both"/>
        <w:rPr>
          <w:rFonts w:ascii="David" w:hAnsi="David"/>
          <w:rtl/>
        </w:rPr>
      </w:pPr>
    </w:p>
    <w:p w14:paraId="34DBB404" w14:textId="77777777" w:rsidR="002530EA" w:rsidRPr="00D2310F" w:rsidRDefault="002530EA" w:rsidP="002530EA">
      <w:pPr>
        <w:spacing w:line="360" w:lineRule="auto"/>
        <w:jc w:val="both"/>
        <w:rPr>
          <w:rFonts w:ascii="David" w:hAnsi="David"/>
          <w:b/>
          <w:bCs/>
          <w:u w:val="single"/>
          <w:rtl/>
        </w:rPr>
      </w:pPr>
      <w:r w:rsidRPr="00D2310F">
        <w:rPr>
          <w:rFonts w:ascii="David" w:hAnsi="David"/>
          <w:b/>
          <w:bCs/>
          <w:u w:val="single"/>
          <w:rtl/>
        </w:rPr>
        <w:t>הסדר הטיעון</w:t>
      </w:r>
    </w:p>
    <w:p w14:paraId="6B95CF7F" w14:textId="77777777" w:rsidR="002530EA" w:rsidRPr="00D2310F" w:rsidRDefault="002530EA" w:rsidP="002530EA">
      <w:pPr>
        <w:spacing w:line="360" w:lineRule="auto"/>
        <w:jc w:val="both"/>
        <w:rPr>
          <w:rFonts w:ascii="David" w:hAnsi="David"/>
          <w:sz w:val="16"/>
          <w:szCs w:val="16"/>
          <w:rtl/>
        </w:rPr>
      </w:pPr>
    </w:p>
    <w:p w14:paraId="6D46375E" w14:textId="77777777" w:rsidR="002530EA" w:rsidRPr="00D2310F" w:rsidRDefault="002530EA" w:rsidP="002530EA">
      <w:pPr>
        <w:spacing w:line="360" w:lineRule="auto"/>
        <w:jc w:val="both"/>
        <w:rPr>
          <w:rFonts w:ascii="David" w:hAnsi="David"/>
          <w:rtl/>
        </w:rPr>
      </w:pPr>
      <w:r w:rsidRPr="00D2310F">
        <w:rPr>
          <w:rFonts w:ascii="David" w:hAnsi="David"/>
          <w:rtl/>
        </w:rPr>
        <w:t>2.</w:t>
      </w:r>
      <w:r w:rsidRPr="00D2310F">
        <w:rPr>
          <w:rFonts w:ascii="David" w:hAnsi="David"/>
          <w:rtl/>
        </w:rPr>
        <w:tab/>
        <w:t>בהתאם להסדר הטיעון שעל תוכנו הודיעו באי-כוח הצדדים בדיון מיום 18.11.2021 ובדיון מיום 30.11.2021, הוסכם כי כתב האישום יתוקן והנאשם יודה בעובדותיו ויורשע על-פי הודאתו. בפתח ישיבת הטיעונים לעונש, שהתקיימה ביום 30.11.2021 (אתמול), הודיעו באי-כוח הצדדים כי הגיעו לכלל הסכמה שלפיה על הנאשם יושת מאסר בפועל למשך עשרים וארבעה חודש, אשר יימנה מיום מעצרו בשל ההליך הנדון, ביום 7.12.2020 וכן כי יושתו עליו מאסר מותנה וענישה נלווית לפי שיקול דעת בית המשפט.</w:t>
      </w:r>
    </w:p>
    <w:p w14:paraId="39C6F148" w14:textId="77777777" w:rsidR="002530EA" w:rsidRPr="00D2310F" w:rsidRDefault="002530EA" w:rsidP="002530EA">
      <w:pPr>
        <w:spacing w:line="360" w:lineRule="auto"/>
        <w:jc w:val="both"/>
        <w:rPr>
          <w:rFonts w:ascii="David" w:hAnsi="David"/>
          <w:rtl/>
        </w:rPr>
      </w:pPr>
    </w:p>
    <w:p w14:paraId="202332CC" w14:textId="77777777" w:rsidR="002530EA" w:rsidRPr="00D2310F" w:rsidRDefault="002530EA" w:rsidP="002530EA">
      <w:pPr>
        <w:spacing w:line="360" w:lineRule="auto"/>
        <w:jc w:val="both"/>
        <w:rPr>
          <w:rFonts w:ascii="David" w:hAnsi="David"/>
          <w:rtl/>
        </w:rPr>
      </w:pPr>
      <w:r w:rsidRPr="00D2310F">
        <w:rPr>
          <w:rFonts w:ascii="David" w:hAnsi="David"/>
          <w:rtl/>
        </w:rPr>
        <w:t>הנושא היחיד השנוי שנותר שנוי במחלוקת, אשר בעניינו טענו הצדדים, נובע מהעובדה שנכון להיום הנאשם נושא בעונש מאסר בפועל למשך שמונה-עשר חודש, שהחל לשאת בו ביום 20.12.2020. המחלוקת היא בשאלה אם המאסר שיושת בשל ההליך הנדון יחפוף את עונש המאסר האמור, במלואו או בחלקו, או שיצטבר לעונש זה.</w:t>
      </w:r>
    </w:p>
    <w:p w14:paraId="01607535" w14:textId="77777777" w:rsidR="002530EA" w:rsidRPr="00D2310F" w:rsidRDefault="002530EA" w:rsidP="002530EA">
      <w:pPr>
        <w:spacing w:line="360" w:lineRule="auto"/>
        <w:jc w:val="both"/>
        <w:rPr>
          <w:rFonts w:ascii="David" w:hAnsi="David"/>
          <w:rtl/>
        </w:rPr>
      </w:pPr>
    </w:p>
    <w:p w14:paraId="6C7D3576" w14:textId="77777777" w:rsidR="002530EA" w:rsidRPr="00D2310F" w:rsidRDefault="002530EA" w:rsidP="002530EA">
      <w:pPr>
        <w:spacing w:line="360" w:lineRule="auto"/>
        <w:jc w:val="both"/>
        <w:rPr>
          <w:rFonts w:ascii="David" w:hAnsi="David"/>
          <w:rtl/>
        </w:rPr>
      </w:pPr>
      <w:r w:rsidRPr="00D2310F">
        <w:rPr>
          <w:rFonts w:ascii="David" w:hAnsi="David"/>
          <w:rtl/>
        </w:rPr>
        <w:t>3.</w:t>
      </w:r>
      <w:r w:rsidRPr="00D2310F">
        <w:rPr>
          <w:rFonts w:ascii="David" w:hAnsi="David"/>
          <w:rtl/>
        </w:rPr>
        <w:tab/>
        <w:t>לשלמות הדברים נוסיף, כי עונש המאסר שבו נושא הנאשם עתה, הושת עליו בעקבות הרשעתו עם נאשם נוסף ב</w:t>
      </w:r>
      <w:hyperlink r:id="rId27" w:history="1">
        <w:r w:rsidR="00CF39E3" w:rsidRPr="00CF39E3">
          <w:rPr>
            <w:rFonts w:ascii="David" w:hAnsi="David"/>
            <w:color w:val="0000FF"/>
            <w:u w:val="single"/>
            <w:rtl/>
          </w:rPr>
          <w:t>ת"פ (שלום ירושלים) 4112</w:t>
        </w:r>
        <w:r w:rsidR="00CF39E3" w:rsidRPr="00CF39E3">
          <w:rPr>
            <w:rFonts w:ascii="David" w:hAnsi="David"/>
            <w:color w:val="0000FF"/>
            <w:u w:val="single"/>
            <w:rtl/>
          </w:rPr>
          <w:t>1</w:t>
        </w:r>
        <w:r w:rsidR="00CF39E3" w:rsidRPr="00CF39E3">
          <w:rPr>
            <w:rFonts w:ascii="David" w:hAnsi="David"/>
            <w:color w:val="0000FF"/>
            <w:u w:val="single"/>
            <w:rtl/>
          </w:rPr>
          <w:t>-12-15</w:t>
        </w:r>
      </w:hyperlink>
      <w:r w:rsidRPr="00D2310F">
        <w:rPr>
          <w:rFonts w:ascii="David" w:hAnsi="David"/>
          <w:rtl/>
        </w:rPr>
        <w:t xml:space="preserve">, </w:t>
      </w:r>
      <w:r w:rsidR="00B91F2A" w:rsidRPr="00B91F2A">
        <w:rPr>
          <w:sz w:val="22"/>
          <w:rtl/>
        </w:rPr>
        <w:t xml:space="preserve">[פורסם בנבו] </w:t>
      </w:r>
      <w:r w:rsidRPr="00D2310F">
        <w:rPr>
          <w:rFonts w:ascii="David" w:hAnsi="David"/>
          <w:rtl/>
        </w:rPr>
        <w:t xml:space="preserve">בעבירות מס שנעברו בין השנים 2013-2003 בקשר לשלושים וחמש עסקאות מכר דירות והשכרת חמש דירות במיזם מקרקעין בשכונת שועפאט בירושלים, שהיקפן הכולל כ-3.5 מיליון שקלים. עסקאות אלו לא דווחו לרשויות המס ואף המס עליהן לא שולם. בשל כך הורשע הנאשם לאחר שמיעת ראיות, באחת עשרה עבירות לפי </w:t>
      </w:r>
      <w:hyperlink r:id="rId28" w:history="1">
        <w:r w:rsidR="007F528F" w:rsidRPr="007F528F">
          <w:rPr>
            <w:rStyle w:val="Hyperlink"/>
            <w:rFonts w:ascii="David" w:hAnsi="David"/>
            <w:rtl/>
          </w:rPr>
          <w:t>סעיף 220(5)</w:t>
        </w:r>
      </w:hyperlink>
      <w:r w:rsidRPr="00D2310F">
        <w:rPr>
          <w:rFonts w:ascii="David" w:hAnsi="David"/>
          <w:rtl/>
        </w:rPr>
        <w:t xml:space="preserve"> ב</w:t>
      </w:r>
      <w:hyperlink r:id="rId29" w:history="1">
        <w:r w:rsidR="00CF39E3" w:rsidRPr="00CF39E3">
          <w:rPr>
            <w:rFonts w:ascii="David" w:hAnsi="David"/>
            <w:color w:val="0000FF"/>
            <w:u w:val="single"/>
            <w:rtl/>
          </w:rPr>
          <w:t>פקודת מס הכנסה</w:t>
        </w:r>
      </w:hyperlink>
      <w:r w:rsidRPr="00D2310F">
        <w:rPr>
          <w:rFonts w:ascii="David" w:hAnsi="David"/>
          <w:rtl/>
        </w:rPr>
        <w:t xml:space="preserve"> (נוסח חדש) ובאחת עשרה עבירות לפי </w:t>
      </w:r>
      <w:hyperlink r:id="rId30" w:history="1">
        <w:r w:rsidR="007F528F" w:rsidRPr="007F528F">
          <w:rPr>
            <w:rStyle w:val="Hyperlink"/>
            <w:rFonts w:ascii="David" w:hAnsi="David"/>
            <w:rtl/>
          </w:rPr>
          <w:t>סעיף 117(ב)(8)</w:t>
        </w:r>
      </w:hyperlink>
      <w:r w:rsidRPr="00D2310F">
        <w:rPr>
          <w:rFonts w:ascii="David" w:hAnsi="David"/>
          <w:rtl/>
        </w:rPr>
        <w:t xml:space="preserve"> ב</w:t>
      </w:r>
      <w:hyperlink r:id="rId31" w:history="1">
        <w:r w:rsidR="00CF39E3" w:rsidRPr="00CF39E3">
          <w:rPr>
            <w:rFonts w:ascii="David" w:hAnsi="David"/>
            <w:color w:val="0000FF"/>
            <w:u w:val="single"/>
            <w:rtl/>
          </w:rPr>
          <w:t>חוק מס ערך מוסף</w:t>
        </w:r>
      </w:hyperlink>
      <w:r w:rsidRPr="00D2310F">
        <w:rPr>
          <w:rFonts w:ascii="David" w:hAnsi="David"/>
          <w:rtl/>
        </w:rPr>
        <w:t xml:space="preserve">, התשל"ו-1975. </w:t>
      </w:r>
    </w:p>
    <w:p w14:paraId="1A78ED73" w14:textId="77777777" w:rsidR="002530EA" w:rsidRPr="00D2310F" w:rsidRDefault="002530EA" w:rsidP="002530EA">
      <w:pPr>
        <w:spacing w:line="360" w:lineRule="auto"/>
        <w:jc w:val="both"/>
        <w:rPr>
          <w:rFonts w:ascii="David" w:hAnsi="David"/>
          <w:rtl/>
        </w:rPr>
      </w:pPr>
    </w:p>
    <w:p w14:paraId="2C3A2447" w14:textId="77777777" w:rsidR="002530EA" w:rsidRPr="00D2310F" w:rsidRDefault="002530EA" w:rsidP="002530EA">
      <w:pPr>
        <w:spacing w:line="360" w:lineRule="auto"/>
        <w:jc w:val="both"/>
        <w:rPr>
          <w:rFonts w:ascii="David" w:hAnsi="David"/>
          <w:rtl/>
        </w:rPr>
      </w:pPr>
      <w:r w:rsidRPr="00D2310F">
        <w:rPr>
          <w:rFonts w:ascii="David" w:hAnsi="David"/>
          <w:rtl/>
        </w:rPr>
        <w:t>בגזר הדין שניתן בבית משפט השלום (כבוד השופט א' גורדון), נקבע כי עונשו של הנאשם יהיה עשרה חודשי מאסר בפועל, מאסר מותנה וקנס. הן הנאשם הן המדינה ערעורו על העניין העונש (</w:t>
      </w:r>
      <w:hyperlink r:id="rId32" w:history="1">
        <w:r w:rsidR="00CF39E3" w:rsidRPr="00CF39E3">
          <w:rPr>
            <w:rFonts w:ascii="David" w:hAnsi="David"/>
            <w:color w:val="0000FF"/>
            <w:u w:val="single"/>
            <w:rtl/>
          </w:rPr>
          <w:t>ע"פ (מחוזי ירושלים) 41912-02-</w:t>
        </w:r>
        <w:r w:rsidR="00CF39E3" w:rsidRPr="00CF39E3">
          <w:rPr>
            <w:rFonts w:ascii="David" w:hAnsi="David"/>
            <w:color w:val="0000FF"/>
            <w:u w:val="single"/>
            <w:rtl/>
          </w:rPr>
          <w:t>2</w:t>
        </w:r>
        <w:r w:rsidR="00CF39E3" w:rsidRPr="00CF39E3">
          <w:rPr>
            <w:rFonts w:ascii="David" w:hAnsi="David"/>
            <w:color w:val="0000FF"/>
            <w:u w:val="single"/>
            <w:rtl/>
          </w:rPr>
          <w:t>0</w:t>
        </w:r>
      </w:hyperlink>
      <w:r w:rsidRPr="00D2310F">
        <w:rPr>
          <w:rFonts w:ascii="David" w:hAnsi="David"/>
          <w:rtl/>
        </w:rPr>
        <w:t xml:space="preserve"> ו-</w:t>
      </w:r>
      <w:hyperlink r:id="rId33" w:history="1">
        <w:r w:rsidR="00B91F2A" w:rsidRPr="00B91F2A">
          <w:rPr>
            <w:rStyle w:val="Hyperlink"/>
            <w:rFonts w:ascii="David" w:hAnsi="David"/>
            <w:rtl/>
          </w:rPr>
          <w:t>42016-02-20</w:t>
        </w:r>
      </w:hyperlink>
      <w:r w:rsidRPr="00D2310F">
        <w:rPr>
          <w:rFonts w:ascii="David" w:hAnsi="David"/>
          <w:rtl/>
        </w:rPr>
        <w:t>)</w:t>
      </w:r>
      <w:r w:rsidR="00B91F2A">
        <w:rPr>
          <w:rFonts w:ascii="David" w:hAnsi="David" w:hint="cs"/>
          <w:rtl/>
        </w:rPr>
        <w:t xml:space="preserve"> </w:t>
      </w:r>
      <w:r w:rsidR="00B91F2A" w:rsidRPr="00B91F2A">
        <w:rPr>
          <w:sz w:val="22"/>
          <w:rtl/>
        </w:rPr>
        <w:t xml:space="preserve">[פורסם בנבו] </w:t>
      </w:r>
      <w:r w:rsidRPr="00D2310F">
        <w:rPr>
          <w:rFonts w:ascii="David" w:hAnsi="David"/>
          <w:rtl/>
        </w:rPr>
        <w:t>. בפסק הדין שניתן בבית המשפט המחוזי ביום 3.11.2020 (כבוד השופטים ר' פרידמן-פלדמן, א' אברבנאל וח' זנדברג), התקבל ערעור המדינה בחלקו ונקבע כי עונש המאסר בפועל יהיה למשך שמונה-עשר חודש. בקשת רשות ערעור שהגיש הנאשם לבית המשפט העליון (</w:t>
      </w:r>
      <w:hyperlink r:id="rId34" w:history="1">
        <w:r w:rsidR="00CF39E3" w:rsidRPr="00CF39E3">
          <w:rPr>
            <w:rFonts w:ascii="David" w:hAnsi="David"/>
            <w:color w:val="0000FF"/>
            <w:u w:val="single"/>
            <w:rtl/>
          </w:rPr>
          <w:t>רע"פ 162</w:t>
        </w:r>
        <w:r w:rsidR="00CF39E3" w:rsidRPr="00CF39E3">
          <w:rPr>
            <w:rFonts w:ascii="David" w:hAnsi="David"/>
            <w:color w:val="0000FF"/>
            <w:u w:val="single"/>
            <w:rtl/>
          </w:rPr>
          <w:t>/</w:t>
        </w:r>
        <w:r w:rsidR="00CF39E3" w:rsidRPr="00CF39E3">
          <w:rPr>
            <w:rFonts w:ascii="David" w:hAnsi="David"/>
            <w:color w:val="0000FF"/>
            <w:u w:val="single"/>
            <w:rtl/>
          </w:rPr>
          <w:t>21</w:t>
        </w:r>
      </w:hyperlink>
      <w:r w:rsidRPr="00D2310F">
        <w:rPr>
          <w:rFonts w:ascii="David" w:hAnsi="David"/>
          <w:rtl/>
        </w:rPr>
        <w:t xml:space="preserve">), </w:t>
      </w:r>
      <w:r w:rsidR="00B91F2A" w:rsidRPr="00B91F2A">
        <w:rPr>
          <w:sz w:val="22"/>
          <w:rtl/>
        </w:rPr>
        <w:t xml:space="preserve">[פורסם בנבו] </w:t>
      </w:r>
      <w:r w:rsidRPr="00D2310F">
        <w:rPr>
          <w:rFonts w:ascii="David" w:hAnsi="David"/>
          <w:rtl/>
        </w:rPr>
        <w:t xml:space="preserve">נדחתה בהחלטה (כבוד השופט ג' קרא) מיום 25.1.2021 (פסק הדין שניתן בבית המשפט המחוזי והחלטת בית המשפט העליון – </w:t>
      </w:r>
      <w:r w:rsidRPr="00D2310F">
        <w:rPr>
          <w:rFonts w:ascii="David" w:hAnsi="David"/>
          <w:b/>
          <w:bCs/>
          <w:rtl/>
        </w:rPr>
        <w:t>ת/30</w:t>
      </w:r>
      <w:r w:rsidRPr="00D2310F">
        <w:rPr>
          <w:rFonts w:ascii="David" w:hAnsi="David"/>
          <w:rtl/>
        </w:rPr>
        <w:t xml:space="preserve">) (הליך זה יכונה להלן – </w:t>
      </w:r>
      <w:r w:rsidRPr="00D2310F">
        <w:rPr>
          <w:rFonts w:ascii="David" w:hAnsi="David"/>
          <w:b/>
          <w:bCs/>
          <w:rtl/>
        </w:rPr>
        <w:t>ההליך האחר</w:t>
      </w:r>
      <w:r w:rsidRPr="00D2310F">
        <w:rPr>
          <w:rFonts w:ascii="David" w:hAnsi="David"/>
          <w:rtl/>
        </w:rPr>
        <w:t xml:space="preserve">). </w:t>
      </w:r>
    </w:p>
    <w:p w14:paraId="4D8E86EB" w14:textId="77777777" w:rsidR="002530EA" w:rsidRPr="00D2310F" w:rsidRDefault="002530EA" w:rsidP="002530EA">
      <w:pPr>
        <w:spacing w:line="360" w:lineRule="auto"/>
        <w:jc w:val="both"/>
        <w:rPr>
          <w:rFonts w:ascii="David" w:hAnsi="David"/>
          <w:rtl/>
        </w:rPr>
      </w:pPr>
    </w:p>
    <w:p w14:paraId="6FDAB804" w14:textId="77777777" w:rsidR="002530EA" w:rsidRPr="00D2310F" w:rsidRDefault="002530EA" w:rsidP="002530EA">
      <w:pPr>
        <w:spacing w:line="360" w:lineRule="auto"/>
        <w:jc w:val="both"/>
        <w:rPr>
          <w:rFonts w:ascii="David" w:hAnsi="David"/>
          <w:rtl/>
        </w:rPr>
      </w:pPr>
      <w:r w:rsidRPr="00D2310F">
        <w:rPr>
          <w:rFonts w:ascii="David" w:hAnsi="David"/>
          <w:b/>
          <w:bCs/>
          <w:u w:val="single"/>
          <w:rtl/>
        </w:rPr>
        <w:t xml:space="preserve">עובדות כתב האישום המתוקן </w:t>
      </w:r>
    </w:p>
    <w:p w14:paraId="34D258B5" w14:textId="77777777" w:rsidR="002530EA" w:rsidRPr="00D2310F" w:rsidRDefault="002530EA" w:rsidP="002530EA">
      <w:pPr>
        <w:spacing w:line="360" w:lineRule="auto"/>
        <w:jc w:val="both"/>
        <w:rPr>
          <w:rFonts w:ascii="David" w:hAnsi="David"/>
          <w:sz w:val="16"/>
          <w:szCs w:val="16"/>
          <w:rtl/>
        </w:rPr>
      </w:pPr>
    </w:p>
    <w:p w14:paraId="04A1D6EC" w14:textId="77777777" w:rsidR="002530EA" w:rsidRPr="00D2310F" w:rsidRDefault="002530EA" w:rsidP="002530EA">
      <w:pPr>
        <w:spacing w:line="360" w:lineRule="auto"/>
        <w:jc w:val="both"/>
        <w:rPr>
          <w:rFonts w:ascii="David" w:hAnsi="David"/>
          <w:rtl/>
        </w:rPr>
      </w:pPr>
      <w:r w:rsidRPr="00D2310F">
        <w:rPr>
          <w:rFonts w:ascii="David" w:hAnsi="David"/>
          <w:rtl/>
        </w:rPr>
        <w:t>4</w:t>
      </w:r>
      <w:r w:rsidRPr="00D2310F">
        <w:rPr>
          <w:rFonts w:ascii="David" w:hAnsi="David"/>
          <w:rtl/>
        </w:rPr>
        <w:tab/>
        <w:t xml:space="preserve">על-פי עובדות כתב האישום המתוקן, ביום 15.11.2020 סמוך לשעה 21:00 זימן הנאשם את בני משפחתו כדי לטפל בסכסוך שבו מעורבת משפחת אבו עסב. ארבעת הנאשמים ובני משפחה נוספים התאספו סמוך לחניון עפר שאותו מנהלת משפחת אבו עסב, המצוי סמוך לביתו של הנאשם. באותו חניון מצוי מבנה שבו גר עבד אלסלאם דייבה (להלן – </w:t>
      </w:r>
      <w:r w:rsidRPr="00D2310F">
        <w:rPr>
          <w:rFonts w:ascii="David" w:hAnsi="David"/>
          <w:b/>
          <w:bCs/>
          <w:rtl/>
        </w:rPr>
        <w:t>המתלונן</w:t>
      </w:r>
      <w:r w:rsidRPr="00D2310F">
        <w:rPr>
          <w:rFonts w:ascii="David" w:hAnsi="David"/>
          <w:rtl/>
        </w:rPr>
        <w:t>), שתפקידו לגבות תשלום מבאי החניון.</w:t>
      </w:r>
    </w:p>
    <w:p w14:paraId="4FBED3EE" w14:textId="77777777" w:rsidR="002530EA" w:rsidRPr="00D2310F" w:rsidRDefault="002530EA" w:rsidP="002530EA">
      <w:pPr>
        <w:spacing w:line="360" w:lineRule="auto"/>
        <w:jc w:val="both"/>
        <w:rPr>
          <w:rFonts w:ascii="David" w:hAnsi="David"/>
          <w:rtl/>
        </w:rPr>
      </w:pPr>
    </w:p>
    <w:p w14:paraId="66D53424" w14:textId="77777777" w:rsidR="002530EA" w:rsidRPr="00D2310F" w:rsidRDefault="002530EA" w:rsidP="002530EA">
      <w:pPr>
        <w:spacing w:line="360" w:lineRule="auto"/>
        <w:jc w:val="both"/>
        <w:rPr>
          <w:rFonts w:ascii="David" w:hAnsi="David"/>
          <w:rtl/>
        </w:rPr>
      </w:pPr>
      <w:r w:rsidRPr="00D2310F">
        <w:rPr>
          <w:rFonts w:ascii="David" w:hAnsi="David"/>
          <w:rtl/>
        </w:rPr>
        <w:t>הנאשם קרא למתלונן לצאת מהמבנה שבו הוא גר, בתואנה שהוא מבקש לשוחח עמו. המתלונן נענה לקריאה, יצא מהמבנה ופגש את הנאשמים. הנאשם שאל את המתלונן מדוע הוא מקלל ומאיים, אך המתלונן הכחיש שעשה כן ובתגובה לכך, סטר לו הנאשם בפניו. הנאשמים 2, 3 ו-4 והאחרים שהיו במקום, עמדו סביב המתלונן, בעוד חלקם אוחזים בכלי נשק בידיהם. בעוד הנאשם עמד סמוך אל המתלונן, אחד מהאחרים שהיו במקום דקר את המתלונן באמצעות סכין שתי דקירות בירך ימין אחורי. המתלונן דחף את הנאשם ונמלט לכיוון ואדי המצוי סמוך למקום. חלק מהאחרים שהיו במקום ירו לכיוון בריחת הנאשם כדי להפחידו.</w:t>
      </w:r>
    </w:p>
    <w:p w14:paraId="1C3E2B63" w14:textId="77777777" w:rsidR="002530EA" w:rsidRPr="00D2310F" w:rsidRDefault="002530EA" w:rsidP="002530EA">
      <w:pPr>
        <w:spacing w:line="360" w:lineRule="auto"/>
        <w:jc w:val="both"/>
        <w:rPr>
          <w:rFonts w:ascii="David" w:hAnsi="David"/>
          <w:rtl/>
        </w:rPr>
      </w:pPr>
    </w:p>
    <w:p w14:paraId="1813346F" w14:textId="77777777" w:rsidR="002530EA" w:rsidRPr="00D2310F" w:rsidRDefault="002530EA" w:rsidP="002530EA">
      <w:pPr>
        <w:spacing w:line="360" w:lineRule="auto"/>
        <w:jc w:val="both"/>
        <w:rPr>
          <w:rFonts w:ascii="David" w:hAnsi="David"/>
          <w:rtl/>
        </w:rPr>
      </w:pPr>
      <w:r w:rsidRPr="00D2310F">
        <w:rPr>
          <w:rFonts w:ascii="David" w:hAnsi="David"/>
          <w:rtl/>
        </w:rPr>
        <w:t>5.</w:t>
      </w:r>
      <w:r w:rsidRPr="00D2310F">
        <w:rPr>
          <w:rFonts w:ascii="David" w:hAnsi="David"/>
          <w:rtl/>
        </w:rPr>
        <w:tab/>
        <w:t>כתוצאה ממעשי הנאשמים והאחרים, נגרמו למתלונן פצע דקירה בעומק 5 ס"מ ופצע דקירה בעומק 1 ס"מ. כן נגרמו לו שפשופים בזרוע כתוצאה מנפילתו בוואדי. הוא נזקק לטיפול רפואי ואף אושפז בבית חולים.</w:t>
      </w:r>
    </w:p>
    <w:p w14:paraId="33CF3408" w14:textId="77777777" w:rsidR="002530EA" w:rsidRPr="00D2310F" w:rsidRDefault="002530EA" w:rsidP="002530EA">
      <w:pPr>
        <w:spacing w:line="360" w:lineRule="auto"/>
        <w:jc w:val="both"/>
        <w:rPr>
          <w:rFonts w:ascii="David" w:hAnsi="David"/>
          <w:rtl/>
        </w:rPr>
      </w:pPr>
    </w:p>
    <w:p w14:paraId="2F0BE91B" w14:textId="77777777" w:rsidR="002530EA" w:rsidRPr="00D2310F" w:rsidRDefault="002530EA" w:rsidP="002530EA">
      <w:pPr>
        <w:spacing w:line="360" w:lineRule="auto"/>
        <w:jc w:val="both"/>
        <w:rPr>
          <w:rFonts w:ascii="David" w:hAnsi="David"/>
          <w:b/>
          <w:bCs/>
          <w:u w:val="single"/>
          <w:rtl/>
        </w:rPr>
      </w:pPr>
      <w:r w:rsidRPr="00D2310F">
        <w:rPr>
          <w:rFonts w:ascii="David" w:hAnsi="David"/>
          <w:rtl/>
        </w:rPr>
        <w:tab/>
      </w:r>
      <w:r w:rsidRPr="00D2310F">
        <w:rPr>
          <w:rFonts w:ascii="David" w:hAnsi="David"/>
          <w:b/>
          <w:bCs/>
          <w:u w:val="single"/>
          <w:rtl/>
        </w:rPr>
        <w:t xml:space="preserve">על שמיעת התיק ועניינם של הנאשמים 4-2 </w:t>
      </w:r>
    </w:p>
    <w:p w14:paraId="76FA6E3F" w14:textId="77777777" w:rsidR="002530EA" w:rsidRPr="00D2310F" w:rsidRDefault="002530EA" w:rsidP="002530EA">
      <w:pPr>
        <w:spacing w:line="360" w:lineRule="auto"/>
        <w:jc w:val="both"/>
        <w:rPr>
          <w:rFonts w:ascii="David" w:hAnsi="David"/>
          <w:sz w:val="16"/>
          <w:szCs w:val="16"/>
          <w:rtl/>
        </w:rPr>
      </w:pPr>
    </w:p>
    <w:p w14:paraId="006464FF" w14:textId="77777777" w:rsidR="002530EA" w:rsidRPr="00D2310F" w:rsidRDefault="002530EA" w:rsidP="002530EA">
      <w:pPr>
        <w:spacing w:line="360" w:lineRule="auto"/>
        <w:jc w:val="both"/>
        <w:rPr>
          <w:rFonts w:ascii="David" w:hAnsi="David"/>
          <w:rtl/>
        </w:rPr>
      </w:pPr>
      <w:r w:rsidRPr="00D2310F">
        <w:rPr>
          <w:rFonts w:ascii="David" w:hAnsi="David"/>
          <w:rtl/>
        </w:rPr>
        <w:t>6.</w:t>
      </w:r>
      <w:r w:rsidRPr="00D2310F">
        <w:rPr>
          <w:rFonts w:ascii="David" w:hAnsi="David"/>
          <w:rtl/>
        </w:rPr>
        <w:tab/>
        <w:t xml:space="preserve">כתב האישום בהליך הנדון הוגש עוד ביום 16.12.2020, אך שמיעתו נמשכה זמן רב בעיקר בשל קשיים רבים שבהם נתקלה המאשימה באיתור עדים והבאתם למתן עדות. למרות צווי הבאה רבים שהוצאו נגד מספר עדים ובהם המתלונן וחרף דיונים רבים שנקבעו והתקיימו (עד היום התקיימו שלושה עשר דיונים), רק ביום 27.10.2021 עלה בידי המשטרה לאתר את המתלונן ולהביאו בהיותו עצור למתן עדות. </w:t>
      </w:r>
    </w:p>
    <w:p w14:paraId="268332BA" w14:textId="77777777" w:rsidR="002530EA" w:rsidRPr="00D2310F" w:rsidRDefault="002530EA" w:rsidP="002530EA">
      <w:pPr>
        <w:spacing w:line="360" w:lineRule="auto"/>
        <w:jc w:val="both"/>
        <w:rPr>
          <w:rFonts w:ascii="David" w:hAnsi="David"/>
          <w:rtl/>
        </w:rPr>
      </w:pPr>
    </w:p>
    <w:p w14:paraId="123DC3DE" w14:textId="77777777" w:rsidR="002530EA" w:rsidRPr="00D2310F" w:rsidRDefault="002530EA" w:rsidP="002530EA">
      <w:pPr>
        <w:spacing w:line="360" w:lineRule="auto"/>
        <w:jc w:val="both"/>
        <w:rPr>
          <w:rFonts w:ascii="David" w:hAnsi="David"/>
          <w:rtl/>
        </w:rPr>
      </w:pPr>
      <w:r w:rsidRPr="00D2310F">
        <w:rPr>
          <w:rFonts w:ascii="David" w:hAnsi="David"/>
          <w:rtl/>
        </w:rPr>
        <w:t>7.</w:t>
      </w:r>
      <w:r w:rsidRPr="00D2310F">
        <w:rPr>
          <w:rFonts w:ascii="David" w:hAnsi="David"/>
          <w:rtl/>
        </w:rPr>
        <w:tab/>
        <w:t xml:space="preserve">עוד קודם לכן, בדיון מיום 19.7.2021 (בטרם נשמעה עדות המתלונן), הודיעו באי כוח הצדדים על הסדר טיעון בעניינם של הנאשמים 4-2. הסדר טיעון זה את תיקון כתב האישום, הודאת נאשמים אלו בעובדותיו והרשעתם על-פיו. כן הייתה הסכמה בעניין העונש שיושת על שלושת נאשמים אלו. המאשימה נימקה את הסדר הטיעון בעיקר בקשיים ראייתיים הנוגעים לאותם נאשמים, הכרתם באחריותם לעבירות ומשך מעצרם. עוד עלה, כי לא היו לחובתם הרשעות קודמות. </w:t>
      </w:r>
    </w:p>
    <w:p w14:paraId="668FE9A6" w14:textId="77777777" w:rsidR="002530EA" w:rsidRPr="00D2310F" w:rsidRDefault="002530EA" w:rsidP="002530EA">
      <w:pPr>
        <w:spacing w:line="360" w:lineRule="auto"/>
        <w:jc w:val="both"/>
        <w:rPr>
          <w:rFonts w:ascii="David" w:hAnsi="David"/>
          <w:rtl/>
        </w:rPr>
      </w:pPr>
    </w:p>
    <w:p w14:paraId="3A036284" w14:textId="77777777" w:rsidR="002530EA" w:rsidRPr="00D2310F" w:rsidRDefault="002530EA" w:rsidP="002530EA">
      <w:pPr>
        <w:spacing w:line="360" w:lineRule="auto"/>
        <w:jc w:val="both"/>
        <w:rPr>
          <w:rFonts w:ascii="David" w:hAnsi="David"/>
          <w:rtl/>
        </w:rPr>
      </w:pPr>
      <w:r w:rsidRPr="00D2310F">
        <w:rPr>
          <w:rFonts w:ascii="David" w:hAnsi="David"/>
          <w:rtl/>
        </w:rPr>
        <w:t>בהתאם להודאותיהם, הורשעו הנאשמים 4-2 בעבירת פציעה בנסיבות מחמירות שנעברה בצוותא (</w:t>
      </w:r>
      <w:hyperlink r:id="rId35" w:history="1">
        <w:r w:rsidR="007F528F" w:rsidRPr="007F528F">
          <w:rPr>
            <w:rStyle w:val="Hyperlink"/>
            <w:rFonts w:ascii="David" w:hAnsi="David"/>
            <w:rtl/>
          </w:rPr>
          <w:t>סעיפים 334</w:t>
        </w:r>
      </w:hyperlink>
      <w:r w:rsidRPr="00D2310F">
        <w:rPr>
          <w:rFonts w:ascii="David" w:hAnsi="David"/>
          <w:rtl/>
        </w:rPr>
        <w:t xml:space="preserve">, </w:t>
      </w:r>
      <w:hyperlink r:id="rId36" w:history="1">
        <w:r w:rsidR="007F528F" w:rsidRPr="007F528F">
          <w:rPr>
            <w:rStyle w:val="Hyperlink"/>
            <w:rFonts w:ascii="David" w:hAnsi="David"/>
            <w:rtl/>
          </w:rPr>
          <w:t>335(א)(1)</w:t>
        </w:r>
      </w:hyperlink>
      <w:r w:rsidRPr="00D2310F">
        <w:rPr>
          <w:rFonts w:ascii="David" w:hAnsi="David"/>
          <w:rtl/>
        </w:rPr>
        <w:t xml:space="preserve"> ו-</w:t>
      </w:r>
      <w:hyperlink r:id="rId37" w:history="1">
        <w:r w:rsidR="007F528F" w:rsidRPr="007F528F">
          <w:rPr>
            <w:rStyle w:val="Hyperlink"/>
            <w:rFonts w:ascii="David" w:hAnsi="David"/>
            <w:rtl/>
          </w:rPr>
          <w:t>(2)</w:t>
        </w:r>
      </w:hyperlink>
      <w:r w:rsidRPr="00D2310F">
        <w:rPr>
          <w:rFonts w:ascii="David" w:hAnsi="David"/>
          <w:rtl/>
        </w:rPr>
        <w:t xml:space="preserve"> ו-</w:t>
      </w:r>
      <w:hyperlink r:id="rId38" w:history="1">
        <w:r w:rsidR="007F528F" w:rsidRPr="007F528F">
          <w:rPr>
            <w:rStyle w:val="Hyperlink"/>
            <w:rFonts w:ascii="David" w:hAnsi="David"/>
            <w:rtl/>
          </w:rPr>
          <w:t>29</w:t>
        </w:r>
      </w:hyperlink>
      <w:r w:rsidRPr="00D2310F">
        <w:rPr>
          <w:rFonts w:ascii="David" w:hAnsi="David"/>
          <w:rtl/>
        </w:rPr>
        <w:t xml:space="preserve"> בחוק) ובעבירת איומים (</w:t>
      </w:r>
      <w:hyperlink r:id="rId39" w:history="1">
        <w:r w:rsidR="007F528F" w:rsidRPr="007F528F">
          <w:rPr>
            <w:rStyle w:val="Hyperlink"/>
            <w:rFonts w:ascii="David" w:hAnsi="David"/>
            <w:rtl/>
          </w:rPr>
          <w:t>סעיף 192</w:t>
        </w:r>
      </w:hyperlink>
      <w:r w:rsidRPr="00D2310F">
        <w:rPr>
          <w:rFonts w:ascii="David" w:hAnsi="David"/>
          <w:rtl/>
        </w:rPr>
        <w:t xml:space="preserve"> בחוק)). הנאשם 4 הורשע גם בעבירת איומים נוספת. </w:t>
      </w:r>
    </w:p>
    <w:p w14:paraId="2EE73A4C" w14:textId="77777777" w:rsidR="002530EA" w:rsidRPr="00D2310F" w:rsidRDefault="002530EA" w:rsidP="002530EA">
      <w:pPr>
        <w:spacing w:line="360" w:lineRule="auto"/>
        <w:jc w:val="both"/>
        <w:rPr>
          <w:rFonts w:ascii="David" w:hAnsi="David"/>
          <w:rtl/>
        </w:rPr>
      </w:pPr>
    </w:p>
    <w:p w14:paraId="77B42F00" w14:textId="77777777" w:rsidR="002530EA" w:rsidRPr="00D2310F" w:rsidRDefault="002530EA" w:rsidP="002530EA">
      <w:pPr>
        <w:spacing w:line="360" w:lineRule="auto"/>
        <w:jc w:val="both"/>
        <w:rPr>
          <w:rFonts w:ascii="David" w:hAnsi="David"/>
          <w:rtl/>
        </w:rPr>
      </w:pPr>
      <w:r w:rsidRPr="00D2310F">
        <w:rPr>
          <w:rFonts w:ascii="David" w:hAnsi="David"/>
          <w:rtl/>
        </w:rPr>
        <w:t>בהתאם להסכמת הצדדים העונשים שהושתו על נאשמים אלו היה כלהלן: על הנאשם 2 הושתו עשרה חודשי מאסר בפועל, על הנאשם 3 הושתו שבעה חודשי מאסר בפועל ועל הנאשם 4 הושתו תשעה חודשי מאסר בפועל. על כל אחד מהם הושתו גם שלושה חודשי מאסר מותנה.</w:t>
      </w:r>
    </w:p>
    <w:p w14:paraId="567C1872" w14:textId="77777777" w:rsidR="002530EA" w:rsidRPr="00D2310F" w:rsidRDefault="002530EA" w:rsidP="002530EA">
      <w:pPr>
        <w:spacing w:line="360" w:lineRule="auto"/>
        <w:jc w:val="both"/>
        <w:rPr>
          <w:rFonts w:ascii="David" w:hAnsi="David"/>
          <w:rtl/>
        </w:rPr>
      </w:pPr>
    </w:p>
    <w:p w14:paraId="71C2BA95" w14:textId="77777777" w:rsidR="002530EA" w:rsidRPr="00D2310F" w:rsidRDefault="002530EA" w:rsidP="002530EA">
      <w:pPr>
        <w:spacing w:line="360" w:lineRule="auto"/>
        <w:jc w:val="both"/>
        <w:rPr>
          <w:rFonts w:ascii="David" w:hAnsi="David"/>
          <w:rtl/>
        </w:rPr>
      </w:pPr>
      <w:r w:rsidRPr="00D2310F">
        <w:rPr>
          <w:rFonts w:ascii="David" w:hAnsi="David"/>
          <w:b/>
          <w:bCs/>
          <w:u w:val="single"/>
          <w:rtl/>
        </w:rPr>
        <w:t>הראיות לעונש</w:t>
      </w:r>
      <w:r w:rsidRPr="00D2310F">
        <w:rPr>
          <w:rFonts w:ascii="David" w:hAnsi="David"/>
          <w:rtl/>
        </w:rPr>
        <w:t xml:space="preserve"> </w:t>
      </w:r>
    </w:p>
    <w:p w14:paraId="567CD8EB" w14:textId="77777777" w:rsidR="002530EA" w:rsidRPr="00D2310F" w:rsidRDefault="002530EA" w:rsidP="002530EA">
      <w:pPr>
        <w:spacing w:line="360" w:lineRule="auto"/>
        <w:jc w:val="both"/>
        <w:rPr>
          <w:rFonts w:ascii="David" w:hAnsi="David"/>
          <w:sz w:val="16"/>
          <w:szCs w:val="16"/>
          <w:rtl/>
        </w:rPr>
      </w:pPr>
    </w:p>
    <w:p w14:paraId="0E9A93B4" w14:textId="77777777" w:rsidR="002530EA" w:rsidRPr="00D2310F" w:rsidRDefault="002530EA" w:rsidP="002530EA">
      <w:pPr>
        <w:spacing w:line="360" w:lineRule="auto"/>
        <w:jc w:val="both"/>
        <w:rPr>
          <w:rFonts w:ascii="David" w:hAnsi="David"/>
          <w:rtl/>
        </w:rPr>
      </w:pPr>
      <w:r w:rsidRPr="00D2310F">
        <w:rPr>
          <w:rFonts w:ascii="David" w:hAnsi="David"/>
          <w:rtl/>
        </w:rPr>
        <w:t>8.</w:t>
      </w:r>
      <w:r w:rsidRPr="00D2310F">
        <w:rPr>
          <w:rFonts w:ascii="David" w:hAnsi="David"/>
          <w:rtl/>
        </w:rPr>
        <w:tab/>
        <w:t>מטעם המאשימה הוגש גיליון הרשעות קודמות של הנאשם (</w:t>
      </w:r>
      <w:r w:rsidRPr="00D2310F">
        <w:rPr>
          <w:rFonts w:ascii="David" w:hAnsi="David"/>
          <w:b/>
          <w:bCs/>
          <w:rtl/>
        </w:rPr>
        <w:t>ת/29</w:t>
      </w:r>
      <w:r w:rsidRPr="00D2310F">
        <w:rPr>
          <w:rFonts w:ascii="David" w:hAnsi="David"/>
          <w:rtl/>
        </w:rPr>
        <w:t>) וכן הוגש פסק הדין בעניין ההליך האחר, שבעטיו הוא נושא עתה בעונש מאסר, כמפורט לעיל (</w:t>
      </w:r>
      <w:r w:rsidRPr="00D2310F">
        <w:rPr>
          <w:rFonts w:ascii="David" w:hAnsi="David"/>
          <w:b/>
          <w:bCs/>
          <w:rtl/>
        </w:rPr>
        <w:t>ת/30</w:t>
      </w:r>
      <w:r w:rsidRPr="00D2310F">
        <w:rPr>
          <w:rFonts w:ascii="David" w:hAnsi="David"/>
          <w:rtl/>
        </w:rPr>
        <w:t>).</w:t>
      </w:r>
    </w:p>
    <w:p w14:paraId="5B211C2F" w14:textId="77777777" w:rsidR="002530EA" w:rsidRPr="00D2310F" w:rsidRDefault="002530EA" w:rsidP="002530EA">
      <w:pPr>
        <w:spacing w:line="360" w:lineRule="auto"/>
        <w:jc w:val="both"/>
        <w:rPr>
          <w:rFonts w:ascii="David" w:hAnsi="David"/>
          <w:rtl/>
        </w:rPr>
      </w:pPr>
    </w:p>
    <w:p w14:paraId="20430EF8" w14:textId="77777777" w:rsidR="002530EA" w:rsidRPr="00D2310F" w:rsidRDefault="002530EA" w:rsidP="002530EA">
      <w:pPr>
        <w:spacing w:line="360" w:lineRule="auto"/>
        <w:jc w:val="both"/>
        <w:rPr>
          <w:rFonts w:ascii="David" w:hAnsi="David"/>
          <w:rtl/>
        </w:rPr>
      </w:pPr>
      <w:r w:rsidRPr="00D2310F">
        <w:rPr>
          <w:rFonts w:ascii="David" w:hAnsi="David"/>
          <w:rtl/>
        </w:rPr>
        <w:t>על-פי גיליון ההרשעות הקודמות, לחובת הנאשם שש הרשעות קודמות. מהן ארבע הרשעות בעבירות מהשנים 1989-1981 אשר נדונו בבית המשפט הצבאי בלוד. שתי ההרשעות הנוספות, משנת 2020, הן אלו אשר נדונו בהליך האחר.</w:t>
      </w:r>
    </w:p>
    <w:p w14:paraId="47A1F60B" w14:textId="77777777" w:rsidR="002530EA" w:rsidRPr="00D2310F" w:rsidRDefault="002530EA" w:rsidP="002530EA">
      <w:pPr>
        <w:spacing w:line="360" w:lineRule="auto"/>
        <w:jc w:val="both"/>
        <w:rPr>
          <w:rFonts w:ascii="David" w:hAnsi="David"/>
          <w:rtl/>
        </w:rPr>
      </w:pPr>
    </w:p>
    <w:p w14:paraId="2B68D572" w14:textId="77777777" w:rsidR="002530EA" w:rsidRPr="00D2310F" w:rsidRDefault="002530EA" w:rsidP="002530EA">
      <w:pPr>
        <w:spacing w:line="360" w:lineRule="auto"/>
        <w:jc w:val="both"/>
        <w:rPr>
          <w:rFonts w:ascii="David" w:hAnsi="David"/>
          <w:rtl/>
        </w:rPr>
      </w:pPr>
      <w:r w:rsidRPr="00D2310F">
        <w:rPr>
          <w:rFonts w:ascii="David" w:hAnsi="David"/>
          <w:rtl/>
        </w:rPr>
        <w:t>9.</w:t>
      </w:r>
      <w:r w:rsidRPr="00D2310F">
        <w:rPr>
          <w:rFonts w:ascii="David" w:hAnsi="David"/>
          <w:rtl/>
        </w:rPr>
        <w:tab/>
        <w:t xml:space="preserve">מטעם ההגנה הוגשו הראיות הבאות: </w:t>
      </w:r>
    </w:p>
    <w:p w14:paraId="6FD13AE5" w14:textId="77777777" w:rsidR="002530EA" w:rsidRPr="00D2310F" w:rsidRDefault="002530EA" w:rsidP="002530EA">
      <w:pPr>
        <w:spacing w:line="360" w:lineRule="auto"/>
        <w:jc w:val="both"/>
        <w:rPr>
          <w:rFonts w:ascii="David" w:hAnsi="David"/>
          <w:rtl/>
        </w:rPr>
      </w:pPr>
    </w:p>
    <w:p w14:paraId="48CD6425" w14:textId="77777777" w:rsidR="002530EA" w:rsidRPr="00D2310F" w:rsidRDefault="002530EA" w:rsidP="002530EA">
      <w:pPr>
        <w:spacing w:line="360" w:lineRule="auto"/>
        <w:jc w:val="both"/>
        <w:rPr>
          <w:rFonts w:ascii="David" w:hAnsi="David"/>
          <w:rtl/>
        </w:rPr>
      </w:pPr>
      <w:r w:rsidRPr="00D2310F">
        <w:rPr>
          <w:rFonts w:ascii="David" w:hAnsi="David"/>
          <w:rtl/>
        </w:rPr>
        <w:t>(1)</w:t>
      </w:r>
      <w:r w:rsidRPr="00D2310F">
        <w:rPr>
          <w:rFonts w:ascii="David" w:hAnsi="David"/>
          <w:rtl/>
        </w:rPr>
        <w:tab/>
        <w:t>מכתבו של מר אוהד חמו, כתב לעניינים פלסטינים של חברת החדשות, ערוץ 12 (</w:t>
      </w:r>
      <w:r w:rsidRPr="00D2310F">
        <w:rPr>
          <w:rFonts w:ascii="David" w:hAnsi="David"/>
          <w:b/>
          <w:bCs/>
          <w:rtl/>
        </w:rPr>
        <w:t>נ/3</w:t>
      </w:r>
      <w:r w:rsidRPr="00D2310F">
        <w:rPr>
          <w:rFonts w:ascii="David" w:hAnsi="David"/>
          <w:rtl/>
        </w:rPr>
        <w:t>), אשר בהסכמה הוסיף דברים בעל-פה באמצעות הטלפון. במכתבו כמו גם בדבריו, סיפר מר חמו על היכרותו ארוכת השנים עם הנאשם, אשר סייע לו פעמים רבות בעבודתו, כל אימת שביקש להיכנס עם צוות צילום אל מחנה הפליטים שועפאט, לרבות בתקופות קשות ועוינות. בסיועו של הנאשם, התאפשר למר חמו לצלם כתבות ולערוך ראיונות עם גורמים שונים, חרף הסכנה שעלולה הייתה להישקף למר חמו ואף לנאשם לנוכח הסיוע שהושיט לצוות תקשורת ישראלי. עוד סיפר, כי לא אחת התעמת הנאשם מילולית עם צעירים שהביעו מחאה קולנית על נוכחותו של מר חמו במקום, בעוד הנאשם היה מוכן ונכון להגן, גם בגופו, על חייהם של מר חמו ושל צוות הצילום שנלווה אליו.</w:t>
      </w:r>
    </w:p>
    <w:p w14:paraId="0A87AA26" w14:textId="77777777" w:rsidR="002530EA" w:rsidRPr="00D2310F" w:rsidRDefault="002530EA" w:rsidP="002530EA">
      <w:pPr>
        <w:spacing w:line="360" w:lineRule="auto"/>
        <w:jc w:val="both"/>
        <w:rPr>
          <w:rFonts w:ascii="David" w:hAnsi="David"/>
          <w:rtl/>
        </w:rPr>
      </w:pPr>
    </w:p>
    <w:p w14:paraId="11972AF4" w14:textId="77777777" w:rsidR="002530EA" w:rsidRPr="00D2310F" w:rsidRDefault="002530EA" w:rsidP="002530EA">
      <w:pPr>
        <w:spacing w:line="360" w:lineRule="auto"/>
        <w:jc w:val="both"/>
        <w:rPr>
          <w:rFonts w:ascii="David" w:hAnsi="David"/>
          <w:rtl/>
        </w:rPr>
      </w:pPr>
      <w:r w:rsidRPr="00D2310F">
        <w:rPr>
          <w:rFonts w:ascii="David" w:hAnsi="David"/>
          <w:rtl/>
        </w:rPr>
        <w:t>(2)</w:t>
      </w:r>
      <w:r w:rsidRPr="00D2310F">
        <w:rPr>
          <w:rFonts w:ascii="David" w:hAnsi="David"/>
          <w:rtl/>
        </w:rPr>
        <w:tab/>
        <w:t>מכתבו של מר סלים ג'בר, ראש מועצת אבו גוש (</w:t>
      </w:r>
      <w:r w:rsidRPr="00D2310F">
        <w:rPr>
          <w:rFonts w:ascii="David" w:hAnsi="David"/>
          <w:b/>
          <w:bCs/>
          <w:rtl/>
        </w:rPr>
        <w:t>נ/4</w:t>
      </w:r>
      <w:r w:rsidRPr="00D2310F">
        <w:rPr>
          <w:rFonts w:ascii="David" w:hAnsi="David"/>
          <w:rtl/>
        </w:rPr>
        <w:t>), אשר סיפר כי הנאשם הוא אדם מוכר ומוערך מאד בכפר אבו גוש, אשר בין השאר מעורב במקרים רבים של סולחות וכי הוא אף משמש כתובת לסיוע בתלונות וביישוב סכסוכים בין תושבי הכפר ובינם לבין תושבי כפרים סמוכים.</w:t>
      </w:r>
    </w:p>
    <w:p w14:paraId="6F57A07D" w14:textId="77777777" w:rsidR="002530EA" w:rsidRPr="00D2310F" w:rsidRDefault="002530EA" w:rsidP="002530EA">
      <w:pPr>
        <w:spacing w:line="360" w:lineRule="auto"/>
        <w:jc w:val="both"/>
        <w:rPr>
          <w:rFonts w:ascii="David" w:hAnsi="David"/>
          <w:rtl/>
        </w:rPr>
      </w:pPr>
    </w:p>
    <w:p w14:paraId="0FB4D10D" w14:textId="77777777" w:rsidR="002530EA" w:rsidRPr="00D2310F" w:rsidRDefault="002530EA" w:rsidP="002530EA">
      <w:pPr>
        <w:spacing w:line="360" w:lineRule="auto"/>
        <w:jc w:val="both"/>
        <w:rPr>
          <w:rFonts w:ascii="David" w:hAnsi="David"/>
          <w:rtl/>
        </w:rPr>
      </w:pPr>
      <w:r w:rsidRPr="00D2310F">
        <w:rPr>
          <w:rFonts w:ascii="David" w:hAnsi="David"/>
          <w:rtl/>
        </w:rPr>
        <w:t>(3)</w:t>
      </w:r>
      <w:r w:rsidRPr="00D2310F">
        <w:rPr>
          <w:rFonts w:ascii="David" w:hAnsi="David"/>
          <w:rtl/>
        </w:rPr>
        <w:tab/>
        <w:t>מסמכים רפואיים בעניין בתו של הנאשם (</w:t>
      </w:r>
      <w:r w:rsidRPr="00D2310F">
        <w:rPr>
          <w:rFonts w:ascii="David" w:hAnsi="David"/>
          <w:b/>
          <w:bCs/>
          <w:rtl/>
        </w:rPr>
        <w:t>נ/5</w:t>
      </w:r>
      <w:r w:rsidRPr="00D2310F">
        <w:rPr>
          <w:rFonts w:ascii="David" w:hAnsi="David"/>
          <w:rtl/>
        </w:rPr>
        <w:t>), כבת 26, אשר לפיהם נכון להיום היא מאושפזת במצב קשה בבית החולים הדסה עין כרם, בעוד שאין צפי בעניין מועד שחרורה מבית החולים. מפאת צנעת הפרט לא נרחיב מעבר לכך.</w:t>
      </w:r>
    </w:p>
    <w:p w14:paraId="26C49A18" w14:textId="77777777" w:rsidR="002530EA" w:rsidRPr="00D2310F" w:rsidRDefault="002530EA" w:rsidP="002530EA">
      <w:pPr>
        <w:spacing w:line="360" w:lineRule="auto"/>
        <w:jc w:val="both"/>
        <w:rPr>
          <w:rFonts w:ascii="David" w:hAnsi="David"/>
          <w:rtl/>
        </w:rPr>
      </w:pPr>
    </w:p>
    <w:p w14:paraId="5F58514D" w14:textId="77777777" w:rsidR="002530EA" w:rsidRPr="00D2310F" w:rsidRDefault="002530EA" w:rsidP="002530EA">
      <w:pPr>
        <w:spacing w:line="360" w:lineRule="auto"/>
        <w:jc w:val="both"/>
        <w:rPr>
          <w:rFonts w:ascii="David" w:hAnsi="David"/>
          <w:rtl/>
        </w:rPr>
      </w:pPr>
      <w:r w:rsidRPr="00D2310F">
        <w:rPr>
          <w:rFonts w:ascii="David" w:hAnsi="David"/>
          <w:rtl/>
        </w:rPr>
        <w:t>(4)</w:t>
      </w:r>
      <w:r w:rsidRPr="00D2310F">
        <w:rPr>
          <w:rFonts w:ascii="David" w:hAnsi="David"/>
          <w:rtl/>
        </w:rPr>
        <w:tab/>
        <w:t>במסגרת שמיעת טענות הצדדים, דברו מספר אנשים אשר נכחו באולם בית השמפט וסיפרו בשבחו של הנאשם. בעיקר הדגישו את עובדת היותו שייח מוכר, אשר מרבה ליישב מחלוקות וסכסוכים ואף סכסוכים קשים, לרבות סכסוכים בתוך משפחות, וכי הוא מוכר ומקובל בתור גורם המקיים סולחות. עוד נטען, כי אף המשטרה מסתייעת בנאשם לעתים תכופות לשם יישוב סכסוכים.</w:t>
      </w:r>
    </w:p>
    <w:p w14:paraId="5A33D4DB" w14:textId="77777777" w:rsidR="002530EA" w:rsidRPr="00D2310F" w:rsidRDefault="002530EA" w:rsidP="002530EA">
      <w:pPr>
        <w:spacing w:line="360" w:lineRule="auto"/>
        <w:jc w:val="both"/>
        <w:rPr>
          <w:rFonts w:ascii="David" w:hAnsi="David"/>
          <w:rtl/>
        </w:rPr>
      </w:pPr>
    </w:p>
    <w:p w14:paraId="1179C641" w14:textId="77777777" w:rsidR="002530EA" w:rsidRPr="00D2310F" w:rsidRDefault="002530EA" w:rsidP="002530EA">
      <w:pPr>
        <w:spacing w:line="360" w:lineRule="auto"/>
        <w:jc w:val="both"/>
        <w:rPr>
          <w:rFonts w:ascii="David" w:hAnsi="David"/>
          <w:b/>
          <w:bCs/>
          <w:u w:val="single"/>
          <w:rtl/>
        </w:rPr>
      </w:pPr>
      <w:r w:rsidRPr="00D2310F">
        <w:rPr>
          <w:rFonts w:ascii="David" w:hAnsi="David"/>
          <w:rtl/>
        </w:rPr>
        <w:tab/>
      </w:r>
      <w:r w:rsidRPr="00D2310F">
        <w:rPr>
          <w:rFonts w:ascii="David" w:hAnsi="David"/>
          <w:b/>
          <w:bCs/>
          <w:u w:val="single"/>
          <w:rtl/>
        </w:rPr>
        <w:t>עיקרי טענות הצדדים ודברי הנאשם</w:t>
      </w:r>
    </w:p>
    <w:p w14:paraId="07B76649" w14:textId="77777777" w:rsidR="002530EA" w:rsidRPr="00D2310F" w:rsidRDefault="002530EA" w:rsidP="002530EA">
      <w:pPr>
        <w:spacing w:line="360" w:lineRule="auto"/>
        <w:jc w:val="both"/>
        <w:rPr>
          <w:rFonts w:ascii="David" w:hAnsi="David"/>
          <w:sz w:val="16"/>
          <w:szCs w:val="16"/>
          <w:rtl/>
        </w:rPr>
      </w:pPr>
    </w:p>
    <w:p w14:paraId="21DBBA9D" w14:textId="77777777" w:rsidR="002530EA" w:rsidRPr="00D2310F" w:rsidRDefault="002530EA" w:rsidP="002530EA">
      <w:pPr>
        <w:spacing w:line="360" w:lineRule="auto"/>
        <w:jc w:val="both"/>
        <w:rPr>
          <w:rFonts w:ascii="David" w:hAnsi="David"/>
          <w:rtl/>
        </w:rPr>
      </w:pPr>
      <w:r w:rsidRPr="00D2310F">
        <w:rPr>
          <w:rFonts w:ascii="David" w:hAnsi="David"/>
          <w:rtl/>
        </w:rPr>
        <w:t>10.</w:t>
      </w:r>
      <w:r w:rsidRPr="00D2310F">
        <w:rPr>
          <w:rFonts w:ascii="David" w:hAnsi="David"/>
          <w:rtl/>
        </w:rPr>
        <w:tab/>
      </w:r>
      <w:r w:rsidRPr="00D2310F">
        <w:rPr>
          <w:rFonts w:ascii="David" w:hAnsi="David"/>
          <w:b/>
          <w:bCs/>
          <w:u w:val="single"/>
          <w:rtl/>
        </w:rPr>
        <w:t>טענות המאשימה</w:t>
      </w:r>
      <w:r w:rsidRPr="00D2310F">
        <w:rPr>
          <w:rFonts w:ascii="David" w:hAnsi="David"/>
          <w:b/>
          <w:bCs/>
          <w:rtl/>
        </w:rPr>
        <w:t>:</w:t>
      </w:r>
      <w:r w:rsidRPr="00D2310F">
        <w:rPr>
          <w:rFonts w:ascii="David" w:hAnsi="David"/>
          <w:rtl/>
        </w:rPr>
        <w:t xml:space="preserve"> בא-כוח המאשימה הסביר כי מלכתחילה עמדת המאשימה הייתה כי ישנו הבדל ראייתי והבדל מהותי בין העבירות שעבר הנאשם לבין אלו שעברו שלושת הנאשמים האחרים. למרות זאת, המאשימה הגיעה לכלל מסקנה כי בהתחשב במכלול נסיבותיו של הליך זה, יהיה זה נכון להגיע להסכמה בעניין העונש שיושת על הנאשם. עם זאת וכאמור, אין הסכמה בעניין שאלת חפיפת העונש שיושת בהליך הנדון לעונש שבו נושא הנאשם עתה בעקבות הרשעתו בהליך האחר. </w:t>
      </w:r>
    </w:p>
    <w:p w14:paraId="0592E671" w14:textId="77777777" w:rsidR="002530EA" w:rsidRPr="00D2310F" w:rsidRDefault="002530EA" w:rsidP="002530EA">
      <w:pPr>
        <w:spacing w:line="360" w:lineRule="auto"/>
        <w:jc w:val="both"/>
        <w:rPr>
          <w:rFonts w:ascii="David" w:hAnsi="David"/>
          <w:rtl/>
        </w:rPr>
      </w:pPr>
    </w:p>
    <w:p w14:paraId="6F9F2283" w14:textId="77777777" w:rsidR="002530EA" w:rsidRPr="00D2310F" w:rsidRDefault="002530EA" w:rsidP="002530EA">
      <w:pPr>
        <w:spacing w:line="360" w:lineRule="auto"/>
        <w:jc w:val="both"/>
        <w:rPr>
          <w:rFonts w:ascii="David" w:hAnsi="David"/>
          <w:rtl/>
        </w:rPr>
      </w:pPr>
      <w:r w:rsidRPr="00D2310F">
        <w:rPr>
          <w:rFonts w:ascii="David" w:hAnsi="David"/>
          <w:rtl/>
        </w:rPr>
        <w:t xml:space="preserve">בא-כוח המאשימה הדגיש את חומרת עבירות הנשק ועבירת הירי מנשק חם, שבהן הורשע הנאשם בהליך הנדון, בשונה משאר הנאשמים, אשר לא הורשעו בעבירות אלו. לעניין זה הפנה אל פסקי הדין שניתנו לאחרונה, בעניין </w:t>
      </w:r>
      <w:hyperlink r:id="rId40" w:history="1">
        <w:r w:rsidR="00CF39E3" w:rsidRPr="00CF39E3">
          <w:rPr>
            <w:rFonts w:ascii="David" w:hAnsi="David"/>
            <w:color w:val="0000FF"/>
            <w:u w:val="single"/>
            <w:rtl/>
          </w:rPr>
          <w:t>ע"פ 1509/20</w:t>
        </w:r>
      </w:hyperlink>
      <w:r w:rsidRPr="00D2310F">
        <w:rPr>
          <w:rFonts w:ascii="David" w:hAnsi="David"/>
          <w:rtl/>
        </w:rPr>
        <w:t xml:space="preserve"> </w:t>
      </w:r>
      <w:r w:rsidRPr="00D2310F">
        <w:rPr>
          <w:rFonts w:ascii="David" w:hAnsi="David"/>
          <w:b/>
          <w:bCs/>
          <w:rtl/>
        </w:rPr>
        <w:t>מדינת ישראל נ' נבארי</w:t>
      </w:r>
      <w:r w:rsidRPr="00D2310F">
        <w:rPr>
          <w:rFonts w:ascii="David" w:hAnsi="David"/>
          <w:rtl/>
        </w:rPr>
        <w:t xml:space="preserve"> </w:t>
      </w:r>
      <w:r w:rsidR="00B91F2A" w:rsidRPr="00B91F2A">
        <w:rPr>
          <w:sz w:val="22"/>
          <w:rtl/>
        </w:rPr>
        <w:t xml:space="preserve">[פורסם בנבו] </w:t>
      </w:r>
      <w:r w:rsidRPr="00D2310F">
        <w:rPr>
          <w:rFonts w:ascii="David" w:hAnsi="David"/>
          <w:rtl/>
        </w:rPr>
        <w:t xml:space="preserve">(2.7.2020) ובעניין </w:t>
      </w:r>
      <w:hyperlink r:id="rId41" w:history="1">
        <w:r w:rsidR="00CF39E3" w:rsidRPr="00CF39E3">
          <w:rPr>
            <w:rFonts w:ascii="David" w:hAnsi="David"/>
            <w:color w:val="0000FF"/>
            <w:u w:val="single"/>
            <w:rtl/>
          </w:rPr>
          <w:t>ע"פ 3169/21</w:t>
        </w:r>
      </w:hyperlink>
      <w:r w:rsidRPr="00D2310F">
        <w:rPr>
          <w:rFonts w:ascii="David" w:hAnsi="David"/>
          <w:rtl/>
        </w:rPr>
        <w:t xml:space="preserve"> </w:t>
      </w:r>
      <w:r w:rsidRPr="00D2310F">
        <w:rPr>
          <w:rFonts w:ascii="David" w:hAnsi="David"/>
          <w:b/>
          <w:bCs/>
          <w:rtl/>
        </w:rPr>
        <w:t>מדינת ישראל נ' אגבאריה</w:t>
      </w:r>
      <w:r w:rsidRPr="00D2310F">
        <w:rPr>
          <w:rFonts w:ascii="David" w:hAnsi="David"/>
          <w:rtl/>
        </w:rPr>
        <w:t xml:space="preserve"> </w:t>
      </w:r>
      <w:r w:rsidR="00B91F2A" w:rsidRPr="00B91F2A">
        <w:rPr>
          <w:sz w:val="22"/>
          <w:rtl/>
        </w:rPr>
        <w:t xml:space="preserve">[פורסם בנבו] </w:t>
      </w:r>
      <w:r w:rsidRPr="00D2310F">
        <w:rPr>
          <w:rFonts w:ascii="David" w:hAnsi="David"/>
          <w:rtl/>
        </w:rPr>
        <w:t xml:space="preserve">(21.6.2021), אשר בשניהם נדונו עונשיהם של נאשמים שהורשעו בין השאר, בעבירות נשק ובעבירת ירי באזור מגורים ובשניהם הדגיש בית המשפט העליון את הצורך בהחמרת עונשיהם של עוברי עבירות אלו. זאת בעיקר לנוכח העובדה שמדובר בעבירות חמורות, אשר הפכו לנפוצות מאד וכי הסכנה הנשקפת מהן רבה. לפיכך הודגש, הצורך בהחמרת הענישה תוך מתן משקל לשיקולי הרתעת הרבים. </w:t>
      </w:r>
    </w:p>
    <w:p w14:paraId="46FBF4E6" w14:textId="77777777" w:rsidR="002530EA" w:rsidRPr="00D2310F" w:rsidRDefault="002530EA" w:rsidP="002530EA">
      <w:pPr>
        <w:spacing w:line="360" w:lineRule="auto"/>
        <w:jc w:val="both"/>
        <w:rPr>
          <w:rFonts w:ascii="David" w:hAnsi="David"/>
          <w:rtl/>
        </w:rPr>
      </w:pPr>
    </w:p>
    <w:p w14:paraId="4AEEF864" w14:textId="77777777" w:rsidR="002530EA" w:rsidRPr="00D2310F" w:rsidRDefault="002530EA" w:rsidP="002530EA">
      <w:pPr>
        <w:spacing w:line="360" w:lineRule="auto"/>
        <w:jc w:val="both"/>
        <w:rPr>
          <w:rFonts w:ascii="David" w:hAnsi="David"/>
          <w:rtl/>
        </w:rPr>
      </w:pPr>
      <w:r w:rsidRPr="00D2310F">
        <w:rPr>
          <w:rFonts w:ascii="David" w:hAnsi="David"/>
          <w:rtl/>
        </w:rPr>
        <w:t xml:space="preserve">בא-כוח המאשימה הוסיף, כי המאשימה שקלה גם את מתחמי הענישה כפי שנקבעו בפסיקת בית המשפט העליון לגבי העבירות שבהן הורשע הנאשם וכן שקלה את קריאתו להחמיר בענישת עוברי עבירות אלו. עם זאת, לאחר שקילת מורכבות נסיבותיו של ההליך הנדון ושקילת הענישה המוסכמת שהושתה על שלושת הנאשמים האחרים, הסכימה המאשימה לעונש כאמור לעיל. </w:t>
      </w:r>
    </w:p>
    <w:p w14:paraId="4CBBF031" w14:textId="77777777" w:rsidR="002530EA" w:rsidRPr="00D2310F" w:rsidRDefault="002530EA" w:rsidP="002530EA">
      <w:pPr>
        <w:spacing w:line="360" w:lineRule="auto"/>
        <w:jc w:val="both"/>
        <w:rPr>
          <w:rFonts w:ascii="David" w:hAnsi="David"/>
          <w:rtl/>
        </w:rPr>
      </w:pPr>
    </w:p>
    <w:p w14:paraId="60FA55CD" w14:textId="77777777" w:rsidR="002530EA" w:rsidRPr="00D2310F" w:rsidRDefault="002530EA" w:rsidP="002530EA">
      <w:pPr>
        <w:spacing w:line="360" w:lineRule="auto"/>
        <w:jc w:val="both"/>
        <w:rPr>
          <w:rFonts w:ascii="David" w:hAnsi="David"/>
          <w:rtl/>
        </w:rPr>
      </w:pPr>
      <w:r w:rsidRPr="00D2310F">
        <w:rPr>
          <w:rFonts w:ascii="David" w:hAnsi="David"/>
          <w:rtl/>
        </w:rPr>
        <w:t xml:space="preserve">למרות הסכמה זו ועל אף הסכמת המאשימה לחפיפה מסוימת בין העונש שבו נושא הנאשם עתה לבין זה שיושת עליו בשל ההליך הנדון, עמדתה היא כי על חפיפת העונשים להיות חלקית ביותר. זאת לנוכח הכלל שלפיו על נאשם לשאת בעונשים נפרדים במצטבר. בדומה טען בא-כוח המאשימה, כי בעת שקילת היקף החפיפה בין העונשים, יש לשקול אף את העובדה שהעונש המוסכם נמוך מהענישה המקובלת בשל העבירות שבהן הורשע הנאשם. </w:t>
      </w:r>
    </w:p>
    <w:p w14:paraId="7EBA76AE" w14:textId="77777777" w:rsidR="002530EA" w:rsidRPr="00D2310F" w:rsidRDefault="002530EA" w:rsidP="002530EA">
      <w:pPr>
        <w:spacing w:line="360" w:lineRule="auto"/>
        <w:jc w:val="both"/>
        <w:rPr>
          <w:rFonts w:ascii="David" w:hAnsi="David"/>
          <w:rtl/>
        </w:rPr>
      </w:pPr>
    </w:p>
    <w:p w14:paraId="5267EFEA" w14:textId="77777777" w:rsidR="002530EA" w:rsidRPr="00D2310F" w:rsidRDefault="002530EA" w:rsidP="002530EA">
      <w:pPr>
        <w:spacing w:line="360" w:lineRule="auto"/>
        <w:jc w:val="both"/>
        <w:rPr>
          <w:rFonts w:ascii="David" w:hAnsi="David"/>
          <w:rtl/>
        </w:rPr>
      </w:pPr>
      <w:r w:rsidRPr="00D2310F">
        <w:rPr>
          <w:rFonts w:ascii="David" w:hAnsi="David"/>
          <w:rtl/>
        </w:rPr>
        <w:t>11.</w:t>
      </w:r>
      <w:r w:rsidRPr="00D2310F">
        <w:rPr>
          <w:rFonts w:ascii="David" w:hAnsi="David"/>
          <w:rtl/>
        </w:rPr>
        <w:tab/>
      </w:r>
      <w:r w:rsidRPr="00D2310F">
        <w:rPr>
          <w:rFonts w:ascii="David" w:hAnsi="David"/>
          <w:b/>
          <w:bCs/>
          <w:u w:val="single"/>
          <w:rtl/>
        </w:rPr>
        <w:t>טענות ההגנה</w:t>
      </w:r>
      <w:r w:rsidRPr="00D2310F">
        <w:rPr>
          <w:rFonts w:ascii="David" w:hAnsi="David"/>
          <w:b/>
          <w:bCs/>
          <w:rtl/>
        </w:rPr>
        <w:t>:</w:t>
      </w:r>
      <w:r w:rsidRPr="00D2310F">
        <w:rPr>
          <w:rFonts w:ascii="David" w:hAnsi="David"/>
          <w:rtl/>
        </w:rPr>
        <w:t xml:space="preserve"> בא-כוח הנאשם חזר והדגיש את העובדה שהנאשם הוא אדם המוכר כדמות מכובדת ומוכרת בקרב רבים במגזר הערבי בירושלים ואף במגזר היהודי. על-פי הנטען, הוא בעיקר מוכר בהיותו אדם המיישב מחלוקות וסכסוכים רבים ומוביל לסולחות לאחר סכסוכים קשים ומרים ואף סכסוכי דמים. לטענתו, לא אחת הנאשם אף מוזמן להעיד בקשר לכך, כפי שהיה לפני מספר ימים וכי אף המשטרה מסתייעת בו לשם יישוב מחלוקות בין עבריינים. בהקשר זה הפנה בא-כוח הנאשם למספר דוגמאות, לרבות אלו שעליהם סיפרו אנשים שהגיעו במיוחד אל הדיון כדי לספר על מעורבותו של הנאשם ועל סיועו להם בהקשר של סכסוכים שונים. לטענת בא-כוח הנאשם, אף לא מן הנמנע כי מעורבותו ביישוב סכסוכים מנעה לא אחת אבדות בנפש. </w:t>
      </w:r>
    </w:p>
    <w:p w14:paraId="786BC3D7" w14:textId="77777777" w:rsidR="002530EA" w:rsidRPr="00D2310F" w:rsidRDefault="002530EA" w:rsidP="002530EA">
      <w:pPr>
        <w:spacing w:line="360" w:lineRule="auto"/>
        <w:jc w:val="both"/>
        <w:rPr>
          <w:rFonts w:ascii="David" w:hAnsi="David"/>
          <w:rtl/>
        </w:rPr>
      </w:pPr>
    </w:p>
    <w:p w14:paraId="5944F528" w14:textId="77777777" w:rsidR="002530EA" w:rsidRDefault="002530EA" w:rsidP="002530EA">
      <w:pPr>
        <w:spacing w:line="360" w:lineRule="auto"/>
        <w:jc w:val="both"/>
        <w:rPr>
          <w:rFonts w:ascii="David" w:hAnsi="David"/>
          <w:rtl/>
        </w:rPr>
      </w:pPr>
      <w:r w:rsidRPr="00D2310F">
        <w:rPr>
          <w:rFonts w:ascii="David" w:hAnsi="David"/>
          <w:rtl/>
        </w:rPr>
        <w:t xml:space="preserve">עוד טען בא-כוח הנאשם, כי חרף חלקם המשמעותי של שותפיו, הושתו עליהם בהסכמת המאשימה עונשים קלים יחסית, כמפורט לעיל. עוד הדגיש, כי למרות העבירות שבהן הורשע הנאשם מכוח ביצוע בצוותא, הוא לא הואשם בכך שהוא עצמו אחז נשק או כי הוא עצמו דקר. בנסיבות אלו טען, כי ראוי היה שעונשו יהיה קל מזה שעליו הוסכם. </w:t>
      </w:r>
    </w:p>
    <w:p w14:paraId="457DE8A8" w14:textId="77777777" w:rsidR="002530EA" w:rsidRDefault="002530EA" w:rsidP="002530EA">
      <w:pPr>
        <w:spacing w:line="360" w:lineRule="auto"/>
        <w:jc w:val="both"/>
        <w:rPr>
          <w:rFonts w:ascii="David" w:hAnsi="David"/>
          <w:rtl/>
        </w:rPr>
      </w:pPr>
    </w:p>
    <w:p w14:paraId="0A5348CE" w14:textId="77777777" w:rsidR="002530EA" w:rsidRPr="00D2310F" w:rsidRDefault="002530EA" w:rsidP="002530EA">
      <w:pPr>
        <w:spacing w:line="360" w:lineRule="auto"/>
        <w:jc w:val="both"/>
        <w:rPr>
          <w:rFonts w:ascii="David" w:hAnsi="David"/>
          <w:rtl/>
        </w:rPr>
      </w:pPr>
      <w:r w:rsidRPr="00D2310F">
        <w:rPr>
          <w:rFonts w:ascii="David" w:hAnsi="David"/>
          <w:rtl/>
        </w:rPr>
        <w:t>בנוסף לכך טען</w:t>
      </w:r>
      <w:r>
        <w:rPr>
          <w:rFonts w:ascii="David" w:hAnsi="David" w:hint="cs"/>
          <w:rtl/>
        </w:rPr>
        <w:t xml:space="preserve"> בא-כוח הנאשם</w:t>
      </w:r>
      <w:r w:rsidRPr="00D2310F">
        <w:rPr>
          <w:rFonts w:ascii="David" w:hAnsi="David"/>
          <w:rtl/>
        </w:rPr>
        <w:t>, כי יש לתת משקל רב להודאת הנאשם, להכרתו באחריותו למעשיו ולאופיו הטוב. לדבריו, מדובר במי שאוהב את המדינה ואת אזרחיה, הזוכה לכבוד רב בקרב תושבי המדינה, יהודים וערבים ובקרב גורמי המשטרה. עוד סופר, כי לפני זמן מה, חמש בחורות יהודיות נקלעו בטעות אל מחנה הפליטים שועפאט, וכי הנאשם חילץ אותן בעצמו וזכה לתודות ולתשבחות מבני משפחותיהן.</w:t>
      </w:r>
    </w:p>
    <w:p w14:paraId="381CBD29" w14:textId="77777777" w:rsidR="002530EA" w:rsidRPr="00D2310F" w:rsidRDefault="002530EA" w:rsidP="002530EA">
      <w:pPr>
        <w:spacing w:line="360" w:lineRule="auto"/>
        <w:jc w:val="both"/>
        <w:rPr>
          <w:rFonts w:ascii="David" w:hAnsi="David"/>
          <w:rtl/>
        </w:rPr>
      </w:pPr>
    </w:p>
    <w:p w14:paraId="41919BD2" w14:textId="77777777" w:rsidR="002530EA" w:rsidRPr="00D2310F" w:rsidRDefault="002530EA" w:rsidP="002530EA">
      <w:pPr>
        <w:spacing w:line="360" w:lineRule="auto"/>
        <w:jc w:val="both"/>
        <w:rPr>
          <w:rFonts w:ascii="David" w:hAnsi="David"/>
          <w:rtl/>
        </w:rPr>
      </w:pPr>
      <w:r w:rsidRPr="00D2310F">
        <w:rPr>
          <w:rFonts w:ascii="David" w:hAnsi="David"/>
          <w:rtl/>
        </w:rPr>
        <w:t xml:space="preserve">כן ביקש בא-כוח הנאשם, שיינתן משקל לכך שמדובר באדם כבן 61 הנושא עתה במאסרו הראשון וכי הוא סובל סבל רב במאסר. בתו חולה מאד, כפי שעולה מהמסמכים הרפואיים שהוגשו ובשל היותו נתון במעצר, הוא אינו יכול לצאת ולבקר אותה. לכך נוסף אסון נוסף שפקד אותו לפני כשנה, עם מותו של בנו בתאונה. </w:t>
      </w:r>
    </w:p>
    <w:p w14:paraId="0A139D89" w14:textId="77777777" w:rsidR="002530EA" w:rsidRPr="00D2310F" w:rsidRDefault="002530EA" w:rsidP="002530EA">
      <w:pPr>
        <w:spacing w:line="360" w:lineRule="auto"/>
        <w:jc w:val="both"/>
        <w:rPr>
          <w:rFonts w:ascii="David" w:hAnsi="David"/>
          <w:rtl/>
        </w:rPr>
      </w:pPr>
    </w:p>
    <w:p w14:paraId="2D8F46DF" w14:textId="77777777" w:rsidR="002530EA" w:rsidRPr="00D2310F" w:rsidRDefault="002530EA" w:rsidP="002530EA">
      <w:pPr>
        <w:spacing w:line="360" w:lineRule="auto"/>
        <w:jc w:val="both"/>
        <w:rPr>
          <w:rFonts w:ascii="David" w:hAnsi="David"/>
          <w:rtl/>
        </w:rPr>
      </w:pPr>
      <w:r w:rsidRPr="00D2310F">
        <w:rPr>
          <w:rFonts w:ascii="David" w:hAnsi="David"/>
          <w:rtl/>
        </w:rPr>
        <w:t>12.</w:t>
      </w:r>
      <w:r w:rsidRPr="00D2310F">
        <w:rPr>
          <w:rFonts w:ascii="David" w:hAnsi="David"/>
          <w:rtl/>
        </w:rPr>
        <w:tab/>
      </w:r>
      <w:r w:rsidRPr="00D2310F">
        <w:rPr>
          <w:rFonts w:ascii="David" w:hAnsi="David"/>
          <w:b/>
          <w:bCs/>
          <w:u w:val="single"/>
          <w:rtl/>
        </w:rPr>
        <w:t>דברי הנאשם</w:t>
      </w:r>
      <w:r w:rsidRPr="00D2310F">
        <w:rPr>
          <w:rFonts w:ascii="David" w:hAnsi="David"/>
          <w:rtl/>
        </w:rPr>
        <w:t xml:space="preserve">: הנאשם סיפר על העזרה שהושיט לא אחת ליהודים ולערבים כאחת. בין השאר, הושיט עזרה ליהודים שטעו בדרכם ונקלעו אל מחנה הפליטים שועפאט והוא הוציא אותם משם ללא פגע. בדומה סיפר כיצד חילץ מהמקום את הכתב אוהד חמו ואת צוות הצילום שלו. עוד סיפר על כך שהוא עוזר לאנשים רבים בתרומות וכי אף את הפיצויים שקיבל לאחר מות בנו בתאונה, הוא החזיר, כדי לא ליהנות מכספים שקיבל בשל מותו של בנו. לדברי הנאשם, אנשי משפחת אבו עסב, שהובילו למעצרו, מעורבים בעבירות חמורות. הנאשם הוסיף וסיפר על כך שהתקשה מאד להיות במעצר בתקופת הרמדאן. </w:t>
      </w:r>
    </w:p>
    <w:p w14:paraId="6C9E9208" w14:textId="77777777" w:rsidR="002530EA" w:rsidRPr="00D2310F" w:rsidRDefault="002530EA" w:rsidP="002530EA">
      <w:pPr>
        <w:spacing w:line="360" w:lineRule="auto"/>
        <w:jc w:val="both"/>
        <w:rPr>
          <w:rFonts w:ascii="David" w:hAnsi="David"/>
          <w:rtl/>
        </w:rPr>
      </w:pPr>
    </w:p>
    <w:p w14:paraId="1A551F84" w14:textId="77777777" w:rsidR="002530EA" w:rsidRPr="00D2310F" w:rsidRDefault="002530EA" w:rsidP="002530EA">
      <w:pPr>
        <w:spacing w:line="360" w:lineRule="auto"/>
        <w:jc w:val="both"/>
        <w:rPr>
          <w:rFonts w:ascii="David" w:hAnsi="David"/>
          <w:rtl/>
        </w:rPr>
      </w:pPr>
      <w:r w:rsidRPr="00D2310F">
        <w:rPr>
          <w:rFonts w:ascii="David" w:hAnsi="David"/>
          <w:rtl/>
        </w:rPr>
        <w:t xml:space="preserve">הנאשם הביע צער על מעורבותו במעשים והוסיף שימשיך בדרכו להשכנת שלום בין אנשים מסוכסכים וגם בין יהודים לערבים. לבסוף דיבר על בתו החולה, המאושפזת בבית החולים ועל כך שהיא זקוקה לעזרתו וכי הוא מבקש להיות לצדה בימיה הקשים. </w:t>
      </w:r>
    </w:p>
    <w:p w14:paraId="4EA6BFED" w14:textId="77777777" w:rsidR="002530EA" w:rsidRDefault="002530EA" w:rsidP="002530EA">
      <w:pPr>
        <w:spacing w:line="360" w:lineRule="auto"/>
        <w:jc w:val="both"/>
        <w:rPr>
          <w:rFonts w:ascii="David" w:hAnsi="David"/>
          <w:rtl/>
        </w:rPr>
      </w:pPr>
    </w:p>
    <w:p w14:paraId="6E1DD10B" w14:textId="77777777" w:rsidR="002530EA" w:rsidRPr="00D2310F" w:rsidRDefault="002530EA" w:rsidP="002530EA">
      <w:pPr>
        <w:spacing w:line="360" w:lineRule="auto"/>
        <w:jc w:val="both"/>
        <w:rPr>
          <w:rFonts w:ascii="David" w:hAnsi="David"/>
          <w:rtl/>
        </w:rPr>
      </w:pPr>
    </w:p>
    <w:p w14:paraId="08E98D0F" w14:textId="77777777" w:rsidR="002530EA" w:rsidRPr="00D2310F" w:rsidRDefault="002530EA" w:rsidP="002530EA">
      <w:pPr>
        <w:spacing w:line="360" w:lineRule="auto"/>
        <w:jc w:val="both"/>
        <w:rPr>
          <w:rFonts w:ascii="David" w:hAnsi="David"/>
          <w:rtl/>
        </w:rPr>
      </w:pPr>
      <w:r w:rsidRPr="00D2310F">
        <w:rPr>
          <w:rFonts w:ascii="David" w:hAnsi="David"/>
          <w:b/>
          <w:bCs/>
          <w:u w:val="single"/>
          <w:rtl/>
        </w:rPr>
        <w:t>גזר הדין ונימוקיו</w:t>
      </w:r>
    </w:p>
    <w:p w14:paraId="02D527E2" w14:textId="77777777" w:rsidR="002530EA" w:rsidRPr="00D2310F" w:rsidRDefault="002530EA" w:rsidP="002530EA">
      <w:pPr>
        <w:spacing w:line="360" w:lineRule="auto"/>
        <w:jc w:val="both"/>
        <w:rPr>
          <w:rFonts w:ascii="David" w:hAnsi="David"/>
          <w:sz w:val="16"/>
          <w:szCs w:val="16"/>
          <w:rtl/>
        </w:rPr>
      </w:pPr>
    </w:p>
    <w:p w14:paraId="4667BBC1" w14:textId="77777777" w:rsidR="002530EA" w:rsidRPr="00622CE3" w:rsidRDefault="002530EA" w:rsidP="002530EA">
      <w:pPr>
        <w:spacing w:line="360" w:lineRule="auto"/>
        <w:jc w:val="both"/>
        <w:rPr>
          <w:rFonts w:ascii="David" w:hAnsi="David"/>
          <w:rtl/>
        </w:rPr>
      </w:pPr>
      <w:r w:rsidRPr="00622CE3">
        <w:rPr>
          <w:rFonts w:ascii="David" w:hAnsi="David"/>
          <w:rtl/>
        </w:rPr>
        <w:t>13.</w:t>
      </w:r>
      <w:r w:rsidRPr="00622CE3">
        <w:rPr>
          <w:rFonts w:ascii="David" w:hAnsi="David"/>
          <w:rtl/>
        </w:rPr>
        <w:tab/>
        <w:t xml:space="preserve">בעת בחינת השאלה אם ראוי לכבד את הסדר הטיעון, נשקלו מכלול השיקולים אשר עליהם עמדו באי-כוח שני הצדדים בטענותיהם. בכלל זה ניתן משקל להודאת הנאשם במעשים וכן ניתן משקל לצער שהביע, גם אם עשה כן תוך ניסיון להצדקתם (לטענתו, אינו מקבל שהמתלונן קילל את האל ואת הנביא מוחמד וכן העלה טענות בעניין המשפחה המעורבת באירוע). עם זאת, נשקלו גם הזמן השיפוטי היקר שהוקדש להליך הנדון בשל הדיונים הרבים אשר התקיימו במסגרתו, העובדה שהודה רק לאחר שמיעת עדות המתלונן, וכן העובדה שלא מן הנמנע כי ישנו קשר בין מועד ההודאה לבין השלב שבו נמצא עונש המאסר בשל ההליך האחר. </w:t>
      </w:r>
    </w:p>
    <w:p w14:paraId="149AACDE" w14:textId="77777777" w:rsidR="002530EA" w:rsidRPr="00622CE3" w:rsidRDefault="002530EA" w:rsidP="002530EA">
      <w:pPr>
        <w:spacing w:line="360" w:lineRule="auto"/>
        <w:jc w:val="both"/>
        <w:rPr>
          <w:rFonts w:ascii="David" w:hAnsi="David"/>
          <w:rtl/>
        </w:rPr>
      </w:pPr>
    </w:p>
    <w:p w14:paraId="0CE66B49" w14:textId="77777777" w:rsidR="002530EA" w:rsidRPr="00622CE3" w:rsidRDefault="002530EA" w:rsidP="002530EA">
      <w:pPr>
        <w:spacing w:line="360" w:lineRule="auto"/>
        <w:jc w:val="both"/>
        <w:rPr>
          <w:rFonts w:ascii="David" w:hAnsi="David"/>
          <w:rtl/>
        </w:rPr>
      </w:pPr>
      <w:r w:rsidRPr="00622CE3">
        <w:rPr>
          <w:rFonts w:ascii="David" w:hAnsi="David"/>
          <w:rtl/>
        </w:rPr>
        <w:t>עוד ניתן משקל לכל השיקולים הבאים: אופיו הטוב של הנאשם והעזרה הרבה שהושיט לאנשים רבים, כפי שעלה מדברי הדוברים בישיבת הטיעונים לעונש; נסיבותיו האישיות של הנאשם, לרבות גילו, האסון שפקד אותו עם מות בנו בתאונה לפני כשנה וכן מחלתה הקשה של בתו; העובדה שאת העבירות החמורות שבהן הורשע עבר מכוח ביצוע בצוותא  בלי שנטען כי עשה בעצמו את המעשים; מגיליון הרשעותיו הקודמות עולה כי זנח את דרכו העבריינית כבר לפני כשלושים שנה, למעט מעידתו המשמעותית בעבירות המס שנדונו בהליך האחר; הקשיים הראייתיים הממשיים בהליך הנדון, שבהם נוכחתי במהלך הדיונים; העונשים שהושתו בהסכמת המאשימה על הנאשמים 4-2.</w:t>
      </w:r>
    </w:p>
    <w:p w14:paraId="7EAE908E" w14:textId="77777777" w:rsidR="002530EA" w:rsidRPr="00622CE3" w:rsidRDefault="002530EA" w:rsidP="002530EA">
      <w:pPr>
        <w:spacing w:line="360" w:lineRule="auto"/>
        <w:jc w:val="both"/>
        <w:rPr>
          <w:rFonts w:ascii="David" w:hAnsi="David"/>
          <w:rtl/>
        </w:rPr>
      </w:pPr>
    </w:p>
    <w:p w14:paraId="09EC8AE7" w14:textId="77777777" w:rsidR="002530EA" w:rsidRPr="00622CE3" w:rsidRDefault="002530EA" w:rsidP="002530EA">
      <w:pPr>
        <w:spacing w:line="360" w:lineRule="auto"/>
        <w:jc w:val="both"/>
        <w:rPr>
          <w:rFonts w:ascii="David" w:hAnsi="David"/>
          <w:rtl/>
        </w:rPr>
      </w:pPr>
      <w:r w:rsidRPr="00622CE3">
        <w:rPr>
          <w:rFonts w:ascii="David" w:hAnsi="David"/>
          <w:rtl/>
        </w:rPr>
        <w:t>מקובלת עליי עמדת המאשימה כי העונש שעליו הוסכם במסגרת הסדר הטיעון מצוי ברף הנמוך של רמת הענישה הנוהגת לגבי העבירות שבהן הורשע הנאשם. עם זאת, לנוכח מכלול השיקולים האמורים, בהתחשב בנסיבות שבהן נעברו העבירות ובנסיבותיו של הנאשם, נמצא כי העונש המוסכם הולם את העבירות שבהן הורשע הנאשם ועל כן מצאתי לנכון לכבד את הסדר הטיעון.</w:t>
      </w:r>
    </w:p>
    <w:p w14:paraId="5299885F" w14:textId="77777777" w:rsidR="002530EA" w:rsidRPr="00622CE3" w:rsidRDefault="002530EA" w:rsidP="002530EA">
      <w:pPr>
        <w:spacing w:line="360" w:lineRule="auto"/>
        <w:jc w:val="both"/>
        <w:rPr>
          <w:rFonts w:ascii="David" w:hAnsi="David"/>
          <w:rtl/>
        </w:rPr>
      </w:pPr>
    </w:p>
    <w:p w14:paraId="67119726" w14:textId="77777777" w:rsidR="002530EA" w:rsidRPr="00622CE3" w:rsidRDefault="002530EA" w:rsidP="002530EA">
      <w:pPr>
        <w:spacing w:line="360" w:lineRule="auto"/>
        <w:jc w:val="both"/>
        <w:rPr>
          <w:rFonts w:ascii="David" w:hAnsi="David"/>
          <w:rtl/>
        </w:rPr>
      </w:pPr>
      <w:r w:rsidRPr="00622CE3">
        <w:rPr>
          <w:rFonts w:ascii="David" w:hAnsi="David"/>
          <w:rtl/>
        </w:rPr>
        <w:t>14.</w:t>
      </w:r>
      <w:r w:rsidRPr="00622CE3">
        <w:rPr>
          <w:rFonts w:ascii="David" w:hAnsi="David"/>
          <w:rtl/>
        </w:rPr>
        <w:tab/>
        <w:t xml:space="preserve">נותרה אפוא, מחלוקת הצדדים בשאלה אם עונש המאסר שיושת על הנאשם במסגרת ההליך הנדון יחפוף את עונש המאסר שבו הוא נושא עתה. מחלוקת זו מעלה שתי שאלות הכרוכות זו בזו. </w:t>
      </w:r>
      <w:r w:rsidRPr="00622CE3">
        <w:rPr>
          <w:rFonts w:ascii="David" w:hAnsi="David"/>
          <w:b/>
          <w:bCs/>
          <w:u w:val="single"/>
          <w:rtl/>
        </w:rPr>
        <w:t>הראשונה</w:t>
      </w:r>
      <w:r w:rsidRPr="00622CE3">
        <w:rPr>
          <w:rFonts w:ascii="David" w:hAnsi="David"/>
          <w:rtl/>
        </w:rPr>
        <w:t xml:space="preserve">, עניינה השאלה אם מתקופת המאסר שיושת בשל ההליך הנדון ניתן לנכות את תקופת המעצר, בעוד שבפועל, במהלך רובה ככולה של תקופה זו נשא הנאשם בעונש המאסר שהושת עליו בהליך אחר. </w:t>
      </w:r>
      <w:r w:rsidRPr="00622CE3">
        <w:rPr>
          <w:rFonts w:ascii="David" w:hAnsi="David"/>
          <w:b/>
          <w:bCs/>
          <w:u w:val="single"/>
          <w:rtl/>
        </w:rPr>
        <w:t>השנייה</w:t>
      </w:r>
      <w:r w:rsidRPr="00622CE3">
        <w:rPr>
          <w:rFonts w:ascii="David" w:hAnsi="David"/>
          <w:rtl/>
        </w:rPr>
        <w:t>, עניינה משך חפיפת שני העונשים ואם יש להורות כי יחפפו ז</w:t>
      </w:r>
      <w:r>
        <w:rPr>
          <w:rFonts w:ascii="David" w:hAnsi="David"/>
          <w:rtl/>
        </w:rPr>
        <w:t xml:space="preserve">ה את זה, באופן מלא או חלקי, או </w:t>
      </w:r>
      <w:r>
        <w:rPr>
          <w:rFonts w:ascii="David" w:hAnsi="David" w:hint="cs"/>
          <w:rtl/>
        </w:rPr>
        <w:t xml:space="preserve">ייצטברו </w:t>
      </w:r>
      <w:r w:rsidRPr="00622CE3">
        <w:rPr>
          <w:rFonts w:ascii="David" w:hAnsi="David"/>
          <w:rtl/>
        </w:rPr>
        <w:t>זה לזה.</w:t>
      </w:r>
    </w:p>
    <w:p w14:paraId="28E08990" w14:textId="77777777" w:rsidR="002530EA" w:rsidRPr="00622CE3" w:rsidRDefault="002530EA" w:rsidP="002530EA">
      <w:pPr>
        <w:spacing w:line="360" w:lineRule="auto"/>
        <w:jc w:val="both"/>
        <w:rPr>
          <w:rFonts w:ascii="David" w:hAnsi="David"/>
          <w:rtl/>
        </w:rPr>
      </w:pPr>
    </w:p>
    <w:p w14:paraId="490A1D59" w14:textId="77777777" w:rsidR="002530EA" w:rsidRPr="00622CE3" w:rsidRDefault="002530EA" w:rsidP="002530EA">
      <w:pPr>
        <w:spacing w:line="360" w:lineRule="auto"/>
        <w:jc w:val="both"/>
        <w:rPr>
          <w:rFonts w:ascii="David" w:hAnsi="David"/>
          <w:rtl/>
        </w:rPr>
      </w:pPr>
      <w:r w:rsidRPr="00622CE3">
        <w:rPr>
          <w:rFonts w:ascii="David" w:hAnsi="David"/>
          <w:rtl/>
        </w:rPr>
        <w:t>15.</w:t>
      </w:r>
      <w:r w:rsidRPr="00622CE3">
        <w:rPr>
          <w:rFonts w:ascii="David" w:hAnsi="David"/>
          <w:rtl/>
        </w:rPr>
        <w:tab/>
        <w:t xml:space="preserve">ככלל, התשובה </w:t>
      </w:r>
      <w:r w:rsidRPr="00622CE3">
        <w:rPr>
          <w:rFonts w:ascii="David" w:hAnsi="David"/>
          <w:b/>
          <w:bCs/>
          <w:u w:val="single"/>
          <w:rtl/>
        </w:rPr>
        <w:t>לשאלה הראשונה</w:t>
      </w:r>
      <w:r w:rsidRPr="00622CE3">
        <w:rPr>
          <w:rFonts w:ascii="David" w:hAnsi="David"/>
          <w:rtl/>
        </w:rPr>
        <w:t xml:space="preserve"> היא כי אם תקופת מעצרו של הנאשם הייתה במהלך תקופה שבה נשא עונש מאסר בפועל בשל הליך אחר, כי אז ימי המעצר כלל לא ינוכו מתקופת המאסר.</w:t>
      </w:r>
    </w:p>
    <w:p w14:paraId="2414B67A" w14:textId="77777777" w:rsidR="002530EA" w:rsidRPr="00622CE3" w:rsidRDefault="002530EA" w:rsidP="002530EA">
      <w:pPr>
        <w:spacing w:line="360" w:lineRule="auto"/>
        <w:jc w:val="both"/>
        <w:rPr>
          <w:rFonts w:ascii="David" w:hAnsi="David"/>
          <w:rtl/>
        </w:rPr>
      </w:pPr>
    </w:p>
    <w:p w14:paraId="49A92350" w14:textId="77777777" w:rsidR="002530EA" w:rsidRPr="00622CE3" w:rsidRDefault="002530EA" w:rsidP="002530EA">
      <w:pPr>
        <w:spacing w:line="360" w:lineRule="auto"/>
        <w:jc w:val="both"/>
        <w:rPr>
          <w:rFonts w:ascii="David" w:hAnsi="David"/>
          <w:rtl/>
        </w:rPr>
      </w:pPr>
      <w:r w:rsidRPr="00622CE3">
        <w:rPr>
          <w:rFonts w:ascii="David" w:hAnsi="David"/>
          <w:rtl/>
        </w:rPr>
        <w:t xml:space="preserve">כאמור לעניין זה, </w:t>
      </w:r>
      <w:r w:rsidRPr="00622CE3">
        <w:rPr>
          <w:rFonts w:ascii="David" w:hAnsi="David"/>
          <w:b/>
          <w:bCs/>
          <w:rtl/>
        </w:rPr>
        <w:t>"ברירת המחדל כאשר ימי המעצר הם בחופף למאסר אחר, היא כי ימי המעצר לא ינוכו מן העונש"</w:t>
      </w:r>
      <w:r w:rsidRPr="00622CE3">
        <w:rPr>
          <w:rFonts w:ascii="David" w:hAnsi="David"/>
          <w:rtl/>
        </w:rPr>
        <w:t xml:space="preserve"> (</w:t>
      </w:r>
      <w:hyperlink r:id="rId42" w:history="1">
        <w:r w:rsidR="00CF39E3" w:rsidRPr="00CF39E3">
          <w:rPr>
            <w:rFonts w:ascii="David" w:hAnsi="David"/>
            <w:color w:val="0000FF"/>
            <w:u w:val="single"/>
            <w:rtl/>
          </w:rPr>
          <w:t>ע"פ 2805/15</w:t>
        </w:r>
      </w:hyperlink>
      <w:r w:rsidRPr="00622CE3">
        <w:rPr>
          <w:rFonts w:ascii="David" w:hAnsi="David"/>
          <w:rtl/>
        </w:rPr>
        <w:t xml:space="preserve"> </w:t>
      </w:r>
      <w:r w:rsidRPr="00622CE3">
        <w:rPr>
          <w:rFonts w:ascii="David" w:hAnsi="David"/>
          <w:b/>
          <w:bCs/>
          <w:rtl/>
        </w:rPr>
        <w:t>סגייר נ' מדינת ישראל</w:t>
      </w:r>
      <w:r w:rsidRPr="00622CE3">
        <w:rPr>
          <w:rFonts w:ascii="David" w:hAnsi="David"/>
          <w:rtl/>
        </w:rPr>
        <w:t xml:space="preserve"> </w:t>
      </w:r>
      <w:r w:rsidR="00B91F2A" w:rsidRPr="00B91F2A">
        <w:rPr>
          <w:sz w:val="22"/>
          <w:rtl/>
        </w:rPr>
        <w:t xml:space="preserve">[פורסם בנבו] </w:t>
      </w:r>
      <w:r w:rsidRPr="00622CE3">
        <w:rPr>
          <w:rFonts w:ascii="David" w:hAnsi="David"/>
          <w:rtl/>
        </w:rPr>
        <w:t xml:space="preserve">(24.7.2017), כבוד השופטת ע' ברון, פסקה 19). הכלל הוא אפוא, </w:t>
      </w:r>
      <w:r w:rsidRPr="00622CE3">
        <w:rPr>
          <w:rFonts w:ascii="David" w:hAnsi="David"/>
          <w:b/>
          <w:bCs/>
          <w:rtl/>
        </w:rPr>
        <w:t>"כי אין למנות את תקופת המאסר שנגזרה על המערער בתיק הנוסף כימי מעצר שיש לנכותם מתקופת המאסר שנגזרה עליו בתיק דנן, שכן משמעות הדבר היא ניכוי של תקופת המאסר שנגזרה עליו בתיק הנוסף מתקופת המאסר שנגזרה עליו בתיק דנן ולכך אין כל הצדקה</w:t>
      </w:r>
      <w:r w:rsidRPr="00622CE3">
        <w:rPr>
          <w:rFonts w:ascii="David" w:hAnsi="David"/>
          <w:rtl/>
        </w:rPr>
        <w:t xml:space="preserve"> (ראו והשוו: </w:t>
      </w:r>
      <w:hyperlink r:id="rId43" w:history="1">
        <w:r w:rsidR="00B91F2A" w:rsidRPr="00B91F2A">
          <w:rPr>
            <w:rStyle w:val="Hyperlink"/>
            <w:rFonts w:ascii="David" w:hAnsi="David"/>
            <w:rtl/>
          </w:rPr>
          <w:t>ע"פ 1094/07</w:t>
        </w:r>
      </w:hyperlink>
      <w:r w:rsidRPr="00622CE3">
        <w:rPr>
          <w:rFonts w:ascii="David" w:hAnsi="David"/>
          <w:rtl/>
        </w:rPr>
        <w:t xml:space="preserve"> </w:t>
      </w:r>
      <w:r w:rsidRPr="00622CE3">
        <w:rPr>
          <w:rFonts w:ascii="David" w:hAnsi="David"/>
          <w:b/>
          <w:bCs/>
          <w:rtl/>
        </w:rPr>
        <w:t>דדון נ' מדינת ישראל</w:t>
      </w:r>
      <w:r w:rsidRPr="00622CE3">
        <w:rPr>
          <w:rFonts w:ascii="David" w:hAnsi="David"/>
          <w:rtl/>
        </w:rPr>
        <w:t xml:space="preserve">, </w:t>
      </w:r>
      <w:r w:rsidR="00B91F2A" w:rsidRPr="00B91F2A">
        <w:rPr>
          <w:sz w:val="22"/>
          <w:rtl/>
        </w:rPr>
        <w:t xml:space="preserve">[פורסם בנבו] </w:t>
      </w:r>
      <w:r w:rsidRPr="00622CE3">
        <w:rPr>
          <w:rFonts w:ascii="David" w:hAnsi="David"/>
          <w:rtl/>
        </w:rPr>
        <w:t xml:space="preserve">פסקה כ"ט (3.7.2008); </w:t>
      </w:r>
      <w:hyperlink r:id="rId44" w:history="1">
        <w:r w:rsidR="00CF39E3" w:rsidRPr="00CF39E3">
          <w:rPr>
            <w:rFonts w:ascii="David" w:hAnsi="David"/>
            <w:color w:val="0000FF"/>
            <w:u w:val="single"/>
            <w:rtl/>
          </w:rPr>
          <w:t>ע"פ 645/09</w:t>
        </w:r>
      </w:hyperlink>
      <w:r w:rsidRPr="00622CE3">
        <w:rPr>
          <w:rFonts w:ascii="David" w:hAnsi="David"/>
          <w:rtl/>
        </w:rPr>
        <w:t xml:space="preserve"> </w:t>
      </w:r>
      <w:r w:rsidRPr="00622CE3">
        <w:rPr>
          <w:rFonts w:ascii="David" w:hAnsi="David"/>
          <w:b/>
          <w:bCs/>
          <w:rtl/>
        </w:rPr>
        <w:t>טאייב נ' מדינת ישראל</w:t>
      </w:r>
      <w:r w:rsidRPr="00622CE3">
        <w:rPr>
          <w:rFonts w:ascii="David" w:hAnsi="David"/>
          <w:rtl/>
        </w:rPr>
        <w:t xml:space="preserve">, </w:t>
      </w:r>
      <w:r w:rsidR="00B91F2A" w:rsidRPr="00B91F2A">
        <w:rPr>
          <w:sz w:val="22"/>
          <w:rtl/>
        </w:rPr>
        <w:t xml:space="preserve">[פורסם בנבו] </w:t>
      </w:r>
      <w:r w:rsidRPr="00622CE3">
        <w:rPr>
          <w:rFonts w:ascii="David" w:hAnsi="David"/>
          <w:rtl/>
        </w:rPr>
        <w:t>פסקה 22 (13.1.2020))</w:t>
      </w:r>
      <w:r w:rsidRPr="00622CE3">
        <w:rPr>
          <w:rFonts w:ascii="David" w:hAnsi="David"/>
          <w:b/>
          <w:bCs/>
          <w:rtl/>
        </w:rPr>
        <w:t>"</w:t>
      </w:r>
      <w:r w:rsidRPr="00622CE3">
        <w:rPr>
          <w:rFonts w:ascii="David" w:hAnsi="David"/>
          <w:rtl/>
        </w:rPr>
        <w:t xml:space="preserve"> (</w:t>
      </w:r>
      <w:hyperlink r:id="rId45" w:history="1">
        <w:r w:rsidR="00CF39E3" w:rsidRPr="00CF39E3">
          <w:rPr>
            <w:rFonts w:ascii="David" w:hAnsi="David"/>
            <w:color w:val="0000FF"/>
            <w:u w:val="single"/>
            <w:rtl/>
          </w:rPr>
          <w:t>ע"פ 889/15</w:t>
        </w:r>
      </w:hyperlink>
      <w:r w:rsidRPr="00622CE3">
        <w:rPr>
          <w:rFonts w:ascii="David" w:hAnsi="David"/>
          <w:rtl/>
        </w:rPr>
        <w:t xml:space="preserve"> </w:t>
      </w:r>
      <w:r w:rsidRPr="00622CE3">
        <w:rPr>
          <w:rFonts w:ascii="David" w:hAnsi="David"/>
          <w:b/>
          <w:bCs/>
          <w:rtl/>
        </w:rPr>
        <w:t>מהרט נ' מדינת ישראל</w:t>
      </w:r>
      <w:r w:rsidRPr="00622CE3">
        <w:rPr>
          <w:rFonts w:ascii="David" w:hAnsi="David"/>
          <w:rtl/>
        </w:rPr>
        <w:t xml:space="preserve"> </w:t>
      </w:r>
      <w:r w:rsidR="00B91F2A" w:rsidRPr="00B91F2A">
        <w:rPr>
          <w:sz w:val="22"/>
          <w:rtl/>
        </w:rPr>
        <w:t xml:space="preserve">[פורסם בנבו] </w:t>
      </w:r>
      <w:r w:rsidRPr="00622CE3">
        <w:rPr>
          <w:rFonts w:ascii="David" w:hAnsi="David"/>
          <w:rtl/>
        </w:rPr>
        <w:t>(15.5.2016), כבוד השופטת (כתוארה אז) א' חיות, פסקה 9).</w:t>
      </w:r>
    </w:p>
    <w:p w14:paraId="78BC885B" w14:textId="77777777" w:rsidR="002530EA" w:rsidRPr="00622CE3" w:rsidRDefault="002530EA" w:rsidP="002530EA">
      <w:pPr>
        <w:spacing w:line="360" w:lineRule="auto"/>
        <w:jc w:val="both"/>
        <w:rPr>
          <w:rFonts w:ascii="David" w:hAnsi="David"/>
          <w:rtl/>
        </w:rPr>
      </w:pPr>
    </w:p>
    <w:p w14:paraId="73C7F228" w14:textId="77777777" w:rsidR="002530EA" w:rsidRPr="00622CE3" w:rsidRDefault="002530EA" w:rsidP="002530EA">
      <w:pPr>
        <w:spacing w:line="360" w:lineRule="auto"/>
        <w:jc w:val="both"/>
        <w:rPr>
          <w:rFonts w:ascii="David" w:hAnsi="David"/>
          <w:rtl/>
        </w:rPr>
      </w:pPr>
      <w:r w:rsidRPr="00622CE3">
        <w:rPr>
          <w:rFonts w:ascii="David" w:hAnsi="David"/>
          <w:rtl/>
        </w:rPr>
        <w:t>16.</w:t>
      </w:r>
      <w:r w:rsidRPr="00622CE3">
        <w:rPr>
          <w:rFonts w:ascii="David" w:hAnsi="David"/>
          <w:rtl/>
        </w:rPr>
        <w:tab/>
        <w:t xml:space="preserve">בדומה, אף התשובה </w:t>
      </w:r>
      <w:r w:rsidRPr="00622CE3">
        <w:rPr>
          <w:rFonts w:ascii="David" w:hAnsi="David"/>
          <w:b/>
          <w:bCs/>
          <w:u w:val="single"/>
          <w:rtl/>
        </w:rPr>
        <w:t>לשאלה השנייה</w:t>
      </w:r>
      <w:r w:rsidRPr="00622CE3">
        <w:rPr>
          <w:rFonts w:ascii="David" w:hAnsi="David"/>
          <w:rtl/>
        </w:rPr>
        <w:t xml:space="preserve"> היא כי בדרך כלל נאשם יישא בעונשים שהושתו עליו בשל הליכים שונים במצטבר זה לזה וכי אין לחפוף את שני העונשים, שאם לא כן, יימצא כי נענש רק בשל הליך אחד, גם אם הורשע בשל מספר הליכים שונים.</w:t>
      </w:r>
    </w:p>
    <w:p w14:paraId="58A1E656" w14:textId="77777777" w:rsidR="002530EA" w:rsidRPr="00622CE3" w:rsidRDefault="002530EA" w:rsidP="002530EA">
      <w:pPr>
        <w:spacing w:line="360" w:lineRule="auto"/>
        <w:jc w:val="both"/>
        <w:rPr>
          <w:rFonts w:ascii="David" w:hAnsi="David"/>
          <w:rtl/>
        </w:rPr>
      </w:pPr>
    </w:p>
    <w:p w14:paraId="560E4A2E" w14:textId="77777777" w:rsidR="002530EA" w:rsidRPr="00622CE3" w:rsidRDefault="002530EA" w:rsidP="002530EA">
      <w:pPr>
        <w:spacing w:line="360" w:lineRule="auto"/>
        <w:jc w:val="both"/>
        <w:rPr>
          <w:rFonts w:ascii="David" w:hAnsi="David"/>
          <w:rtl/>
        </w:rPr>
      </w:pPr>
      <w:r w:rsidRPr="00622CE3">
        <w:rPr>
          <w:rFonts w:ascii="David" w:hAnsi="David"/>
          <w:rtl/>
        </w:rPr>
        <w:t xml:space="preserve">אף אם בעבר היה נהוג לחפוף עונשים שהושתו בשל הליכים שונים, כבר לפני שנים רבות הדגיש בית המשפט העליון כי </w:t>
      </w:r>
      <w:r w:rsidRPr="00622CE3">
        <w:rPr>
          <w:rFonts w:ascii="David" w:hAnsi="David"/>
          <w:b/>
          <w:bCs/>
          <w:rtl/>
        </w:rPr>
        <w:t>"ההסדרים הנורמטיביים בסוגיה עברו בשנים האחרונות שינוי מובהק לעבר התרחקות מתפיסה של עונשים חופפים כברירת מחדל, והענקת מעמד בכורה לתפיסה הבוחנת אירועים עברייניים נפרדים כל אחד בפני עצמו, תוך הפעלת שק"ד פרטני באספקלריה של עקרון ההלימה, כעקרון מנחה"</w:t>
      </w:r>
      <w:r w:rsidRPr="00622CE3">
        <w:rPr>
          <w:rFonts w:ascii="David" w:hAnsi="David"/>
          <w:rtl/>
        </w:rPr>
        <w:t xml:space="preserve"> (</w:t>
      </w:r>
      <w:hyperlink r:id="rId46" w:history="1">
        <w:r w:rsidR="00CF39E3" w:rsidRPr="00CF39E3">
          <w:rPr>
            <w:rFonts w:ascii="David" w:hAnsi="David"/>
            <w:color w:val="0000FF"/>
            <w:u w:val="single"/>
            <w:rtl/>
          </w:rPr>
          <w:t>ע"פ 7907/14</w:t>
        </w:r>
      </w:hyperlink>
      <w:r w:rsidRPr="00622CE3">
        <w:rPr>
          <w:rFonts w:ascii="David" w:hAnsi="David"/>
          <w:rtl/>
        </w:rPr>
        <w:t xml:space="preserve"> </w:t>
      </w:r>
      <w:r w:rsidRPr="00622CE3">
        <w:rPr>
          <w:rFonts w:ascii="David" w:hAnsi="David"/>
          <w:b/>
          <w:bCs/>
          <w:rtl/>
        </w:rPr>
        <w:t>ואזנה נ' מדינת ישראל</w:t>
      </w:r>
      <w:r w:rsidRPr="00622CE3">
        <w:rPr>
          <w:rFonts w:ascii="David" w:hAnsi="David"/>
          <w:rtl/>
        </w:rPr>
        <w:t xml:space="preserve"> </w:t>
      </w:r>
      <w:r w:rsidR="00B91F2A" w:rsidRPr="00B91F2A">
        <w:rPr>
          <w:sz w:val="22"/>
          <w:rtl/>
        </w:rPr>
        <w:t xml:space="preserve">[פורסם בנבו] </w:t>
      </w:r>
      <w:r w:rsidRPr="00622CE3">
        <w:rPr>
          <w:rFonts w:ascii="David" w:hAnsi="David"/>
          <w:rtl/>
        </w:rPr>
        <w:t>(22.2.2015)‏‏, כבוד השופט מ' מזוז, פסקה 14 וכן פסקאות 18-14).</w:t>
      </w:r>
    </w:p>
    <w:p w14:paraId="7D40B7D9" w14:textId="77777777" w:rsidR="002530EA" w:rsidRPr="00622CE3" w:rsidRDefault="002530EA" w:rsidP="002530EA">
      <w:pPr>
        <w:spacing w:line="360" w:lineRule="auto"/>
        <w:jc w:val="both"/>
        <w:rPr>
          <w:rFonts w:ascii="David" w:hAnsi="David"/>
          <w:rtl/>
        </w:rPr>
      </w:pPr>
    </w:p>
    <w:p w14:paraId="36DA0AAD" w14:textId="77777777" w:rsidR="002530EA" w:rsidRPr="00622CE3" w:rsidRDefault="002530EA" w:rsidP="002530EA">
      <w:pPr>
        <w:spacing w:line="360" w:lineRule="auto"/>
        <w:jc w:val="both"/>
        <w:rPr>
          <w:rFonts w:ascii="David" w:hAnsi="David"/>
          <w:rtl/>
        </w:rPr>
      </w:pPr>
      <w:r w:rsidRPr="00622CE3">
        <w:rPr>
          <w:rFonts w:ascii="David" w:hAnsi="David"/>
          <w:rtl/>
        </w:rPr>
        <w:t xml:space="preserve">בהתאם לכך, בית המשפט העליון הדגיש לא אחת, לאמור: </w:t>
      </w:r>
      <w:r w:rsidRPr="00622CE3">
        <w:rPr>
          <w:rFonts w:ascii="David" w:hAnsi="David"/>
          <w:b/>
          <w:bCs/>
          <w:rtl/>
        </w:rPr>
        <w:t>"על פי פסיקת בית משפט זה, בהתאם לעיקרון ההלימה, בשלב גזירת דינו של עבריין, על בית המשפט לתת ביטוי עונשי לכל מעשה שבו הוא הורשע. על כן, הוראה לפיה העונשים ירוצו במצטבר היא הכלל, והחלטה על חפיפת העונשים... היא זו המצריכה הנמקה מיוחדת</w:t>
      </w:r>
      <w:r w:rsidRPr="00622CE3">
        <w:rPr>
          <w:rFonts w:ascii="David" w:hAnsi="David"/>
          <w:rtl/>
        </w:rPr>
        <w:t xml:space="preserve"> (</w:t>
      </w:r>
      <w:hyperlink r:id="rId47" w:history="1">
        <w:r w:rsidR="00CF39E3" w:rsidRPr="00CF39E3">
          <w:rPr>
            <w:rFonts w:ascii="David" w:hAnsi="David"/>
            <w:color w:val="0000FF"/>
            <w:u w:val="single"/>
            <w:rtl/>
          </w:rPr>
          <w:t>ע"פ 8686/15</w:t>
        </w:r>
      </w:hyperlink>
      <w:r w:rsidRPr="00622CE3">
        <w:rPr>
          <w:rFonts w:ascii="David" w:hAnsi="David"/>
          <w:rtl/>
        </w:rPr>
        <w:t xml:space="preserve"> </w:t>
      </w:r>
      <w:r w:rsidRPr="00622CE3">
        <w:rPr>
          <w:rFonts w:ascii="David" w:hAnsi="David"/>
          <w:b/>
          <w:bCs/>
          <w:rtl/>
        </w:rPr>
        <w:t>גריבוב נ' מדינת ישראל</w:t>
      </w:r>
      <w:r w:rsidRPr="00622CE3">
        <w:rPr>
          <w:rFonts w:ascii="David" w:hAnsi="David"/>
          <w:rtl/>
        </w:rPr>
        <w:t xml:space="preserve">, </w:t>
      </w:r>
      <w:r w:rsidR="00B91F2A" w:rsidRPr="00B91F2A">
        <w:rPr>
          <w:sz w:val="22"/>
          <w:rtl/>
        </w:rPr>
        <w:t xml:space="preserve">[פורסם בנבו] </w:t>
      </w:r>
      <w:r w:rsidRPr="00622CE3">
        <w:rPr>
          <w:rFonts w:ascii="David" w:hAnsi="David"/>
          <w:rtl/>
        </w:rPr>
        <w:t xml:space="preserve">פסקה 52 (3.10.2017); </w:t>
      </w:r>
      <w:hyperlink r:id="rId48" w:history="1">
        <w:r w:rsidR="00CF39E3" w:rsidRPr="00CF39E3">
          <w:rPr>
            <w:rFonts w:ascii="David" w:hAnsi="David"/>
            <w:color w:val="0000FF"/>
            <w:u w:val="single"/>
            <w:rtl/>
          </w:rPr>
          <w:t>ע"פ 4087/14</w:t>
        </w:r>
      </w:hyperlink>
      <w:r w:rsidRPr="00622CE3">
        <w:rPr>
          <w:rFonts w:ascii="David" w:hAnsi="David"/>
          <w:rtl/>
        </w:rPr>
        <w:t xml:space="preserve"> </w:t>
      </w:r>
      <w:r w:rsidRPr="00622CE3">
        <w:rPr>
          <w:rFonts w:ascii="David" w:hAnsi="David"/>
          <w:b/>
          <w:bCs/>
          <w:rtl/>
        </w:rPr>
        <w:t>סקורדוק נ' מדינת ישראל</w:t>
      </w:r>
      <w:r w:rsidRPr="00622CE3">
        <w:rPr>
          <w:rFonts w:ascii="David" w:hAnsi="David"/>
          <w:rtl/>
        </w:rPr>
        <w:t xml:space="preserve">, </w:t>
      </w:r>
      <w:r w:rsidR="00B91F2A" w:rsidRPr="00B91F2A">
        <w:rPr>
          <w:sz w:val="22"/>
          <w:rtl/>
        </w:rPr>
        <w:t xml:space="preserve">[פורסם בנבו] </w:t>
      </w:r>
      <w:r w:rsidRPr="00622CE3">
        <w:rPr>
          <w:rFonts w:ascii="David" w:hAnsi="David"/>
          <w:rtl/>
        </w:rPr>
        <w:t xml:space="preserve">פסקה 68 (5.1.2017); </w:t>
      </w:r>
      <w:hyperlink r:id="rId49" w:history="1">
        <w:r w:rsidR="00CF39E3" w:rsidRPr="00CF39E3">
          <w:rPr>
            <w:rFonts w:ascii="David" w:hAnsi="David"/>
            <w:color w:val="0000FF"/>
            <w:u w:val="single"/>
            <w:rtl/>
          </w:rPr>
          <w:t>ע"פ 7907/14</w:t>
        </w:r>
      </w:hyperlink>
      <w:r w:rsidRPr="00622CE3">
        <w:rPr>
          <w:rFonts w:ascii="David" w:hAnsi="David"/>
          <w:rtl/>
        </w:rPr>
        <w:t xml:space="preserve"> </w:t>
      </w:r>
      <w:r w:rsidRPr="00622CE3">
        <w:rPr>
          <w:rFonts w:ascii="David" w:hAnsi="David"/>
          <w:b/>
          <w:bCs/>
          <w:rtl/>
        </w:rPr>
        <w:t>ואזנה נ' מדינת ישראל</w:t>
      </w:r>
      <w:r w:rsidRPr="00622CE3">
        <w:rPr>
          <w:rFonts w:ascii="David" w:hAnsi="David"/>
          <w:rtl/>
        </w:rPr>
        <w:t xml:space="preserve">, </w:t>
      </w:r>
      <w:r w:rsidR="00B91F2A" w:rsidRPr="00B91F2A">
        <w:rPr>
          <w:sz w:val="22"/>
          <w:rtl/>
        </w:rPr>
        <w:t xml:space="preserve">[פורסם בנבו] </w:t>
      </w:r>
      <w:r w:rsidRPr="00622CE3">
        <w:rPr>
          <w:rFonts w:ascii="David" w:hAnsi="David"/>
          <w:rtl/>
        </w:rPr>
        <w:t>פסקאות 18-12 (22.2.2015))</w:t>
      </w:r>
      <w:r w:rsidRPr="00622CE3">
        <w:rPr>
          <w:rFonts w:ascii="David" w:hAnsi="David"/>
          <w:b/>
          <w:bCs/>
          <w:rtl/>
        </w:rPr>
        <w:t>"</w:t>
      </w:r>
      <w:r w:rsidRPr="00622CE3">
        <w:rPr>
          <w:rFonts w:ascii="David" w:hAnsi="David"/>
          <w:rtl/>
        </w:rPr>
        <w:t xml:space="preserve"> (</w:t>
      </w:r>
      <w:hyperlink r:id="rId50" w:history="1">
        <w:r w:rsidR="00CF39E3" w:rsidRPr="00CF39E3">
          <w:rPr>
            <w:rFonts w:ascii="David" w:hAnsi="David"/>
            <w:color w:val="0000FF"/>
            <w:u w:val="single"/>
            <w:rtl/>
          </w:rPr>
          <w:t>ע"פ 1900/18</w:t>
        </w:r>
      </w:hyperlink>
      <w:r w:rsidR="00CF39E3">
        <w:rPr>
          <w:rFonts w:ascii="David" w:hAnsi="David"/>
          <w:rtl/>
        </w:rPr>
        <w:t xml:space="preserve"> </w:t>
      </w:r>
      <w:r w:rsidRPr="00622CE3">
        <w:rPr>
          <w:rFonts w:ascii="David" w:hAnsi="David"/>
          <w:b/>
          <w:bCs/>
          <w:rtl/>
        </w:rPr>
        <w:t>ילמה נ' מדינת ישראל</w:t>
      </w:r>
      <w:r w:rsidR="00CF39E3">
        <w:rPr>
          <w:rFonts w:ascii="David" w:hAnsi="David"/>
          <w:rtl/>
        </w:rPr>
        <w:t xml:space="preserve"> </w:t>
      </w:r>
      <w:r w:rsidR="00B91F2A" w:rsidRPr="00B91F2A">
        <w:rPr>
          <w:sz w:val="22"/>
          <w:rtl/>
        </w:rPr>
        <w:t xml:space="preserve">[פורסם בנבו] </w:t>
      </w:r>
      <w:r w:rsidRPr="00622CE3">
        <w:rPr>
          <w:rFonts w:ascii="David" w:hAnsi="David"/>
          <w:rtl/>
        </w:rPr>
        <w:t xml:space="preserve">(6.10.2019)‏‏, כבוד השופט ד' מינץ, פסקה 16 (להלן – </w:t>
      </w:r>
      <w:r w:rsidRPr="00622CE3">
        <w:rPr>
          <w:rFonts w:ascii="David" w:hAnsi="David"/>
          <w:b/>
          <w:bCs/>
          <w:rtl/>
        </w:rPr>
        <w:t>עניין ילמה</w:t>
      </w:r>
      <w:r w:rsidRPr="00622CE3">
        <w:rPr>
          <w:rFonts w:ascii="David" w:hAnsi="David"/>
          <w:rtl/>
        </w:rPr>
        <w:t>)).</w:t>
      </w:r>
    </w:p>
    <w:p w14:paraId="65D858A6" w14:textId="77777777" w:rsidR="002530EA" w:rsidRPr="00622CE3" w:rsidRDefault="002530EA" w:rsidP="002530EA">
      <w:pPr>
        <w:spacing w:line="360" w:lineRule="auto"/>
        <w:jc w:val="both"/>
        <w:rPr>
          <w:rFonts w:ascii="David" w:hAnsi="David"/>
          <w:rtl/>
        </w:rPr>
      </w:pPr>
    </w:p>
    <w:p w14:paraId="37CDD549" w14:textId="77777777" w:rsidR="002530EA" w:rsidRPr="00622CE3" w:rsidRDefault="002530EA" w:rsidP="002530EA">
      <w:pPr>
        <w:spacing w:line="360" w:lineRule="auto"/>
        <w:jc w:val="both"/>
        <w:rPr>
          <w:rFonts w:ascii="David" w:hAnsi="David"/>
          <w:rtl/>
        </w:rPr>
      </w:pPr>
      <w:r w:rsidRPr="00622CE3">
        <w:rPr>
          <w:rFonts w:ascii="David" w:hAnsi="David"/>
          <w:rtl/>
        </w:rPr>
        <w:t xml:space="preserve">עם זאת, בית המשפט </w:t>
      </w:r>
      <w:r>
        <w:rPr>
          <w:rFonts w:ascii="David" w:hAnsi="David" w:hint="cs"/>
          <w:rtl/>
        </w:rPr>
        <w:t>הטעים</w:t>
      </w:r>
      <w:r w:rsidRPr="00622CE3">
        <w:rPr>
          <w:rFonts w:ascii="David" w:hAnsi="David"/>
          <w:rtl/>
        </w:rPr>
        <w:t xml:space="preserve"> כי </w:t>
      </w:r>
      <w:r w:rsidRPr="00622CE3">
        <w:rPr>
          <w:rFonts w:ascii="David" w:hAnsi="David"/>
          <w:b/>
          <w:bCs/>
          <w:rtl/>
        </w:rPr>
        <w:t>"הכרעה בסוגיה זו נעשית בראי נסיבותיו של כל מקרה, כאשר יש לתת את הדעת לשני שיקולים מרכזיים. השיקול הראשון – זיקתן של העבירות בהן הורשע הנאשם, כאשר זיקה חזקה עשויה להצדיק חפיפת העונשים. השיקול השני – מהותן וחומרתן של העבירות</w:t>
      </w:r>
      <w:r w:rsidRPr="00622CE3">
        <w:rPr>
          <w:rFonts w:ascii="David" w:hAnsi="David"/>
          <w:rtl/>
        </w:rPr>
        <w:t xml:space="preserve"> (</w:t>
      </w:r>
      <w:hyperlink r:id="rId51" w:history="1">
        <w:r w:rsidR="00CF39E3" w:rsidRPr="00CF39E3">
          <w:rPr>
            <w:rFonts w:ascii="David" w:hAnsi="David"/>
            <w:color w:val="0000FF"/>
            <w:u w:val="single"/>
            <w:rtl/>
          </w:rPr>
          <w:t>ע"פ 1707/08</w:t>
        </w:r>
      </w:hyperlink>
      <w:r w:rsidRPr="00622CE3">
        <w:rPr>
          <w:rFonts w:ascii="David" w:hAnsi="David"/>
          <w:rtl/>
        </w:rPr>
        <w:t xml:space="preserve"> </w:t>
      </w:r>
      <w:r w:rsidRPr="00622CE3">
        <w:rPr>
          <w:rFonts w:ascii="David" w:hAnsi="David"/>
          <w:b/>
          <w:bCs/>
          <w:rtl/>
        </w:rPr>
        <w:t>אריש נ' מדינת ישראל</w:t>
      </w:r>
      <w:r w:rsidRPr="00622CE3">
        <w:rPr>
          <w:rFonts w:ascii="David" w:hAnsi="David"/>
          <w:rtl/>
        </w:rPr>
        <w:t xml:space="preserve">, </w:t>
      </w:r>
      <w:r w:rsidR="00B91F2A" w:rsidRPr="00B91F2A">
        <w:rPr>
          <w:sz w:val="22"/>
          <w:rtl/>
        </w:rPr>
        <w:t xml:space="preserve">[פורסם בנבו] </w:t>
      </w:r>
      <w:r w:rsidRPr="00622CE3">
        <w:rPr>
          <w:rFonts w:ascii="David" w:hAnsi="David"/>
          <w:rtl/>
        </w:rPr>
        <w:t xml:space="preserve">פסקה ל"ח (25.11.2008); </w:t>
      </w:r>
      <w:hyperlink r:id="rId52" w:history="1">
        <w:r w:rsidR="00CF39E3" w:rsidRPr="00CF39E3">
          <w:rPr>
            <w:rFonts w:ascii="David" w:hAnsi="David"/>
            <w:color w:val="0000FF"/>
            <w:u w:val="single"/>
            <w:rtl/>
          </w:rPr>
          <w:t>ע"פ 2134/12</w:t>
        </w:r>
      </w:hyperlink>
      <w:r w:rsidRPr="00622CE3">
        <w:rPr>
          <w:rFonts w:ascii="David" w:hAnsi="David"/>
          <w:rtl/>
        </w:rPr>
        <w:t xml:space="preserve"> </w:t>
      </w:r>
      <w:r w:rsidRPr="00622CE3">
        <w:rPr>
          <w:rFonts w:ascii="David" w:hAnsi="David"/>
          <w:b/>
          <w:bCs/>
          <w:rtl/>
        </w:rPr>
        <w:t>ליושצנקו נ' מדינת ישראל</w:t>
      </w:r>
      <w:r w:rsidRPr="00622CE3">
        <w:rPr>
          <w:rFonts w:ascii="David" w:hAnsi="David"/>
          <w:rtl/>
        </w:rPr>
        <w:t xml:space="preserve">, </w:t>
      </w:r>
      <w:r w:rsidR="00B91F2A" w:rsidRPr="00B91F2A">
        <w:rPr>
          <w:sz w:val="22"/>
          <w:rtl/>
        </w:rPr>
        <w:t xml:space="preserve">[פורסם בנבו] </w:t>
      </w:r>
      <w:r w:rsidRPr="00622CE3">
        <w:rPr>
          <w:rFonts w:ascii="David" w:hAnsi="David"/>
          <w:rtl/>
        </w:rPr>
        <w:t xml:space="preserve">פסקה 13 (27.8.2015) (להלן: עניין ליושצנקו)). </w:t>
      </w:r>
      <w:r w:rsidRPr="00622CE3">
        <w:rPr>
          <w:rFonts w:ascii="David" w:hAnsi="David"/>
          <w:b/>
          <w:bCs/>
          <w:rtl/>
        </w:rPr>
        <w:t>הרשעה של עבריין בעבירות חמורות... עשויה להצדיק ענישה מצטברת</w:t>
      </w:r>
      <w:r w:rsidRPr="00622CE3">
        <w:rPr>
          <w:rFonts w:ascii="David" w:hAnsi="David"/>
          <w:rtl/>
        </w:rPr>
        <w:t xml:space="preserve"> (</w:t>
      </w:r>
      <w:hyperlink r:id="rId53" w:history="1">
        <w:r w:rsidR="00CF39E3" w:rsidRPr="00CF39E3">
          <w:rPr>
            <w:rFonts w:ascii="David" w:hAnsi="David"/>
            <w:color w:val="0000FF"/>
            <w:u w:val="single"/>
            <w:rtl/>
          </w:rPr>
          <w:t>ע"פ 6535/01</w:t>
        </w:r>
      </w:hyperlink>
      <w:r w:rsidRPr="00622CE3">
        <w:rPr>
          <w:rFonts w:ascii="David" w:hAnsi="David"/>
          <w:rtl/>
        </w:rPr>
        <w:t xml:space="preserve"> </w:t>
      </w:r>
      <w:r w:rsidRPr="00622CE3">
        <w:rPr>
          <w:rFonts w:ascii="David" w:hAnsi="David"/>
          <w:b/>
          <w:bCs/>
          <w:rtl/>
        </w:rPr>
        <w:t>קוזירוב נ' מדינת ישראל</w:t>
      </w:r>
      <w:r w:rsidRPr="00622CE3">
        <w:rPr>
          <w:rFonts w:ascii="David" w:hAnsi="David"/>
          <w:rtl/>
        </w:rPr>
        <w:t xml:space="preserve">, פ"ד נז(3) 562, 571 (2003); עניין </w:t>
      </w:r>
      <w:r w:rsidRPr="00622CE3">
        <w:rPr>
          <w:rFonts w:ascii="David" w:hAnsi="David"/>
          <w:b/>
          <w:bCs/>
          <w:rtl/>
        </w:rPr>
        <w:t>שר</w:t>
      </w:r>
      <w:r w:rsidRPr="00622CE3">
        <w:rPr>
          <w:rFonts w:ascii="David" w:hAnsi="David"/>
          <w:rtl/>
        </w:rPr>
        <w:t xml:space="preserve">, בעמ' 477). </w:t>
      </w:r>
      <w:r w:rsidRPr="00622CE3">
        <w:rPr>
          <w:rFonts w:ascii="David" w:hAnsi="David"/>
          <w:b/>
          <w:bCs/>
          <w:rtl/>
        </w:rPr>
        <w:t>בנוסף לשיקולים אלו, בית המשפט רשאי להתחשב גם בנסיבותיו האישיות של נאשם, לרבות גילו, היעדר עבר פלילי, והאם הודה במעשים או הביע עליהם חרטה</w:t>
      </w:r>
      <w:r w:rsidRPr="00622CE3">
        <w:rPr>
          <w:rFonts w:ascii="David" w:hAnsi="David"/>
          <w:rtl/>
        </w:rPr>
        <w:t xml:space="preserve"> (עניין </w:t>
      </w:r>
      <w:r w:rsidRPr="00622CE3">
        <w:rPr>
          <w:rFonts w:ascii="David" w:hAnsi="David"/>
          <w:b/>
          <w:bCs/>
          <w:rtl/>
        </w:rPr>
        <w:t>ליושצנקו</w:t>
      </w:r>
      <w:r w:rsidRPr="00622CE3">
        <w:rPr>
          <w:rFonts w:ascii="David" w:hAnsi="David"/>
          <w:rtl/>
        </w:rPr>
        <w:t xml:space="preserve">; </w:t>
      </w:r>
      <w:hyperlink r:id="rId54" w:history="1">
        <w:r w:rsidR="00CF39E3" w:rsidRPr="00CF39E3">
          <w:rPr>
            <w:rFonts w:ascii="David" w:hAnsi="David"/>
            <w:color w:val="0000FF"/>
            <w:u w:val="single"/>
            <w:rtl/>
          </w:rPr>
          <w:t>ע"פ 9059/03</w:t>
        </w:r>
      </w:hyperlink>
      <w:r w:rsidRPr="00622CE3">
        <w:rPr>
          <w:rFonts w:ascii="David" w:hAnsi="David"/>
          <w:rtl/>
        </w:rPr>
        <w:t xml:space="preserve"> </w:t>
      </w:r>
      <w:r w:rsidRPr="00622CE3">
        <w:rPr>
          <w:rFonts w:ascii="David" w:hAnsi="David"/>
          <w:b/>
          <w:bCs/>
          <w:rtl/>
        </w:rPr>
        <w:t>יוסבשוילי נ' מדינת ישראל</w:t>
      </w:r>
      <w:r w:rsidRPr="00622CE3">
        <w:rPr>
          <w:rFonts w:ascii="David" w:hAnsi="David"/>
          <w:rtl/>
        </w:rPr>
        <w:t xml:space="preserve">, </w:t>
      </w:r>
      <w:r w:rsidR="00B91F2A" w:rsidRPr="00B91F2A">
        <w:rPr>
          <w:sz w:val="22"/>
          <w:rtl/>
        </w:rPr>
        <w:t xml:space="preserve">[פורסם בנבו] </w:t>
      </w:r>
      <w:r w:rsidRPr="00622CE3">
        <w:rPr>
          <w:rFonts w:ascii="David" w:hAnsi="David"/>
          <w:rtl/>
        </w:rPr>
        <w:t>פסקה 8 (21.3.2007))</w:t>
      </w:r>
      <w:r w:rsidRPr="00622CE3">
        <w:rPr>
          <w:rFonts w:ascii="David" w:hAnsi="David"/>
          <w:b/>
          <w:bCs/>
          <w:rtl/>
        </w:rPr>
        <w:t>"</w:t>
      </w:r>
      <w:r w:rsidRPr="00622CE3">
        <w:rPr>
          <w:rFonts w:ascii="David" w:hAnsi="David"/>
          <w:rtl/>
        </w:rPr>
        <w:t xml:space="preserve"> (</w:t>
      </w:r>
      <w:r w:rsidRPr="00622CE3">
        <w:rPr>
          <w:rFonts w:ascii="David" w:hAnsi="David"/>
          <w:b/>
          <w:bCs/>
          <w:rtl/>
        </w:rPr>
        <w:t>עניין ילמה</w:t>
      </w:r>
      <w:r w:rsidRPr="00622CE3">
        <w:rPr>
          <w:rFonts w:ascii="David" w:hAnsi="David"/>
          <w:rtl/>
        </w:rPr>
        <w:t>, שם).</w:t>
      </w:r>
    </w:p>
    <w:p w14:paraId="6E7C2A75" w14:textId="77777777" w:rsidR="002530EA" w:rsidRPr="00622CE3" w:rsidRDefault="002530EA" w:rsidP="002530EA">
      <w:pPr>
        <w:spacing w:line="360" w:lineRule="auto"/>
        <w:jc w:val="both"/>
        <w:rPr>
          <w:rFonts w:ascii="David" w:hAnsi="David"/>
          <w:rtl/>
        </w:rPr>
      </w:pPr>
    </w:p>
    <w:p w14:paraId="2C75BBA6" w14:textId="77777777" w:rsidR="002530EA" w:rsidRPr="00622CE3" w:rsidRDefault="002530EA" w:rsidP="002530EA">
      <w:pPr>
        <w:spacing w:line="360" w:lineRule="auto"/>
        <w:jc w:val="both"/>
        <w:rPr>
          <w:rFonts w:ascii="David" w:hAnsi="David"/>
          <w:rtl/>
        </w:rPr>
      </w:pPr>
      <w:r w:rsidRPr="00622CE3">
        <w:rPr>
          <w:rFonts w:ascii="David" w:hAnsi="David"/>
          <w:rtl/>
        </w:rPr>
        <w:t>17.</w:t>
      </w:r>
      <w:r w:rsidRPr="00622CE3">
        <w:rPr>
          <w:rFonts w:ascii="David" w:hAnsi="David"/>
          <w:rtl/>
        </w:rPr>
        <w:tab/>
        <w:t xml:space="preserve">כאמור לעיל, הנאשם עצור בקשר להליך הנדון מאז יום 7.12.2020 וכעבור שלושה-עשר יום, ביום 20.12.2020, החל לשאת את עונש שמונה-עשר חודשי המאסר שהושתו עליו במסגרת ההליך האחר. בהתאם לכך, רק שלושה עשר יום אינם חופפים את מאסרו בשל ההליך האחר. </w:t>
      </w:r>
    </w:p>
    <w:p w14:paraId="3BAC8D92" w14:textId="77777777" w:rsidR="002530EA" w:rsidRPr="00622CE3" w:rsidRDefault="002530EA" w:rsidP="002530EA">
      <w:pPr>
        <w:spacing w:line="360" w:lineRule="auto"/>
        <w:jc w:val="both"/>
        <w:rPr>
          <w:rFonts w:ascii="David" w:hAnsi="David"/>
          <w:rtl/>
        </w:rPr>
      </w:pPr>
    </w:p>
    <w:p w14:paraId="65BFF1B4" w14:textId="77777777" w:rsidR="002530EA" w:rsidRPr="00622CE3" w:rsidRDefault="002530EA" w:rsidP="002530EA">
      <w:pPr>
        <w:spacing w:line="360" w:lineRule="auto"/>
        <w:jc w:val="both"/>
        <w:rPr>
          <w:rFonts w:ascii="David" w:hAnsi="David"/>
          <w:rtl/>
        </w:rPr>
      </w:pPr>
      <w:r w:rsidRPr="00622CE3">
        <w:rPr>
          <w:rFonts w:ascii="David" w:hAnsi="David"/>
          <w:rtl/>
        </w:rPr>
        <w:t>על-פי הכללים שעליהם עמדנו, נכון היה לנכות רק 13 יום מעונש המאסר שיושת על הנאשם בקשר להליך הנדון. בדומה, הכלל הוא כי על שני העונשים להצטבר זה לזה. עם זאת, בנסיבות העניין הגעתי לכלל מסקנה כי יהיה זה נכון להורות על חפיפה חלקית ולא מבוטלת של שני העונשים. זאת בהתחשב בשיקולים שמנה בית המשפט ב</w:t>
      </w:r>
      <w:r w:rsidRPr="00622CE3">
        <w:rPr>
          <w:rFonts w:ascii="David" w:hAnsi="David"/>
          <w:b/>
          <w:bCs/>
          <w:rtl/>
        </w:rPr>
        <w:t xml:space="preserve">עניין ילמה </w:t>
      </w:r>
      <w:r w:rsidRPr="00622CE3">
        <w:rPr>
          <w:rFonts w:ascii="David" w:hAnsi="David"/>
          <w:rtl/>
        </w:rPr>
        <w:t xml:space="preserve">ובכלל זה, נסיבותיו האישיות של הנאשם, גילו, הודאתו בעבירות והצער שהביע. כך גם לאחר שניתן משקל לשיקולים הרבים שהובאו לעיל, אשר לפיהם ראיתי לנכון לכבד את הסדר הטיעון. </w:t>
      </w:r>
      <w:r>
        <w:rPr>
          <w:rFonts w:ascii="David" w:hAnsi="David" w:hint="cs"/>
          <w:rtl/>
        </w:rPr>
        <w:t xml:space="preserve">בנוסף לכך, ניתן </w:t>
      </w:r>
      <w:r w:rsidRPr="00622CE3">
        <w:rPr>
          <w:rFonts w:ascii="David" w:hAnsi="David"/>
          <w:rtl/>
        </w:rPr>
        <w:t xml:space="preserve">משקל של ממש </w:t>
      </w:r>
      <w:r>
        <w:rPr>
          <w:rFonts w:ascii="David" w:hAnsi="David" w:hint="cs"/>
          <w:rtl/>
        </w:rPr>
        <w:t>לעובדה</w:t>
      </w:r>
      <w:r w:rsidRPr="00622CE3">
        <w:rPr>
          <w:rFonts w:ascii="David" w:hAnsi="David"/>
          <w:rtl/>
        </w:rPr>
        <w:t xml:space="preserve"> </w:t>
      </w:r>
      <w:r>
        <w:rPr>
          <w:rFonts w:ascii="David" w:hAnsi="David" w:hint="cs"/>
          <w:rtl/>
        </w:rPr>
        <w:t>ש</w:t>
      </w:r>
      <w:r w:rsidRPr="00622CE3">
        <w:rPr>
          <w:rFonts w:ascii="David" w:hAnsi="David"/>
          <w:rtl/>
        </w:rPr>
        <w:t>עמדת המאשימה היא כי בנסיבות העניין ישנה הצדקה להורות על חפיפה חלקית של שני עונשי המאסר, זה שבו נושא הנאשם עתה וזה שיושת עליו במסגרת ההליך הנדון.</w:t>
      </w:r>
    </w:p>
    <w:p w14:paraId="0FA8742A" w14:textId="77777777" w:rsidR="002530EA" w:rsidRPr="00622CE3" w:rsidRDefault="002530EA" w:rsidP="002530EA">
      <w:pPr>
        <w:spacing w:line="360" w:lineRule="auto"/>
        <w:jc w:val="both"/>
        <w:rPr>
          <w:rFonts w:ascii="David" w:hAnsi="David"/>
          <w:rtl/>
        </w:rPr>
      </w:pPr>
    </w:p>
    <w:p w14:paraId="4C7D26B4" w14:textId="77777777" w:rsidR="002530EA" w:rsidRPr="00622CE3" w:rsidRDefault="002530EA" w:rsidP="002530EA">
      <w:pPr>
        <w:spacing w:line="360" w:lineRule="auto"/>
        <w:jc w:val="both"/>
        <w:rPr>
          <w:rFonts w:ascii="David" w:hAnsi="David"/>
          <w:rtl/>
        </w:rPr>
      </w:pPr>
      <w:r w:rsidRPr="00622CE3">
        <w:rPr>
          <w:rFonts w:ascii="David" w:hAnsi="David"/>
          <w:rtl/>
        </w:rPr>
        <w:t>בהתאם לכך, מתוך עשרים וארבעה חודשי המאסר שיושתו על הנאשם בקשר להליך הנדון, ארבעה עשר מתוכם יחפפו את העונש שה</w:t>
      </w:r>
      <w:r>
        <w:rPr>
          <w:rFonts w:ascii="David" w:hAnsi="David" w:hint="cs"/>
          <w:rtl/>
        </w:rPr>
        <w:t>וא</w:t>
      </w:r>
      <w:r w:rsidRPr="00622CE3">
        <w:rPr>
          <w:rFonts w:ascii="David" w:hAnsi="David"/>
          <w:rtl/>
        </w:rPr>
        <w:t xml:space="preserve"> נושא עתה בשל ההליך האחר ו</w:t>
      </w:r>
      <w:r>
        <w:rPr>
          <w:rFonts w:ascii="David" w:hAnsi="David" w:hint="cs"/>
          <w:rtl/>
        </w:rPr>
        <w:t xml:space="preserve">עשרה חודשים יצטברו </w:t>
      </w:r>
      <w:r w:rsidRPr="00622CE3">
        <w:rPr>
          <w:rFonts w:ascii="David" w:hAnsi="David"/>
          <w:rtl/>
        </w:rPr>
        <w:t>לע</w:t>
      </w:r>
      <w:r>
        <w:rPr>
          <w:rFonts w:ascii="David" w:hAnsi="David" w:hint="cs"/>
          <w:rtl/>
        </w:rPr>
        <w:t>ו</w:t>
      </w:r>
      <w:r w:rsidRPr="00622CE3">
        <w:rPr>
          <w:rFonts w:ascii="David" w:hAnsi="David"/>
          <w:rtl/>
        </w:rPr>
        <w:t>נש</w:t>
      </w:r>
      <w:r>
        <w:rPr>
          <w:rFonts w:ascii="David" w:hAnsi="David" w:hint="cs"/>
          <w:rtl/>
        </w:rPr>
        <w:t xml:space="preserve"> שהושת</w:t>
      </w:r>
      <w:r w:rsidRPr="00622CE3">
        <w:rPr>
          <w:rFonts w:ascii="David" w:hAnsi="David"/>
          <w:rtl/>
        </w:rPr>
        <w:t xml:space="preserve"> בשל ההליך האחר.</w:t>
      </w:r>
    </w:p>
    <w:p w14:paraId="7842B11D" w14:textId="77777777" w:rsidR="002530EA" w:rsidRPr="00622CE3" w:rsidRDefault="002530EA" w:rsidP="002530EA">
      <w:pPr>
        <w:spacing w:line="360" w:lineRule="auto"/>
        <w:jc w:val="both"/>
        <w:rPr>
          <w:rFonts w:ascii="David" w:hAnsi="David"/>
          <w:rtl/>
        </w:rPr>
      </w:pPr>
    </w:p>
    <w:p w14:paraId="31918AB1" w14:textId="77777777" w:rsidR="002530EA" w:rsidRPr="00622CE3" w:rsidRDefault="002530EA" w:rsidP="002530EA">
      <w:pPr>
        <w:spacing w:line="360" w:lineRule="auto"/>
        <w:jc w:val="both"/>
        <w:rPr>
          <w:rFonts w:ascii="David" w:hAnsi="David"/>
          <w:b/>
          <w:bCs/>
          <w:u w:val="single"/>
          <w:rtl/>
        </w:rPr>
      </w:pPr>
      <w:r w:rsidRPr="00622CE3">
        <w:rPr>
          <w:rFonts w:ascii="David" w:hAnsi="David"/>
          <w:b/>
          <w:bCs/>
          <w:u w:val="single"/>
          <w:rtl/>
        </w:rPr>
        <w:t>סיכום גזר הדין</w:t>
      </w:r>
    </w:p>
    <w:p w14:paraId="3782642B" w14:textId="77777777" w:rsidR="002530EA" w:rsidRPr="00622CE3" w:rsidRDefault="002530EA" w:rsidP="002530EA">
      <w:pPr>
        <w:spacing w:line="360" w:lineRule="auto"/>
        <w:jc w:val="both"/>
        <w:rPr>
          <w:rFonts w:ascii="David" w:hAnsi="David"/>
          <w:sz w:val="16"/>
          <w:szCs w:val="16"/>
          <w:rtl/>
        </w:rPr>
      </w:pPr>
    </w:p>
    <w:p w14:paraId="2049A47C" w14:textId="77777777" w:rsidR="002530EA" w:rsidRPr="00622CE3" w:rsidRDefault="002530EA" w:rsidP="002530EA">
      <w:pPr>
        <w:spacing w:line="360" w:lineRule="auto"/>
        <w:jc w:val="both"/>
        <w:rPr>
          <w:rFonts w:ascii="David" w:hAnsi="David"/>
          <w:rtl/>
        </w:rPr>
      </w:pPr>
      <w:r w:rsidRPr="00622CE3">
        <w:rPr>
          <w:rFonts w:ascii="David" w:hAnsi="David"/>
          <w:rtl/>
        </w:rPr>
        <w:t>18.</w:t>
      </w:r>
      <w:r w:rsidRPr="00622CE3">
        <w:rPr>
          <w:rFonts w:ascii="David" w:hAnsi="David"/>
          <w:rtl/>
        </w:rPr>
        <w:tab/>
        <w:t>בהתאם לכל האמור, עונשו של הנאשם יהיה כלהלן.</w:t>
      </w:r>
    </w:p>
    <w:p w14:paraId="4437DAE0" w14:textId="77777777" w:rsidR="002530EA" w:rsidRPr="00622CE3" w:rsidRDefault="002530EA" w:rsidP="002530EA">
      <w:pPr>
        <w:spacing w:line="360" w:lineRule="auto"/>
        <w:jc w:val="both"/>
        <w:rPr>
          <w:rFonts w:ascii="David" w:hAnsi="David"/>
          <w:rtl/>
        </w:rPr>
      </w:pPr>
    </w:p>
    <w:p w14:paraId="2DD49533" w14:textId="77777777" w:rsidR="002530EA" w:rsidRPr="00622CE3" w:rsidRDefault="002530EA" w:rsidP="002530EA">
      <w:pPr>
        <w:spacing w:line="360" w:lineRule="auto"/>
        <w:jc w:val="both"/>
        <w:rPr>
          <w:rFonts w:ascii="David" w:hAnsi="David"/>
          <w:rtl/>
        </w:rPr>
      </w:pPr>
      <w:r w:rsidRPr="00622CE3">
        <w:rPr>
          <w:rFonts w:ascii="David" w:hAnsi="David"/>
          <w:rtl/>
        </w:rPr>
        <w:t>א.</w:t>
      </w:r>
      <w:r w:rsidRPr="00622CE3">
        <w:rPr>
          <w:rFonts w:ascii="David" w:hAnsi="David"/>
          <w:rtl/>
        </w:rPr>
        <w:tab/>
        <w:t>מאסר בפ</w:t>
      </w:r>
      <w:r>
        <w:rPr>
          <w:rFonts w:ascii="David" w:hAnsi="David"/>
          <w:rtl/>
        </w:rPr>
        <w:t>ועל למשך עשרים וארבעה (24) חודש</w:t>
      </w:r>
      <w:r>
        <w:rPr>
          <w:rFonts w:ascii="David" w:hAnsi="David" w:hint="cs"/>
          <w:rtl/>
        </w:rPr>
        <w:t xml:space="preserve">. </w:t>
      </w:r>
    </w:p>
    <w:p w14:paraId="4F6C867D" w14:textId="77777777" w:rsidR="002530EA" w:rsidRPr="00622CE3" w:rsidRDefault="002530EA" w:rsidP="002530EA">
      <w:pPr>
        <w:spacing w:line="360" w:lineRule="auto"/>
        <w:jc w:val="both"/>
        <w:rPr>
          <w:rFonts w:ascii="David" w:hAnsi="David"/>
          <w:sz w:val="16"/>
          <w:szCs w:val="16"/>
          <w:rtl/>
        </w:rPr>
      </w:pPr>
    </w:p>
    <w:p w14:paraId="117055C2" w14:textId="77777777" w:rsidR="002530EA" w:rsidRPr="00622CE3" w:rsidRDefault="002530EA" w:rsidP="002530EA">
      <w:pPr>
        <w:spacing w:line="360" w:lineRule="auto"/>
        <w:ind w:left="720" w:hanging="720"/>
        <w:jc w:val="both"/>
        <w:rPr>
          <w:rFonts w:ascii="David" w:hAnsi="David"/>
          <w:rtl/>
        </w:rPr>
      </w:pPr>
      <w:r>
        <w:rPr>
          <w:rFonts w:ascii="David" w:hAnsi="David"/>
          <w:rtl/>
        </w:rPr>
        <w:tab/>
      </w:r>
      <w:r w:rsidRPr="00622CE3">
        <w:rPr>
          <w:rFonts w:ascii="David" w:hAnsi="David"/>
          <w:rtl/>
        </w:rPr>
        <w:t>מתוך תקופה זו, ארבעה עשר (14) חודש יחפפו את עונש המאסר שבו נושא הנאשם עתה ועשרה (10) חודשים יצטברו לעונש המאסר שבו הוא נושא עתה. כמו כן, מתקופת מאסרו בקשר להליך הנדון תנוכה תקופת המעצר מיום 7.12.2020 ועד יום 20.12.2020 (מיום מעצרו בקשר להליך הנדון עד המועד שבו החל לשאת בעונש המאסר שהוא נושא עתה בשל ההליך האחר). במקרה של סתירה לרישומי שב"ס, יהיה זה על-פי רישומי שב"ס.</w:t>
      </w:r>
    </w:p>
    <w:p w14:paraId="1D96BFFB" w14:textId="77777777" w:rsidR="002530EA" w:rsidRPr="00622CE3" w:rsidRDefault="002530EA" w:rsidP="002530EA">
      <w:pPr>
        <w:spacing w:line="360" w:lineRule="auto"/>
        <w:jc w:val="both"/>
        <w:rPr>
          <w:rFonts w:ascii="David" w:hAnsi="David"/>
          <w:sz w:val="16"/>
          <w:szCs w:val="16"/>
          <w:rtl/>
        </w:rPr>
      </w:pPr>
    </w:p>
    <w:p w14:paraId="3B4FC51E" w14:textId="77777777" w:rsidR="002530EA" w:rsidRPr="00622CE3" w:rsidRDefault="002530EA" w:rsidP="002530EA">
      <w:pPr>
        <w:spacing w:line="360" w:lineRule="auto"/>
        <w:ind w:left="720" w:hanging="720"/>
        <w:jc w:val="both"/>
        <w:rPr>
          <w:rFonts w:ascii="David" w:hAnsi="David"/>
          <w:rtl/>
        </w:rPr>
      </w:pPr>
      <w:r w:rsidRPr="00622CE3">
        <w:rPr>
          <w:rFonts w:ascii="David" w:hAnsi="David"/>
          <w:rtl/>
        </w:rPr>
        <w:t>ב.</w:t>
      </w:r>
      <w:r w:rsidRPr="00622CE3">
        <w:rPr>
          <w:rFonts w:ascii="David" w:hAnsi="David"/>
          <w:rtl/>
        </w:rPr>
        <w:tab/>
        <w:t>מאסר מותנה למשך ארבעה חודשים. הנאשם יישא עונש זה אם יעבור תוך שלוש שנים מיום שחרורו מן המאסר עבירת אלימות או עבירת נשק מסוג פשע או ניסיון לעבור עבירה כאמור.</w:t>
      </w:r>
    </w:p>
    <w:p w14:paraId="7E49EDEE" w14:textId="77777777" w:rsidR="002530EA" w:rsidRPr="00622CE3" w:rsidRDefault="002530EA" w:rsidP="002530EA">
      <w:pPr>
        <w:spacing w:line="360" w:lineRule="auto"/>
        <w:ind w:left="720"/>
        <w:jc w:val="both"/>
        <w:rPr>
          <w:rFonts w:ascii="David" w:hAnsi="David"/>
          <w:sz w:val="16"/>
          <w:szCs w:val="16"/>
          <w:rtl/>
        </w:rPr>
      </w:pPr>
    </w:p>
    <w:p w14:paraId="7539C216" w14:textId="77777777" w:rsidR="002530EA" w:rsidRPr="00622CE3" w:rsidRDefault="002530EA" w:rsidP="002530EA">
      <w:pPr>
        <w:spacing w:line="360" w:lineRule="auto"/>
        <w:ind w:left="720" w:hanging="720"/>
        <w:jc w:val="both"/>
        <w:rPr>
          <w:rFonts w:ascii="David" w:hAnsi="David"/>
          <w:rtl/>
        </w:rPr>
      </w:pPr>
      <w:r w:rsidRPr="00622CE3">
        <w:rPr>
          <w:rFonts w:ascii="David" w:hAnsi="David"/>
          <w:rtl/>
        </w:rPr>
        <w:t>ג.</w:t>
      </w:r>
      <w:r w:rsidRPr="00622CE3">
        <w:rPr>
          <w:rFonts w:ascii="David" w:hAnsi="David"/>
          <w:rtl/>
        </w:rPr>
        <w:tab/>
        <w:t>מאסר מותנה למשך חודשיים. הנאשם יישא עונש זה אם יעבור תוך שלוש שנים מיום שחרורו מן המאסר עבירת אלימות או עבירת נשק מסוג עוון או ניסיון לעבור עבירה כאמור או עבירת איומים.</w:t>
      </w:r>
    </w:p>
    <w:p w14:paraId="43D7C54C" w14:textId="77777777" w:rsidR="002530EA" w:rsidRPr="00CC7B38" w:rsidRDefault="002530EA" w:rsidP="002530EA">
      <w:pPr>
        <w:spacing w:line="360" w:lineRule="auto"/>
        <w:jc w:val="both"/>
        <w:rPr>
          <w:rFonts w:ascii="David" w:hAnsi="David"/>
          <w:sz w:val="18"/>
          <w:szCs w:val="18"/>
          <w:rtl/>
        </w:rPr>
      </w:pPr>
    </w:p>
    <w:p w14:paraId="47B8BF76" w14:textId="77777777" w:rsidR="002530EA" w:rsidRDefault="002530EA" w:rsidP="002530EA">
      <w:pPr>
        <w:jc w:val="both"/>
        <w:rPr>
          <w:rFonts w:ascii="David" w:hAnsi="David" w:hint="cs"/>
          <w:b/>
          <w:bCs/>
          <w:rtl/>
        </w:rPr>
      </w:pPr>
      <w:r w:rsidRPr="00D2310F">
        <w:rPr>
          <w:rFonts w:ascii="David" w:hAnsi="David"/>
          <w:b/>
          <w:bCs/>
          <w:rtl/>
        </w:rPr>
        <w:t>זכות ערעור לבית המשפט העליון תוך ארבעים וחמישה יום.</w:t>
      </w:r>
    </w:p>
    <w:p w14:paraId="1595FD51" w14:textId="77777777" w:rsidR="007F528F" w:rsidRDefault="007F528F" w:rsidP="002530EA">
      <w:pPr>
        <w:jc w:val="both"/>
        <w:rPr>
          <w:rFonts w:ascii="David" w:hAnsi="David" w:hint="cs"/>
          <w:b/>
          <w:bCs/>
          <w:rtl/>
        </w:rPr>
      </w:pPr>
    </w:p>
    <w:p w14:paraId="3623D209" w14:textId="77777777" w:rsidR="007F528F" w:rsidRPr="00D2310F" w:rsidRDefault="007F528F" w:rsidP="002530EA">
      <w:pPr>
        <w:jc w:val="both"/>
        <w:rPr>
          <w:rFonts w:ascii="David" w:hAnsi="David" w:hint="cs"/>
          <w:b/>
          <w:bCs/>
          <w:rtl/>
        </w:rPr>
      </w:pPr>
      <w:bookmarkStart w:id="7" w:name="Nitan"/>
      <w:r w:rsidRPr="00CF39E3">
        <w:rPr>
          <w:rFonts w:ascii="David" w:hAnsi="David"/>
          <w:color w:val="FFFFFF"/>
          <w:sz w:val="2"/>
          <w:szCs w:val="2"/>
          <w:rtl/>
        </w:rPr>
        <w:t>54678313</w:t>
      </w:r>
      <w:r>
        <w:rPr>
          <w:rFonts w:ascii="David" w:hAnsi="David"/>
          <w:rtl/>
        </w:rPr>
        <w:t xml:space="preserve">ניתן היום, כ"ז בכסלו </w:t>
      </w:r>
      <w:bookmarkEnd w:id="7"/>
      <w:r>
        <w:rPr>
          <w:rFonts w:ascii="David" w:hAnsi="David" w:hint="cs"/>
          <w:rtl/>
        </w:rPr>
        <w:t>ה</w:t>
      </w:r>
      <w:r w:rsidRPr="00D2310F">
        <w:rPr>
          <w:rFonts w:ascii="David" w:hAnsi="David"/>
          <w:rtl/>
        </w:rPr>
        <w:t xml:space="preserve">תשפ"ב, </w:t>
      </w:r>
      <w:r>
        <w:rPr>
          <w:rFonts w:ascii="David" w:hAnsi="David" w:hint="cs"/>
          <w:rtl/>
        </w:rPr>
        <w:t>1 בדצמבר</w:t>
      </w:r>
      <w:r w:rsidRPr="00D2310F">
        <w:rPr>
          <w:rFonts w:ascii="David" w:hAnsi="David"/>
          <w:rtl/>
        </w:rPr>
        <w:t xml:space="preserve"> 2021, ב</w:t>
      </w:r>
      <w:r>
        <w:rPr>
          <w:rFonts w:ascii="David" w:hAnsi="David" w:hint="cs"/>
          <w:rtl/>
        </w:rPr>
        <w:t xml:space="preserve">מעמד הנאשם ובא-כוחו ובא-כוח המאשימה </w:t>
      </w:r>
      <w:r>
        <w:rPr>
          <w:rFonts w:ascii="David" w:hAnsi="David"/>
          <w:rtl/>
        </w:rPr>
        <w:t>כאמור בפרוטוקול הדיון מהיום.</w:t>
      </w:r>
    </w:p>
    <w:p w14:paraId="173D734C" w14:textId="77777777" w:rsidR="002530EA" w:rsidRPr="00CC7B38" w:rsidRDefault="002530EA" w:rsidP="002530EA">
      <w:pPr>
        <w:jc w:val="both"/>
        <w:rPr>
          <w:rFonts w:ascii="David" w:hAnsi="David"/>
          <w:sz w:val="14"/>
          <w:szCs w:val="14"/>
          <w:rtl/>
        </w:rPr>
      </w:pPr>
    </w:p>
    <w:p w14:paraId="2B7CDDC9" w14:textId="77777777" w:rsidR="002530EA" w:rsidRDefault="00CF39E3" w:rsidP="002530EA">
      <w:pPr>
        <w:jc w:val="both"/>
        <w:rPr>
          <w:rFonts w:ascii="David" w:hAnsi="David" w:hint="cs"/>
          <w:color w:val="FFFFFF"/>
          <w:sz w:val="2"/>
          <w:szCs w:val="2"/>
          <w:rtl/>
        </w:rPr>
      </w:pPr>
      <w:r w:rsidRPr="00CF39E3">
        <w:rPr>
          <w:rFonts w:ascii="David" w:hAnsi="David"/>
          <w:color w:val="FFFFFF"/>
          <w:sz w:val="2"/>
          <w:szCs w:val="2"/>
          <w:rtl/>
        </w:rPr>
        <w:t>5129371</w:t>
      </w:r>
    </w:p>
    <w:p w14:paraId="7055442E" w14:textId="77777777" w:rsidR="007F528F" w:rsidRPr="00CF39E3" w:rsidRDefault="007F528F" w:rsidP="002530EA">
      <w:pPr>
        <w:jc w:val="both"/>
        <w:rPr>
          <w:rFonts w:ascii="David" w:hAnsi="David" w:hint="cs"/>
          <w:color w:val="FFFFFF"/>
          <w:sz w:val="2"/>
          <w:szCs w:val="2"/>
          <w:rtl/>
        </w:rPr>
      </w:pPr>
    </w:p>
    <w:tbl>
      <w:tblPr>
        <w:bidiVisual/>
        <w:tblW w:w="0" w:type="auto"/>
        <w:jc w:val="right"/>
        <w:tblLook w:val="01E0" w:firstRow="1" w:lastRow="1" w:firstColumn="1" w:lastColumn="1" w:noHBand="0" w:noVBand="0"/>
      </w:tblPr>
      <w:tblGrid>
        <w:gridCol w:w="8028"/>
      </w:tblGrid>
      <w:tr w:rsidR="002530EA" w14:paraId="440F814B" w14:textId="77777777" w:rsidTr="007F528F">
        <w:trPr>
          <w:jc w:val="right"/>
        </w:trPr>
        <w:tc>
          <w:tcPr>
            <w:tcW w:w="8028" w:type="dxa"/>
            <w:tcBorders>
              <w:top w:val="nil"/>
              <w:left w:val="nil"/>
              <w:bottom w:val="single" w:sz="4" w:space="0" w:color="auto"/>
              <w:right w:val="nil"/>
            </w:tcBorders>
            <w:shd w:val="clear" w:color="auto" w:fill="auto"/>
            <w:vAlign w:val="center"/>
          </w:tcPr>
          <w:p w14:paraId="12258296" w14:textId="77777777" w:rsidR="002530EA" w:rsidRPr="002530EA" w:rsidRDefault="002530EA" w:rsidP="00CF39E3">
            <w:pPr>
              <w:spacing w:before="40" w:after="40"/>
              <w:jc w:val="center"/>
              <w:rPr>
                <w:rFonts w:ascii="Courier New" w:hAnsi="Courier New"/>
                <w:b/>
                <w:bCs/>
                <w:rtl/>
              </w:rPr>
            </w:pPr>
          </w:p>
        </w:tc>
      </w:tr>
      <w:tr w:rsidR="002530EA" w14:paraId="28AF15A3" w14:textId="77777777" w:rsidTr="007F528F">
        <w:trPr>
          <w:jc w:val="right"/>
        </w:trPr>
        <w:tc>
          <w:tcPr>
            <w:tcW w:w="8028" w:type="dxa"/>
            <w:tcBorders>
              <w:top w:val="single" w:sz="4" w:space="0" w:color="auto"/>
              <w:left w:val="nil"/>
              <w:bottom w:val="nil"/>
              <w:right w:val="nil"/>
            </w:tcBorders>
            <w:shd w:val="clear" w:color="auto" w:fill="auto"/>
          </w:tcPr>
          <w:p w14:paraId="21DFFB0E" w14:textId="77777777" w:rsidR="002530EA" w:rsidRPr="002530EA" w:rsidRDefault="002530EA" w:rsidP="002530EA">
            <w:pPr>
              <w:pStyle w:val="3"/>
              <w:spacing w:before="40" w:after="40" w:line="240" w:lineRule="auto"/>
              <w:jc w:val="center"/>
              <w:rPr>
                <w:sz w:val="28"/>
                <w:rtl/>
              </w:rPr>
            </w:pPr>
            <w:r w:rsidRPr="002530EA">
              <w:rPr>
                <w:rFonts w:hint="cs"/>
                <w:sz w:val="28"/>
                <w:rtl/>
              </w:rPr>
              <w:t>תמר בר-אשר, שופטת</w:t>
            </w:r>
          </w:p>
        </w:tc>
      </w:tr>
    </w:tbl>
    <w:p w14:paraId="5FDDE7FA" w14:textId="77777777" w:rsidR="002530EA" w:rsidRPr="00FF37E8" w:rsidRDefault="002530EA" w:rsidP="002530EA">
      <w:pPr>
        <w:rPr>
          <w:rFonts w:ascii="David" w:hAnsi="David"/>
          <w:rtl/>
        </w:rPr>
      </w:pPr>
    </w:p>
    <w:p w14:paraId="5F1952E3" w14:textId="77777777" w:rsidR="000A778F" w:rsidRPr="00CF39E3" w:rsidRDefault="000A778F" w:rsidP="00CF39E3">
      <w:pPr>
        <w:keepNext/>
        <w:rPr>
          <w:rFonts w:ascii="David" w:hAnsi="David"/>
          <w:color w:val="000000"/>
          <w:sz w:val="22"/>
          <w:szCs w:val="22"/>
          <w:rtl/>
        </w:rPr>
      </w:pPr>
    </w:p>
    <w:p w14:paraId="698DABF9" w14:textId="77777777" w:rsidR="00CF39E3" w:rsidRPr="00CF39E3" w:rsidRDefault="00CF39E3" w:rsidP="00CF39E3">
      <w:pPr>
        <w:keepNext/>
        <w:rPr>
          <w:rFonts w:ascii="David" w:hAnsi="David"/>
          <w:color w:val="000000"/>
          <w:sz w:val="22"/>
          <w:szCs w:val="22"/>
          <w:rtl/>
        </w:rPr>
      </w:pPr>
      <w:r w:rsidRPr="00CF39E3">
        <w:rPr>
          <w:rFonts w:ascii="David" w:hAnsi="David"/>
          <w:color w:val="000000"/>
          <w:sz w:val="22"/>
          <w:szCs w:val="22"/>
          <w:rtl/>
        </w:rPr>
        <w:t>תמר בר אשר 54678313</w:t>
      </w:r>
    </w:p>
    <w:p w14:paraId="7B0B63AB" w14:textId="77777777" w:rsidR="00CF39E3" w:rsidRDefault="00CF39E3" w:rsidP="00CF39E3">
      <w:r w:rsidRPr="00CF39E3">
        <w:rPr>
          <w:color w:val="000000"/>
          <w:rtl/>
        </w:rPr>
        <w:t>נוסח מסמך זה כפוף לשינויי ניסוח ועריכה</w:t>
      </w:r>
    </w:p>
    <w:p w14:paraId="7EFB8CC1" w14:textId="77777777" w:rsidR="00CF39E3" w:rsidRDefault="00CF39E3" w:rsidP="00CF39E3">
      <w:pPr>
        <w:rPr>
          <w:rtl/>
        </w:rPr>
      </w:pPr>
    </w:p>
    <w:p w14:paraId="1353CF36" w14:textId="77777777" w:rsidR="00CF39E3" w:rsidRDefault="00CF39E3" w:rsidP="00CF39E3">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11411147" w14:textId="77777777" w:rsidR="00CF39E3" w:rsidRPr="00CF39E3" w:rsidRDefault="00CF39E3" w:rsidP="00CF39E3">
      <w:pPr>
        <w:jc w:val="center"/>
        <w:rPr>
          <w:color w:val="0000FF"/>
          <w:u w:val="single"/>
        </w:rPr>
      </w:pPr>
    </w:p>
    <w:sectPr w:rsidR="00CF39E3" w:rsidRPr="00CF39E3" w:rsidSect="00CF39E3">
      <w:headerReference w:type="even" r:id="rId56"/>
      <w:headerReference w:type="default" r:id="rId57"/>
      <w:footerReference w:type="even" r:id="rId58"/>
      <w:footerReference w:type="default" r:id="rId59"/>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78021" w14:textId="77777777" w:rsidR="002F53B7" w:rsidRDefault="002F53B7" w:rsidP="00717B49">
      <w:r>
        <w:separator/>
      </w:r>
    </w:p>
  </w:endnote>
  <w:endnote w:type="continuationSeparator" w:id="0">
    <w:p w14:paraId="398C9DC3" w14:textId="77777777" w:rsidR="002F53B7" w:rsidRDefault="002F53B7" w:rsidP="0071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7C892" w14:textId="77777777" w:rsidR="00CF39E3" w:rsidRDefault="00CF39E3" w:rsidP="00CF39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46656D" w14:textId="77777777" w:rsidR="00E87495" w:rsidRPr="00CF39E3" w:rsidRDefault="00CF39E3" w:rsidP="00CF39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15CD1" w14:textId="77777777" w:rsidR="00CF39E3" w:rsidRDefault="00CF39E3" w:rsidP="00CF39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F66E8">
      <w:rPr>
        <w:rFonts w:ascii="FrankRuehl" w:hAnsi="FrankRuehl" w:cs="FrankRuehl"/>
        <w:noProof/>
        <w:rtl/>
      </w:rPr>
      <w:t>1</w:t>
    </w:r>
    <w:r>
      <w:rPr>
        <w:rFonts w:ascii="FrankRuehl" w:hAnsi="FrankRuehl" w:cs="FrankRuehl"/>
        <w:rtl/>
      </w:rPr>
      <w:fldChar w:fldCharType="end"/>
    </w:r>
  </w:p>
  <w:p w14:paraId="0D6298F8" w14:textId="77777777" w:rsidR="00E87495" w:rsidRPr="00CF39E3" w:rsidRDefault="00CF39E3" w:rsidP="00CF39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AFC55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5A9BB" w14:textId="77777777" w:rsidR="002F53B7" w:rsidRDefault="002F53B7" w:rsidP="00717B49">
      <w:r>
        <w:separator/>
      </w:r>
    </w:p>
  </w:footnote>
  <w:footnote w:type="continuationSeparator" w:id="0">
    <w:p w14:paraId="0C76C6C2" w14:textId="77777777" w:rsidR="002F53B7" w:rsidRDefault="002F53B7" w:rsidP="00717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54C40" w14:textId="77777777" w:rsidR="00CF39E3" w:rsidRPr="00CF39E3" w:rsidRDefault="00CF39E3" w:rsidP="00CF39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36371-12-20</w:t>
    </w:r>
    <w:r>
      <w:rPr>
        <w:rFonts w:ascii="David" w:hAnsi="David"/>
        <w:color w:val="000000"/>
        <w:sz w:val="22"/>
        <w:szCs w:val="22"/>
        <w:rtl/>
      </w:rPr>
      <w:tab/>
      <w:t xml:space="preserve"> מדינת ישראל נ' עבדאללה עלי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F31F6" w14:textId="77777777" w:rsidR="00CF39E3" w:rsidRPr="00CF39E3" w:rsidRDefault="00CF39E3" w:rsidP="00CF39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36371-12-20</w:t>
    </w:r>
    <w:r>
      <w:rPr>
        <w:rFonts w:ascii="David" w:hAnsi="David"/>
        <w:color w:val="000000"/>
        <w:sz w:val="22"/>
        <w:szCs w:val="22"/>
        <w:rtl/>
      </w:rPr>
      <w:tab/>
      <w:t xml:space="preserve"> מדינת ישראל נ' עבדאללה עלי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30EA"/>
    <w:rsid w:val="000A778F"/>
    <w:rsid w:val="001B5A3B"/>
    <w:rsid w:val="002530EA"/>
    <w:rsid w:val="002F53B7"/>
    <w:rsid w:val="00455B4E"/>
    <w:rsid w:val="00467160"/>
    <w:rsid w:val="00717B49"/>
    <w:rsid w:val="007F528F"/>
    <w:rsid w:val="00B91F2A"/>
    <w:rsid w:val="00C570BF"/>
    <w:rsid w:val="00CF39E3"/>
    <w:rsid w:val="00D473D0"/>
    <w:rsid w:val="00E87495"/>
    <w:rsid w:val="00EF6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B293F7"/>
  <w15:chartTrackingRefBased/>
  <w15:docId w15:val="{1E7FCECD-0EF6-4E03-9BEA-4E23CA2C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30EA"/>
    <w:pPr>
      <w:bidi/>
    </w:pPr>
    <w:rPr>
      <w:rFonts w:ascii="Times New Roman" w:eastAsia="Times New Roman" w:hAnsi="Times New Roman" w:cs="David"/>
      <w:sz w:val="24"/>
      <w:szCs w:val="24"/>
    </w:rPr>
  </w:style>
  <w:style w:type="paragraph" w:styleId="3">
    <w:name w:val="heading 3"/>
    <w:basedOn w:val="a"/>
    <w:next w:val="a"/>
    <w:link w:val="30"/>
    <w:qFormat/>
    <w:rsid w:val="002530EA"/>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2530EA"/>
    <w:rPr>
      <w:rFonts w:ascii="Times New Roman" w:eastAsia="Times New Roman" w:hAnsi="Times New Roman" w:cs="David"/>
      <w:b/>
      <w:bCs/>
      <w:noProof/>
      <w:sz w:val="20"/>
      <w:szCs w:val="24"/>
      <w:lang w:eastAsia="he-IL"/>
    </w:rPr>
  </w:style>
  <w:style w:type="paragraph" w:styleId="a3">
    <w:name w:val="header"/>
    <w:basedOn w:val="a"/>
    <w:link w:val="a4"/>
    <w:rsid w:val="002530EA"/>
    <w:pPr>
      <w:tabs>
        <w:tab w:val="center" w:pos="4153"/>
        <w:tab w:val="right" w:pos="8306"/>
      </w:tabs>
    </w:pPr>
  </w:style>
  <w:style w:type="character" w:customStyle="1" w:styleId="a4">
    <w:name w:val="כותרת עליונה תו"/>
    <w:link w:val="a3"/>
    <w:rsid w:val="002530EA"/>
    <w:rPr>
      <w:rFonts w:ascii="Times New Roman" w:eastAsia="Times New Roman" w:hAnsi="Times New Roman" w:cs="David"/>
      <w:sz w:val="24"/>
      <w:szCs w:val="24"/>
    </w:rPr>
  </w:style>
  <w:style w:type="paragraph" w:styleId="a5">
    <w:name w:val="footer"/>
    <w:basedOn w:val="a"/>
    <w:link w:val="a6"/>
    <w:rsid w:val="002530EA"/>
    <w:pPr>
      <w:tabs>
        <w:tab w:val="center" w:pos="4153"/>
        <w:tab w:val="right" w:pos="8306"/>
      </w:tabs>
    </w:pPr>
  </w:style>
  <w:style w:type="character" w:customStyle="1" w:styleId="a6">
    <w:name w:val="כותרת תחתונה תו"/>
    <w:link w:val="a5"/>
    <w:rsid w:val="002530EA"/>
    <w:rPr>
      <w:rFonts w:ascii="Times New Roman" w:eastAsia="Times New Roman" w:hAnsi="Times New Roman" w:cs="David"/>
      <w:sz w:val="24"/>
      <w:szCs w:val="24"/>
    </w:rPr>
  </w:style>
  <w:style w:type="table" w:styleId="a7">
    <w:name w:val="Table Grid"/>
    <w:basedOn w:val="a1"/>
    <w:rsid w:val="002530E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530EA"/>
  </w:style>
  <w:style w:type="character" w:styleId="Hyperlink">
    <w:name w:val="Hyperlink"/>
    <w:rsid w:val="00CF39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b"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340a.b" TargetMode="External"/><Relationship Id="rId39" Type="http://schemas.openxmlformats.org/officeDocument/2006/relationships/hyperlink" Target="http://www.nevo.co.il/law/70301/192" TargetMode="External"/><Relationship Id="rId21" Type="http://schemas.openxmlformats.org/officeDocument/2006/relationships/hyperlink" Target="http://www.nevo.co.il/law/70301/334" TargetMode="External"/><Relationship Id="rId34" Type="http://schemas.openxmlformats.org/officeDocument/2006/relationships/hyperlink" Target="http://www.nevo.co.il/case/27313445" TargetMode="External"/><Relationship Id="rId42" Type="http://schemas.openxmlformats.org/officeDocument/2006/relationships/hyperlink" Target="http://www.nevo.co.il/case/20244332" TargetMode="External"/><Relationship Id="rId47" Type="http://schemas.openxmlformats.org/officeDocument/2006/relationships/hyperlink" Target="http://www.nevo.co.il/case/20798648" TargetMode="External"/><Relationship Id="rId50" Type="http://schemas.openxmlformats.org/officeDocument/2006/relationships/hyperlink" Target="http://www.nevo.co.il/case/23762313"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2813" TargetMode="External"/><Relationship Id="rId29" Type="http://schemas.openxmlformats.org/officeDocument/2006/relationships/hyperlink" Target="http://www.nevo.co.il/law/84255" TargetMode="External"/><Relationship Id="rId11" Type="http://schemas.openxmlformats.org/officeDocument/2006/relationships/hyperlink" Target="http://www.nevo.co.il/law/70301/335.a.1" TargetMode="External"/><Relationship Id="rId24" Type="http://schemas.openxmlformats.org/officeDocument/2006/relationships/hyperlink" Target="http://www.nevo.co.il/law/70301/29" TargetMode="External"/><Relationship Id="rId32" Type="http://schemas.openxmlformats.org/officeDocument/2006/relationships/hyperlink" Target="http://www.nevo.co.il/case/26464869" TargetMode="External"/><Relationship Id="rId37" Type="http://schemas.openxmlformats.org/officeDocument/2006/relationships/hyperlink" Target="http://www.nevo.co.il/law/70301/335.a.2" TargetMode="External"/><Relationship Id="rId40" Type="http://schemas.openxmlformats.org/officeDocument/2006/relationships/hyperlink" Target="http://www.nevo.co.il/case/26492590" TargetMode="External"/><Relationship Id="rId45" Type="http://schemas.openxmlformats.org/officeDocument/2006/relationships/hyperlink" Target="http://www.nevo.co.il/case/20010477" TargetMode="External"/><Relationship Id="rId53" Type="http://schemas.openxmlformats.org/officeDocument/2006/relationships/hyperlink" Target="http://www.nevo.co.il/case/6070684" TargetMode="External"/><Relationship Id="rId58"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hyperlink" Target="http://www.nevo.co.il/law/70301/29" TargetMode="External"/><Relationship Id="rId14" Type="http://schemas.openxmlformats.org/officeDocument/2006/relationships/hyperlink" Target="http://www.nevo.co.il/law/84255" TargetMode="External"/><Relationship Id="rId22" Type="http://schemas.openxmlformats.org/officeDocument/2006/relationships/hyperlink" Target="http://www.nevo.co.il/law/70301/335.a.1" TargetMode="External"/><Relationship Id="rId27" Type="http://schemas.openxmlformats.org/officeDocument/2006/relationships/hyperlink" Target="http://www.nevo.co.il/case/20809694" TargetMode="External"/><Relationship Id="rId30" Type="http://schemas.openxmlformats.org/officeDocument/2006/relationships/hyperlink" Target="http://www.nevo.co.il/law/72813/117.b.8" TargetMode="External"/><Relationship Id="rId35" Type="http://schemas.openxmlformats.org/officeDocument/2006/relationships/hyperlink" Target="http://www.nevo.co.il/law/70301/334" TargetMode="External"/><Relationship Id="rId43" Type="http://schemas.openxmlformats.org/officeDocument/2006/relationships/hyperlink" Target="http://www.nevo.co.il/case/5708670" TargetMode="External"/><Relationship Id="rId48" Type="http://schemas.openxmlformats.org/officeDocument/2006/relationships/hyperlink" Target="http://www.nevo.co.il/case/16987316" TargetMode="External"/><Relationship Id="rId56" Type="http://schemas.openxmlformats.org/officeDocument/2006/relationships/header" Target="header1.xml"/><Relationship Id="rId8" Type="http://schemas.openxmlformats.org/officeDocument/2006/relationships/hyperlink" Target="http://www.nevo.co.il/law/70301/144.a" TargetMode="External"/><Relationship Id="rId51" Type="http://schemas.openxmlformats.org/officeDocument/2006/relationships/hyperlink" Target="http://www.nevo.co.il/case/5748035" TargetMode="External"/><Relationship Id="rId3" Type="http://schemas.openxmlformats.org/officeDocument/2006/relationships/webSettings" Target="webSettings.xml"/><Relationship Id="rId12" Type="http://schemas.openxmlformats.org/officeDocument/2006/relationships/hyperlink" Target="http://www.nevo.co.il/law/70301/335.a.2" TargetMode="External"/><Relationship Id="rId17" Type="http://schemas.openxmlformats.org/officeDocument/2006/relationships/hyperlink" Target="http://www.nevo.co.il/law/72813/117.b.8" TargetMode="External"/><Relationship Id="rId25" Type="http://schemas.openxmlformats.org/officeDocument/2006/relationships/hyperlink" Target="http://www.nevo.co.il/law/70301/192" TargetMode="External"/><Relationship Id="rId33" Type="http://schemas.openxmlformats.org/officeDocument/2006/relationships/hyperlink" Target="http://www.nevo.co.il/case/26464870" TargetMode="External"/><Relationship Id="rId38" Type="http://schemas.openxmlformats.org/officeDocument/2006/relationships/hyperlink" Target="http://www.nevo.co.il/law/70301/29" TargetMode="External"/><Relationship Id="rId46" Type="http://schemas.openxmlformats.org/officeDocument/2006/relationships/hyperlink" Target="http://www.nevo.co.il/case/18654248" TargetMode="External"/><Relationship Id="rId59"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case/27603872" TargetMode="External"/><Relationship Id="rId54" Type="http://schemas.openxmlformats.org/officeDocument/2006/relationships/hyperlink" Target="http://www.nevo.co.il/case/613325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84255/220.5" TargetMode="External"/><Relationship Id="rId23" Type="http://schemas.openxmlformats.org/officeDocument/2006/relationships/hyperlink" Target="http://www.nevo.co.il/law/70301/335.a.2" TargetMode="External"/><Relationship Id="rId28" Type="http://schemas.openxmlformats.org/officeDocument/2006/relationships/hyperlink" Target="http://www.nevo.co.il/law/84255/220.5" TargetMode="External"/><Relationship Id="rId36" Type="http://schemas.openxmlformats.org/officeDocument/2006/relationships/hyperlink" Target="http://www.nevo.co.il/law/70301/335.a.1" TargetMode="External"/><Relationship Id="rId49" Type="http://schemas.openxmlformats.org/officeDocument/2006/relationships/hyperlink" Target="http://www.nevo.co.il/case/18654248" TargetMode="External"/><Relationship Id="rId57" Type="http://schemas.openxmlformats.org/officeDocument/2006/relationships/header" Target="header2.xml"/><Relationship Id="rId10" Type="http://schemas.openxmlformats.org/officeDocument/2006/relationships/hyperlink" Target="http://www.nevo.co.il/law/70301/334" TargetMode="External"/><Relationship Id="rId31" Type="http://schemas.openxmlformats.org/officeDocument/2006/relationships/hyperlink" Target="http://www.nevo.co.il/law/72813" TargetMode="External"/><Relationship Id="rId44" Type="http://schemas.openxmlformats.org/officeDocument/2006/relationships/hyperlink" Target="http://www.nevo.co.il/case/5716393" TargetMode="External"/><Relationship Id="rId52" Type="http://schemas.openxmlformats.org/officeDocument/2006/relationships/hyperlink" Target="http://www.nevo.co.il/case/5571207" TargetMode="External"/><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3714</Words>
  <Characters>18574</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22244</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3342451</vt:i4>
      </vt:variant>
      <vt:variant>
        <vt:i4>144</vt:i4>
      </vt:variant>
      <vt:variant>
        <vt:i4>0</vt:i4>
      </vt:variant>
      <vt:variant>
        <vt:i4>5</vt:i4>
      </vt:variant>
      <vt:variant>
        <vt:lpwstr>http://www.nevo.co.il/case/6133254</vt:lpwstr>
      </vt:variant>
      <vt:variant>
        <vt:lpwstr/>
      </vt:variant>
      <vt:variant>
        <vt:i4>3342460</vt:i4>
      </vt:variant>
      <vt:variant>
        <vt:i4>141</vt:i4>
      </vt:variant>
      <vt:variant>
        <vt:i4>0</vt:i4>
      </vt:variant>
      <vt:variant>
        <vt:i4>5</vt:i4>
      </vt:variant>
      <vt:variant>
        <vt:lpwstr>http://www.nevo.co.il/case/6070684</vt:lpwstr>
      </vt:variant>
      <vt:variant>
        <vt:lpwstr/>
      </vt:variant>
      <vt:variant>
        <vt:i4>3604592</vt:i4>
      </vt:variant>
      <vt:variant>
        <vt:i4>138</vt:i4>
      </vt:variant>
      <vt:variant>
        <vt:i4>0</vt:i4>
      </vt:variant>
      <vt:variant>
        <vt:i4>5</vt:i4>
      </vt:variant>
      <vt:variant>
        <vt:lpwstr>http://www.nevo.co.il/case/5571207</vt:lpwstr>
      </vt:variant>
      <vt:variant>
        <vt:lpwstr/>
      </vt:variant>
      <vt:variant>
        <vt:i4>3407992</vt:i4>
      </vt:variant>
      <vt:variant>
        <vt:i4>135</vt:i4>
      </vt:variant>
      <vt:variant>
        <vt:i4>0</vt:i4>
      </vt:variant>
      <vt:variant>
        <vt:i4>5</vt:i4>
      </vt:variant>
      <vt:variant>
        <vt:lpwstr>http://www.nevo.co.il/case/5748035</vt:lpwstr>
      </vt:variant>
      <vt:variant>
        <vt:lpwstr/>
      </vt:variant>
      <vt:variant>
        <vt:i4>3539058</vt:i4>
      </vt:variant>
      <vt:variant>
        <vt:i4>132</vt:i4>
      </vt:variant>
      <vt:variant>
        <vt:i4>0</vt:i4>
      </vt:variant>
      <vt:variant>
        <vt:i4>5</vt:i4>
      </vt:variant>
      <vt:variant>
        <vt:lpwstr>http://www.nevo.co.il/case/23762313</vt:lpwstr>
      </vt:variant>
      <vt:variant>
        <vt:lpwstr/>
      </vt:variant>
      <vt:variant>
        <vt:i4>3604603</vt:i4>
      </vt:variant>
      <vt:variant>
        <vt:i4>129</vt:i4>
      </vt:variant>
      <vt:variant>
        <vt:i4>0</vt:i4>
      </vt:variant>
      <vt:variant>
        <vt:i4>5</vt:i4>
      </vt:variant>
      <vt:variant>
        <vt:lpwstr>http://www.nevo.co.il/case/18654248</vt:lpwstr>
      </vt:variant>
      <vt:variant>
        <vt:lpwstr/>
      </vt:variant>
      <vt:variant>
        <vt:i4>4063353</vt:i4>
      </vt:variant>
      <vt:variant>
        <vt:i4>126</vt:i4>
      </vt:variant>
      <vt:variant>
        <vt:i4>0</vt:i4>
      </vt:variant>
      <vt:variant>
        <vt:i4>5</vt:i4>
      </vt:variant>
      <vt:variant>
        <vt:lpwstr>http://www.nevo.co.il/case/16987316</vt:lpwstr>
      </vt:variant>
      <vt:variant>
        <vt:lpwstr/>
      </vt:variant>
      <vt:variant>
        <vt:i4>3735675</vt:i4>
      </vt:variant>
      <vt:variant>
        <vt:i4>123</vt:i4>
      </vt:variant>
      <vt:variant>
        <vt:i4>0</vt:i4>
      </vt:variant>
      <vt:variant>
        <vt:i4>5</vt:i4>
      </vt:variant>
      <vt:variant>
        <vt:lpwstr>http://www.nevo.co.il/case/20798648</vt:lpwstr>
      </vt:variant>
      <vt:variant>
        <vt:lpwstr/>
      </vt:variant>
      <vt:variant>
        <vt:i4>3604603</vt:i4>
      </vt:variant>
      <vt:variant>
        <vt:i4>120</vt:i4>
      </vt:variant>
      <vt:variant>
        <vt:i4>0</vt:i4>
      </vt:variant>
      <vt:variant>
        <vt:i4>5</vt:i4>
      </vt:variant>
      <vt:variant>
        <vt:lpwstr>http://www.nevo.co.il/case/18654248</vt:lpwstr>
      </vt:variant>
      <vt:variant>
        <vt:lpwstr/>
      </vt:variant>
      <vt:variant>
        <vt:i4>3473521</vt:i4>
      </vt:variant>
      <vt:variant>
        <vt:i4>117</vt:i4>
      </vt:variant>
      <vt:variant>
        <vt:i4>0</vt:i4>
      </vt:variant>
      <vt:variant>
        <vt:i4>5</vt:i4>
      </vt:variant>
      <vt:variant>
        <vt:lpwstr>http://www.nevo.co.il/case/20010477</vt:lpwstr>
      </vt:variant>
      <vt:variant>
        <vt:lpwstr/>
      </vt:variant>
      <vt:variant>
        <vt:i4>3407996</vt:i4>
      </vt:variant>
      <vt:variant>
        <vt:i4>114</vt:i4>
      </vt:variant>
      <vt:variant>
        <vt:i4>0</vt:i4>
      </vt:variant>
      <vt:variant>
        <vt:i4>5</vt:i4>
      </vt:variant>
      <vt:variant>
        <vt:lpwstr>http://www.nevo.co.il/case/5716393</vt:lpwstr>
      </vt:variant>
      <vt:variant>
        <vt:lpwstr/>
      </vt:variant>
      <vt:variant>
        <vt:i4>3342460</vt:i4>
      </vt:variant>
      <vt:variant>
        <vt:i4>111</vt:i4>
      </vt:variant>
      <vt:variant>
        <vt:i4>0</vt:i4>
      </vt:variant>
      <vt:variant>
        <vt:i4>5</vt:i4>
      </vt:variant>
      <vt:variant>
        <vt:lpwstr>http://www.nevo.co.il/case/5708670</vt:lpwstr>
      </vt:variant>
      <vt:variant>
        <vt:lpwstr/>
      </vt:variant>
      <vt:variant>
        <vt:i4>3604595</vt:i4>
      </vt:variant>
      <vt:variant>
        <vt:i4>108</vt:i4>
      </vt:variant>
      <vt:variant>
        <vt:i4>0</vt:i4>
      </vt:variant>
      <vt:variant>
        <vt:i4>5</vt:i4>
      </vt:variant>
      <vt:variant>
        <vt:lpwstr>http://www.nevo.co.il/case/20244332</vt:lpwstr>
      </vt:variant>
      <vt:variant>
        <vt:lpwstr/>
      </vt:variant>
      <vt:variant>
        <vt:i4>3145851</vt:i4>
      </vt:variant>
      <vt:variant>
        <vt:i4>105</vt:i4>
      </vt:variant>
      <vt:variant>
        <vt:i4>0</vt:i4>
      </vt:variant>
      <vt:variant>
        <vt:i4>5</vt:i4>
      </vt:variant>
      <vt:variant>
        <vt:lpwstr>http://www.nevo.co.il/case/27603872</vt:lpwstr>
      </vt:variant>
      <vt:variant>
        <vt:lpwstr/>
      </vt:variant>
      <vt:variant>
        <vt:i4>3997822</vt:i4>
      </vt:variant>
      <vt:variant>
        <vt:i4>102</vt:i4>
      </vt:variant>
      <vt:variant>
        <vt:i4>0</vt:i4>
      </vt:variant>
      <vt:variant>
        <vt:i4>5</vt:i4>
      </vt:variant>
      <vt:variant>
        <vt:lpwstr>http://www.nevo.co.il/case/26492590</vt:lpwstr>
      </vt:variant>
      <vt:variant>
        <vt:lpwstr/>
      </vt:variant>
      <vt:variant>
        <vt:i4>7077988</vt:i4>
      </vt:variant>
      <vt:variant>
        <vt:i4>99</vt:i4>
      </vt:variant>
      <vt:variant>
        <vt:i4>0</vt:i4>
      </vt:variant>
      <vt:variant>
        <vt:i4>5</vt:i4>
      </vt:variant>
      <vt:variant>
        <vt:lpwstr>http://www.nevo.co.il/law/70301/192</vt:lpwstr>
      </vt:variant>
      <vt:variant>
        <vt:lpwstr/>
      </vt:variant>
      <vt:variant>
        <vt:i4>7077991</vt:i4>
      </vt:variant>
      <vt:variant>
        <vt:i4>96</vt:i4>
      </vt:variant>
      <vt:variant>
        <vt:i4>0</vt:i4>
      </vt:variant>
      <vt:variant>
        <vt:i4>5</vt:i4>
      </vt:variant>
      <vt:variant>
        <vt:lpwstr>http://www.nevo.co.il/law/70301/29</vt:lpwstr>
      </vt:variant>
      <vt:variant>
        <vt:lpwstr/>
      </vt:variant>
      <vt:variant>
        <vt:i4>6684722</vt:i4>
      </vt:variant>
      <vt:variant>
        <vt:i4>93</vt:i4>
      </vt:variant>
      <vt:variant>
        <vt:i4>0</vt:i4>
      </vt:variant>
      <vt:variant>
        <vt:i4>5</vt:i4>
      </vt:variant>
      <vt:variant>
        <vt:lpwstr>http://www.nevo.co.il/law/70301/335.a.2</vt:lpwstr>
      </vt:variant>
      <vt:variant>
        <vt:lpwstr/>
      </vt:variant>
      <vt:variant>
        <vt:i4>6684722</vt:i4>
      </vt:variant>
      <vt:variant>
        <vt:i4>90</vt:i4>
      </vt:variant>
      <vt:variant>
        <vt:i4>0</vt:i4>
      </vt:variant>
      <vt:variant>
        <vt:i4>5</vt:i4>
      </vt:variant>
      <vt:variant>
        <vt:lpwstr>http://www.nevo.co.il/law/70301/335.a.1</vt:lpwstr>
      </vt:variant>
      <vt:variant>
        <vt:lpwstr/>
      </vt:variant>
      <vt:variant>
        <vt:i4>6684774</vt:i4>
      </vt:variant>
      <vt:variant>
        <vt:i4>87</vt:i4>
      </vt:variant>
      <vt:variant>
        <vt:i4>0</vt:i4>
      </vt:variant>
      <vt:variant>
        <vt:i4>5</vt:i4>
      </vt:variant>
      <vt:variant>
        <vt:lpwstr>http://www.nevo.co.il/law/70301/334</vt:lpwstr>
      </vt:variant>
      <vt:variant>
        <vt:lpwstr/>
      </vt:variant>
      <vt:variant>
        <vt:i4>3539062</vt:i4>
      </vt:variant>
      <vt:variant>
        <vt:i4>84</vt:i4>
      </vt:variant>
      <vt:variant>
        <vt:i4>0</vt:i4>
      </vt:variant>
      <vt:variant>
        <vt:i4>5</vt:i4>
      </vt:variant>
      <vt:variant>
        <vt:lpwstr>http://www.nevo.co.il/case/27313445</vt:lpwstr>
      </vt:variant>
      <vt:variant>
        <vt:lpwstr/>
      </vt:variant>
      <vt:variant>
        <vt:i4>3473532</vt:i4>
      </vt:variant>
      <vt:variant>
        <vt:i4>81</vt:i4>
      </vt:variant>
      <vt:variant>
        <vt:i4>0</vt:i4>
      </vt:variant>
      <vt:variant>
        <vt:i4>5</vt:i4>
      </vt:variant>
      <vt:variant>
        <vt:lpwstr>http://www.nevo.co.il/case/26464870</vt:lpwstr>
      </vt:variant>
      <vt:variant>
        <vt:lpwstr/>
      </vt:variant>
      <vt:variant>
        <vt:i4>3407996</vt:i4>
      </vt:variant>
      <vt:variant>
        <vt:i4>78</vt:i4>
      </vt:variant>
      <vt:variant>
        <vt:i4>0</vt:i4>
      </vt:variant>
      <vt:variant>
        <vt:i4>5</vt:i4>
      </vt:variant>
      <vt:variant>
        <vt:lpwstr>http://www.nevo.co.il/case/26464869</vt:lpwstr>
      </vt:variant>
      <vt:variant>
        <vt:lpwstr/>
      </vt:variant>
      <vt:variant>
        <vt:i4>7929967</vt:i4>
      </vt:variant>
      <vt:variant>
        <vt:i4>75</vt:i4>
      </vt:variant>
      <vt:variant>
        <vt:i4>0</vt:i4>
      </vt:variant>
      <vt:variant>
        <vt:i4>5</vt:i4>
      </vt:variant>
      <vt:variant>
        <vt:lpwstr>http://www.nevo.co.il/law/72813</vt:lpwstr>
      </vt:variant>
      <vt:variant>
        <vt:lpwstr/>
      </vt:variant>
      <vt:variant>
        <vt:i4>6750264</vt:i4>
      </vt:variant>
      <vt:variant>
        <vt:i4>72</vt:i4>
      </vt:variant>
      <vt:variant>
        <vt:i4>0</vt:i4>
      </vt:variant>
      <vt:variant>
        <vt:i4>5</vt:i4>
      </vt:variant>
      <vt:variant>
        <vt:lpwstr>http://www.nevo.co.il/law/72813/117.b.8</vt:lpwstr>
      </vt:variant>
      <vt:variant>
        <vt:lpwstr/>
      </vt:variant>
      <vt:variant>
        <vt:i4>8061034</vt:i4>
      </vt:variant>
      <vt:variant>
        <vt:i4>69</vt:i4>
      </vt:variant>
      <vt:variant>
        <vt:i4>0</vt:i4>
      </vt:variant>
      <vt:variant>
        <vt:i4>5</vt:i4>
      </vt:variant>
      <vt:variant>
        <vt:lpwstr>http://www.nevo.co.il/law/84255</vt:lpwstr>
      </vt:variant>
      <vt:variant>
        <vt:lpwstr/>
      </vt:variant>
      <vt:variant>
        <vt:i4>4718685</vt:i4>
      </vt:variant>
      <vt:variant>
        <vt:i4>66</vt:i4>
      </vt:variant>
      <vt:variant>
        <vt:i4>0</vt:i4>
      </vt:variant>
      <vt:variant>
        <vt:i4>5</vt:i4>
      </vt:variant>
      <vt:variant>
        <vt:lpwstr>http://www.nevo.co.il/law/84255/220.5</vt:lpwstr>
      </vt:variant>
      <vt:variant>
        <vt:lpwstr/>
      </vt:variant>
      <vt:variant>
        <vt:i4>3801202</vt:i4>
      </vt:variant>
      <vt:variant>
        <vt:i4>63</vt:i4>
      </vt:variant>
      <vt:variant>
        <vt:i4>0</vt:i4>
      </vt:variant>
      <vt:variant>
        <vt:i4>5</vt:i4>
      </vt:variant>
      <vt:variant>
        <vt:lpwstr>http://www.nevo.co.il/case/20809694</vt:lpwstr>
      </vt:variant>
      <vt:variant>
        <vt:lpwstr/>
      </vt:variant>
      <vt:variant>
        <vt:i4>6422648</vt:i4>
      </vt:variant>
      <vt:variant>
        <vt:i4>60</vt:i4>
      </vt:variant>
      <vt:variant>
        <vt:i4>0</vt:i4>
      </vt:variant>
      <vt:variant>
        <vt:i4>5</vt:i4>
      </vt:variant>
      <vt:variant>
        <vt:lpwstr>http://www.nevo.co.il/law/70301/340a.b</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6684722</vt:i4>
      </vt:variant>
      <vt:variant>
        <vt:i4>51</vt:i4>
      </vt:variant>
      <vt:variant>
        <vt:i4>0</vt:i4>
      </vt:variant>
      <vt:variant>
        <vt:i4>5</vt:i4>
      </vt:variant>
      <vt:variant>
        <vt:lpwstr>http://www.nevo.co.il/law/70301/335.a.2</vt:lpwstr>
      </vt:variant>
      <vt:variant>
        <vt:lpwstr/>
      </vt:variant>
      <vt:variant>
        <vt:i4>6684722</vt:i4>
      </vt:variant>
      <vt:variant>
        <vt:i4>48</vt:i4>
      </vt:variant>
      <vt:variant>
        <vt:i4>0</vt:i4>
      </vt:variant>
      <vt:variant>
        <vt:i4>5</vt:i4>
      </vt:variant>
      <vt:variant>
        <vt:lpwstr>http://www.nevo.co.il/law/70301/335.a.1</vt:lpwstr>
      </vt:variant>
      <vt:variant>
        <vt:lpwstr/>
      </vt:variant>
      <vt:variant>
        <vt:i4>6684774</vt:i4>
      </vt:variant>
      <vt:variant>
        <vt:i4>45</vt:i4>
      </vt:variant>
      <vt:variant>
        <vt:i4>0</vt:i4>
      </vt:variant>
      <vt:variant>
        <vt:i4>5</vt:i4>
      </vt:variant>
      <vt:variant>
        <vt:lpwstr>http://www.nevo.co.il/law/70301/334</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6750264</vt:i4>
      </vt:variant>
      <vt:variant>
        <vt:i4>33</vt:i4>
      </vt:variant>
      <vt:variant>
        <vt:i4>0</vt:i4>
      </vt:variant>
      <vt:variant>
        <vt:i4>5</vt:i4>
      </vt:variant>
      <vt:variant>
        <vt:lpwstr>http://www.nevo.co.il/law/72813/117.b.8</vt:lpwstr>
      </vt:variant>
      <vt:variant>
        <vt:lpwstr/>
      </vt:variant>
      <vt:variant>
        <vt:i4>7929967</vt:i4>
      </vt:variant>
      <vt:variant>
        <vt:i4>30</vt:i4>
      </vt:variant>
      <vt:variant>
        <vt:i4>0</vt:i4>
      </vt:variant>
      <vt:variant>
        <vt:i4>5</vt:i4>
      </vt:variant>
      <vt:variant>
        <vt:lpwstr>http://www.nevo.co.il/law/72813</vt:lpwstr>
      </vt:variant>
      <vt:variant>
        <vt:lpwstr/>
      </vt:variant>
      <vt:variant>
        <vt:i4>4718685</vt:i4>
      </vt:variant>
      <vt:variant>
        <vt:i4>27</vt:i4>
      </vt:variant>
      <vt:variant>
        <vt:i4>0</vt:i4>
      </vt:variant>
      <vt:variant>
        <vt:i4>5</vt:i4>
      </vt:variant>
      <vt:variant>
        <vt:lpwstr>http://www.nevo.co.il/law/84255/220.5</vt:lpwstr>
      </vt:variant>
      <vt:variant>
        <vt:lpwstr/>
      </vt:variant>
      <vt:variant>
        <vt:i4>8061034</vt:i4>
      </vt:variant>
      <vt:variant>
        <vt:i4>24</vt:i4>
      </vt:variant>
      <vt:variant>
        <vt:i4>0</vt:i4>
      </vt:variant>
      <vt:variant>
        <vt:i4>5</vt:i4>
      </vt:variant>
      <vt:variant>
        <vt:lpwstr>http://www.nevo.co.il/law/84255</vt:lpwstr>
      </vt:variant>
      <vt:variant>
        <vt:lpwstr/>
      </vt:variant>
      <vt:variant>
        <vt:i4>6422648</vt:i4>
      </vt:variant>
      <vt:variant>
        <vt:i4>21</vt:i4>
      </vt:variant>
      <vt:variant>
        <vt:i4>0</vt:i4>
      </vt:variant>
      <vt:variant>
        <vt:i4>5</vt:i4>
      </vt:variant>
      <vt:variant>
        <vt:lpwstr>http://www.nevo.co.il/law/70301/340a.b</vt:lpwstr>
      </vt:variant>
      <vt:variant>
        <vt:lpwstr/>
      </vt:variant>
      <vt:variant>
        <vt:i4>6684722</vt:i4>
      </vt:variant>
      <vt:variant>
        <vt:i4>18</vt:i4>
      </vt:variant>
      <vt:variant>
        <vt:i4>0</vt:i4>
      </vt:variant>
      <vt:variant>
        <vt:i4>5</vt:i4>
      </vt:variant>
      <vt:variant>
        <vt:lpwstr>http://www.nevo.co.il/law/70301/335.a.2</vt:lpwstr>
      </vt:variant>
      <vt:variant>
        <vt:lpwstr/>
      </vt:variant>
      <vt:variant>
        <vt:i4>6684722</vt:i4>
      </vt:variant>
      <vt:variant>
        <vt:i4>15</vt:i4>
      </vt:variant>
      <vt:variant>
        <vt:i4>0</vt:i4>
      </vt:variant>
      <vt:variant>
        <vt:i4>5</vt:i4>
      </vt:variant>
      <vt:variant>
        <vt:lpwstr>http://www.nevo.co.il/law/70301/335.a.1</vt:lpwstr>
      </vt:variant>
      <vt:variant>
        <vt:lpwstr/>
      </vt:variant>
      <vt:variant>
        <vt:i4>6684774</vt:i4>
      </vt:variant>
      <vt:variant>
        <vt:i4>12</vt:i4>
      </vt:variant>
      <vt:variant>
        <vt:i4>0</vt:i4>
      </vt:variant>
      <vt:variant>
        <vt:i4>5</vt:i4>
      </vt:variant>
      <vt:variant>
        <vt:lpwstr>http://www.nevo.co.il/law/70301/334</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2025-04-25T10:48:00Z</dcterms:created>
  <dcterms:modified xsi:type="dcterms:W3CDTF">2025-04-25T10:48:00Z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36371</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עבדאללה עלי;מחמוד מוחמד עלי;אחמד מוחמד עלי;אוסאמה עלי</vt:lpwstr>
  </property>
  <property fmtid="{D5CDD505-2E9C-101B-9397-08002B2CF9AE}" pid="10" name="LAWYER">
    <vt:lpwstr>יוסי זילברברג;שי עציון;אור גבאי</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39020211201</vt:lpwstr>
  </property>
  <property fmtid="{D5CDD505-2E9C-101B-9397-08002B2CF9AE}" pid="14" name="WORDNUMPAGES">
    <vt:lpwstr>10</vt:lpwstr>
  </property>
  <property fmtid="{D5CDD505-2E9C-101B-9397-08002B2CF9AE}" pid="15" name="ISABSTRACT">
    <vt:lpwstr>Y</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YES</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DATE">
    <vt:lpwstr>20211201</vt:lpwstr>
  </property>
  <property fmtid="{D5CDD505-2E9C-101B-9397-08002B2CF9AE}" pid="34" name="TYPE_ABS_DATE">
    <vt:lpwstr>390120211201</vt:lpwstr>
  </property>
  <property fmtid="{D5CDD505-2E9C-101B-9397-08002B2CF9AE}" pid="35" name="CASESLISTTMP1">
    <vt:lpwstr>20809694;26464869;26464870;27313445;26492590;27603872;20244332;5708670;5716393;20010477;18654248:2;20798648;16987316;23762313;5748035;5571207;6070684;6133254</vt:lpwstr>
  </property>
  <property fmtid="{D5CDD505-2E9C-101B-9397-08002B2CF9AE}" pid="36" name="LAWLISTTMP1">
    <vt:lpwstr>70301/144.a;029:3;334:2;335.a.1:2;335.a.2:2;192:2;340a.b</vt:lpwstr>
  </property>
  <property fmtid="{D5CDD505-2E9C-101B-9397-08002B2CF9AE}" pid="37" name="LAWLISTTMP2">
    <vt:lpwstr>84255/220.5</vt:lpwstr>
  </property>
  <property fmtid="{D5CDD505-2E9C-101B-9397-08002B2CF9AE}" pid="38" name="LAWLISTTMP3">
    <vt:lpwstr>72813/117.b.8</vt:lpwstr>
  </property>
  <property fmtid="{D5CDD505-2E9C-101B-9397-08002B2CF9AE}" pid="39" name="NOSE1ID">
    <vt:lpwstr>77</vt:lpwstr>
  </property>
  <property fmtid="{D5CDD505-2E9C-101B-9397-08002B2CF9AE}" pid="40" name="NOSE2ID">
    <vt:lpwstr>1446</vt:lpwstr>
  </property>
  <property fmtid="{D5CDD505-2E9C-101B-9397-08002B2CF9AE}" pid="41" name="NOSE3ID">
    <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דרכי ענישה: מאסרים חופפים</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20211208</vt:lpwstr>
  </property>
  <property fmtid="{D5CDD505-2E9C-101B-9397-08002B2CF9AE}" pid="73" name="METAKZER">
    <vt:lpwstr>מיכל</vt:lpwstr>
  </property>
</Properties>
</file>