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8"/>
        <w:gridCol w:w="3661"/>
        <w:gridCol w:w="99"/>
      </w:tblGrid>
      <w:tr w:rsidR="00942439" w:rsidRPr="00E54337" w14:paraId="449B518D" w14:textId="77777777" w:rsidTr="00E54337">
        <w:trPr>
          <w:gridAfter w:val="1"/>
          <w:wAfter w:w="99" w:type="dxa"/>
          <w:trHeight w:hRule="exact" w:val="418"/>
          <w:jc w:val="center"/>
        </w:trPr>
        <w:tc>
          <w:tcPr>
            <w:tcW w:w="8721" w:type="dxa"/>
            <w:gridSpan w:val="4"/>
          </w:tcPr>
          <w:p w14:paraId="2F5AAC93" w14:textId="77777777" w:rsidR="00942439" w:rsidRPr="00E54337" w:rsidRDefault="00942439" w:rsidP="00707966">
            <w:pPr>
              <w:pStyle w:val="a3"/>
              <w:jc w:val="center"/>
              <w:rPr>
                <w:rFonts w:ascii="Tahoma" w:hAnsi="Tahoma"/>
                <w:color w:val="000080"/>
                <w:rtl/>
              </w:rPr>
            </w:pPr>
            <w:bookmarkStart w:id="0" w:name="FirstLawyer"/>
            <w:bookmarkStart w:id="1" w:name="LastJudge"/>
            <w:r w:rsidRPr="00E54337">
              <w:rPr>
                <w:rFonts w:ascii="Tahoma" w:hAnsi="Tahoma"/>
                <w:b/>
                <w:bCs/>
                <w:color w:val="000080"/>
                <w:rtl/>
              </w:rPr>
              <w:t>בית המשפט המחוזי בירושלים</w:t>
            </w:r>
          </w:p>
        </w:tc>
      </w:tr>
      <w:tr w:rsidR="00942439" w:rsidRPr="00E54337" w14:paraId="326C22C1" w14:textId="77777777" w:rsidTr="00E54337">
        <w:trPr>
          <w:gridAfter w:val="1"/>
          <w:wAfter w:w="99" w:type="dxa"/>
          <w:trHeight w:val="337"/>
          <w:jc w:val="center"/>
        </w:trPr>
        <w:tc>
          <w:tcPr>
            <w:tcW w:w="5060" w:type="dxa"/>
            <w:gridSpan w:val="3"/>
          </w:tcPr>
          <w:p w14:paraId="1594795F" w14:textId="77777777" w:rsidR="00942439" w:rsidRPr="00E54337" w:rsidRDefault="00942439" w:rsidP="00707966">
            <w:pPr>
              <w:rPr>
                <w:sz w:val="28"/>
                <w:szCs w:val="28"/>
                <w:rtl/>
              </w:rPr>
            </w:pPr>
            <w:r w:rsidRPr="00E54337">
              <w:rPr>
                <w:sz w:val="28"/>
                <w:szCs w:val="28"/>
                <w:rtl/>
              </w:rPr>
              <w:t>ת"פ</w:t>
            </w:r>
            <w:r w:rsidRPr="00E54337">
              <w:rPr>
                <w:rFonts w:hint="cs"/>
                <w:sz w:val="28"/>
                <w:szCs w:val="28"/>
                <w:rtl/>
              </w:rPr>
              <w:t xml:space="preserve"> </w:t>
            </w:r>
            <w:r w:rsidRPr="00E54337">
              <w:rPr>
                <w:sz w:val="28"/>
                <w:szCs w:val="28"/>
                <w:rtl/>
              </w:rPr>
              <w:t>36505-12-20</w:t>
            </w:r>
            <w:r w:rsidRPr="00E54337">
              <w:rPr>
                <w:rFonts w:hint="cs"/>
                <w:sz w:val="28"/>
                <w:szCs w:val="28"/>
                <w:rtl/>
              </w:rPr>
              <w:t xml:space="preserve"> </w:t>
            </w:r>
            <w:r w:rsidRPr="00E54337">
              <w:rPr>
                <w:sz w:val="28"/>
                <w:szCs w:val="28"/>
                <w:rtl/>
              </w:rPr>
              <w:t>מדינת ישראל נ' קואסמה(עציר)</w:t>
            </w:r>
          </w:p>
          <w:p w14:paraId="7C01019B" w14:textId="77777777" w:rsidR="00942439" w:rsidRPr="00E54337" w:rsidRDefault="00942439" w:rsidP="00707966">
            <w:pPr>
              <w:pStyle w:val="a3"/>
              <w:rPr>
                <w:sz w:val="28"/>
                <w:szCs w:val="28"/>
                <w:rtl/>
              </w:rPr>
            </w:pPr>
          </w:p>
        </w:tc>
        <w:tc>
          <w:tcPr>
            <w:tcW w:w="3661" w:type="dxa"/>
          </w:tcPr>
          <w:p w14:paraId="4DA79E2E" w14:textId="77777777" w:rsidR="00942439" w:rsidRPr="00E54337" w:rsidRDefault="00942439" w:rsidP="00707966">
            <w:pPr>
              <w:pStyle w:val="a3"/>
              <w:jc w:val="right"/>
              <w:rPr>
                <w:sz w:val="28"/>
                <w:szCs w:val="28"/>
                <w:rtl/>
              </w:rPr>
            </w:pPr>
          </w:p>
        </w:tc>
      </w:tr>
      <w:tr w:rsidR="00942439" w:rsidRPr="00E54337" w14:paraId="3FDA5B8C" w14:textId="77777777" w:rsidTr="00E543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97E09FF" w14:textId="77777777" w:rsidR="00942439" w:rsidRPr="00E54337" w:rsidRDefault="00942439" w:rsidP="00942439">
            <w:pPr>
              <w:jc w:val="both"/>
              <w:rPr>
                <w:rFonts w:ascii="David" w:hAnsi="David"/>
                <w:sz w:val="26"/>
                <w:szCs w:val="26"/>
              </w:rPr>
            </w:pPr>
            <w:r w:rsidRPr="00E54337">
              <w:rPr>
                <w:rFonts w:hint="cs"/>
                <w:rtl/>
              </w:rPr>
              <w:t xml:space="preserve"> </w:t>
            </w:r>
            <w:r w:rsidRPr="00E54337">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73526B34" w14:textId="77777777" w:rsidR="00942439" w:rsidRPr="00E54337" w:rsidRDefault="00942439" w:rsidP="00707966">
            <w:pPr>
              <w:rPr>
                <w:rFonts w:ascii="David" w:hAnsi="David"/>
                <w:b/>
                <w:bCs/>
                <w:sz w:val="26"/>
                <w:szCs w:val="26"/>
                <w:rtl/>
              </w:rPr>
            </w:pPr>
            <w:r w:rsidRPr="00E54337">
              <w:rPr>
                <w:rFonts w:ascii="David" w:hAnsi="David"/>
                <w:b/>
                <w:bCs/>
                <w:sz w:val="26"/>
                <w:szCs w:val="26"/>
                <w:rtl/>
              </w:rPr>
              <w:t>כבוד השופטת  דנה כהן-לקח</w:t>
            </w:r>
          </w:p>
          <w:p w14:paraId="3BE79590" w14:textId="77777777" w:rsidR="00942439" w:rsidRPr="00E54337" w:rsidRDefault="00942439" w:rsidP="00707966">
            <w:pPr>
              <w:rPr>
                <w:rFonts w:ascii="David" w:hAnsi="David"/>
                <w:sz w:val="26"/>
                <w:szCs w:val="26"/>
                <w:rtl/>
              </w:rPr>
            </w:pPr>
          </w:p>
          <w:p w14:paraId="3E618FE7" w14:textId="77777777" w:rsidR="00942439" w:rsidRPr="00E54337" w:rsidRDefault="00942439" w:rsidP="00942439">
            <w:pPr>
              <w:jc w:val="both"/>
              <w:rPr>
                <w:rFonts w:ascii="David" w:hAnsi="David"/>
                <w:sz w:val="26"/>
                <w:szCs w:val="26"/>
              </w:rPr>
            </w:pPr>
          </w:p>
        </w:tc>
      </w:tr>
      <w:tr w:rsidR="00942439" w:rsidRPr="00E54337" w14:paraId="543AB5D6" w14:textId="77777777" w:rsidTr="00E543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6F6E067" w14:textId="77777777" w:rsidR="00942439" w:rsidRPr="00E54337" w:rsidRDefault="00942439" w:rsidP="00942439">
            <w:pPr>
              <w:jc w:val="both"/>
              <w:rPr>
                <w:rFonts w:ascii="David" w:hAnsi="David"/>
                <w:sz w:val="26"/>
                <w:szCs w:val="26"/>
              </w:rPr>
            </w:pPr>
            <w:bookmarkStart w:id="2" w:name="FirstAppellant"/>
            <w:r w:rsidRPr="00E54337">
              <w:rPr>
                <w:rFonts w:ascii="David" w:hAnsi="David"/>
                <w:sz w:val="26"/>
                <w:szCs w:val="26"/>
                <w:rtl/>
              </w:rPr>
              <w:t>בעניין:</w:t>
            </w:r>
          </w:p>
        </w:tc>
        <w:tc>
          <w:tcPr>
            <w:tcW w:w="3219" w:type="dxa"/>
            <w:tcBorders>
              <w:top w:val="nil"/>
              <w:left w:val="nil"/>
              <w:bottom w:val="nil"/>
              <w:right w:val="nil"/>
            </w:tcBorders>
            <w:shd w:val="clear" w:color="auto" w:fill="auto"/>
          </w:tcPr>
          <w:p w14:paraId="380BA164" w14:textId="77777777" w:rsidR="00942439" w:rsidRPr="00E54337" w:rsidRDefault="00942439" w:rsidP="00942439">
            <w:pPr>
              <w:suppressLineNumbers/>
            </w:pPr>
            <w:r w:rsidRPr="00E54337">
              <w:rPr>
                <w:rFonts w:ascii="Arial" w:hAnsi="Arial" w:hint="cs"/>
                <w:b/>
                <w:bCs/>
                <w:sz w:val="26"/>
                <w:szCs w:val="26"/>
                <w:rtl/>
              </w:rPr>
              <w:t>ה</w:t>
            </w:r>
            <w:r w:rsidRPr="00E54337">
              <w:rPr>
                <w:rFonts w:ascii="Arial" w:hAnsi="Arial"/>
                <w:b/>
                <w:bCs/>
                <w:sz w:val="26"/>
                <w:szCs w:val="26"/>
                <w:rtl/>
              </w:rPr>
              <w:t>מאשימה</w:t>
            </w:r>
          </w:p>
          <w:p w14:paraId="313B483B" w14:textId="77777777" w:rsidR="00942439" w:rsidRPr="00E54337" w:rsidRDefault="00942439" w:rsidP="00707966">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A4EBD2D" w14:textId="77777777" w:rsidR="00942439" w:rsidRPr="00E54337" w:rsidRDefault="00942439" w:rsidP="00942439">
            <w:pPr>
              <w:suppressLineNumbers/>
            </w:pPr>
            <w:r w:rsidRPr="00E54337">
              <w:rPr>
                <w:rFonts w:ascii="Arial" w:hAnsi="Arial"/>
                <w:b/>
                <w:bCs/>
                <w:sz w:val="26"/>
                <w:szCs w:val="26"/>
                <w:rtl/>
              </w:rPr>
              <w:t>מדינת ישראל</w:t>
            </w:r>
            <w:r w:rsidRPr="00E54337">
              <w:rPr>
                <w:rFonts w:ascii="Arial" w:hAnsi="Arial"/>
                <w:b/>
                <w:bCs/>
                <w:sz w:val="26"/>
                <w:szCs w:val="26"/>
                <w:rtl/>
              </w:rPr>
              <w:br/>
            </w:r>
            <w:r w:rsidRPr="00E54337">
              <w:rPr>
                <w:rFonts w:ascii="Arial" w:hAnsi="Arial" w:hint="cs"/>
                <w:b/>
                <w:bCs/>
                <w:sz w:val="26"/>
                <w:szCs w:val="26"/>
                <w:rtl/>
              </w:rPr>
              <w:t>ע"י ב"כ עו"ד הדס עמיר (פמ"י)</w:t>
            </w:r>
          </w:p>
          <w:p w14:paraId="49BC3499" w14:textId="77777777" w:rsidR="00942439" w:rsidRPr="00E54337" w:rsidRDefault="00942439" w:rsidP="00707966">
            <w:pPr>
              <w:rPr>
                <w:rFonts w:ascii="David" w:hAnsi="David"/>
                <w:sz w:val="26"/>
                <w:szCs w:val="26"/>
              </w:rPr>
            </w:pPr>
          </w:p>
        </w:tc>
      </w:tr>
      <w:bookmarkEnd w:id="2"/>
      <w:tr w:rsidR="00942439" w:rsidRPr="00E54337" w14:paraId="2C7E4C23" w14:textId="77777777" w:rsidTr="00E543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B5EADED" w14:textId="77777777" w:rsidR="00942439" w:rsidRPr="00E54337" w:rsidRDefault="00942439" w:rsidP="00942439">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A435F79" w14:textId="77777777" w:rsidR="00942439" w:rsidRPr="00E54337" w:rsidRDefault="00942439" w:rsidP="00942439">
            <w:pPr>
              <w:jc w:val="center"/>
              <w:rPr>
                <w:rFonts w:ascii="David" w:hAnsi="David"/>
                <w:b/>
                <w:bCs/>
                <w:sz w:val="26"/>
                <w:szCs w:val="26"/>
                <w:rtl/>
              </w:rPr>
            </w:pPr>
          </w:p>
          <w:p w14:paraId="75B280E4" w14:textId="77777777" w:rsidR="00942439" w:rsidRPr="00E54337" w:rsidRDefault="00942439" w:rsidP="00942439">
            <w:pPr>
              <w:jc w:val="center"/>
              <w:rPr>
                <w:rFonts w:ascii="David" w:hAnsi="David"/>
                <w:b/>
                <w:bCs/>
                <w:sz w:val="26"/>
                <w:szCs w:val="26"/>
                <w:rtl/>
              </w:rPr>
            </w:pPr>
            <w:r w:rsidRPr="00E54337">
              <w:rPr>
                <w:rFonts w:ascii="David" w:hAnsi="David"/>
                <w:b/>
                <w:bCs/>
                <w:sz w:val="26"/>
                <w:szCs w:val="26"/>
                <w:rtl/>
              </w:rPr>
              <w:t>נגד</w:t>
            </w:r>
          </w:p>
          <w:p w14:paraId="5C07A629" w14:textId="77777777" w:rsidR="00942439" w:rsidRPr="00E54337" w:rsidRDefault="00942439" w:rsidP="00942439">
            <w:pPr>
              <w:jc w:val="both"/>
              <w:rPr>
                <w:rFonts w:ascii="David" w:hAnsi="David"/>
                <w:sz w:val="26"/>
                <w:szCs w:val="26"/>
              </w:rPr>
            </w:pPr>
          </w:p>
        </w:tc>
      </w:tr>
      <w:tr w:rsidR="00942439" w:rsidRPr="00E54337" w14:paraId="6F38F7CC" w14:textId="77777777" w:rsidTr="00E543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43B9B02" w14:textId="77777777" w:rsidR="00942439" w:rsidRPr="00E54337" w:rsidRDefault="00942439" w:rsidP="00707966">
            <w:pPr>
              <w:rPr>
                <w:rFonts w:ascii="David" w:hAnsi="David"/>
                <w:sz w:val="26"/>
                <w:szCs w:val="26"/>
                <w:rtl/>
              </w:rPr>
            </w:pPr>
          </w:p>
        </w:tc>
        <w:tc>
          <w:tcPr>
            <w:tcW w:w="3219" w:type="dxa"/>
            <w:tcBorders>
              <w:top w:val="nil"/>
              <w:left w:val="nil"/>
              <w:bottom w:val="nil"/>
              <w:right w:val="nil"/>
            </w:tcBorders>
            <w:shd w:val="clear" w:color="auto" w:fill="auto"/>
          </w:tcPr>
          <w:p w14:paraId="7DB6495B" w14:textId="77777777" w:rsidR="00942439" w:rsidRPr="00E54337" w:rsidRDefault="00942439" w:rsidP="00707966">
            <w:pPr>
              <w:rPr>
                <w:rFonts w:ascii="Arial" w:hAnsi="Arial"/>
                <w:b/>
                <w:bCs/>
                <w:sz w:val="26"/>
                <w:szCs w:val="26"/>
                <w:rtl/>
              </w:rPr>
            </w:pPr>
            <w:r w:rsidRPr="00E54337">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552919A6" w14:textId="77777777" w:rsidR="00942439" w:rsidRPr="00E54337" w:rsidRDefault="00942439" w:rsidP="00942439">
            <w:pPr>
              <w:suppressLineNumbers/>
            </w:pPr>
            <w:r w:rsidRPr="00E54337">
              <w:rPr>
                <w:rFonts w:ascii="Arial" w:hAnsi="Arial"/>
                <w:b/>
                <w:bCs/>
                <w:sz w:val="26"/>
                <w:szCs w:val="26"/>
                <w:rtl/>
              </w:rPr>
              <w:t>היתם קואסמה (עציר)</w:t>
            </w:r>
            <w:r w:rsidRPr="00E54337">
              <w:rPr>
                <w:rFonts w:ascii="Arial" w:hAnsi="Arial"/>
                <w:b/>
                <w:bCs/>
                <w:sz w:val="26"/>
                <w:szCs w:val="26"/>
                <w:rtl/>
              </w:rPr>
              <w:br/>
            </w:r>
            <w:r w:rsidRPr="00E54337">
              <w:rPr>
                <w:rFonts w:ascii="Arial" w:hAnsi="Arial" w:hint="cs"/>
                <w:b/>
                <w:bCs/>
                <w:sz w:val="26"/>
                <w:szCs w:val="26"/>
                <w:rtl/>
              </w:rPr>
              <w:t>ע"י ב"כ עו"ד וסים דראושה</w:t>
            </w:r>
          </w:p>
          <w:p w14:paraId="24C9DD3B" w14:textId="77777777" w:rsidR="00942439" w:rsidRPr="00E54337" w:rsidRDefault="00942439" w:rsidP="00707966">
            <w:pPr>
              <w:rPr>
                <w:rFonts w:ascii="David" w:hAnsi="David"/>
                <w:sz w:val="26"/>
                <w:szCs w:val="26"/>
              </w:rPr>
            </w:pPr>
          </w:p>
        </w:tc>
      </w:tr>
    </w:tbl>
    <w:p w14:paraId="7787455E" w14:textId="77777777" w:rsidR="00E54337" w:rsidRDefault="00E54337" w:rsidP="00D612CD">
      <w:pPr>
        <w:rPr>
          <w:sz w:val="26"/>
          <w:szCs w:val="26"/>
          <w:rtl/>
        </w:rPr>
      </w:pPr>
    </w:p>
    <w:p w14:paraId="1B7D1585" w14:textId="77777777" w:rsidR="00E54337" w:rsidRPr="00E54337" w:rsidRDefault="00E54337" w:rsidP="00E54337">
      <w:pPr>
        <w:spacing w:after="120" w:line="240" w:lineRule="exact"/>
        <w:ind w:left="283" w:hanging="283"/>
        <w:jc w:val="both"/>
        <w:rPr>
          <w:rFonts w:ascii="FrankRuehl" w:hAnsi="FrankRuehl" w:cs="FrankRuehl"/>
          <w:rtl/>
        </w:rPr>
      </w:pPr>
    </w:p>
    <w:p w14:paraId="28AF5839" w14:textId="77777777" w:rsidR="006F0FCA" w:rsidRPr="006F0FCA" w:rsidRDefault="006F0FCA" w:rsidP="006F0FCA">
      <w:pPr>
        <w:spacing w:before="120" w:after="120" w:line="240" w:lineRule="exact"/>
        <w:ind w:left="283" w:hanging="283"/>
        <w:jc w:val="both"/>
        <w:rPr>
          <w:rFonts w:ascii="FrankRuehl" w:hAnsi="FrankRuehl" w:cs="FrankRuehl"/>
          <w:rtl/>
        </w:rPr>
      </w:pPr>
    </w:p>
    <w:p w14:paraId="69D8526E" w14:textId="77777777" w:rsidR="00B4615F" w:rsidRDefault="00B4615F" w:rsidP="00B4615F">
      <w:pPr>
        <w:rPr>
          <w:sz w:val="26"/>
          <w:szCs w:val="26"/>
          <w:rtl/>
        </w:rPr>
      </w:pPr>
      <w:bookmarkStart w:id="3" w:name="LawTable"/>
      <w:bookmarkEnd w:id="3"/>
    </w:p>
    <w:p w14:paraId="2ADF29FE" w14:textId="77777777" w:rsidR="00B4615F" w:rsidRPr="00B4615F" w:rsidRDefault="00B4615F" w:rsidP="00B4615F">
      <w:pPr>
        <w:spacing w:before="120" w:after="120" w:line="240" w:lineRule="exact"/>
        <w:ind w:left="283" w:hanging="283"/>
        <w:jc w:val="both"/>
        <w:rPr>
          <w:rFonts w:ascii="FrankRuehl" w:hAnsi="FrankRuehl" w:cs="FrankRuehl"/>
          <w:rtl/>
        </w:rPr>
      </w:pPr>
    </w:p>
    <w:p w14:paraId="4E5ABB8E" w14:textId="77777777" w:rsidR="00B4615F" w:rsidRPr="00B4615F" w:rsidRDefault="00B4615F" w:rsidP="00B4615F">
      <w:pPr>
        <w:spacing w:before="120" w:after="120" w:line="240" w:lineRule="exact"/>
        <w:ind w:left="283" w:hanging="283"/>
        <w:jc w:val="both"/>
        <w:rPr>
          <w:rFonts w:ascii="FrankRuehl" w:hAnsi="FrankRuehl" w:cs="FrankRuehl"/>
          <w:rtl/>
        </w:rPr>
      </w:pPr>
    </w:p>
    <w:p w14:paraId="09DA1EF7" w14:textId="77777777" w:rsidR="00B4615F" w:rsidRPr="00B4615F" w:rsidRDefault="00B4615F" w:rsidP="00B4615F">
      <w:pPr>
        <w:spacing w:before="120" w:after="120" w:line="240" w:lineRule="exact"/>
        <w:ind w:left="283" w:hanging="283"/>
        <w:jc w:val="both"/>
        <w:rPr>
          <w:rFonts w:ascii="FrankRuehl" w:hAnsi="FrankRuehl" w:cs="FrankRuehl"/>
          <w:rtl/>
        </w:rPr>
      </w:pPr>
      <w:r w:rsidRPr="00B4615F">
        <w:rPr>
          <w:rFonts w:ascii="FrankRuehl" w:hAnsi="FrankRuehl" w:cs="FrankRuehl"/>
          <w:rtl/>
        </w:rPr>
        <w:t xml:space="preserve">חקיקה שאוזכרה: </w:t>
      </w:r>
    </w:p>
    <w:p w14:paraId="0FE29E2F" w14:textId="77777777" w:rsidR="00B4615F" w:rsidRPr="00B4615F" w:rsidRDefault="00B4615F" w:rsidP="00B4615F">
      <w:pPr>
        <w:spacing w:before="120" w:after="120" w:line="240" w:lineRule="exact"/>
        <w:ind w:left="283" w:hanging="283"/>
        <w:jc w:val="both"/>
        <w:rPr>
          <w:rFonts w:ascii="FrankRuehl" w:hAnsi="FrankRuehl" w:cs="FrankRuehl"/>
          <w:rtl/>
        </w:rPr>
      </w:pPr>
      <w:hyperlink r:id="rId6" w:history="1">
        <w:r w:rsidRPr="00B4615F">
          <w:rPr>
            <w:rFonts w:ascii="FrankRuehl" w:hAnsi="FrankRuehl" w:cs="FrankRuehl"/>
            <w:color w:val="0000FF"/>
            <w:rtl/>
          </w:rPr>
          <w:t>חוק העונשין, תשל"ז-1977</w:t>
        </w:r>
      </w:hyperlink>
      <w:r w:rsidRPr="00B4615F">
        <w:rPr>
          <w:rFonts w:ascii="FrankRuehl" w:hAnsi="FrankRuehl" w:cs="FrankRuehl"/>
          <w:rtl/>
        </w:rPr>
        <w:t xml:space="preserve">: סע'  </w:t>
      </w:r>
      <w:hyperlink r:id="rId7" w:history="1">
        <w:r w:rsidRPr="00B4615F">
          <w:rPr>
            <w:rFonts w:ascii="FrankRuehl" w:hAnsi="FrankRuehl" w:cs="FrankRuehl"/>
            <w:color w:val="0000FF"/>
            <w:rtl/>
          </w:rPr>
          <w:t>25</w:t>
        </w:r>
      </w:hyperlink>
      <w:r w:rsidRPr="00B4615F">
        <w:rPr>
          <w:rFonts w:ascii="FrankRuehl" w:hAnsi="FrankRuehl" w:cs="FrankRuehl"/>
          <w:rtl/>
        </w:rPr>
        <w:t xml:space="preserve">, </w:t>
      </w:r>
      <w:hyperlink r:id="rId8" w:history="1">
        <w:r w:rsidRPr="00B4615F">
          <w:rPr>
            <w:rFonts w:ascii="FrankRuehl" w:hAnsi="FrankRuehl" w:cs="FrankRuehl"/>
            <w:color w:val="0000FF"/>
            <w:rtl/>
          </w:rPr>
          <w:t>40ג(א)</w:t>
        </w:r>
      </w:hyperlink>
      <w:r w:rsidRPr="00B4615F">
        <w:rPr>
          <w:rFonts w:ascii="FrankRuehl" w:hAnsi="FrankRuehl" w:cs="FrankRuehl"/>
          <w:rtl/>
        </w:rPr>
        <w:t xml:space="preserve">, </w:t>
      </w:r>
      <w:hyperlink r:id="rId9" w:history="1">
        <w:r w:rsidRPr="00B4615F">
          <w:rPr>
            <w:rFonts w:ascii="FrankRuehl" w:hAnsi="FrankRuehl" w:cs="FrankRuehl"/>
            <w:color w:val="0000FF"/>
            <w:rtl/>
          </w:rPr>
          <w:t>40ו</w:t>
        </w:r>
      </w:hyperlink>
      <w:r w:rsidRPr="00B4615F">
        <w:rPr>
          <w:rFonts w:ascii="FrankRuehl" w:hAnsi="FrankRuehl" w:cs="FrankRuehl"/>
          <w:rtl/>
        </w:rPr>
        <w:t xml:space="preserve">, </w:t>
      </w:r>
      <w:hyperlink r:id="rId10" w:history="1">
        <w:r w:rsidRPr="00B4615F">
          <w:rPr>
            <w:rFonts w:ascii="FrankRuehl" w:hAnsi="FrankRuehl" w:cs="FrankRuehl"/>
            <w:color w:val="0000FF"/>
            <w:rtl/>
          </w:rPr>
          <w:t>40ז</w:t>
        </w:r>
      </w:hyperlink>
      <w:r w:rsidRPr="00B4615F">
        <w:rPr>
          <w:rFonts w:ascii="FrankRuehl" w:hAnsi="FrankRuehl" w:cs="FrankRuehl"/>
          <w:rtl/>
        </w:rPr>
        <w:t xml:space="preserve">, </w:t>
      </w:r>
      <w:hyperlink r:id="rId11" w:history="1">
        <w:r w:rsidRPr="00B4615F">
          <w:rPr>
            <w:rFonts w:ascii="FrankRuehl" w:hAnsi="FrankRuehl" w:cs="FrankRuehl"/>
            <w:color w:val="0000FF"/>
            <w:rtl/>
          </w:rPr>
          <w:t>144(א)</w:t>
        </w:r>
      </w:hyperlink>
      <w:r w:rsidRPr="00B4615F">
        <w:rPr>
          <w:rFonts w:ascii="FrankRuehl" w:hAnsi="FrankRuehl" w:cs="FrankRuehl"/>
          <w:rtl/>
        </w:rPr>
        <w:t xml:space="preserve">, </w:t>
      </w:r>
      <w:hyperlink r:id="rId12" w:history="1">
        <w:r w:rsidRPr="00B4615F">
          <w:rPr>
            <w:rFonts w:ascii="FrankRuehl" w:hAnsi="FrankRuehl" w:cs="FrankRuehl"/>
            <w:color w:val="0000FF"/>
            <w:rtl/>
          </w:rPr>
          <w:t>144(ב2)</w:t>
        </w:r>
      </w:hyperlink>
      <w:r w:rsidRPr="00B4615F">
        <w:rPr>
          <w:rFonts w:ascii="FrankRuehl" w:hAnsi="FrankRuehl" w:cs="FrankRuehl"/>
          <w:rtl/>
        </w:rPr>
        <w:t xml:space="preserve">, </w:t>
      </w:r>
      <w:hyperlink r:id="rId13" w:history="1">
        <w:r w:rsidRPr="00B4615F">
          <w:rPr>
            <w:rFonts w:ascii="FrankRuehl" w:hAnsi="FrankRuehl" w:cs="FrankRuehl"/>
            <w:color w:val="0000FF"/>
            <w:rtl/>
          </w:rPr>
          <w:t>40יא</w:t>
        </w:r>
      </w:hyperlink>
      <w:r w:rsidRPr="00B4615F">
        <w:rPr>
          <w:rFonts w:ascii="FrankRuehl" w:hAnsi="FrankRuehl" w:cs="FrankRuehl"/>
          <w:rtl/>
        </w:rPr>
        <w:t xml:space="preserve">, </w:t>
      </w:r>
      <w:hyperlink r:id="rId14" w:history="1">
        <w:r w:rsidRPr="00B4615F">
          <w:rPr>
            <w:rFonts w:ascii="FrankRuehl" w:hAnsi="FrankRuehl" w:cs="FrankRuehl"/>
            <w:color w:val="0000FF"/>
            <w:rtl/>
          </w:rPr>
          <w:t>40יג(א)</w:t>
        </w:r>
      </w:hyperlink>
      <w:r w:rsidRPr="00B4615F">
        <w:rPr>
          <w:rFonts w:ascii="FrankRuehl" w:hAnsi="FrankRuehl" w:cs="FrankRuehl"/>
          <w:rtl/>
        </w:rPr>
        <w:t xml:space="preserve">, </w:t>
      </w:r>
      <w:hyperlink r:id="rId15" w:history="1">
        <w:r w:rsidRPr="00B4615F">
          <w:rPr>
            <w:rFonts w:ascii="FrankRuehl" w:hAnsi="FrankRuehl" w:cs="FrankRuehl"/>
            <w:color w:val="0000FF"/>
            <w:rtl/>
          </w:rPr>
          <w:t>499(א)(1)</w:t>
        </w:r>
      </w:hyperlink>
    </w:p>
    <w:p w14:paraId="03DB2A40" w14:textId="77777777" w:rsidR="00B4615F" w:rsidRPr="00B4615F" w:rsidRDefault="00B4615F" w:rsidP="00B4615F">
      <w:pPr>
        <w:spacing w:before="120" w:after="120" w:line="240" w:lineRule="exact"/>
        <w:ind w:left="283" w:hanging="283"/>
        <w:jc w:val="both"/>
        <w:rPr>
          <w:rFonts w:ascii="FrankRuehl" w:hAnsi="FrankRuehl" w:cs="FrankRuehl"/>
          <w:rtl/>
        </w:rPr>
      </w:pPr>
      <w:hyperlink r:id="rId16" w:history="1">
        <w:r w:rsidRPr="00B4615F">
          <w:rPr>
            <w:rFonts w:ascii="FrankRuehl" w:hAnsi="FrankRuehl" w:cs="FrankRuehl"/>
            <w:color w:val="0000FF"/>
            <w:rtl/>
          </w:rPr>
          <w:t>חוק סדר הדין הפלילי [נוסח משולב], תשמ"ב-1982</w:t>
        </w:r>
      </w:hyperlink>
      <w:r w:rsidRPr="00B4615F">
        <w:rPr>
          <w:rFonts w:ascii="FrankRuehl" w:hAnsi="FrankRuehl" w:cs="FrankRuehl"/>
          <w:rtl/>
        </w:rPr>
        <w:t xml:space="preserve">: סע'  </w:t>
      </w:r>
      <w:hyperlink r:id="rId17" w:history="1">
        <w:r w:rsidRPr="00B4615F">
          <w:rPr>
            <w:rFonts w:ascii="FrankRuehl" w:hAnsi="FrankRuehl" w:cs="FrankRuehl"/>
            <w:color w:val="0000FF"/>
            <w:rtl/>
          </w:rPr>
          <w:t>186</w:t>
        </w:r>
      </w:hyperlink>
    </w:p>
    <w:p w14:paraId="09F07D12" w14:textId="77777777" w:rsidR="00B4615F" w:rsidRPr="00B4615F" w:rsidRDefault="00B4615F" w:rsidP="00B4615F">
      <w:pPr>
        <w:rPr>
          <w:sz w:val="26"/>
          <w:szCs w:val="26"/>
          <w:rtl/>
        </w:rPr>
      </w:pPr>
      <w:bookmarkStart w:id="4" w:name="LawTable_End"/>
      <w:bookmarkEnd w:id="4"/>
    </w:p>
    <w:p w14:paraId="69FAC845" w14:textId="77777777" w:rsidR="00942439" w:rsidRPr="006F0FCA" w:rsidRDefault="00942439" w:rsidP="006F0FCA">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42439" w:rsidRPr="00E54337" w14:paraId="0146346F" w14:textId="77777777" w:rsidTr="00942439">
        <w:trPr>
          <w:trHeight w:val="355"/>
          <w:jc w:val="center"/>
        </w:trPr>
        <w:tc>
          <w:tcPr>
            <w:tcW w:w="8820" w:type="dxa"/>
            <w:tcBorders>
              <w:top w:val="nil"/>
              <w:left w:val="nil"/>
              <w:bottom w:val="nil"/>
              <w:right w:val="nil"/>
            </w:tcBorders>
            <w:shd w:val="clear" w:color="auto" w:fill="auto"/>
          </w:tcPr>
          <w:p w14:paraId="54E1E9C3" w14:textId="77777777" w:rsidR="00D612CD" w:rsidRPr="00E54337" w:rsidRDefault="00D612CD" w:rsidP="00D612CD">
            <w:pPr>
              <w:jc w:val="center"/>
              <w:rPr>
                <w:rFonts w:ascii="David" w:hAnsi="David"/>
                <w:b/>
                <w:bCs/>
                <w:sz w:val="32"/>
                <w:szCs w:val="32"/>
                <w:u w:val="single"/>
                <w:rtl/>
              </w:rPr>
            </w:pPr>
            <w:bookmarkStart w:id="5" w:name="PsakDin" w:colFirst="0" w:colLast="0"/>
            <w:bookmarkEnd w:id="0"/>
            <w:bookmarkEnd w:id="1"/>
            <w:r w:rsidRPr="00E54337">
              <w:rPr>
                <w:rFonts w:ascii="David" w:hAnsi="David"/>
                <w:b/>
                <w:bCs/>
                <w:sz w:val="32"/>
                <w:szCs w:val="32"/>
                <w:u w:val="single"/>
                <w:rtl/>
              </w:rPr>
              <w:t>גזר דין</w:t>
            </w:r>
          </w:p>
          <w:p w14:paraId="79D1D0DA" w14:textId="77777777" w:rsidR="00942439" w:rsidRPr="00E54337" w:rsidRDefault="00942439" w:rsidP="00D612CD">
            <w:pPr>
              <w:jc w:val="center"/>
              <w:rPr>
                <w:rFonts w:ascii="David" w:hAnsi="David"/>
                <w:bCs/>
                <w:sz w:val="32"/>
                <w:szCs w:val="32"/>
                <w:u w:val="single"/>
                <w:rtl/>
              </w:rPr>
            </w:pPr>
          </w:p>
        </w:tc>
      </w:tr>
    </w:tbl>
    <w:bookmarkEnd w:id="5"/>
    <w:p w14:paraId="7D5635E6" w14:textId="77777777" w:rsidR="00942439" w:rsidRPr="00E54337" w:rsidRDefault="00942439" w:rsidP="00942439">
      <w:pPr>
        <w:spacing w:line="360" w:lineRule="auto"/>
        <w:jc w:val="both"/>
        <w:rPr>
          <w:b/>
          <w:bCs/>
          <w:sz w:val="28"/>
          <w:szCs w:val="28"/>
          <w:rtl/>
        </w:rPr>
      </w:pPr>
      <w:r w:rsidRPr="00E54337">
        <w:rPr>
          <w:b/>
          <w:bCs/>
          <w:sz w:val="28"/>
          <w:szCs w:val="28"/>
          <w:u w:val="single"/>
          <w:rtl/>
        </w:rPr>
        <w:t>רקע</w:t>
      </w:r>
    </w:p>
    <w:p w14:paraId="6F5EC5DE" w14:textId="77777777" w:rsidR="00942439" w:rsidRPr="00E54337" w:rsidRDefault="00942439" w:rsidP="00942439">
      <w:pPr>
        <w:pStyle w:val="Ruller40"/>
        <w:rPr>
          <w:rFonts w:cs="David"/>
          <w:rtl/>
        </w:rPr>
      </w:pPr>
      <w:r w:rsidRPr="00E54337">
        <w:rPr>
          <w:rFonts w:cs="David"/>
          <w:rtl/>
        </w:rPr>
        <w:t>1.</w:t>
      </w:r>
      <w:r w:rsidRPr="00E54337">
        <w:rPr>
          <w:rFonts w:cs="David"/>
          <w:rtl/>
        </w:rPr>
        <w:tab/>
      </w:r>
      <w:bookmarkStart w:id="6" w:name="ABSTRACT_START"/>
      <w:bookmarkEnd w:id="6"/>
      <w:r w:rsidRPr="00E54337">
        <w:rPr>
          <w:rFonts w:cs="David"/>
          <w:rtl/>
        </w:rPr>
        <w:t xml:space="preserve">הנאשם הורשע לפי הודאתו במסגרת הסדר טיעון, בשלוש עבירות של סחר בנשק לפי </w:t>
      </w:r>
      <w:hyperlink r:id="rId18" w:history="1">
        <w:r w:rsidR="00E54337" w:rsidRPr="00E54337">
          <w:rPr>
            <w:rStyle w:val="Hyperlink"/>
            <w:rFonts w:cs="David"/>
            <w:rtl/>
          </w:rPr>
          <w:t>סעיף 144(ב2)</w:t>
        </w:r>
      </w:hyperlink>
      <w:r w:rsidRPr="00E54337">
        <w:rPr>
          <w:rFonts w:cs="David"/>
          <w:rtl/>
        </w:rPr>
        <w:t xml:space="preserve"> לחוק, שתיים מהן בצוותא; בשלוש עבירות של רכישה והחזקה של נשק שלא כדין לפי </w:t>
      </w:r>
      <w:hyperlink r:id="rId19" w:history="1">
        <w:r w:rsidR="00E54337" w:rsidRPr="00E54337">
          <w:rPr>
            <w:rStyle w:val="Hyperlink"/>
            <w:rFonts w:cs="David"/>
            <w:rtl/>
          </w:rPr>
          <w:t>סעיף 144(א)</w:t>
        </w:r>
      </w:hyperlink>
      <w:r w:rsidRPr="00E54337">
        <w:rPr>
          <w:rFonts w:cs="David"/>
          <w:rtl/>
        </w:rPr>
        <w:t xml:space="preserve"> רישא ל</w:t>
      </w:r>
      <w:hyperlink r:id="rId20" w:history="1">
        <w:r w:rsidR="00D612CD" w:rsidRPr="00E54337">
          <w:rPr>
            <w:rFonts w:cs="David"/>
            <w:color w:val="0000FF"/>
            <w:u w:val="single"/>
            <w:rtl/>
          </w:rPr>
          <w:t>חוק העונשין</w:t>
        </w:r>
      </w:hyperlink>
      <w:r w:rsidRPr="00E54337">
        <w:rPr>
          <w:rFonts w:cs="David"/>
          <w:rtl/>
        </w:rPr>
        <w:t xml:space="preserve">, התשל"ז-1977 (להלן: </w:t>
      </w:r>
      <w:r w:rsidRPr="00E54337">
        <w:rPr>
          <w:rFonts w:cs="David"/>
          <w:sz w:val="24"/>
          <w:szCs w:val="24"/>
          <w:rtl/>
        </w:rPr>
        <w:t xml:space="preserve">חוק העונשין </w:t>
      </w:r>
      <w:r w:rsidRPr="00E54337">
        <w:rPr>
          <w:rFonts w:cs="David"/>
          <w:sz w:val="28"/>
          <w:rtl/>
        </w:rPr>
        <w:t xml:space="preserve">או </w:t>
      </w:r>
      <w:r w:rsidRPr="00E54337">
        <w:rPr>
          <w:rFonts w:cs="David"/>
          <w:sz w:val="24"/>
          <w:szCs w:val="24"/>
          <w:rtl/>
        </w:rPr>
        <w:t>החוק</w:t>
      </w:r>
      <w:r w:rsidRPr="00E54337">
        <w:rPr>
          <w:rFonts w:cs="David"/>
          <w:sz w:val="28"/>
          <w:rtl/>
        </w:rPr>
        <w:t>),</w:t>
      </w:r>
      <w:r w:rsidRPr="00E54337">
        <w:rPr>
          <w:rFonts w:cs="David"/>
          <w:rtl/>
        </w:rPr>
        <w:t xml:space="preserve"> שתיים מהן בצוותא; בשלוש עבירות של קשירת קשר לביצוע פשע לפי </w:t>
      </w:r>
      <w:hyperlink r:id="rId21" w:history="1">
        <w:r w:rsidR="00E54337" w:rsidRPr="00E54337">
          <w:rPr>
            <w:rStyle w:val="Hyperlink"/>
            <w:rFonts w:cs="David"/>
            <w:rtl/>
          </w:rPr>
          <w:t>סעיף 499(א)(1)</w:t>
        </w:r>
      </w:hyperlink>
      <w:r w:rsidRPr="00E54337">
        <w:rPr>
          <w:rFonts w:cs="David"/>
          <w:rtl/>
        </w:rPr>
        <w:t xml:space="preserve"> לחוק; ובעבירה אחת של ניסיון לסחר בתחמושת לפי </w:t>
      </w:r>
      <w:hyperlink r:id="rId22" w:history="1">
        <w:r w:rsidR="00E54337" w:rsidRPr="00E54337">
          <w:rPr>
            <w:rStyle w:val="Hyperlink"/>
            <w:rFonts w:cs="David"/>
            <w:rtl/>
          </w:rPr>
          <w:t>סעיף 144(ב2)</w:t>
        </w:r>
      </w:hyperlink>
      <w:r w:rsidRPr="00E54337">
        <w:rPr>
          <w:rFonts w:cs="David"/>
          <w:rtl/>
        </w:rPr>
        <w:t xml:space="preserve"> בצירוף סעיף </w:t>
      </w:r>
      <w:hyperlink r:id="rId23" w:history="1">
        <w:r w:rsidR="00E54337" w:rsidRPr="00E54337">
          <w:rPr>
            <w:rStyle w:val="Hyperlink"/>
            <w:rFonts w:cs="David"/>
            <w:rtl/>
          </w:rPr>
          <w:t>25</w:t>
        </w:r>
      </w:hyperlink>
      <w:r w:rsidRPr="00E54337">
        <w:rPr>
          <w:rFonts w:cs="David"/>
          <w:rtl/>
        </w:rPr>
        <w:t xml:space="preserve"> לחוק.</w:t>
      </w:r>
    </w:p>
    <w:p w14:paraId="21D9D10F" w14:textId="77777777" w:rsidR="00942439" w:rsidRPr="00E54337" w:rsidRDefault="00942439" w:rsidP="00942439">
      <w:pPr>
        <w:pStyle w:val="Ruller40"/>
        <w:rPr>
          <w:rFonts w:cs="David"/>
          <w:rtl/>
        </w:rPr>
      </w:pPr>
    </w:p>
    <w:p w14:paraId="3C35E638" w14:textId="77777777" w:rsidR="00942439" w:rsidRPr="00E54337" w:rsidRDefault="00942439" w:rsidP="00942439">
      <w:pPr>
        <w:pStyle w:val="Ruller40"/>
        <w:rPr>
          <w:rFonts w:cs="David"/>
          <w:rtl/>
        </w:rPr>
      </w:pPr>
      <w:bookmarkStart w:id="7" w:name="ABSTRACT_END"/>
      <w:bookmarkEnd w:id="7"/>
      <w:r w:rsidRPr="00E54337">
        <w:rPr>
          <w:rFonts w:cs="David"/>
          <w:rtl/>
        </w:rPr>
        <w:lastRenderedPageBreak/>
        <w:t>2.</w:t>
      </w:r>
      <w:r w:rsidRPr="00E54337">
        <w:rPr>
          <w:rFonts w:cs="David"/>
          <w:rtl/>
        </w:rPr>
        <w:tab/>
        <w:t>כתב האישום המתוקן שבעובדותיו הודה הנאשם, כולל חלק כללי ושבעה אישומים.</w:t>
      </w:r>
    </w:p>
    <w:p w14:paraId="7ACDCDE7" w14:textId="77777777" w:rsidR="00942439" w:rsidRPr="00E54337" w:rsidRDefault="00942439" w:rsidP="00942439">
      <w:pPr>
        <w:pStyle w:val="Ruller40"/>
        <w:rPr>
          <w:rFonts w:cs="David"/>
          <w:rtl/>
        </w:rPr>
      </w:pPr>
    </w:p>
    <w:p w14:paraId="446115C6" w14:textId="77777777" w:rsidR="00942439" w:rsidRPr="00E54337" w:rsidRDefault="00942439" w:rsidP="00942439">
      <w:pPr>
        <w:pStyle w:val="Ruller40"/>
        <w:rPr>
          <w:rFonts w:cs="David"/>
          <w:rtl/>
        </w:rPr>
      </w:pPr>
      <w:r w:rsidRPr="00E54337">
        <w:rPr>
          <w:rFonts w:cs="David"/>
          <w:rtl/>
        </w:rPr>
        <w:tab/>
        <w:t xml:space="preserve">בהתאם </w:t>
      </w:r>
      <w:r w:rsidRPr="00E54337">
        <w:rPr>
          <w:rFonts w:cs="David"/>
          <w:b/>
          <w:bCs/>
          <w:rtl/>
        </w:rPr>
        <w:t>לחלק הכללי</w:t>
      </w:r>
      <w:r w:rsidRPr="00E54337">
        <w:rPr>
          <w:rFonts w:cs="David"/>
          <w:rtl/>
        </w:rPr>
        <w:t xml:space="preserve"> של כתב האישום, הנאשם הוא אחיו של איברהים קוואסמה (להלן: </w:t>
      </w:r>
      <w:r w:rsidRPr="00E54337">
        <w:rPr>
          <w:rFonts w:ascii="Miriam" w:hAnsi="Miriam" w:cs="David"/>
          <w:sz w:val="24"/>
          <w:szCs w:val="24"/>
          <w:rtl/>
        </w:rPr>
        <w:t>איברהים</w:t>
      </w:r>
      <w:r w:rsidRPr="00E54337">
        <w:rPr>
          <w:rFonts w:cs="David"/>
          <w:rtl/>
        </w:rPr>
        <w:t xml:space="preserve">). כמו כן, הנאשם הוא חבר של אחמד עמרו (להלן: </w:t>
      </w:r>
      <w:r w:rsidRPr="00E54337">
        <w:rPr>
          <w:rFonts w:ascii="Miriam" w:hAnsi="Miriam" w:cs="David"/>
          <w:sz w:val="24"/>
          <w:szCs w:val="24"/>
          <w:rtl/>
        </w:rPr>
        <w:t>אחמד</w:t>
      </w:r>
      <w:r w:rsidRPr="00E54337">
        <w:rPr>
          <w:rFonts w:cs="David"/>
          <w:rtl/>
        </w:rPr>
        <w:t>), שהנו אסיר המרצה עונש מאסר בפועל בכלא בן 20 שנים.</w:t>
      </w:r>
    </w:p>
    <w:p w14:paraId="5B8D1456" w14:textId="77777777" w:rsidR="00942439" w:rsidRPr="00E54337" w:rsidRDefault="00942439" w:rsidP="00942439">
      <w:pPr>
        <w:pStyle w:val="Ruller40"/>
        <w:rPr>
          <w:rFonts w:cs="David"/>
          <w:rtl/>
        </w:rPr>
      </w:pPr>
    </w:p>
    <w:p w14:paraId="4E52050D" w14:textId="77777777" w:rsidR="00942439" w:rsidRPr="00E54337" w:rsidRDefault="00942439" w:rsidP="00942439">
      <w:pPr>
        <w:pStyle w:val="Ruller40"/>
        <w:rPr>
          <w:rFonts w:cs="David"/>
          <w:rtl/>
        </w:rPr>
      </w:pPr>
      <w:r w:rsidRPr="00E54337">
        <w:rPr>
          <w:rFonts w:cs="David"/>
          <w:rtl/>
        </w:rPr>
        <w:tab/>
      </w:r>
      <w:r w:rsidRPr="00E54337">
        <w:rPr>
          <w:rFonts w:cs="David"/>
          <w:b/>
          <w:bCs/>
          <w:rtl/>
        </w:rPr>
        <w:t>האישומים הראשון עד השלישי</w:t>
      </w:r>
      <w:r w:rsidRPr="00E54337">
        <w:rPr>
          <w:rFonts w:cs="David"/>
          <w:rtl/>
        </w:rPr>
        <w:t xml:space="preserve"> הם פרי קשר שנקשר בין הנאשם ובין אחיו איברהים במהלך כחצי שנה עובר ליום 16.11.2020, וזאת לצורך ביצוע עסקאות בכלי נשק ובתחמושת (להלן: </w:t>
      </w:r>
      <w:r w:rsidRPr="00E54337">
        <w:rPr>
          <w:rFonts w:ascii="Miriam" w:hAnsi="Miriam" w:cs="David"/>
          <w:sz w:val="24"/>
          <w:szCs w:val="24"/>
          <w:rtl/>
        </w:rPr>
        <w:t>הקשר הראשון</w:t>
      </w:r>
      <w:r w:rsidRPr="00E54337">
        <w:rPr>
          <w:rFonts w:cs="David"/>
          <w:rtl/>
        </w:rPr>
        <w:t xml:space="preserve">). </w:t>
      </w:r>
      <w:r w:rsidRPr="00E54337">
        <w:rPr>
          <w:rFonts w:cs="David"/>
          <w:b/>
          <w:bCs/>
          <w:rtl/>
        </w:rPr>
        <w:t>באישום הרביעי</w:t>
      </w:r>
      <w:r w:rsidRPr="00E54337">
        <w:rPr>
          <w:rFonts w:cs="David"/>
          <w:rtl/>
        </w:rPr>
        <w:t xml:space="preserve"> הנאשם פעל לבדו, ולא במסגרת קשר עם אחר. </w:t>
      </w:r>
      <w:r w:rsidRPr="00E54337">
        <w:rPr>
          <w:rFonts w:cs="David"/>
          <w:b/>
          <w:bCs/>
          <w:rtl/>
        </w:rPr>
        <w:t>האישומים החמישי ואילך</w:t>
      </w:r>
      <w:r w:rsidRPr="00E54337">
        <w:rPr>
          <w:rFonts w:cs="David"/>
          <w:rtl/>
        </w:rPr>
        <w:t xml:space="preserve"> הם פרי קשר שנקשר בין הנאשם לחברו אחמד במהלך שנת 2020 באמצעות שיחות טלפוניות בין השניים בעוד אחמד שוהה בכלא, וזאת לצורך ביצוע עסקאות בכלי נשק ובתחמושת. במסגרת הקשר הנ"ל, סוכם שאחמד ייצור קשר עם גורמים שונים שעוסקים במכירה וברכישה של אמל"ח, ואילו הנאשם יבצע את העברת האמל"ח והתמורה, תוך שהרווחים יחולקו בין השניים (להלן: </w:t>
      </w:r>
      <w:r w:rsidRPr="00E54337">
        <w:rPr>
          <w:rFonts w:ascii="Miriam" w:hAnsi="Miriam" w:cs="David"/>
          <w:sz w:val="24"/>
          <w:szCs w:val="24"/>
          <w:rtl/>
        </w:rPr>
        <w:t>הקשר השני</w:t>
      </w:r>
      <w:r w:rsidRPr="00E54337">
        <w:rPr>
          <w:rFonts w:cs="David"/>
          <w:rtl/>
        </w:rPr>
        <w:t xml:space="preserve">). </w:t>
      </w:r>
    </w:p>
    <w:p w14:paraId="3B98AD72" w14:textId="77777777" w:rsidR="00942439" w:rsidRPr="00E54337" w:rsidRDefault="00942439" w:rsidP="00942439">
      <w:pPr>
        <w:pStyle w:val="Ruller40"/>
        <w:rPr>
          <w:rFonts w:cs="David"/>
          <w:rtl/>
        </w:rPr>
      </w:pPr>
    </w:p>
    <w:p w14:paraId="6B42D391" w14:textId="77777777" w:rsidR="00942439" w:rsidRPr="00E54337" w:rsidRDefault="00942439" w:rsidP="00942439">
      <w:pPr>
        <w:pStyle w:val="Ruller40"/>
        <w:rPr>
          <w:rFonts w:cs="David"/>
          <w:rtl/>
        </w:rPr>
      </w:pPr>
      <w:r w:rsidRPr="00E54337">
        <w:rPr>
          <w:rFonts w:cs="David"/>
          <w:rtl/>
        </w:rPr>
        <w:tab/>
        <w:t>להלן יובא פירוט לגבי כל אחד משבעת האישומים נושא כתב האישום המתוקן בהם הודה הנאשם.</w:t>
      </w:r>
    </w:p>
    <w:p w14:paraId="7DBB43C1" w14:textId="77777777" w:rsidR="00942439" w:rsidRPr="00E54337" w:rsidRDefault="00942439" w:rsidP="00942439">
      <w:pPr>
        <w:pStyle w:val="Ruller40"/>
        <w:rPr>
          <w:rFonts w:cs="David"/>
          <w:rtl/>
        </w:rPr>
      </w:pPr>
    </w:p>
    <w:p w14:paraId="14233A7A" w14:textId="77777777" w:rsidR="00942439" w:rsidRPr="00E54337" w:rsidRDefault="00942439" w:rsidP="00942439">
      <w:pPr>
        <w:pStyle w:val="Ruller40"/>
        <w:rPr>
          <w:rFonts w:cs="David"/>
          <w:rtl/>
        </w:rPr>
      </w:pPr>
      <w:r w:rsidRPr="00E54337">
        <w:rPr>
          <w:rFonts w:cs="David"/>
          <w:rtl/>
        </w:rPr>
        <w:t>3.</w:t>
      </w:r>
      <w:r w:rsidRPr="00E54337">
        <w:rPr>
          <w:rFonts w:cs="David"/>
          <w:rtl/>
        </w:rPr>
        <w:tab/>
      </w:r>
      <w:r w:rsidRPr="00E54337">
        <w:rPr>
          <w:rFonts w:cs="David"/>
          <w:b/>
          <w:bCs/>
          <w:rtl/>
        </w:rPr>
        <w:t xml:space="preserve">באישום הראשון </w:t>
      </w:r>
      <w:r w:rsidRPr="00E54337">
        <w:rPr>
          <w:rFonts w:cs="David"/>
          <w:rtl/>
        </w:rPr>
        <w:t xml:space="preserve">הנאשם הורשע לפי הודאתו בעבירה של רכישה והחזקת נשק שלא כדין בצוותא. זאת בגין כך שכשנתיים עובר ליום 15.12.2020, במסגרת הקשר הראשון ועל דעתו של איברהים, הנאשם פנה לאדם אחר בשם חוויטי (להלן: </w:t>
      </w:r>
      <w:r w:rsidRPr="00E54337">
        <w:rPr>
          <w:rFonts w:ascii="Miriam" w:hAnsi="Miriam" w:cs="David"/>
          <w:sz w:val="24"/>
          <w:szCs w:val="24"/>
          <w:rtl/>
        </w:rPr>
        <w:t>חוויטי</w:t>
      </w:r>
      <w:r w:rsidRPr="00E54337">
        <w:rPr>
          <w:rFonts w:cs="David"/>
          <w:rtl/>
        </w:rPr>
        <w:t>), וביקש לרכוש ממנו נשק על רקע סכסוך אישי שקיים בין הנאשם ובין אחרים שזהותם אינה ידועה למאשימה. בהמשך לכך, הנאשם נפגש עם חוויטי וקיבל ממנו רובה 16-</w:t>
      </w:r>
      <w:r w:rsidRPr="00E54337">
        <w:rPr>
          <w:rFonts w:cs="David"/>
        </w:rPr>
        <w:t>M</w:t>
      </w:r>
      <w:r w:rsidRPr="00E54337">
        <w:rPr>
          <w:rFonts w:cs="David"/>
          <w:rtl/>
        </w:rPr>
        <w:t xml:space="preserve"> ביחד עם מחסנית ורצועה שחורה. בתמורה, הנאשם שילם לחוויטי סך של 47,000 ₪. הנשק האמור הוסתר אצל חבר של הנאשם. </w:t>
      </w:r>
    </w:p>
    <w:p w14:paraId="26871B6F" w14:textId="77777777" w:rsidR="00942439" w:rsidRPr="00E54337" w:rsidRDefault="00942439" w:rsidP="00942439">
      <w:pPr>
        <w:pStyle w:val="Ruller40"/>
        <w:rPr>
          <w:rFonts w:cs="David"/>
          <w:rtl/>
        </w:rPr>
      </w:pPr>
    </w:p>
    <w:p w14:paraId="2834453F" w14:textId="77777777" w:rsidR="00942439" w:rsidRPr="00E54337" w:rsidRDefault="00942439" w:rsidP="00942439">
      <w:pPr>
        <w:pStyle w:val="Ruller40"/>
        <w:rPr>
          <w:rFonts w:cs="David"/>
          <w:rtl/>
        </w:rPr>
      </w:pPr>
      <w:r w:rsidRPr="00E54337">
        <w:rPr>
          <w:rFonts w:cs="David"/>
          <w:rtl/>
        </w:rPr>
        <w:lastRenderedPageBreak/>
        <w:tab/>
      </w:r>
      <w:r w:rsidRPr="00E54337">
        <w:rPr>
          <w:rFonts w:cs="David"/>
          <w:b/>
          <w:bCs/>
          <w:rtl/>
        </w:rPr>
        <w:t>באישום השני</w:t>
      </w:r>
      <w:r w:rsidRPr="00E54337">
        <w:rPr>
          <w:rFonts w:cs="David"/>
          <w:rtl/>
        </w:rPr>
        <w:t xml:space="preserve"> הנאשם הורשע לפי הודאתו בעבירות של רכישה והחזקה של נשק שלא כדין בצוותא, וכן סחר בנשק בצוותא. זאת בגין כך שמספר חודשים לפני 30.11.2020, במסגרת הקשר הראשון ועל דעתו של איברהים, הנאשם יצר קשר עם חוויטי וביקש לרכוש ממנו נשק. כשבוע לאחר מכן, הנאשם נפגש עם חוויטי, האחרון מסר לידי הנאשם רובה 16-</w:t>
      </w:r>
      <w:r w:rsidRPr="00E54337">
        <w:rPr>
          <w:rFonts w:cs="David"/>
        </w:rPr>
        <w:t>M</w:t>
      </w:r>
      <w:r w:rsidRPr="00E54337">
        <w:rPr>
          <w:rFonts w:cs="David"/>
          <w:rtl/>
        </w:rPr>
        <w:t xml:space="preserve"> מוסב, ובתמורה הנאשם שילם לו 24,000 ₪. לאחר מכן, על דעתו של איברהים, הנאשם נשא את הנשק, ומכר אותו לאחר בשם חירבאווי תמורת סך של 36,000 ₪ ששולמו לידי הנאשם. מאוחר יותר, הנאשם ואיברהים התחלקו בתמורה.</w:t>
      </w:r>
    </w:p>
    <w:p w14:paraId="78514625" w14:textId="77777777" w:rsidR="00942439" w:rsidRPr="00E54337" w:rsidRDefault="00942439" w:rsidP="00942439">
      <w:pPr>
        <w:pStyle w:val="Ruller40"/>
        <w:rPr>
          <w:rFonts w:cs="David"/>
          <w:rtl/>
        </w:rPr>
      </w:pPr>
    </w:p>
    <w:p w14:paraId="60FCE57D" w14:textId="77777777" w:rsidR="00942439" w:rsidRPr="00E54337" w:rsidRDefault="00942439" w:rsidP="00942439">
      <w:pPr>
        <w:pStyle w:val="Ruller40"/>
        <w:rPr>
          <w:rFonts w:cs="David"/>
          <w:rtl/>
        </w:rPr>
      </w:pPr>
      <w:r w:rsidRPr="00E54337">
        <w:rPr>
          <w:rFonts w:cs="David"/>
          <w:rtl/>
        </w:rPr>
        <w:tab/>
      </w:r>
      <w:r w:rsidRPr="00E54337">
        <w:rPr>
          <w:rFonts w:cs="David"/>
          <w:b/>
          <w:bCs/>
          <w:rtl/>
        </w:rPr>
        <w:t xml:space="preserve">באישום השלישי </w:t>
      </w:r>
      <w:r w:rsidRPr="00E54337">
        <w:rPr>
          <w:rFonts w:cs="David"/>
          <w:rtl/>
        </w:rPr>
        <w:t>הנאשם</w:t>
      </w:r>
      <w:r w:rsidRPr="00E54337">
        <w:rPr>
          <w:rFonts w:cs="David"/>
          <w:b/>
          <w:bCs/>
          <w:rtl/>
        </w:rPr>
        <w:t xml:space="preserve"> </w:t>
      </w:r>
      <w:r w:rsidRPr="00E54337">
        <w:rPr>
          <w:rFonts w:cs="David"/>
          <w:rtl/>
        </w:rPr>
        <w:t>הורשע לפי הודאתו בעבירות של רכישה והחזקה של נשק שלא כדין בצוותא, וכן סחר בנשק בצוותא. זאת בגין כך שכשבועיים לאחר האירועים נושא האישום השני, במסגרת הקשר הראשון ועל דעתו של איברהים, הנאשם שוב יצר קשר עם חוויטי וביקש לרכוש ממנו נשק. כשבוע לאחר מכן, הנאשם נפגש עם חוויטי, האחרון מסר לידי הנאשם רובה 16-</w:t>
      </w:r>
      <w:r w:rsidRPr="00E54337">
        <w:rPr>
          <w:rFonts w:cs="David"/>
        </w:rPr>
        <w:t>M</w:t>
      </w:r>
      <w:r w:rsidRPr="00E54337">
        <w:rPr>
          <w:rFonts w:cs="David"/>
          <w:rtl/>
        </w:rPr>
        <w:t xml:space="preserve"> מוסב, ובתמורה הנאשם שילם לו 20,000-30,000 ₪. לאחר מכן, על דעתו של איברהים, הנאשם נשא את הנשק לביתו, ומכר אותו בכניסה אל ביתו לאדם אחר בשם מהדי תמורת סך של 36,000 ₪ ששולמו לידי הנאשם. מאוחר יותר, הנאשם ואיברהים התחלקו בתמורה.</w:t>
      </w:r>
    </w:p>
    <w:p w14:paraId="60FCC38D" w14:textId="77777777" w:rsidR="00942439" w:rsidRPr="00E54337" w:rsidRDefault="00942439" w:rsidP="00942439">
      <w:pPr>
        <w:pStyle w:val="Ruller40"/>
        <w:rPr>
          <w:rFonts w:cs="David"/>
          <w:rtl/>
        </w:rPr>
      </w:pPr>
    </w:p>
    <w:p w14:paraId="5BE6DB94" w14:textId="77777777" w:rsidR="00942439" w:rsidRPr="00E54337" w:rsidRDefault="00942439" w:rsidP="00942439">
      <w:pPr>
        <w:pStyle w:val="Ruller40"/>
        <w:rPr>
          <w:rFonts w:cs="David"/>
          <w:rtl/>
        </w:rPr>
      </w:pPr>
      <w:r w:rsidRPr="00E54337">
        <w:rPr>
          <w:rFonts w:cs="David"/>
          <w:rtl/>
        </w:rPr>
        <w:tab/>
      </w:r>
      <w:r w:rsidRPr="00E54337">
        <w:rPr>
          <w:rFonts w:cs="David"/>
          <w:b/>
          <w:bCs/>
          <w:rtl/>
        </w:rPr>
        <w:t>באישום הרביעי</w:t>
      </w:r>
      <w:r w:rsidRPr="00E54337">
        <w:rPr>
          <w:rFonts w:cs="David"/>
          <w:rtl/>
        </w:rPr>
        <w:t xml:space="preserve"> הנאשם הורשע לפי הודאתו בעבירה של סחר בנשק. זאת בגין כך שכשנתיים עובר ליום 30.11.2020, הנאשם רכש מאחר בשם קוואסמה רובה עוזי ושתי מחסניות תמורת סך של 40,000 ₪. הנאשם החזיק בנשק הנ"ל במשך תקופה, אולם בשלב מסוים החליט שלא להותיר את הנשק הנ"ל ברשותו. בעקבות כך, הנאשם פנה לאדם אחר בשם זייד ממנו רכש בית בתשלומים חודשיים. הנאשם הציע למכור לזייד את הנשק הנ"ל תמורת סך של 34,000 ₪, כאשר מתוכם זייד ישלם לנאשם 17,000 ₪ במזומן, ואילו את ה-17,000 ₪ הנותרים זייד יקזז מחובו של הנאשם אליו בגין רכישת הבית. זייד הסכים להצעה וכך היה.</w:t>
      </w:r>
    </w:p>
    <w:p w14:paraId="4282910F" w14:textId="77777777" w:rsidR="00942439" w:rsidRPr="00E54337" w:rsidRDefault="00942439" w:rsidP="00942439">
      <w:pPr>
        <w:pStyle w:val="Ruller40"/>
        <w:rPr>
          <w:rFonts w:cs="David"/>
          <w:rtl/>
        </w:rPr>
      </w:pPr>
    </w:p>
    <w:p w14:paraId="2603D38D" w14:textId="77777777" w:rsidR="00942439" w:rsidRPr="00E54337" w:rsidRDefault="00942439" w:rsidP="00942439">
      <w:pPr>
        <w:pStyle w:val="Ruller40"/>
        <w:rPr>
          <w:rFonts w:cs="David"/>
          <w:rtl/>
        </w:rPr>
      </w:pPr>
      <w:r w:rsidRPr="00E54337">
        <w:rPr>
          <w:rFonts w:cs="David"/>
          <w:rtl/>
        </w:rPr>
        <w:tab/>
      </w:r>
      <w:r w:rsidRPr="00E54337">
        <w:rPr>
          <w:rFonts w:cs="David"/>
          <w:b/>
          <w:bCs/>
          <w:rtl/>
        </w:rPr>
        <w:t xml:space="preserve">באישום החמישי </w:t>
      </w:r>
      <w:r w:rsidRPr="00E54337">
        <w:rPr>
          <w:rFonts w:cs="David"/>
          <w:rtl/>
        </w:rPr>
        <w:t>הנאשם</w:t>
      </w:r>
      <w:r w:rsidRPr="00E54337">
        <w:rPr>
          <w:rFonts w:cs="David"/>
          <w:b/>
          <w:bCs/>
          <w:rtl/>
        </w:rPr>
        <w:t xml:space="preserve"> </w:t>
      </w:r>
      <w:r w:rsidRPr="00E54337">
        <w:rPr>
          <w:rFonts w:cs="David"/>
          <w:rtl/>
        </w:rPr>
        <w:t>הורשע לפי הודאתו בעבירה של קשירת קשר לביצוע פשע (סחר בנשק). זאת בגין כך שכחודשיים או שלושה עובר ליום 17.11.2020, במסגרת הקשר השני, הנאשם פנה לאחמד בבקשה למצוא עבורו אדם המוכר כדורים לנשק מסוג 16-</w:t>
      </w:r>
      <w:r w:rsidRPr="00E54337">
        <w:rPr>
          <w:rFonts w:cs="David"/>
        </w:rPr>
        <w:t>M</w:t>
      </w:r>
      <w:r w:rsidRPr="00E54337">
        <w:rPr>
          <w:rFonts w:cs="David"/>
          <w:rtl/>
        </w:rPr>
        <w:t>. אחמד יצר קשר עם אדם אחר בשם דנדיס, שמסר כי אין לו כדורים למכירה, אולם יש באפשרותו למכור 16-</w:t>
      </w:r>
      <w:r w:rsidRPr="00E54337">
        <w:rPr>
          <w:rFonts w:cs="David"/>
        </w:rPr>
        <w:t>M</w:t>
      </w:r>
      <w:r w:rsidRPr="00E54337">
        <w:rPr>
          <w:rFonts w:cs="David"/>
          <w:rtl/>
        </w:rPr>
        <w:t xml:space="preserve"> תמורת סך של 70,000-80,000 ₪, או 16-</w:t>
      </w:r>
      <w:r w:rsidRPr="00E54337">
        <w:rPr>
          <w:rFonts w:cs="David"/>
        </w:rPr>
        <w:t>M</w:t>
      </w:r>
      <w:r w:rsidRPr="00E54337">
        <w:rPr>
          <w:rFonts w:cs="David"/>
          <w:rtl/>
        </w:rPr>
        <w:t xml:space="preserve"> מוסב תמורת סך של 45,000 ₪. בעקבות כך, אחמד מסר את פרטיו של דנדיס לנאשם, כדי שהנאשם יעמוד בקשר עם דנדיס במטרה לבצע את העסקה. בהמשך, אחמד ניהל משא ומתן עם דנדיס כדי שאחמד והנאשם ירכשו ממנו 16-</w:t>
      </w:r>
      <w:r w:rsidRPr="00E54337">
        <w:rPr>
          <w:rFonts w:cs="David"/>
        </w:rPr>
        <w:t>M</w:t>
      </w:r>
      <w:r w:rsidRPr="00E54337">
        <w:rPr>
          <w:rFonts w:cs="David"/>
          <w:rtl/>
        </w:rPr>
        <w:t xml:space="preserve"> </w:t>
      </w:r>
      <w:r w:rsidRPr="00E54337">
        <w:rPr>
          <w:rFonts w:cs="David" w:hint="cs"/>
          <w:rtl/>
        </w:rPr>
        <w:t xml:space="preserve">בהנחה, תמורת 60,000 ₪. </w:t>
      </w:r>
    </w:p>
    <w:p w14:paraId="7BD79FA9" w14:textId="77777777" w:rsidR="00942439" w:rsidRPr="00E54337" w:rsidRDefault="00942439" w:rsidP="00942439">
      <w:pPr>
        <w:pStyle w:val="Ruller40"/>
        <w:rPr>
          <w:rFonts w:cs="David"/>
          <w:rtl/>
        </w:rPr>
      </w:pPr>
    </w:p>
    <w:p w14:paraId="1A1515A0" w14:textId="77777777" w:rsidR="00942439" w:rsidRPr="00E54337" w:rsidRDefault="00942439" w:rsidP="00942439">
      <w:pPr>
        <w:pStyle w:val="Ruller40"/>
        <w:rPr>
          <w:rFonts w:cs="David"/>
          <w:rtl/>
        </w:rPr>
      </w:pPr>
      <w:r w:rsidRPr="00E54337">
        <w:rPr>
          <w:rFonts w:cs="David"/>
          <w:rtl/>
        </w:rPr>
        <w:tab/>
      </w:r>
      <w:r w:rsidRPr="00E54337">
        <w:rPr>
          <w:rFonts w:cs="David"/>
          <w:b/>
          <w:bCs/>
          <w:rtl/>
        </w:rPr>
        <w:t>באישום השישי</w:t>
      </w:r>
      <w:r w:rsidRPr="00E54337">
        <w:rPr>
          <w:rFonts w:cs="David"/>
          <w:rtl/>
        </w:rPr>
        <w:t xml:space="preserve"> הנאשם הורשע לפי הודאתו בעבירות של קשירת קשר לביצוע פשע (סחר בתחמושת), וניסיון לסחר בנשק. זאת בגין כך שמספר חודשים עובר ליום 29.11.2020, במסגרת הקשר השני, הנאשם ואחמד החליטו יחדיו לרכוש כדורים לרובה 16-</w:t>
      </w:r>
      <w:r w:rsidRPr="00E54337">
        <w:rPr>
          <w:rFonts w:cs="David"/>
        </w:rPr>
        <w:t>M</w:t>
      </w:r>
      <w:r w:rsidRPr="00E54337">
        <w:rPr>
          <w:rFonts w:cs="David"/>
          <w:rtl/>
        </w:rPr>
        <w:t xml:space="preserve"> במטרה למוכרם תמורת רווח. בעקבות כך, אחמד שוחח עם אחר בשם ענכוש, וביקש ממנו לקשר בין הנאשם לבין סוחרי אמל"ח לשם רכישת הכדורים. ענכוש מסר לאחמד מספר טלפון של אדם בשם מוחמד, ואחמד מסר את מספר הטלפון הנ"ל לנאשם והינחה אותו להציג עצמו כמי שנשלח על-ידי ענכוש. זאת, במטרה לרכוש אמל"ח ולמכור אותו ברווח עבור הנאשם ואחמד. בעקבות כך, הנאשם צלצל למוחמד וביקש לרכוש ממנו כדורים, אולם העסקה האמורה לא יצאה אל הפועל. בהמשך למתואר לעיל, במסגרת הקשר הראשון, הנאשם ביקש ממוחמד לרכוש ממנו נשק. כחודשיים לאחר מכן, מוחמד שוחח עם הנאשם והציע לו לרכוש רובה 16-</w:t>
      </w:r>
      <w:r w:rsidRPr="00E54337">
        <w:rPr>
          <w:rFonts w:cs="David"/>
        </w:rPr>
        <w:t>M</w:t>
      </w:r>
      <w:r w:rsidRPr="00E54337">
        <w:rPr>
          <w:rFonts w:cs="David"/>
          <w:rtl/>
        </w:rPr>
        <w:t>. הנאשם הסכים לכך. כשבועיים-שלושה לאחר מכן, הנאשם ואיברהים נפגשו יחד עם מוחמד וחברו, אולם העסקה לא יצאה אל הפועל.</w:t>
      </w:r>
    </w:p>
    <w:p w14:paraId="35EB5F16" w14:textId="77777777" w:rsidR="00942439" w:rsidRPr="00E54337" w:rsidRDefault="00942439" w:rsidP="00942439">
      <w:pPr>
        <w:pStyle w:val="Ruller40"/>
        <w:rPr>
          <w:rFonts w:cs="David"/>
          <w:rtl/>
        </w:rPr>
      </w:pPr>
    </w:p>
    <w:p w14:paraId="21AB9F2B" w14:textId="77777777" w:rsidR="00942439" w:rsidRPr="00E54337" w:rsidRDefault="00942439" w:rsidP="00942439">
      <w:pPr>
        <w:pStyle w:val="Ruller40"/>
        <w:rPr>
          <w:rFonts w:cs="David"/>
          <w:rtl/>
        </w:rPr>
      </w:pPr>
      <w:r w:rsidRPr="00E54337">
        <w:rPr>
          <w:rFonts w:cs="David"/>
          <w:b/>
          <w:bCs/>
          <w:rtl/>
        </w:rPr>
        <w:tab/>
        <w:t xml:space="preserve">באישום השביעי </w:t>
      </w:r>
      <w:r w:rsidRPr="00E54337">
        <w:rPr>
          <w:rFonts w:cs="David"/>
          <w:rtl/>
        </w:rPr>
        <w:t>הנאשם הורשע לפי הודאתו בעבירה של קשירת קשר לביצוע פשע (רכישת נשק). זאת בגין כך שבחודשים יוני-אוגוסט 2020, הנאשם שוחח עם אחמד וביקש ממנו למצוא אדם שיוכל למכור לו אמל"ח. בעקבות כך, אחמד מסר לנאשם מספר טלפון של אדם שמוכר אמל"ח וסמים, אשר זהותו אינה ידועה למאשימה. הנאשם התקשר לאותו אחר פעמיים וביקש לרכוש ממנו נשק. האחר הסביר לנאשם שעליו לשלם סך של 22,000 ₪ עבור נשק שסוגו לא ידוע למאשימה, וכי הנאשם יוכל לקבל את הנשק בתוך 3-4 ימים. חרף האמור, בסופו של יום הנאשם לא רכש את הנשק.</w:t>
      </w:r>
    </w:p>
    <w:p w14:paraId="5005F5BC" w14:textId="77777777" w:rsidR="00942439" w:rsidRPr="00E54337" w:rsidRDefault="00942439" w:rsidP="00942439">
      <w:pPr>
        <w:pStyle w:val="Ruller40"/>
        <w:rPr>
          <w:rFonts w:cs="David"/>
          <w:rtl/>
        </w:rPr>
      </w:pPr>
    </w:p>
    <w:p w14:paraId="0FB10138" w14:textId="77777777" w:rsidR="00942439" w:rsidRPr="00E54337" w:rsidRDefault="00942439" w:rsidP="00942439">
      <w:pPr>
        <w:pStyle w:val="Ruller40"/>
        <w:rPr>
          <w:rFonts w:cs="David"/>
          <w:rtl/>
        </w:rPr>
      </w:pPr>
      <w:r w:rsidRPr="00E54337">
        <w:rPr>
          <w:rFonts w:cs="David"/>
          <w:rtl/>
        </w:rPr>
        <w:t>4.</w:t>
      </w:r>
      <w:r w:rsidRPr="00E54337">
        <w:rPr>
          <w:rFonts w:cs="David"/>
          <w:rtl/>
        </w:rPr>
        <w:tab/>
        <w:t>הצדדים לא באו להסכמה לעניין העונש, וכל צד נותר חופשי בטיעוניו. לבקשת הסנגור ובהעדר התנגדות המדינה, הוזמן תסקיר בעניינו של הנאשם.</w:t>
      </w:r>
    </w:p>
    <w:p w14:paraId="1488859B" w14:textId="77777777" w:rsidR="00942439" w:rsidRPr="00E54337" w:rsidRDefault="00942439" w:rsidP="00942439">
      <w:pPr>
        <w:pStyle w:val="Ruller40"/>
        <w:rPr>
          <w:rFonts w:cs="David"/>
          <w:rtl/>
        </w:rPr>
      </w:pPr>
    </w:p>
    <w:p w14:paraId="547A50FE" w14:textId="77777777" w:rsidR="00942439" w:rsidRPr="00E54337" w:rsidRDefault="00942439" w:rsidP="00942439">
      <w:pPr>
        <w:pStyle w:val="Ruller40"/>
        <w:rPr>
          <w:rFonts w:cs="David"/>
          <w:b/>
          <w:bCs/>
          <w:u w:val="single"/>
          <w:rtl/>
        </w:rPr>
      </w:pPr>
      <w:r w:rsidRPr="00E54337">
        <w:rPr>
          <w:rFonts w:cs="David"/>
          <w:b/>
          <w:bCs/>
          <w:u w:val="single"/>
          <w:rtl/>
        </w:rPr>
        <w:t>תסקיר שירות המבחן</w:t>
      </w:r>
    </w:p>
    <w:p w14:paraId="7381F743" w14:textId="77777777" w:rsidR="00942439" w:rsidRPr="00E54337" w:rsidRDefault="00942439" w:rsidP="00942439">
      <w:pPr>
        <w:pStyle w:val="Ruller40"/>
        <w:rPr>
          <w:rFonts w:cs="David"/>
          <w:rtl/>
        </w:rPr>
      </w:pPr>
      <w:r w:rsidRPr="00E54337">
        <w:rPr>
          <w:rFonts w:cs="David"/>
          <w:rtl/>
        </w:rPr>
        <w:t>5.</w:t>
      </w:r>
      <w:r w:rsidRPr="00E54337">
        <w:rPr>
          <w:rFonts w:cs="David"/>
          <w:rtl/>
        </w:rPr>
        <w:tab/>
        <w:t xml:space="preserve">מהתסקיר עולה כי הנאשם בן 25, נעדר עבר פלילי, אב לילדה בת 9 חודשים שנולדה בעת ששהה במעצר בתיק זה. לדברי הנאשם, לפני כחמש שנים הוא העתיק את מקום מגוריו לכפר עקב, והתחבר שם לחברה שולית בה צעירים נתנו לגיטימציה להחזקת נשקים ולמכירתם. שירות המבחן הבין מדברי הנאשם כי קנייה ומכירה של נשקים נתפסה בעיניו כפעילות יוקרתית וגברית, אשר מאפשרת לו להשתלב בקרב אנשי הכפר. בנוסף, ביצוע העבירות נבע ממניע כספי ומרצון לרווח מהיר. </w:t>
      </w:r>
      <w:r w:rsidRPr="00E54337">
        <w:rPr>
          <w:rFonts w:cs="David"/>
          <w:b/>
          <w:bCs/>
          <w:rtl/>
        </w:rPr>
        <w:t>מבחינת סיכויי השיקום –</w:t>
      </w:r>
      <w:r w:rsidRPr="00E54337">
        <w:rPr>
          <w:rFonts w:cs="David"/>
          <w:rtl/>
        </w:rPr>
        <w:t xml:space="preserve"> שירות המבחן ציין כי הנאשם צעיר, חסר עבר פלילי, נעצר לראשונה בחייו כך שהמעצר מהווה עבורו גבול הרתעתי. שירות המבחן אף התרשם כי כיום הנאשם מסוגל לגלות מודעות רבה יותר למחירים הנובעים ממעשיו. </w:t>
      </w:r>
      <w:r w:rsidRPr="00E54337">
        <w:rPr>
          <w:rFonts w:cs="David"/>
          <w:b/>
          <w:bCs/>
          <w:rtl/>
        </w:rPr>
        <w:t xml:space="preserve">מבחינת הערכת הסיכון – </w:t>
      </w:r>
      <w:r w:rsidRPr="00E54337">
        <w:rPr>
          <w:rFonts w:cs="David"/>
          <w:rtl/>
        </w:rPr>
        <w:t xml:space="preserve">שירות המבחן התחשב בכך שהנאשם עסק ברכישה ובמכירה של נשקים במהלך תקופה ממושכת, באופן המלמד על נטילת סיכונים, על התנהגות אימפולסיבית וכן על מניע כספי. עוד צוין כי הנאשם יצר קשרים עם אנשים בעלי דפוסים עברייניים במטרה לקדם את פעולותיו השוליות. בנוסף, שירות המבחן לקח בחשבון את העובדה שהנאשם נטל אחריות על ביצוע העבירות בהן הורשע באופן חלקי, תוך מזעור חלקיו וכוונותיו בעבירות הנדונות. במכלול השיקולים, להערכת שירות המבחן, רמת הסיכון להתנהגות עוברת חוק בעתיד היא </w:t>
      </w:r>
      <w:r w:rsidRPr="00E54337">
        <w:rPr>
          <w:rFonts w:cs="David"/>
          <w:u w:val="single"/>
          <w:rtl/>
        </w:rPr>
        <w:t>גבוהה</w:t>
      </w:r>
      <w:r w:rsidRPr="00E54337">
        <w:rPr>
          <w:rFonts w:cs="David"/>
          <w:rtl/>
        </w:rPr>
        <w:t xml:space="preserve">. בהתחשב בכל אלה, שירות המבחן נמנע מהמלצה טיפולית. בד בבד, שירות המבחן המליץ כי אם יוטל על הנאשם עונש מאסר בפועל, הוא ישולב בטיפול במסגרת בית הסוהר. </w:t>
      </w:r>
    </w:p>
    <w:p w14:paraId="5BF7C11F" w14:textId="77777777" w:rsidR="00942439" w:rsidRPr="00E54337" w:rsidRDefault="00942439" w:rsidP="00942439">
      <w:pPr>
        <w:pStyle w:val="Ruller40"/>
        <w:rPr>
          <w:rFonts w:cs="David"/>
          <w:rtl/>
        </w:rPr>
      </w:pPr>
    </w:p>
    <w:p w14:paraId="4AB89ECC" w14:textId="77777777" w:rsidR="00942439" w:rsidRPr="00E54337" w:rsidRDefault="00942439" w:rsidP="00942439">
      <w:pPr>
        <w:tabs>
          <w:tab w:val="left" w:pos="800"/>
        </w:tabs>
        <w:overflowPunct w:val="0"/>
        <w:autoSpaceDE w:val="0"/>
        <w:autoSpaceDN w:val="0"/>
        <w:adjustRightInd w:val="0"/>
        <w:spacing w:line="360" w:lineRule="auto"/>
        <w:jc w:val="both"/>
        <w:textAlignment w:val="baseline"/>
        <w:rPr>
          <w:rFonts w:ascii="Arial TUR" w:hAnsi="Arial TUR"/>
          <w:b/>
          <w:bCs/>
          <w:spacing w:val="10"/>
          <w:szCs w:val="28"/>
          <w:u w:val="single"/>
          <w:rtl/>
        </w:rPr>
      </w:pPr>
      <w:r w:rsidRPr="00E54337">
        <w:rPr>
          <w:rFonts w:ascii="Arial TUR" w:hAnsi="Arial TUR"/>
          <w:b/>
          <w:bCs/>
          <w:spacing w:val="10"/>
          <w:szCs w:val="28"/>
          <w:u w:val="single"/>
          <w:rtl/>
        </w:rPr>
        <w:t>טיעוני הצדדים לעונש</w:t>
      </w:r>
    </w:p>
    <w:p w14:paraId="27B0DE77" w14:textId="77777777" w:rsidR="00942439" w:rsidRPr="00E54337" w:rsidRDefault="00942439" w:rsidP="00942439">
      <w:pPr>
        <w:spacing w:line="360" w:lineRule="auto"/>
        <w:jc w:val="both"/>
        <w:rPr>
          <w:rFonts w:ascii="Arial TUR" w:hAnsi="Arial TUR"/>
          <w:spacing w:val="10"/>
          <w:szCs w:val="28"/>
          <w:rtl/>
        </w:rPr>
      </w:pPr>
      <w:r w:rsidRPr="00E54337">
        <w:rPr>
          <w:rFonts w:ascii="Arial TUR" w:hAnsi="Arial TUR"/>
          <w:spacing w:val="10"/>
          <w:szCs w:val="28"/>
          <w:rtl/>
        </w:rPr>
        <w:t>6.</w:t>
      </w:r>
      <w:r w:rsidRPr="00E54337">
        <w:rPr>
          <w:rFonts w:ascii="Arial TUR" w:hAnsi="Arial TUR"/>
          <w:spacing w:val="10"/>
          <w:szCs w:val="28"/>
          <w:rtl/>
        </w:rPr>
        <w:tab/>
        <w:t xml:space="preserve">שני הצדדים טענו למתחם עונש הולם אחד בגין מכלול העבירות בהן הורשע הנאשם. כמו כן, באי-כוח הצדדים הפנו לאסמכתאות מן הפסיקה לתמיכה בטיעוניהם העונשיים. </w:t>
      </w:r>
    </w:p>
    <w:p w14:paraId="4753335A" w14:textId="77777777" w:rsidR="00942439" w:rsidRPr="00E54337" w:rsidRDefault="00942439" w:rsidP="00942439">
      <w:pPr>
        <w:spacing w:line="360" w:lineRule="auto"/>
        <w:jc w:val="both"/>
        <w:rPr>
          <w:rFonts w:ascii="Arial TUR" w:hAnsi="Arial TUR"/>
          <w:spacing w:val="10"/>
          <w:szCs w:val="28"/>
          <w:rtl/>
        </w:rPr>
      </w:pPr>
    </w:p>
    <w:p w14:paraId="5DE5DF68" w14:textId="77777777" w:rsidR="00942439" w:rsidRPr="00E54337" w:rsidRDefault="00942439" w:rsidP="00942439">
      <w:pPr>
        <w:spacing w:line="360" w:lineRule="auto"/>
        <w:ind w:firstLine="720"/>
        <w:jc w:val="both"/>
        <w:rPr>
          <w:rFonts w:ascii="Arial TUR" w:hAnsi="Arial TUR"/>
          <w:spacing w:val="10"/>
          <w:szCs w:val="28"/>
          <w:rtl/>
        </w:rPr>
      </w:pPr>
      <w:r w:rsidRPr="00E54337">
        <w:rPr>
          <w:rFonts w:ascii="Arial TUR" w:hAnsi="Arial TUR"/>
          <w:spacing w:val="10"/>
          <w:szCs w:val="28"/>
          <w:rtl/>
        </w:rPr>
        <w:t>המאשימה עתרה למתחם עונש הולם שנע מ- 8 עד 12 שנות מאסר בפועל, וטענה כי יש להעמיד את עונשו של הנאשם בחלק התחתון של המתחם אך לא בתחתיתו, קרי- 9 שנות מאסר בפועל, מאסר מותנה וקנס כספי. מנגד, הסנגור טען כי המתחם נע מ-3 עד מספר שנות מאסר בפועל. הסנגור עמד על הנסיבות לקולא לטובת מרשו, ועתר להשתת עונש בתחתית המתחם הנטען, קרי- 3 שנים. הנאשם בדבריו לפניי טען שטעה, וציין כי יש לו בת קטנה והוא רוצה להיות לידה.</w:t>
      </w:r>
    </w:p>
    <w:p w14:paraId="56B87F35" w14:textId="77777777" w:rsidR="00942439" w:rsidRPr="00E54337" w:rsidRDefault="00942439" w:rsidP="00942439">
      <w:pPr>
        <w:spacing w:line="360" w:lineRule="auto"/>
        <w:jc w:val="both"/>
        <w:rPr>
          <w:rFonts w:ascii="Arial TUR" w:hAnsi="Arial TUR"/>
          <w:spacing w:val="10"/>
          <w:szCs w:val="28"/>
          <w:rtl/>
        </w:rPr>
      </w:pPr>
    </w:p>
    <w:p w14:paraId="7EF4F9B4" w14:textId="77777777" w:rsidR="00942439" w:rsidRPr="00E54337" w:rsidRDefault="00942439" w:rsidP="00942439">
      <w:pPr>
        <w:tabs>
          <w:tab w:val="left" w:pos="800"/>
        </w:tabs>
        <w:overflowPunct w:val="0"/>
        <w:autoSpaceDE w:val="0"/>
        <w:autoSpaceDN w:val="0"/>
        <w:adjustRightInd w:val="0"/>
        <w:spacing w:line="360" w:lineRule="auto"/>
        <w:jc w:val="both"/>
        <w:textAlignment w:val="baseline"/>
        <w:rPr>
          <w:rFonts w:ascii="Arial TUR" w:eastAsia="Calibri" w:hAnsi="Arial TUR"/>
          <w:b/>
          <w:bCs/>
          <w:spacing w:val="10"/>
          <w:szCs w:val="28"/>
          <w:u w:val="single"/>
          <w:rtl/>
        </w:rPr>
      </w:pPr>
      <w:r w:rsidRPr="00E54337">
        <w:rPr>
          <w:rFonts w:ascii="Arial TUR" w:hAnsi="Arial TUR"/>
          <w:b/>
          <w:bCs/>
          <w:spacing w:val="10"/>
          <w:szCs w:val="28"/>
          <w:u w:val="single"/>
          <w:rtl/>
        </w:rPr>
        <w:t>ריבוי עבירות</w:t>
      </w:r>
    </w:p>
    <w:p w14:paraId="171C6C59" w14:textId="77777777" w:rsidR="00942439" w:rsidRPr="00E54337" w:rsidRDefault="00942439" w:rsidP="00942439">
      <w:pPr>
        <w:spacing w:line="360" w:lineRule="auto"/>
        <w:jc w:val="both"/>
        <w:rPr>
          <w:rFonts w:ascii="Arial TUR" w:hAnsi="Arial TUR"/>
          <w:spacing w:val="10"/>
          <w:szCs w:val="28"/>
          <w:rtl/>
        </w:rPr>
      </w:pPr>
      <w:r w:rsidRPr="00E54337">
        <w:rPr>
          <w:rFonts w:ascii="Arial TUR" w:hAnsi="Arial TUR"/>
          <w:spacing w:val="10"/>
          <w:szCs w:val="28"/>
          <w:rtl/>
        </w:rPr>
        <w:t xml:space="preserve">7. </w:t>
      </w:r>
      <w:r w:rsidRPr="00E54337">
        <w:rPr>
          <w:rFonts w:ascii="Arial TUR" w:hAnsi="Arial TUR"/>
          <w:spacing w:val="10"/>
          <w:szCs w:val="28"/>
          <w:rtl/>
        </w:rPr>
        <w:tab/>
        <w:t xml:space="preserve">כאמור, באי כוח שני הצדדים היו מאוחדים בדעה לפיה יש לראות במכלול העבירות בהן הורשע הנאשם משום אירוע אחד לצורך </w:t>
      </w:r>
      <w:r w:rsidRPr="00E54337">
        <w:rPr>
          <w:rFonts w:ascii="FrankRuehl" w:hAnsi="FrankRuehl"/>
          <w:spacing w:val="10"/>
          <w:sz w:val="28"/>
          <w:szCs w:val="28"/>
          <w:rtl/>
        </w:rPr>
        <w:t xml:space="preserve">קביעתו של מתחם עונש הולם לפי </w:t>
      </w:r>
      <w:hyperlink r:id="rId24" w:history="1">
        <w:r w:rsidR="00E54337" w:rsidRPr="00E54337">
          <w:rPr>
            <w:rStyle w:val="Hyperlink"/>
            <w:rFonts w:ascii="FrankRuehl" w:hAnsi="FrankRuehl"/>
            <w:sz w:val="28"/>
            <w:szCs w:val="28"/>
            <w:rtl/>
          </w:rPr>
          <w:t>סעיף 40יג(א)</w:t>
        </w:r>
      </w:hyperlink>
      <w:r w:rsidRPr="00E54337">
        <w:rPr>
          <w:rFonts w:ascii="FrankRuehl" w:hAnsi="FrankRuehl"/>
          <w:spacing w:val="10"/>
          <w:sz w:val="28"/>
          <w:szCs w:val="28"/>
          <w:rtl/>
        </w:rPr>
        <w:t xml:space="preserve"> ל</w:t>
      </w:r>
      <w:hyperlink r:id="rId25" w:history="1">
        <w:r w:rsidR="00D612CD" w:rsidRPr="00E54337">
          <w:rPr>
            <w:rFonts w:ascii="FrankRuehl" w:hAnsi="FrankRuehl"/>
            <w:color w:val="0000FF"/>
            <w:sz w:val="28"/>
            <w:szCs w:val="28"/>
            <w:u w:val="single"/>
            <w:rtl/>
          </w:rPr>
          <w:t>חוק העונשין</w:t>
        </w:r>
      </w:hyperlink>
      <w:r w:rsidRPr="00E54337">
        <w:rPr>
          <w:rFonts w:ascii="FrankRuehl" w:hAnsi="FrankRuehl"/>
          <w:spacing w:val="10"/>
          <w:sz w:val="28"/>
          <w:szCs w:val="28"/>
          <w:rtl/>
        </w:rPr>
        <w:t>. אציין כי ניתן היה לסבור גם אחרת, בשים לב לכך שחלק מהעבירות בוצעו במסגרת הקשר הראשון שבין הנאשם ובין</w:t>
      </w:r>
      <w:r w:rsidRPr="00E54337">
        <w:rPr>
          <w:rFonts w:ascii="Arial TUR" w:hAnsi="Arial TUR"/>
          <w:spacing w:val="10"/>
          <w:szCs w:val="28"/>
          <w:rtl/>
        </w:rPr>
        <w:t xml:space="preserve"> אברהים אחיו; חלק אחר מהעבירות בוצעו במסגרת הקשר השני שבין הנאשם ובין אחמד; והעבירות הנותרות בוצעו על-ידי הנאשם שלא במסגרת הקשר הראשון או השני הנ"ל. עם זאת, מאחר ששני הצדדים מסכימים כי יש לראות במכלול העבירות משום אירוע אחד לצורך קביעתו של מתחם העונש ההולם, לא אראה להתערב בכך. בסופו של יום, מדובר בגישה אפשרית בהתחשב בכך שעסקינן ברצף של מעשים עברייניים שעניינם עבירות בנשק שבוצעו על-ידי הנאשם במהלך שנת 2020, תוך שניתן להצביע על זיקה הדוקה ביניהם (ראו והשוו: </w:t>
      </w:r>
      <w:hyperlink r:id="rId26" w:history="1">
        <w:r w:rsidR="00D612CD" w:rsidRPr="00E54337">
          <w:rPr>
            <w:rFonts w:ascii="Arial TUR" w:hAnsi="Arial TUR"/>
            <w:color w:val="0000FF"/>
            <w:spacing w:val="10"/>
            <w:szCs w:val="28"/>
            <w:u w:val="single"/>
            <w:rtl/>
          </w:rPr>
          <w:t>ע"פ 5643/14</w:t>
        </w:r>
      </w:hyperlink>
      <w:r w:rsidRPr="00E54337">
        <w:rPr>
          <w:rFonts w:ascii="Arial TUR" w:hAnsi="Arial TUR"/>
          <w:spacing w:val="10"/>
          <w:szCs w:val="28"/>
          <w:rtl/>
        </w:rPr>
        <w:t xml:space="preserve"> </w:t>
      </w:r>
      <w:r w:rsidRPr="00E54337">
        <w:rPr>
          <w:rFonts w:ascii="Miriam" w:hAnsi="Miriam"/>
          <w:spacing w:val="10"/>
          <w:rtl/>
        </w:rPr>
        <w:t>עיסא נ' מדינת ישראל</w:t>
      </w:r>
      <w:r w:rsidRPr="00E54337">
        <w:rPr>
          <w:rFonts w:ascii="Arial TUR" w:hAnsi="Arial TUR"/>
          <w:spacing w:val="10"/>
          <w:szCs w:val="28"/>
          <w:rtl/>
        </w:rPr>
        <w:t xml:space="preserve">, פס' 12 (23.6.2015)). כדוגמה ממחישה לזיקה ההדוקה בין המעשים ניתן להפנות לאישום השישי, שכן המעשים המתוארים באותו אישום בוצעו תחילה במסגרת הקשר השני של הנאשם עם אחמד, ולאחר מכן במסגרת הקשר הראשון של הנאשם עם איברהים. </w:t>
      </w:r>
    </w:p>
    <w:p w14:paraId="387552D9" w14:textId="77777777" w:rsidR="00942439" w:rsidRPr="00E54337" w:rsidRDefault="00942439" w:rsidP="00942439">
      <w:pPr>
        <w:spacing w:line="360" w:lineRule="auto"/>
        <w:jc w:val="both"/>
        <w:rPr>
          <w:rFonts w:ascii="Arial TUR" w:hAnsi="Arial TUR"/>
          <w:spacing w:val="10"/>
          <w:szCs w:val="28"/>
          <w:rtl/>
        </w:rPr>
      </w:pPr>
    </w:p>
    <w:p w14:paraId="07F8115F" w14:textId="77777777" w:rsidR="00942439" w:rsidRPr="00E54337" w:rsidRDefault="00942439" w:rsidP="00942439">
      <w:pPr>
        <w:spacing w:line="360" w:lineRule="auto"/>
        <w:jc w:val="both"/>
        <w:rPr>
          <w:rFonts w:ascii="Arial TUR" w:hAnsi="Arial TUR"/>
          <w:spacing w:val="10"/>
          <w:szCs w:val="28"/>
          <w:rtl/>
        </w:rPr>
      </w:pPr>
      <w:r w:rsidRPr="00E54337">
        <w:rPr>
          <w:rFonts w:ascii="Arial TUR" w:hAnsi="Arial TUR"/>
          <w:spacing w:val="10"/>
          <w:szCs w:val="28"/>
          <w:rtl/>
        </w:rPr>
        <w:t>8.</w:t>
      </w:r>
      <w:r w:rsidRPr="00E54337">
        <w:rPr>
          <w:rFonts w:ascii="Arial TUR" w:hAnsi="Arial TUR"/>
          <w:spacing w:val="10"/>
          <w:szCs w:val="28"/>
          <w:rtl/>
        </w:rPr>
        <w:tab/>
        <w:t xml:space="preserve">בד בבד, אציין כי במסגרת קביעת מתחם העונש ההולם לאירוע בכללותו, יהיה מקום ליתן משקל לעובדה שכל אחד משבעת האישומים בהם הורשע הנאשם, מהווה </w:t>
      </w:r>
      <w:r w:rsidRPr="00E54337">
        <w:rPr>
          <w:rFonts w:ascii="FrankRuehl" w:hAnsi="FrankRuehl"/>
          <w:spacing w:val="10"/>
          <w:sz w:val="28"/>
          <w:szCs w:val="28"/>
          <w:rtl/>
        </w:rPr>
        <w:t xml:space="preserve">"מעשה" נפרד כמובנו של מונח זה </w:t>
      </w:r>
      <w:hyperlink r:id="rId27" w:history="1">
        <w:r w:rsidR="00E54337" w:rsidRPr="00E54337">
          <w:rPr>
            <w:rStyle w:val="Hyperlink"/>
            <w:rFonts w:ascii="FrankRuehl" w:hAnsi="FrankRuehl"/>
            <w:sz w:val="28"/>
            <w:szCs w:val="28"/>
            <w:rtl/>
          </w:rPr>
          <w:t>בסעיף 186</w:t>
        </w:r>
      </w:hyperlink>
      <w:r w:rsidRPr="00E54337">
        <w:rPr>
          <w:rFonts w:ascii="FrankRuehl" w:hAnsi="FrankRuehl"/>
          <w:spacing w:val="10"/>
          <w:sz w:val="28"/>
          <w:szCs w:val="28"/>
          <w:rtl/>
        </w:rPr>
        <w:t xml:space="preserve"> ל</w:t>
      </w:r>
      <w:hyperlink r:id="rId28" w:history="1">
        <w:r w:rsidR="00D612CD" w:rsidRPr="00E54337">
          <w:rPr>
            <w:rFonts w:ascii="FrankRuehl" w:hAnsi="FrankRuehl"/>
            <w:color w:val="0000FF"/>
            <w:sz w:val="28"/>
            <w:szCs w:val="28"/>
            <w:u w:val="single"/>
            <w:rtl/>
          </w:rPr>
          <w:t>חוק סדר הדין הפלילי</w:t>
        </w:r>
      </w:hyperlink>
      <w:r w:rsidRPr="00E54337">
        <w:rPr>
          <w:rFonts w:ascii="FrankRuehl" w:hAnsi="FrankRuehl"/>
          <w:spacing w:val="10"/>
          <w:sz w:val="28"/>
          <w:szCs w:val="28"/>
          <w:rtl/>
        </w:rPr>
        <w:t xml:space="preserve"> [נוסח משולב],</w:t>
      </w:r>
      <w:r w:rsidRPr="00E54337">
        <w:rPr>
          <w:rFonts w:ascii="Arial TUR" w:hAnsi="Arial TUR"/>
          <w:spacing w:val="10"/>
          <w:szCs w:val="28"/>
          <w:rtl/>
        </w:rPr>
        <w:t xml:space="preserve"> התשמ"ב-1982. ברי כי טיב ומספר ה"מעשים" בגינם הורשע הנאשם, ישוו מידה של חומרה שתשפיע על קביעת מתחם העונש ההולם הכולל בגין אותם המעשים.</w:t>
      </w:r>
    </w:p>
    <w:p w14:paraId="52BF2860" w14:textId="77777777" w:rsidR="00942439" w:rsidRPr="00E54337" w:rsidRDefault="00942439" w:rsidP="00942439">
      <w:pPr>
        <w:pStyle w:val="Ruller40"/>
        <w:rPr>
          <w:rFonts w:cs="David"/>
          <w:rtl/>
        </w:rPr>
      </w:pPr>
    </w:p>
    <w:p w14:paraId="0A7CD3EE" w14:textId="77777777" w:rsidR="00942439" w:rsidRPr="00E54337" w:rsidRDefault="00942439" w:rsidP="00942439">
      <w:pPr>
        <w:tabs>
          <w:tab w:val="left" w:pos="800"/>
        </w:tabs>
        <w:overflowPunct w:val="0"/>
        <w:autoSpaceDE w:val="0"/>
        <w:autoSpaceDN w:val="0"/>
        <w:adjustRightInd w:val="0"/>
        <w:spacing w:line="360" w:lineRule="auto"/>
        <w:jc w:val="both"/>
        <w:textAlignment w:val="baseline"/>
        <w:rPr>
          <w:rFonts w:ascii="Arial TUR" w:hAnsi="Arial TUR"/>
          <w:b/>
          <w:bCs/>
          <w:spacing w:val="10"/>
          <w:szCs w:val="28"/>
          <w:rtl/>
        </w:rPr>
      </w:pPr>
      <w:r w:rsidRPr="00E54337">
        <w:rPr>
          <w:rFonts w:ascii="Arial TUR" w:hAnsi="Arial TUR"/>
          <w:b/>
          <w:bCs/>
          <w:spacing w:val="10"/>
          <w:szCs w:val="28"/>
          <w:u w:val="single"/>
          <w:rtl/>
        </w:rPr>
        <w:t>מתחם העונש ההולם</w:t>
      </w:r>
    </w:p>
    <w:p w14:paraId="71DAF7E5" w14:textId="77777777" w:rsidR="00942439" w:rsidRPr="00E54337" w:rsidRDefault="00942439" w:rsidP="00942439">
      <w:pPr>
        <w:tabs>
          <w:tab w:val="left" w:pos="800"/>
        </w:tabs>
        <w:overflowPunct w:val="0"/>
        <w:autoSpaceDE w:val="0"/>
        <w:autoSpaceDN w:val="0"/>
        <w:adjustRightInd w:val="0"/>
        <w:spacing w:line="360" w:lineRule="auto"/>
        <w:jc w:val="both"/>
        <w:textAlignment w:val="baseline"/>
        <w:rPr>
          <w:rFonts w:ascii="Century" w:hAnsi="Century"/>
          <w:spacing w:val="10"/>
          <w:szCs w:val="28"/>
          <w:rtl/>
        </w:rPr>
      </w:pPr>
      <w:r w:rsidRPr="00E54337">
        <w:rPr>
          <w:rFonts w:ascii="FrankRuehl" w:hAnsi="FrankRuehl"/>
          <w:spacing w:val="10"/>
          <w:sz w:val="28"/>
          <w:szCs w:val="28"/>
          <w:rtl/>
        </w:rPr>
        <w:t xml:space="preserve">9. </w:t>
      </w:r>
      <w:r w:rsidRPr="00E54337">
        <w:rPr>
          <w:rFonts w:ascii="FrankRuehl" w:hAnsi="FrankRuehl"/>
          <w:spacing w:val="10"/>
          <w:sz w:val="28"/>
          <w:szCs w:val="28"/>
          <w:rtl/>
        </w:rPr>
        <w:tab/>
        <w:t xml:space="preserve">בהתאם </w:t>
      </w:r>
      <w:hyperlink r:id="rId29" w:history="1">
        <w:r w:rsidR="00E54337" w:rsidRPr="00E54337">
          <w:rPr>
            <w:rStyle w:val="Hyperlink"/>
            <w:rFonts w:ascii="FrankRuehl" w:hAnsi="FrankRuehl"/>
            <w:spacing w:val="10"/>
            <w:sz w:val="28"/>
            <w:szCs w:val="28"/>
            <w:rtl/>
          </w:rPr>
          <w:t>לסעיף 40ג(א)</w:t>
        </w:r>
      </w:hyperlink>
      <w:r w:rsidRPr="00E54337">
        <w:rPr>
          <w:rFonts w:ascii="FrankRuehl" w:hAnsi="FrankRuehl"/>
          <w:spacing w:val="10"/>
          <w:sz w:val="28"/>
          <w:szCs w:val="28"/>
          <w:rtl/>
        </w:rPr>
        <w:t xml:space="preserve"> ל</w:t>
      </w:r>
      <w:hyperlink r:id="rId30" w:history="1">
        <w:r w:rsidR="00D612CD" w:rsidRPr="00E54337">
          <w:rPr>
            <w:rFonts w:ascii="FrankRuehl" w:hAnsi="FrankRuehl"/>
            <w:color w:val="0000FF"/>
            <w:sz w:val="28"/>
            <w:szCs w:val="28"/>
            <w:u w:val="single"/>
            <w:rtl/>
          </w:rPr>
          <w:t>חוק העונשין</w:t>
        </w:r>
      </w:hyperlink>
      <w:r w:rsidRPr="00E54337">
        <w:rPr>
          <w:rFonts w:ascii="FrankRuehl" w:hAnsi="FrankRuehl"/>
          <w:spacing w:val="10"/>
          <w:sz w:val="28"/>
          <w:szCs w:val="28"/>
          <w:rtl/>
        </w:rPr>
        <w:t>, יש לקבוע את מתחם הענישה ההולמת</w:t>
      </w:r>
      <w:r w:rsidRPr="00E54337">
        <w:rPr>
          <w:rFonts w:ascii="Century" w:hAnsi="Century"/>
          <w:spacing w:val="10"/>
          <w:szCs w:val="28"/>
          <w:rtl/>
        </w:rPr>
        <w:t xml:space="preserve"> בהתאם לעקרון ההלימה, תוך התחשבות בערך החברתי שנפגע, במידת הפגיעה בו, בנסיבות הקשורות בביצוע העבירות ובמדיניות הענישה הנהוגה.</w:t>
      </w:r>
    </w:p>
    <w:p w14:paraId="7865135C" w14:textId="77777777" w:rsidR="00942439" w:rsidRPr="00E54337" w:rsidRDefault="00942439" w:rsidP="00942439">
      <w:pPr>
        <w:tabs>
          <w:tab w:val="left" w:pos="800"/>
        </w:tabs>
        <w:overflowPunct w:val="0"/>
        <w:autoSpaceDE w:val="0"/>
        <w:autoSpaceDN w:val="0"/>
        <w:adjustRightInd w:val="0"/>
        <w:spacing w:line="360" w:lineRule="auto"/>
        <w:jc w:val="both"/>
        <w:textAlignment w:val="baseline"/>
        <w:rPr>
          <w:rFonts w:ascii="Century" w:hAnsi="Century"/>
          <w:spacing w:val="10"/>
          <w:szCs w:val="28"/>
          <w:rtl/>
        </w:rPr>
      </w:pPr>
    </w:p>
    <w:p w14:paraId="58A4A456" w14:textId="77777777" w:rsidR="00942439" w:rsidRPr="00E54337" w:rsidRDefault="00942439" w:rsidP="00942439">
      <w:pPr>
        <w:spacing w:line="360" w:lineRule="auto"/>
        <w:jc w:val="both"/>
        <w:rPr>
          <w:rFonts w:ascii="Calibri" w:hAnsi="Calibri"/>
          <w:szCs w:val="28"/>
          <w:rtl/>
        </w:rPr>
      </w:pPr>
      <w:r w:rsidRPr="00E54337">
        <w:rPr>
          <w:rFonts w:ascii="Century" w:hAnsi="Century"/>
          <w:spacing w:val="10"/>
          <w:szCs w:val="28"/>
          <w:rtl/>
        </w:rPr>
        <w:t>10.</w:t>
      </w:r>
      <w:r w:rsidRPr="00E54337">
        <w:rPr>
          <w:rFonts w:ascii="Century" w:hAnsi="Century"/>
          <w:spacing w:val="10"/>
          <w:szCs w:val="28"/>
          <w:rtl/>
        </w:rPr>
        <w:tab/>
      </w:r>
      <w:r w:rsidRPr="00E54337">
        <w:rPr>
          <w:rFonts w:ascii="Century" w:hAnsi="Century"/>
          <w:b/>
          <w:bCs/>
          <w:spacing w:val="10"/>
          <w:szCs w:val="28"/>
          <w:rtl/>
        </w:rPr>
        <w:t>הערכים החברתיים</w:t>
      </w:r>
      <w:r w:rsidRPr="00E54337">
        <w:rPr>
          <w:rFonts w:ascii="Century" w:hAnsi="Century"/>
          <w:spacing w:val="10"/>
          <w:szCs w:val="28"/>
          <w:rtl/>
        </w:rPr>
        <w:t xml:space="preserve"> המוגנים במסגרת עבירות בנשק - ובכלל זה עבירת הסחר בנשק וניסיון לה, עבירת רכישת נשק, ועבירת קשירת קשר לביצוע פשע בנשק - הם הגנה על שלום הציבור וביטחונו. עבירות אלה נועדו לשמור על שלמות גופו ורכושו של אדם מפני תוצאות הרסניות שעלולות להיגרם בגין שימוש בנשק על-ידי מי שאינו מיומן בכך, או על-ידי גורמים עברייניים או גורמי טרור שהנשק עלול לעבור מיד ליד ולהגיע אליהם.</w:t>
      </w:r>
    </w:p>
    <w:p w14:paraId="3F415115" w14:textId="77777777" w:rsidR="00942439" w:rsidRPr="00E54337" w:rsidRDefault="00942439" w:rsidP="00942439">
      <w:pPr>
        <w:pStyle w:val="Ruller40"/>
        <w:rPr>
          <w:rFonts w:cs="David"/>
          <w:rtl/>
        </w:rPr>
      </w:pPr>
    </w:p>
    <w:p w14:paraId="47D0644D" w14:textId="77777777" w:rsidR="00942439" w:rsidRPr="00E54337" w:rsidRDefault="00942439" w:rsidP="00942439">
      <w:pPr>
        <w:pStyle w:val="Ruller40"/>
        <w:rPr>
          <w:rFonts w:cs="David"/>
          <w:rtl/>
        </w:rPr>
      </w:pPr>
      <w:r w:rsidRPr="00E54337">
        <w:rPr>
          <w:rFonts w:cs="David"/>
          <w:rtl/>
        </w:rPr>
        <w:t>11.</w:t>
      </w:r>
      <w:r w:rsidRPr="00E54337">
        <w:rPr>
          <w:rFonts w:cs="David"/>
          <w:rtl/>
        </w:rPr>
        <w:tab/>
      </w:r>
      <w:r w:rsidRPr="00E54337">
        <w:rPr>
          <w:rFonts w:ascii="Century" w:hAnsi="Century" w:cs="David"/>
          <w:rtl/>
        </w:rPr>
        <w:t xml:space="preserve">בכל הנוגע </w:t>
      </w:r>
      <w:r w:rsidRPr="00E54337">
        <w:rPr>
          <w:rFonts w:ascii="Century" w:hAnsi="Century" w:cs="David"/>
          <w:b/>
          <w:bCs/>
          <w:rtl/>
        </w:rPr>
        <w:t>לנסיבות ביצוע העבירות</w:t>
      </w:r>
      <w:r w:rsidRPr="00E54337">
        <w:rPr>
          <w:rFonts w:ascii="Century" w:hAnsi="Century" w:cs="David"/>
          <w:rtl/>
        </w:rPr>
        <w:t xml:space="preserve"> –</w:t>
      </w:r>
      <w:r w:rsidRPr="00E54337">
        <w:rPr>
          <w:rFonts w:cs="David"/>
          <w:rtl/>
        </w:rPr>
        <w:t xml:space="preserve"> הללו פורטו בהרחבה בפס' 2-3 לדבריי לעיל. ממכלול המעשים מצטיירת תמונה חמורה לפיה הנאשם פעל במשך תקופה ממושכת באורח אקטיבי לרכישה ולמכירה של נשקים מסוג רובי סער (שהנם נשק התקפי) בשווי של עשרות אלפי ₪. אחד מהנשקים נרכש על רקע סכסוך ששרר בין הנאשם ובין אחרים, באופן הנושא חומרה ממשית. חלק מהנשקים שרכש הנאשם, נמכרו על-ידו לאחרים תמורת רווח כספי, באופן המלמד על כך שעבירות הנשק הפכו מקור פרנסה עבור הנאשם. מכלול העבירות שביצע הנאשם היו פרי תכנון מוקדם. הסיבות שהובילו את הנאשם לביצוען, הן בצע כסף ורצון לרווח מהיר. פוטנציאל הנזק הוא גדול, שכן אין לדעת להיכן הנשקים נושא כתב האישום התגלגלו, והאם הגיעו לידיים עברייניות או לגורמי טרור. העבירות בוצעו בהיותו של הנאשם בגיל 24. אין לפניי טענה כלשהי כי הוא לא הבין את מעשיו או לא יכול היה להימנע מהם. אף אין טענה לקרבה לסייג לאחריות פלילית.</w:t>
      </w:r>
    </w:p>
    <w:p w14:paraId="20A4B75D" w14:textId="77777777" w:rsidR="00942439" w:rsidRPr="00E54337" w:rsidRDefault="00942439" w:rsidP="00942439">
      <w:pPr>
        <w:pStyle w:val="Ruller40"/>
        <w:rPr>
          <w:rFonts w:cs="David"/>
          <w:rtl/>
        </w:rPr>
      </w:pPr>
    </w:p>
    <w:p w14:paraId="6A1B3902" w14:textId="77777777" w:rsidR="00942439" w:rsidRPr="00E54337" w:rsidRDefault="00942439" w:rsidP="00942439">
      <w:pPr>
        <w:pStyle w:val="Ruller40"/>
        <w:rPr>
          <w:rFonts w:cs="David"/>
          <w:rtl/>
        </w:rPr>
      </w:pPr>
      <w:r w:rsidRPr="00E54337">
        <w:rPr>
          <w:rFonts w:cs="David"/>
          <w:rtl/>
        </w:rPr>
        <w:tab/>
        <w:t xml:space="preserve">מבחינת חלקו היחסי של הנאשם בביצוע העבירות – עיון בעובדות כתב האישום המתוקן בהן הודה הנאשם, מעלה כי חלק מהעבירות בוצעו על-ידי הנאשם לבדו, וחלקן בוצע בצוותא כשלנאשם תפקיד פעיל ודומיננטי בביצוען. כך, </w:t>
      </w:r>
      <w:r w:rsidRPr="00E54337">
        <w:rPr>
          <w:rFonts w:cs="David"/>
          <w:b/>
          <w:bCs/>
          <w:rtl/>
        </w:rPr>
        <w:t>באישומים הראשון עד השלישי</w:t>
      </w:r>
      <w:r w:rsidRPr="00E54337">
        <w:rPr>
          <w:rFonts w:cs="David"/>
          <w:rtl/>
        </w:rPr>
        <w:t xml:space="preserve"> הנאשם פעל בצוותא עם אחיו איברהים. בחינת העובדות בהן הודה הנאשם מלמדת כי </w:t>
      </w:r>
      <w:r w:rsidRPr="00E54337">
        <w:rPr>
          <w:rFonts w:cs="David"/>
          <w:b/>
          <w:bCs/>
          <w:rtl/>
        </w:rPr>
        <w:t>באישום הראשון</w:t>
      </w:r>
      <w:r w:rsidRPr="00E54337">
        <w:rPr>
          <w:rFonts w:cs="David"/>
          <w:rtl/>
        </w:rPr>
        <w:t>, הנאשם היה זה שיזם את רכישת ה- 16-</w:t>
      </w:r>
      <w:r w:rsidRPr="00E54337">
        <w:rPr>
          <w:rFonts w:cs="David"/>
        </w:rPr>
        <w:t>M</w:t>
      </w:r>
      <w:r w:rsidRPr="00E54337">
        <w:rPr>
          <w:rFonts w:cs="David"/>
          <w:rtl/>
        </w:rPr>
        <w:t xml:space="preserve"> בשל סכסוך בינו ובין אחרים. הנאשם הוא זה ששילם את התמורה הכספית, וקיבל את הנשק לידיו. </w:t>
      </w:r>
      <w:r w:rsidRPr="00E54337">
        <w:rPr>
          <w:rFonts w:cs="David"/>
          <w:b/>
          <w:bCs/>
          <w:rtl/>
        </w:rPr>
        <w:t>באישומים השני והשלישי</w:t>
      </w:r>
      <w:r w:rsidRPr="00E54337">
        <w:rPr>
          <w:rFonts w:cs="David"/>
          <w:rtl/>
        </w:rPr>
        <w:t>, הנאשם יזם רכישת שני 16-</w:t>
      </w:r>
      <w:r w:rsidRPr="00E54337">
        <w:rPr>
          <w:rFonts w:cs="David"/>
        </w:rPr>
        <w:t>M</w:t>
      </w:r>
      <w:r w:rsidRPr="00E54337">
        <w:rPr>
          <w:rFonts w:cs="David"/>
          <w:rtl/>
        </w:rPr>
        <w:t xml:space="preserve"> מוסבים, שילם את תמורתם הכספית, וקיבל את הנשקים לידיו. לאחר מכן, הנאשם היה זה שמכר את הנשקים לאחרים וקיבל לידיו את תמורתם הכספית. </w:t>
      </w:r>
      <w:r w:rsidRPr="00E54337">
        <w:rPr>
          <w:rFonts w:cs="David"/>
          <w:b/>
          <w:bCs/>
          <w:rtl/>
        </w:rPr>
        <w:t>באישום הרביעי</w:t>
      </w:r>
      <w:r w:rsidRPr="00E54337">
        <w:rPr>
          <w:rFonts w:cs="David"/>
          <w:rtl/>
        </w:rPr>
        <w:t xml:space="preserve">, הנאשם פעל לבדו. הוא רכש עוזי ושתי מחסניות, ואחר כך יזם את מכירת הנשק הנ"ל לאחר, כאשר התמורה שולמה חלקה במזומן לידי הנאשם, וחלקה בדרך של קיזוז חוב של הנאשם לאותו אחר. </w:t>
      </w:r>
      <w:r w:rsidRPr="00E54337">
        <w:rPr>
          <w:rFonts w:cs="David"/>
          <w:b/>
          <w:bCs/>
          <w:rtl/>
        </w:rPr>
        <w:t>באישום החמישי</w:t>
      </w:r>
      <w:r w:rsidRPr="00E54337">
        <w:rPr>
          <w:rFonts w:cs="David"/>
          <w:rtl/>
        </w:rPr>
        <w:t>, הנאשם פעל בצוותא עם אחמד. חלקו של אחמד בביצוע המעשים היה דומיננטי, אולם לנאשם היה חלק מהותי בכך שיזם את הפנייה לאחמד כדי שימצא עבורו אדם שמוכר כדורים לנשק מסוג 16-</w:t>
      </w:r>
      <w:r w:rsidRPr="00E54337">
        <w:rPr>
          <w:rFonts w:cs="David"/>
        </w:rPr>
        <w:t>M</w:t>
      </w:r>
      <w:r w:rsidRPr="00E54337">
        <w:rPr>
          <w:rFonts w:cs="David"/>
          <w:rtl/>
        </w:rPr>
        <w:t xml:space="preserve">. הנאשם גם היה זה שקיבל לרשותו את מספר הטלפון של מוכר האמל"ח כדי לבצע עסקה (אף שזו לא יצאה אל הפועל). </w:t>
      </w:r>
      <w:r w:rsidRPr="00E54337">
        <w:rPr>
          <w:rFonts w:cs="David"/>
          <w:b/>
          <w:bCs/>
          <w:rtl/>
        </w:rPr>
        <w:t>באישום השישי</w:t>
      </w:r>
      <w:r w:rsidRPr="00E54337">
        <w:rPr>
          <w:rFonts w:cs="David"/>
          <w:rtl/>
        </w:rPr>
        <w:t>, אחמד היה זה שקישר בין הנאשם לסוחר האמל"ח, אולם הנאשם היה זה שיצר קשר באופן אקטיבי עם אותו סוחר, ואף נפגש עמו לצורך רכישת 16-</w:t>
      </w:r>
      <w:r w:rsidRPr="00E54337">
        <w:rPr>
          <w:rFonts w:cs="David"/>
        </w:rPr>
        <w:t>M</w:t>
      </w:r>
      <w:r w:rsidRPr="00E54337">
        <w:rPr>
          <w:rFonts w:cs="David"/>
          <w:rtl/>
        </w:rPr>
        <w:t xml:space="preserve"> (גם עסקה זו לא יצאה אל הפועל). </w:t>
      </w:r>
      <w:r w:rsidRPr="00E54337">
        <w:rPr>
          <w:rFonts w:cs="David"/>
          <w:b/>
          <w:bCs/>
          <w:rtl/>
        </w:rPr>
        <w:t>באישום השביעי</w:t>
      </w:r>
      <w:r w:rsidRPr="00E54337">
        <w:rPr>
          <w:rFonts w:cs="David"/>
          <w:rtl/>
        </w:rPr>
        <w:t xml:space="preserve"> הנאשם הוא זה שיזם את הפנייה לאחמד כדי שימצא עבורו סוחר אמל"ח. כמו כן, הנאשם יצר קשר עם סוחר האמל"ח (עסקה זו גם היא לא יצאה אל הפועל). הנה כי כן, באישומים בהם הנאשם פעל בצוותא, חלקו במעשים היה משמעותי (ראו והשוו: </w:t>
      </w:r>
      <w:hyperlink r:id="rId31" w:history="1">
        <w:r w:rsidR="00D612CD" w:rsidRPr="00E54337">
          <w:rPr>
            <w:rFonts w:cs="David"/>
            <w:color w:val="0000FF"/>
            <w:u w:val="single"/>
            <w:rtl/>
          </w:rPr>
          <w:t>ע"פ 500/21</w:t>
        </w:r>
      </w:hyperlink>
      <w:r w:rsidRPr="00E54337">
        <w:rPr>
          <w:rFonts w:cs="David"/>
          <w:rtl/>
        </w:rPr>
        <w:t xml:space="preserve"> </w:t>
      </w:r>
      <w:r w:rsidRPr="00E54337">
        <w:rPr>
          <w:rFonts w:ascii="Miriam" w:hAnsi="Miriam" w:cs="David"/>
          <w:sz w:val="24"/>
          <w:szCs w:val="24"/>
          <w:rtl/>
        </w:rPr>
        <w:t>פלוני נ' מדינת ישראל</w:t>
      </w:r>
      <w:r w:rsidRPr="00E54337">
        <w:rPr>
          <w:rFonts w:cs="David"/>
          <w:rtl/>
        </w:rPr>
        <w:t>, פס' 2 (31.5.2021)).</w:t>
      </w:r>
    </w:p>
    <w:p w14:paraId="3166F3D8" w14:textId="77777777" w:rsidR="00942439" w:rsidRPr="00E54337" w:rsidRDefault="00942439" w:rsidP="00942439">
      <w:pPr>
        <w:pStyle w:val="Ruller40"/>
        <w:rPr>
          <w:rFonts w:cs="David"/>
          <w:rtl/>
        </w:rPr>
      </w:pPr>
    </w:p>
    <w:p w14:paraId="55A57172" w14:textId="77777777" w:rsidR="00942439" w:rsidRPr="00E54337" w:rsidRDefault="00942439" w:rsidP="00942439">
      <w:pPr>
        <w:spacing w:line="360" w:lineRule="auto"/>
        <w:jc w:val="both"/>
        <w:rPr>
          <w:rFonts w:ascii="Century" w:hAnsi="Century"/>
          <w:spacing w:val="10"/>
          <w:szCs w:val="28"/>
          <w:rtl/>
        </w:rPr>
      </w:pPr>
      <w:r w:rsidRPr="00E54337">
        <w:rPr>
          <w:rFonts w:ascii="FrankRuehl" w:hAnsi="FrankRuehl"/>
          <w:spacing w:val="10"/>
          <w:sz w:val="28"/>
          <w:szCs w:val="28"/>
          <w:rtl/>
        </w:rPr>
        <w:t>12.</w:t>
      </w:r>
      <w:r w:rsidRPr="00E54337">
        <w:rPr>
          <w:rFonts w:ascii="FrankRuehl" w:hAnsi="FrankRuehl"/>
          <w:sz w:val="28"/>
          <w:szCs w:val="28"/>
          <w:rtl/>
        </w:rPr>
        <w:tab/>
      </w:r>
      <w:r w:rsidRPr="00E54337">
        <w:rPr>
          <w:rFonts w:ascii="FrankRuehl" w:hAnsi="FrankRuehl"/>
          <w:b/>
          <w:bCs/>
          <w:sz w:val="28"/>
          <w:szCs w:val="28"/>
          <w:rtl/>
        </w:rPr>
        <w:t>מבחינת הענישה הנוהגת</w:t>
      </w:r>
      <w:r w:rsidRPr="00E54337">
        <w:rPr>
          <w:rFonts w:ascii="FrankRuehl" w:hAnsi="FrankRuehl"/>
          <w:sz w:val="28"/>
          <w:szCs w:val="28"/>
          <w:rtl/>
        </w:rPr>
        <w:t xml:space="preserve"> – </w:t>
      </w:r>
      <w:r w:rsidRPr="00E54337">
        <w:rPr>
          <w:rFonts w:ascii="FrankRuehl" w:hAnsi="FrankRuehl"/>
          <w:spacing w:val="10"/>
          <w:sz w:val="28"/>
          <w:szCs w:val="28"/>
          <w:rtl/>
        </w:rPr>
        <w:t>כידוע, העונש המרבי הקבוע בחוק בגין עבירה של</w:t>
      </w:r>
      <w:r w:rsidRPr="00E54337">
        <w:rPr>
          <w:rFonts w:ascii="Century" w:hAnsi="Century"/>
          <w:spacing w:val="10"/>
          <w:szCs w:val="28"/>
          <w:rtl/>
        </w:rPr>
        <w:t xml:space="preserve"> סחר בנשק, הוא מאסר 15 שנים. העונש המרבי הקבוע בחוק בגין עבירה של רכישת נשק, הוא מאסר 7 שנים. העונש המרבי הקבוע בחוק בגין עבירה של קשירת קשר לביצוע פשע בנשק, הוא מאסר 7 שנים. בית המשפט העליון חזר פעם אחר פעם על החומרה הגלומה בעבירות בנשק, ועל פוטנציאל הפגיעה בנפש וברכוש שעלולה להיגרם כתוצאה מהן. בהלכה הפסוקה נקבע כי על דרך הכלל, יש להחמיר בענישתם של נאשמים שהורשעו בעבירות בנשק בכלל, ובעבירות של סחר ורכישה של נשק בפרט. נפסק כי הגם שהענישה היא לעולם אינדיבידואלית, הרי בעבירות נשק ראוי שבית המשפט ייתן משקל משמעותי יותר לאינטרס הציבורי ולצורך להרתיע עבריינים מלבצע עבירות דומות, ביחס לנסיבות האישיות של העבריין. בהתאם לכך, מדיניות הענישה הנוהגת מבוססת על הטלת עונשי מאסר לריצוי בפועל, וזאת גם לגבי מי שהוא נעדר עבר פלילי קודם. משך המאסר בפועל נגזר, בין היתר, מנסיבות המעשה ובהן: טיב העבירה, סוג הנשק, כמות הנשק, התכלית לה נועד הנשק ועוד.</w:t>
      </w:r>
    </w:p>
    <w:p w14:paraId="46FE034C" w14:textId="77777777" w:rsidR="00942439" w:rsidRPr="00E54337" w:rsidRDefault="00942439" w:rsidP="00942439">
      <w:pPr>
        <w:spacing w:line="360" w:lineRule="auto"/>
        <w:jc w:val="both"/>
        <w:rPr>
          <w:rFonts w:ascii="Century" w:hAnsi="Century"/>
          <w:spacing w:val="10"/>
          <w:szCs w:val="28"/>
          <w:rtl/>
        </w:rPr>
      </w:pPr>
    </w:p>
    <w:p w14:paraId="19D14F22" w14:textId="77777777" w:rsidR="00942439" w:rsidRPr="00E54337" w:rsidRDefault="00942439" w:rsidP="00942439">
      <w:pPr>
        <w:spacing w:line="360" w:lineRule="auto"/>
        <w:jc w:val="both"/>
        <w:rPr>
          <w:rFonts w:ascii="Century" w:hAnsi="Century"/>
          <w:spacing w:val="10"/>
          <w:szCs w:val="28"/>
          <w:rtl/>
        </w:rPr>
      </w:pPr>
      <w:r w:rsidRPr="00E54337">
        <w:rPr>
          <w:rFonts w:ascii="Century" w:hAnsi="Century"/>
          <w:spacing w:val="10"/>
          <w:szCs w:val="28"/>
          <w:rtl/>
        </w:rPr>
        <w:tab/>
      </w:r>
      <w:r w:rsidRPr="00E54337">
        <w:rPr>
          <w:rFonts w:ascii="Miriam" w:hAnsi="Miriam"/>
          <w:spacing w:val="10"/>
          <w:rtl/>
        </w:rPr>
        <w:t>בכל הנוגע לעבירה של סחר בנשק</w:t>
      </w:r>
      <w:r w:rsidRPr="00E54337">
        <w:rPr>
          <w:rFonts w:ascii="Century" w:hAnsi="Century"/>
          <w:spacing w:val="10"/>
          <w:szCs w:val="28"/>
          <w:rtl/>
        </w:rPr>
        <w:t xml:space="preserve"> – בשנת 2018 ניתן בבית המשפט העליון פסק דין שדן בהרחבה בענישה בגין העבירה האמורה (</w:t>
      </w:r>
      <w:r w:rsidRPr="00E54337">
        <w:rPr>
          <w:rFonts w:ascii="FrankRuehl" w:hAnsi="FrankRuehl"/>
          <w:spacing w:val="10"/>
          <w:sz w:val="28"/>
          <w:szCs w:val="28"/>
          <w:rtl/>
        </w:rPr>
        <w:t xml:space="preserve">ראו: </w:t>
      </w:r>
      <w:hyperlink r:id="rId32" w:history="1">
        <w:r w:rsidR="00D612CD" w:rsidRPr="00E54337">
          <w:rPr>
            <w:rFonts w:ascii="FrankRuehl" w:hAnsi="FrankRuehl"/>
            <w:color w:val="0000FF"/>
            <w:sz w:val="28"/>
            <w:u w:val="single"/>
            <w:rtl/>
          </w:rPr>
          <w:t>ע"פ 8045/17</w:t>
        </w:r>
      </w:hyperlink>
      <w:r w:rsidRPr="00E54337">
        <w:rPr>
          <w:rFonts w:ascii="Century" w:hAnsi="Century"/>
          <w:spacing w:val="10"/>
          <w:szCs w:val="28"/>
          <w:rtl/>
        </w:rPr>
        <w:t xml:space="preserve"> </w:t>
      </w:r>
      <w:r w:rsidRPr="00E54337">
        <w:rPr>
          <w:rFonts w:ascii="Century" w:hAnsi="Century"/>
          <w:spacing w:val="10"/>
          <w:rtl/>
        </w:rPr>
        <w:t>בראנסי נ' מדינת ישראל</w:t>
      </w:r>
      <w:r w:rsidRPr="00E54337">
        <w:rPr>
          <w:rFonts w:ascii="Century" w:hAnsi="Century"/>
          <w:spacing w:val="10"/>
          <w:szCs w:val="28"/>
          <w:rtl/>
        </w:rPr>
        <w:t xml:space="preserve"> (16.8.2018)). ב</w:t>
      </w:r>
      <w:hyperlink r:id="rId33" w:history="1">
        <w:r w:rsidR="00D612CD" w:rsidRPr="00E54337">
          <w:rPr>
            <w:rFonts w:ascii="Century" w:hAnsi="Century" w:hint="eastAsia"/>
            <w:color w:val="0000FF"/>
            <w:spacing w:val="10"/>
            <w:szCs w:val="28"/>
            <w:u w:val="single"/>
            <w:rtl/>
          </w:rPr>
          <w:t>ע</w:t>
        </w:r>
        <w:r w:rsidR="00D612CD" w:rsidRPr="00E54337">
          <w:rPr>
            <w:rFonts w:ascii="Century" w:hAnsi="Century"/>
            <w:color w:val="0000FF"/>
            <w:spacing w:val="10"/>
            <w:szCs w:val="28"/>
            <w:u w:val="single"/>
            <w:rtl/>
          </w:rPr>
          <w:t>"</w:t>
        </w:r>
        <w:r w:rsidR="00D612CD" w:rsidRPr="00E54337">
          <w:rPr>
            <w:rFonts w:ascii="Century" w:hAnsi="Century" w:hint="eastAsia"/>
            <w:color w:val="0000FF"/>
            <w:spacing w:val="10"/>
            <w:szCs w:val="28"/>
            <w:u w:val="single"/>
            <w:rtl/>
          </w:rPr>
          <w:t>פ</w:t>
        </w:r>
        <w:r w:rsidR="00D612CD" w:rsidRPr="00E54337">
          <w:rPr>
            <w:rFonts w:ascii="Century" w:hAnsi="Century"/>
            <w:color w:val="0000FF"/>
            <w:spacing w:val="10"/>
            <w:szCs w:val="28"/>
            <w:u w:val="single"/>
            <w:rtl/>
          </w:rPr>
          <w:t xml:space="preserve"> 8045/17</w:t>
        </w:r>
      </w:hyperlink>
      <w:r w:rsidRPr="00E54337">
        <w:rPr>
          <w:rFonts w:ascii="Century" w:hAnsi="Century"/>
          <w:spacing w:val="10"/>
          <w:szCs w:val="28"/>
          <w:rtl/>
        </w:rPr>
        <w:t xml:space="preserve"> </w:t>
      </w:r>
      <w:r w:rsidRPr="00E54337">
        <w:rPr>
          <w:rFonts w:ascii="Century" w:hAnsi="Century"/>
          <w:spacing w:val="10"/>
          <w:rtl/>
        </w:rPr>
        <w:t>בראנסי</w:t>
      </w:r>
      <w:r w:rsidRPr="00E54337">
        <w:rPr>
          <w:rFonts w:ascii="Century" w:hAnsi="Century"/>
          <w:spacing w:val="10"/>
          <w:szCs w:val="28"/>
          <w:rtl/>
        </w:rPr>
        <w:t xml:space="preserve"> הנ"ל אושר מתחם עונש הולם שנע מ- 2 עד 5 שנות מאסר בפועל בגין </w:t>
      </w:r>
      <w:r w:rsidRPr="00E54337">
        <w:rPr>
          <w:rFonts w:ascii="Century" w:hAnsi="Century"/>
          <w:spacing w:val="10"/>
          <w:szCs w:val="28"/>
          <w:u w:val="single"/>
          <w:rtl/>
        </w:rPr>
        <w:t>מכירה</w:t>
      </w:r>
      <w:r w:rsidRPr="00E54337">
        <w:rPr>
          <w:rFonts w:ascii="Century" w:hAnsi="Century"/>
          <w:spacing w:val="10"/>
          <w:szCs w:val="28"/>
          <w:rtl/>
        </w:rPr>
        <w:t xml:space="preserve"> של רובה סער </w:t>
      </w:r>
      <w:r w:rsidRPr="00E54337">
        <w:rPr>
          <w:rFonts w:ascii="Century" w:hAnsi="Century"/>
          <w:spacing w:val="10"/>
          <w:szCs w:val="28"/>
          <w:u w:val="single"/>
          <w:rtl/>
        </w:rPr>
        <w:t>אחד</w:t>
      </w:r>
      <w:r w:rsidRPr="00E54337">
        <w:rPr>
          <w:rFonts w:ascii="Century" w:hAnsi="Century"/>
          <w:spacing w:val="10"/>
          <w:szCs w:val="28"/>
          <w:rtl/>
        </w:rPr>
        <w:t xml:space="preserve"> מסוג קלצ'ניקוב וכן קשירת קשר לביצוע פשע (שם, פס' 62-68). במקרה שלפניי, המתחם בעניינו של הנאשם צריך להיות חמור משמעותית, שכן הנאשם מכר </w:t>
      </w:r>
      <w:r w:rsidRPr="00E54337">
        <w:rPr>
          <w:rFonts w:ascii="Century" w:hAnsi="Century"/>
          <w:spacing w:val="10"/>
          <w:szCs w:val="28"/>
          <w:u w:val="single"/>
          <w:rtl/>
        </w:rPr>
        <w:t>שני</w:t>
      </w:r>
      <w:r w:rsidRPr="00E54337">
        <w:rPr>
          <w:rFonts w:ascii="Century" w:hAnsi="Century"/>
          <w:spacing w:val="10"/>
          <w:szCs w:val="28"/>
          <w:rtl/>
        </w:rPr>
        <w:t xml:space="preserve"> רובי סער מסוג 16-</w:t>
      </w:r>
      <w:r w:rsidRPr="00E54337">
        <w:rPr>
          <w:rFonts w:ascii="Century" w:hAnsi="Century"/>
          <w:spacing w:val="10"/>
          <w:szCs w:val="28"/>
        </w:rPr>
        <w:t>M</w:t>
      </w:r>
      <w:r w:rsidRPr="00E54337">
        <w:rPr>
          <w:rFonts w:ascii="Century" w:hAnsi="Century"/>
          <w:spacing w:val="10"/>
          <w:szCs w:val="28"/>
          <w:rtl/>
        </w:rPr>
        <w:t xml:space="preserve"> מוסב, וכן רובה </w:t>
      </w:r>
      <w:r w:rsidRPr="00E54337">
        <w:rPr>
          <w:rFonts w:ascii="Century" w:hAnsi="Century"/>
          <w:spacing w:val="10"/>
          <w:szCs w:val="28"/>
          <w:u w:val="single"/>
          <w:rtl/>
        </w:rPr>
        <w:t>אחד</w:t>
      </w:r>
      <w:r w:rsidRPr="00E54337">
        <w:rPr>
          <w:rFonts w:ascii="Century" w:hAnsi="Century"/>
          <w:spacing w:val="10"/>
          <w:szCs w:val="28"/>
          <w:rtl/>
        </w:rPr>
        <w:t xml:space="preserve"> מסוג עוזי ושתי מחסניות, וזאת בתמורה כספית ניכרת (36,000 ₪ באישום השני; 36,000 ₪ באישום השלישי; ו-34,000 ₪ באישום הרביעי). בנוסף, הנאשם הורשע בכך שניסה לסחור בכדורים לרובה מסוג 16-</w:t>
      </w:r>
      <w:r w:rsidRPr="00E54337">
        <w:rPr>
          <w:rFonts w:ascii="Century" w:hAnsi="Century"/>
          <w:spacing w:val="10"/>
          <w:szCs w:val="28"/>
        </w:rPr>
        <w:t>M</w:t>
      </w:r>
      <w:r w:rsidRPr="00E54337">
        <w:rPr>
          <w:rFonts w:ascii="Century" w:hAnsi="Century"/>
          <w:spacing w:val="10"/>
          <w:szCs w:val="28"/>
          <w:rtl/>
        </w:rPr>
        <w:t xml:space="preserve"> (האישום השישי), וכן הורשע בשתי עבירות של קשירת קשר לביצוע פשע של סחר בנשק או סחר בתחמושת (האישומים החמישי והשישי). </w:t>
      </w:r>
    </w:p>
    <w:p w14:paraId="0DD57AA2" w14:textId="77777777" w:rsidR="00942439" w:rsidRPr="00E54337" w:rsidRDefault="00942439" w:rsidP="00942439">
      <w:pPr>
        <w:pStyle w:val="Ruller40"/>
        <w:rPr>
          <w:rFonts w:cs="David"/>
          <w:rtl/>
        </w:rPr>
      </w:pPr>
    </w:p>
    <w:p w14:paraId="51CE63EE" w14:textId="77777777" w:rsidR="00942439" w:rsidRPr="00E54337" w:rsidRDefault="00942439" w:rsidP="00942439">
      <w:pPr>
        <w:spacing w:line="360" w:lineRule="auto"/>
        <w:ind w:firstLine="720"/>
        <w:jc w:val="both"/>
        <w:rPr>
          <w:rFonts w:ascii="Century" w:hAnsi="Century"/>
          <w:spacing w:val="10"/>
          <w:szCs w:val="28"/>
          <w:rtl/>
        </w:rPr>
      </w:pPr>
      <w:r w:rsidRPr="00E54337">
        <w:rPr>
          <w:rFonts w:ascii="Miriam" w:hAnsi="Miriam"/>
          <w:spacing w:val="10"/>
          <w:rtl/>
        </w:rPr>
        <w:t>אשר לעבירה של רכישת נשק</w:t>
      </w:r>
      <w:r w:rsidRPr="00E54337">
        <w:rPr>
          <w:rFonts w:ascii="Century" w:hAnsi="Century"/>
          <w:spacing w:val="10"/>
          <w:szCs w:val="28"/>
          <w:rtl/>
        </w:rPr>
        <w:t xml:space="preserve"> – כאשר מדובר </w:t>
      </w:r>
      <w:r w:rsidRPr="00E54337">
        <w:rPr>
          <w:rFonts w:ascii="Century" w:hAnsi="Century"/>
          <w:spacing w:val="10"/>
          <w:szCs w:val="28"/>
          <w:u w:val="single"/>
          <w:rtl/>
        </w:rPr>
        <w:t>ברכישה</w:t>
      </w:r>
      <w:r w:rsidRPr="00E54337">
        <w:rPr>
          <w:rFonts w:ascii="Century" w:hAnsi="Century"/>
          <w:spacing w:val="10"/>
          <w:szCs w:val="28"/>
          <w:rtl/>
        </w:rPr>
        <w:t xml:space="preserve"> של רובה סער </w:t>
      </w:r>
      <w:r w:rsidRPr="00E54337">
        <w:rPr>
          <w:rFonts w:ascii="Century" w:hAnsi="Century"/>
          <w:spacing w:val="10"/>
          <w:szCs w:val="28"/>
          <w:u w:val="single"/>
          <w:rtl/>
        </w:rPr>
        <w:t>אחד</w:t>
      </w:r>
      <w:r w:rsidRPr="00E54337">
        <w:rPr>
          <w:rFonts w:ascii="Century" w:hAnsi="Century"/>
          <w:spacing w:val="10"/>
          <w:szCs w:val="28"/>
          <w:rtl/>
        </w:rPr>
        <w:t>, נראה כי מתחם העונש ההולם מתחיל במספר דו-ספרתי של חודשי מאסר בפועל. ניתן להפנות בהקשר זה ל</w:t>
      </w:r>
      <w:hyperlink r:id="rId34" w:history="1">
        <w:r w:rsidR="00D612CD" w:rsidRPr="00E54337">
          <w:rPr>
            <w:rFonts w:ascii="Century" w:hAnsi="Century" w:hint="eastAsia"/>
            <w:color w:val="0000FF"/>
            <w:spacing w:val="10"/>
            <w:szCs w:val="28"/>
            <w:u w:val="single"/>
            <w:rtl/>
          </w:rPr>
          <w:t>ע</w:t>
        </w:r>
        <w:r w:rsidR="00D612CD" w:rsidRPr="00E54337">
          <w:rPr>
            <w:rFonts w:ascii="Century" w:hAnsi="Century"/>
            <w:color w:val="0000FF"/>
            <w:spacing w:val="10"/>
            <w:szCs w:val="28"/>
            <w:u w:val="single"/>
            <w:rtl/>
          </w:rPr>
          <w:t>"</w:t>
        </w:r>
        <w:r w:rsidR="00D612CD" w:rsidRPr="00E54337">
          <w:rPr>
            <w:rFonts w:ascii="Century" w:hAnsi="Century" w:hint="eastAsia"/>
            <w:color w:val="0000FF"/>
            <w:spacing w:val="10"/>
            <w:szCs w:val="28"/>
            <w:u w:val="single"/>
            <w:rtl/>
          </w:rPr>
          <w:t>פ</w:t>
        </w:r>
        <w:r w:rsidR="00D612CD" w:rsidRPr="00E54337">
          <w:rPr>
            <w:rFonts w:ascii="Century" w:hAnsi="Century"/>
            <w:color w:val="0000FF"/>
            <w:spacing w:val="10"/>
            <w:szCs w:val="28"/>
            <w:u w:val="single"/>
            <w:rtl/>
          </w:rPr>
          <w:t xml:space="preserve"> 1658/20</w:t>
        </w:r>
      </w:hyperlink>
      <w:r w:rsidRPr="00E54337">
        <w:rPr>
          <w:rFonts w:ascii="Century" w:hAnsi="Century"/>
          <w:spacing w:val="10"/>
          <w:szCs w:val="28"/>
          <w:rtl/>
        </w:rPr>
        <w:t xml:space="preserve"> </w:t>
      </w:r>
      <w:r w:rsidRPr="00E54337">
        <w:rPr>
          <w:rFonts w:ascii="Miriam" w:hAnsi="Miriam"/>
          <w:spacing w:val="10"/>
          <w:rtl/>
        </w:rPr>
        <w:t>ג'מאחנה נ' מדינת ישראל</w:t>
      </w:r>
      <w:r w:rsidRPr="00E54337">
        <w:rPr>
          <w:rFonts w:ascii="Century" w:hAnsi="Century"/>
          <w:spacing w:val="10"/>
          <w:szCs w:val="28"/>
          <w:rtl/>
        </w:rPr>
        <w:t xml:space="preserve"> (12.6.2020), שם בית המשפט העליון אישר עונש של 24 חודשי מאסר בפועל בגין רכישת נשק מסוג 16-</w:t>
      </w:r>
      <w:r w:rsidRPr="00E54337">
        <w:rPr>
          <w:rFonts w:ascii="Century" w:hAnsi="Century"/>
          <w:spacing w:val="10"/>
          <w:szCs w:val="28"/>
        </w:rPr>
        <w:t>M</w:t>
      </w:r>
      <w:r w:rsidRPr="00E54337">
        <w:rPr>
          <w:rFonts w:ascii="Century" w:hAnsi="Century"/>
          <w:spacing w:val="10"/>
          <w:szCs w:val="28"/>
          <w:rtl/>
        </w:rPr>
        <w:t>, נשיאתו והובלתו על-ידי המערער באותה פרשה, שהיה חסר עבר פלילי. אמנם, הנאשם שלפניי לא הורשע בעבירה של נשיאה והובלה של נשק. עם זאת, יש בפסק הדין שניתן ב</w:t>
      </w:r>
      <w:hyperlink r:id="rId35" w:history="1">
        <w:r w:rsidR="00D612CD" w:rsidRPr="00E54337">
          <w:rPr>
            <w:rFonts w:ascii="Century" w:hAnsi="Century" w:hint="eastAsia"/>
            <w:color w:val="0000FF"/>
            <w:spacing w:val="10"/>
            <w:szCs w:val="28"/>
            <w:u w:val="single"/>
            <w:rtl/>
          </w:rPr>
          <w:t>ע</w:t>
        </w:r>
        <w:r w:rsidR="00D612CD" w:rsidRPr="00E54337">
          <w:rPr>
            <w:rFonts w:ascii="Century" w:hAnsi="Century"/>
            <w:color w:val="0000FF"/>
            <w:spacing w:val="10"/>
            <w:szCs w:val="28"/>
            <w:u w:val="single"/>
            <w:rtl/>
          </w:rPr>
          <w:t>"</w:t>
        </w:r>
        <w:r w:rsidR="00D612CD" w:rsidRPr="00E54337">
          <w:rPr>
            <w:rFonts w:ascii="Century" w:hAnsi="Century" w:hint="eastAsia"/>
            <w:color w:val="0000FF"/>
            <w:spacing w:val="10"/>
            <w:szCs w:val="28"/>
            <w:u w:val="single"/>
            <w:rtl/>
          </w:rPr>
          <w:t>פ</w:t>
        </w:r>
        <w:r w:rsidR="00D612CD" w:rsidRPr="00E54337">
          <w:rPr>
            <w:rFonts w:ascii="Century" w:hAnsi="Century"/>
            <w:color w:val="0000FF"/>
            <w:spacing w:val="10"/>
            <w:szCs w:val="28"/>
            <w:u w:val="single"/>
            <w:rtl/>
          </w:rPr>
          <w:t xml:space="preserve"> 1658/20</w:t>
        </w:r>
      </w:hyperlink>
      <w:r w:rsidRPr="00E54337">
        <w:rPr>
          <w:rFonts w:ascii="Century" w:hAnsi="Century"/>
          <w:spacing w:val="10"/>
          <w:szCs w:val="28"/>
          <w:rtl/>
        </w:rPr>
        <w:t xml:space="preserve"> </w:t>
      </w:r>
      <w:r w:rsidRPr="00E54337">
        <w:rPr>
          <w:rFonts w:ascii="Miriam" w:hAnsi="Miriam"/>
          <w:spacing w:val="10"/>
          <w:rtl/>
        </w:rPr>
        <w:t>ג'מאחנה</w:t>
      </w:r>
      <w:r w:rsidRPr="00E54337">
        <w:rPr>
          <w:rFonts w:ascii="Century" w:hAnsi="Century"/>
          <w:spacing w:val="10"/>
          <w:szCs w:val="28"/>
          <w:rtl/>
        </w:rPr>
        <w:t xml:space="preserve"> הנ"ל, כדי ללמד על החומרה שההלכה הפסוקה מייחסת לעבירה של רכישת נשק והחזקתו (ראו גם: </w:t>
      </w:r>
      <w:hyperlink r:id="rId36" w:history="1">
        <w:r w:rsidR="00D612CD" w:rsidRPr="00E54337">
          <w:rPr>
            <w:rFonts w:ascii="Century" w:hAnsi="Century" w:hint="eastAsia"/>
            <w:color w:val="0000FF"/>
            <w:spacing w:val="10"/>
            <w:szCs w:val="28"/>
            <w:u w:val="single"/>
            <w:rtl/>
          </w:rPr>
          <w:t>ת</w:t>
        </w:r>
        <w:r w:rsidR="00D612CD" w:rsidRPr="00E54337">
          <w:rPr>
            <w:rFonts w:ascii="Century" w:hAnsi="Century"/>
            <w:color w:val="0000FF"/>
            <w:spacing w:val="10"/>
            <w:szCs w:val="28"/>
            <w:u w:val="single"/>
            <w:rtl/>
          </w:rPr>
          <w:t>"</w:t>
        </w:r>
        <w:r w:rsidR="00D612CD" w:rsidRPr="00E54337">
          <w:rPr>
            <w:rFonts w:ascii="Century" w:hAnsi="Century" w:hint="eastAsia"/>
            <w:color w:val="0000FF"/>
            <w:spacing w:val="10"/>
            <w:szCs w:val="28"/>
            <w:u w:val="single"/>
            <w:rtl/>
          </w:rPr>
          <w:t>פ</w:t>
        </w:r>
        <w:r w:rsidR="00D612CD" w:rsidRPr="00E54337">
          <w:rPr>
            <w:rFonts w:ascii="Century" w:hAnsi="Century"/>
            <w:color w:val="0000FF"/>
            <w:spacing w:val="10"/>
            <w:szCs w:val="28"/>
            <w:u w:val="single"/>
            <w:rtl/>
          </w:rPr>
          <w:t xml:space="preserve"> (</w:t>
        </w:r>
        <w:r w:rsidR="00D612CD" w:rsidRPr="00E54337">
          <w:rPr>
            <w:rFonts w:ascii="Century" w:hAnsi="Century" w:hint="eastAsia"/>
            <w:color w:val="0000FF"/>
            <w:spacing w:val="10"/>
            <w:szCs w:val="28"/>
            <w:u w:val="single"/>
            <w:rtl/>
          </w:rPr>
          <w:t>ב</w:t>
        </w:r>
        <w:r w:rsidR="00D612CD" w:rsidRPr="00E54337">
          <w:rPr>
            <w:rFonts w:ascii="Century" w:hAnsi="Century"/>
            <w:color w:val="0000FF"/>
            <w:spacing w:val="10"/>
            <w:szCs w:val="28"/>
            <w:u w:val="single"/>
            <w:rtl/>
          </w:rPr>
          <w:t>"</w:t>
        </w:r>
        <w:r w:rsidR="00D612CD" w:rsidRPr="00E54337">
          <w:rPr>
            <w:rFonts w:ascii="Century" w:hAnsi="Century" w:hint="eastAsia"/>
            <w:color w:val="0000FF"/>
            <w:spacing w:val="10"/>
            <w:szCs w:val="28"/>
            <w:u w:val="single"/>
            <w:rtl/>
          </w:rPr>
          <w:t>ש</w:t>
        </w:r>
        <w:r w:rsidR="00D612CD" w:rsidRPr="00E54337">
          <w:rPr>
            <w:rFonts w:ascii="Century" w:hAnsi="Century"/>
            <w:color w:val="0000FF"/>
            <w:spacing w:val="10"/>
            <w:szCs w:val="28"/>
            <w:u w:val="single"/>
            <w:rtl/>
          </w:rPr>
          <w:t>) 56762-03-21</w:t>
        </w:r>
      </w:hyperlink>
      <w:r w:rsidRPr="00E54337">
        <w:rPr>
          <w:rFonts w:ascii="Century" w:hAnsi="Century"/>
          <w:spacing w:val="10"/>
          <w:szCs w:val="28"/>
          <w:rtl/>
        </w:rPr>
        <w:t xml:space="preserve"> </w:t>
      </w:r>
      <w:r w:rsidRPr="00E54337">
        <w:rPr>
          <w:rFonts w:ascii="Miriam" w:hAnsi="Miriam"/>
          <w:spacing w:val="10"/>
          <w:rtl/>
        </w:rPr>
        <w:t>מדינת ישראל נ' קאצאעי</w:t>
      </w:r>
      <w:r w:rsidRPr="00E54337">
        <w:rPr>
          <w:rFonts w:ascii="Century" w:hAnsi="Century"/>
          <w:spacing w:val="10"/>
          <w:szCs w:val="28"/>
          <w:rtl/>
        </w:rPr>
        <w:t xml:space="preserve"> (10.11.2021) וההפניות שם). בהמשך לכך, אזכיר כי הנאשם שלפניי הורשע </w:t>
      </w:r>
      <w:r w:rsidRPr="00E54337">
        <w:rPr>
          <w:rFonts w:ascii="Century" w:hAnsi="Century"/>
          <w:spacing w:val="10"/>
          <w:szCs w:val="28"/>
          <w:u w:val="single"/>
          <w:rtl/>
        </w:rPr>
        <w:t>בשלוש</w:t>
      </w:r>
      <w:r w:rsidRPr="00E54337">
        <w:rPr>
          <w:rFonts w:ascii="Century" w:hAnsi="Century"/>
          <w:spacing w:val="10"/>
          <w:szCs w:val="28"/>
          <w:rtl/>
        </w:rPr>
        <w:t xml:space="preserve"> עבירות של רכישת נשק, וזאת ביחס לרובה מסוג 16-</w:t>
      </w:r>
      <w:r w:rsidRPr="00E54337">
        <w:rPr>
          <w:rFonts w:ascii="Century" w:hAnsi="Century"/>
          <w:spacing w:val="10"/>
          <w:szCs w:val="28"/>
        </w:rPr>
        <w:t>M</w:t>
      </w:r>
      <w:r w:rsidRPr="00E54337">
        <w:rPr>
          <w:rFonts w:ascii="Century" w:hAnsi="Century"/>
          <w:spacing w:val="10"/>
          <w:szCs w:val="28"/>
          <w:rtl/>
        </w:rPr>
        <w:t xml:space="preserve"> ומחסנית (האישום ראשון), וכן ביחס לשני רובי 16-</w:t>
      </w:r>
      <w:r w:rsidRPr="00E54337">
        <w:rPr>
          <w:rFonts w:ascii="Century" w:hAnsi="Century"/>
          <w:spacing w:val="10"/>
          <w:szCs w:val="28"/>
        </w:rPr>
        <w:t>M</w:t>
      </w:r>
      <w:r w:rsidRPr="00E54337">
        <w:rPr>
          <w:rFonts w:ascii="Century" w:hAnsi="Century"/>
          <w:spacing w:val="10"/>
          <w:szCs w:val="28"/>
          <w:rtl/>
        </w:rPr>
        <w:t xml:space="preserve"> מוסבים (האישומים השני והשלישי). זאת ועוד; בחלק מהמקרים הנאשם רכש את הנשק מלכתחילה לצורך מכירתו לאחר, וזאת לשם הפקת רווח כספי. מדובר בנסיבה מחמירה. כמו כן, הנאשם הורשע בעבירה אחת של קשירת קשר לביצוע פשע מסוג רכישת נשק (האישום השביעי). מטבע הדברים, ריבוי העבירות ישליך על מתחם העונש ההולם הכולל בגינן.</w:t>
      </w:r>
    </w:p>
    <w:p w14:paraId="75DC7B72" w14:textId="77777777" w:rsidR="00942439" w:rsidRPr="00E54337" w:rsidRDefault="00942439" w:rsidP="00942439">
      <w:pPr>
        <w:spacing w:line="360" w:lineRule="auto"/>
        <w:ind w:firstLine="720"/>
        <w:jc w:val="both"/>
        <w:rPr>
          <w:rFonts w:ascii="Century" w:hAnsi="Century"/>
          <w:spacing w:val="10"/>
          <w:szCs w:val="28"/>
          <w:rtl/>
        </w:rPr>
      </w:pPr>
    </w:p>
    <w:p w14:paraId="2678CA63" w14:textId="77777777" w:rsidR="00942439" w:rsidRPr="00E54337" w:rsidRDefault="00942439" w:rsidP="00942439">
      <w:pPr>
        <w:spacing w:line="360" w:lineRule="auto"/>
        <w:ind w:firstLine="720"/>
        <w:jc w:val="both"/>
        <w:rPr>
          <w:rFonts w:ascii="Century" w:hAnsi="Century"/>
          <w:spacing w:val="10"/>
          <w:szCs w:val="28"/>
          <w:rtl/>
        </w:rPr>
      </w:pPr>
      <w:r w:rsidRPr="00E54337">
        <w:rPr>
          <w:rFonts w:ascii="Century" w:hAnsi="Century"/>
          <w:spacing w:val="10"/>
          <w:szCs w:val="28"/>
          <w:rtl/>
        </w:rPr>
        <w:t>למען שלמות התמונה וטרם קביעת המתחם, אציין כי יש לראות בחומרה לא רק את העבירות של סחר ורכישת נשק, אלא גם את העבירה של קשירת קשר לביצוע עבירות אלה. אמנם, במסגרת העבירה של קשירת קשר, המכירה או הרכישה של הנשק לא יוצאות אל הפועל. עם זאת, קשירת הקשר כשלעצמה מקימה פוטנציאל לפגיעה משמעותית בשלום הציבור ובביטחונו. לא פעם הקושרים מעוניינים בהגשמת תכניתם, והעדר מימושה נובע מנסיבות חיצוניות שבלעדיהן התכנית העבריינית הייתה מתממשת. מכאן הסיכון הטמון בעבירה זו.</w:t>
      </w:r>
    </w:p>
    <w:p w14:paraId="02F9091E" w14:textId="77777777" w:rsidR="00942439" w:rsidRPr="00E54337" w:rsidRDefault="00942439" w:rsidP="00942439">
      <w:pPr>
        <w:spacing w:line="360" w:lineRule="auto"/>
        <w:jc w:val="both"/>
        <w:rPr>
          <w:rFonts w:ascii="Century" w:hAnsi="Century"/>
          <w:spacing w:val="10"/>
          <w:szCs w:val="28"/>
          <w:rtl/>
        </w:rPr>
      </w:pPr>
    </w:p>
    <w:p w14:paraId="26DF6C83" w14:textId="77777777" w:rsidR="00942439" w:rsidRPr="00E54337" w:rsidRDefault="00942439" w:rsidP="00942439">
      <w:pPr>
        <w:spacing w:line="360" w:lineRule="auto"/>
        <w:jc w:val="both"/>
        <w:rPr>
          <w:rFonts w:ascii="Century" w:hAnsi="Century"/>
          <w:spacing w:val="10"/>
          <w:szCs w:val="28"/>
          <w:rtl/>
        </w:rPr>
      </w:pPr>
      <w:r w:rsidRPr="00E54337">
        <w:rPr>
          <w:rFonts w:ascii="Century" w:hAnsi="Century"/>
          <w:spacing w:val="10"/>
          <w:szCs w:val="28"/>
          <w:rtl/>
        </w:rPr>
        <w:t>13.</w:t>
      </w:r>
      <w:r w:rsidRPr="00E54337">
        <w:rPr>
          <w:rFonts w:ascii="Century" w:hAnsi="Century"/>
          <w:spacing w:val="10"/>
          <w:szCs w:val="28"/>
          <w:rtl/>
        </w:rPr>
        <w:tab/>
        <w:t>בהתחשב בערכים שנפגעו ובעוצמת הפגיעה בערכים אלה; בנסיבות ביצוע כלל העבירות; במדיניות הענישה הנוהגת; ובעקרון ההלימה המהווה עקרון מנחה בענישה; אני סבורה כי</w:t>
      </w:r>
      <w:r w:rsidRPr="00E54337">
        <w:rPr>
          <w:rFonts w:ascii="Century" w:hAnsi="Century"/>
          <w:spacing w:val="10"/>
          <w:szCs w:val="28"/>
        </w:rPr>
        <w:t xml:space="preserve"> </w:t>
      </w:r>
      <w:r w:rsidRPr="00E54337">
        <w:rPr>
          <w:rFonts w:ascii="Century" w:hAnsi="Century"/>
          <w:b/>
          <w:bCs/>
          <w:spacing w:val="10"/>
          <w:szCs w:val="28"/>
          <w:rtl/>
        </w:rPr>
        <w:t>מתחם העונש ההולם</w:t>
      </w:r>
      <w:r w:rsidRPr="00E54337">
        <w:rPr>
          <w:rFonts w:ascii="Century" w:hAnsi="Century"/>
          <w:spacing w:val="10"/>
          <w:szCs w:val="28"/>
        </w:rPr>
        <w:t xml:space="preserve"> </w:t>
      </w:r>
      <w:r w:rsidRPr="00E54337">
        <w:rPr>
          <w:rFonts w:ascii="Century" w:hAnsi="Century"/>
          <w:spacing w:val="10"/>
          <w:szCs w:val="28"/>
          <w:rtl/>
        </w:rPr>
        <w:t>בגין שבעת האישומים בהם הורשע הנאשם, שכוללים שלוש עבירות של סחר בנשק (שני 16-</w:t>
      </w:r>
      <w:r w:rsidRPr="00E54337">
        <w:rPr>
          <w:rFonts w:ascii="Century" w:hAnsi="Century"/>
          <w:spacing w:val="10"/>
          <w:szCs w:val="28"/>
        </w:rPr>
        <w:t>M</w:t>
      </w:r>
      <w:r w:rsidRPr="00E54337">
        <w:rPr>
          <w:rFonts w:ascii="Century" w:hAnsi="Century"/>
          <w:spacing w:val="10"/>
          <w:szCs w:val="28"/>
          <w:rtl/>
        </w:rPr>
        <w:t xml:space="preserve"> מוסבים ורובה עוזי אחד עם שתי מחסניות), שלוש עבירות של רכישה והחזקה של נשק (רובה 16-</w:t>
      </w:r>
      <w:r w:rsidRPr="00E54337">
        <w:rPr>
          <w:rFonts w:ascii="Century" w:hAnsi="Century"/>
          <w:spacing w:val="10"/>
          <w:szCs w:val="28"/>
        </w:rPr>
        <w:t>M</w:t>
      </w:r>
      <w:r w:rsidRPr="00E54337">
        <w:rPr>
          <w:rFonts w:ascii="Century" w:hAnsi="Century"/>
          <w:spacing w:val="10"/>
          <w:szCs w:val="28"/>
          <w:rtl/>
        </w:rPr>
        <w:t xml:space="preserve"> עם מחסנית ורצועה, וכן שני 16-</w:t>
      </w:r>
      <w:r w:rsidRPr="00E54337">
        <w:rPr>
          <w:rFonts w:ascii="Century" w:hAnsi="Century"/>
          <w:spacing w:val="10"/>
          <w:szCs w:val="28"/>
        </w:rPr>
        <w:t>M</w:t>
      </w:r>
      <w:r w:rsidRPr="00E54337">
        <w:rPr>
          <w:rFonts w:ascii="Century" w:hAnsi="Century"/>
          <w:spacing w:val="10"/>
          <w:szCs w:val="28"/>
          <w:rtl/>
        </w:rPr>
        <w:t xml:space="preserve"> מוסבים שנמכרו לאחרים לאחר רכישתם), שלוש עבירות של קשירת קשר לביצוע פשע מסוג סחר בנשק או בתחמושת, ועבירה אחת של ניסיון לסחר בתחמושת – </w:t>
      </w:r>
      <w:r w:rsidRPr="00E54337">
        <w:rPr>
          <w:rFonts w:ascii="Century" w:hAnsi="Century"/>
          <w:b/>
          <w:bCs/>
          <w:spacing w:val="10"/>
          <w:szCs w:val="28"/>
          <w:rtl/>
        </w:rPr>
        <w:t>הנו מ-6 עד 10 שנות מאסר בפועל</w:t>
      </w:r>
      <w:r w:rsidRPr="00E54337">
        <w:rPr>
          <w:rFonts w:ascii="Century" w:hAnsi="Century"/>
          <w:spacing w:val="10"/>
          <w:szCs w:val="28"/>
          <w:rtl/>
        </w:rPr>
        <w:t xml:space="preserve">. </w:t>
      </w:r>
    </w:p>
    <w:p w14:paraId="6452A24D" w14:textId="77777777" w:rsidR="00942439" w:rsidRPr="00E54337" w:rsidRDefault="00942439" w:rsidP="00942439">
      <w:pPr>
        <w:spacing w:line="360" w:lineRule="auto"/>
        <w:jc w:val="both"/>
        <w:rPr>
          <w:rFonts w:ascii="Century" w:hAnsi="Century"/>
          <w:spacing w:val="10"/>
          <w:szCs w:val="28"/>
          <w:rtl/>
        </w:rPr>
      </w:pPr>
    </w:p>
    <w:p w14:paraId="5129441B" w14:textId="77777777" w:rsidR="00942439" w:rsidRPr="00E54337" w:rsidRDefault="00942439" w:rsidP="00942439">
      <w:pPr>
        <w:spacing w:line="360" w:lineRule="auto"/>
        <w:jc w:val="both"/>
        <w:rPr>
          <w:rFonts w:ascii="Century" w:hAnsi="Century"/>
          <w:spacing w:val="10"/>
          <w:szCs w:val="28"/>
          <w:rtl/>
        </w:rPr>
      </w:pPr>
      <w:r w:rsidRPr="00E54337">
        <w:rPr>
          <w:rFonts w:ascii="Century" w:hAnsi="Century"/>
          <w:spacing w:val="10"/>
          <w:szCs w:val="28"/>
          <w:rtl/>
        </w:rPr>
        <w:t>14.</w:t>
      </w:r>
      <w:r w:rsidRPr="00E54337">
        <w:rPr>
          <w:rFonts w:ascii="Century" w:hAnsi="Century"/>
          <w:spacing w:val="10"/>
          <w:szCs w:val="28"/>
          <w:rtl/>
        </w:rPr>
        <w:tab/>
        <w:t xml:space="preserve">בנסיבות העניין, אני בדעה כי מתחם העונש ההולם כולל גם רכיב של קנס כספי. זאת, בשים לב לכך שהעבירות בוצעו עבור בצע כסף, וכן בהתחשב בכך שהנאשם ביצע עסקאות סחר בנשק ששווין הכולל הוא בסך של עשרות אלפי ₪. ודוק, נתתי דעתי לכך ששיעור הרווח הכספי מביצוע העבירות הוא פחוּת, וכי היה על הנאשם להתחלק ברווח האמור עם אחרים. אף-על-פי-כן, לא ניתן להימנע מהטלת קנס בשיעור ממשי שירתיע מפני הישנות העבירות הנדונות שהמניע לביצוען הוא הפקת תועלת כספית (ראו: </w:t>
      </w:r>
      <w:hyperlink r:id="rId37" w:history="1">
        <w:r w:rsidR="00D612CD" w:rsidRPr="00E54337">
          <w:rPr>
            <w:rFonts w:ascii="Century" w:hAnsi="Century" w:hint="eastAsia"/>
            <w:color w:val="0000FF"/>
            <w:spacing w:val="10"/>
            <w:szCs w:val="28"/>
            <w:u w:val="single"/>
            <w:rtl/>
          </w:rPr>
          <w:t>ע</w:t>
        </w:r>
        <w:r w:rsidR="00D612CD" w:rsidRPr="00E54337">
          <w:rPr>
            <w:rFonts w:ascii="Century" w:hAnsi="Century"/>
            <w:color w:val="0000FF"/>
            <w:spacing w:val="10"/>
            <w:szCs w:val="28"/>
            <w:u w:val="single"/>
            <w:rtl/>
          </w:rPr>
          <w:t>"</w:t>
        </w:r>
        <w:r w:rsidR="00D612CD" w:rsidRPr="00E54337">
          <w:rPr>
            <w:rFonts w:ascii="Century" w:hAnsi="Century" w:hint="eastAsia"/>
            <w:color w:val="0000FF"/>
            <w:spacing w:val="10"/>
            <w:szCs w:val="28"/>
            <w:u w:val="single"/>
            <w:rtl/>
          </w:rPr>
          <w:t>פ</w:t>
        </w:r>
        <w:r w:rsidR="00D612CD" w:rsidRPr="00E54337">
          <w:rPr>
            <w:rFonts w:ascii="Century" w:hAnsi="Century"/>
            <w:color w:val="0000FF"/>
            <w:spacing w:val="10"/>
            <w:szCs w:val="28"/>
            <w:u w:val="single"/>
            <w:rtl/>
          </w:rPr>
          <w:t xml:space="preserve"> 6771/12</w:t>
        </w:r>
      </w:hyperlink>
      <w:r w:rsidRPr="00E54337">
        <w:rPr>
          <w:rFonts w:ascii="Century" w:hAnsi="Century"/>
          <w:spacing w:val="10"/>
          <w:szCs w:val="28"/>
          <w:rtl/>
        </w:rPr>
        <w:t xml:space="preserve"> </w:t>
      </w:r>
      <w:r w:rsidRPr="00E54337">
        <w:rPr>
          <w:rFonts w:ascii="Century" w:hAnsi="Century"/>
          <w:spacing w:val="10"/>
          <w:rtl/>
        </w:rPr>
        <w:t>קאסם נ' מדינת ישראל</w:t>
      </w:r>
      <w:r w:rsidRPr="00E54337">
        <w:rPr>
          <w:rFonts w:ascii="Century" w:hAnsi="Century"/>
          <w:spacing w:val="10"/>
          <w:szCs w:val="28"/>
          <w:rtl/>
        </w:rPr>
        <w:t xml:space="preserve"> (3.12.13)). אזכיר כי בהתאם להלכה הפסוקה, גובה הקנס הכספי אינו מוגבל בהכרח לגובה הרווח הכלכלי שהנאשם הפיק מביצוע העבירות. שיעור הקנס כפוף לעקרון ההלימה ועליו לבטא את חומרת העבירות, נסיבות ביצוען, ומידת פגיעתן בערכים המוגנים (ראו</w:t>
      </w:r>
      <w:r w:rsidRPr="00E54337">
        <w:rPr>
          <w:rFonts w:ascii="FrankRuehl" w:hAnsi="FrankRuehl"/>
          <w:spacing w:val="10"/>
          <w:sz w:val="28"/>
          <w:szCs w:val="28"/>
          <w:rtl/>
        </w:rPr>
        <w:t xml:space="preserve">: </w:t>
      </w:r>
      <w:hyperlink r:id="rId38" w:history="1">
        <w:r w:rsidR="00D612CD" w:rsidRPr="00E54337">
          <w:rPr>
            <w:rFonts w:ascii="FrankRuehl" w:hAnsi="FrankRuehl"/>
            <w:color w:val="0000FF"/>
            <w:sz w:val="28"/>
            <w:szCs w:val="28"/>
            <w:u w:val="single"/>
            <w:rtl/>
          </w:rPr>
          <w:t>ע"פ 8045/17</w:t>
        </w:r>
      </w:hyperlink>
      <w:r w:rsidRPr="00E54337">
        <w:rPr>
          <w:rFonts w:ascii="Century" w:hAnsi="Century"/>
          <w:spacing w:val="10"/>
          <w:szCs w:val="28"/>
          <w:rtl/>
        </w:rPr>
        <w:t xml:space="preserve"> </w:t>
      </w:r>
      <w:r w:rsidRPr="00E54337">
        <w:rPr>
          <w:rFonts w:ascii="Century" w:hAnsi="Century"/>
          <w:spacing w:val="10"/>
          <w:rtl/>
        </w:rPr>
        <w:t>בראנסי</w:t>
      </w:r>
      <w:r w:rsidRPr="00E54337">
        <w:rPr>
          <w:rFonts w:ascii="Century" w:hAnsi="Century"/>
          <w:spacing w:val="10"/>
          <w:szCs w:val="28"/>
          <w:rtl/>
        </w:rPr>
        <w:t xml:space="preserve"> הנ"ל, פס' 22). בהתחשב בכל אלה, אני קובעת כי </w:t>
      </w:r>
      <w:r w:rsidRPr="00E54337">
        <w:rPr>
          <w:rFonts w:ascii="Century" w:hAnsi="Century"/>
          <w:b/>
          <w:bCs/>
          <w:spacing w:val="10"/>
          <w:szCs w:val="28"/>
          <w:rtl/>
        </w:rPr>
        <w:t>מתחם הקנס ההולם</w:t>
      </w:r>
      <w:r w:rsidRPr="00E54337">
        <w:rPr>
          <w:rFonts w:ascii="Century" w:hAnsi="Century"/>
          <w:spacing w:val="10"/>
          <w:szCs w:val="28"/>
          <w:rtl/>
        </w:rPr>
        <w:t xml:space="preserve"> בגין מכלול העבירות בהן הורשע הנאשם, מתחיל מסכום של 20,000 ₪ ומעלה.</w:t>
      </w:r>
    </w:p>
    <w:p w14:paraId="37269B5F" w14:textId="77777777" w:rsidR="00942439" w:rsidRPr="00E54337" w:rsidRDefault="00942439" w:rsidP="00942439">
      <w:pPr>
        <w:spacing w:line="360" w:lineRule="auto"/>
        <w:jc w:val="both"/>
        <w:rPr>
          <w:rFonts w:ascii="Century" w:hAnsi="Century"/>
          <w:spacing w:val="10"/>
          <w:szCs w:val="28"/>
          <w:rtl/>
        </w:rPr>
      </w:pPr>
    </w:p>
    <w:p w14:paraId="5F236400" w14:textId="77777777" w:rsidR="00942439" w:rsidRPr="00E54337" w:rsidRDefault="00942439" w:rsidP="00942439">
      <w:pPr>
        <w:spacing w:line="360" w:lineRule="auto"/>
        <w:jc w:val="both"/>
        <w:rPr>
          <w:rFonts w:ascii="Century" w:hAnsi="Century"/>
          <w:b/>
          <w:bCs/>
          <w:spacing w:val="10"/>
          <w:szCs w:val="28"/>
          <w:u w:val="single"/>
          <w:rtl/>
        </w:rPr>
      </w:pPr>
      <w:r w:rsidRPr="00E54337">
        <w:rPr>
          <w:rFonts w:ascii="Century" w:hAnsi="Century"/>
          <w:b/>
          <w:bCs/>
          <w:spacing w:val="10"/>
          <w:szCs w:val="28"/>
          <w:u w:val="single"/>
          <w:rtl/>
        </w:rPr>
        <w:t>גזירת העונש המתאים בגדרי המתחם שנקבע</w:t>
      </w:r>
    </w:p>
    <w:p w14:paraId="6BC041B1" w14:textId="77777777" w:rsidR="00942439" w:rsidRPr="00E54337" w:rsidRDefault="00942439" w:rsidP="00942439">
      <w:pPr>
        <w:spacing w:line="360" w:lineRule="auto"/>
        <w:jc w:val="both"/>
        <w:rPr>
          <w:rFonts w:ascii="Century" w:hAnsi="Century"/>
          <w:spacing w:val="10"/>
          <w:szCs w:val="28"/>
          <w:rtl/>
        </w:rPr>
      </w:pPr>
      <w:r w:rsidRPr="00E54337">
        <w:rPr>
          <w:rFonts w:ascii="Century" w:hAnsi="Century"/>
          <w:spacing w:val="10"/>
          <w:szCs w:val="28"/>
          <w:rtl/>
        </w:rPr>
        <w:t xml:space="preserve">15. </w:t>
      </w:r>
      <w:r w:rsidRPr="00E54337">
        <w:rPr>
          <w:rFonts w:ascii="Century" w:hAnsi="Century"/>
          <w:spacing w:val="10"/>
          <w:szCs w:val="28"/>
          <w:rtl/>
        </w:rPr>
        <w:tab/>
        <w:t xml:space="preserve">לא התבקשתי ואף לא ראיתי לחרוג ממתחם העונש ההולם לחומרה או לקולא. לצורך גזירת העונש המתאים במסגרת המתחם, יש להתחשב בנסיבות שאינן קשורות בביצוע העבירות כאמור </w:t>
      </w:r>
      <w:hyperlink r:id="rId39" w:history="1">
        <w:r w:rsidR="00E54337" w:rsidRPr="00E54337">
          <w:rPr>
            <w:rStyle w:val="Hyperlink"/>
            <w:rFonts w:ascii="Century" w:hAnsi="Century" w:hint="eastAsia"/>
            <w:spacing w:val="10"/>
            <w:szCs w:val="28"/>
            <w:rtl/>
          </w:rPr>
          <w:t>בסעיף</w:t>
        </w:r>
        <w:r w:rsidR="00E54337" w:rsidRPr="00E54337">
          <w:rPr>
            <w:rStyle w:val="Hyperlink"/>
            <w:rFonts w:ascii="Century" w:hAnsi="Century"/>
            <w:spacing w:val="10"/>
            <w:szCs w:val="28"/>
            <w:rtl/>
          </w:rPr>
          <w:t xml:space="preserve"> 40</w:t>
        </w:r>
        <w:r w:rsidR="00E54337" w:rsidRPr="00E54337">
          <w:rPr>
            <w:rStyle w:val="Hyperlink"/>
            <w:rFonts w:ascii="Century" w:hAnsi="Century" w:hint="eastAsia"/>
            <w:spacing w:val="10"/>
            <w:szCs w:val="28"/>
            <w:rtl/>
          </w:rPr>
          <w:t>יא</w:t>
        </w:r>
      </w:hyperlink>
      <w:r w:rsidRPr="00E54337">
        <w:rPr>
          <w:rFonts w:ascii="Century" w:hAnsi="Century"/>
          <w:spacing w:val="10"/>
          <w:szCs w:val="28"/>
          <w:rtl/>
        </w:rPr>
        <w:t xml:space="preserve"> ל</w:t>
      </w:r>
      <w:hyperlink r:id="rId40" w:history="1">
        <w:r w:rsidR="00D612CD" w:rsidRPr="00E54337">
          <w:rPr>
            <w:rFonts w:ascii="Century" w:hAnsi="Century" w:hint="eastAsia"/>
            <w:color w:val="0000FF"/>
            <w:spacing w:val="10"/>
            <w:szCs w:val="28"/>
            <w:u w:val="single"/>
            <w:rtl/>
          </w:rPr>
          <w:t>חוק</w:t>
        </w:r>
        <w:r w:rsidR="00D612CD" w:rsidRPr="00E54337">
          <w:rPr>
            <w:rFonts w:ascii="Century" w:hAnsi="Century"/>
            <w:color w:val="0000FF"/>
            <w:spacing w:val="10"/>
            <w:szCs w:val="28"/>
            <w:u w:val="single"/>
            <w:rtl/>
          </w:rPr>
          <w:t xml:space="preserve"> </w:t>
        </w:r>
        <w:r w:rsidR="00D612CD" w:rsidRPr="00E54337">
          <w:rPr>
            <w:rFonts w:ascii="Century" w:hAnsi="Century" w:hint="eastAsia"/>
            <w:color w:val="0000FF"/>
            <w:spacing w:val="10"/>
            <w:szCs w:val="28"/>
            <w:u w:val="single"/>
            <w:rtl/>
          </w:rPr>
          <w:t>העונשין</w:t>
        </w:r>
      </w:hyperlink>
      <w:r w:rsidRPr="00E54337">
        <w:rPr>
          <w:rFonts w:ascii="Century" w:hAnsi="Century"/>
          <w:spacing w:val="10"/>
          <w:szCs w:val="28"/>
          <w:rtl/>
        </w:rPr>
        <w:t>:</w:t>
      </w:r>
    </w:p>
    <w:p w14:paraId="49A52081" w14:textId="77777777" w:rsidR="00942439" w:rsidRPr="00E54337" w:rsidRDefault="00942439" w:rsidP="00942439">
      <w:pPr>
        <w:spacing w:line="360" w:lineRule="auto"/>
        <w:jc w:val="both"/>
        <w:rPr>
          <w:rFonts w:ascii="Century" w:hAnsi="Century"/>
          <w:spacing w:val="10"/>
          <w:szCs w:val="28"/>
          <w:rtl/>
        </w:rPr>
      </w:pPr>
    </w:p>
    <w:p w14:paraId="5EDCE2C8" w14:textId="77777777" w:rsidR="00942439" w:rsidRPr="00E54337" w:rsidRDefault="00942439" w:rsidP="00942439">
      <w:pPr>
        <w:spacing w:line="360" w:lineRule="auto"/>
        <w:ind w:firstLine="720"/>
        <w:jc w:val="both"/>
        <w:rPr>
          <w:rFonts w:ascii="Century" w:hAnsi="Century"/>
          <w:spacing w:val="10"/>
          <w:szCs w:val="28"/>
          <w:rtl/>
        </w:rPr>
      </w:pPr>
      <w:r w:rsidRPr="00E54337">
        <w:rPr>
          <w:rFonts w:ascii="Century" w:hAnsi="Century"/>
          <w:b/>
          <w:bCs/>
          <w:spacing w:val="10"/>
          <w:szCs w:val="28"/>
          <w:rtl/>
        </w:rPr>
        <w:t>לטובת הנאשם</w:t>
      </w:r>
      <w:r w:rsidRPr="00E54337">
        <w:rPr>
          <w:rFonts w:ascii="Century" w:hAnsi="Century"/>
          <w:spacing w:val="10"/>
          <w:szCs w:val="28"/>
          <w:rtl/>
        </w:rPr>
        <w:t>, שקלתי את עברו הפלילי הנקי, וכן את העובדה שהוא הודה ונטל אחריות למעשיו. יצוין כי שיתוף הפעולה של הנאשם עם רשויות החקירה והודאתו במעשים, תרמו לחשיפת פרטיהם, שכן אין מדובר בתיק בו הופעל סוכן משטרתי. נתון זה הוא בעל משקל. לכך יש להוסיף את נסיבותיו המשפחתיות של הנאשם, ואת העובדה שעסקינן בבחור צעיר שבתו התינוקת נולדה בעודו שוהה במעצר בתיק זה. עוד התחשבתי בהתרשמות שירות המבחן לפיה המעצר הציב לנאשם גבול הרתעתי, וכי הוא מגלה מודעות למחירי מעשיו. בנוסף, נתתי משקל לכך שהנאשם מונה כתומך באגף בו הוא שוהה בבית המעצר, וכי שירות המבחן המליץ לשלבו בטיפול בכלא.</w:t>
      </w:r>
    </w:p>
    <w:p w14:paraId="5AF4FE67" w14:textId="77777777" w:rsidR="00942439" w:rsidRPr="00E54337" w:rsidRDefault="00942439" w:rsidP="00942439">
      <w:pPr>
        <w:spacing w:line="360" w:lineRule="auto"/>
        <w:jc w:val="both"/>
        <w:rPr>
          <w:rFonts w:ascii="Century" w:hAnsi="Century"/>
          <w:spacing w:val="10"/>
          <w:szCs w:val="28"/>
          <w:rtl/>
        </w:rPr>
      </w:pPr>
    </w:p>
    <w:p w14:paraId="03D096E7" w14:textId="77777777" w:rsidR="00942439" w:rsidRPr="00E54337" w:rsidRDefault="00942439" w:rsidP="00942439">
      <w:pPr>
        <w:spacing w:line="360" w:lineRule="auto"/>
        <w:jc w:val="both"/>
        <w:rPr>
          <w:rFonts w:ascii="Century" w:hAnsi="Century"/>
          <w:spacing w:val="10"/>
          <w:szCs w:val="28"/>
          <w:rtl/>
        </w:rPr>
      </w:pPr>
      <w:r w:rsidRPr="00E54337">
        <w:rPr>
          <w:rFonts w:ascii="Century" w:hAnsi="Century"/>
          <w:spacing w:val="10"/>
          <w:szCs w:val="28"/>
          <w:rtl/>
        </w:rPr>
        <w:tab/>
      </w:r>
      <w:r w:rsidRPr="00E54337">
        <w:rPr>
          <w:rFonts w:ascii="Century" w:hAnsi="Century"/>
          <w:b/>
          <w:bCs/>
          <w:spacing w:val="10"/>
          <w:szCs w:val="28"/>
          <w:rtl/>
        </w:rPr>
        <w:t>לחובת הנאשם</w:t>
      </w:r>
      <w:r w:rsidRPr="00E54337">
        <w:rPr>
          <w:rFonts w:ascii="Century" w:hAnsi="Century"/>
          <w:spacing w:val="10"/>
          <w:szCs w:val="28"/>
          <w:rtl/>
        </w:rPr>
        <w:t xml:space="preserve">, שקלתי את הצורך בהרתעת היחיד ובהרתעת הרבים מפני הישנות עבירות נשק שמסוכנותן רבה (ראו גם: </w:t>
      </w:r>
      <w:hyperlink r:id="rId41" w:history="1">
        <w:r w:rsidR="00E54337" w:rsidRPr="00E54337">
          <w:rPr>
            <w:rStyle w:val="Hyperlink"/>
            <w:rFonts w:ascii="Century" w:hAnsi="Century" w:hint="eastAsia"/>
            <w:spacing w:val="10"/>
            <w:szCs w:val="28"/>
            <w:rtl/>
          </w:rPr>
          <w:t>סעיפים</w:t>
        </w:r>
        <w:r w:rsidR="00E54337" w:rsidRPr="00E54337">
          <w:rPr>
            <w:rStyle w:val="Hyperlink"/>
            <w:rFonts w:ascii="Century" w:hAnsi="Century"/>
            <w:spacing w:val="10"/>
            <w:szCs w:val="28"/>
            <w:rtl/>
          </w:rPr>
          <w:t xml:space="preserve"> 40</w:t>
        </w:r>
        <w:r w:rsidR="00E54337" w:rsidRPr="00E54337">
          <w:rPr>
            <w:rStyle w:val="Hyperlink"/>
            <w:rFonts w:ascii="Century" w:hAnsi="Century" w:hint="eastAsia"/>
            <w:spacing w:val="10"/>
            <w:szCs w:val="28"/>
            <w:rtl/>
          </w:rPr>
          <w:t>ו</w:t>
        </w:r>
      </w:hyperlink>
      <w:r w:rsidRPr="00E54337">
        <w:rPr>
          <w:rFonts w:ascii="Century" w:hAnsi="Century"/>
          <w:spacing w:val="10"/>
          <w:szCs w:val="28"/>
          <w:rtl/>
        </w:rPr>
        <w:t xml:space="preserve"> ו- </w:t>
      </w:r>
      <w:hyperlink r:id="rId42" w:history="1">
        <w:r w:rsidR="00E54337" w:rsidRPr="00E54337">
          <w:rPr>
            <w:rStyle w:val="Hyperlink"/>
            <w:rFonts w:ascii="Century" w:hAnsi="Century"/>
            <w:spacing w:val="10"/>
            <w:szCs w:val="28"/>
            <w:rtl/>
          </w:rPr>
          <w:t>40</w:t>
        </w:r>
        <w:r w:rsidR="00E54337" w:rsidRPr="00E54337">
          <w:rPr>
            <w:rStyle w:val="Hyperlink"/>
            <w:rFonts w:ascii="Century" w:hAnsi="Century" w:hint="eastAsia"/>
            <w:spacing w:val="10"/>
            <w:szCs w:val="28"/>
            <w:rtl/>
          </w:rPr>
          <w:t>ז</w:t>
        </w:r>
      </w:hyperlink>
      <w:r w:rsidRPr="00E54337">
        <w:rPr>
          <w:rFonts w:ascii="Century" w:hAnsi="Century"/>
          <w:spacing w:val="10"/>
          <w:szCs w:val="28"/>
          <w:rtl/>
        </w:rPr>
        <w:t xml:space="preserve"> ל</w:t>
      </w:r>
      <w:hyperlink r:id="rId43" w:history="1">
        <w:r w:rsidR="00D612CD" w:rsidRPr="00E54337">
          <w:rPr>
            <w:rFonts w:ascii="Century" w:hAnsi="Century" w:hint="eastAsia"/>
            <w:color w:val="0000FF"/>
            <w:spacing w:val="10"/>
            <w:szCs w:val="28"/>
            <w:u w:val="single"/>
            <w:rtl/>
          </w:rPr>
          <w:t>חוק</w:t>
        </w:r>
        <w:r w:rsidR="00D612CD" w:rsidRPr="00E54337">
          <w:rPr>
            <w:rFonts w:ascii="Century" w:hAnsi="Century"/>
            <w:color w:val="0000FF"/>
            <w:spacing w:val="10"/>
            <w:szCs w:val="28"/>
            <w:u w:val="single"/>
            <w:rtl/>
          </w:rPr>
          <w:t xml:space="preserve"> </w:t>
        </w:r>
        <w:r w:rsidR="00D612CD" w:rsidRPr="00E54337">
          <w:rPr>
            <w:rFonts w:ascii="Century" w:hAnsi="Century" w:hint="eastAsia"/>
            <w:color w:val="0000FF"/>
            <w:spacing w:val="10"/>
            <w:szCs w:val="28"/>
            <w:u w:val="single"/>
            <w:rtl/>
          </w:rPr>
          <w:t>העונשין</w:t>
        </w:r>
      </w:hyperlink>
      <w:r w:rsidRPr="00E54337">
        <w:rPr>
          <w:rFonts w:ascii="Century" w:hAnsi="Century"/>
          <w:spacing w:val="10"/>
          <w:szCs w:val="28"/>
          <w:rtl/>
        </w:rPr>
        <w:t xml:space="preserve">). יוער כי הצורך בהרתעה אישית אינו זניח בנסיבות המקרה, שכן מתסקיר שירות המבחן עולה כי השהות מאחורי סורג ובריח אמנם מהווה גורם מרתיע עבור הנאשם, אולם לצד זאת הנאשם מתקשה לבחון את התנהלותו לעומק. כפי שצוין לעיל, לפי הערכת שירות המבחן, רמת הסיכון להתנהגות עוברת חוק בעתיד מצדו של הנאשם היא </w:t>
      </w:r>
      <w:r w:rsidRPr="00E54337">
        <w:rPr>
          <w:rFonts w:ascii="Century" w:hAnsi="Century"/>
          <w:spacing w:val="10"/>
          <w:szCs w:val="28"/>
          <w:u w:val="single"/>
          <w:rtl/>
        </w:rPr>
        <w:t>גבוהה</w:t>
      </w:r>
      <w:r w:rsidRPr="00E54337">
        <w:rPr>
          <w:rFonts w:ascii="Century" w:hAnsi="Century"/>
          <w:spacing w:val="10"/>
          <w:szCs w:val="28"/>
          <w:rtl/>
        </w:rPr>
        <w:t xml:space="preserve">. </w:t>
      </w:r>
    </w:p>
    <w:p w14:paraId="7439DB74" w14:textId="77777777" w:rsidR="00942439" w:rsidRPr="00E54337" w:rsidRDefault="00942439" w:rsidP="00942439">
      <w:pPr>
        <w:spacing w:line="360" w:lineRule="auto"/>
        <w:jc w:val="both"/>
        <w:rPr>
          <w:rFonts w:ascii="Century" w:hAnsi="Century"/>
          <w:spacing w:val="10"/>
          <w:szCs w:val="28"/>
          <w:rtl/>
        </w:rPr>
      </w:pPr>
    </w:p>
    <w:p w14:paraId="6AA4F28A" w14:textId="77777777" w:rsidR="00942439" w:rsidRPr="00E54337" w:rsidRDefault="00942439" w:rsidP="00942439">
      <w:pPr>
        <w:spacing w:line="360" w:lineRule="auto"/>
        <w:jc w:val="both"/>
        <w:rPr>
          <w:rFonts w:ascii="Century" w:hAnsi="Century"/>
          <w:spacing w:val="10"/>
          <w:szCs w:val="28"/>
          <w:rtl/>
        </w:rPr>
      </w:pPr>
      <w:r w:rsidRPr="00E54337">
        <w:rPr>
          <w:rFonts w:ascii="Century" w:hAnsi="Century"/>
          <w:spacing w:val="10"/>
          <w:szCs w:val="28"/>
          <w:rtl/>
        </w:rPr>
        <w:t>16.</w:t>
      </w:r>
      <w:r w:rsidRPr="00E54337">
        <w:rPr>
          <w:rFonts w:ascii="Century" w:hAnsi="Century"/>
          <w:spacing w:val="10"/>
          <w:szCs w:val="28"/>
          <w:rtl/>
        </w:rPr>
        <w:tab/>
        <w:t>בטרם אגזור את עונשו של הנאשם, אתייחס לגזרי דין של מעורבים אחרים בפרשה:</w:t>
      </w:r>
    </w:p>
    <w:p w14:paraId="54F98CA5" w14:textId="77777777" w:rsidR="00942439" w:rsidRPr="00E54337" w:rsidRDefault="00942439" w:rsidP="00942439">
      <w:pPr>
        <w:spacing w:line="360" w:lineRule="auto"/>
        <w:jc w:val="both"/>
        <w:rPr>
          <w:rFonts w:ascii="Century" w:hAnsi="Century"/>
          <w:spacing w:val="10"/>
          <w:szCs w:val="28"/>
          <w:rtl/>
        </w:rPr>
      </w:pPr>
      <w:r w:rsidRPr="00E54337">
        <w:rPr>
          <w:rFonts w:ascii="Century" w:hAnsi="Century"/>
          <w:spacing w:val="10"/>
          <w:szCs w:val="28"/>
          <w:rtl/>
        </w:rPr>
        <w:t xml:space="preserve"> </w:t>
      </w:r>
    </w:p>
    <w:p w14:paraId="04958118" w14:textId="77777777" w:rsidR="00942439" w:rsidRPr="00E54337" w:rsidRDefault="00942439" w:rsidP="00942439">
      <w:pPr>
        <w:spacing w:line="360" w:lineRule="auto"/>
        <w:jc w:val="both"/>
        <w:rPr>
          <w:rFonts w:ascii="Century" w:hAnsi="Century"/>
          <w:spacing w:val="10"/>
          <w:szCs w:val="28"/>
          <w:rtl/>
        </w:rPr>
      </w:pPr>
      <w:r w:rsidRPr="00E54337">
        <w:rPr>
          <w:rFonts w:ascii="Century" w:hAnsi="Century"/>
          <w:spacing w:val="10"/>
          <w:szCs w:val="28"/>
          <w:rtl/>
        </w:rPr>
        <w:t xml:space="preserve">(-) </w:t>
      </w:r>
      <w:r w:rsidRPr="00E54337">
        <w:rPr>
          <w:rFonts w:ascii="Century" w:hAnsi="Century"/>
          <w:spacing w:val="10"/>
          <w:szCs w:val="28"/>
          <w:rtl/>
        </w:rPr>
        <w:tab/>
        <w:t xml:space="preserve">איברהים, אחיו של הנאשם, הורשע לפי הודאתו בבית משפט זה (כב' השופטת לומפ), בשלוש עבירות: עבירה של רכישת נשק, בגין חלקו באישום הראשון בהליך שבכותרת; עבירה של סחר בנשק, בגין חלקו באישום השלישי בהליך שבכותרת; וכן עבירה של רכישת חלקי נשק. בעקבות כך, כב' השופטת לומפ השיתה על איברהים 32 חודשי מאסר בפועל (ראו: </w:t>
      </w:r>
      <w:hyperlink r:id="rId44" w:history="1">
        <w:r w:rsidR="00D612CD" w:rsidRPr="00E54337">
          <w:rPr>
            <w:rFonts w:ascii="Century" w:hAnsi="Century" w:hint="eastAsia"/>
            <w:color w:val="0000FF"/>
            <w:spacing w:val="10"/>
            <w:szCs w:val="28"/>
            <w:u w:val="single"/>
            <w:rtl/>
          </w:rPr>
          <w:t>ת</w:t>
        </w:r>
        <w:r w:rsidR="00D612CD" w:rsidRPr="00E54337">
          <w:rPr>
            <w:rFonts w:ascii="Century" w:hAnsi="Century"/>
            <w:color w:val="0000FF"/>
            <w:spacing w:val="10"/>
            <w:szCs w:val="28"/>
            <w:u w:val="single"/>
            <w:rtl/>
          </w:rPr>
          <w:t>"</w:t>
        </w:r>
        <w:r w:rsidR="00D612CD" w:rsidRPr="00E54337">
          <w:rPr>
            <w:rFonts w:ascii="Century" w:hAnsi="Century" w:hint="eastAsia"/>
            <w:color w:val="0000FF"/>
            <w:spacing w:val="10"/>
            <w:szCs w:val="28"/>
            <w:u w:val="single"/>
            <w:rtl/>
          </w:rPr>
          <w:t>פ</w:t>
        </w:r>
        <w:r w:rsidR="00D612CD" w:rsidRPr="00E54337">
          <w:rPr>
            <w:rFonts w:ascii="Century" w:hAnsi="Century"/>
            <w:color w:val="0000FF"/>
            <w:spacing w:val="10"/>
            <w:szCs w:val="28"/>
            <w:u w:val="single"/>
            <w:rtl/>
          </w:rPr>
          <w:t xml:space="preserve"> (</w:t>
        </w:r>
        <w:r w:rsidR="00D612CD" w:rsidRPr="00E54337">
          <w:rPr>
            <w:rFonts w:ascii="Century" w:hAnsi="Century" w:hint="eastAsia"/>
            <w:color w:val="0000FF"/>
            <w:spacing w:val="10"/>
            <w:szCs w:val="28"/>
            <w:u w:val="single"/>
            <w:rtl/>
          </w:rPr>
          <w:t>י</w:t>
        </w:r>
        <w:r w:rsidR="00D612CD" w:rsidRPr="00E54337">
          <w:rPr>
            <w:rFonts w:ascii="Century" w:hAnsi="Century"/>
            <w:color w:val="0000FF"/>
            <w:spacing w:val="10"/>
            <w:szCs w:val="28"/>
            <w:u w:val="single"/>
            <w:rtl/>
          </w:rPr>
          <w:t>-</w:t>
        </w:r>
        <w:r w:rsidR="00D612CD" w:rsidRPr="00E54337">
          <w:rPr>
            <w:rFonts w:ascii="Century" w:hAnsi="Century" w:hint="eastAsia"/>
            <w:color w:val="0000FF"/>
            <w:spacing w:val="10"/>
            <w:szCs w:val="28"/>
            <w:u w:val="single"/>
            <w:rtl/>
          </w:rPr>
          <w:t>ם</w:t>
        </w:r>
        <w:r w:rsidR="00D612CD" w:rsidRPr="00E54337">
          <w:rPr>
            <w:rFonts w:ascii="Century" w:hAnsi="Century"/>
            <w:color w:val="0000FF"/>
            <w:spacing w:val="10"/>
            <w:szCs w:val="28"/>
            <w:u w:val="single"/>
            <w:rtl/>
          </w:rPr>
          <w:t>) 52077-12-20</w:t>
        </w:r>
      </w:hyperlink>
      <w:r w:rsidRPr="00E54337">
        <w:rPr>
          <w:rFonts w:ascii="Century" w:hAnsi="Century"/>
          <w:spacing w:val="10"/>
          <w:szCs w:val="28"/>
          <w:rtl/>
        </w:rPr>
        <w:t xml:space="preserve"> </w:t>
      </w:r>
      <w:r w:rsidRPr="00E54337">
        <w:rPr>
          <w:rFonts w:ascii="Miriam" w:hAnsi="Miriam"/>
          <w:spacing w:val="10"/>
          <w:rtl/>
        </w:rPr>
        <w:t>מדינת ישראל נ' קואסמה</w:t>
      </w:r>
      <w:r w:rsidRPr="00E54337">
        <w:rPr>
          <w:rFonts w:ascii="Century" w:hAnsi="Century"/>
          <w:spacing w:val="10"/>
          <w:szCs w:val="28"/>
          <w:rtl/>
        </w:rPr>
        <w:t xml:space="preserve"> (10.11.2021)). המדינה ערערה על קולת העונש לבית המשפט העליון. הערעור התקבל,  ועונשו של איברהים הוחמר ל-42 חודשי מאסר בפועל, תוך שצוין כי אין זו דרכה של ערכאת הערעור למצות את הדין (ראו: </w:t>
      </w:r>
      <w:hyperlink r:id="rId45" w:history="1">
        <w:r w:rsidR="00D612CD" w:rsidRPr="00E54337">
          <w:rPr>
            <w:rFonts w:ascii="Century" w:hAnsi="Century" w:hint="eastAsia"/>
            <w:color w:val="0000FF"/>
            <w:spacing w:val="10"/>
            <w:szCs w:val="28"/>
            <w:u w:val="single"/>
            <w:rtl/>
          </w:rPr>
          <w:t>ע</w:t>
        </w:r>
        <w:r w:rsidR="00D612CD" w:rsidRPr="00E54337">
          <w:rPr>
            <w:rFonts w:ascii="Century" w:hAnsi="Century"/>
            <w:color w:val="0000FF"/>
            <w:spacing w:val="10"/>
            <w:szCs w:val="28"/>
            <w:u w:val="single"/>
            <w:rtl/>
          </w:rPr>
          <w:t>"</w:t>
        </w:r>
        <w:r w:rsidR="00D612CD" w:rsidRPr="00E54337">
          <w:rPr>
            <w:rFonts w:ascii="Century" w:hAnsi="Century" w:hint="eastAsia"/>
            <w:color w:val="0000FF"/>
            <w:spacing w:val="10"/>
            <w:szCs w:val="28"/>
            <w:u w:val="single"/>
            <w:rtl/>
          </w:rPr>
          <w:t>פ</w:t>
        </w:r>
        <w:r w:rsidR="00D612CD" w:rsidRPr="00E54337">
          <w:rPr>
            <w:rFonts w:ascii="Century" w:hAnsi="Century"/>
            <w:color w:val="0000FF"/>
            <w:spacing w:val="10"/>
            <w:szCs w:val="28"/>
            <w:u w:val="single"/>
            <w:rtl/>
          </w:rPr>
          <w:t xml:space="preserve"> 8869/21</w:t>
        </w:r>
      </w:hyperlink>
      <w:r w:rsidRPr="00E54337">
        <w:rPr>
          <w:rFonts w:ascii="Century" w:hAnsi="Century"/>
          <w:spacing w:val="10"/>
          <w:szCs w:val="28"/>
          <w:rtl/>
        </w:rPr>
        <w:t xml:space="preserve"> </w:t>
      </w:r>
      <w:r w:rsidRPr="00E54337">
        <w:rPr>
          <w:rFonts w:ascii="Miriam" w:hAnsi="Miriam"/>
          <w:spacing w:val="10"/>
          <w:rtl/>
        </w:rPr>
        <w:t>מדינת ישראל נ' אבראהים קואסמה</w:t>
      </w:r>
      <w:r w:rsidRPr="00E54337">
        <w:rPr>
          <w:rFonts w:ascii="Century" w:hAnsi="Century"/>
          <w:spacing w:val="10"/>
          <w:szCs w:val="28"/>
          <w:rtl/>
        </w:rPr>
        <w:t xml:space="preserve"> (13.3.2022)). לטענת הסנגור, עונשו של הנאשם שלפניי צריך להיות דומה לזה של אחיו איברהים. אין בידי לקבל טענה זו: </w:t>
      </w:r>
      <w:r w:rsidRPr="00E54337">
        <w:rPr>
          <w:rFonts w:ascii="Miriam" w:hAnsi="Miriam"/>
          <w:spacing w:val="10"/>
          <w:u w:val="single"/>
          <w:rtl/>
        </w:rPr>
        <w:t>ראשית</w:t>
      </w:r>
      <w:r w:rsidRPr="00E54337">
        <w:rPr>
          <w:rFonts w:ascii="Century" w:hAnsi="Century"/>
          <w:spacing w:val="10"/>
          <w:szCs w:val="28"/>
          <w:rtl/>
        </w:rPr>
        <w:t xml:space="preserve">, איברהים הורשע בשלושה אישומים, ואילו הנאשם הורשע בשבעה אישומים. </w:t>
      </w:r>
      <w:r w:rsidRPr="00E54337">
        <w:rPr>
          <w:rFonts w:ascii="Miriam" w:hAnsi="Miriam"/>
          <w:spacing w:val="10"/>
          <w:u w:val="single"/>
          <w:rtl/>
        </w:rPr>
        <w:t>שנית</w:t>
      </w:r>
      <w:r w:rsidRPr="00E54337">
        <w:rPr>
          <w:rFonts w:ascii="Century" w:hAnsi="Century"/>
          <w:spacing w:val="10"/>
          <w:szCs w:val="28"/>
          <w:rtl/>
        </w:rPr>
        <w:t xml:space="preserve">, באישומים הראשון עד השלישי בהם הנאשם פעל בצוותא עם איברהים, חלקו של הנאשם היה בולט ודומיננטי, הגם שנפסק כי איברהים היווה שותף פעיל בביצוע העבירות (ראו: </w:t>
      </w:r>
      <w:hyperlink r:id="rId46" w:history="1">
        <w:r w:rsidR="00D612CD" w:rsidRPr="00E54337">
          <w:rPr>
            <w:rFonts w:ascii="Century" w:hAnsi="Century" w:hint="eastAsia"/>
            <w:color w:val="0000FF"/>
            <w:spacing w:val="10"/>
            <w:szCs w:val="28"/>
            <w:u w:val="single"/>
            <w:rtl/>
          </w:rPr>
          <w:t>ע</w:t>
        </w:r>
        <w:r w:rsidR="00D612CD" w:rsidRPr="00E54337">
          <w:rPr>
            <w:rFonts w:ascii="Century" w:hAnsi="Century"/>
            <w:color w:val="0000FF"/>
            <w:spacing w:val="10"/>
            <w:szCs w:val="28"/>
            <w:u w:val="single"/>
            <w:rtl/>
          </w:rPr>
          <w:t>"</w:t>
        </w:r>
        <w:r w:rsidR="00D612CD" w:rsidRPr="00E54337">
          <w:rPr>
            <w:rFonts w:ascii="Century" w:hAnsi="Century" w:hint="eastAsia"/>
            <w:color w:val="0000FF"/>
            <w:spacing w:val="10"/>
            <w:szCs w:val="28"/>
            <w:u w:val="single"/>
            <w:rtl/>
          </w:rPr>
          <w:t>פ</w:t>
        </w:r>
        <w:r w:rsidR="00D612CD" w:rsidRPr="00E54337">
          <w:rPr>
            <w:rFonts w:ascii="Century" w:hAnsi="Century"/>
            <w:color w:val="0000FF"/>
            <w:spacing w:val="10"/>
            <w:szCs w:val="28"/>
            <w:u w:val="single"/>
            <w:rtl/>
          </w:rPr>
          <w:t xml:space="preserve"> 8869/21</w:t>
        </w:r>
      </w:hyperlink>
      <w:r w:rsidRPr="00E54337">
        <w:rPr>
          <w:rFonts w:ascii="Century" w:hAnsi="Century"/>
          <w:spacing w:val="10"/>
          <w:szCs w:val="28"/>
          <w:rtl/>
        </w:rPr>
        <w:t xml:space="preserve"> הנ"ל, פס' 13).</w:t>
      </w:r>
      <w:r w:rsidRPr="00E54337">
        <w:rPr>
          <w:rFonts w:ascii="Miriam" w:hAnsi="Miriam"/>
          <w:spacing w:val="10"/>
          <w:rtl/>
        </w:rPr>
        <w:t xml:space="preserve"> </w:t>
      </w:r>
      <w:r w:rsidRPr="00E54337">
        <w:rPr>
          <w:rFonts w:ascii="Miriam" w:hAnsi="Miriam"/>
          <w:spacing w:val="10"/>
          <w:u w:val="single"/>
          <w:rtl/>
        </w:rPr>
        <w:t>שלישית</w:t>
      </w:r>
      <w:r w:rsidRPr="00E54337">
        <w:rPr>
          <w:rFonts w:ascii="Century" w:hAnsi="Century"/>
          <w:spacing w:val="10"/>
          <w:szCs w:val="28"/>
          <w:rtl/>
        </w:rPr>
        <w:t>, בגין ארבעת האישומים בהם הנאשם פעל ללא איברהים, הוא הורשע בעבירות חמורות של סחר בנשק (אישום רביעי), ניסיון לסחר בנשק (אישום שישי), ושלוש עבירות של קשירת קשר לסחר או רכישה של נשק (אישומים חמישי עד שביעי). בהתחשב בכל אלה, עונשו של הנאשם שלפניי ראוי שיהיה חמור באורח מהותי ביחס לעונש שהושת על איברהים. בהתייחס לטענת הסנגור בהשלמת הטיעון בכתב מיום 14.3.2022, אציין כי לא נעלם מעיניי כי לגבי איברהים לא ניתנה המלצה טיפולית כלשהיא על-ידי שירות המבחן, בעוד שלגבי הנאשם שלפניי שירות המבחן המליץ על טיפול בין כתלי בית הכלא. עם זאת, אינני סבורה כי ניתן לראות בהבדל זה את חזות הכל.</w:t>
      </w:r>
    </w:p>
    <w:p w14:paraId="76861F73" w14:textId="77777777" w:rsidR="00942439" w:rsidRPr="00E54337" w:rsidRDefault="00942439" w:rsidP="00942439">
      <w:pPr>
        <w:spacing w:line="360" w:lineRule="auto"/>
        <w:jc w:val="both"/>
        <w:rPr>
          <w:rFonts w:ascii="Century" w:hAnsi="Century"/>
          <w:spacing w:val="10"/>
          <w:szCs w:val="28"/>
          <w:rtl/>
        </w:rPr>
      </w:pPr>
    </w:p>
    <w:p w14:paraId="127185A7" w14:textId="77777777" w:rsidR="00942439" w:rsidRPr="00E54337" w:rsidRDefault="00942439" w:rsidP="00942439">
      <w:pPr>
        <w:spacing w:line="360" w:lineRule="auto"/>
        <w:jc w:val="both"/>
        <w:rPr>
          <w:rFonts w:ascii="Century" w:hAnsi="Century"/>
          <w:spacing w:val="10"/>
          <w:szCs w:val="28"/>
          <w:rtl/>
        </w:rPr>
      </w:pPr>
      <w:r w:rsidRPr="00E54337">
        <w:rPr>
          <w:rFonts w:ascii="Century" w:hAnsi="Century"/>
          <w:spacing w:val="10"/>
          <w:szCs w:val="28"/>
          <w:rtl/>
        </w:rPr>
        <w:t xml:space="preserve">(-) </w:t>
      </w:r>
      <w:r w:rsidRPr="00E54337">
        <w:rPr>
          <w:rFonts w:ascii="Century" w:hAnsi="Century"/>
          <w:spacing w:val="10"/>
          <w:szCs w:val="28"/>
          <w:rtl/>
        </w:rPr>
        <w:tab/>
        <w:t xml:space="preserve">ג'מיל יוסף, המכונה ענכוש, מוזכר באישום השישי. הוא הורשע בבית משפט השלום בירושלים בעבירה של סיוע לניסיון לרכישת תחמושת לנשק. נגזרו עליו במסגרת הסדר טיעון סגור לעונש, 12 חודשי מאסר בפועל, מתוכם 7 חודשים במצטבר לעונש מאסר בפועל אותו הוא מרצה בתיק אחר (ראו: </w:t>
      </w:r>
      <w:hyperlink r:id="rId47" w:history="1">
        <w:r w:rsidR="00D612CD" w:rsidRPr="00E54337">
          <w:rPr>
            <w:rFonts w:ascii="Century" w:hAnsi="Century" w:hint="eastAsia"/>
            <w:color w:val="0000FF"/>
            <w:spacing w:val="10"/>
            <w:szCs w:val="28"/>
            <w:u w:val="single"/>
            <w:rtl/>
          </w:rPr>
          <w:t>ת</w:t>
        </w:r>
        <w:r w:rsidR="00D612CD" w:rsidRPr="00E54337">
          <w:rPr>
            <w:rFonts w:ascii="Century" w:hAnsi="Century"/>
            <w:color w:val="0000FF"/>
            <w:spacing w:val="10"/>
            <w:szCs w:val="28"/>
            <w:u w:val="single"/>
            <w:rtl/>
          </w:rPr>
          <w:t>"</w:t>
        </w:r>
        <w:r w:rsidR="00D612CD" w:rsidRPr="00E54337">
          <w:rPr>
            <w:rFonts w:ascii="Century" w:hAnsi="Century" w:hint="eastAsia"/>
            <w:color w:val="0000FF"/>
            <w:spacing w:val="10"/>
            <w:szCs w:val="28"/>
            <w:u w:val="single"/>
            <w:rtl/>
          </w:rPr>
          <w:t>פ</w:t>
        </w:r>
        <w:r w:rsidR="00D612CD" w:rsidRPr="00E54337">
          <w:rPr>
            <w:rFonts w:ascii="Century" w:hAnsi="Century"/>
            <w:color w:val="0000FF"/>
            <w:spacing w:val="10"/>
            <w:szCs w:val="28"/>
            <w:u w:val="single"/>
            <w:rtl/>
          </w:rPr>
          <w:t xml:space="preserve"> (</w:t>
        </w:r>
        <w:r w:rsidR="00D612CD" w:rsidRPr="00E54337">
          <w:rPr>
            <w:rFonts w:ascii="Century" w:hAnsi="Century" w:hint="eastAsia"/>
            <w:color w:val="0000FF"/>
            <w:spacing w:val="10"/>
            <w:szCs w:val="28"/>
            <w:u w:val="single"/>
            <w:rtl/>
          </w:rPr>
          <w:t>י</w:t>
        </w:r>
        <w:r w:rsidR="00D612CD" w:rsidRPr="00E54337">
          <w:rPr>
            <w:rFonts w:ascii="Century" w:hAnsi="Century"/>
            <w:color w:val="0000FF"/>
            <w:spacing w:val="10"/>
            <w:szCs w:val="28"/>
            <w:u w:val="single"/>
            <w:rtl/>
          </w:rPr>
          <w:t>-</w:t>
        </w:r>
        <w:r w:rsidR="00D612CD" w:rsidRPr="00E54337">
          <w:rPr>
            <w:rFonts w:ascii="Century" w:hAnsi="Century" w:hint="eastAsia"/>
            <w:color w:val="0000FF"/>
            <w:spacing w:val="10"/>
            <w:szCs w:val="28"/>
            <w:u w:val="single"/>
            <w:rtl/>
          </w:rPr>
          <w:t>ם</w:t>
        </w:r>
        <w:r w:rsidR="00D612CD" w:rsidRPr="00E54337">
          <w:rPr>
            <w:rFonts w:ascii="Century" w:hAnsi="Century"/>
            <w:color w:val="0000FF"/>
            <w:spacing w:val="10"/>
            <w:szCs w:val="28"/>
            <w:u w:val="single"/>
            <w:rtl/>
          </w:rPr>
          <w:t>) 45418-12-20</w:t>
        </w:r>
      </w:hyperlink>
      <w:r w:rsidRPr="00E54337">
        <w:rPr>
          <w:rFonts w:ascii="Century" w:hAnsi="Century"/>
          <w:spacing w:val="10"/>
          <w:szCs w:val="28"/>
          <w:rtl/>
        </w:rPr>
        <w:t xml:space="preserve"> </w:t>
      </w:r>
      <w:r w:rsidRPr="00E54337">
        <w:rPr>
          <w:rFonts w:ascii="Miriam" w:hAnsi="Miriam"/>
          <w:spacing w:val="10"/>
          <w:rtl/>
        </w:rPr>
        <w:t xml:space="preserve">מדינת ישראל נ' יוסף </w:t>
      </w:r>
      <w:r w:rsidRPr="00E54337">
        <w:rPr>
          <w:rFonts w:ascii="Century" w:hAnsi="Century"/>
          <w:spacing w:val="10"/>
          <w:szCs w:val="28"/>
          <w:rtl/>
        </w:rPr>
        <w:t xml:space="preserve">(30.9.2021)). ודוק, ישנו קושי מוּבנה ללמוד מעונשו של ענכוש לענייננו. כך, בשים לב לנגזרת העבירה בה ענכוש הורשע (סיוע לניסיון), וכן בשים לב לעובדה שענכוש הורשע בעבירה בודדת בעוד הנאשם שלפניי הורשע בריבוי עבירות. </w:t>
      </w:r>
    </w:p>
    <w:p w14:paraId="28210959" w14:textId="77777777" w:rsidR="00942439" w:rsidRPr="00E54337" w:rsidRDefault="00942439" w:rsidP="00942439">
      <w:pPr>
        <w:spacing w:line="360" w:lineRule="auto"/>
        <w:jc w:val="both"/>
        <w:rPr>
          <w:rFonts w:ascii="Century" w:hAnsi="Century"/>
          <w:spacing w:val="10"/>
          <w:szCs w:val="28"/>
          <w:rtl/>
        </w:rPr>
      </w:pPr>
    </w:p>
    <w:p w14:paraId="16705F38" w14:textId="77777777" w:rsidR="00942439" w:rsidRPr="00E54337" w:rsidRDefault="00942439" w:rsidP="00942439">
      <w:pPr>
        <w:spacing w:line="360" w:lineRule="auto"/>
        <w:jc w:val="both"/>
        <w:rPr>
          <w:rFonts w:ascii="Century" w:hAnsi="Century"/>
          <w:spacing w:val="10"/>
          <w:szCs w:val="28"/>
          <w:rtl/>
        </w:rPr>
      </w:pPr>
      <w:r w:rsidRPr="00E54337">
        <w:rPr>
          <w:rFonts w:ascii="Century" w:hAnsi="Century"/>
          <w:spacing w:val="10"/>
          <w:szCs w:val="28"/>
          <w:rtl/>
        </w:rPr>
        <w:t xml:space="preserve">(-) </w:t>
      </w:r>
      <w:r w:rsidRPr="00E54337">
        <w:rPr>
          <w:rFonts w:ascii="Century" w:hAnsi="Century"/>
          <w:spacing w:val="10"/>
          <w:szCs w:val="28"/>
          <w:rtl/>
        </w:rPr>
        <w:tab/>
        <w:t>אחמד עמרו, המוזכר באישומים החמישי עד השביעי בהליך שבכותרת, עומד לדין בבית משפט השלום בירושלים. בעת כתיבת גזר דין זה, משפטו של אחמד עודנו תלוי ועומד, ודינו טרם הוכרע.</w:t>
      </w:r>
    </w:p>
    <w:p w14:paraId="7001B08C" w14:textId="77777777" w:rsidR="00942439" w:rsidRPr="00E54337" w:rsidRDefault="00942439" w:rsidP="00942439">
      <w:pPr>
        <w:spacing w:line="360" w:lineRule="auto"/>
        <w:ind w:firstLine="720"/>
        <w:jc w:val="both"/>
        <w:rPr>
          <w:rFonts w:ascii="Century" w:hAnsi="Century"/>
          <w:spacing w:val="10"/>
          <w:szCs w:val="28"/>
          <w:rtl/>
        </w:rPr>
      </w:pPr>
    </w:p>
    <w:p w14:paraId="0BDED676" w14:textId="77777777" w:rsidR="00942439" w:rsidRPr="00E54337" w:rsidRDefault="00942439" w:rsidP="00942439">
      <w:pPr>
        <w:spacing w:line="360" w:lineRule="auto"/>
        <w:jc w:val="both"/>
        <w:rPr>
          <w:rFonts w:ascii="Century" w:hAnsi="Century"/>
          <w:spacing w:val="10"/>
          <w:szCs w:val="28"/>
          <w:rtl/>
        </w:rPr>
      </w:pPr>
      <w:r w:rsidRPr="00E54337">
        <w:rPr>
          <w:rFonts w:ascii="Century" w:hAnsi="Century"/>
          <w:spacing w:val="10"/>
          <w:szCs w:val="28"/>
          <w:rtl/>
        </w:rPr>
        <w:t xml:space="preserve">17. </w:t>
      </w:r>
      <w:r w:rsidRPr="00E54337">
        <w:rPr>
          <w:rFonts w:ascii="Century" w:hAnsi="Century"/>
          <w:spacing w:val="10"/>
          <w:szCs w:val="28"/>
          <w:rtl/>
        </w:rPr>
        <w:tab/>
        <w:t xml:space="preserve">באיזון בין השיקולים, אני רואה להעמיד את עונש המאסר בפועל שייגזר על הנאשם שלפניי בחלק התחתון של המתחם שנקבע אף שלא בתחתיתו, ולגזור עליו 6.5 שנות מאסר בפועל, מאסר מותנה הצופה פני עתיד וקנס כספי בסך 25,000 ₪.  </w:t>
      </w:r>
    </w:p>
    <w:p w14:paraId="7ED61A0C" w14:textId="77777777" w:rsidR="00942439" w:rsidRPr="00E54337" w:rsidRDefault="00942439" w:rsidP="00942439">
      <w:pPr>
        <w:spacing w:line="360" w:lineRule="auto"/>
        <w:jc w:val="both"/>
        <w:rPr>
          <w:rFonts w:ascii="Century" w:hAnsi="Century"/>
          <w:spacing w:val="10"/>
          <w:szCs w:val="28"/>
          <w:rtl/>
        </w:rPr>
      </w:pPr>
    </w:p>
    <w:p w14:paraId="76B22C80" w14:textId="77777777" w:rsidR="00942439" w:rsidRPr="00E54337" w:rsidRDefault="00942439" w:rsidP="00942439">
      <w:pPr>
        <w:spacing w:line="360" w:lineRule="auto"/>
        <w:jc w:val="both"/>
        <w:rPr>
          <w:rFonts w:ascii="Century" w:hAnsi="Century"/>
          <w:b/>
          <w:bCs/>
          <w:spacing w:val="10"/>
          <w:szCs w:val="28"/>
          <w:u w:val="single"/>
          <w:rtl/>
        </w:rPr>
      </w:pPr>
      <w:r w:rsidRPr="00E54337">
        <w:rPr>
          <w:rFonts w:ascii="Century" w:hAnsi="Century"/>
          <w:b/>
          <w:bCs/>
          <w:spacing w:val="10"/>
          <w:szCs w:val="28"/>
          <w:u w:val="single"/>
          <w:rtl/>
        </w:rPr>
        <w:t>סוף דבר</w:t>
      </w:r>
    </w:p>
    <w:p w14:paraId="2C622B4E" w14:textId="77777777" w:rsidR="00942439" w:rsidRPr="00E54337" w:rsidRDefault="00942439" w:rsidP="00942439">
      <w:pPr>
        <w:spacing w:line="360" w:lineRule="auto"/>
        <w:jc w:val="both"/>
        <w:rPr>
          <w:rFonts w:ascii="Century" w:hAnsi="Century"/>
          <w:spacing w:val="10"/>
          <w:szCs w:val="28"/>
          <w:rtl/>
        </w:rPr>
      </w:pPr>
      <w:r w:rsidRPr="00E54337">
        <w:rPr>
          <w:rFonts w:ascii="Century" w:hAnsi="Century"/>
          <w:spacing w:val="10"/>
          <w:szCs w:val="28"/>
          <w:rtl/>
        </w:rPr>
        <w:t xml:space="preserve">18. </w:t>
      </w:r>
      <w:r w:rsidRPr="00E54337">
        <w:rPr>
          <w:rFonts w:ascii="Century" w:hAnsi="Century"/>
          <w:spacing w:val="10"/>
          <w:szCs w:val="28"/>
          <w:rtl/>
        </w:rPr>
        <w:tab/>
        <w:t>נוכח מכלול הטעמים האמורים, אני גוזרת על הנאשם כדלקמן:</w:t>
      </w:r>
    </w:p>
    <w:p w14:paraId="4D240C1A" w14:textId="77777777" w:rsidR="00942439" w:rsidRPr="00E54337" w:rsidRDefault="00942439" w:rsidP="00942439">
      <w:pPr>
        <w:spacing w:line="360" w:lineRule="auto"/>
        <w:jc w:val="both"/>
        <w:rPr>
          <w:rFonts w:ascii="Century" w:hAnsi="Century"/>
          <w:spacing w:val="10"/>
          <w:szCs w:val="28"/>
          <w:rtl/>
        </w:rPr>
      </w:pPr>
    </w:p>
    <w:p w14:paraId="7AF12732" w14:textId="77777777" w:rsidR="00942439" w:rsidRPr="00E54337" w:rsidRDefault="00942439" w:rsidP="00942439">
      <w:pPr>
        <w:spacing w:line="360" w:lineRule="auto"/>
        <w:jc w:val="both"/>
        <w:rPr>
          <w:rFonts w:ascii="Century" w:hAnsi="Century"/>
          <w:spacing w:val="10"/>
          <w:szCs w:val="28"/>
          <w:rtl/>
        </w:rPr>
      </w:pPr>
      <w:r w:rsidRPr="00E54337">
        <w:rPr>
          <w:rFonts w:ascii="Century" w:hAnsi="Century"/>
          <w:spacing w:val="10"/>
          <w:szCs w:val="28"/>
          <w:rtl/>
        </w:rPr>
        <w:t>א.</w:t>
      </w:r>
      <w:r w:rsidRPr="00E54337">
        <w:rPr>
          <w:rFonts w:ascii="Century" w:hAnsi="Century"/>
          <w:spacing w:val="10"/>
          <w:szCs w:val="28"/>
          <w:rtl/>
        </w:rPr>
        <w:tab/>
        <w:t>6.5 שנות מאסר בפועל, החל מיום מעצרו.</w:t>
      </w:r>
    </w:p>
    <w:p w14:paraId="10799CA2" w14:textId="77777777" w:rsidR="00942439" w:rsidRPr="00E54337" w:rsidRDefault="00942439" w:rsidP="00942439">
      <w:pPr>
        <w:spacing w:line="360" w:lineRule="auto"/>
        <w:jc w:val="both"/>
        <w:rPr>
          <w:rFonts w:ascii="Century" w:hAnsi="Century"/>
          <w:spacing w:val="10"/>
          <w:szCs w:val="28"/>
          <w:rtl/>
        </w:rPr>
      </w:pPr>
    </w:p>
    <w:p w14:paraId="247AA2E2" w14:textId="77777777" w:rsidR="00942439" w:rsidRPr="00E54337" w:rsidRDefault="00942439" w:rsidP="00942439">
      <w:pPr>
        <w:spacing w:line="360" w:lineRule="auto"/>
        <w:jc w:val="both"/>
        <w:rPr>
          <w:rFonts w:ascii="Century" w:hAnsi="Century"/>
          <w:spacing w:val="10"/>
          <w:szCs w:val="28"/>
          <w:rtl/>
        </w:rPr>
      </w:pPr>
      <w:r w:rsidRPr="00E54337">
        <w:rPr>
          <w:rFonts w:ascii="Century" w:hAnsi="Century"/>
          <w:spacing w:val="10"/>
          <w:szCs w:val="28"/>
          <w:rtl/>
        </w:rPr>
        <w:t>ב.</w:t>
      </w:r>
      <w:r w:rsidRPr="00E54337">
        <w:rPr>
          <w:rFonts w:ascii="Century" w:hAnsi="Century"/>
          <w:spacing w:val="10"/>
          <w:szCs w:val="28"/>
          <w:rtl/>
        </w:rPr>
        <w:tab/>
        <w:t xml:space="preserve">מאסר על-תנאי של 12 חודשים למשך 3 שנים מיום השחרור ממאסר, לא לעבור עבירה בנשק מסוג פשע. </w:t>
      </w:r>
    </w:p>
    <w:p w14:paraId="0FC77C24" w14:textId="77777777" w:rsidR="00942439" w:rsidRPr="00E54337" w:rsidRDefault="00942439" w:rsidP="00942439">
      <w:pPr>
        <w:spacing w:line="360" w:lineRule="auto"/>
        <w:jc w:val="both"/>
        <w:rPr>
          <w:rFonts w:ascii="Century" w:hAnsi="Century"/>
          <w:spacing w:val="10"/>
          <w:szCs w:val="28"/>
          <w:rtl/>
        </w:rPr>
      </w:pPr>
    </w:p>
    <w:p w14:paraId="72F221DB" w14:textId="77777777" w:rsidR="00942439" w:rsidRPr="00E54337" w:rsidRDefault="00942439" w:rsidP="00942439">
      <w:pPr>
        <w:spacing w:line="360" w:lineRule="auto"/>
        <w:jc w:val="both"/>
        <w:rPr>
          <w:rFonts w:ascii="Century" w:hAnsi="Century"/>
          <w:spacing w:val="10"/>
          <w:szCs w:val="28"/>
          <w:rtl/>
        </w:rPr>
      </w:pPr>
      <w:r w:rsidRPr="00E54337">
        <w:rPr>
          <w:rFonts w:ascii="Century" w:hAnsi="Century"/>
          <w:spacing w:val="10"/>
          <w:szCs w:val="28"/>
          <w:rtl/>
        </w:rPr>
        <w:t>ג.</w:t>
      </w:r>
      <w:r w:rsidRPr="00E54337">
        <w:rPr>
          <w:rFonts w:ascii="Century" w:hAnsi="Century"/>
          <w:spacing w:val="10"/>
          <w:szCs w:val="28"/>
          <w:rtl/>
        </w:rPr>
        <w:tab/>
        <w:t>מאסר על-תנאי של 6 חודשים למשך 3 שנים מיום השחרור ממאסר, לא לעבור עבירה בנשק מסוג עוון.</w:t>
      </w:r>
    </w:p>
    <w:p w14:paraId="4E09B1EA" w14:textId="77777777" w:rsidR="00942439" w:rsidRPr="00E54337" w:rsidRDefault="00942439" w:rsidP="00942439">
      <w:pPr>
        <w:spacing w:line="360" w:lineRule="auto"/>
        <w:jc w:val="both"/>
        <w:rPr>
          <w:rFonts w:ascii="Century" w:hAnsi="Century"/>
          <w:spacing w:val="10"/>
          <w:szCs w:val="28"/>
          <w:rtl/>
        </w:rPr>
      </w:pPr>
    </w:p>
    <w:p w14:paraId="64FB3273" w14:textId="77777777" w:rsidR="00942439" w:rsidRPr="00E54337" w:rsidRDefault="00942439" w:rsidP="00942439">
      <w:pPr>
        <w:spacing w:line="360" w:lineRule="auto"/>
        <w:jc w:val="both"/>
        <w:rPr>
          <w:rFonts w:ascii="Century" w:hAnsi="Century"/>
          <w:spacing w:val="10"/>
          <w:szCs w:val="28"/>
          <w:rtl/>
        </w:rPr>
      </w:pPr>
      <w:r w:rsidRPr="00E54337">
        <w:rPr>
          <w:rFonts w:ascii="Century" w:hAnsi="Century"/>
          <w:spacing w:val="10"/>
          <w:szCs w:val="28"/>
          <w:rtl/>
        </w:rPr>
        <w:t xml:space="preserve">ד. </w:t>
      </w:r>
      <w:r w:rsidRPr="00E54337">
        <w:rPr>
          <w:rFonts w:ascii="Century" w:hAnsi="Century"/>
          <w:spacing w:val="10"/>
          <w:szCs w:val="28"/>
          <w:rtl/>
        </w:rPr>
        <w:tab/>
        <w:t xml:space="preserve">קנס בסך 25,000 ₪ או 5 חודשי מאסר תמורתו. הקנס ישולם עד יום 1.2.2023. </w:t>
      </w:r>
    </w:p>
    <w:p w14:paraId="13CB5AD1" w14:textId="77777777" w:rsidR="00942439" w:rsidRPr="00E54337" w:rsidRDefault="00942439" w:rsidP="00942439">
      <w:pPr>
        <w:spacing w:line="360" w:lineRule="auto"/>
        <w:jc w:val="both"/>
        <w:rPr>
          <w:rFonts w:ascii="Century" w:hAnsi="Century"/>
          <w:spacing w:val="10"/>
          <w:szCs w:val="28"/>
          <w:rtl/>
        </w:rPr>
      </w:pPr>
    </w:p>
    <w:p w14:paraId="7B67D31F" w14:textId="77777777" w:rsidR="00942439" w:rsidRPr="00E54337" w:rsidRDefault="00942439" w:rsidP="00942439">
      <w:pPr>
        <w:spacing w:line="360" w:lineRule="auto"/>
        <w:jc w:val="both"/>
        <w:rPr>
          <w:rFonts w:ascii="Century" w:hAnsi="Century"/>
          <w:spacing w:val="10"/>
          <w:szCs w:val="28"/>
          <w:rtl/>
        </w:rPr>
      </w:pPr>
      <w:r w:rsidRPr="00E54337">
        <w:rPr>
          <w:rFonts w:ascii="Century" w:hAnsi="Century"/>
          <w:spacing w:val="10"/>
          <w:szCs w:val="28"/>
          <w:rtl/>
        </w:rPr>
        <w:tab/>
      </w:r>
      <w:r w:rsidRPr="00E54337">
        <w:rPr>
          <w:rFonts w:ascii="Century" w:hAnsi="Century"/>
          <w:b/>
          <w:bCs/>
          <w:spacing w:val="10"/>
          <w:szCs w:val="28"/>
          <w:u w:val="single"/>
          <w:rtl/>
        </w:rPr>
        <w:t>המזכירות</w:t>
      </w:r>
      <w:r w:rsidRPr="00E54337">
        <w:rPr>
          <w:rFonts w:ascii="Century" w:hAnsi="Century"/>
          <w:spacing w:val="10"/>
          <w:szCs w:val="28"/>
          <w:rtl/>
        </w:rPr>
        <w:t xml:space="preserve"> תשלח העתק גזר הדין לשירות המבחן למבוגרים.</w:t>
      </w:r>
    </w:p>
    <w:p w14:paraId="591B4C3D" w14:textId="77777777" w:rsidR="00942439" w:rsidRPr="00E54337" w:rsidRDefault="00D612CD" w:rsidP="00942439">
      <w:pPr>
        <w:spacing w:line="360" w:lineRule="auto"/>
        <w:jc w:val="both"/>
        <w:rPr>
          <w:rFonts w:ascii="Century" w:hAnsi="Century"/>
          <w:color w:val="FFFFFF"/>
          <w:spacing w:val="10"/>
          <w:sz w:val="2"/>
          <w:szCs w:val="2"/>
          <w:rtl/>
        </w:rPr>
      </w:pPr>
      <w:r w:rsidRPr="00E54337">
        <w:rPr>
          <w:rFonts w:ascii="Century" w:hAnsi="Century"/>
          <w:color w:val="FFFFFF"/>
          <w:spacing w:val="10"/>
          <w:sz w:val="2"/>
          <w:szCs w:val="2"/>
          <w:rtl/>
        </w:rPr>
        <w:t>5129371</w:t>
      </w:r>
    </w:p>
    <w:p w14:paraId="0748A34B" w14:textId="77777777" w:rsidR="00942439" w:rsidRPr="00E54337" w:rsidRDefault="00D612CD" w:rsidP="00942439">
      <w:pPr>
        <w:spacing w:line="360" w:lineRule="auto"/>
        <w:jc w:val="both"/>
        <w:rPr>
          <w:rFonts w:ascii="Century" w:hAnsi="Century"/>
          <w:spacing w:val="10"/>
          <w:szCs w:val="28"/>
          <w:rtl/>
        </w:rPr>
      </w:pPr>
      <w:r w:rsidRPr="00E54337">
        <w:rPr>
          <w:rFonts w:ascii="Century" w:hAnsi="Century"/>
          <w:color w:val="FFFFFF"/>
          <w:spacing w:val="10"/>
          <w:sz w:val="2"/>
          <w:szCs w:val="2"/>
          <w:rtl/>
        </w:rPr>
        <w:t>54678313</w:t>
      </w:r>
      <w:r w:rsidR="00942439" w:rsidRPr="00E54337">
        <w:rPr>
          <w:rFonts w:ascii="Century" w:hAnsi="Century"/>
          <w:spacing w:val="10"/>
          <w:szCs w:val="28"/>
          <w:rtl/>
        </w:rPr>
        <w:tab/>
        <w:t>זכות ערעור לבית</w:t>
      </w:r>
      <w:r w:rsidR="00942439" w:rsidRPr="00E54337">
        <w:rPr>
          <w:rFonts w:ascii="Century" w:hAnsi="Century" w:hint="cs"/>
          <w:spacing w:val="10"/>
          <w:szCs w:val="28"/>
          <w:rtl/>
        </w:rPr>
        <w:t xml:space="preserve"> </w:t>
      </w:r>
      <w:r w:rsidR="00942439" w:rsidRPr="00E54337">
        <w:rPr>
          <w:rFonts w:ascii="Century" w:hAnsi="Century"/>
          <w:spacing w:val="10"/>
          <w:szCs w:val="28"/>
          <w:rtl/>
        </w:rPr>
        <w:t>המשפט העליון תוך 45 ימים מהיום.</w:t>
      </w:r>
    </w:p>
    <w:p w14:paraId="08AD33A4" w14:textId="77777777" w:rsidR="00942439" w:rsidRPr="00E54337" w:rsidRDefault="00942439" w:rsidP="00942439">
      <w:pPr>
        <w:rPr>
          <w:rFonts w:ascii="Arial" w:hAnsi="Arial"/>
          <w:b/>
          <w:bCs/>
          <w:sz w:val="26"/>
          <w:szCs w:val="26"/>
          <w:rtl/>
        </w:rPr>
      </w:pPr>
    </w:p>
    <w:p w14:paraId="77A2C150" w14:textId="77777777" w:rsidR="00942439" w:rsidRPr="00E54337" w:rsidRDefault="00D612CD" w:rsidP="00942439">
      <w:pPr>
        <w:spacing w:line="360" w:lineRule="auto"/>
        <w:jc w:val="both"/>
        <w:rPr>
          <w:rFonts w:ascii="Century" w:hAnsi="Century"/>
          <w:spacing w:val="10"/>
          <w:szCs w:val="28"/>
          <w:rtl/>
        </w:rPr>
      </w:pPr>
      <w:bookmarkStart w:id="8" w:name="Nitan"/>
      <w:r w:rsidRPr="00E54337">
        <w:rPr>
          <w:rFonts w:ascii="Century" w:hAnsi="Century"/>
          <w:spacing w:val="10"/>
          <w:szCs w:val="28"/>
          <w:rtl/>
        </w:rPr>
        <w:t xml:space="preserve"> </w:t>
      </w:r>
      <w:r w:rsidRPr="00E54337">
        <w:rPr>
          <w:rFonts w:ascii="Century" w:hAnsi="Century" w:hint="eastAsia"/>
          <w:spacing w:val="10"/>
          <w:szCs w:val="28"/>
          <w:rtl/>
        </w:rPr>
        <w:t>ניתן</w:t>
      </w:r>
      <w:r w:rsidRPr="00E54337">
        <w:rPr>
          <w:rFonts w:ascii="Century" w:hAnsi="Century"/>
          <w:spacing w:val="10"/>
          <w:szCs w:val="28"/>
          <w:rtl/>
        </w:rPr>
        <w:t xml:space="preserve"> </w:t>
      </w:r>
      <w:r w:rsidRPr="00E54337">
        <w:rPr>
          <w:rFonts w:ascii="Century" w:hAnsi="Century" w:hint="eastAsia"/>
          <w:spacing w:val="10"/>
          <w:szCs w:val="28"/>
          <w:rtl/>
        </w:rPr>
        <w:t>היום</w:t>
      </w:r>
      <w:r w:rsidRPr="00E54337">
        <w:rPr>
          <w:rFonts w:ascii="Century" w:hAnsi="Century"/>
          <w:spacing w:val="10"/>
          <w:szCs w:val="28"/>
          <w:rtl/>
        </w:rPr>
        <w:t xml:space="preserve">,  </w:t>
      </w:r>
      <w:r w:rsidRPr="00E54337">
        <w:rPr>
          <w:rFonts w:ascii="Century" w:hAnsi="Century" w:hint="eastAsia"/>
          <w:spacing w:val="10"/>
          <w:szCs w:val="28"/>
          <w:rtl/>
        </w:rPr>
        <w:t>כ</w:t>
      </w:r>
      <w:r w:rsidRPr="00E54337">
        <w:rPr>
          <w:rFonts w:ascii="Century" w:hAnsi="Century"/>
          <w:spacing w:val="10"/>
          <w:szCs w:val="28"/>
          <w:rtl/>
        </w:rPr>
        <w:t xml:space="preserve">' </w:t>
      </w:r>
      <w:r w:rsidRPr="00E54337">
        <w:rPr>
          <w:rFonts w:ascii="Century" w:hAnsi="Century" w:hint="eastAsia"/>
          <w:spacing w:val="10"/>
          <w:szCs w:val="28"/>
          <w:rtl/>
        </w:rPr>
        <w:t>אדר</w:t>
      </w:r>
      <w:r w:rsidRPr="00E54337">
        <w:rPr>
          <w:rFonts w:ascii="Century" w:hAnsi="Century"/>
          <w:spacing w:val="10"/>
          <w:szCs w:val="28"/>
          <w:rtl/>
        </w:rPr>
        <w:t xml:space="preserve"> </w:t>
      </w:r>
      <w:r w:rsidRPr="00E54337">
        <w:rPr>
          <w:rFonts w:ascii="Century" w:hAnsi="Century" w:hint="eastAsia"/>
          <w:spacing w:val="10"/>
          <w:szCs w:val="28"/>
          <w:rtl/>
        </w:rPr>
        <w:t>ב</w:t>
      </w:r>
      <w:r w:rsidRPr="00E54337">
        <w:rPr>
          <w:rFonts w:ascii="Century" w:hAnsi="Century"/>
          <w:spacing w:val="10"/>
          <w:szCs w:val="28"/>
          <w:rtl/>
        </w:rPr>
        <w:t xml:space="preserve">' </w:t>
      </w:r>
      <w:r w:rsidRPr="00E54337">
        <w:rPr>
          <w:rFonts w:ascii="Century" w:hAnsi="Century" w:hint="eastAsia"/>
          <w:spacing w:val="10"/>
          <w:szCs w:val="28"/>
          <w:rtl/>
        </w:rPr>
        <w:t>תשפ</w:t>
      </w:r>
      <w:r w:rsidRPr="00E54337">
        <w:rPr>
          <w:rFonts w:ascii="Century" w:hAnsi="Century"/>
          <w:spacing w:val="10"/>
          <w:szCs w:val="28"/>
          <w:rtl/>
        </w:rPr>
        <w:t>"</w:t>
      </w:r>
      <w:r w:rsidRPr="00E54337">
        <w:rPr>
          <w:rFonts w:ascii="Century" w:hAnsi="Century" w:hint="eastAsia"/>
          <w:spacing w:val="10"/>
          <w:szCs w:val="28"/>
          <w:rtl/>
        </w:rPr>
        <w:t>ב</w:t>
      </w:r>
      <w:r w:rsidRPr="00E54337">
        <w:rPr>
          <w:rFonts w:ascii="Century" w:hAnsi="Century"/>
          <w:spacing w:val="10"/>
          <w:szCs w:val="28"/>
          <w:rtl/>
        </w:rPr>
        <w:t xml:space="preserve">, 23 </w:t>
      </w:r>
      <w:r w:rsidRPr="00E54337">
        <w:rPr>
          <w:rFonts w:ascii="Century" w:hAnsi="Century" w:hint="eastAsia"/>
          <w:spacing w:val="10"/>
          <w:szCs w:val="28"/>
          <w:rtl/>
        </w:rPr>
        <w:t>מרץ</w:t>
      </w:r>
      <w:r w:rsidRPr="00E54337">
        <w:rPr>
          <w:rFonts w:ascii="Century" w:hAnsi="Century"/>
          <w:spacing w:val="10"/>
          <w:szCs w:val="28"/>
          <w:rtl/>
        </w:rPr>
        <w:t xml:space="preserve"> 2022, </w:t>
      </w:r>
      <w:r w:rsidRPr="00E54337">
        <w:rPr>
          <w:rFonts w:ascii="Century" w:hAnsi="Century" w:hint="eastAsia"/>
          <w:spacing w:val="10"/>
          <w:szCs w:val="28"/>
          <w:rtl/>
        </w:rPr>
        <w:t>בנוכחות</w:t>
      </w:r>
      <w:r w:rsidRPr="00E54337">
        <w:rPr>
          <w:rFonts w:ascii="Century" w:hAnsi="Century"/>
          <w:spacing w:val="10"/>
          <w:szCs w:val="28"/>
          <w:rtl/>
        </w:rPr>
        <w:t xml:space="preserve"> </w:t>
      </w:r>
      <w:r w:rsidRPr="00E54337">
        <w:rPr>
          <w:rFonts w:ascii="Century" w:hAnsi="Century" w:hint="eastAsia"/>
          <w:spacing w:val="10"/>
          <w:szCs w:val="28"/>
          <w:rtl/>
        </w:rPr>
        <w:t>הצדדים</w:t>
      </w:r>
      <w:r w:rsidRPr="00E54337">
        <w:rPr>
          <w:rFonts w:ascii="Century" w:hAnsi="Century"/>
          <w:spacing w:val="10"/>
          <w:szCs w:val="28"/>
          <w:rtl/>
        </w:rPr>
        <w:t xml:space="preserve">. </w:t>
      </w:r>
      <w:bookmarkEnd w:id="8"/>
    </w:p>
    <w:p w14:paraId="39DF16BE" w14:textId="77777777" w:rsidR="00D612CD" w:rsidRPr="00E54337" w:rsidRDefault="00D612CD" w:rsidP="00D612CD">
      <w:pPr>
        <w:rPr>
          <w:rtl/>
        </w:rPr>
      </w:pPr>
    </w:p>
    <w:p w14:paraId="3E785A74" w14:textId="77777777" w:rsidR="00D612CD" w:rsidRPr="00E54337" w:rsidRDefault="00D612CD" w:rsidP="00D612CD">
      <w:pPr>
        <w:jc w:val="center"/>
        <w:rPr>
          <w:color w:val="0000FF"/>
          <w:u w:val="single"/>
        </w:rPr>
      </w:pPr>
      <w:hyperlink r:id="rId48" w:history="1">
        <w:r w:rsidRPr="00E54337">
          <w:rPr>
            <w:color w:val="0000FF"/>
            <w:u w:val="single"/>
            <w:rtl/>
          </w:rPr>
          <w:t>בעניין עריכה ושינויים במסמכי פסיקה, חקיקה ועוד באתר נבו – הקש כאן</w:t>
        </w:r>
      </w:hyperlink>
    </w:p>
    <w:p w14:paraId="2A32EF68" w14:textId="77777777" w:rsidR="00E54337" w:rsidRPr="00E54337" w:rsidRDefault="00E54337" w:rsidP="00E54337">
      <w:pPr>
        <w:keepNext/>
        <w:rPr>
          <w:rFonts w:ascii="David" w:hAnsi="David"/>
          <w:color w:val="000000"/>
          <w:sz w:val="22"/>
          <w:szCs w:val="22"/>
          <w:rtl/>
        </w:rPr>
      </w:pPr>
    </w:p>
    <w:p w14:paraId="7F172565" w14:textId="77777777" w:rsidR="00E54337" w:rsidRPr="00E54337" w:rsidRDefault="00E54337" w:rsidP="00E54337">
      <w:pPr>
        <w:keepNext/>
        <w:rPr>
          <w:rFonts w:ascii="David" w:hAnsi="David"/>
          <w:color w:val="000000"/>
          <w:sz w:val="22"/>
          <w:szCs w:val="22"/>
          <w:rtl/>
        </w:rPr>
      </w:pPr>
      <w:r w:rsidRPr="00E54337">
        <w:rPr>
          <w:rFonts w:ascii="David" w:hAnsi="David"/>
          <w:color w:val="000000"/>
          <w:sz w:val="22"/>
          <w:szCs w:val="22"/>
          <w:rtl/>
        </w:rPr>
        <w:t>דנה כהן לקח 54678313-/</w:t>
      </w:r>
    </w:p>
    <w:p w14:paraId="360291DF" w14:textId="77777777" w:rsidR="00D612CD" w:rsidRPr="00E54337" w:rsidRDefault="00E54337" w:rsidP="00E54337">
      <w:pPr>
        <w:rPr>
          <w:color w:val="0000FF"/>
          <w:u w:val="single"/>
        </w:rPr>
      </w:pPr>
      <w:r w:rsidRPr="00E54337">
        <w:rPr>
          <w:color w:val="000000"/>
          <w:u w:val="single"/>
          <w:rtl/>
        </w:rPr>
        <w:t>נוסח מסמך זה כפוף לשינויי ניסוח ועריכה</w:t>
      </w:r>
    </w:p>
    <w:sectPr w:rsidR="00D612CD" w:rsidRPr="00E54337" w:rsidSect="00E54337">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64583" w14:textId="77777777" w:rsidR="00236579" w:rsidRDefault="00236579" w:rsidP="003D359B">
      <w:r>
        <w:separator/>
      </w:r>
    </w:p>
  </w:endnote>
  <w:endnote w:type="continuationSeparator" w:id="0">
    <w:p w14:paraId="148A2CCC" w14:textId="77777777" w:rsidR="00236579" w:rsidRDefault="00236579" w:rsidP="003D3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24649" w14:textId="77777777" w:rsidR="00E54337" w:rsidRDefault="00E54337" w:rsidP="00E5433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9CF1285" w14:textId="77777777" w:rsidR="00707966" w:rsidRPr="00E54337" w:rsidRDefault="00E54337" w:rsidP="00E54337">
    <w:pPr>
      <w:pStyle w:val="a5"/>
      <w:pBdr>
        <w:top w:val="single" w:sz="4" w:space="1" w:color="auto"/>
        <w:between w:val="single" w:sz="4" w:space="0" w:color="auto"/>
      </w:pBdr>
      <w:spacing w:after="60"/>
      <w:jc w:val="center"/>
      <w:rPr>
        <w:rFonts w:ascii="FrankRuehl" w:hAnsi="FrankRuehl" w:cs="FrankRuehl"/>
        <w:color w:val="000000"/>
      </w:rPr>
    </w:pPr>
    <w:r w:rsidRPr="00E5433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0D652" w14:textId="77777777" w:rsidR="00E54337" w:rsidRDefault="00E54337" w:rsidP="00E5433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047CF">
      <w:rPr>
        <w:rFonts w:ascii="FrankRuehl" w:hAnsi="FrankRuehl" w:cs="FrankRuehl"/>
        <w:noProof/>
        <w:rtl/>
      </w:rPr>
      <w:t>1</w:t>
    </w:r>
    <w:r>
      <w:rPr>
        <w:rFonts w:ascii="FrankRuehl" w:hAnsi="FrankRuehl" w:cs="FrankRuehl"/>
        <w:rtl/>
      </w:rPr>
      <w:fldChar w:fldCharType="end"/>
    </w:r>
  </w:p>
  <w:p w14:paraId="4D8AFF00" w14:textId="77777777" w:rsidR="00707966" w:rsidRPr="00E54337" w:rsidRDefault="00E54337" w:rsidP="00E54337">
    <w:pPr>
      <w:pStyle w:val="a5"/>
      <w:pBdr>
        <w:top w:val="single" w:sz="4" w:space="1" w:color="auto"/>
        <w:between w:val="single" w:sz="4" w:space="0" w:color="auto"/>
      </w:pBdr>
      <w:spacing w:after="60"/>
      <w:jc w:val="center"/>
      <w:rPr>
        <w:rFonts w:ascii="FrankRuehl" w:hAnsi="FrankRuehl" w:cs="FrankRuehl"/>
        <w:color w:val="000000"/>
      </w:rPr>
    </w:pPr>
    <w:r w:rsidRPr="00E54337">
      <w:rPr>
        <w:rFonts w:ascii="FrankRuehl" w:hAnsi="FrankRuehl" w:cs="FrankRuehl"/>
        <w:color w:val="000000"/>
      </w:rPr>
      <w:pict w14:anchorId="58FDA5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891A0" w14:textId="77777777" w:rsidR="00236579" w:rsidRDefault="00236579" w:rsidP="003D359B">
      <w:r>
        <w:separator/>
      </w:r>
    </w:p>
  </w:footnote>
  <w:footnote w:type="continuationSeparator" w:id="0">
    <w:p w14:paraId="761978B0" w14:textId="77777777" w:rsidR="00236579" w:rsidRDefault="00236579" w:rsidP="003D3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2C6F7" w14:textId="77777777" w:rsidR="00D612CD" w:rsidRPr="00E54337" w:rsidRDefault="00E54337" w:rsidP="00E5433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36505-12-20</w:t>
    </w:r>
    <w:r>
      <w:rPr>
        <w:rFonts w:ascii="David" w:hAnsi="David"/>
        <w:color w:val="000000"/>
        <w:sz w:val="22"/>
        <w:szCs w:val="22"/>
        <w:rtl/>
      </w:rPr>
      <w:tab/>
      <w:t xml:space="preserve"> מדינת ישראל נ' היתם קואסמה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806FB" w14:textId="77777777" w:rsidR="00D612CD" w:rsidRPr="00E54337" w:rsidRDefault="00E54337" w:rsidP="00E5433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36505-12-20</w:t>
    </w:r>
    <w:r>
      <w:rPr>
        <w:rFonts w:ascii="David" w:hAnsi="David"/>
        <w:color w:val="000000"/>
        <w:sz w:val="22"/>
        <w:szCs w:val="22"/>
        <w:rtl/>
      </w:rPr>
      <w:tab/>
      <w:t xml:space="preserve"> מדינת ישראל נ' היתם קואסמה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42439"/>
    <w:rsid w:val="001B5A3B"/>
    <w:rsid w:val="001C27DA"/>
    <w:rsid w:val="002047CF"/>
    <w:rsid w:val="00236579"/>
    <w:rsid w:val="003D359B"/>
    <w:rsid w:val="006F0FCA"/>
    <w:rsid w:val="00707966"/>
    <w:rsid w:val="007D5A78"/>
    <w:rsid w:val="0089737D"/>
    <w:rsid w:val="00942439"/>
    <w:rsid w:val="00993FBD"/>
    <w:rsid w:val="009E4B6C"/>
    <w:rsid w:val="00B4615F"/>
    <w:rsid w:val="00D612CD"/>
    <w:rsid w:val="00DE3A67"/>
    <w:rsid w:val="00E543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465DC0"/>
  <w15:chartTrackingRefBased/>
  <w15:docId w15:val="{E30C5DEB-0D10-4837-8815-4AFD8C6F0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4243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42439"/>
    <w:pPr>
      <w:tabs>
        <w:tab w:val="center" w:pos="4153"/>
        <w:tab w:val="right" w:pos="8306"/>
      </w:tabs>
    </w:pPr>
  </w:style>
  <w:style w:type="character" w:customStyle="1" w:styleId="a4">
    <w:name w:val="כותרת עליונה תו"/>
    <w:link w:val="a3"/>
    <w:rsid w:val="00942439"/>
    <w:rPr>
      <w:rFonts w:ascii="Times New Roman" w:eastAsia="Times New Roman" w:hAnsi="Times New Roman" w:cs="David"/>
      <w:sz w:val="24"/>
      <w:szCs w:val="24"/>
    </w:rPr>
  </w:style>
  <w:style w:type="paragraph" w:styleId="a5">
    <w:name w:val="footer"/>
    <w:basedOn w:val="a"/>
    <w:link w:val="a6"/>
    <w:rsid w:val="00942439"/>
    <w:pPr>
      <w:tabs>
        <w:tab w:val="center" w:pos="4153"/>
        <w:tab w:val="right" w:pos="8306"/>
      </w:tabs>
    </w:pPr>
  </w:style>
  <w:style w:type="character" w:customStyle="1" w:styleId="a6">
    <w:name w:val="כותרת תחתונה תו"/>
    <w:link w:val="a5"/>
    <w:rsid w:val="00942439"/>
    <w:rPr>
      <w:rFonts w:ascii="Times New Roman" w:eastAsia="Times New Roman" w:hAnsi="Times New Roman" w:cs="David"/>
      <w:sz w:val="24"/>
      <w:szCs w:val="24"/>
    </w:rPr>
  </w:style>
  <w:style w:type="table" w:styleId="a7">
    <w:name w:val="Table Grid"/>
    <w:basedOn w:val="a1"/>
    <w:rsid w:val="0094243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42439"/>
  </w:style>
  <w:style w:type="character" w:styleId="Hyperlink">
    <w:name w:val="Hyperlink"/>
    <w:rsid w:val="00942439"/>
    <w:rPr>
      <w:color w:val="0000FF"/>
      <w:u w:val="single"/>
    </w:rPr>
  </w:style>
  <w:style w:type="character" w:customStyle="1" w:styleId="Ruller4">
    <w:name w:val="Ruller4 תו"/>
    <w:link w:val="Ruller40"/>
    <w:locked/>
    <w:rsid w:val="00942439"/>
    <w:rPr>
      <w:rFonts w:ascii="Arial TUR" w:hAnsi="Arial TUR" w:cs="FrankRuehl"/>
      <w:spacing w:val="10"/>
      <w:szCs w:val="28"/>
    </w:rPr>
  </w:style>
  <w:style w:type="paragraph" w:customStyle="1" w:styleId="Ruller40">
    <w:name w:val="Ruller4"/>
    <w:basedOn w:val="a"/>
    <w:link w:val="Ruller4"/>
    <w:rsid w:val="00942439"/>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144.b2" TargetMode="External"/><Relationship Id="rId26" Type="http://schemas.openxmlformats.org/officeDocument/2006/relationships/hyperlink" Target="http://www.nevo.co.il/case/17954235" TargetMode="External"/><Relationship Id="rId39" Type="http://schemas.openxmlformats.org/officeDocument/2006/relationships/hyperlink" Target="http://www.nevo.co.il/law/70301/40ja" TargetMode="External"/><Relationship Id="rId21" Type="http://schemas.openxmlformats.org/officeDocument/2006/relationships/hyperlink" Target="http://www.nevo.co.il/law/70301/499.a.1" TargetMode="External"/><Relationship Id="rId34" Type="http://schemas.openxmlformats.org/officeDocument/2006/relationships/hyperlink" Target="http://www.nevo.co.il/case/26510968" TargetMode="External"/><Relationship Id="rId42" Type="http://schemas.openxmlformats.org/officeDocument/2006/relationships/hyperlink" Target="http://www.nevo.co.il/law/70301/40g" TargetMode="External"/><Relationship Id="rId47" Type="http://schemas.openxmlformats.org/officeDocument/2006/relationships/hyperlink" Target="http://www.nevo.co.il/case/27254323" TargetMode="External"/><Relationship Id="rId50" Type="http://schemas.openxmlformats.org/officeDocument/2006/relationships/header" Target="header2.xm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4903" TargetMode="External"/><Relationship Id="rId29" Type="http://schemas.openxmlformats.org/officeDocument/2006/relationships/hyperlink" Target="http://www.nevo.co.il/law/70301/40c.a"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40jc.a" TargetMode="External"/><Relationship Id="rId32" Type="http://schemas.openxmlformats.org/officeDocument/2006/relationships/hyperlink" Target="http://www.nevo.co.il/case/23750625" TargetMode="External"/><Relationship Id="rId37" Type="http://schemas.openxmlformats.org/officeDocument/2006/relationships/hyperlink" Target="http://www.nevo.co.il/case/5596806"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28200855" TargetMode="External"/><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nevo.co.il/law/70301/40g" TargetMode="External"/><Relationship Id="rId19" Type="http://schemas.openxmlformats.org/officeDocument/2006/relationships/hyperlink" Target="http://www.nevo.co.il/law/70301/144.a" TargetMode="External"/><Relationship Id="rId31" Type="http://schemas.openxmlformats.org/officeDocument/2006/relationships/hyperlink" Target="http://www.nevo.co.il/case/27347604" TargetMode="External"/><Relationship Id="rId44" Type="http://schemas.openxmlformats.org/officeDocument/2006/relationships/hyperlink" Target="http://www.nevo.co.il/case/27261919" TargetMode="External"/><Relationship Id="rId52"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40f" TargetMode="External"/><Relationship Id="rId14" Type="http://schemas.openxmlformats.org/officeDocument/2006/relationships/hyperlink" Target="http://www.nevo.co.il/law/70301/40jc.a" TargetMode="External"/><Relationship Id="rId22" Type="http://schemas.openxmlformats.org/officeDocument/2006/relationships/hyperlink" Target="http://www.nevo.co.il/law/70301/144.b2" TargetMode="External"/><Relationship Id="rId27" Type="http://schemas.openxmlformats.org/officeDocument/2006/relationships/hyperlink" Target="http://www.nevo.co.il/law/74903/186"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6510968" TargetMode="External"/><Relationship Id="rId43" Type="http://schemas.openxmlformats.org/officeDocument/2006/relationships/hyperlink" Target="http://www.nevo.co.il/law/70301"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70301/40c.a" TargetMode="External"/><Relationship Id="rId51"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70301/144.b2" TargetMode="External"/><Relationship Id="rId17" Type="http://schemas.openxmlformats.org/officeDocument/2006/relationships/hyperlink" Target="http://www.nevo.co.il/law/74903/186"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3750625" TargetMode="External"/><Relationship Id="rId38" Type="http://schemas.openxmlformats.org/officeDocument/2006/relationships/hyperlink" Target="http://www.nevo.co.il/case/23750625" TargetMode="External"/><Relationship Id="rId46" Type="http://schemas.openxmlformats.org/officeDocument/2006/relationships/hyperlink" Target="http://www.nevo.co.il/case/28200855"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0301/40f"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99.a.1" TargetMode="External"/><Relationship Id="rId23" Type="http://schemas.openxmlformats.org/officeDocument/2006/relationships/hyperlink" Target="http://www.nevo.co.il/law/70301/25" TargetMode="External"/><Relationship Id="rId28" Type="http://schemas.openxmlformats.org/officeDocument/2006/relationships/hyperlink" Target="http://www.nevo.co.il/law/74903" TargetMode="External"/><Relationship Id="rId36" Type="http://schemas.openxmlformats.org/officeDocument/2006/relationships/hyperlink" Target="http://www.nevo.co.il/case/27503154"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3860</Words>
  <Characters>19304</Characters>
  <Application>Microsoft Office Word</Application>
  <DocSecurity>0</DocSecurity>
  <Lines>160</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23118</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3539061</vt:i4>
      </vt:variant>
      <vt:variant>
        <vt:i4>123</vt:i4>
      </vt:variant>
      <vt:variant>
        <vt:i4>0</vt:i4>
      </vt:variant>
      <vt:variant>
        <vt:i4>5</vt:i4>
      </vt:variant>
      <vt:variant>
        <vt:lpwstr>http://www.nevo.co.il/case/27254323</vt:lpwstr>
      </vt:variant>
      <vt:variant>
        <vt:lpwstr/>
      </vt:variant>
      <vt:variant>
        <vt:i4>3473524</vt:i4>
      </vt:variant>
      <vt:variant>
        <vt:i4>120</vt:i4>
      </vt:variant>
      <vt:variant>
        <vt:i4>0</vt:i4>
      </vt:variant>
      <vt:variant>
        <vt:i4>5</vt:i4>
      </vt:variant>
      <vt:variant>
        <vt:lpwstr>http://www.nevo.co.il/case/28200855</vt:lpwstr>
      </vt:variant>
      <vt:variant>
        <vt:lpwstr/>
      </vt:variant>
      <vt:variant>
        <vt:i4>3473524</vt:i4>
      </vt:variant>
      <vt:variant>
        <vt:i4>117</vt:i4>
      </vt:variant>
      <vt:variant>
        <vt:i4>0</vt:i4>
      </vt:variant>
      <vt:variant>
        <vt:i4>5</vt:i4>
      </vt:variant>
      <vt:variant>
        <vt:lpwstr>http://www.nevo.co.il/case/28200855</vt:lpwstr>
      </vt:variant>
      <vt:variant>
        <vt:lpwstr/>
      </vt:variant>
      <vt:variant>
        <vt:i4>3145852</vt:i4>
      </vt:variant>
      <vt:variant>
        <vt:i4>114</vt:i4>
      </vt:variant>
      <vt:variant>
        <vt:i4>0</vt:i4>
      </vt:variant>
      <vt:variant>
        <vt:i4>5</vt:i4>
      </vt:variant>
      <vt:variant>
        <vt:lpwstr>http://www.nevo.co.il/case/27261919</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6619233</vt:i4>
      </vt:variant>
      <vt:variant>
        <vt:i4>108</vt:i4>
      </vt:variant>
      <vt:variant>
        <vt:i4>0</vt:i4>
      </vt:variant>
      <vt:variant>
        <vt:i4>5</vt:i4>
      </vt:variant>
      <vt:variant>
        <vt:lpwstr>http://www.nevo.co.il/law/70301/40g</vt:lpwstr>
      </vt:variant>
      <vt:variant>
        <vt:lpwstr/>
      </vt:variant>
      <vt:variant>
        <vt:i4>6619233</vt:i4>
      </vt:variant>
      <vt:variant>
        <vt:i4>105</vt:i4>
      </vt:variant>
      <vt:variant>
        <vt:i4>0</vt:i4>
      </vt:variant>
      <vt:variant>
        <vt:i4>5</vt:i4>
      </vt:variant>
      <vt:variant>
        <vt:lpwstr>http://www.nevo.co.il/law/70301/40f</vt:lpwstr>
      </vt:variant>
      <vt:variant>
        <vt:lpwstr/>
      </vt:variant>
      <vt:variant>
        <vt:i4>7995492</vt:i4>
      </vt:variant>
      <vt:variant>
        <vt:i4>102</vt:i4>
      </vt:variant>
      <vt:variant>
        <vt:i4>0</vt:i4>
      </vt:variant>
      <vt:variant>
        <vt:i4>5</vt:i4>
      </vt:variant>
      <vt:variant>
        <vt:lpwstr>http://www.nevo.co.il/law/70301</vt:lpwstr>
      </vt:variant>
      <vt:variant>
        <vt:lpwstr/>
      </vt:variant>
      <vt:variant>
        <vt:i4>262155</vt:i4>
      </vt:variant>
      <vt:variant>
        <vt:i4>99</vt:i4>
      </vt:variant>
      <vt:variant>
        <vt:i4>0</vt:i4>
      </vt:variant>
      <vt:variant>
        <vt:i4>5</vt:i4>
      </vt:variant>
      <vt:variant>
        <vt:lpwstr>http://www.nevo.co.il/law/70301/40ja</vt:lpwstr>
      </vt:variant>
      <vt:variant>
        <vt:lpwstr/>
      </vt:variant>
      <vt:variant>
        <vt:i4>3604596</vt:i4>
      </vt:variant>
      <vt:variant>
        <vt:i4>96</vt:i4>
      </vt:variant>
      <vt:variant>
        <vt:i4>0</vt:i4>
      </vt:variant>
      <vt:variant>
        <vt:i4>5</vt:i4>
      </vt:variant>
      <vt:variant>
        <vt:lpwstr>http://www.nevo.co.il/case/23750625</vt:lpwstr>
      </vt:variant>
      <vt:variant>
        <vt:lpwstr/>
      </vt:variant>
      <vt:variant>
        <vt:i4>3276919</vt:i4>
      </vt:variant>
      <vt:variant>
        <vt:i4>93</vt:i4>
      </vt:variant>
      <vt:variant>
        <vt:i4>0</vt:i4>
      </vt:variant>
      <vt:variant>
        <vt:i4>5</vt:i4>
      </vt:variant>
      <vt:variant>
        <vt:lpwstr>http://www.nevo.co.il/case/5596806</vt:lpwstr>
      </vt:variant>
      <vt:variant>
        <vt:lpwstr/>
      </vt:variant>
      <vt:variant>
        <vt:i4>3211378</vt:i4>
      </vt:variant>
      <vt:variant>
        <vt:i4>90</vt:i4>
      </vt:variant>
      <vt:variant>
        <vt:i4>0</vt:i4>
      </vt:variant>
      <vt:variant>
        <vt:i4>5</vt:i4>
      </vt:variant>
      <vt:variant>
        <vt:lpwstr>http://www.nevo.co.il/case/27503154</vt:lpwstr>
      </vt:variant>
      <vt:variant>
        <vt:lpwstr/>
      </vt:variant>
      <vt:variant>
        <vt:i4>3211386</vt:i4>
      </vt:variant>
      <vt:variant>
        <vt:i4>87</vt:i4>
      </vt:variant>
      <vt:variant>
        <vt:i4>0</vt:i4>
      </vt:variant>
      <vt:variant>
        <vt:i4>5</vt:i4>
      </vt:variant>
      <vt:variant>
        <vt:lpwstr>http://www.nevo.co.il/case/26510968</vt:lpwstr>
      </vt:variant>
      <vt:variant>
        <vt:lpwstr/>
      </vt:variant>
      <vt:variant>
        <vt:i4>3211386</vt:i4>
      </vt:variant>
      <vt:variant>
        <vt:i4>84</vt:i4>
      </vt:variant>
      <vt:variant>
        <vt:i4>0</vt:i4>
      </vt:variant>
      <vt:variant>
        <vt:i4>5</vt:i4>
      </vt:variant>
      <vt:variant>
        <vt:lpwstr>http://www.nevo.co.il/case/26510968</vt:lpwstr>
      </vt:variant>
      <vt:variant>
        <vt:lpwstr/>
      </vt:variant>
      <vt:variant>
        <vt:i4>3604596</vt:i4>
      </vt:variant>
      <vt:variant>
        <vt:i4>81</vt:i4>
      </vt:variant>
      <vt:variant>
        <vt:i4>0</vt:i4>
      </vt:variant>
      <vt:variant>
        <vt:i4>5</vt:i4>
      </vt:variant>
      <vt:variant>
        <vt:lpwstr>http://www.nevo.co.il/case/23750625</vt:lpwstr>
      </vt:variant>
      <vt:variant>
        <vt:lpwstr/>
      </vt:variant>
      <vt:variant>
        <vt:i4>3604596</vt:i4>
      </vt:variant>
      <vt:variant>
        <vt:i4>78</vt:i4>
      </vt:variant>
      <vt:variant>
        <vt:i4>0</vt:i4>
      </vt:variant>
      <vt:variant>
        <vt:i4>5</vt:i4>
      </vt:variant>
      <vt:variant>
        <vt:lpwstr>http://www.nevo.co.il/case/23750625</vt:lpwstr>
      </vt:variant>
      <vt:variant>
        <vt:lpwstr/>
      </vt:variant>
      <vt:variant>
        <vt:i4>3539057</vt:i4>
      </vt:variant>
      <vt:variant>
        <vt:i4>75</vt:i4>
      </vt:variant>
      <vt:variant>
        <vt:i4>0</vt:i4>
      </vt:variant>
      <vt:variant>
        <vt:i4>5</vt:i4>
      </vt:variant>
      <vt:variant>
        <vt:lpwstr>http://www.nevo.co.il/case/27347604</vt:lpwstr>
      </vt:variant>
      <vt:variant>
        <vt:lpwstr/>
      </vt:variant>
      <vt:variant>
        <vt:i4>7995492</vt:i4>
      </vt:variant>
      <vt:variant>
        <vt:i4>72</vt:i4>
      </vt:variant>
      <vt:variant>
        <vt:i4>0</vt:i4>
      </vt:variant>
      <vt:variant>
        <vt:i4>5</vt:i4>
      </vt:variant>
      <vt:variant>
        <vt:lpwstr>http://www.nevo.co.il/law/70301</vt:lpwstr>
      </vt:variant>
      <vt:variant>
        <vt:lpwstr/>
      </vt:variant>
      <vt:variant>
        <vt:i4>4915202</vt:i4>
      </vt:variant>
      <vt:variant>
        <vt:i4>69</vt:i4>
      </vt:variant>
      <vt:variant>
        <vt:i4>0</vt:i4>
      </vt:variant>
      <vt:variant>
        <vt:i4>5</vt:i4>
      </vt:variant>
      <vt:variant>
        <vt:lpwstr>http://www.nevo.co.il/law/70301/40c.a</vt:lpwstr>
      </vt:variant>
      <vt:variant>
        <vt:lpwstr/>
      </vt:variant>
      <vt:variant>
        <vt:i4>8257646</vt:i4>
      </vt:variant>
      <vt:variant>
        <vt:i4>66</vt:i4>
      </vt:variant>
      <vt:variant>
        <vt:i4>0</vt:i4>
      </vt:variant>
      <vt:variant>
        <vt:i4>5</vt:i4>
      </vt:variant>
      <vt:variant>
        <vt:lpwstr>http://www.nevo.co.il/law/74903</vt:lpwstr>
      </vt:variant>
      <vt:variant>
        <vt:lpwstr/>
      </vt:variant>
      <vt:variant>
        <vt:i4>6881388</vt:i4>
      </vt:variant>
      <vt:variant>
        <vt:i4>63</vt:i4>
      </vt:variant>
      <vt:variant>
        <vt:i4>0</vt:i4>
      </vt:variant>
      <vt:variant>
        <vt:i4>5</vt:i4>
      </vt:variant>
      <vt:variant>
        <vt:lpwstr>http://www.nevo.co.il/law/74903/186</vt:lpwstr>
      </vt:variant>
      <vt:variant>
        <vt:lpwstr/>
      </vt:variant>
      <vt:variant>
        <vt:i4>4128884</vt:i4>
      </vt:variant>
      <vt:variant>
        <vt:i4>60</vt:i4>
      </vt:variant>
      <vt:variant>
        <vt:i4>0</vt:i4>
      </vt:variant>
      <vt:variant>
        <vt:i4>5</vt:i4>
      </vt:variant>
      <vt:variant>
        <vt:lpwstr>http://www.nevo.co.il/case/17954235</vt:lpwstr>
      </vt:variant>
      <vt:variant>
        <vt:lpwstr/>
      </vt:variant>
      <vt:variant>
        <vt:i4>7995492</vt:i4>
      </vt:variant>
      <vt:variant>
        <vt:i4>57</vt:i4>
      </vt:variant>
      <vt:variant>
        <vt:i4>0</vt:i4>
      </vt:variant>
      <vt:variant>
        <vt:i4>5</vt:i4>
      </vt:variant>
      <vt:variant>
        <vt:lpwstr>http://www.nevo.co.il/law/70301</vt:lpwstr>
      </vt:variant>
      <vt:variant>
        <vt:lpwstr/>
      </vt:variant>
      <vt:variant>
        <vt:i4>6750245</vt:i4>
      </vt:variant>
      <vt:variant>
        <vt:i4>54</vt:i4>
      </vt:variant>
      <vt:variant>
        <vt:i4>0</vt:i4>
      </vt:variant>
      <vt:variant>
        <vt:i4>5</vt:i4>
      </vt:variant>
      <vt:variant>
        <vt:lpwstr>http://www.nevo.co.il/law/70301/40jc.a</vt:lpwstr>
      </vt:variant>
      <vt:variant>
        <vt:lpwstr/>
      </vt:variant>
      <vt:variant>
        <vt:i4>6291559</vt:i4>
      </vt:variant>
      <vt:variant>
        <vt:i4>51</vt:i4>
      </vt:variant>
      <vt:variant>
        <vt:i4>0</vt:i4>
      </vt:variant>
      <vt:variant>
        <vt:i4>5</vt:i4>
      </vt:variant>
      <vt:variant>
        <vt:lpwstr>http://www.nevo.co.il/law/70301/25</vt:lpwstr>
      </vt:variant>
      <vt:variant>
        <vt:lpwstr/>
      </vt:variant>
      <vt:variant>
        <vt:i4>8192050</vt:i4>
      </vt:variant>
      <vt:variant>
        <vt:i4>48</vt:i4>
      </vt:variant>
      <vt:variant>
        <vt:i4>0</vt:i4>
      </vt:variant>
      <vt:variant>
        <vt:i4>5</vt:i4>
      </vt:variant>
      <vt:variant>
        <vt:lpwstr>http://www.nevo.co.il/law/70301/144.b2</vt:lpwstr>
      </vt:variant>
      <vt:variant>
        <vt:lpwstr/>
      </vt:variant>
      <vt:variant>
        <vt:i4>7077945</vt:i4>
      </vt:variant>
      <vt:variant>
        <vt:i4>45</vt:i4>
      </vt:variant>
      <vt:variant>
        <vt:i4>0</vt:i4>
      </vt:variant>
      <vt:variant>
        <vt:i4>5</vt:i4>
      </vt:variant>
      <vt:variant>
        <vt:lpwstr>http://www.nevo.co.il/law/70301/499.a.1</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8192050</vt:i4>
      </vt:variant>
      <vt:variant>
        <vt:i4>36</vt:i4>
      </vt:variant>
      <vt:variant>
        <vt:i4>0</vt:i4>
      </vt:variant>
      <vt:variant>
        <vt:i4>5</vt:i4>
      </vt:variant>
      <vt:variant>
        <vt:lpwstr>http://www.nevo.co.il/law/70301/144.b2</vt:lpwstr>
      </vt:variant>
      <vt:variant>
        <vt:lpwstr/>
      </vt:variant>
      <vt:variant>
        <vt:i4>6881388</vt:i4>
      </vt:variant>
      <vt:variant>
        <vt:i4>33</vt:i4>
      </vt:variant>
      <vt:variant>
        <vt:i4>0</vt:i4>
      </vt:variant>
      <vt:variant>
        <vt:i4>5</vt:i4>
      </vt:variant>
      <vt:variant>
        <vt:lpwstr>http://www.nevo.co.il/law/74903/186</vt:lpwstr>
      </vt:variant>
      <vt:variant>
        <vt:lpwstr/>
      </vt:variant>
      <vt:variant>
        <vt:i4>8257646</vt:i4>
      </vt:variant>
      <vt:variant>
        <vt:i4>30</vt:i4>
      </vt:variant>
      <vt:variant>
        <vt:i4>0</vt:i4>
      </vt:variant>
      <vt:variant>
        <vt:i4>5</vt:i4>
      </vt:variant>
      <vt:variant>
        <vt:lpwstr>http://www.nevo.co.il/law/74903</vt:lpwstr>
      </vt:variant>
      <vt:variant>
        <vt:lpwstr/>
      </vt:variant>
      <vt:variant>
        <vt:i4>7077945</vt:i4>
      </vt:variant>
      <vt:variant>
        <vt:i4>27</vt:i4>
      </vt:variant>
      <vt:variant>
        <vt:i4>0</vt:i4>
      </vt:variant>
      <vt:variant>
        <vt:i4>5</vt:i4>
      </vt:variant>
      <vt:variant>
        <vt:lpwstr>http://www.nevo.co.il/law/70301/499.a.1</vt:lpwstr>
      </vt:variant>
      <vt:variant>
        <vt:lpwstr/>
      </vt:variant>
      <vt:variant>
        <vt:i4>6750245</vt:i4>
      </vt:variant>
      <vt:variant>
        <vt:i4>24</vt:i4>
      </vt:variant>
      <vt:variant>
        <vt:i4>0</vt:i4>
      </vt:variant>
      <vt:variant>
        <vt:i4>5</vt:i4>
      </vt:variant>
      <vt:variant>
        <vt:lpwstr>http://www.nevo.co.il/law/70301/40jc.a</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http://www.nevo.co.il/law/70301/40g</vt:lpwstr>
      </vt:variant>
      <vt:variant>
        <vt:lpwstr/>
      </vt:variant>
      <vt:variant>
        <vt:i4>6619233</vt:i4>
      </vt:variant>
      <vt:variant>
        <vt:i4>9</vt:i4>
      </vt:variant>
      <vt:variant>
        <vt:i4>0</vt:i4>
      </vt:variant>
      <vt:variant>
        <vt:i4>5</vt:i4>
      </vt:variant>
      <vt:variant>
        <vt:lpwstr>http://www.nevo.co.il/law/70301/40f</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2025-01-19T16:39:00Z</dcterms:created>
  <dcterms:modified xsi:type="dcterms:W3CDTF">2025-01-19T16:39:00Z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36505</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היתם קואסמה</vt:lpwstr>
  </property>
  <property fmtid="{D5CDD505-2E9C-101B-9397-08002B2CF9AE}" pid="10" name="LAWYER">
    <vt:lpwstr>הדס עמיר;וסים דראושה</vt:lpwstr>
  </property>
  <property fmtid="{D5CDD505-2E9C-101B-9397-08002B2CF9AE}" pid="11" name="JUDGE">
    <vt:lpwstr>דנה כהן לקח</vt:lpwstr>
  </property>
  <property fmtid="{D5CDD505-2E9C-101B-9397-08002B2CF9AE}" pid="12" name="CITY">
    <vt:lpwstr>י-ם</vt:lpwstr>
  </property>
  <property fmtid="{D5CDD505-2E9C-101B-9397-08002B2CF9AE}" pid="13" name="DATE">
    <vt:lpwstr>20220323</vt:lpwstr>
  </property>
  <property fmtid="{D5CDD505-2E9C-101B-9397-08002B2CF9AE}" pid="14" name="TYPE_N_DATE">
    <vt:lpwstr>39020220323</vt:lpwstr>
  </property>
  <property fmtid="{D5CDD505-2E9C-101B-9397-08002B2CF9AE}" pid="15" name="WORDNUMPAGES">
    <vt:lpwstr>14</vt:lpwstr>
  </property>
  <property fmtid="{D5CDD505-2E9C-101B-9397-08002B2CF9AE}" pid="16" name="TYPE_ABS_DATE">
    <vt:lpwstr>390020220323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17954235;27347604;23750625:3;26510968:2;27503154;5596806;27261919;28200855:2;27254323</vt:lpwstr>
  </property>
  <property fmtid="{D5CDD505-2E9C-101B-9397-08002B2CF9AE}" pid="36" name="LAWLISTTMP1">
    <vt:lpwstr>70301/144.b2:2;144.a;499.a.1;025;40jc.a;040c.a;40ja;040f;040g</vt:lpwstr>
  </property>
  <property fmtid="{D5CDD505-2E9C-101B-9397-08002B2CF9AE}" pid="37" name="LAWLISTTMP2">
    <vt:lpwstr>74903/186</vt:lpwstr>
  </property>
</Properties>
</file>