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619EC" w:rsidRPr="006045C8" w14:paraId="4E29FACE" w14:textId="77777777" w:rsidTr="0052530B">
        <w:trPr>
          <w:trHeight w:hRule="exact" w:val="418"/>
          <w:jc w:val="center"/>
        </w:trPr>
        <w:tc>
          <w:tcPr>
            <w:tcW w:w="8721" w:type="dxa"/>
            <w:gridSpan w:val="2"/>
          </w:tcPr>
          <w:p w14:paraId="4F997BAA" w14:textId="77777777" w:rsidR="005619EC" w:rsidRPr="006045C8" w:rsidRDefault="005619EC" w:rsidP="005C65CA">
            <w:pPr>
              <w:pStyle w:val="a3"/>
              <w:jc w:val="center"/>
              <w:rPr>
                <w:rFonts w:ascii="Tahoma" w:hAnsi="Tahoma" w:cs="Tahoma"/>
                <w:color w:val="000080"/>
                <w:rtl/>
              </w:rPr>
            </w:pPr>
            <w:bookmarkStart w:id="0" w:name="FirstLawyer"/>
            <w:bookmarkStart w:id="1" w:name="LastJudge"/>
            <w:r w:rsidRPr="006045C8">
              <w:rPr>
                <w:rFonts w:ascii="Tahoma" w:hAnsi="Tahoma" w:cs="Tahoma"/>
                <w:b/>
                <w:bCs/>
                <w:color w:val="000080"/>
                <w:rtl/>
              </w:rPr>
              <w:t>בית המשפט המחוזי בירושלים</w:t>
            </w:r>
          </w:p>
        </w:tc>
      </w:tr>
      <w:tr w:rsidR="005619EC" w:rsidRPr="006045C8" w14:paraId="1DF47E3C" w14:textId="77777777" w:rsidTr="0052530B">
        <w:trPr>
          <w:trHeight w:val="337"/>
          <w:jc w:val="center"/>
        </w:trPr>
        <w:tc>
          <w:tcPr>
            <w:tcW w:w="5054" w:type="dxa"/>
          </w:tcPr>
          <w:p w14:paraId="3B8786B4" w14:textId="77777777" w:rsidR="005619EC" w:rsidRPr="006045C8" w:rsidRDefault="005619EC" w:rsidP="005C65CA">
            <w:pPr>
              <w:rPr>
                <w:rFonts w:ascii="David" w:hAnsi="David"/>
                <w:rtl/>
              </w:rPr>
            </w:pPr>
            <w:r w:rsidRPr="006045C8">
              <w:rPr>
                <w:rFonts w:ascii="David" w:hAnsi="David"/>
                <w:b/>
                <w:bCs/>
                <w:rtl/>
              </w:rPr>
              <w:t xml:space="preserve">ת"פ 39727-12-20 מדינת ישראל נ' זאהדה  </w:t>
            </w:r>
          </w:p>
          <w:p w14:paraId="5947875F" w14:textId="77777777" w:rsidR="005619EC" w:rsidRPr="006045C8" w:rsidRDefault="005619EC" w:rsidP="005C65CA">
            <w:pPr>
              <w:pStyle w:val="a3"/>
              <w:rPr>
                <w:rFonts w:cs="FrankRuehl"/>
                <w:sz w:val="28"/>
                <w:szCs w:val="28"/>
                <w:rtl/>
              </w:rPr>
            </w:pPr>
          </w:p>
        </w:tc>
        <w:tc>
          <w:tcPr>
            <w:tcW w:w="3667" w:type="dxa"/>
          </w:tcPr>
          <w:p w14:paraId="28213B81" w14:textId="77777777" w:rsidR="005619EC" w:rsidRPr="006045C8" w:rsidRDefault="005619EC" w:rsidP="005C65CA">
            <w:pPr>
              <w:pStyle w:val="a3"/>
              <w:jc w:val="right"/>
              <w:rPr>
                <w:rFonts w:cs="FrankRuehl"/>
                <w:sz w:val="28"/>
                <w:szCs w:val="28"/>
                <w:rtl/>
              </w:rPr>
            </w:pPr>
          </w:p>
        </w:tc>
      </w:tr>
    </w:tbl>
    <w:p w14:paraId="479B8A61" w14:textId="77777777" w:rsidR="005619EC" w:rsidRPr="006045C8" w:rsidRDefault="005619EC" w:rsidP="005619EC">
      <w:pPr>
        <w:pStyle w:val="a3"/>
        <w:rPr>
          <w:rtl/>
        </w:rPr>
      </w:pPr>
      <w:r w:rsidRPr="006045C8">
        <w:rPr>
          <w:rFonts w:hint="cs"/>
          <w:rtl/>
        </w:rPr>
        <w:t xml:space="preserve"> </w:t>
      </w:r>
    </w:p>
    <w:p w14:paraId="35188920" w14:textId="77777777" w:rsidR="005619EC" w:rsidRPr="006045C8" w:rsidRDefault="005619EC" w:rsidP="005619EC">
      <w:pPr>
        <w:rPr>
          <w:rtl/>
        </w:rPr>
      </w:pPr>
    </w:p>
    <w:p w14:paraId="09515AF5" w14:textId="77777777" w:rsidR="005619EC" w:rsidRPr="006045C8" w:rsidRDefault="005619EC" w:rsidP="005619E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619EC" w:rsidRPr="006045C8" w14:paraId="511CCF8A" w14:textId="77777777" w:rsidTr="005619EC">
        <w:trPr>
          <w:trHeight w:val="295"/>
          <w:jc w:val="center"/>
        </w:trPr>
        <w:tc>
          <w:tcPr>
            <w:tcW w:w="923" w:type="dxa"/>
            <w:tcBorders>
              <w:top w:val="nil"/>
              <w:left w:val="nil"/>
              <w:bottom w:val="nil"/>
              <w:right w:val="nil"/>
            </w:tcBorders>
            <w:shd w:val="clear" w:color="auto" w:fill="auto"/>
          </w:tcPr>
          <w:p w14:paraId="111B23AD" w14:textId="77777777" w:rsidR="005619EC" w:rsidRPr="006045C8" w:rsidRDefault="005619EC" w:rsidP="005619EC">
            <w:pPr>
              <w:jc w:val="both"/>
              <w:rPr>
                <w:rFonts w:ascii="David" w:hAnsi="David"/>
                <w:sz w:val="26"/>
                <w:szCs w:val="26"/>
              </w:rPr>
            </w:pPr>
            <w:r w:rsidRPr="006045C8">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9345FF0" w14:textId="77777777" w:rsidR="005619EC" w:rsidRPr="006045C8" w:rsidRDefault="005619EC" w:rsidP="005C65CA">
            <w:pPr>
              <w:rPr>
                <w:rFonts w:ascii="David" w:hAnsi="David"/>
                <w:b/>
                <w:bCs/>
                <w:sz w:val="26"/>
                <w:szCs w:val="26"/>
                <w:rtl/>
              </w:rPr>
            </w:pPr>
            <w:r w:rsidRPr="006045C8">
              <w:rPr>
                <w:rFonts w:ascii="David" w:hAnsi="David"/>
                <w:b/>
                <w:bCs/>
                <w:sz w:val="26"/>
                <w:szCs w:val="26"/>
                <w:rtl/>
              </w:rPr>
              <w:t>כבוד השופטת  חגית מאק-קלמנוביץ</w:t>
            </w:r>
          </w:p>
          <w:p w14:paraId="49516DF4" w14:textId="77777777" w:rsidR="005619EC" w:rsidRPr="006045C8" w:rsidRDefault="005619EC" w:rsidP="005619EC">
            <w:pPr>
              <w:ind w:firstLine="720"/>
              <w:rPr>
                <w:rFonts w:ascii="David" w:hAnsi="David"/>
                <w:b/>
                <w:bCs/>
                <w:sz w:val="26"/>
                <w:szCs w:val="26"/>
                <w:rtl/>
              </w:rPr>
            </w:pPr>
          </w:p>
          <w:p w14:paraId="53F3F578" w14:textId="77777777" w:rsidR="005619EC" w:rsidRPr="006045C8" w:rsidRDefault="005619EC" w:rsidP="005619EC">
            <w:pPr>
              <w:jc w:val="both"/>
              <w:rPr>
                <w:rFonts w:ascii="David" w:hAnsi="David"/>
                <w:b/>
                <w:bCs/>
                <w:sz w:val="26"/>
                <w:szCs w:val="26"/>
              </w:rPr>
            </w:pPr>
          </w:p>
        </w:tc>
      </w:tr>
      <w:tr w:rsidR="005619EC" w:rsidRPr="006045C8" w14:paraId="7EB8A25E" w14:textId="77777777" w:rsidTr="005619EC">
        <w:trPr>
          <w:trHeight w:val="355"/>
          <w:jc w:val="center"/>
        </w:trPr>
        <w:tc>
          <w:tcPr>
            <w:tcW w:w="923" w:type="dxa"/>
            <w:tcBorders>
              <w:top w:val="nil"/>
              <w:left w:val="nil"/>
              <w:bottom w:val="nil"/>
              <w:right w:val="nil"/>
            </w:tcBorders>
            <w:shd w:val="clear" w:color="auto" w:fill="auto"/>
          </w:tcPr>
          <w:p w14:paraId="5952BDE5" w14:textId="77777777" w:rsidR="005619EC" w:rsidRPr="006045C8" w:rsidRDefault="005619EC" w:rsidP="005619EC">
            <w:pPr>
              <w:jc w:val="both"/>
              <w:rPr>
                <w:rFonts w:ascii="David" w:hAnsi="David"/>
                <w:sz w:val="26"/>
                <w:szCs w:val="26"/>
              </w:rPr>
            </w:pPr>
            <w:bookmarkStart w:id="2" w:name="FirstAppellant"/>
            <w:r w:rsidRPr="006045C8">
              <w:rPr>
                <w:rFonts w:ascii="David" w:hAnsi="David"/>
                <w:sz w:val="26"/>
                <w:szCs w:val="26"/>
                <w:rtl/>
              </w:rPr>
              <w:t>בעניין:</w:t>
            </w:r>
          </w:p>
        </w:tc>
        <w:tc>
          <w:tcPr>
            <w:tcW w:w="4126" w:type="dxa"/>
            <w:tcBorders>
              <w:top w:val="nil"/>
              <w:left w:val="nil"/>
              <w:bottom w:val="nil"/>
              <w:right w:val="nil"/>
            </w:tcBorders>
            <w:shd w:val="clear" w:color="auto" w:fill="auto"/>
          </w:tcPr>
          <w:p w14:paraId="564BCF16" w14:textId="77777777" w:rsidR="005619EC" w:rsidRPr="006045C8" w:rsidRDefault="005619EC" w:rsidP="005C65CA">
            <w:pPr>
              <w:rPr>
                <w:rFonts w:ascii="David" w:hAnsi="David"/>
                <w:b/>
                <w:bCs/>
                <w:sz w:val="26"/>
                <w:szCs w:val="26"/>
              </w:rPr>
            </w:pPr>
            <w:r w:rsidRPr="006045C8">
              <w:rPr>
                <w:rFonts w:ascii="David" w:hAnsi="David"/>
                <w:b/>
                <w:bCs/>
                <w:sz w:val="26"/>
                <w:szCs w:val="26"/>
                <w:rtl/>
              </w:rPr>
              <w:t>מדינת ישראל</w:t>
            </w:r>
            <w:r w:rsidRPr="006045C8">
              <w:rPr>
                <w:rFonts w:ascii="David" w:hAnsi="David"/>
                <w:b/>
                <w:bCs/>
                <w:sz w:val="26"/>
                <w:szCs w:val="26"/>
                <w:rtl/>
              </w:rPr>
              <w:br/>
            </w:r>
            <w:r w:rsidRPr="006045C8">
              <w:rPr>
                <w:rFonts w:ascii="David" w:hAnsi="David" w:hint="cs"/>
                <w:b/>
                <w:bCs/>
                <w:sz w:val="26"/>
                <w:szCs w:val="26"/>
                <w:rtl/>
              </w:rPr>
              <w:t>ע"י פרקליטות מחוז ירושלים (פלילי)</w:t>
            </w:r>
          </w:p>
        </w:tc>
        <w:tc>
          <w:tcPr>
            <w:tcW w:w="3771" w:type="dxa"/>
            <w:tcBorders>
              <w:top w:val="nil"/>
              <w:left w:val="nil"/>
              <w:bottom w:val="nil"/>
              <w:right w:val="nil"/>
            </w:tcBorders>
            <w:shd w:val="clear" w:color="auto" w:fill="auto"/>
          </w:tcPr>
          <w:p w14:paraId="3554511D" w14:textId="77777777" w:rsidR="005619EC" w:rsidRPr="006045C8" w:rsidRDefault="005619EC" w:rsidP="005619EC">
            <w:pPr>
              <w:jc w:val="both"/>
              <w:rPr>
                <w:rFonts w:ascii="David" w:hAnsi="David"/>
                <w:b/>
                <w:bCs/>
                <w:sz w:val="26"/>
                <w:szCs w:val="26"/>
              </w:rPr>
            </w:pPr>
          </w:p>
        </w:tc>
      </w:tr>
      <w:bookmarkEnd w:id="2"/>
      <w:tr w:rsidR="005619EC" w:rsidRPr="006045C8" w14:paraId="5EDC869D" w14:textId="77777777" w:rsidTr="005619EC">
        <w:trPr>
          <w:trHeight w:val="355"/>
          <w:jc w:val="center"/>
        </w:trPr>
        <w:tc>
          <w:tcPr>
            <w:tcW w:w="923" w:type="dxa"/>
            <w:tcBorders>
              <w:top w:val="nil"/>
              <w:left w:val="nil"/>
              <w:bottom w:val="nil"/>
              <w:right w:val="nil"/>
            </w:tcBorders>
            <w:shd w:val="clear" w:color="auto" w:fill="auto"/>
          </w:tcPr>
          <w:p w14:paraId="0C39F261" w14:textId="77777777" w:rsidR="005619EC" w:rsidRPr="006045C8" w:rsidRDefault="005619EC" w:rsidP="005619EC">
            <w:pPr>
              <w:jc w:val="both"/>
              <w:rPr>
                <w:rFonts w:ascii="David" w:hAnsi="David"/>
                <w:sz w:val="26"/>
                <w:szCs w:val="26"/>
                <w:rtl/>
              </w:rPr>
            </w:pPr>
          </w:p>
        </w:tc>
        <w:tc>
          <w:tcPr>
            <w:tcW w:w="4126" w:type="dxa"/>
            <w:tcBorders>
              <w:top w:val="nil"/>
              <w:left w:val="nil"/>
              <w:bottom w:val="nil"/>
              <w:right w:val="nil"/>
            </w:tcBorders>
            <w:shd w:val="clear" w:color="auto" w:fill="auto"/>
          </w:tcPr>
          <w:p w14:paraId="26141B07" w14:textId="77777777" w:rsidR="005619EC" w:rsidRPr="006045C8" w:rsidRDefault="005619EC" w:rsidP="005619EC">
            <w:pPr>
              <w:jc w:val="both"/>
              <w:rPr>
                <w:rFonts w:ascii="David" w:hAnsi="David"/>
                <w:b/>
                <w:bCs/>
                <w:sz w:val="26"/>
                <w:szCs w:val="26"/>
                <w:rtl/>
              </w:rPr>
            </w:pPr>
          </w:p>
        </w:tc>
        <w:tc>
          <w:tcPr>
            <w:tcW w:w="3771" w:type="dxa"/>
            <w:tcBorders>
              <w:top w:val="nil"/>
              <w:left w:val="nil"/>
              <w:bottom w:val="nil"/>
              <w:right w:val="nil"/>
            </w:tcBorders>
            <w:shd w:val="clear" w:color="auto" w:fill="auto"/>
          </w:tcPr>
          <w:p w14:paraId="6C5DA053" w14:textId="77777777" w:rsidR="005619EC" w:rsidRPr="006045C8" w:rsidRDefault="005619EC" w:rsidP="005619EC">
            <w:pPr>
              <w:jc w:val="right"/>
              <w:rPr>
                <w:rFonts w:ascii="David" w:hAnsi="David"/>
                <w:b/>
                <w:bCs/>
                <w:sz w:val="26"/>
                <w:szCs w:val="26"/>
                <w:rtl/>
              </w:rPr>
            </w:pPr>
            <w:r w:rsidRPr="006045C8">
              <w:rPr>
                <w:rFonts w:ascii="David" w:hAnsi="David"/>
                <w:b/>
                <w:bCs/>
                <w:sz w:val="26"/>
                <w:szCs w:val="26"/>
                <w:rtl/>
              </w:rPr>
              <w:t>המאשימה</w:t>
            </w:r>
          </w:p>
        </w:tc>
      </w:tr>
      <w:tr w:rsidR="005619EC" w:rsidRPr="006045C8" w14:paraId="251D4AC9" w14:textId="77777777" w:rsidTr="005619EC">
        <w:trPr>
          <w:trHeight w:val="355"/>
          <w:jc w:val="center"/>
        </w:trPr>
        <w:tc>
          <w:tcPr>
            <w:tcW w:w="923" w:type="dxa"/>
            <w:tcBorders>
              <w:top w:val="nil"/>
              <w:left w:val="nil"/>
              <w:bottom w:val="nil"/>
              <w:right w:val="nil"/>
            </w:tcBorders>
            <w:shd w:val="clear" w:color="auto" w:fill="auto"/>
          </w:tcPr>
          <w:p w14:paraId="4D25159E" w14:textId="77777777" w:rsidR="005619EC" w:rsidRPr="006045C8" w:rsidRDefault="005619EC" w:rsidP="005619E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2BB2D69" w14:textId="77777777" w:rsidR="005619EC" w:rsidRPr="006045C8" w:rsidRDefault="005619EC" w:rsidP="005619EC">
            <w:pPr>
              <w:jc w:val="center"/>
              <w:rPr>
                <w:rFonts w:ascii="David" w:hAnsi="David"/>
                <w:b/>
                <w:bCs/>
                <w:sz w:val="26"/>
                <w:szCs w:val="26"/>
                <w:rtl/>
              </w:rPr>
            </w:pPr>
          </w:p>
          <w:p w14:paraId="01C9D4EA" w14:textId="77777777" w:rsidR="005619EC" w:rsidRPr="006045C8" w:rsidRDefault="005619EC" w:rsidP="005619EC">
            <w:pPr>
              <w:jc w:val="center"/>
              <w:rPr>
                <w:rFonts w:ascii="David" w:hAnsi="David"/>
                <w:b/>
                <w:bCs/>
                <w:sz w:val="26"/>
                <w:szCs w:val="26"/>
                <w:rtl/>
              </w:rPr>
            </w:pPr>
            <w:r w:rsidRPr="006045C8">
              <w:rPr>
                <w:rFonts w:ascii="David" w:hAnsi="David"/>
                <w:b/>
                <w:bCs/>
                <w:sz w:val="26"/>
                <w:szCs w:val="26"/>
                <w:rtl/>
              </w:rPr>
              <w:t>נגד</w:t>
            </w:r>
          </w:p>
          <w:p w14:paraId="36F9B83A" w14:textId="77777777" w:rsidR="005619EC" w:rsidRPr="006045C8" w:rsidRDefault="005619EC" w:rsidP="005619EC">
            <w:pPr>
              <w:jc w:val="both"/>
              <w:rPr>
                <w:rFonts w:ascii="David" w:hAnsi="David"/>
                <w:b/>
                <w:bCs/>
                <w:sz w:val="26"/>
                <w:szCs w:val="26"/>
              </w:rPr>
            </w:pPr>
          </w:p>
        </w:tc>
      </w:tr>
      <w:tr w:rsidR="005619EC" w:rsidRPr="006045C8" w14:paraId="706094E6" w14:textId="77777777" w:rsidTr="005619EC">
        <w:trPr>
          <w:trHeight w:val="355"/>
          <w:jc w:val="center"/>
        </w:trPr>
        <w:tc>
          <w:tcPr>
            <w:tcW w:w="923" w:type="dxa"/>
            <w:tcBorders>
              <w:top w:val="nil"/>
              <w:left w:val="nil"/>
              <w:bottom w:val="nil"/>
              <w:right w:val="nil"/>
            </w:tcBorders>
            <w:shd w:val="clear" w:color="auto" w:fill="auto"/>
          </w:tcPr>
          <w:p w14:paraId="6FCAD6F6" w14:textId="77777777" w:rsidR="005619EC" w:rsidRPr="006045C8" w:rsidRDefault="005619EC" w:rsidP="005C65CA">
            <w:pPr>
              <w:rPr>
                <w:rFonts w:ascii="David" w:hAnsi="David"/>
                <w:sz w:val="26"/>
                <w:szCs w:val="26"/>
                <w:rtl/>
              </w:rPr>
            </w:pPr>
          </w:p>
        </w:tc>
        <w:tc>
          <w:tcPr>
            <w:tcW w:w="4126" w:type="dxa"/>
            <w:tcBorders>
              <w:top w:val="nil"/>
              <w:left w:val="nil"/>
              <w:bottom w:val="nil"/>
              <w:right w:val="nil"/>
            </w:tcBorders>
            <w:shd w:val="clear" w:color="auto" w:fill="auto"/>
          </w:tcPr>
          <w:p w14:paraId="53A58251" w14:textId="77777777" w:rsidR="005619EC" w:rsidRPr="006045C8" w:rsidRDefault="005619EC" w:rsidP="005C65CA">
            <w:pPr>
              <w:rPr>
                <w:rFonts w:ascii="David" w:hAnsi="David"/>
                <w:b/>
                <w:bCs/>
                <w:sz w:val="26"/>
                <w:szCs w:val="26"/>
                <w:rtl/>
              </w:rPr>
            </w:pPr>
            <w:r w:rsidRPr="006045C8">
              <w:rPr>
                <w:rFonts w:ascii="David" w:hAnsi="David"/>
                <w:b/>
                <w:bCs/>
                <w:sz w:val="26"/>
                <w:szCs w:val="26"/>
                <w:rtl/>
              </w:rPr>
              <w:t xml:space="preserve">1.אמין זאהדה (עציר) – עניינו </w:t>
            </w:r>
            <w:r w:rsidRPr="006045C8">
              <w:rPr>
                <w:rFonts w:ascii="David" w:hAnsi="David" w:hint="cs"/>
                <w:b/>
                <w:bCs/>
                <w:sz w:val="26"/>
                <w:szCs w:val="26"/>
                <w:rtl/>
              </w:rPr>
              <w:t xml:space="preserve">הסתיים </w:t>
            </w:r>
          </w:p>
          <w:p w14:paraId="0F854D72" w14:textId="77777777" w:rsidR="005619EC" w:rsidRPr="006045C8" w:rsidRDefault="005619EC" w:rsidP="005C65CA">
            <w:pPr>
              <w:rPr>
                <w:rFonts w:ascii="David" w:hAnsi="David"/>
                <w:b/>
                <w:bCs/>
                <w:sz w:val="26"/>
                <w:szCs w:val="26"/>
                <w:rtl/>
              </w:rPr>
            </w:pPr>
            <w:r w:rsidRPr="006045C8">
              <w:rPr>
                <w:rFonts w:ascii="David" w:hAnsi="David"/>
                <w:b/>
                <w:bCs/>
                <w:sz w:val="26"/>
                <w:szCs w:val="26"/>
                <w:rtl/>
              </w:rPr>
              <w:t xml:space="preserve">2.עומר זאהדה </w:t>
            </w:r>
            <w:r w:rsidRPr="006045C8">
              <w:rPr>
                <w:rFonts w:ascii="David" w:hAnsi="David"/>
                <w:b/>
                <w:bCs/>
                <w:sz w:val="26"/>
                <w:szCs w:val="26"/>
                <w:rtl/>
              </w:rPr>
              <w:br/>
            </w:r>
            <w:r w:rsidRPr="006045C8">
              <w:rPr>
                <w:rFonts w:ascii="David" w:hAnsi="David" w:hint="cs"/>
                <w:b/>
                <w:bCs/>
                <w:sz w:val="26"/>
                <w:szCs w:val="26"/>
                <w:rtl/>
              </w:rPr>
              <w:t xml:space="preserve">   ע"י ב"כ עו"ד נאיל זחאלקה</w:t>
            </w:r>
          </w:p>
        </w:tc>
        <w:tc>
          <w:tcPr>
            <w:tcW w:w="3771" w:type="dxa"/>
            <w:tcBorders>
              <w:top w:val="nil"/>
              <w:left w:val="nil"/>
              <w:bottom w:val="nil"/>
              <w:right w:val="nil"/>
            </w:tcBorders>
            <w:shd w:val="clear" w:color="auto" w:fill="auto"/>
          </w:tcPr>
          <w:p w14:paraId="07F8D719" w14:textId="77777777" w:rsidR="005619EC" w:rsidRPr="006045C8" w:rsidRDefault="005619EC" w:rsidP="005619EC">
            <w:pPr>
              <w:jc w:val="right"/>
              <w:rPr>
                <w:rFonts w:ascii="David" w:hAnsi="David"/>
                <w:b/>
                <w:bCs/>
                <w:sz w:val="26"/>
                <w:szCs w:val="26"/>
              </w:rPr>
            </w:pPr>
          </w:p>
        </w:tc>
      </w:tr>
      <w:tr w:rsidR="005619EC" w:rsidRPr="006045C8" w14:paraId="120E6E22" w14:textId="77777777" w:rsidTr="005619EC">
        <w:trPr>
          <w:trHeight w:val="355"/>
          <w:jc w:val="center"/>
        </w:trPr>
        <w:tc>
          <w:tcPr>
            <w:tcW w:w="923" w:type="dxa"/>
            <w:tcBorders>
              <w:top w:val="nil"/>
              <w:left w:val="nil"/>
              <w:bottom w:val="nil"/>
              <w:right w:val="nil"/>
            </w:tcBorders>
            <w:shd w:val="clear" w:color="auto" w:fill="auto"/>
          </w:tcPr>
          <w:p w14:paraId="443D2BF2" w14:textId="77777777" w:rsidR="005619EC" w:rsidRPr="006045C8" w:rsidRDefault="005619EC" w:rsidP="005619EC">
            <w:pPr>
              <w:jc w:val="both"/>
              <w:rPr>
                <w:rFonts w:ascii="David" w:hAnsi="David"/>
                <w:sz w:val="26"/>
                <w:szCs w:val="26"/>
                <w:rtl/>
              </w:rPr>
            </w:pPr>
          </w:p>
        </w:tc>
        <w:tc>
          <w:tcPr>
            <w:tcW w:w="4126" w:type="dxa"/>
            <w:tcBorders>
              <w:top w:val="nil"/>
              <w:left w:val="nil"/>
              <w:bottom w:val="nil"/>
              <w:right w:val="nil"/>
            </w:tcBorders>
            <w:shd w:val="clear" w:color="auto" w:fill="auto"/>
          </w:tcPr>
          <w:p w14:paraId="79CBCE6F" w14:textId="77777777" w:rsidR="005619EC" w:rsidRPr="006045C8" w:rsidRDefault="005619EC" w:rsidP="005619EC">
            <w:pPr>
              <w:jc w:val="both"/>
              <w:rPr>
                <w:rFonts w:ascii="David" w:hAnsi="David"/>
                <w:b/>
                <w:bCs/>
                <w:sz w:val="26"/>
                <w:szCs w:val="26"/>
                <w:rtl/>
              </w:rPr>
            </w:pPr>
          </w:p>
          <w:p w14:paraId="1ABB6B44" w14:textId="77777777" w:rsidR="005619EC" w:rsidRPr="006045C8" w:rsidRDefault="005619EC" w:rsidP="005619EC">
            <w:pPr>
              <w:jc w:val="both"/>
              <w:rPr>
                <w:rFonts w:ascii="David" w:hAnsi="David"/>
                <w:b/>
                <w:bCs/>
                <w:sz w:val="26"/>
                <w:szCs w:val="26"/>
                <w:rtl/>
              </w:rPr>
            </w:pPr>
          </w:p>
          <w:p w14:paraId="230EDBC2" w14:textId="77777777" w:rsidR="005619EC" w:rsidRPr="006045C8" w:rsidRDefault="005619EC" w:rsidP="005619EC">
            <w:pPr>
              <w:jc w:val="both"/>
              <w:rPr>
                <w:rFonts w:ascii="David" w:hAnsi="David"/>
                <w:b/>
                <w:bCs/>
                <w:sz w:val="26"/>
                <w:szCs w:val="26"/>
                <w:rtl/>
              </w:rPr>
            </w:pPr>
          </w:p>
        </w:tc>
        <w:tc>
          <w:tcPr>
            <w:tcW w:w="3771" w:type="dxa"/>
            <w:tcBorders>
              <w:top w:val="nil"/>
              <w:left w:val="nil"/>
              <w:bottom w:val="nil"/>
              <w:right w:val="nil"/>
            </w:tcBorders>
            <w:shd w:val="clear" w:color="auto" w:fill="auto"/>
          </w:tcPr>
          <w:p w14:paraId="0C1162F8" w14:textId="77777777" w:rsidR="005619EC" w:rsidRPr="006045C8" w:rsidRDefault="005619EC" w:rsidP="005619EC">
            <w:pPr>
              <w:jc w:val="right"/>
              <w:rPr>
                <w:rFonts w:ascii="David" w:hAnsi="David"/>
                <w:b/>
                <w:bCs/>
                <w:sz w:val="26"/>
                <w:szCs w:val="26"/>
              </w:rPr>
            </w:pPr>
            <w:r w:rsidRPr="006045C8">
              <w:rPr>
                <w:rFonts w:ascii="David" w:hAnsi="David"/>
                <w:b/>
                <w:bCs/>
                <w:sz w:val="26"/>
                <w:szCs w:val="26"/>
                <w:rtl/>
              </w:rPr>
              <w:t>הנאשמים</w:t>
            </w:r>
          </w:p>
        </w:tc>
      </w:tr>
    </w:tbl>
    <w:p w14:paraId="4EA3BE01" w14:textId="77777777" w:rsidR="005619EC" w:rsidRPr="006045C8" w:rsidRDefault="005619EC" w:rsidP="005619EC">
      <w:pPr>
        <w:rPr>
          <w:sz w:val="26"/>
          <w:szCs w:val="26"/>
          <w:rtl/>
        </w:rPr>
      </w:pPr>
    </w:p>
    <w:p w14:paraId="7ABD1A48" w14:textId="77777777" w:rsidR="005F5E56" w:rsidRPr="005F5E56" w:rsidRDefault="005F5E56" w:rsidP="005F5E56">
      <w:pPr>
        <w:spacing w:before="120" w:after="120" w:line="240" w:lineRule="exact"/>
        <w:ind w:left="283" w:hanging="283"/>
        <w:jc w:val="both"/>
        <w:rPr>
          <w:rFonts w:ascii="FrankRuehl" w:hAnsi="FrankRuehl" w:cs="FrankRuehl"/>
          <w:rtl/>
        </w:rPr>
      </w:pPr>
    </w:p>
    <w:p w14:paraId="43A627E7" w14:textId="77777777" w:rsidR="00795164" w:rsidRDefault="00795164" w:rsidP="00795164">
      <w:pPr>
        <w:rPr>
          <w:sz w:val="26"/>
          <w:szCs w:val="26"/>
          <w:rtl/>
        </w:rPr>
      </w:pPr>
      <w:bookmarkStart w:id="3" w:name="LawTable"/>
      <w:bookmarkEnd w:id="3"/>
    </w:p>
    <w:p w14:paraId="5855AA8C" w14:textId="77777777" w:rsidR="00795164" w:rsidRPr="00795164" w:rsidRDefault="00795164" w:rsidP="00795164">
      <w:pPr>
        <w:spacing w:before="120" w:after="120" w:line="240" w:lineRule="exact"/>
        <w:ind w:left="283" w:hanging="283"/>
        <w:jc w:val="both"/>
        <w:rPr>
          <w:rFonts w:ascii="FrankRuehl" w:hAnsi="FrankRuehl" w:cs="FrankRuehl"/>
          <w:rtl/>
        </w:rPr>
      </w:pPr>
    </w:p>
    <w:p w14:paraId="697CB0B2" w14:textId="77777777" w:rsidR="00795164" w:rsidRPr="00795164" w:rsidRDefault="00795164" w:rsidP="00795164">
      <w:pPr>
        <w:spacing w:before="120" w:after="120" w:line="240" w:lineRule="exact"/>
        <w:ind w:left="283" w:hanging="283"/>
        <w:jc w:val="both"/>
        <w:rPr>
          <w:rFonts w:ascii="FrankRuehl" w:hAnsi="FrankRuehl" w:cs="FrankRuehl"/>
          <w:rtl/>
        </w:rPr>
      </w:pPr>
    </w:p>
    <w:p w14:paraId="6F9395D2" w14:textId="77777777" w:rsidR="00795164" w:rsidRPr="00795164" w:rsidRDefault="00795164" w:rsidP="00795164">
      <w:pPr>
        <w:spacing w:before="120" w:after="120" w:line="240" w:lineRule="exact"/>
        <w:ind w:left="283" w:hanging="283"/>
        <w:jc w:val="both"/>
        <w:rPr>
          <w:rFonts w:ascii="FrankRuehl" w:hAnsi="FrankRuehl" w:cs="FrankRuehl"/>
          <w:rtl/>
        </w:rPr>
      </w:pPr>
      <w:r w:rsidRPr="00795164">
        <w:rPr>
          <w:rFonts w:ascii="FrankRuehl" w:hAnsi="FrankRuehl" w:cs="FrankRuehl"/>
          <w:rtl/>
        </w:rPr>
        <w:t xml:space="preserve">חקיקה שאוזכרה: </w:t>
      </w:r>
    </w:p>
    <w:p w14:paraId="0BE78E7B" w14:textId="77777777" w:rsidR="00795164" w:rsidRPr="00795164" w:rsidRDefault="00795164" w:rsidP="00795164">
      <w:pPr>
        <w:spacing w:before="120" w:after="120" w:line="240" w:lineRule="exact"/>
        <w:ind w:left="283" w:hanging="283"/>
        <w:jc w:val="both"/>
        <w:rPr>
          <w:rFonts w:ascii="FrankRuehl" w:hAnsi="FrankRuehl" w:cs="FrankRuehl"/>
          <w:rtl/>
        </w:rPr>
      </w:pPr>
      <w:hyperlink r:id="rId7" w:history="1">
        <w:r w:rsidRPr="00795164">
          <w:rPr>
            <w:rFonts w:ascii="FrankRuehl" w:hAnsi="FrankRuehl" w:cs="FrankRuehl"/>
            <w:color w:val="0000FF"/>
            <w:rtl/>
          </w:rPr>
          <w:t>חוק העונשין, תשל"ז-1977</w:t>
        </w:r>
      </w:hyperlink>
      <w:r w:rsidRPr="00795164">
        <w:rPr>
          <w:rFonts w:ascii="FrankRuehl" w:hAnsi="FrankRuehl" w:cs="FrankRuehl"/>
          <w:rtl/>
        </w:rPr>
        <w:t xml:space="preserve">: סע'  </w:t>
      </w:r>
      <w:hyperlink r:id="rId8" w:history="1">
        <w:r w:rsidRPr="00795164">
          <w:rPr>
            <w:rFonts w:ascii="FrankRuehl" w:hAnsi="FrankRuehl" w:cs="FrankRuehl"/>
            <w:color w:val="0000FF"/>
            <w:rtl/>
          </w:rPr>
          <w:t>29(ב)</w:t>
        </w:r>
      </w:hyperlink>
      <w:r w:rsidRPr="00795164">
        <w:rPr>
          <w:rFonts w:ascii="FrankRuehl" w:hAnsi="FrankRuehl" w:cs="FrankRuehl"/>
          <w:rtl/>
        </w:rPr>
        <w:t xml:space="preserve">, </w:t>
      </w:r>
      <w:hyperlink r:id="rId9" w:history="1">
        <w:r w:rsidRPr="00795164">
          <w:rPr>
            <w:rFonts w:ascii="FrankRuehl" w:hAnsi="FrankRuehl" w:cs="FrankRuehl"/>
            <w:color w:val="0000FF"/>
            <w:rtl/>
          </w:rPr>
          <w:t>144(א)</w:t>
        </w:r>
      </w:hyperlink>
      <w:r w:rsidRPr="00795164">
        <w:rPr>
          <w:rFonts w:ascii="FrankRuehl" w:hAnsi="FrankRuehl" w:cs="FrankRuehl"/>
          <w:rtl/>
        </w:rPr>
        <w:t xml:space="preserve">, </w:t>
      </w:r>
      <w:hyperlink r:id="rId10" w:history="1">
        <w:r w:rsidRPr="00795164">
          <w:rPr>
            <w:rFonts w:ascii="FrankRuehl" w:hAnsi="FrankRuehl" w:cs="FrankRuehl"/>
            <w:color w:val="0000FF"/>
            <w:rtl/>
          </w:rPr>
          <w:t>340א(א)</w:t>
        </w:r>
      </w:hyperlink>
      <w:r w:rsidRPr="00795164">
        <w:rPr>
          <w:rFonts w:ascii="FrankRuehl" w:hAnsi="FrankRuehl" w:cs="FrankRuehl"/>
          <w:rtl/>
        </w:rPr>
        <w:t xml:space="preserve">, </w:t>
      </w:r>
      <w:hyperlink r:id="rId11" w:history="1">
        <w:r w:rsidRPr="00795164">
          <w:rPr>
            <w:rFonts w:ascii="FrankRuehl" w:hAnsi="FrankRuehl" w:cs="FrankRuehl"/>
            <w:color w:val="0000FF"/>
            <w:rtl/>
          </w:rPr>
          <w:t>413ה</w:t>
        </w:r>
      </w:hyperlink>
    </w:p>
    <w:p w14:paraId="4D51BB75" w14:textId="77777777" w:rsidR="00795164" w:rsidRPr="00795164" w:rsidRDefault="00795164" w:rsidP="00795164">
      <w:pPr>
        <w:rPr>
          <w:sz w:val="26"/>
          <w:szCs w:val="26"/>
          <w:rtl/>
        </w:rPr>
      </w:pPr>
      <w:bookmarkStart w:id="4" w:name="LawTable_End"/>
      <w:bookmarkEnd w:id="4"/>
    </w:p>
    <w:p w14:paraId="539148E0" w14:textId="77777777" w:rsidR="005619EC" w:rsidRPr="005F5E56" w:rsidRDefault="005619EC" w:rsidP="005F5E5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619EC" w14:paraId="36692B68" w14:textId="77777777" w:rsidTr="005619EC">
        <w:trPr>
          <w:trHeight w:val="355"/>
          <w:jc w:val="center"/>
        </w:trPr>
        <w:tc>
          <w:tcPr>
            <w:tcW w:w="8820" w:type="dxa"/>
            <w:tcBorders>
              <w:top w:val="nil"/>
              <w:left w:val="nil"/>
              <w:bottom w:val="nil"/>
              <w:right w:val="nil"/>
            </w:tcBorders>
            <w:shd w:val="clear" w:color="auto" w:fill="auto"/>
          </w:tcPr>
          <w:p w14:paraId="07A59D42" w14:textId="77777777" w:rsidR="006045C8" w:rsidRPr="006045C8" w:rsidRDefault="006045C8" w:rsidP="006045C8">
            <w:pPr>
              <w:jc w:val="center"/>
              <w:rPr>
                <w:rFonts w:ascii="David" w:hAnsi="David"/>
                <w:b/>
                <w:bCs/>
                <w:sz w:val="32"/>
                <w:szCs w:val="32"/>
                <w:u w:val="single"/>
                <w:rtl/>
              </w:rPr>
            </w:pPr>
            <w:bookmarkStart w:id="5" w:name="PsakDin"/>
            <w:bookmarkEnd w:id="0"/>
            <w:bookmarkEnd w:id="1"/>
            <w:r w:rsidRPr="006045C8">
              <w:rPr>
                <w:rFonts w:ascii="David" w:hAnsi="David"/>
                <w:b/>
                <w:bCs/>
                <w:sz w:val="32"/>
                <w:szCs w:val="32"/>
                <w:u w:val="single"/>
                <w:rtl/>
              </w:rPr>
              <w:t xml:space="preserve">גזר דין </w:t>
            </w:r>
            <w:bookmarkEnd w:id="5"/>
            <w:r w:rsidRPr="006045C8">
              <w:rPr>
                <w:rFonts w:ascii="David" w:hAnsi="David"/>
                <w:b/>
                <w:bCs/>
                <w:sz w:val="32"/>
                <w:szCs w:val="32"/>
                <w:u w:val="single"/>
                <w:rtl/>
              </w:rPr>
              <w:t>לנאשם 2</w:t>
            </w:r>
          </w:p>
          <w:p w14:paraId="778EA552" w14:textId="77777777" w:rsidR="005619EC" w:rsidRPr="006045C8" w:rsidRDefault="005619EC" w:rsidP="006045C8">
            <w:pPr>
              <w:jc w:val="center"/>
              <w:rPr>
                <w:rFonts w:ascii="David" w:hAnsi="David"/>
                <w:bCs/>
                <w:sz w:val="32"/>
                <w:szCs w:val="32"/>
                <w:u w:val="single"/>
                <w:rtl/>
              </w:rPr>
            </w:pPr>
          </w:p>
        </w:tc>
      </w:tr>
    </w:tbl>
    <w:p w14:paraId="7BB30EEB" w14:textId="77777777" w:rsidR="005619EC" w:rsidRPr="002B7D23" w:rsidRDefault="005619EC" w:rsidP="005619EC">
      <w:pPr>
        <w:rPr>
          <w:rFonts w:ascii="David" w:hAnsi="David"/>
          <w:sz w:val="26"/>
          <w:szCs w:val="26"/>
          <w:rtl/>
        </w:rPr>
      </w:pPr>
    </w:p>
    <w:p w14:paraId="1F503AEB" w14:textId="77777777" w:rsidR="005619EC" w:rsidRPr="00DA6C28" w:rsidRDefault="005619EC" w:rsidP="005619EC">
      <w:pPr>
        <w:spacing w:after="240" w:line="360" w:lineRule="auto"/>
        <w:jc w:val="both"/>
        <w:rPr>
          <w:rFonts w:ascii="David" w:hAnsi="David"/>
          <w:b/>
          <w:bCs/>
          <w:sz w:val="26"/>
          <w:szCs w:val="26"/>
          <w:u w:val="single"/>
          <w:rtl/>
        </w:rPr>
      </w:pPr>
      <w:r w:rsidRPr="00DA6C28">
        <w:rPr>
          <w:rFonts w:ascii="David" w:hAnsi="David" w:hint="cs"/>
          <w:b/>
          <w:bCs/>
          <w:sz w:val="26"/>
          <w:szCs w:val="26"/>
          <w:u w:val="single"/>
          <w:rtl/>
        </w:rPr>
        <w:t>כתב האישום והרקע</w:t>
      </w:r>
    </w:p>
    <w:p w14:paraId="63F1126D" w14:textId="77777777" w:rsidR="005619EC" w:rsidRDefault="005619EC" w:rsidP="005619EC">
      <w:pPr>
        <w:spacing w:after="240" w:line="360" w:lineRule="auto"/>
        <w:jc w:val="both"/>
        <w:rPr>
          <w:rFonts w:ascii="David" w:hAnsi="David"/>
          <w:sz w:val="26"/>
          <w:szCs w:val="26"/>
          <w:rtl/>
        </w:rPr>
      </w:pPr>
      <w:r>
        <w:rPr>
          <w:rFonts w:ascii="David" w:hAnsi="David" w:hint="cs"/>
          <w:sz w:val="26"/>
          <w:szCs w:val="26"/>
          <w:rtl/>
        </w:rPr>
        <w:t>1.</w:t>
      </w:r>
      <w:r>
        <w:rPr>
          <w:rFonts w:ascii="David" w:hAnsi="David" w:hint="cs"/>
          <w:sz w:val="26"/>
          <w:szCs w:val="26"/>
          <w:rtl/>
        </w:rPr>
        <w:tab/>
      </w:r>
      <w:bookmarkStart w:id="6" w:name="ABSTRACT_START"/>
      <w:bookmarkEnd w:id="6"/>
      <w:r>
        <w:rPr>
          <w:rFonts w:ascii="David" w:hAnsi="David" w:hint="cs"/>
          <w:sz w:val="26"/>
          <w:szCs w:val="26"/>
          <w:rtl/>
        </w:rPr>
        <w:t xml:space="preserve">הנאשם הודה והורשע במסגרת סדר טיעון בכתב אישום מתוקן הכולל שני אישומים, באישום הראשון הורשע בחבלה במזיד ברכב לפי </w:t>
      </w:r>
      <w:hyperlink r:id="rId12" w:history="1">
        <w:r w:rsidR="0052530B" w:rsidRPr="0052530B">
          <w:rPr>
            <w:rStyle w:val="Hyperlink"/>
            <w:rFonts w:ascii="David" w:hAnsi="David" w:hint="eastAsia"/>
            <w:sz w:val="26"/>
            <w:szCs w:val="26"/>
            <w:rtl/>
          </w:rPr>
          <w:t>סעיף</w:t>
        </w:r>
        <w:r w:rsidR="0052530B" w:rsidRPr="0052530B">
          <w:rPr>
            <w:rStyle w:val="Hyperlink"/>
            <w:rFonts w:ascii="David" w:hAnsi="David"/>
            <w:sz w:val="26"/>
            <w:szCs w:val="26"/>
            <w:rtl/>
          </w:rPr>
          <w:t xml:space="preserve"> 413ה</w:t>
        </w:r>
      </w:hyperlink>
      <w:r>
        <w:rPr>
          <w:rFonts w:ascii="David" w:hAnsi="David" w:hint="cs"/>
          <w:sz w:val="26"/>
          <w:szCs w:val="26"/>
          <w:rtl/>
        </w:rPr>
        <w:t xml:space="preserve"> בצירוף </w:t>
      </w:r>
      <w:hyperlink r:id="rId13" w:history="1">
        <w:r w:rsidR="0052530B" w:rsidRPr="0052530B">
          <w:rPr>
            <w:rStyle w:val="Hyperlink"/>
            <w:rFonts w:ascii="David" w:hAnsi="David" w:hint="eastAsia"/>
            <w:sz w:val="26"/>
            <w:szCs w:val="26"/>
            <w:rtl/>
          </w:rPr>
          <w:t>סעיף</w:t>
        </w:r>
        <w:r w:rsidR="0052530B" w:rsidRPr="0052530B">
          <w:rPr>
            <w:rStyle w:val="Hyperlink"/>
            <w:rFonts w:ascii="David" w:hAnsi="David"/>
            <w:sz w:val="26"/>
            <w:szCs w:val="26"/>
            <w:rtl/>
          </w:rPr>
          <w:t xml:space="preserve"> 29(ב)</w:t>
        </w:r>
      </w:hyperlink>
      <w:r>
        <w:rPr>
          <w:rFonts w:ascii="David" w:hAnsi="David" w:hint="cs"/>
          <w:sz w:val="26"/>
          <w:szCs w:val="26"/>
          <w:rtl/>
        </w:rPr>
        <w:t xml:space="preserve"> ל</w:t>
      </w:r>
      <w:hyperlink r:id="rId14" w:history="1">
        <w:r w:rsidR="006045C8" w:rsidRPr="006045C8">
          <w:rPr>
            <w:rFonts w:ascii="David" w:hAnsi="David"/>
            <w:color w:val="0000FF"/>
            <w:sz w:val="26"/>
            <w:szCs w:val="26"/>
            <w:u w:val="single"/>
            <w:rtl/>
          </w:rPr>
          <w:t>חוק העונשין</w:t>
        </w:r>
      </w:hyperlink>
      <w:r>
        <w:rPr>
          <w:rFonts w:ascii="David" w:hAnsi="David" w:hint="cs"/>
          <w:sz w:val="26"/>
          <w:szCs w:val="26"/>
          <w:rtl/>
        </w:rPr>
        <w:t xml:space="preserve"> תשל"ז-1977 (להלן: החוק), ובאישום השני הורשע בהחזקת נשק לפי </w:t>
      </w:r>
      <w:hyperlink r:id="rId15" w:history="1">
        <w:r w:rsidR="0052530B" w:rsidRPr="0052530B">
          <w:rPr>
            <w:rStyle w:val="Hyperlink"/>
            <w:rFonts w:ascii="David" w:hAnsi="David" w:hint="eastAsia"/>
            <w:sz w:val="26"/>
            <w:szCs w:val="26"/>
            <w:rtl/>
          </w:rPr>
          <w:t>סעיף</w:t>
        </w:r>
        <w:r w:rsidR="0052530B" w:rsidRPr="0052530B">
          <w:rPr>
            <w:rStyle w:val="Hyperlink"/>
            <w:rFonts w:ascii="David" w:hAnsi="David"/>
            <w:sz w:val="26"/>
            <w:szCs w:val="26"/>
            <w:rtl/>
          </w:rPr>
          <w:t xml:space="preserve"> 144(א)</w:t>
        </w:r>
      </w:hyperlink>
      <w:r>
        <w:rPr>
          <w:rFonts w:ascii="David" w:hAnsi="David" w:hint="cs"/>
          <w:sz w:val="26"/>
          <w:szCs w:val="26"/>
          <w:rtl/>
        </w:rPr>
        <w:t xml:space="preserve"> רישא לחוק וירי באזור מגורים לפי </w:t>
      </w:r>
      <w:hyperlink r:id="rId16" w:history="1">
        <w:r w:rsidR="0052530B" w:rsidRPr="0052530B">
          <w:rPr>
            <w:rStyle w:val="Hyperlink"/>
            <w:rFonts w:ascii="David" w:hAnsi="David" w:hint="eastAsia"/>
            <w:sz w:val="26"/>
            <w:szCs w:val="26"/>
            <w:rtl/>
          </w:rPr>
          <w:t>סעיף</w:t>
        </w:r>
        <w:r w:rsidR="0052530B" w:rsidRPr="0052530B">
          <w:rPr>
            <w:rStyle w:val="Hyperlink"/>
            <w:rFonts w:ascii="David" w:hAnsi="David"/>
            <w:sz w:val="26"/>
            <w:szCs w:val="26"/>
            <w:rtl/>
          </w:rPr>
          <w:t xml:space="preserve"> 340א(א)</w:t>
        </w:r>
      </w:hyperlink>
      <w:r>
        <w:rPr>
          <w:rFonts w:ascii="David" w:hAnsi="David" w:hint="cs"/>
          <w:sz w:val="26"/>
          <w:szCs w:val="26"/>
          <w:rtl/>
        </w:rPr>
        <w:t xml:space="preserve"> לחוק. ההסדר לא כלל הסכמה לעניין העונש. </w:t>
      </w:r>
    </w:p>
    <w:p w14:paraId="325CBD42" w14:textId="77777777" w:rsidR="005619EC" w:rsidRDefault="005619EC" w:rsidP="005619EC">
      <w:pPr>
        <w:spacing w:after="240" w:line="360" w:lineRule="auto"/>
        <w:jc w:val="both"/>
        <w:rPr>
          <w:rFonts w:ascii="David" w:hAnsi="David"/>
          <w:sz w:val="26"/>
          <w:szCs w:val="26"/>
          <w:rtl/>
        </w:rPr>
      </w:pPr>
      <w:bookmarkStart w:id="7" w:name="ABSTRACT_END"/>
      <w:bookmarkEnd w:id="7"/>
      <w:r>
        <w:rPr>
          <w:rFonts w:ascii="David" w:hAnsi="David" w:hint="cs"/>
          <w:sz w:val="26"/>
          <w:szCs w:val="26"/>
          <w:rtl/>
        </w:rPr>
        <w:lastRenderedPageBreak/>
        <w:t>2.</w:t>
      </w:r>
      <w:r>
        <w:rPr>
          <w:rFonts w:ascii="David" w:hAnsi="David" w:hint="cs"/>
          <w:sz w:val="26"/>
          <w:szCs w:val="26"/>
          <w:rtl/>
        </w:rPr>
        <w:tab/>
        <w:t>באישום הראשון נטען כי על רקע בסכסוך כספי בין הנאשם לבין דודו, המתלונן, הנאשמים קשרו קשר עם אחרים להזיק לרכבו של המתלונן, וביום 7.11.20 בסמוך לשעה 1:40 בדרך שאינה ידועה במדוייק למאשימה, הרכב ניזוק והוכרז כאובדן גמור.</w:t>
      </w:r>
    </w:p>
    <w:p w14:paraId="2AD568C4" w14:textId="77777777" w:rsidR="005619EC" w:rsidRPr="002B7D23" w:rsidRDefault="005619EC" w:rsidP="005619EC">
      <w:pPr>
        <w:spacing w:after="240" w:line="360" w:lineRule="auto"/>
        <w:ind w:firstLine="720"/>
        <w:jc w:val="both"/>
        <w:rPr>
          <w:rFonts w:ascii="David" w:hAnsi="David"/>
          <w:sz w:val="26"/>
          <w:szCs w:val="26"/>
          <w:rtl/>
        </w:rPr>
      </w:pPr>
      <w:r>
        <w:rPr>
          <w:rFonts w:ascii="David" w:hAnsi="David" w:hint="cs"/>
          <w:sz w:val="26"/>
          <w:szCs w:val="26"/>
          <w:rtl/>
        </w:rPr>
        <w:t xml:space="preserve">באישום השני מתואר כי ביום 31.7.20 הנאשמים החזיקו בבית משפחתם באבו טור כלי נשק דמי רובה סער </w:t>
      </w:r>
      <w:r>
        <w:rPr>
          <w:rFonts w:ascii="David" w:hAnsi="David" w:hint="cs"/>
          <w:sz w:val="26"/>
          <w:szCs w:val="26"/>
        </w:rPr>
        <w:t>M</w:t>
      </w:r>
      <w:r>
        <w:rPr>
          <w:rFonts w:ascii="David" w:hAnsi="David" w:hint="cs"/>
          <w:sz w:val="26"/>
          <w:szCs w:val="26"/>
          <w:rtl/>
        </w:rPr>
        <w:t xml:space="preserve">-16 המיועד לירי כדוריות פלסטיק שהוסב לירי תחמושת 5.56 מ"מ, שיורה ובכוחו להמית, בלי רשיון. בשעה שאינה ידועה הנאשמים ירו ברובה מספר כדורים באוויר. </w:t>
      </w:r>
    </w:p>
    <w:p w14:paraId="5820EE3C" w14:textId="77777777" w:rsidR="005619EC" w:rsidRDefault="005619EC" w:rsidP="005619EC">
      <w:pPr>
        <w:spacing w:after="240" w:line="360" w:lineRule="auto"/>
        <w:jc w:val="both"/>
        <w:rPr>
          <w:rFonts w:ascii="David" w:hAnsi="David"/>
          <w:sz w:val="26"/>
          <w:szCs w:val="26"/>
          <w:rtl/>
        </w:rPr>
      </w:pPr>
      <w:r>
        <w:rPr>
          <w:rFonts w:ascii="David" w:hAnsi="David" w:hint="cs"/>
          <w:sz w:val="26"/>
          <w:szCs w:val="26"/>
          <w:rtl/>
        </w:rPr>
        <w:t>3.</w:t>
      </w:r>
      <w:r>
        <w:rPr>
          <w:rFonts w:ascii="David" w:hAnsi="David" w:hint="cs"/>
          <w:sz w:val="26"/>
          <w:szCs w:val="26"/>
          <w:rtl/>
        </w:rPr>
        <w:tab/>
        <w:t xml:space="preserve">לנאשם 1 שאף הוא נדון בפני בתיק זה יוחסה באישום הראשון גם עבירה של שיבוש מהלכי משפט, בכך שלאחר האירוע נשוא האישום הראשון התקשר לשכנו של המתלונן והזהיר אותו שלא לתת למשטרה מצלמות. באישום השני מיוחסות לנאשם 1 גם החזקה של כלי נשק וחלקי נשק נוספים, וכן עבירה של איומים, בכך שעל רקע סכסוך עם אשתו התקשר מספר פעמים לאמה של אשתו ואיים עליה שאם לא יאפשרו לו לראות את ילדיהם יפגע בבני משפחתה, "יחורר" את בני המשפחה, יכנס לכלא בגין מעשיו. באיומיו הזכיר נאשם 1 כלי נשק שונים שברשותו שבהם יעשה שימוש ופרטים נוספים. כמו כן ניהל נאשם 1 שיחות עם אשתו ועם בני משפחה אחרים וגם בהן איים לפגוע בבני משפחת אשתו אם ימנעו ממנו קשר עם ילדיו. נאשם 1 נדון בהסכמת הצדדים לעונש של 32 חודשי מאסר ומאסר על תנאי. </w:t>
      </w:r>
    </w:p>
    <w:p w14:paraId="02605522" w14:textId="77777777" w:rsidR="005619EC" w:rsidRDefault="005619EC" w:rsidP="005619EC">
      <w:pPr>
        <w:spacing w:after="240" w:line="360" w:lineRule="auto"/>
        <w:jc w:val="both"/>
        <w:rPr>
          <w:rFonts w:ascii="David" w:hAnsi="David"/>
          <w:sz w:val="26"/>
          <w:szCs w:val="26"/>
          <w:rtl/>
        </w:rPr>
      </w:pPr>
      <w:r>
        <w:rPr>
          <w:rFonts w:ascii="David" w:hAnsi="David" w:hint="cs"/>
          <w:sz w:val="26"/>
          <w:szCs w:val="26"/>
          <w:rtl/>
        </w:rPr>
        <w:t>4.</w:t>
      </w:r>
      <w:r>
        <w:rPr>
          <w:rFonts w:ascii="David" w:hAnsi="David" w:hint="cs"/>
          <w:sz w:val="26"/>
          <w:szCs w:val="26"/>
          <w:rtl/>
        </w:rPr>
        <w:tab/>
        <w:t>בחזרה לעניינו של נאשם 2 הנדון עתה:</w:t>
      </w:r>
    </w:p>
    <w:p w14:paraId="44AEAAF4" w14:textId="77777777" w:rsidR="005619EC" w:rsidRDefault="005619EC" w:rsidP="005619EC">
      <w:pPr>
        <w:spacing w:after="240" w:line="360" w:lineRule="auto"/>
        <w:ind w:firstLine="720"/>
        <w:jc w:val="both"/>
        <w:rPr>
          <w:rFonts w:ascii="David" w:hAnsi="David"/>
          <w:sz w:val="26"/>
          <w:szCs w:val="26"/>
          <w:rtl/>
        </w:rPr>
      </w:pPr>
      <w:r>
        <w:rPr>
          <w:rFonts w:ascii="David" w:hAnsi="David" w:hint="cs"/>
          <w:sz w:val="26"/>
          <w:szCs w:val="26"/>
          <w:rtl/>
        </w:rPr>
        <w:t xml:space="preserve">בפתח הטיעונים לעונש העיד גיסו של הנאשם. העד עובד כמנהל מוסך בחברת רכב, מתנדב באיחוד הצלה ביחידת האופנועים והאמבולנסים ומדריך חובשים באיחוד הצלה. הוא העיד כי גידל את נאשם 2 חלק גדול מחייו והופתע מהסתבכותו במסלול "לא טוב". העד הוסיף כי הנאשם מתגורר בביתו בהיותו במעצר בית מספר חודשים, הוא הצטער על מעשיו ולא ימשיך בדרך זו. </w:t>
      </w:r>
    </w:p>
    <w:p w14:paraId="7BE135EB" w14:textId="77777777" w:rsidR="005619EC" w:rsidRPr="00DA6C28" w:rsidRDefault="005619EC" w:rsidP="005619EC">
      <w:pPr>
        <w:spacing w:after="240" w:line="360" w:lineRule="auto"/>
        <w:jc w:val="both"/>
        <w:rPr>
          <w:rFonts w:ascii="David" w:hAnsi="David"/>
          <w:b/>
          <w:bCs/>
          <w:sz w:val="26"/>
          <w:szCs w:val="26"/>
          <w:u w:val="single"/>
          <w:rtl/>
        </w:rPr>
      </w:pPr>
      <w:r w:rsidRPr="00DA6C28">
        <w:rPr>
          <w:rFonts w:ascii="David" w:hAnsi="David" w:hint="cs"/>
          <w:b/>
          <w:bCs/>
          <w:sz w:val="26"/>
          <w:szCs w:val="26"/>
          <w:u w:val="single"/>
          <w:rtl/>
        </w:rPr>
        <w:t>טענות הצדדים</w:t>
      </w:r>
    </w:p>
    <w:p w14:paraId="09DE8311" w14:textId="77777777" w:rsidR="005619EC" w:rsidRDefault="005619EC" w:rsidP="005619EC">
      <w:pPr>
        <w:spacing w:after="240" w:line="360" w:lineRule="auto"/>
        <w:jc w:val="both"/>
        <w:rPr>
          <w:rFonts w:ascii="David" w:hAnsi="David"/>
          <w:sz w:val="26"/>
          <w:szCs w:val="26"/>
          <w:rtl/>
        </w:rPr>
      </w:pPr>
      <w:r>
        <w:rPr>
          <w:rFonts w:ascii="David" w:hAnsi="David" w:hint="cs"/>
          <w:sz w:val="26"/>
          <w:szCs w:val="26"/>
          <w:rtl/>
        </w:rPr>
        <w:t>5.</w:t>
      </w:r>
      <w:r>
        <w:rPr>
          <w:rFonts w:ascii="David" w:hAnsi="David" w:hint="cs"/>
          <w:sz w:val="26"/>
          <w:szCs w:val="26"/>
          <w:rtl/>
        </w:rPr>
        <w:tab/>
        <w:t xml:space="preserve">ב"כ המאשימה ביקשה לקבוע מתחמים שונים לשני האישומים. בנוגע לאישום הראשון, שעניינו קשירת קשר לחבלה שהרסה כליל את רכבו של אחר על רקע סכסוך, ציינה כי הנאשם לא ביצע בעצמו את המעשים אך היה בעל עניין בהם, והנזק ברף גבוה שכן הרכב נהרס כליל. </w:t>
      </w:r>
      <w:r w:rsidRPr="00242AA0">
        <w:rPr>
          <w:rFonts w:ascii="David" w:hAnsi="David" w:hint="cs"/>
          <w:sz w:val="26"/>
          <w:szCs w:val="26"/>
          <w:rtl/>
        </w:rPr>
        <w:t xml:space="preserve">היא ביקשה לקבוע מתחם ענישה בין 9-18 חודשי מאסר בפועל. </w:t>
      </w:r>
      <w:r>
        <w:rPr>
          <w:rFonts w:ascii="David" w:hAnsi="David" w:hint="cs"/>
          <w:sz w:val="26"/>
          <w:szCs w:val="26"/>
          <w:rtl/>
        </w:rPr>
        <w:t xml:space="preserve">באשר לאישום השני, הכולל החזקת רובה דמוי רובה סער </w:t>
      </w:r>
      <w:r>
        <w:rPr>
          <w:rFonts w:ascii="David" w:hAnsi="David" w:hint="cs"/>
          <w:sz w:val="26"/>
          <w:szCs w:val="26"/>
        </w:rPr>
        <w:t>M</w:t>
      </w:r>
      <w:r>
        <w:rPr>
          <w:rFonts w:ascii="David" w:hAnsi="David" w:hint="cs"/>
          <w:sz w:val="26"/>
          <w:szCs w:val="26"/>
          <w:rtl/>
        </w:rPr>
        <w:t xml:space="preserve">-16 ושימוש בו לירי ציינה ב"כ המאשימה את פוטנציאל הנזק הנובע מעצם החזקת הנשק, ואת תיקון החקיקה, אשר גם אם טרם נכנס </w:t>
      </w:r>
      <w:r>
        <w:rPr>
          <w:rFonts w:ascii="David" w:hAnsi="David" w:hint="cs"/>
          <w:sz w:val="26"/>
          <w:szCs w:val="26"/>
          <w:rtl/>
        </w:rPr>
        <w:lastRenderedPageBreak/>
        <w:t xml:space="preserve">לתוקף יש בו כדי להצביע על מגמת ההחמרה. היא ביקשה לקבוע מתחם של 2-4 שנות מאסר. במסגרת המתחם, ב"כ המאשימה טענה כי הנאשם ללא עבר פלילי, הודה, לקח אחריות וחסך זמן. מאידך התסקיר אינו חיובי ומעלה נקודות בעייתיות. לדבריה ראוי היה למקם את הנאשם באמצע המתחם בכל אחד מהאירועים ולקבוע עונשים במצטבר, אולם בהתחשב בעונשו של נאשם 1 אשר נדון ל-32 חודשי מאסר בגין עבירות חמורות יותר, ביקשה ב"כ המאשימה לקבוע עונש בתחתית המתחם. מאחר שמדובר במאסר ראשון ביקשה חפיפה בין העונשים כך שהעונש שיוטל על הנאשם בסך הכל לא יפחת משנתיים. </w:t>
      </w:r>
    </w:p>
    <w:p w14:paraId="3856DF0B" w14:textId="77777777" w:rsidR="005619EC" w:rsidRDefault="005619EC" w:rsidP="005619EC">
      <w:pPr>
        <w:spacing w:after="240" w:line="360" w:lineRule="auto"/>
        <w:jc w:val="both"/>
        <w:rPr>
          <w:rFonts w:ascii="David" w:hAnsi="David"/>
          <w:sz w:val="26"/>
          <w:szCs w:val="26"/>
          <w:rtl/>
        </w:rPr>
      </w:pPr>
      <w:r>
        <w:rPr>
          <w:rFonts w:ascii="David" w:hAnsi="David" w:hint="cs"/>
          <w:sz w:val="26"/>
          <w:szCs w:val="26"/>
          <w:rtl/>
        </w:rPr>
        <w:t>6.</w:t>
      </w:r>
      <w:r>
        <w:rPr>
          <w:rFonts w:ascii="David" w:hAnsi="David" w:hint="cs"/>
          <w:sz w:val="26"/>
          <w:szCs w:val="26"/>
          <w:rtl/>
        </w:rPr>
        <w:tab/>
        <w:t xml:space="preserve">ב"כ הנאשם הדגיש בטיעוניו כי החזקת הנשק המיוחסת לנאשם היא קצרה מאד ורגעית. על פי כתב האישום ההחזקה מיוחסת לתאריך מסויים, ובאותו יום בוצעה גם עבירת הירי. הוא הוסיף כי הנשק אינו שייך לנאשם ונמצא בביתו של אחיו, כאשר הנאשם לא יזם את השגת הנשק ולא פעל לשם כך, אלא ירה מתוך סקרנות בנשק שהגיע לפתחו. הסניגור הוסיף כי הפסיקה המחמירה בעבירות הנשק אינה מנטרלת את הצורך לבחון כל אירוע בהתאם לנסיבותיו ולהחיל את עקרונות הענישה האינדבידואלית. </w:t>
      </w:r>
    </w:p>
    <w:p w14:paraId="77B787DA" w14:textId="77777777" w:rsidR="005619EC" w:rsidRDefault="005619EC" w:rsidP="005619EC">
      <w:pPr>
        <w:spacing w:after="240" w:line="360" w:lineRule="auto"/>
        <w:ind w:firstLine="720"/>
        <w:jc w:val="both"/>
        <w:rPr>
          <w:rFonts w:ascii="David" w:hAnsi="David"/>
          <w:sz w:val="26"/>
          <w:szCs w:val="26"/>
          <w:rtl/>
        </w:rPr>
      </w:pPr>
      <w:r>
        <w:rPr>
          <w:rFonts w:ascii="David" w:hAnsi="David" w:hint="cs"/>
          <w:sz w:val="26"/>
          <w:szCs w:val="26"/>
          <w:rtl/>
        </w:rPr>
        <w:t>לעניין האישום הראשון טען הסניגור כי הנאשם לא השתתף בביצוע המעשים וכי הורשע בנוגע לחבלה ברכב ולא בעבירה הנוספת של שיבוש ההליכים. לטענתו עמדת התביעה מחמירה לעומת הפסיקה הנוהגת, הן במתחמים שנקבעו והן בעונשים שנגזרו. עוד הוסיף כי לאור עקרון אחדות הענישה, בהתחשב בעבירות הנוספות והחמורות בהן הורשע נאשם 1, כולל החזקת מספר כלי נשק ואיום בהם, היה מקום להסתפק בעונש של עבודות שירות לנאשם 2. הוא ביקש לקבוע מתחם הנע בין 6 חודשי מאסר בעבודות שירות לבין 18 חודשי מאסר בפועל.</w:t>
      </w:r>
    </w:p>
    <w:p w14:paraId="56E3B4C0" w14:textId="77777777" w:rsidR="005619EC" w:rsidRDefault="005619EC" w:rsidP="005619EC">
      <w:pPr>
        <w:spacing w:after="240" w:line="360" w:lineRule="auto"/>
        <w:jc w:val="both"/>
        <w:rPr>
          <w:rFonts w:ascii="David" w:hAnsi="David"/>
          <w:sz w:val="26"/>
          <w:szCs w:val="26"/>
          <w:rtl/>
        </w:rPr>
      </w:pPr>
      <w:r>
        <w:rPr>
          <w:rFonts w:ascii="David" w:hAnsi="David" w:hint="cs"/>
          <w:sz w:val="26"/>
          <w:szCs w:val="26"/>
          <w:rtl/>
        </w:rPr>
        <w:t>5.</w:t>
      </w:r>
      <w:r>
        <w:rPr>
          <w:rFonts w:ascii="David" w:hAnsi="David" w:hint="cs"/>
          <w:sz w:val="26"/>
          <w:szCs w:val="26"/>
          <w:rtl/>
        </w:rPr>
        <w:tab/>
        <w:t xml:space="preserve">בנוגע לנסיבות שאינן קשורות בביצוע העבירה טען ב"כ הנאשם כי הנאשם נשוי ואב ל-2 ילדים, ללא הרשעות קודמות, מעולם לא נחקר במשטרה. הוא הודה בשלב מוקדם וחסך זמן ניכר בשל מורכבות התיק. אחיו המבוגר ממנו, נאשם 1, הוא דומיננטי, בעל הרשעות קודמות וריצה מאסרים בעבר. לגבי תסקיר שירות המבחן טען ב"כ הנאשם כי הוא נערך בסיוע מתורגמן כאשר לקצינת המבחן לא היתה היכרות עם הסביבה והמנטליות. לדבריו הוא אף שקל לבקש השלמת התסקיר כדי לקבל המלצה טיפולית אך הנאשם מעוניין לסיים את ההליך.  הסניגור הפנה לעדות גיסו של הנאשם המצביעה על סיכוי טוב לשיקום, שכן לנאשם אין דפוסי עבריינות מושרשים, וציין כי על אף מעורבותו של אחיו בשימוש בנשק, נאשם 2 נשמר ולא הסתבך מלבד אירוע חד פעמי. הסניגור ביקש להסתפק בעונש של 6 חודשי עבודות שירות בנוסף לתקופה של כארבעה חודשים בה היה הנאשם במעצר. </w:t>
      </w:r>
    </w:p>
    <w:p w14:paraId="7899FBA5" w14:textId="77777777" w:rsidR="005619EC" w:rsidRDefault="005619EC" w:rsidP="005619EC">
      <w:pPr>
        <w:spacing w:after="240" w:line="360" w:lineRule="auto"/>
        <w:jc w:val="both"/>
        <w:rPr>
          <w:rFonts w:ascii="David" w:hAnsi="David"/>
          <w:sz w:val="26"/>
          <w:szCs w:val="26"/>
          <w:rtl/>
        </w:rPr>
      </w:pPr>
      <w:r>
        <w:rPr>
          <w:rFonts w:ascii="David" w:hAnsi="David" w:hint="cs"/>
          <w:sz w:val="26"/>
          <w:szCs w:val="26"/>
          <w:rtl/>
        </w:rPr>
        <w:t>6.</w:t>
      </w:r>
      <w:r>
        <w:rPr>
          <w:rFonts w:ascii="David" w:hAnsi="David" w:hint="cs"/>
          <w:sz w:val="26"/>
          <w:szCs w:val="26"/>
          <w:rtl/>
        </w:rPr>
        <w:tab/>
        <w:t xml:space="preserve">הנאשם עצמו הביע צער וחרטה על מעשיו. הוא הביע הכרה בחומרת העבירה ובאחריותו, והוסיף כי חשוב לו לדאוג למשפחתו ולילדיו. </w:t>
      </w:r>
    </w:p>
    <w:p w14:paraId="4657D73C" w14:textId="77777777" w:rsidR="005619EC" w:rsidRPr="00D42311" w:rsidRDefault="005619EC" w:rsidP="005619EC">
      <w:pPr>
        <w:spacing w:after="240" w:line="360" w:lineRule="auto"/>
        <w:jc w:val="both"/>
        <w:rPr>
          <w:rFonts w:ascii="David" w:hAnsi="David"/>
          <w:b/>
          <w:bCs/>
          <w:sz w:val="26"/>
          <w:szCs w:val="26"/>
          <w:u w:val="single"/>
          <w:rtl/>
        </w:rPr>
      </w:pPr>
      <w:r>
        <w:rPr>
          <w:rFonts w:ascii="David" w:hAnsi="David" w:hint="cs"/>
          <w:b/>
          <w:bCs/>
          <w:sz w:val="26"/>
          <w:szCs w:val="26"/>
          <w:u w:val="single"/>
          <w:rtl/>
        </w:rPr>
        <w:t>תסקיר שירות המבחן</w:t>
      </w:r>
    </w:p>
    <w:p w14:paraId="32E90106" w14:textId="77777777" w:rsidR="005619EC" w:rsidRDefault="005619EC" w:rsidP="005619EC">
      <w:pPr>
        <w:spacing w:after="240" w:line="360" w:lineRule="auto"/>
        <w:jc w:val="both"/>
        <w:rPr>
          <w:rFonts w:ascii="David" w:hAnsi="David"/>
          <w:sz w:val="26"/>
          <w:szCs w:val="26"/>
          <w:rtl/>
        </w:rPr>
      </w:pPr>
      <w:r>
        <w:rPr>
          <w:rFonts w:ascii="David" w:hAnsi="David" w:hint="cs"/>
          <w:sz w:val="26"/>
          <w:szCs w:val="26"/>
          <w:rtl/>
        </w:rPr>
        <w:t>7.</w:t>
      </w:r>
      <w:r>
        <w:rPr>
          <w:rFonts w:ascii="David" w:hAnsi="David" w:hint="cs"/>
          <w:sz w:val="26"/>
          <w:szCs w:val="26"/>
          <w:rtl/>
        </w:rPr>
        <w:tab/>
        <w:t xml:space="preserve">שירות המבחן הגיש תסקיר בעניינו של הנאשם. הנאשם כבן 27, נשוי ואב לשניים, מצוי במעצר בית ועובד כקצב בשוק מחנה יהודה. הוא סיים 5 שנות לימוד ופרש מלימודים בגיל 12 בשל חוסר עניין בלימודים ובניגוד לעמדת הוריו. הנאשם החל לעבוד באיטליז המשפחתי ולאחר מכן באיטליז בשוק מחנה יהודה, והצליח בעבודתו. יחסיו עם אשתו ומשפחתו תקינים. הנאשם שלל שימוש בסמים, אולם לאחר שבבדיקה התגלו שרידי סם אישר כי השתמש בסם מסוג קנאביס אך שלל התמכרות לסם. הנאשם תיאר את הסכסוך בינו לבין דודו בעקבות עסקת מכירת דירה. על רקע סכסוך זה שיתף את אחיו, והאח יחד עם אחרים חיבלו ברכב כאקט של נקמה. לגבי האישום השני הסביר הנאשם כי אחיו הביא לביתו את הרובה וירה בו. מתוך סקרנות ומאחר שמעולם לא החזיק נשק, לקח גם הוא את הרובה וירה בו. הנאשם ביטא חרטה על המעשה הפזיז והבנה של הסיכון שנוצר עקב הירי. </w:t>
      </w:r>
    </w:p>
    <w:p w14:paraId="2FD9100F" w14:textId="77777777" w:rsidR="005619EC" w:rsidRDefault="005619EC" w:rsidP="005619EC">
      <w:pPr>
        <w:spacing w:after="240" w:line="360" w:lineRule="auto"/>
        <w:jc w:val="both"/>
        <w:rPr>
          <w:rFonts w:ascii="David" w:hAnsi="David"/>
          <w:sz w:val="26"/>
          <w:szCs w:val="26"/>
          <w:rtl/>
        </w:rPr>
      </w:pPr>
      <w:r>
        <w:rPr>
          <w:rFonts w:ascii="David" w:hAnsi="David" w:hint="cs"/>
          <w:sz w:val="26"/>
          <w:szCs w:val="26"/>
          <w:rtl/>
        </w:rPr>
        <w:t>8.</w:t>
      </w:r>
      <w:r>
        <w:rPr>
          <w:rFonts w:ascii="David" w:hAnsi="David" w:hint="cs"/>
          <w:sz w:val="26"/>
          <w:szCs w:val="26"/>
          <w:rtl/>
        </w:rPr>
        <w:tab/>
        <w:t xml:space="preserve">קצינת המבחן התרשמה כי על אף שעזב את הלימודים בגיל צעיר הנאשם תפקד באופן יציב במישור התעסוקתי והמשפחתי, אולם הוא נטה לטשטש ולצמצם בעייתיות באורח חייו, חשיפה לחברה שולית ושימוש בסמים. קצינת המבחן לא באה בהמלצה טיפולית, אך המליצה על ענישה שתשים גבולות ברורים להתנהגותו של הנאשם, לצד עונש מותנה מרתיע, כאשר בית המשפט לוקח בחשבון את העובדה שהנאשם הוא מפרנס יחידי למשפחתו. אציין כי על אף העדר המלצה טיפולית, התסקיר נתפס בעיני כחיובי בעיקרו, שכן עולה ממנו שעל אף ההשכלה המצומצמת והקרבה לחברה שולית הנאשם שמר בדרך כלל על אורח חיים תקין ונורמטיבי.      </w:t>
      </w:r>
    </w:p>
    <w:p w14:paraId="3549D0DD" w14:textId="77777777" w:rsidR="005619EC" w:rsidRPr="002C127B" w:rsidRDefault="005619EC" w:rsidP="005619EC">
      <w:pPr>
        <w:spacing w:after="240" w:line="360" w:lineRule="auto"/>
        <w:jc w:val="both"/>
        <w:rPr>
          <w:rFonts w:ascii="David" w:hAnsi="David"/>
          <w:b/>
          <w:bCs/>
          <w:sz w:val="26"/>
          <w:szCs w:val="26"/>
          <w:u w:val="single"/>
          <w:rtl/>
        </w:rPr>
      </w:pPr>
      <w:r w:rsidRPr="002C127B">
        <w:rPr>
          <w:rFonts w:ascii="David" w:hAnsi="David" w:hint="cs"/>
          <w:b/>
          <w:bCs/>
          <w:sz w:val="26"/>
          <w:szCs w:val="26"/>
          <w:u w:val="single"/>
          <w:rtl/>
        </w:rPr>
        <w:t xml:space="preserve">מתחם העונש ההולם </w:t>
      </w:r>
    </w:p>
    <w:p w14:paraId="6BDE77B6" w14:textId="77777777" w:rsidR="005619EC" w:rsidRPr="002C127B" w:rsidRDefault="005619EC" w:rsidP="005619EC">
      <w:pPr>
        <w:spacing w:after="240" w:line="360" w:lineRule="auto"/>
        <w:jc w:val="both"/>
        <w:rPr>
          <w:rFonts w:ascii="David" w:hAnsi="David"/>
          <w:b/>
          <w:bCs/>
          <w:sz w:val="26"/>
          <w:szCs w:val="26"/>
          <w:rtl/>
        </w:rPr>
      </w:pPr>
      <w:r w:rsidRPr="002C127B">
        <w:rPr>
          <w:rFonts w:ascii="David" w:hAnsi="David" w:hint="cs"/>
          <w:b/>
          <w:bCs/>
          <w:sz w:val="26"/>
          <w:szCs w:val="26"/>
          <w:rtl/>
        </w:rPr>
        <w:t xml:space="preserve">עבירת הנשק </w:t>
      </w:r>
      <w:r>
        <w:rPr>
          <w:rFonts w:ascii="David" w:hAnsi="David"/>
          <w:b/>
          <w:bCs/>
          <w:sz w:val="26"/>
          <w:szCs w:val="26"/>
          <w:rtl/>
        </w:rPr>
        <w:t>–</w:t>
      </w:r>
      <w:r>
        <w:rPr>
          <w:rFonts w:ascii="David" w:hAnsi="David" w:hint="cs"/>
          <w:b/>
          <w:bCs/>
          <w:sz w:val="26"/>
          <w:szCs w:val="26"/>
          <w:rtl/>
        </w:rPr>
        <w:t xml:space="preserve"> האישום השני</w:t>
      </w:r>
    </w:p>
    <w:p w14:paraId="50A3819E" w14:textId="77777777" w:rsidR="005619EC" w:rsidRDefault="005619EC" w:rsidP="005619EC">
      <w:pPr>
        <w:spacing w:after="240" w:line="360" w:lineRule="auto"/>
        <w:jc w:val="both"/>
        <w:rPr>
          <w:rFonts w:ascii="David" w:hAnsi="David"/>
          <w:sz w:val="26"/>
          <w:szCs w:val="26"/>
          <w:rtl/>
        </w:rPr>
      </w:pPr>
      <w:r>
        <w:rPr>
          <w:rFonts w:ascii="David" w:hAnsi="David" w:hint="cs"/>
          <w:sz w:val="26"/>
          <w:szCs w:val="26"/>
          <w:rtl/>
        </w:rPr>
        <w:t>9.</w:t>
      </w:r>
      <w:r>
        <w:rPr>
          <w:rFonts w:ascii="David" w:hAnsi="David" w:hint="cs"/>
          <w:sz w:val="26"/>
          <w:szCs w:val="26"/>
          <w:rtl/>
        </w:rPr>
        <w:tab/>
        <w:t>הערכים המוגנים</w:t>
      </w:r>
      <w:r>
        <w:rPr>
          <w:rFonts w:ascii="David" w:hAnsi="David" w:hint="cs"/>
          <w:sz w:val="26"/>
          <w:szCs w:val="26"/>
        </w:rPr>
        <w:t xml:space="preserve"> </w:t>
      </w:r>
      <w:r>
        <w:rPr>
          <w:rFonts w:ascii="David" w:hAnsi="David" w:hint="cs"/>
          <w:sz w:val="26"/>
          <w:szCs w:val="26"/>
          <w:rtl/>
        </w:rPr>
        <w:t xml:space="preserve"> בעבירות של החזקת נשק וירי בשטח בנוי הם שמירה על שלום הציבור, בטחונו ושלמות גופו; החשש שנשק המוחזק שלא כדין עלול להתגלגל לידיים בלתי רצויות ולשמש למעשים אסורים, שיש בהם כדי לפגוע ואף ליטול חיי אדם.</w:t>
      </w:r>
    </w:p>
    <w:p w14:paraId="2BB07805" w14:textId="77777777" w:rsidR="005619EC" w:rsidRPr="002658BB" w:rsidRDefault="005619EC" w:rsidP="005619EC">
      <w:pPr>
        <w:spacing w:after="240" w:line="360" w:lineRule="auto"/>
        <w:jc w:val="both"/>
        <w:rPr>
          <w:rFonts w:ascii="Arial" w:hAnsi="Arial"/>
          <w:sz w:val="26"/>
          <w:szCs w:val="26"/>
        </w:rPr>
      </w:pPr>
      <w:r>
        <w:rPr>
          <w:rFonts w:ascii="Arial" w:hAnsi="Arial" w:hint="cs"/>
          <w:sz w:val="26"/>
          <w:szCs w:val="26"/>
          <w:rtl/>
        </w:rPr>
        <w:t>10.</w:t>
      </w:r>
      <w:r w:rsidRPr="002658BB">
        <w:rPr>
          <w:rFonts w:ascii="Arial" w:hAnsi="Arial"/>
          <w:sz w:val="26"/>
          <w:szCs w:val="26"/>
          <w:rtl/>
        </w:rPr>
        <w:tab/>
        <w:t xml:space="preserve">מזה שנים שפסיקת בית המשפט העליון, ויתר הערכאות בעקבותיה, עומדת על </w:t>
      </w:r>
      <w:r>
        <w:rPr>
          <w:rFonts w:ascii="Arial" w:hAnsi="Arial"/>
          <w:sz w:val="26"/>
          <w:szCs w:val="26"/>
          <w:rtl/>
        </w:rPr>
        <w:t>הצורך בענישה מחמירה בעבירות נשק</w:t>
      </w:r>
      <w:r w:rsidRPr="002658BB">
        <w:rPr>
          <w:rFonts w:ascii="Arial" w:hAnsi="Arial"/>
          <w:sz w:val="26"/>
          <w:szCs w:val="26"/>
          <w:rtl/>
        </w:rPr>
        <w:t xml:space="preserve"> </w:t>
      </w:r>
      <w:r>
        <w:rPr>
          <w:rFonts w:ascii="Arial" w:hAnsi="Arial" w:hint="cs"/>
          <w:sz w:val="26"/>
          <w:szCs w:val="26"/>
          <w:rtl/>
        </w:rPr>
        <w:t xml:space="preserve">ובהטלת עונשי מאסר מרתיעים. זאת ביתר שאית בשנים האחרונות, לנוכח התופעה הקשה של אלימות וקיפוח חיי אדם באמצעות כלי נשק בלתי חוקיים. </w:t>
      </w:r>
      <w:r w:rsidRPr="002658BB">
        <w:rPr>
          <w:rFonts w:ascii="Arial" w:hAnsi="Arial"/>
          <w:sz w:val="26"/>
          <w:szCs w:val="26"/>
          <w:rtl/>
        </w:rPr>
        <w:t>החומרה הרבה שבעבירות הנשק, הצורך להחמיר בענישה והכלל של הטלת עונשי מאסר בפועל בדרך כלל עלו בפסקי דין רבים</w:t>
      </w:r>
      <w:r>
        <w:rPr>
          <w:rFonts w:ascii="Arial" w:hAnsi="Arial" w:hint="cs"/>
          <w:sz w:val="26"/>
          <w:szCs w:val="26"/>
          <w:rtl/>
        </w:rPr>
        <w:t>. אציין</w:t>
      </w:r>
      <w:r w:rsidRPr="002658BB">
        <w:rPr>
          <w:rFonts w:ascii="Arial" w:hAnsi="Arial"/>
          <w:sz w:val="26"/>
          <w:szCs w:val="26"/>
          <w:rtl/>
        </w:rPr>
        <w:t xml:space="preserve"> </w:t>
      </w:r>
      <w:r>
        <w:rPr>
          <w:rFonts w:ascii="Arial" w:hAnsi="Arial" w:hint="cs"/>
          <w:sz w:val="26"/>
          <w:szCs w:val="26"/>
          <w:rtl/>
        </w:rPr>
        <w:t>מ</w:t>
      </w:r>
      <w:r w:rsidRPr="002658BB">
        <w:rPr>
          <w:rFonts w:ascii="Arial" w:hAnsi="Arial"/>
          <w:sz w:val="26"/>
          <w:szCs w:val="26"/>
          <w:rtl/>
        </w:rPr>
        <w:t>ביניהם</w:t>
      </w:r>
      <w:r>
        <w:rPr>
          <w:rFonts w:ascii="Arial" w:hAnsi="Arial" w:hint="cs"/>
          <w:sz w:val="26"/>
          <w:szCs w:val="26"/>
          <w:rtl/>
        </w:rPr>
        <w:t xml:space="preserve"> </w:t>
      </w:r>
      <w:r w:rsidRPr="00D41E72">
        <w:rPr>
          <w:rFonts w:ascii="Arial" w:hAnsi="Arial" w:hint="cs"/>
          <w:sz w:val="26"/>
          <w:szCs w:val="26"/>
          <w:rtl/>
        </w:rPr>
        <w:t>את</w:t>
      </w:r>
      <w:r w:rsidRPr="00D41E72">
        <w:rPr>
          <w:rFonts w:ascii="Arial" w:hAnsi="Arial"/>
          <w:sz w:val="26"/>
          <w:szCs w:val="26"/>
          <w:rtl/>
        </w:rPr>
        <w:t xml:space="preserve"> </w:t>
      </w:r>
      <w:hyperlink r:id="rId17" w:history="1">
        <w:r w:rsidR="006045C8" w:rsidRPr="006045C8">
          <w:rPr>
            <w:rFonts w:ascii="Arial" w:hAnsi="Arial"/>
            <w:color w:val="0000FF"/>
            <w:sz w:val="26"/>
            <w:szCs w:val="26"/>
            <w:u w:val="single"/>
            <w:rtl/>
          </w:rPr>
          <w:t>ע"פ 2251/11</w:t>
        </w:r>
      </w:hyperlink>
      <w:r w:rsidRPr="00D41E72">
        <w:rPr>
          <w:rFonts w:ascii="Arial" w:hAnsi="Arial"/>
          <w:sz w:val="26"/>
          <w:szCs w:val="26"/>
          <w:rtl/>
        </w:rPr>
        <w:t xml:space="preserve"> </w:t>
      </w:r>
      <w:r w:rsidRPr="00D41E72">
        <w:rPr>
          <w:rFonts w:ascii="Arial" w:hAnsi="Arial"/>
          <w:b/>
          <w:bCs/>
          <w:sz w:val="26"/>
          <w:szCs w:val="26"/>
          <w:rtl/>
        </w:rPr>
        <w:t>ג'מאל נפעא נ' מדינת ישראל</w:t>
      </w:r>
      <w:r w:rsidRPr="00D41E72">
        <w:rPr>
          <w:rFonts w:ascii="Arial" w:hAnsi="Arial"/>
          <w:sz w:val="26"/>
          <w:szCs w:val="26"/>
          <w:rtl/>
        </w:rPr>
        <w:t xml:space="preserve"> (4.12.11); </w:t>
      </w:r>
      <w:hyperlink r:id="rId18" w:history="1">
        <w:r w:rsidR="006045C8" w:rsidRPr="006045C8">
          <w:rPr>
            <w:rFonts w:ascii="Arial" w:hAnsi="Arial"/>
            <w:color w:val="0000FF"/>
            <w:sz w:val="26"/>
            <w:szCs w:val="26"/>
            <w:u w:val="single"/>
            <w:rtl/>
          </w:rPr>
          <w:t>ע"פ 6989/13</w:t>
        </w:r>
      </w:hyperlink>
      <w:r w:rsidRPr="00D41E72">
        <w:rPr>
          <w:rFonts w:ascii="Arial" w:hAnsi="Arial"/>
          <w:sz w:val="26"/>
          <w:szCs w:val="26"/>
          <w:rtl/>
        </w:rPr>
        <w:t xml:space="preserve"> </w:t>
      </w:r>
      <w:r w:rsidRPr="00D41E72">
        <w:rPr>
          <w:rFonts w:ascii="Arial" w:hAnsi="Arial"/>
          <w:b/>
          <w:bCs/>
          <w:sz w:val="26"/>
          <w:szCs w:val="26"/>
          <w:rtl/>
        </w:rPr>
        <w:t>חנא פרח נ' מדינת ישראל</w:t>
      </w:r>
      <w:r w:rsidRPr="00D41E72">
        <w:rPr>
          <w:rFonts w:ascii="Arial" w:hAnsi="Arial"/>
          <w:sz w:val="26"/>
          <w:szCs w:val="26"/>
          <w:rtl/>
        </w:rPr>
        <w:t xml:space="preserve"> (25.2.14), </w:t>
      </w:r>
      <w:hyperlink r:id="rId19" w:history="1">
        <w:r w:rsidR="006045C8" w:rsidRPr="006045C8">
          <w:rPr>
            <w:rFonts w:ascii="Arial" w:hAnsi="Arial"/>
            <w:color w:val="0000FF"/>
            <w:sz w:val="26"/>
            <w:szCs w:val="26"/>
            <w:u w:val="single"/>
            <w:rtl/>
          </w:rPr>
          <w:t>ע"פ 4954/13</w:t>
        </w:r>
      </w:hyperlink>
      <w:r w:rsidRPr="00D41E72">
        <w:rPr>
          <w:rFonts w:ascii="Arial" w:hAnsi="Arial"/>
          <w:sz w:val="26"/>
          <w:szCs w:val="26"/>
          <w:rtl/>
        </w:rPr>
        <w:t xml:space="preserve"> </w:t>
      </w:r>
      <w:r w:rsidRPr="00D41E72">
        <w:rPr>
          <w:rFonts w:ascii="Arial" w:hAnsi="Arial"/>
          <w:b/>
          <w:bCs/>
          <w:sz w:val="26"/>
          <w:szCs w:val="26"/>
          <w:rtl/>
        </w:rPr>
        <w:t>מדינת ישראל נ' עבד אלכרים סלימאן</w:t>
      </w:r>
      <w:r w:rsidRPr="00D41E72">
        <w:rPr>
          <w:rFonts w:ascii="Arial" w:hAnsi="Arial"/>
          <w:sz w:val="26"/>
          <w:szCs w:val="26"/>
        </w:rPr>
        <w:t xml:space="preserve"> </w:t>
      </w:r>
      <w:r w:rsidRPr="00D41E72">
        <w:rPr>
          <w:rFonts w:ascii="Arial" w:hAnsi="Arial"/>
          <w:sz w:val="26"/>
          <w:szCs w:val="26"/>
          <w:rtl/>
        </w:rPr>
        <w:t xml:space="preserve">(19.1.14), </w:t>
      </w:r>
      <w:hyperlink r:id="rId20" w:history="1">
        <w:r w:rsidR="006045C8" w:rsidRPr="006045C8">
          <w:rPr>
            <w:rFonts w:ascii="Arial" w:hAnsi="Arial"/>
            <w:color w:val="0000FF"/>
            <w:sz w:val="26"/>
            <w:szCs w:val="26"/>
            <w:u w:val="single"/>
            <w:rtl/>
          </w:rPr>
          <w:t>ע"פ 4406/19</w:t>
        </w:r>
      </w:hyperlink>
      <w:r w:rsidRPr="00D41E72">
        <w:rPr>
          <w:rFonts w:ascii="Arial" w:hAnsi="Arial"/>
          <w:sz w:val="26"/>
          <w:szCs w:val="26"/>
          <w:rtl/>
        </w:rPr>
        <w:t xml:space="preserve"> </w:t>
      </w:r>
      <w:r w:rsidRPr="00D41E72">
        <w:rPr>
          <w:rFonts w:ascii="Arial" w:hAnsi="Arial"/>
          <w:b/>
          <w:bCs/>
          <w:sz w:val="26"/>
          <w:szCs w:val="26"/>
          <w:rtl/>
        </w:rPr>
        <w:t xml:space="preserve">מדינת </w:t>
      </w:r>
      <w:r w:rsidRPr="002658BB">
        <w:rPr>
          <w:rFonts w:ascii="Arial" w:hAnsi="Arial"/>
          <w:b/>
          <w:bCs/>
          <w:sz w:val="26"/>
          <w:szCs w:val="26"/>
          <w:rtl/>
        </w:rPr>
        <w:t>ישראל נ' יונס סובח</w:t>
      </w:r>
      <w:r w:rsidRPr="002658BB">
        <w:rPr>
          <w:rFonts w:ascii="Arial" w:hAnsi="Arial"/>
          <w:sz w:val="26"/>
          <w:szCs w:val="26"/>
          <w:rtl/>
        </w:rPr>
        <w:t xml:space="preserve"> (5.11.19)  ועוד. </w:t>
      </w:r>
    </w:p>
    <w:p w14:paraId="2BF927B1" w14:textId="77777777" w:rsidR="005619EC" w:rsidRPr="002658BB" w:rsidRDefault="005619EC" w:rsidP="005619EC">
      <w:pPr>
        <w:spacing w:after="240" w:line="360" w:lineRule="auto"/>
        <w:jc w:val="both"/>
        <w:rPr>
          <w:rFonts w:ascii="Arial" w:hAnsi="Arial"/>
          <w:sz w:val="26"/>
          <w:szCs w:val="26"/>
        </w:rPr>
      </w:pPr>
      <w:r>
        <w:rPr>
          <w:rFonts w:ascii="Arial" w:hAnsi="Arial"/>
          <w:sz w:val="26"/>
          <w:szCs w:val="26"/>
          <w:rtl/>
        </w:rPr>
        <w:t>10.</w:t>
      </w:r>
      <w:r>
        <w:rPr>
          <w:rFonts w:ascii="Arial" w:hAnsi="Arial"/>
          <w:sz w:val="26"/>
          <w:szCs w:val="26"/>
          <w:rtl/>
        </w:rPr>
        <w:tab/>
        <w:t>לאחרונה</w:t>
      </w:r>
      <w:r w:rsidRPr="002658BB">
        <w:rPr>
          <w:rFonts w:ascii="Arial" w:hAnsi="Arial"/>
          <w:sz w:val="26"/>
          <w:szCs w:val="26"/>
          <w:rtl/>
        </w:rPr>
        <w:t xml:space="preserve"> נפסק ב</w:t>
      </w:r>
      <w:hyperlink r:id="rId21" w:history="1">
        <w:r w:rsidR="006045C8" w:rsidRPr="006045C8">
          <w:rPr>
            <w:rFonts w:ascii="Arial" w:hAnsi="Arial"/>
            <w:color w:val="0000FF"/>
            <w:sz w:val="26"/>
            <w:szCs w:val="26"/>
            <w:u w:val="single"/>
            <w:rtl/>
          </w:rPr>
          <w:t>ע"פ 6068/21</w:t>
        </w:r>
      </w:hyperlink>
      <w:r w:rsidRPr="002658BB">
        <w:rPr>
          <w:rFonts w:ascii="Arial" w:hAnsi="Arial"/>
          <w:sz w:val="26"/>
          <w:szCs w:val="26"/>
          <w:rtl/>
        </w:rPr>
        <w:t xml:space="preserve"> </w:t>
      </w:r>
      <w:r w:rsidRPr="002658BB">
        <w:rPr>
          <w:rFonts w:ascii="Arial" w:hAnsi="Arial"/>
          <w:b/>
          <w:bCs/>
          <w:sz w:val="26"/>
          <w:szCs w:val="26"/>
          <w:rtl/>
        </w:rPr>
        <w:t>מדינת ישראל נ' אברהים פקיה</w:t>
      </w:r>
      <w:r w:rsidRPr="002658BB">
        <w:rPr>
          <w:rFonts w:ascii="Arial" w:hAnsi="Arial"/>
          <w:sz w:val="26"/>
          <w:szCs w:val="26"/>
          <w:rtl/>
        </w:rPr>
        <w:t xml:space="preserve"> (19.12.21)</w:t>
      </w:r>
      <w:r>
        <w:rPr>
          <w:rFonts w:ascii="Arial" w:hAnsi="Arial" w:hint="cs"/>
          <w:sz w:val="26"/>
          <w:szCs w:val="26"/>
          <w:rtl/>
        </w:rPr>
        <w:t xml:space="preserve"> (להלן: עניין</w:t>
      </w:r>
      <w:r w:rsidRPr="00D41E72">
        <w:rPr>
          <w:rFonts w:ascii="Arial" w:hAnsi="Arial" w:hint="cs"/>
          <w:b/>
          <w:bCs/>
          <w:sz w:val="26"/>
          <w:szCs w:val="26"/>
          <w:rtl/>
        </w:rPr>
        <w:t xml:space="preserve"> פקיה</w:t>
      </w:r>
      <w:r>
        <w:rPr>
          <w:rFonts w:ascii="Arial" w:hAnsi="Arial" w:hint="cs"/>
          <w:sz w:val="26"/>
          <w:szCs w:val="26"/>
          <w:rtl/>
        </w:rPr>
        <w:t>)</w:t>
      </w:r>
      <w:r w:rsidRPr="002658BB">
        <w:rPr>
          <w:rFonts w:ascii="Arial" w:hAnsi="Arial"/>
          <w:sz w:val="26"/>
          <w:szCs w:val="26"/>
          <w:rtl/>
        </w:rPr>
        <w:t>:</w:t>
      </w:r>
    </w:p>
    <w:p w14:paraId="10747CE8" w14:textId="77777777" w:rsidR="005619EC" w:rsidRPr="002658BB" w:rsidRDefault="005619EC" w:rsidP="005619EC">
      <w:pPr>
        <w:spacing w:after="240" w:line="360" w:lineRule="auto"/>
        <w:ind w:left="1134" w:right="1134"/>
        <w:jc w:val="both"/>
        <w:rPr>
          <w:rFonts w:ascii="Arial" w:hAnsi="Arial"/>
          <w:b/>
          <w:bCs/>
          <w:sz w:val="26"/>
          <w:szCs w:val="26"/>
          <w:rtl/>
        </w:rPr>
      </w:pPr>
      <w:r w:rsidRPr="002658BB">
        <w:rPr>
          <w:rFonts w:ascii="Arial" w:hAnsi="Arial"/>
          <w:sz w:val="26"/>
          <w:szCs w:val="26"/>
          <w:rtl/>
        </w:rPr>
        <w:t>"</w:t>
      </w:r>
      <w:r w:rsidRPr="002658BB">
        <w:rPr>
          <w:rFonts w:ascii="Arial" w:hAnsi="Arial"/>
          <w:b/>
          <w:bCs/>
          <w:sz w:val="26"/>
          <w:szCs w:val="26"/>
          <w:rtl/>
        </w:rPr>
        <w:t>יש להדגיש את החומרה היתירה שנודעה לביצוע עבירות נשק, על כל סוגיהן ומיניהן. במסגרת פסק הדין ב</w:t>
      </w:r>
      <w:hyperlink r:id="rId22" w:history="1">
        <w:r w:rsidR="006045C8" w:rsidRPr="006045C8">
          <w:rPr>
            <w:rFonts w:ascii="Arial" w:hAnsi="Arial"/>
            <w:b/>
            <w:bCs/>
            <w:color w:val="0000FF"/>
            <w:sz w:val="26"/>
            <w:szCs w:val="26"/>
            <w:u w:val="single"/>
            <w:rtl/>
          </w:rPr>
          <w:t>ע"פ 4595/13</w:t>
        </w:r>
      </w:hyperlink>
      <w:r w:rsidRPr="002658BB">
        <w:rPr>
          <w:rFonts w:ascii="Arial" w:hAnsi="Arial"/>
          <w:b/>
          <w:bCs/>
          <w:sz w:val="26"/>
          <w:szCs w:val="26"/>
          <w:rtl/>
        </w:rPr>
        <w:t xml:space="preserve"> זובידאת נ' מדינת ישראל (6.7.2014)  בית המשפט קרא למחוקק לשקול את החמרת הענישה בעבירות נשק. בהמשך לכך, בשנת 2018 תיקן המחוקק את סעיף 340א ל</w:t>
      </w:r>
      <w:hyperlink r:id="rId23" w:history="1">
        <w:r w:rsidR="006045C8" w:rsidRPr="006045C8">
          <w:rPr>
            <w:rFonts w:ascii="Arial" w:hAnsi="Arial"/>
            <w:b/>
            <w:bCs/>
            <w:color w:val="0000FF"/>
            <w:sz w:val="26"/>
            <w:szCs w:val="26"/>
            <w:u w:val="single"/>
            <w:rtl/>
          </w:rPr>
          <w:t>חוק העונשין</w:t>
        </w:r>
      </w:hyperlink>
      <w:r w:rsidRPr="002658BB">
        <w:rPr>
          <w:rFonts w:ascii="Arial" w:hAnsi="Arial"/>
          <w:b/>
          <w:bCs/>
          <w:sz w:val="26"/>
          <w:szCs w:val="26"/>
          <w:rtl/>
        </w:rPr>
        <w:t xml:space="preserve"> והחמיר את העונש הקבוע בצידה של עבירת ירי מנשק חם (ראו: הצעת חוק העונשין (תיקון מס' 132) (ירי מנשק חם), התשע"ח-2018, ה"ח 1223). זאת, כצעד נוסף למלחמה בתופעת השימוש בנשק ופוטנציאל הנזק הכרוך בכך.</w:t>
      </w:r>
    </w:p>
    <w:p w14:paraId="5FE88E52" w14:textId="77777777" w:rsidR="005619EC" w:rsidRPr="002658BB" w:rsidRDefault="005619EC" w:rsidP="005619EC">
      <w:pPr>
        <w:spacing w:after="240" w:line="360" w:lineRule="auto"/>
        <w:ind w:left="1134" w:right="1134"/>
        <w:jc w:val="both"/>
        <w:rPr>
          <w:rFonts w:ascii="Arial" w:hAnsi="Arial"/>
          <w:b/>
          <w:bCs/>
          <w:sz w:val="26"/>
          <w:szCs w:val="26"/>
          <w:rtl/>
        </w:rPr>
      </w:pPr>
      <w:r w:rsidRPr="002658BB">
        <w:rPr>
          <w:rFonts w:ascii="Arial" w:hAnsi="Arial"/>
          <w:b/>
          <w:bCs/>
          <w:sz w:val="26"/>
          <w:szCs w:val="26"/>
          <w:rtl/>
        </w:rPr>
        <w:t xml:space="preserve">בהמשך לתיקון זה, בית משפט זה הדגיש בפסיקתו פעם אחר פעם, כי עבירות הנשק הפכו לחזון נפרץ, המביא לעיתים מזומנות לפגיעה בחיי חפים מפשע. בהתאם לכך, בית משפט זה שב וקבע כי החמרת הענישה בגין עבירות אלו היא אינטרס ציבורי מהמעלה הראשונה ותנאי הכרחי להרתעת הציבור מפני ביצוען (ראו מיני רבים: </w:t>
      </w:r>
      <w:hyperlink r:id="rId24" w:history="1">
        <w:r w:rsidR="006045C8" w:rsidRPr="006045C8">
          <w:rPr>
            <w:rFonts w:ascii="Arial" w:hAnsi="Arial"/>
            <w:b/>
            <w:bCs/>
            <w:color w:val="0000FF"/>
            <w:sz w:val="26"/>
            <w:szCs w:val="26"/>
            <w:u w:val="single"/>
            <w:rtl/>
          </w:rPr>
          <w:t>ע"פ 4406/19</w:t>
        </w:r>
      </w:hyperlink>
      <w:r w:rsidRPr="002658BB">
        <w:rPr>
          <w:rFonts w:ascii="Arial" w:hAnsi="Arial"/>
          <w:b/>
          <w:bCs/>
          <w:sz w:val="26"/>
          <w:szCs w:val="26"/>
          <w:rtl/>
        </w:rPr>
        <w:t xml:space="preserve"> מדינת ישראל נ' סובח, פסקאות 16–17 לחוות דעתי (5.11.2019); </w:t>
      </w:r>
      <w:hyperlink r:id="rId25" w:history="1">
        <w:r w:rsidR="006045C8" w:rsidRPr="006045C8">
          <w:rPr>
            <w:rFonts w:ascii="Arial" w:hAnsi="Arial"/>
            <w:b/>
            <w:bCs/>
            <w:color w:val="0000FF"/>
            <w:sz w:val="26"/>
            <w:szCs w:val="26"/>
            <w:u w:val="single"/>
            <w:rtl/>
          </w:rPr>
          <w:t>רע"פ 7344/18</w:t>
        </w:r>
      </w:hyperlink>
      <w:r w:rsidRPr="002658BB">
        <w:rPr>
          <w:rFonts w:ascii="Arial" w:hAnsi="Arial"/>
          <w:b/>
          <w:bCs/>
          <w:sz w:val="26"/>
          <w:szCs w:val="26"/>
          <w:rtl/>
        </w:rPr>
        <w:t xml:space="preserve"> מג'יד נ' מדינת ישראל, פסקה 10 (21.10.2018))</w:t>
      </w:r>
      <w:r>
        <w:rPr>
          <w:rFonts w:ascii="Arial" w:hAnsi="Arial" w:hint="cs"/>
          <w:b/>
          <w:bCs/>
          <w:sz w:val="26"/>
          <w:szCs w:val="26"/>
          <w:rtl/>
        </w:rPr>
        <w:t>"</w:t>
      </w:r>
      <w:r w:rsidRPr="002658BB">
        <w:rPr>
          <w:rFonts w:ascii="Arial" w:hAnsi="Arial"/>
          <w:b/>
          <w:bCs/>
          <w:sz w:val="26"/>
          <w:szCs w:val="26"/>
          <w:rtl/>
        </w:rPr>
        <w:t>.</w:t>
      </w:r>
    </w:p>
    <w:p w14:paraId="77A8C8E9" w14:textId="77777777" w:rsidR="005619EC" w:rsidRDefault="005619EC" w:rsidP="005619EC">
      <w:pPr>
        <w:spacing w:after="240" w:line="360" w:lineRule="auto"/>
        <w:jc w:val="both"/>
        <w:rPr>
          <w:rFonts w:ascii="Arial" w:hAnsi="Arial"/>
          <w:sz w:val="26"/>
          <w:szCs w:val="26"/>
          <w:rtl/>
        </w:rPr>
      </w:pPr>
      <w:r>
        <w:rPr>
          <w:rFonts w:ascii="Arial" w:hAnsi="Arial" w:hint="cs"/>
          <w:sz w:val="26"/>
          <w:szCs w:val="26"/>
          <w:rtl/>
        </w:rPr>
        <w:t>11.</w:t>
      </w:r>
      <w:r>
        <w:rPr>
          <w:rFonts w:ascii="Arial" w:hAnsi="Arial" w:hint="cs"/>
          <w:sz w:val="26"/>
          <w:szCs w:val="26"/>
          <w:rtl/>
        </w:rPr>
        <w:tab/>
        <w:t>גישה דומה עולה גם מהפסיקה הנוהגת, המחמירה והולכת בנוגע לעבירות נשק. ב"כ הצדדים הפנו למספר פסקי דין. אסקור עתה חלק מפסקי הדין שהוזכרו על ידם ופסקי דין נוספים.</w:t>
      </w:r>
    </w:p>
    <w:p w14:paraId="21308CC8" w14:textId="77777777" w:rsidR="005619EC" w:rsidRPr="002658BB" w:rsidRDefault="006045C8" w:rsidP="005619EC">
      <w:pPr>
        <w:spacing w:after="240" w:line="360" w:lineRule="auto"/>
        <w:ind w:firstLine="720"/>
        <w:jc w:val="both"/>
        <w:rPr>
          <w:rFonts w:ascii="David" w:hAnsi="David"/>
          <w:sz w:val="26"/>
          <w:szCs w:val="26"/>
          <w:rtl/>
        </w:rPr>
      </w:pPr>
      <w:hyperlink r:id="rId26" w:history="1">
        <w:r w:rsidRPr="006045C8">
          <w:rPr>
            <w:rFonts w:ascii="Arial" w:hAnsi="Arial"/>
            <w:color w:val="0000FF"/>
            <w:sz w:val="26"/>
            <w:szCs w:val="26"/>
            <w:u w:val="single"/>
            <w:rtl/>
          </w:rPr>
          <w:t>ע"פ 8320/21</w:t>
        </w:r>
      </w:hyperlink>
      <w:r w:rsidR="005619EC">
        <w:rPr>
          <w:rFonts w:ascii="Arial" w:hAnsi="Arial" w:hint="cs"/>
          <w:sz w:val="26"/>
          <w:szCs w:val="26"/>
          <w:rtl/>
        </w:rPr>
        <w:t xml:space="preserve"> </w:t>
      </w:r>
      <w:r w:rsidR="005619EC">
        <w:rPr>
          <w:rFonts w:ascii="Arial" w:hAnsi="Arial" w:hint="cs"/>
          <w:b/>
          <w:bCs/>
          <w:sz w:val="26"/>
          <w:szCs w:val="26"/>
          <w:rtl/>
        </w:rPr>
        <w:t>מדינת ישראל נ' מחמד בסילה</w:t>
      </w:r>
      <w:r w:rsidR="005619EC">
        <w:rPr>
          <w:rFonts w:ascii="Arial" w:hAnsi="Arial" w:hint="cs"/>
          <w:sz w:val="26"/>
          <w:szCs w:val="26"/>
          <w:rtl/>
        </w:rPr>
        <w:t xml:space="preserve"> (28.12.21)</w:t>
      </w:r>
      <w:r w:rsidR="005619EC">
        <w:rPr>
          <w:rFonts w:ascii="David" w:hAnsi="David" w:hint="cs"/>
          <w:sz w:val="26"/>
          <w:szCs w:val="26"/>
          <w:rtl/>
        </w:rPr>
        <w:t xml:space="preserve"> </w:t>
      </w:r>
      <w:r w:rsidR="005619EC">
        <w:rPr>
          <w:rFonts w:ascii="David" w:hAnsi="David"/>
          <w:sz w:val="26"/>
          <w:szCs w:val="26"/>
          <w:rtl/>
        </w:rPr>
        <w:t>–</w:t>
      </w:r>
      <w:r w:rsidR="005619EC">
        <w:rPr>
          <w:rFonts w:ascii="David" w:hAnsi="David" w:hint="cs"/>
          <w:sz w:val="26"/>
          <w:szCs w:val="26"/>
          <w:rtl/>
        </w:rPr>
        <w:t xml:space="preserve"> המשיב הוביל והחזיק בביתו נשק דמוי רובה סער </w:t>
      </w:r>
      <w:r w:rsidR="005619EC">
        <w:rPr>
          <w:rFonts w:ascii="David" w:hAnsi="David" w:hint="cs"/>
          <w:sz w:val="26"/>
          <w:szCs w:val="26"/>
        </w:rPr>
        <w:t>M</w:t>
      </w:r>
      <w:r w:rsidR="005619EC">
        <w:rPr>
          <w:rFonts w:ascii="David" w:hAnsi="David" w:hint="cs"/>
          <w:sz w:val="26"/>
          <w:szCs w:val="26"/>
          <w:rtl/>
        </w:rPr>
        <w:t xml:space="preserve">-16 וחלקי נשק נוספים, החזיקם בביתו 3 שבועות, פירק וניקה את הנשק. על אף נסיבות מקלות, קיום אורח חיים נורמטיבי והעובדה שמדובר בנשק שהנאשם מצא ולא יזם את החזקתו, ללא עבירות נלוות לעבירות הנשק, בית המשפט קיבל ערעור על קולת העונש והעמיד את עונשו של הנאשם על 14 חודשי מאסר בפועל במקום 7 חודשים. </w:t>
      </w:r>
    </w:p>
    <w:p w14:paraId="5E958B21" w14:textId="77777777" w:rsidR="005619EC" w:rsidRDefault="005619EC" w:rsidP="005619EC">
      <w:pPr>
        <w:spacing w:after="240" w:line="360" w:lineRule="auto"/>
        <w:ind w:firstLine="720"/>
        <w:jc w:val="both"/>
        <w:rPr>
          <w:rFonts w:ascii="David" w:hAnsi="David"/>
          <w:sz w:val="26"/>
          <w:szCs w:val="26"/>
          <w:rtl/>
        </w:rPr>
      </w:pPr>
      <w:r>
        <w:rPr>
          <w:rFonts w:ascii="David" w:hAnsi="David" w:hint="cs"/>
          <w:sz w:val="26"/>
          <w:szCs w:val="26"/>
          <w:rtl/>
        </w:rPr>
        <w:t>ב</w:t>
      </w:r>
      <w:r w:rsidRPr="00D41E72">
        <w:rPr>
          <w:rFonts w:ascii="David" w:hAnsi="David" w:hint="cs"/>
          <w:sz w:val="26"/>
          <w:szCs w:val="26"/>
          <w:rtl/>
        </w:rPr>
        <w:t>עניין</w:t>
      </w:r>
      <w:r w:rsidRPr="00D41E72">
        <w:rPr>
          <w:rFonts w:ascii="David" w:hAnsi="David" w:hint="cs"/>
          <w:b/>
          <w:bCs/>
          <w:sz w:val="26"/>
          <w:szCs w:val="26"/>
          <w:rtl/>
        </w:rPr>
        <w:t xml:space="preserve"> פקיה</w:t>
      </w:r>
      <w:r>
        <w:rPr>
          <w:rFonts w:ascii="David" w:hAnsi="David" w:hint="cs"/>
          <w:sz w:val="26"/>
          <w:szCs w:val="26"/>
          <w:rtl/>
        </w:rPr>
        <w:t xml:space="preserve"> הנ"ל </w:t>
      </w:r>
      <w:r>
        <w:rPr>
          <w:rFonts w:ascii="David" w:hAnsi="David"/>
          <w:sz w:val="26"/>
          <w:szCs w:val="26"/>
          <w:rtl/>
        </w:rPr>
        <w:t>–</w:t>
      </w:r>
      <w:r>
        <w:rPr>
          <w:rFonts w:ascii="David" w:hAnsi="David" w:hint="cs"/>
          <w:sz w:val="26"/>
          <w:szCs w:val="26"/>
          <w:rtl/>
        </w:rPr>
        <w:t xml:space="preserve"> המשיב הורשע בנשיאת נשק וירי במקום מגורים, בסמוך לחתונה. לחובתו עבר פלילי מכביד. נקבע מתחם בין 14-36 חודשי מאסר. עונשו של המשיב הוחמר מ-14 חודשי מאסר בפועל ל-25 חודשים ועונשים נלווים. </w:t>
      </w:r>
    </w:p>
    <w:p w14:paraId="2A074CDA" w14:textId="77777777" w:rsidR="005619EC" w:rsidRDefault="006045C8" w:rsidP="005619EC">
      <w:pPr>
        <w:spacing w:after="240" w:line="360" w:lineRule="auto"/>
        <w:ind w:firstLine="720"/>
        <w:jc w:val="both"/>
        <w:rPr>
          <w:rFonts w:ascii="David" w:hAnsi="David"/>
          <w:sz w:val="26"/>
          <w:szCs w:val="26"/>
          <w:rtl/>
        </w:rPr>
      </w:pPr>
      <w:hyperlink r:id="rId27" w:history="1">
        <w:r w:rsidRPr="006045C8">
          <w:rPr>
            <w:rFonts w:ascii="David" w:hAnsi="David"/>
            <w:color w:val="0000FF"/>
            <w:sz w:val="26"/>
            <w:szCs w:val="26"/>
            <w:u w:val="single"/>
            <w:rtl/>
          </w:rPr>
          <w:t>ת"פ (ב"ש) 54607-07-19</w:t>
        </w:r>
      </w:hyperlink>
      <w:r w:rsidR="005619EC">
        <w:rPr>
          <w:rFonts w:ascii="David" w:hAnsi="David" w:hint="cs"/>
          <w:sz w:val="26"/>
          <w:szCs w:val="26"/>
          <w:rtl/>
        </w:rPr>
        <w:t xml:space="preserve"> </w:t>
      </w:r>
      <w:r w:rsidR="005619EC" w:rsidRPr="00EA67C2">
        <w:rPr>
          <w:rFonts w:ascii="David" w:hAnsi="David" w:hint="cs"/>
          <w:b/>
          <w:bCs/>
          <w:sz w:val="26"/>
          <w:szCs w:val="26"/>
          <w:rtl/>
        </w:rPr>
        <w:t xml:space="preserve">מדינת ישראל נ' יעקוב ג'בור </w:t>
      </w:r>
      <w:r w:rsidR="005619EC">
        <w:rPr>
          <w:rFonts w:ascii="David" w:hAnsi="David" w:hint="cs"/>
          <w:sz w:val="26"/>
          <w:szCs w:val="26"/>
          <w:rtl/>
        </w:rPr>
        <w:t xml:space="preserve">(12.1.20) </w:t>
      </w:r>
      <w:r w:rsidR="005619EC">
        <w:rPr>
          <w:rFonts w:ascii="David" w:hAnsi="David"/>
          <w:sz w:val="26"/>
          <w:szCs w:val="26"/>
          <w:rtl/>
        </w:rPr>
        <w:t>–</w:t>
      </w:r>
      <w:r w:rsidR="005619EC">
        <w:rPr>
          <w:rFonts w:ascii="David" w:hAnsi="David" w:hint="cs"/>
          <w:sz w:val="26"/>
          <w:szCs w:val="26"/>
          <w:rtl/>
        </w:rPr>
        <w:t xml:space="preserve"> הנאשם הורשע בהחזקת נשק ואביזרי נשק ברכב. נקבע מתחם של 20-30 חודשי מאסר, על הנאשם נגזרו 22 חודשי מאסר בפועל, הופעל תנאי בן 4 חודשים מחציתו בחופף ומחציתו במצטבר וכן נגזרו על הנאשם מאסר על תנאי ועונשים כספיים.  </w:t>
      </w:r>
    </w:p>
    <w:p w14:paraId="751C1531" w14:textId="77777777" w:rsidR="005619EC" w:rsidRDefault="006045C8" w:rsidP="005619EC">
      <w:pPr>
        <w:spacing w:after="240" w:line="360" w:lineRule="auto"/>
        <w:ind w:firstLine="720"/>
        <w:jc w:val="both"/>
        <w:rPr>
          <w:rFonts w:ascii="David" w:hAnsi="David"/>
          <w:sz w:val="26"/>
          <w:szCs w:val="26"/>
          <w:rtl/>
        </w:rPr>
      </w:pPr>
      <w:hyperlink r:id="rId28" w:history="1">
        <w:r w:rsidRPr="006045C8">
          <w:rPr>
            <w:rFonts w:ascii="David" w:hAnsi="David"/>
            <w:color w:val="0000FF"/>
            <w:sz w:val="26"/>
            <w:szCs w:val="26"/>
            <w:u w:val="single"/>
            <w:rtl/>
          </w:rPr>
          <w:t>ת"פ (ב"ש) 56762-03-21</w:t>
        </w:r>
      </w:hyperlink>
      <w:r w:rsidR="005619EC">
        <w:rPr>
          <w:rFonts w:ascii="David" w:hAnsi="David" w:hint="cs"/>
          <w:sz w:val="26"/>
          <w:szCs w:val="26"/>
          <w:rtl/>
        </w:rPr>
        <w:t xml:space="preserve"> </w:t>
      </w:r>
      <w:r w:rsidR="005619EC" w:rsidRPr="009A7C27">
        <w:rPr>
          <w:rFonts w:ascii="David" w:hAnsi="David" w:hint="cs"/>
          <w:b/>
          <w:bCs/>
          <w:sz w:val="26"/>
          <w:szCs w:val="26"/>
          <w:rtl/>
        </w:rPr>
        <w:t>מדינת ישראל נ' רפעת קאצאעי</w:t>
      </w:r>
      <w:r w:rsidR="005619EC">
        <w:rPr>
          <w:rFonts w:ascii="David" w:hAnsi="David" w:hint="cs"/>
          <w:sz w:val="26"/>
          <w:szCs w:val="26"/>
          <w:rtl/>
        </w:rPr>
        <w:t xml:space="preserve"> (10.11.21) </w:t>
      </w:r>
      <w:r w:rsidR="005619EC">
        <w:rPr>
          <w:rFonts w:ascii="David" w:hAnsi="David"/>
          <w:sz w:val="26"/>
          <w:szCs w:val="26"/>
          <w:rtl/>
        </w:rPr>
        <w:t>–</w:t>
      </w:r>
      <w:r w:rsidR="005619EC">
        <w:rPr>
          <w:rFonts w:ascii="David" w:hAnsi="David" w:hint="cs"/>
          <w:sz w:val="26"/>
          <w:szCs w:val="26"/>
          <w:rtl/>
        </w:rPr>
        <w:t xml:space="preserve"> הנאשם החזיק ברכב רובה סער מסוג קלצ'ניקוב ומחסנית תואמת. נקבע מתחם בין 20-30 חודשי מאסר בפועל, הנאשם נדון ל-22 חודשי מאסר בפועל, מאסר על תנאי, קנס ופסילת רשיון.</w:t>
      </w:r>
    </w:p>
    <w:p w14:paraId="5165FC60" w14:textId="77777777" w:rsidR="005619EC" w:rsidRDefault="006045C8" w:rsidP="005619EC">
      <w:pPr>
        <w:spacing w:after="240" w:line="360" w:lineRule="auto"/>
        <w:ind w:firstLine="720"/>
        <w:jc w:val="both"/>
        <w:rPr>
          <w:rFonts w:ascii="David" w:hAnsi="David"/>
          <w:sz w:val="26"/>
          <w:szCs w:val="26"/>
          <w:rtl/>
        </w:rPr>
      </w:pPr>
      <w:hyperlink r:id="rId29" w:history="1">
        <w:r w:rsidRPr="006045C8">
          <w:rPr>
            <w:rFonts w:ascii="David" w:hAnsi="David"/>
            <w:color w:val="0000FF"/>
            <w:sz w:val="26"/>
            <w:szCs w:val="26"/>
            <w:u w:val="single"/>
            <w:rtl/>
          </w:rPr>
          <w:t>ת"פ (י-ם) 66542-05-20</w:t>
        </w:r>
      </w:hyperlink>
      <w:r w:rsidR="005619EC">
        <w:rPr>
          <w:rFonts w:ascii="David" w:hAnsi="David" w:hint="cs"/>
          <w:sz w:val="26"/>
          <w:szCs w:val="26"/>
          <w:rtl/>
        </w:rPr>
        <w:t xml:space="preserve"> </w:t>
      </w:r>
      <w:r w:rsidR="005619EC">
        <w:rPr>
          <w:rFonts w:ascii="David" w:hAnsi="David" w:hint="cs"/>
          <w:b/>
          <w:bCs/>
          <w:sz w:val="26"/>
          <w:szCs w:val="26"/>
          <w:rtl/>
        </w:rPr>
        <w:t>מדינת ישראל נ' פכרי אבו נאב</w:t>
      </w:r>
      <w:r w:rsidR="005619EC">
        <w:rPr>
          <w:rFonts w:ascii="David" w:hAnsi="David" w:hint="cs"/>
          <w:sz w:val="26"/>
          <w:szCs w:val="26"/>
          <w:rtl/>
        </w:rPr>
        <w:t xml:space="preserve"> (25.1.21) </w:t>
      </w:r>
      <w:r w:rsidR="005619EC">
        <w:rPr>
          <w:rFonts w:ascii="David" w:hAnsi="David"/>
          <w:sz w:val="26"/>
          <w:szCs w:val="26"/>
          <w:rtl/>
        </w:rPr>
        <w:t>–</w:t>
      </w:r>
      <w:r w:rsidR="005619EC">
        <w:rPr>
          <w:rFonts w:ascii="David" w:hAnsi="David" w:hint="cs"/>
          <w:sz w:val="26"/>
          <w:szCs w:val="26"/>
          <w:rtl/>
        </w:rPr>
        <w:t xml:space="preserve"> הנאשם הורשע ברכישת נשק (אקדח) ותחמושת. במסגרת הסדר טיעון הוסכם כי הנאשם יטען שהנשק שימוש לצורך הגנה עצמית והמאשימה לא תביא ראיות לסתור זאת. נקבע מתחם בין 8-24 חודשי מאסר והנאשם נדון ל-10 חודשי מאסר בפועל ומאסר על תנאי. </w:t>
      </w:r>
    </w:p>
    <w:p w14:paraId="508FC737" w14:textId="77777777" w:rsidR="005619EC" w:rsidRDefault="006045C8" w:rsidP="005619EC">
      <w:pPr>
        <w:spacing w:after="240" w:line="360" w:lineRule="auto"/>
        <w:ind w:firstLine="720"/>
        <w:jc w:val="both"/>
        <w:rPr>
          <w:rFonts w:ascii="David" w:hAnsi="David"/>
          <w:sz w:val="26"/>
          <w:szCs w:val="26"/>
          <w:rtl/>
        </w:rPr>
      </w:pPr>
      <w:hyperlink r:id="rId30" w:history="1">
        <w:r w:rsidRPr="006045C8">
          <w:rPr>
            <w:rFonts w:ascii="David" w:hAnsi="David"/>
            <w:color w:val="0000FF"/>
            <w:sz w:val="26"/>
            <w:szCs w:val="26"/>
            <w:u w:val="single"/>
            <w:rtl/>
          </w:rPr>
          <w:t>ת"פ (י-ם) 52515-03-20</w:t>
        </w:r>
      </w:hyperlink>
      <w:r w:rsidR="005619EC">
        <w:rPr>
          <w:rFonts w:ascii="David" w:hAnsi="David" w:hint="cs"/>
          <w:sz w:val="26"/>
          <w:szCs w:val="26"/>
          <w:rtl/>
        </w:rPr>
        <w:t xml:space="preserve"> </w:t>
      </w:r>
      <w:r w:rsidR="005619EC" w:rsidRPr="009A7C27">
        <w:rPr>
          <w:rFonts w:ascii="David" w:hAnsi="David" w:hint="cs"/>
          <w:b/>
          <w:bCs/>
          <w:sz w:val="26"/>
          <w:szCs w:val="26"/>
          <w:rtl/>
        </w:rPr>
        <w:t>מדינת ישראל נ' מורשד סנדוקה</w:t>
      </w:r>
      <w:r w:rsidR="005619EC">
        <w:rPr>
          <w:rFonts w:ascii="David" w:hAnsi="David" w:hint="cs"/>
          <w:sz w:val="26"/>
          <w:szCs w:val="26"/>
          <w:rtl/>
        </w:rPr>
        <w:t xml:space="preserve"> (24.6.20) </w:t>
      </w:r>
      <w:r w:rsidR="005619EC">
        <w:rPr>
          <w:rFonts w:ascii="David" w:hAnsi="David"/>
          <w:sz w:val="26"/>
          <w:szCs w:val="26"/>
          <w:rtl/>
        </w:rPr>
        <w:t>–</w:t>
      </w:r>
      <w:r w:rsidR="005619EC">
        <w:rPr>
          <w:rFonts w:ascii="David" w:hAnsi="David" w:hint="cs"/>
          <w:sz w:val="26"/>
          <w:szCs w:val="26"/>
          <w:rtl/>
        </w:rPr>
        <w:t xml:space="preserve"> נאשם 3 הורשע בהחזקת נשק ונדון ל-7 חודשי מאסר בפועל ומאסרים על תנאי. </w:t>
      </w:r>
    </w:p>
    <w:p w14:paraId="36DA68BD" w14:textId="77777777" w:rsidR="005619EC" w:rsidRDefault="006045C8" w:rsidP="005619EC">
      <w:pPr>
        <w:spacing w:after="240" w:line="360" w:lineRule="auto"/>
        <w:ind w:firstLine="720"/>
        <w:jc w:val="both"/>
        <w:rPr>
          <w:rFonts w:ascii="David" w:hAnsi="David"/>
          <w:sz w:val="26"/>
          <w:szCs w:val="26"/>
          <w:rtl/>
        </w:rPr>
      </w:pPr>
      <w:hyperlink r:id="rId31" w:history="1">
        <w:r w:rsidRPr="006045C8">
          <w:rPr>
            <w:rFonts w:ascii="David" w:hAnsi="David"/>
            <w:color w:val="0000FF"/>
            <w:sz w:val="26"/>
            <w:szCs w:val="26"/>
            <w:u w:val="single"/>
            <w:rtl/>
          </w:rPr>
          <w:t>ת"פ (י-ם) 35512-06-17</w:t>
        </w:r>
      </w:hyperlink>
      <w:r w:rsidR="005619EC">
        <w:rPr>
          <w:rFonts w:ascii="David" w:hAnsi="David" w:hint="cs"/>
          <w:sz w:val="26"/>
          <w:szCs w:val="26"/>
          <w:rtl/>
        </w:rPr>
        <w:t xml:space="preserve"> </w:t>
      </w:r>
      <w:r w:rsidR="005619EC" w:rsidRPr="009A7C27">
        <w:rPr>
          <w:rFonts w:ascii="David" w:hAnsi="David" w:hint="cs"/>
          <w:b/>
          <w:bCs/>
          <w:sz w:val="26"/>
          <w:szCs w:val="26"/>
          <w:rtl/>
        </w:rPr>
        <w:t>מדינת ישראל נ' אל-קעקאע בכיראת</w:t>
      </w:r>
      <w:r w:rsidR="005619EC">
        <w:rPr>
          <w:rFonts w:ascii="David" w:hAnsi="David" w:hint="cs"/>
          <w:sz w:val="26"/>
          <w:szCs w:val="26"/>
          <w:rtl/>
        </w:rPr>
        <w:t xml:space="preserve"> (7.3.19) </w:t>
      </w:r>
      <w:r w:rsidR="005619EC">
        <w:rPr>
          <w:rFonts w:ascii="David" w:hAnsi="David"/>
          <w:sz w:val="26"/>
          <w:szCs w:val="26"/>
          <w:rtl/>
        </w:rPr>
        <w:t>–</w:t>
      </w:r>
      <w:r w:rsidR="005619EC">
        <w:rPr>
          <w:rFonts w:ascii="David" w:hAnsi="David" w:hint="cs"/>
          <w:sz w:val="26"/>
          <w:szCs w:val="26"/>
          <w:rtl/>
        </w:rPr>
        <w:t xml:space="preserve"> נאשם 2 הורשע בשתי עבירות של החזקת נשק, האחד </w:t>
      </w:r>
      <w:r w:rsidR="005619EC">
        <w:rPr>
          <w:rFonts w:ascii="David" w:hAnsi="David" w:hint="cs"/>
          <w:sz w:val="26"/>
          <w:szCs w:val="26"/>
        </w:rPr>
        <w:t>M</w:t>
      </w:r>
      <w:r w:rsidR="005619EC">
        <w:rPr>
          <w:rFonts w:ascii="David" w:hAnsi="David" w:hint="cs"/>
          <w:sz w:val="26"/>
          <w:szCs w:val="26"/>
          <w:rtl/>
        </w:rPr>
        <w:t>-16 מאולתר והשני אקדח חצי אוטומטי, שהסליק מתחת לקרוואן המצוי בבית ספר. נקבע מתחם בין 12-24 חודשי מאסר בפועל, והנאשם, בעל עבר פלילי מתון, נדון ל-12 חודשי מאסר בפועל ומאסר על תנאי.</w:t>
      </w:r>
    </w:p>
    <w:p w14:paraId="73F0F9BE" w14:textId="77777777" w:rsidR="005619EC" w:rsidRDefault="006045C8" w:rsidP="005619EC">
      <w:pPr>
        <w:spacing w:after="240" w:line="360" w:lineRule="auto"/>
        <w:ind w:firstLine="720"/>
        <w:jc w:val="both"/>
        <w:rPr>
          <w:rFonts w:ascii="David" w:hAnsi="David"/>
          <w:sz w:val="26"/>
          <w:szCs w:val="26"/>
          <w:rtl/>
        </w:rPr>
      </w:pPr>
      <w:hyperlink r:id="rId32" w:history="1">
        <w:r w:rsidRPr="006045C8">
          <w:rPr>
            <w:rFonts w:ascii="David" w:hAnsi="David"/>
            <w:color w:val="0000FF"/>
            <w:sz w:val="26"/>
            <w:szCs w:val="26"/>
            <w:u w:val="single"/>
            <w:rtl/>
          </w:rPr>
          <w:t>ת"פ (י-ם) 30340-08-20</w:t>
        </w:r>
      </w:hyperlink>
      <w:r w:rsidR="005619EC">
        <w:rPr>
          <w:rFonts w:ascii="David" w:hAnsi="David" w:hint="cs"/>
          <w:sz w:val="26"/>
          <w:szCs w:val="26"/>
          <w:rtl/>
        </w:rPr>
        <w:t xml:space="preserve"> </w:t>
      </w:r>
      <w:r w:rsidR="005619EC" w:rsidRPr="009A7C27">
        <w:rPr>
          <w:rFonts w:ascii="David" w:hAnsi="David" w:hint="cs"/>
          <w:b/>
          <w:bCs/>
          <w:sz w:val="26"/>
          <w:szCs w:val="26"/>
          <w:rtl/>
        </w:rPr>
        <w:t>מדינת ישראל נ' עז אלדין אבו סביח</w:t>
      </w:r>
      <w:r w:rsidR="005619EC">
        <w:rPr>
          <w:rFonts w:ascii="David" w:hAnsi="David" w:hint="cs"/>
          <w:sz w:val="26"/>
          <w:szCs w:val="26"/>
          <w:rtl/>
        </w:rPr>
        <w:t xml:space="preserve"> (31.1.21) </w:t>
      </w:r>
      <w:r w:rsidR="005619EC">
        <w:rPr>
          <w:rFonts w:ascii="David" w:hAnsi="David"/>
          <w:sz w:val="26"/>
          <w:szCs w:val="26"/>
          <w:rtl/>
        </w:rPr>
        <w:t>–</w:t>
      </w:r>
      <w:r w:rsidR="005619EC">
        <w:rPr>
          <w:rFonts w:ascii="David" w:hAnsi="David" w:hint="cs"/>
          <w:sz w:val="26"/>
          <w:szCs w:val="26"/>
          <w:rtl/>
        </w:rPr>
        <w:t xml:space="preserve"> הנאשמים הורשעו בהחזקה ונשיאה של נשק, נאשם 1 הורשע בנוסף בהחזקת תחמושת וחלקי נשק ובירי באזור מגורים. נאשם 1 נדון ל-32 חודשי מאסר בפועל ועונשים נלווים, נאשם 2 נדון ל-12 חודשי מאסר ועונשים נלווים.  </w:t>
      </w:r>
    </w:p>
    <w:p w14:paraId="7EA9DB1E" w14:textId="77777777" w:rsidR="005619EC" w:rsidRDefault="005619EC" w:rsidP="005619EC">
      <w:pPr>
        <w:spacing w:after="240" w:line="360" w:lineRule="auto"/>
        <w:jc w:val="both"/>
        <w:rPr>
          <w:rFonts w:ascii="David" w:hAnsi="David"/>
          <w:sz w:val="26"/>
          <w:szCs w:val="26"/>
          <w:rtl/>
        </w:rPr>
      </w:pPr>
      <w:r>
        <w:rPr>
          <w:rFonts w:ascii="David" w:hAnsi="David" w:hint="cs"/>
          <w:sz w:val="26"/>
          <w:szCs w:val="26"/>
          <w:rtl/>
        </w:rPr>
        <w:t>12.</w:t>
      </w:r>
      <w:r>
        <w:rPr>
          <w:rFonts w:ascii="David" w:hAnsi="David" w:hint="cs"/>
          <w:sz w:val="26"/>
          <w:szCs w:val="26"/>
          <w:rtl/>
        </w:rPr>
        <w:tab/>
        <w:t xml:space="preserve">בענייננו, הנאשם החזיק בנשק מאולתר, אולם הנשק הוא דמוי רובה סער, דהיינו נשק ארוך. הנשק לא היה שייך לנאשם, הוא הוחזק בבית אחיו והנאשם החזיק בו לפרק זמן קצר מאד (על פי כתב האישום מדובר ביום אחד, בפועל נראה שמדובר במספר דקות במשך אותו יום). הנאשם ירה בנשק. לא נטען כי הירי נעשה למטרה מסויימת, או בחתונה בנוכחות אנשים רבים. כך שנסיבות ביצוע העבירות נוטות ברובן לצד המקל. </w:t>
      </w:r>
    </w:p>
    <w:p w14:paraId="5547F9B8" w14:textId="77777777" w:rsidR="005619EC" w:rsidRDefault="005619EC" w:rsidP="005619EC">
      <w:pPr>
        <w:spacing w:after="240" w:line="360" w:lineRule="auto"/>
        <w:ind w:firstLine="720"/>
        <w:jc w:val="both"/>
        <w:rPr>
          <w:rFonts w:ascii="David" w:hAnsi="David"/>
          <w:sz w:val="26"/>
          <w:szCs w:val="26"/>
          <w:rtl/>
        </w:rPr>
      </w:pPr>
      <w:r>
        <w:rPr>
          <w:rFonts w:ascii="David" w:hAnsi="David" w:hint="cs"/>
          <w:sz w:val="26"/>
          <w:szCs w:val="26"/>
          <w:rtl/>
        </w:rPr>
        <w:t xml:space="preserve">לאור כל האמור אני קובעת לעבירות הנשק מתחם שבין 14-28 חודשי מאסר בפועל ועונשים נלווים. </w:t>
      </w:r>
    </w:p>
    <w:p w14:paraId="4543F05E" w14:textId="77777777" w:rsidR="005619EC" w:rsidRPr="0026324B" w:rsidRDefault="005619EC" w:rsidP="005619EC">
      <w:pPr>
        <w:spacing w:after="240" w:line="360" w:lineRule="auto"/>
        <w:jc w:val="both"/>
        <w:rPr>
          <w:rFonts w:ascii="David" w:hAnsi="David"/>
          <w:b/>
          <w:bCs/>
          <w:sz w:val="26"/>
          <w:szCs w:val="26"/>
          <w:rtl/>
        </w:rPr>
      </w:pPr>
      <w:r>
        <w:rPr>
          <w:rFonts w:ascii="David" w:hAnsi="David" w:hint="cs"/>
          <w:b/>
          <w:bCs/>
          <w:sz w:val="26"/>
          <w:szCs w:val="26"/>
          <w:rtl/>
        </w:rPr>
        <w:t>עביר</w:t>
      </w:r>
      <w:r w:rsidRPr="0026324B">
        <w:rPr>
          <w:rFonts w:ascii="David" w:hAnsi="David" w:hint="cs"/>
          <w:b/>
          <w:bCs/>
          <w:sz w:val="26"/>
          <w:szCs w:val="26"/>
          <w:rtl/>
        </w:rPr>
        <w:t xml:space="preserve">ת הרכוש </w:t>
      </w:r>
      <w:r>
        <w:rPr>
          <w:rFonts w:ascii="David" w:hAnsi="David"/>
          <w:b/>
          <w:bCs/>
          <w:sz w:val="26"/>
          <w:szCs w:val="26"/>
          <w:rtl/>
        </w:rPr>
        <w:t>–</w:t>
      </w:r>
      <w:r>
        <w:rPr>
          <w:rFonts w:ascii="David" w:hAnsi="David" w:hint="cs"/>
          <w:b/>
          <w:bCs/>
          <w:sz w:val="26"/>
          <w:szCs w:val="26"/>
          <w:rtl/>
        </w:rPr>
        <w:t xml:space="preserve"> האישום הראשון</w:t>
      </w:r>
    </w:p>
    <w:p w14:paraId="5A692EE6" w14:textId="77777777" w:rsidR="005619EC" w:rsidRDefault="005619EC" w:rsidP="005619EC">
      <w:pPr>
        <w:spacing w:after="240" w:line="360" w:lineRule="auto"/>
        <w:jc w:val="both"/>
        <w:rPr>
          <w:rFonts w:ascii="David" w:hAnsi="David"/>
          <w:sz w:val="26"/>
          <w:szCs w:val="26"/>
          <w:rtl/>
        </w:rPr>
      </w:pPr>
      <w:r>
        <w:rPr>
          <w:rFonts w:ascii="David" w:hAnsi="David" w:hint="cs"/>
          <w:sz w:val="26"/>
          <w:szCs w:val="26"/>
          <w:rtl/>
        </w:rPr>
        <w:t>13.</w:t>
      </w:r>
      <w:r>
        <w:rPr>
          <w:rFonts w:ascii="David" w:hAnsi="David" w:hint="cs"/>
          <w:sz w:val="26"/>
          <w:szCs w:val="26"/>
          <w:rtl/>
        </w:rPr>
        <w:tab/>
        <w:t xml:space="preserve">הנאשם הורשע בחבלה במזיד ברכב, שהביאה את הרכב למצב של אבדן מלא. לנאשם מיוחסת קשירת קשר והוא לא ביצע את המעשים בעצמו. הערך המוגן הוא ההגנה על הרכוש, וכן הגנה על הסדר הציבורי ושלטון החוק, בהתחשב בכך שהמעשה בוצע על רקע סכסוך כספי. לצורך גזר דין זה ומבלי לקבוע מסמרות אקבל את מתחם הענישה שהוצע על ידי המאשימה, 9-18 חודשי מאסר בפועל. </w:t>
      </w:r>
    </w:p>
    <w:p w14:paraId="103904D9" w14:textId="77777777" w:rsidR="005619EC" w:rsidRPr="0026324B" w:rsidRDefault="005619EC" w:rsidP="005619EC">
      <w:pPr>
        <w:spacing w:after="240" w:line="360" w:lineRule="auto"/>
        <w:jc w:val="both"/>
        <w:rPr>
          <w:rFonts w:ascii="David" w:hAnsi="David"/>
          <w:b/>
          <w:bCs/>
          <w:sz w:val="26"/>
          <w:szCs w:val="26"/>
          <w:u w:val="single"/>
          <w:rtl/>
        </w:rPr>
      </w:pPr>
      <w:r w:rsidRPr="0026324B">
        <w:rPr>
          <w:rFonts w:ascii="David" w:hAnsi="David" w:hint="cs"/>
          <w:b/>
          <w:bCs/>
          <w:sz w:val="26"/>
          <w:szCs w:val="26"/>
          <w:u w:val="single"/>
          <w:rtl/>
        </w:rPr>
        <w:t>נסיבות שאינן קשורות בבצוע העבירה</w:t>
      </w:r>
      <w:r>
        <w:rPr>
          <w:rFonts w:ascii="David" w:hAnsi="David" w:hint="cs"/>
          <w:b/>
          <w:bCs/>
          <w:sz w:val="26"/>
          <w:szCs w:val="26"/>
          <w:u w:val="single"/>
          <w:rtl/>
        </w:rPr>
        <w:t xml:space="preserve"> </w:t>
      </w:r>
      <w:r>
        <w:rPr>
          <w:rFonts w:ascii="David" w:hAnsi="David"/>
          <w:b/>
          <w:bCs/>
          <w:sz w:val="26"/>
          <w:szCs w:val="26"/>
          <w:u w:val="single"/>
          <w:rtl/>
        </w:rPr>
        <w:t>–</w:t>
      </w:r>
      <w:r>
        <w:rPr>
          <w:rFonts w:ascii="David" w:hAnsi="David" w:hint="cs"/>
          <w:b/>
          <w:bCs/>
          <w:sz w:val="26"/>
          <w:szCs w:val="26"/>
          <w:u w:val="single"/>
          <w:rtl/>
        </w:rPr>
        <w:t xml:space="preserve"> העונש במסגרת המתחם</w:t>
      </w:r>
    </w:p>
    <w:p w14:paraId="767BC3C2" w14:textId="77777777" w:rsidR="005619EC" w:rsidRDefault="005619EC" w:rsidP="005619EC">
      <w:pPr>
        <w:spacing w:after="240" w:line="360" w:lineRule="auto"/>
        <w:jc w:val="both"/>
        <w:rPr>
          <w:rFonts w:ascii="David" w:hAnsi="David"/>
          <w:sz w:val="26"/>
          <w:szCs w:val="26"/>
          <w:rtl/>
        </w:rPr>
      </w:pPr>
      <w:r>
        <w:rPr>
          <w:rFonts w:ascii="David" w:hAnsi="David" w:hint="cs"/>
          <w:sz w:val="26"/>
          <w:szCs w:val="26"/>
          <w:rtl/>
        </w:rPr>
        <w:t>14.</w:t>
      </w:r>
      <w:r>
        <w:rPr>
          <w:rFonts w:ascii="David" w:hAnsi="David" w:hint="cs"/>
          <w:sz w:val="26"/>
          <w:szCs w:val="26"/>
          <w:rtl/>
        </w:rPr>
        <w:tab/>
        <w:t xml:space="preserve">הנאשם הודה במיוחס לו, הכיר באחריותו וחסך זמן. הנאשם מנהל אורח חיים נורמטיבי ואין לו עבר פלילי כלשהו. על אף שאין לו השכלה הוא מגלה יציבות תעסוקתית ומשפחתית, ולא נגרר לחברת השוליים הסובבת אותו. התסקיר שהוגש בעניינו מצביע אמנם על קשיים מסויימים, אולם להבנתי מדובר בתסקיר חיובי בעיקרו. גם גיסו של הנאשם, אדם רב זכויות שהעיד לזכותו, חיזק את הרושם שמדובר במעידה שאינה מאפיינת את אורח חייו של הנאשם. </w:t>
      </w:r>
    </w:p>
    <w:p w14:paraId="0511DBE5" w14:textId="77777777" w:rsidR="005619EC" w:rsidRDefault="005619EC" w:rsidP="005619EC">
      <w:pPr>
        <w:spacing w:after="240" w:line="360" w:lineRule="auto"/>
        <w:ind w:firstLine="720"/>
        <w:jc w:val="both"/>
        <w:rPr>
          <w:rFonts w:ascii="David" w:hAnsi="David"/>
          <w:sz w:val="26"/>
          <w:szCs w:val="26"/>
          <w:rtl/>
        </w:rPr>
      </w:pPr>
      <w:r>
        <w:rPr>
          <w:rFonts w:ascii="David" w:hAnsi="David" w:hint="cs"/>
          <w:sz w:val="26"/>
          <w:szCs w:val="26"/>
          <w:rtl/>
        </w:rPr>
        <w:t>הנאשם היה נתון במעצר ממש כמעט 4 חודשים ולאחר מכן שהה במעצר בית, בתנאים שהוקלו עם הזמן. הוא מפרנס יחיד למשפחתו ולשני ילדיו הקטנים.</w:t>
      </w:r>
    </w:p>
    <w:p w14:paraId="192DA1C2" w14:textId="77777777" w:rsidR="005619EC" w:rsidRDefault="005619EC" w:rsidP="005619EC">
      <w:pPr>
        <w:spacing w:after="240" w:line="360" w:lineRule="auto"/>
        <w:jc w:val="both"/>
        <w:rPr>
          <w:rFonts w:ascii="David" w:hAnsi="David"/>
          <w:sz w:val="26"/>
          <w:szCs w:val="26"/>
          <w:rtl/>
        </w:rPr>
      </w:pPr>
      <w:r>
        <w:rPr>
          <w:rFonts w:ascii="David" w:hAnsi="David" w:hint="cs"/>
          <w:sz w:val="26"/>
          <w:szCs w:val="26"/>
          <w:rtl/>
        </w:rPr>
        <w:t>15.</w:t>
      </w:r>
      <w:r>
        <w:rPr>
          <w:rFonts w:ascii="David" w:hAnsi="David" w:hint="cs"/>
          <w:sz w:val="26"/>
          <w:szCs w:val="26"/>
          <w:rtl/>
        </w:rPr>
        <w:tab/>
        <w:t>באישום הראשון מיחסת לנאשם אחריות מכח קשירת קשר, מבלי שהיה מעורב ביצוע המעשה, כאשר זהות המבצעים בפועל אינה ידועה, הם לא אותרו ולא הועמדו לדין. באישום השני הורשע הנאשם בעבירות נשק כאשר אחיו הוא הדומיננטי גם בביצוע עבירות אלו. לאור כל האמור אני סבורה שהנאשם מצוי בחלקו התחתון של מתחם הענישה.</w:t>
      </w:r>
    </w:p>
    <w:p w14:paraId="06A3407C" w14:textId="77777777" w:rsidR="005619EC" w:rsidRDefault="005619EC" w:rsidP="005619EC">
      <w:pPr>
        <w:spacing w:after="240" w:line="360" w:lineRule="auto"/>
        <w:jc w:val="both"/>
        <w:rPr>
          <w:rFonts w:ascii="David" w:hAnsi="David"/>
          <w:sz w:val="26"/>
          <w:szCs w:val="26"/>
          <w:rtl/>
        </w:rPr>
      </w:pPr>
      <w:r>
        <w:rPr>
          <w:rFonts w:ascii="David" w:hAnsi="David" w:hint="cs"/>
          <w:sz w:val="26"/>
          <w:szCs w:val="26"/>
          <w:rtl/>
        </w:rPr>
        <w:t>16.</w:t>
      </w:r>
      <w:r>
        <w:rPr>
          <w:rFonts w:ascii="David" w:hAnsi="David" w:hint="cs"/>
          <w:sz w:val="26"/>
          <w:szCs w:val="26"/>
          <w:rtl/>
        </w:rPr>
        <w:tab/>
        <w:t xml:space="preserve">במסגרת עקרון אחדות הענישה יש להביא בחשבון את עונשו של נאשם 1, אשר הורשע בעבירות דומות לאלו שהורשע בהן הנאשם שבפני בצד עבירות חמורות בהרבה. נאשם 1 הורשע גם בעבירת איומים, שכללה איומים קשים וחוזרים בפגיעה פיזית באמצעות נשק על רקע סכסוך גירושין. גם עבירות הנשק בהן הורשע האח חמורות יותר במידה ניכרת, ולחובתו גם הרשעות קודמות. נאשם 1 נדון במסגרת הסדר טיעון שכלל עונש מוסכם ל-32 חודשי מאסר בפועל. </w:t>
      </w:r>
    </w:p>
    <w:p w14:paraId="3FED8095" w14:textId="77777777" w:rsidR="005619EC" w:rsidRDefault="005619EC" w:rsidP="005619EC">
      <w:pPr>
        <w:spacing w:after="240" w:line="360" w:lineRule="auto"/>
        <w:jc w:val="both"/>
        <w:rPr>
          <w:rFonts w:ascii="David" w:hAnsi="David"/>
          <w:sz w:val="26"/>
          <w:szCs w:val="26"/>
          <w:rtl/>
        </w:rPr>
      </w:pPr>
      <w:r>
        <w:rPr>
          <w:rFonts w:ascii="David" w:hAnsi="David" w:hint="cs"/>
          <w:sz w:val="26"/>
          <w:szCs w:val="26"/>
          <w:rtl/>
        </w:rPr>
        <w:t>17.</w:t>
      </w:r>
      <w:r>
        <w:rPr>
          <w:rFonts w:ascii="David" w:hAnsi="David" w:hint="cs"/>
          <w:sz w:val="26"/>
          <w:szCs w:val="26"/>
          <w:rtl/>
        </w:rPr>
        <w:tab/>
        <w:t>לאור כל האמור אני גוזרת על הנאשם עונשים אלו:</w:t>
      </w:r>
    </w:p>
    <w:p w14:paraId="156A9C10" w14:textId="77777777" w:rsidR="005619EC" w:rsidRDefault="005619EC" w:rsidP="005619EC">
      <w:pPr>
        <w:pStyle w:val="a9"/>
        <w:numPr>
          <w:ilvl w:val="0"/>
          <w:numId w:val="1"/>
        </w:numPr>
        <w:spacing w:after="120" w:line="360" w:lineRule="auto"/>
        <w:ind w:left="714" w:hanging="357"/>
        <w:jc w:val="both"/>
        <w:rPr>
          <w:rFonts w:ascii="David" w:hAnsi="David"/>
          <w:sz w:val="26"/>
          <w:szCs w:val="26"/>
        </w:rPr>
      </w:pPr>
      <w:r w:rsidRPr="00913EC5">
        <w:rPr>
          <w:rFonts w:ascii="David" w:hAnsi="David" w:hint="cs"/>
          <w:sz w:val="26"/>
          <w:szCs w:val="26"/>
          <w:rtl/>
        </w:rPr>
        <w:t>מאסר בפועל - על עבירות הנשק 15 חודשי מאסר ועל עבירות הרכוש 9 חודשי מאסר, מהם 6 חודשים בחופף ו-3 חודשים במצטבר למאסר על עבירות הנשק.</w:t>
      </w:r>
      <w:r>
        <w:rPr>
          <w:rFonts w:ascii="David" w:hAnsi="David" w:hint="cs"/>
          <w:sz w:val="26"/>
          <w:szCs w:val="26"/>
          <w:rtl/>
        </w:rPr>
        <w:t xml:space="preserve"> </w:t>
      </w:r>
      <w:r w:rsidRPr="00913EC5">
        <w:rPr>
          <w:rFonts w:ascii="David" w:hAnsi="David" w:hint="cs"/>
          <w:sz w:val="26"/>
          <w:szCs w:val="26"/>
          <w:rtl/>
        </w:rPr>
        <w:t>בסך הכל</w:t>
      </w:r>
      <w:r>
        <w:rPr>
          <w:rFonts w:ascii="David" w:hAnsi="David" w:hint="cs"/>
          <w:sz w:val="26"/>
          <w:szCs w:val="26"/>
          <w:rtl/>
        </w:rPr>
        <w:t xml:space="preserve"> ירצה הנאשם</w:t>
      </w:r>
      <w:r w:rsidRPr="00913EC5">
        <w:rPr>
          <w:rFonts w:ascii="David" w:hAnsi="David" w:hint="cs"/>
          <w:sz w:val="26"/>
          <w:szCs w:val="26"/>
          <w:rtl/>
        </w:rPr>
        <w:t xml:space="preserve"> 18 חודשי מאסר בפועל</w:t>
      </w:r>
      <w:r>
        <w:rPr>
          <w:rFonts w:ascii="David" w:hAnsi="David" w:hint="cs"/>
          <w:sz w:val="26"/>
          <w:szCs w:val="26"/>
          <w:rtl/>
        </w:rPr>
        <w:t xml:space="preserve"> בניכוי ימי מעצרו</w:t>
      </w:r>
      <w:r w:rsidRPr="00913EC5">
        <w:rPr>
          <w:rFonts w:ascii="David" w:hAnsi="David" w:hint="cs"/>
          <w:sz w:val="26"/>
          <w:szCs w:val="26"/>
          <w:rtl/>
        </w:rPr>
        <w:t xml:space="preserve">. </w:t>
      </w:r>
    </w:p>
    <w:p w14:paraId="35F1D3AD" w14:textId="77777777" w:rsidR="005619EC" w:rsidRDefault="005619EC" w:rsidP="005619EC">
      <w:pPr>
        <w:pStyle w:val="a9"/>
        <w:numPr>
          <w:ilvl w:val="0"/>
          <w:numId w:val="1"/>
        </w:numPr>
        <w:spacing w:after="120" w:line="360" w:lineRule="auto"/>
        <w:ind w:left="714" w:hanging="357"/>
        <w:jc w:val="both"/>
        <w:rPr>
          <w:rFonts w:ascii="David" w:hAnsi="David"/>
          <w:sz w:val="26"/>
          <w:szCs w:val="26"/>
        </w:rPr>
      </w:pPr>
      <w:r>
        <w:rPr>
          <w:rFonts w:ascii="David" w:hAnsi="David" w:hint="cs"/>
          <w:sz w:val="26"/>
          <w:szCs w:val="26"/>
          <w:rtl/>
        </w:rPr>
        <w:t xml:space="preserve">מאסר על תנאי ל-6 חודשים למשך 3 שנים על כל עבירת נשק. </w:t>
      </w:r>
    </w:p>
    <w:p w14:paraId="195260BA" w14:textId="77777777" w:rsidR="005619EC" w:rsidRDefault="005619EC" w:rsidP="005619EC">
      <w:pPr>
        <w:pStyle w:val="a9"/>
        <w:numPr>
          <w:ilvl w:val="0"/>
          <w:numId w:val="1"/>
        </w:numPr>
        <w:spacing w:after="120" w:line="360" w:lineRule="auto"/>
        <w:ind w:left="714" w:hanging="357"/>
        <w:jc w:val="both"/>
        <w:rPr>
          <w:rFonts w:ascii="David" w:hAnsi="David"/>
          <w:sz w:val="26"/>
          <w:szCs w:val="26"/>
        </w:rPr>
      </w:pPr>
      <w:r w:rsidRPr="00913EC5">
        <w:rPr>
          <w:rFonts w:ascii="David" w:hAnsi="David" w:hint="cs"/>
          <w:sz w:val="26"/>
          <w:szCs w:val="26"/>
          <w:rtl/>
        </w:rPr>
        <w:t xml:space="preserve">מאסר על תנאי ל-3 חודשים למשך 3 שנים על עבירות רכוש שהן פשע. </w:t>
      </w:r>
    </w:p>
    <w:p w14:paraId="085580FD" w14:textId="77777777" w:rsidR="005619EC" w:rsidRPr="006045C8" w:rsidRDefault="006045C8" w:rsidP="005619EC">
      <w:pPr>
        <w:pStyle w:val="a9"/>
        <w:spacing w:after="120" w:line="360" w:lineRule="auto"/>
        <w:ind w:left="714"/>
        <w:jc w:val="both"/>
        <w:rPr>
          <w:rFonts w:ascii="David" w:hAnsi="David"/>
          <w:color w:val="FFFFFF"/>
          <w:sz w:val="2"/>
          <w:szCs w:val="2"/>
          <w:rtl/>
        </w:rPr>
      </w:pPr>
      <w:r w:rsidRPr="006045C8">
        <w:rPr>
          <w:rFonts w:ascii="David" w:hAnsi="David"/>
          <w:color w:val="FFFFFF"/>
          <w:sz w:val="2"/>
          <w:szCs w:val="2"/>
          <w:rtl/>
        </w:rPr>
        <w:t>5129371</w:t>
      </w:r>
    </w:p>
    <w:p w14:paraId="53420CFA" w14:textId="77777777" w:rsidR="005619EC" w:rsidRPr="006045C8" w:rsidRDefault="006045C8" w:rsidP="005619EC">
      <w:pPr>
        <w:rPr>
          <w:rFonts w:ascii="David" w:hAnsi="David"/>
          <w:color w:val="FFFFFF"/>
          <w:sz w:val="2"/>
          <w:szCs w:val="2"/>
          <w:rtl/>
        </w:rPr>
      </w:pPr>
      <w:r w:rsidRPr="006045C8">
        <w:rPr>
          <w:rFonts w:ascii="David" w:hAnsi="David"/>
          <w:color w:val="FFFFFF"/>
          <w:sz w:val="2"/>
          <w:szCs w:val="2"/>
          <w:rtl/>
        </w:rPr>
        <w:t>54678313</w:t>
      </w:r>
    </w:p>
    <w:p w14:paraId="27F8ACF6" w14:textId="77777777" w:rsidR="005619EC" w:rsidRPr="002B7D23" w:rsidRDefault="005619EC" w:rsidP="005619EC">
      <w:pPr>
        <w:rPr>
          <w:rFonts w:ascii="David" w:hAnsi="David"/>
          <w:sz w:val="26"/>
          <w:szCs w:val="26"/>
          <w:rtl/>
        </w:rPr>
      </w:pPr>
    </w:p>
    <w:p w14:paraId="0A10208D" w14:textId="77777777" w:rsidR="005619EC" w:rsidRPr="002B7D23" w:rsidRDefault="006045C8" w:rsidP="005619EC">
      <w:pPr>
        <w:spacing w:line="360" w:lineRule="auto"/>
        <w:jc w:val="both"/>
        <w:rPr>
          <w:rFonts w:ascii="David" w:hAnsi="David"/>
          <w:sz w:val="26"/>
          <w:szCs w:val="26"/>
          <w:rtl/>
        </w:rPr>
      </w:pPr>
      <w:bookmarkStart w:id="8" w:name="Nitan"/>
      <w:r>
        <w:rPr>
          <w:rFonts w:ascii="David" w:hAnsi="David"/>
          <w:sz w:val="26"/>
          <w:szCs w:val="26"/>
          <w:rtl/>
        </w:rPr>
        <w:t xml:space="preserve">ניתן היום,  ד' שבט תשפ"ב, 06 ינואר 2022, במעמד הצדדים. </w:t>
      </w:r>
      <w:bookmarkEnd w:id="8"/>
      <w:r w:rsidR="005619EC">
        <w:rPr>
          <w:rFonts w:ascii="David" w:hAnsi="David" w:hint="cs"/>
          <w:sz w:val="26"/>
          <w:szCs w:val="26"/>
          <w:rtl/>
        </w:rPr>
        <w:t xml:space="preserve">זכות ערעור לבית המשפט העליון תוך 45 יום. </w:t>
      </w:r>
    </w:p>
    <w:p w14:paraId="27BD8A21" w14:textId="77777777" w:rsidR="005619EC" w:rsidRPr="002B7D23" w:rsidRDefault="005619EC" w:rsidP="006045C8">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2D68E3B7" w14:textId="77777777" w:rsidR="005619EC" w:rsidRPr="0052530B" w:rsidRDefault="0052530B" w:rsidP="005619EC">
      <w:pPr>
        <w:jc w:val="center"/>
        <w:rPr>
          <w:rFonts w:ascii="David" w:hAnsi="David"/>
          <w:color w:val="FFFFFF"/>
          <w:sz w:val="2"/>
          <w:szCs w:val="2"/>
          <w:rtl/>
        </w:rPr>
      </w:pPr>
      <w:r w:rsidRPr="0052530B">
        <w:rPr>
          <w:rFonts w:ascii="David" w:hAnsi="David"/>
          <w:color w:val="FFFFFF"/>
          <w:sz w:val="2"/>
          <w:szCs w:val="2"/>
          <w:rtl/>
        </w:rPr>
        <w:t>5129371</w:t>
      </w:r>
    </w:p>
    <w:p w14:paraId="2BF4A126" w14:textId="77777777" w:rsidR="00354267" w:rsidRPr="0052530B" w:rsidRDefault="0052530B" w:rsidP="006045C8">
      <w:pPr>
        <w:keepNext/>
        <w:rPr>
          <w:rFonts w:ascii="David" w:hAnsi="David"/>
          <w:color w:val="FFFFFF"/>
          <w:sz w:val="2"/>
          <w:szCs w:val="2"/>
          <w:rtl/>
        </w:rPr>
      </w:pPr>
      <w:r w:rsidRPr="0052530B">
        <w:rPr>
          <w:rFonts w:ascii="David" w:hAnsi="David"/>
          <w:color w:val="FFFFFF"/>
          <w:sz w:val="2"/>
          <w:szCs w:val="2"/>
          <w:rtl/>
        </w:rPr>
        <w:t>54678313</w:t>
      </w:r>
    </w:p>
    <w:p w14:paraId="62D6F516" w14:textId="77777777" w:rsidR="006045C8" w:rsidRPr="006045C8" w:rsidRDefault="006045C8" w:rsidP="006045C8">
      <w:pPr>
        <w:keepNext/>
        <w:rPr>
          <w:rFonts w:ascii="David" w:hAnsi="David"/>
          <w:color w:val="000000"/>
          <w:sz w:val="22"/>
          <w:szCs w:val="22"/>
          <w:rtl/>
        </w:rPr>
      </w:pPr>
      <w:r w:rsidRPr="006045C8">
        <w:rPr>
          <w:rFonts w:ascii="David" w:hAnsi="David"/>
          <w:color w:val="000000"/>
          <w:sz w:val="22"/>
          <w:szCs w:val="22"/>
          <w:rtl/>
        </w:rPr>
        <w:t>חגית מאק קלמנוביץ 54678313</w:t>
      </w:r>
    </w:p>
    <w:p w14:paraId="6B85355D" w14:textId="77777777" w:rsidR="006045C8" w:rsidRDefault="006045C8" w:rsidP="006045C8">
      <w:r w:rsidRPr="006045C8">
        <w:rPr>
          <w:color w:val="000000"/>
          <w:rtl/>
        </w:rPr>
        <w:t>נוסח מסמך זה כפוף לשינויי ניסוח ועריכה</w:t>
      </w:r>
    </w:p>
    <w:p w14:paraId="705D31F5" w14:textId="77777777" w:rsidR="006045C8" w:rsidRDefault="006045C8" w:rsidP="006045C8">
      <w:pPr>
        <w:rPr>
          <w:rtl/>
        </w:rPr>
      </w:pPr>
    </w:p>
    <w:p w14:paraId="425289E7" w14:textId="77777777" w:rsidR="006045C8" w:rsidRDefault="006045C8" w:rsidP="006045C8">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73812D2B" w14:textId="77777777" w:rsidR="0052530B" w:rsidRPr="0052530B" w:rsidRDefault="0052530B" w:rsidP="0052530B">
      <w:pPr>
        <w:keepNext/>
        <w:rPr>
          <w:rFonts w:ascii="David" w:hAnsi="David"/>
          <w:color w:val="000000"/>
          <w:sz w:val="22"/>
          <w:szCs w:val="22"/>
          <w:rtl/>
        </w:rPr>
      </w:pPr>
    </w:p>
    <w:sectPr w:rsidR="0052530B" w:rsidRPr="0052530B" w:rsidSect="0052530B">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BF996" w14:textId="77777777" w:rsidR="007F3016" w:rsidRDefault="007F3016" w:rsidP="00F26F68">
      <w:r>
        <w:separator/>
      </w:r>
    </w:p>
  </w:endnote>
  <w:endnote w:type="continuationSeparator" w:id="0">
    <w:p w14:paraId="72FB0366" w14:textId="77777777" w:rsidR="007F3016" w:rsidRDefault="007F3016" w:rsidP="00F2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1A9FA" w14:textId="77777777" w:rsidR="0052530B" w:rsidRDefault="0052530B" w:rsidP="005253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4E2DD12" w14:textId="77777777" w:rsidR="005C65CA" w:rsidRPr="0052530B" w:rsidRDefault="0052530B" w:rsidP="0052530B">
    <w:pPr>
      <w:pStyle w:val="a5"/>
      <w:pBdr>
        <w:top w:val="single" w:sz="4" w:space="1" w:color="auto"/>
        <w:between w:val="single" w:sz="4" w:space="0" w:color="auto"/>
      </w:pBdr>
      <w:spacing w:after="60"/>
      <w:jc w:val="center"/>
      <w:rPr>
        <w:rFonts w:ascii="FrankRuehl" w:hAnsi="FrankRuehl" w:cs="FrankRuehl"/>
        <w:color w:val="000000"/>
      </w:rPr>
    </w:pPr>
    <w:r w:rsidRPr="005253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65ED" w14:textId="77777777" w:rsidR="0052530B" w:rsidRDefault="0052530B" w:rsidP="005253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0087E">
      <w:rPr>
        <w:rFonts w:ascii="FrankRuehl" w:hAnsi="FrankRuehl" w:cs="FrankRuehl"/>
        <w:noProof/>
        <w:rtl/>
      </w:rPr>
      <w:t>1</w:t>
    </w:r>
    <w:r>
      <w:rPr>
        <w:rFonts w:ascii="FrankRuehl" w:hAnsi="FrankRuehl" w:cs="FrankRuehl"/>
        <w:rtl/>
      </w:rPr>
      <w:fldChar w:fldCharType="end"/>
    </w:r>
  </w:p>
  <w:p w14:paraId="27E50473" w14:textId="77777777" w:rsidR="005C65CA" w:rsidRPr="0052530B" w:rsidRDefault="0052530B" w:rsidP="0052530B">
    <w:pPr>
      <w:pStyle w:val="a5"/>
      <w:pBdr>
        <w:top w:val="single" w:sz="4" w:space="1" w:color="auto"/>
        <w:between w:val="single" w:sz="4" w:space="0" w:color="auto"/>
      </w:pBdr>
      <w:spacing w:after="60"/>
      <w:jc w:val="center"/>
      <w:rPr>
        <w:rFonts w:ascii="FrankRuehl" w:hAnsi="FrankRuehl" w:cs="FrankRuehl"/>
        <w:color w:val="000000"/>
      </w:rPr>
    </w:pPr>
    <w:r w:rsidRPr="0052530B">
      <w:rPr>
        <w:rFonts w:ascii="FrankRuehl" w:hAnsi="FrankRuehl" w:cs="FrankRuehl"/>
        <w:color w:val="000000"/>
      </w:rPr>
      <w:pict w14:anchorId="536629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07215" w14:textId="77777777" w:rsidR="007F3016" w:rsidRDefault="007F3016" w:rsidP="00F26F68">
      <w:r>
        <w:separator/>
      </w:r>
    </w:p>
  </w:footnote>
  <w:footnote w:type="continuationSeparator" w:id="0">
    <w:p w14:paraId="0F66CE44" w14:textId="77777777" w:rsidR="007F3016" w:rsidRDefault="007F3016" w:rsidP="00F26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8A74F" w14:textId="77777777" w:rsidR="006045C8" w:rsidRPr="0052530B" w:rsidRDefault="0052530B" w:rsidP="005253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39727-12-20</w:t>
    </w:r>
    <w:r>
      <w:rPr>
        <w:rFonts w:ascii="David" w:hAnsi="David"/>
        <w:color w:val="000000"/>
        <w:sz w:val="22"/>
        <w:szCs w:val="22"/>
        <w:rtl/>
      </w:rPr>
      <w:tab/>
      <w:t xml:space="preserve"> מדינת ישראל נ' אמין זאהדה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A7B5A" w14:textId="77777777" w:rsidR="006045C8" w:rsidRPr="0052530B" w:rsidRDefault="0052530B" w:rsidP="005253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39727-12-20</w:t>
    </w:r>
    <w:r>
      <w:rPr>
        <w:rFonts w:ascii="David" w:hAnsi="David"/>
        <w:color w:val="000000"/>
        <w:sz w:val="22"/>
        <w:szCs w:val="22"/>
        <w:rtl/>
      </w:rPr>
      <w:tab/>
      <w:t xml:space="preserve"> מדינת ישראל נ' אמין זאהדה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63A70"/>
    <w:multiLevelType w:val="hybridMultilevel"/>
    <w:tmpl w:val="D0F0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978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619EC"/>
    <w:rsid w:val="0031411B"/>
    <w:rsid w:val="00354267"/>
    <w:rsid w:val="0052530B"/>
    <w:rsid w:val="005619EC"/>
    <w:rsid w:val="005C65CA"/>
    <w:rsid w:val="005F5E56"/>
    <w:rsid w:val="006045C8"/>
    <w:rsid w:val="00752C80"/>
    <w:rsid w:val="00795164"/>
    <w:rsid w:val="007F3016"/>
    <w:rsid w:val="00981610"/>
    <w:rsid w:val="009A4E4C"/>
    <w:rsid w:val="00A13C8F"/>
    <w:rsid w:val="00A323CF"/>
    <w:rsid w:val="00B0087E"/>
    <w:rsid w:val="00B2625C"/>
    <w:rsid w:val="00F26F68"/>
    <w:rsid w:val="00FA3A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96724B"/>
  <w15:chartTrackingRefBased/>
  <w15:docId w15:val="{03E2C603-76B4-4C4F-B84D-E99A1CE3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19E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19EC"/>
    <w:pPr>
      <w:tabs>
        <w:tab w:val="center" w:pos="4153"/>
        <w:tab w:val="right" w:pos="8306"/>
      </w:tabs>
    </w:pPr>
  </w:style>
  <w:style w:type="character" w:customStyle="1" w:styleId="a4">
    <w:name w:val="כותרת עליונה תו"/>
    <w:link w:val="a3"/>
    <w:rsid w:val="005619EC"/>
    <w:rPr>
      <w:rFonts w:ascii="Times New Roman" w:eastAsia="Times New Roman" w:hAnsi="Times New Roman" w:cs="David"/>
      <w:sz w:val="24"/>
      <w:szCs w:val="24"/>
    </w:rPr>
  </w:style>
  <w:style w:type="paragraph" w:styleId="a5">
    <w:name w:val="footer"/>
    <w:basedOn w:val="a"/>
    <w:link w:val="a6"/>
    <w:rsid w:val="005619EC"/>
    <w:pPr>
      <w:tabs>
        <w:tab w:val="center" w:pos="4153"/>
        <w:tab w:val="right" w:pos="8306"/>
      </w:tabs>
    </w:pPr>
  </w:style>
  <w:style w:type="character" w:customStyle="1" w:styleId="a6">
    <w:name w:val="כותרת תחתונה תו"/>
    <w:link w:val="a5"/>
    <w:rsid w:val="005619EC"/>
    <w:rPr>
      <w:rFonts w:ascii="Times New Roman" w:eastAsia="Times New Roman" w:hAnsi="Times New Roman" w:cs="David"/>
      <w:sz w:val="24"/>
      <w:szCs w:val="24"/>
    </w:rPr>
  </w:style>
  <w:style w:type="table" w:styleId="a7">
    <w:name w:val="Table Grid"/>
    <w:basedOn w:val="a1"/>
    <w:rsid w:val="005619E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619EC"/>
  </w:style>
  <w:style w:type="character" w:styleId="Hyperlink">
    <w:name w:val="Hyperlink"/>
    <w:rsid w:val="005619EC"/>
    <w:rPr>
      <w:color w:val="0000FF"/>
      <w:u w:val="single"/>
    </w:rPr>
  </w:style>
  <w:style w:type="paragraph" w:styleId="a9">
    <w:name w:val="List Paragraph"/>
    <w:basedOn w:val="a"/>
    <w:qFormat/>
    <w:rsid w:val="00561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b" TargetMode="External"/><Relationship Id="rId18" Type="http://schemas.openxmlformats.org/officeDocument/2006/relationships/hyperlink" Target="http://www.nevo.co.il/case/8291683" TargetMode="External"/><Relationship Id="rId26" Type="http://schemas.openxmlformats.org/officeDocument/2006/relationships/hyperlink" Target="http://www.nevo.co.il/case/28152132" TargetMode="External"/><Relationship Id="rId39" Type="http://schemas.openxmlformats.org/officeDocument/2006/relationships/theme" Target="theme/theme1.xml"/><Relationship Id="rId21" Type="http://schemas.openxmlformats.org/officeDocument/2006/relationships/hyperlink" Target="http://www.nevo.co.il/case/27915710"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413e" TargetMode="External"/><Relationship Id="rId17" Type="http://schemas.openxmlformats.org/officeDocument/2006/relationships/hyperlink" Target="http://www.nevo.co.il/case/5821327" TargetMode="External"/><Relationship Id="rId25" Type="http://schemas.openxmlformats.org/officeDocument/2006/relationships/hyperlink" Target="http://www.nevo.co.il/case/25063920"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340a.a" TargetMode="External"/><Relationship Id="rId20" Type="http://schemas.openxmlformats.org/officeDocument/2006/relationships/hyperlink" Target="http://www.nevo.co.il/case/25824863" TargetMode="External"/><Relationship Id="rId29" Type="http://schemas.openxmlformats.org/officeDocument/2006/relationships/hyperlink" Target="http://www.nevo.co.il/case/267145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13e" TargetMode="External"/><Relationship Id="rId24" Type="http://schemas.openxmlformats.org/officeDocument/2006/relationships/hyperlink" Target="http://www.nevo.co.il/case/25824863" TargetMode="External"/><Relationship Id="rId32" Type="http://schemas.openxmlformats.org/officeDocument/2006/relationships/hyperlink" Target="http://www.nevo.co.il/case/26923758"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7503154" TargetMode="External"/><Relationship Id="rId36" Type="http://schemas.openxmlformats.org/officeDocument/2006/relationships/footer" Target="footer1.xml"/><Relationship Id="rId10" Type="http://schemas.openxmlformats.org/officeDocument/2006/relationships/hyperlink" Target="http://www.nevo.co.il/law/70301/340a.a" TargetMode="External"/><Relationship Id="rId19" Type="http://schemas.openxmlformats.org/officeDocument/2006/relationships/hyperlink" Target="http://www.nevo.co.il/case/7980162" TargetMode="External"/><Relationship Id="rId31" Type="http://schemas.openxmlformats.org/officeDocument/2006/relationships/hyperlink" Target="http://www.nevo.co.il/case/22739459"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697292" TargetMode="External"/><Relationship Id="rId27" Type="http://schemas.openxmlformats.org/officeDocument/2006/relationships/hyperlink" Target="http://www.nevo.co.il/case/25890687" TargetMode="External"/><Relationship Id="rId30" Type="http://schemas.openxmlformats.org/officeDocument/2006/relationships/hyperlink" Target="http://www.nevo.co.il/case/26568495" TargetMode="External"/><Relationship Id="rId35" Type="http://schemas.openxmlformats.org/officeDocument/2006/relationships/header" Target="header2.xml"/><Relationship Id="rId8" Type="http://schemas.openxmlformats.org/officeDocument/2006/relationships/hyperlink" Target="http://www.nevo.co.il/law/70301/29.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2404</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14397</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3997815</vt:i4>
      </vt:variant>
      <vt:variant>
        <vt:i4>75</vt:i4>
      </vt:variant>
      <vt:variant>
        <vt:i4>0</vt:i4>
      </vt:variant>
      <vt:variant>
        <vt:i4>5</vt:i4>
      </vt:variant>
      <vt:variant>
        <vt:lpwstr>http://www.nevo.co.il/case/26923758</vt:lpwstr>
      </vt:variant>
      <vt:variant>
        <vt:lpwstr/>
      </vt:variant>
      <vt:variant>
        <vt:i4>3735665</vt:i4>
      </vt:variant>
      <vt:variant>
        <vt:i4>72</vt:i4>
      </vt:variant>
      <vt:variant>
        <vt:i4>0</vt:i4>
      </vt:variant>
      <vt:variant>
        <vt:i4>5</vt:i4>
      </vt:variant>
      <vt:variant>
        <vt:lpwstr>http://www.nevo.co.il/case/22739459</vt:lpwstr>
      </vt:variant>
      <vt:variant>
        <vt:lpwstr/>
      </vt:variant>
      <vt:variant>
        <vt:i4>3539056</vt:i4>
      </vt:variant>
      <vt:variant>
        <vt:i4>69</vt:i4>
      </vt:variant>
      <vt:variant>
        <vt:i4>0</vt:i4>
      </vt:variant>
      <vt:variant>
        <vt:i4>5</vt:i4>
      </vt:variant>
      <vt:variant>
        <vt:lpwstr>http://www.nevo.co.il/case/26568495</vt:lpwstr>
      </vt:variant>
      <vt:variant>
        <vt:lpwstr/>
      </vt:variant>
      <vt:variant>
        <vt:i4>3407990</vt:i4>
      </vt:variant>
      <vt:variant>
        <vt:i4>66</vt:i4>
      </vt:variant>
      <vt:variant>
        <vt:i4>0</vt:i4>
      </vt:variant>
      <vt:variant>
        <vt:i4>5</vt:i4>
      </vt:variant>
      <vt:variant>
        <vt:lpwstr>http://www.nevo.co.il/case/26714559</vt:lpwstr>
      </vt:variant>
      <vt:variant>
        <vt:lpwstr/>
      </vt:variant>
      <vt:variant>
        <vt:i4>3211378</vt:i4>
      </vt:variant>
      <vt:variant>
        <vt:i4>63</vt:i4>
      </vt:variant>
      <vt:variant>
        <vt:i4>0</vt:i4>
      </vt:variant>
      <vt:variant>
        <vt:i4>5</vt:i4>
      </vt:variant>
      <vt:variant>
        <vt:lpwstr>http://www.nevo.co.il/case/27503154</vt:lpwstr>
      </vt:variant>
      <vt:variant>
        <vt:lpwstr/>
      </vt:variant>
      <vt:variant>
        <vt:i4>3276926</vt:i4>
      </vt:variant>
      <vt:variant>
        <vt:i4>60</vt:i4>
      </vt:variant>
      <vt:variant>
        <vt:i4>0</vt:i4>
      </vt:variant>
      <vt:variant>
        <vt:i4>5</vt:i4>
      </vt:variant>
      <vt:variant>
        <vt:lpwstr>http://www.nevo.co.il/case/25890687</vt:lpwstr>
      </vt:variant>
      <vt:variant>
        <vt:lpwstr/>
      </vt:variant>
      <vt:variant>
        <vt:i4>3276920</vt:i4>
      </vt:variant>
      <vt:variant>
        <vt:i4>57</vt:i4>
      </vt:variant>
      <vt:variant>
        <vt:i4>0</vt:i4>
      </vt:variant>
      <vt:variant>
        <vt:i4>5</vt:i4>
      </vt:variant>
      <vt:variant>
        <vt:lpwstr>http://www.nevo.co.il/case/28152132</vt:lpwstr>
      </vt:variant>
      <vt:variant>
        <vt:lpwstr/>
      </vt:variant>
      <vt:variant>
        <vt:i4>3342462</vt:i4>
      </vt:variant>
      <vt:variant>
        <vt:i4>54</vt:i4>
      </vt:variant>
      <vt:variant>
        <vt:i4>0</vt:i4>
      </vt:variant>
      <vt:variant>
        <vt:i4>5</vt:i4>
      </vt:variant>
      <vt:variant>
        <vt:lpwstr>http://www.nevo.co.il/case/25063920</vt:lpwstr>
      </vt:variant>
      <vt:variant>
        <vt:lpwstr/>
      </vt:variant>
      <vt:variant>
        <vt:i4>3670139</vt:i4>
      </vt:variant>
      <vt:variant>
        <vt:i4>51</vt:i4>
      </vt:variant>
      <vt:variant>
        <vt:i4>0</vt:i4>
      </vt:variant>
      <vt:variant>
        <vt:i4>5</vt:i4>
      </vt:variant>
      <vt:variant>
        <vt:lpwstr>http://www.nevo.co.il/case/25824863</vt:lpwstr>
      </vt:variant>
      <vt:variant>
        <vt:lpwstr/>
      </vt:variant>
      <vt:variant>
        <vt:i4>7995492</vt:i4>
      </vt:variant>
      <vt:variant>
        <vt:i4>48</vt:i4>
      </vt:variant>
      <vt:variant>
        <vt:i4>0</vt:i4>
      </vt:variant>
      <vt:variant>
        <vt:i4>5</vt:i4>
      </vt:variant>
      <vt:variant>
        <vt:lpwstr>http://www.nevo.co.il/law/70301</vt:lpwstr>
      </vt:variant>
      <vt:variant>
        <vt:lpwstr/>
      </vt:variant>
      <vt:variant>
        <vt:i4>4063356</vt:i4>
      </vt:variant>
      <vt:variant>
        <vt:i4>45</vt:i4>
      </vt:variant>
      <vt:variant>
        <vt:i4>0</vt:i4>
      </vt:variant>
      <vt:variant>
        <vt:i4>5</vt:i4>
      </vt:variant>
      <vt:variant>
        <vt:lpwstr>http://www.nevo.co.il/case/7697292</vt:lpwstr>
      </vt:variant>
      <vt:variant>
        <vt:lpwstr/>
      </vt:variant>
      <vt:variant>
        <vt:i4>4128885</vt:i4>
      </vt:variant>
      <vt:variant>
        <vt:i4>42</vt:i4>
      </vt:variant>
      <vt:variant>
        <vt:i4>0</vt:i4>
      </vt:variant>
      <vt:variant>
        <vt:i4>5</vt:i4>
      </vt:variant>
      <vt:variant>
        <vt:lpwstr>http://www.nevo.co.il/case/27915710</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3932283</vt:i4>
      </vt:variant>
      <vt:variant>
        <vt:i4>36</vt:i4>
      </vt:variant>
      <vt:variant>
        <vt:i4>0</vt:i4>
      </vt:variant>
      <vt:variant>
        <vt:i4>5</vt:i4>
      </vt:variant>
      <vt:variant>
        <vt:lpwstr>http://www.nevo.co.il/case/7980162</vt:lpwstr>
      </vt:variant>
      <vt:variant>
        <vt:lpwstr/>
      </vt:variant>
      <vt:variant>
        <vt:i4>3407999</vt:i4>
      </vt:variant>
      <vt:variant>
        <vt:i4>33</vt:i4>
      </vt:variant>
      <vt:variant>
        <vt:i4>0</vt:i4>
      </vt:variant>
      <vt:variant>
        <vt:i4>5</vt:i4>
      </vt:variant>
      <vt:variant>
        <vt:lpwstr>http://www.nevo.co.il/case/8291683</vt:lpwstr>
      </vt:variant>
      <vt:variant>
        <vt:lpwstr/>
      </vt:variant>
      <vt:variant>
        <vt:i4>3342463</vt:i4>
      </vt:variant>
      <vt:variant>
        <vt:i4>30</vt:i4>
      </vt:variant>
      <vt:variant>
        <vt:i4>0</vt:i4>
      </vt:variant>
      <vt:variant>
        <vt:i4>5</vt:i4>
      </vt:variant>
      <vt:variant>
        <vt:lpwstr>http://www.nevo.co.il/case/5821327</vt:lpwstr>
      </vt:variant>
      <vt:variant>
        <vt:lpwstr/>
      </vt:variant>
      <vt:variant>
        <vt:i4>6357112</vt:i4>
      </vt:variant>
      <vt:variant>
        <vt:i4>27</vt:i4>
      </vt:variant>
      <vt:variant>
        <vt:i4>0</vt:i4>
      </vt:variant>
      <vt:variant>
        <vt:i4>5</vt:i4>
      </vt:variant>
      <vt:variant>
        <vt:lpwstr>http://www.nevo.co.il/law/70301/340a.a</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917577</vt:i4>
      </vt:variant>
      <vt:variant>
        <vt:i4>18</vt:i4>
      </vt:variant>
      <vt:variant>
        <vt:i4>0</vt:i4>
      </vt:variant>
      <vt:variant>
        <vt:i4>5</vt:i4>
      </vt:variant>
      <vt:variant>
        <vt:lpwstr>http://www.nevo.co.il/law/70301/29.b</vt:lpwstr>
      </vt:variant>
      <vt:variant>
        <vt:lpwstr/>
      </vt:variant>
      <vt:variant>
        <vt:i4>65618</vt:i4>
      </vt:variant>
      <vt:variant>
        <vt:i4>15</vt:i4>
      </vt:variant>
      <vt:variant>
        <vt:i4>0</vt:i4>
      </vt:variant>
      <vt:variant>
        <vt:i4>5</vt:i4>
      </vt:variant>
      <vt:variant>
        <vt:lpwstr>http://www.nevo.co.il/law/70301/413e</vt:lpwstr>
      </vt:variant>
      <vt:variant>
        <vt:lpwstr/>
      </vt:variant>
      <vt:variant>
        <vt:i4>65618</vt:i4>
      </vt:variant>
      <vt:variant>
        <vt:i4>12</vt:i4>
      </vt:variant>
      <vt:variant>
        <vt:i4>0</vt:i4>
      </vt:variant>
      <vt:variant>
        <vt:i4>5</vt:i4>
      </vt:variant>
      <vt:variant>
        <vt:lpwstr>http://www.nevo.co.il/law/70301/413e</vt:lpwstr>
      </vt:variant>
      <vt:variant>
        <vt:lpwstr/>
      </vt:variant>
      <vt:variant>
        <vt:i4>6357112</vt:i4>
      </vt:variant>
      <vt:variant>
        <vt:i4>9</vt:i4>
      </vt:variant>
      <vt:variant>
        <vt:i4>0</vt:i4>
      </vt:variant>
      <vt:variant>
        <vt:i4>5</vt:i4>
      </vt:variant>
      <vt:variant>
        <vt:lpwstr>http://www.nevo.co.il/law/70301/340a.a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917577</vt:i4>
      </vt:variant>
      <vt:variant>
        <vt:i4>3</vt:i4>
      </vt:variant>
      <vt:variant>
        <vt:i4>0</vt:i4>
      </vt:variant>
      <vt:variant>
        <vt:i4>5</vt:i4>
      </vt:variant>
      <vt:variant>
        <vt:lpwstr>http://www.nevo.co.il/law/70301/29.b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2025-04-25T10:49:00Z</dcterms:created>
  <dcterms:modified xsi:type="dcterms:W3CDTF">2025-04-25T10:49:00Z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39727</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אמין זאהדה;עומר זאהדה</vt:lpwstr>
  </property>
  <property fmtid="{D5CDD505-2E9C-101B-9397-08002B2CF9AE}" pid="10" name="LAWYER">
    <vt:lpwstr>נאיל זחאלקה</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20220106</vt:lpwstr>
  </property>
  <property fmtid="{D5CDD505-2E9C-101B-9397-08002B2CF9AE}" pid="14" name="TYPE_N_DATE">
    <vt:lpwstr>39020220106</vt:lpwstr>
  </property>
  <property fmtid="{D5CDD505-2E9C-101B-9397-08002B2CF9AE}" pid="15" name="WORDNUMPAGES">
    <vt:lpwstr>8</vt:lpwstr>
  </property>
  <property fmtid="{D5CDD505-2E9C-101B-9397-08002B2CF9AE}" pid="16" name="TYPE_ABS_DATE">
    <vt:lpwstr>390020220106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5821327;8291683;7980162;25824863:2;27915710;7697292;25063920;28152132;25890687;27503154;26714559;26568495;22739459;26923758</vt:lpwstr>
  </property>
  <property fmtid="{D5CDD505-2E9C-101B-9397-08002B2CF9AE}" pid="36" name="LAWLISTTMP1">
    <vt:lpwstr>70301/413e;029.b;144.a;340a.a</vt:lpwstr>
  </property>
</Properties>
</file>