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7823DF" w:rsidRPr="00D513CA" w14:paraId="742D3BE8" w14:textId="77777777" w:rsidTr="00B86722">
        <w:trPr>
          <w:trHeight w:hRule="exact" w:val="418"/>
          <w:jc w:val="center"/>
        </w:trPr>
        <w:tc>
          <w:tcPr>
            <w:tcW w:w="8861" w:type="dxa"/>
            <w:gridSpan w:val="2"/>
          </w:tcPr>
          <w:p w14:paraId="036927EC" w14:textId="77777777" w:rsidR="007823DF" w:rsidRPr="00D513CA" w:rsidRDefault="007823DF" w:rsidP="00B86722">
            <w:pPr>
              <w:pStyle w:val="a3"/>
              <w:jc w:val="center"/>
              <w:rPr>
                <w:rFonts w:ascii="Tahoma" w:hAnsi="Tahoma" w:cs="Tahoma"/>
                <w:color w:val="000080"/>
                <w:rtl/>
              </w:rPr>
            </w:pPr>
            <w:r w:rsidRPr="00D513CA">
              <w:rPr>
                <w:rFonts w:ascii="Tahoma" w:hAnsi="Tahoma" w:cs="Tahoma"/>
                <w:b/>
                <w:bCs/>
                <w:color w:val="000080"/>
                <w:rtl/>
              </w:rPr>
              <w:t>בית המשפט המחוזי בחיפה</w:t>
            </w:r>
          </w:p>
        </w:tc>
      </w:tr>
      <w:tr w:rsidR="007823DF" w:rsidRPr="00D513CA" w14:paraId="2045A717" w14:textId="77777777" w:rsidTr="00B86722">
        <w:trPr>
          <w:trHeight w:val="337"/>
          <w:jc w:val="center"/>
        </w:trPr>
        <w:tc>
          <w:tcPr>
            <w:tcW w:w="5131" w:type="dxa"/>
          </w:tcPr>
          <w:p w14:paraId="066035CF" w14:textId="77777777" w:rsidR="007823DF" w:rsidRPr="00D513CA" w:rsidRDefault="007823DF" w:rsidP="00B86722">
            <w:pPr>
              <w:rPr>
                <w:rFonts w:cs="FrankRuehl"/>
                <w:sz w:val="28"/>
                <w:szCs w:val="28"/>
                <w:rtl/>
              </w:rPr>
            </w:pPr>
            <w:r w:rsidRPr="00D513CA">
              <w:rPr>
                <w:rFonts w:cs="FrankRuehl"/>
                <w:sz w:val="28"/>
                <w:szCs w:val="28"/>
                <w:rtl/>
              </w:rPr>
              <w:t>ת"פ</w:t>
            </w:r>
            <w:r w:rsidRPr="00D513CA">
              <w:rPr>
                <w:rFonts w:cs="FrankRuehl" w:hint="cs"/>
                <w:sz w:val="28"/>
                <w:szCs w:val="28"/>
                <w:rtl/>
              </w:rPr>
              <w:t xml:space="preserve"> </w:t>
            </w:r>
            <w:r w:rsidRPr="00D513CA">
              <w:rPr>
                <w:rFonts w:cs="FrankRuehl"/>
                <w:sz w:val="28"/>
                <w:szCs w:val="28"/>
                <w:rtl/>
              </w:rPr>
              <w:t>41762-12-20</w:t>
            </w:r>
            <w:r w:rsidRPr="00D513CA">
              <w:rPr>
                <w:rFonts w:cs="FrankRuehl" w:hint="cs"/>
                <w:sz w:val="28"/>
                <w:szCs w:val="28"/>
                <w:rtl/>
              </w:rPr>
              <w:t xml:space="preserve"> </w:t>
            </w:r>
            <w:r w:rsidRPr="00D513CA">
              <w:rPr>
                <w:rFonts w:cs="FrankRuehl"/>
                <w:sz w:val="28"/>
                <w:szCs w:val="28"/>
                <w:rtl/>
              </w:rPr>
              <w:t>מדינת ישראל נ' גרדלי</w:t>
            </w:r>
          </w:p>
          <w:p w14:paraId="33FD09DC" w14:textId="77777777" w:rsidR="007823DF" w:rsidRPr="00D513CA" w:rsidRDefault="007823DF" w:rsidP="00B86722">
            <w:pPr>
              <w:pStyle w:val="a3"/>
              <w:rPr>
                <w:rFonts w:cs="FrankRuehl"/>
                <w:sz w:val="2"/>
                <w:szCs w:val="2"/>
                <w:rtl/>
              </w:rPr>
            </w:pPr>
          </w:p>
        </w:tc>
        <w:tc>
          <w:tcPr>
            <w:tcW w:w="3730" w:type="dxa"/>
          </w:tcPr>
          <w:p w14:paraId="0D701797" w14:textId="77777777" w:rsidR="007823DF" w:rsidRPr="00D513CA" w:rsidRDefault="007823DF" w:rsidP="00B86722">
            <w:pPr>
              <w:pStyle w:val="a3"/>
              <w:jc w:val="right"/>
              <w:rPr>
                <w:rFonts w:cs="FrankRuehl"/>
                <w:sz w:val="28"/>
                <w:szCs w:val="28"/>
                <w:rtl/>
              </w:rPr>
            </w:pPr>
          </w:p>
        </w:tc>
      </w:tr>
    </w:tbl>
    <w:p w14:paraId="2B27EFC7" w14:textId="77777777" w:rsidR="007823DF" w:rsidRPr="00D513CA" w:rsidRDefault="007823DF" w:rsidP="007823DF">
      <w:pPr>
        <w:pStyle w:val="a3"/>
        <w:rPr>
          <w:sz w:val="10"/>
          <w:szCs w:val="10"/>
          <w:rtl/>
        </w:rPr>
      </w:pPr>
      <w:r w:rsidRPr="00D513CA">
        <w:rPr>
          <w:rFonts w:hint="cs"/>
          <w:rtl/>
        </w:rPr>
        <w:t xml:space="preserve"> </w:t>
      </w:r>
    </w:p>
    <w:p w14:paraId="362677A4" w14:textId="77777777" w:rsidR="007823DF" w:rsidRPr="00D513CA" w:rsidRDefault="007823DF" w:rsidP="007823DF">
      <w:pPr>
        <w:rPr>
          <w:sz w:val="26"/>
          <w:szCs w:val="26"/>
          <w:rtl/>
        </w:rPr>
      </w:pPr>
    </w:p>
    <w:p w14:paraId="7CC899F4" w14:textId="77777777" w:rsidR="007823DF" w:rsidRPr="00D513CA" w:rsidRDefault="007823DF" w:rsidP="007823DF">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823DF" w:rsidRPr="00D513CA" w14:paraId="50BC5352" w14:textId="77777777" w:rsidTr="007823DF">
        <w:trPr>
          <w:trHeight w:val="295"/>
          <w:jc w:val="center"/>
        </w:trPr>
        <w:tc>
          <w:tcPr>
            <w:tcW w:w="923" w:type="dxa"/>
            <w:tcBorders>
              <w:top w:val="nil"/>
              <w:left w:val="nil"/>
              <w:bottom w:val="nil"/>
              <w:right w:val="nil"/>
            </w:tcBorders>
            <w:shd w:val="clear" w:color="auto" w:fill="auto"/>
          </w:tcPr>
          <w:p w14:paraId="36C71B81" w14:textId="77777777" w:rsidR="007823DF" w:rsidRPr="00D513CA" w:rsidRDefault="007823DF" w:rsidP="007823DF">
            <w:pPr>
              <w:jc w:val="both"/>
              <w:rPr>
                <w:rFonts w:ascii="David" w:hAnsi="David"/>
                <w:b/>
                <w:bCs/>
                <w:sz w:val="26"/>
                <w:szCs w:val="26"/>
              </w:rPr>
            </w:pPr>
            <w:r w:rsidRPr="00D513CA">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0F76F311" w14:textId="77777777" w:rsidR="007823DF" w:rsidRPr="00D513CA" w:rsidRDefault="007823DF" w:rsidP="00B86722">
            <w:pPr>
              <w:rPr>
                <w:rFonts w:ascii="David" w:hAnsi="David"/>
                <w:b/>
                <w:bCs/>
                <w:sz w:val="26"/>
                <w:szCs w:val="26"/>
                <w:rtl/>
              </w:rPr>
            </w:pPr>
            <w:r w:rsidRPr="00D513CA">
              <w:rPr>
                <w:rFonts w:ascii="David" w:hAnsi="David"/>
                <w:b/>
                <w:bCs/>
                <w:sz w:val="26"/>
                <w:szCs w:val="26"/>
                <w:rtl/>
              </w:rPr>
              <w:t>כבוד השופטת, סגנית הנשיא  דיאנה סלע</w:t>
            </w:r>
          </w:p>
          <w:p w14:paraId="6157866D" w14:textId="77777777" w:rsidR="007823DF" w:rsidRPr="00D513CA" w:rsidRDefault="007823DF" w:rsidP="00B86722">
            <w:pPr>
              <w:rPr>
                <w:rFonts w:ascii="David" w:hAnsi="David"/>
                <w:sz w:val="26"/>
                <w:szCs w:val="26"/>
                <w:rtl/>
              </w:rPr>
            </w:pPr>
          </w:p>
          <w:p w14:paraId="75CCE6BA" w14:textId="77777777" w:rsidR="007823DF" w:rsidRPr="00D513CA" w:rsidRDefault="007823DF" w:rsidP="007823DF">
            <w:pPr>
              <w:jc w:val="both"/>
              <w:rPr>
                <w:rFonts w:ascii="David" w:hAnsi="David"/>
                <w:sz w:val="26"/>
                <w:szCs w:val="26"/>
              </w:rPr>
            </w:pPr>
          </w:p>
        </w:tc>
      </w:tr>
      <w:tr w:rsidR="007823DF" w:rsidRPr="00D513CA" w14:paraId="68E43E7F" w14:textId="77777777" w:rsidTr="007823DF">
        <w:trPr>
          <w:trHeight w:val="355"/>
          <w:jc w:val="center"/>
        </w:trPr>
        <w:tc>
          <w:tcPr>
            <w:tcW w:w="923" w:type="dxa"/>
            <w:tcBorders>
              <w:top w:val="nil"/>
              <w:left w:val="nil"/>
              <w:bottom w:val="nil"/>
              <w:right w:val="nil"/>
            </w:tcBorders>
            <w:shd w:val="clear" w:color="auto" w:fill="auto"/>
          </w:tcPr>
          <w:p w14:paraId="63D56467" w14:textId="77777777" w:rsidR="007823DF" w:rsidRPr="00D513CA" w:rsidRDefault="007823DF" w:rsidP="007823DF">
            <w:pPr>
              <w:jc w:val="both"/>
              <w:rPr>
                <w:rFonts w:ascii="David" w:hAnsi="David"/>
                <w:b/>
                <w:bCs/>
                <w:sz w:val="26"/>
                <w:szCs w:val="26"/>
              </w:rPr>
            </w:pPr>
            <w:bookmarkStart w:id="0" w:name="FirstAppellant"/>
            <w:bookmarkStart w:id="1" w:name="LastJudge"/>
            <w:bookmarkEnd w:id="1"/>
            <w:r w:rsidRPr="00D513CA">
              <w:rPr>
                <w:rFonts w:ascii="David" w:hAnsi="David"/>
                <w:b/>
                <w:bCs/>
                <w:sz w:val="26"/>
                <w:szCs w:val="26"/>
                <w:rtl/>
              </w:rPr>
              <w:t>בעניין:</w:t>
            </w:r>
          </w:p>
        </w:tc>
        <w:tc>
          <w:tcPr>
            <w:tcW w:w="4126" w:type="dxa"/>
            <w:tcBorders>
              <w:top w:val="nil"/>
              <w:left w:val="nil"/>
              <w:bottom w:val="nil"/>
              <w:right w:val="nil"/>
            </w:tcBorders>
            <w:shd w:val="clear" w:color="auto" w:fill="auto"/>
          </w:tcPr>
          <w:p w14:paraId="0C79A7AD" w14:textId="77777777" w:rsidR="007823DF" w:rsidRPr="00D513CA" w:rsidRDefault="007823DF" w:rsidP="00B86722">
            <w:pPr>
              <w:rPr>
                <w:rFonts w:ascii="David" w:hAnsi="David"/>
                <w:sz w:val="26"/>
                <w:szCs w:val="26"/>
              </w:rPr>
            </w:pPr>
            <w:r w:rsidRPr="00D513CA">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32224CAC" w14:textId="77777777" w:rsidR="007823DF" w:rsidRPr="00D513CA" w:rsidRDefault="007823DF" w:rsidP="007823DF">
            <w:pPr>
              <w:jc w:val="both"/>
              <w:rPr>
                <w:rFonts w:ascii="David" w:hAnsi="David"/>
                <w:sz w:val="26"/>
                <w:szCs w:val="26"/>
              </w:rPr>
            </w:pPr>
          </w:p>
        </w:tc>
      </w:tr>
      <w:bookmarkEnd w:id="0"/>
      <w:tr w:rsidR="007823DF" w:rsidRPr="00D513CA" w14:paraId="53075929" w14:textId="77777777" w:rsidTr="007823DF">
        <w:trPr>
          <w:trHeight w:val="355"/>
          <w:jc w:val="center"/>
        </w:trPr>
        <w:tc>
          <w:tcPr>
            <w:tcW w:w="923" w:type="dxa"/>
            <w:tcBorders>
              <w:top w:val="nil"/>
              <w:left w:val="nil"/>
              <w:bottom w:val="nil"/>
              <w:right w:val="nil"/>
            </w:tcBorders>
            <w:shd w:val="clear" w:color="auto" w:fill="auto"/>
          </w:tcPr>
          <w:p w14:paraId="173E6A14" w14:textId="77777777" w:rsidR="007823DF" w:rsidRPr="00D513CA" w:rsidRDefault="007823DF" w:rsidP="007823DF">
            <w:pPr>
              <w:jc w:val="both"/>
              <w:rPr>
                <w:rFonts w:ascii="David" w:hAnsi="David"/>
                <w:b/>
                <w:bCs/>
                <w:sz w:val="26"/>
                <w:szCs w:val="26"/>
                <w:rtl/>
              </w:rPr>
            </w:pPr>
          </w:p>
        </w:tc>
        <w:tc>
          <w:tcPr>
            <w:tcW w:w="4126" w:type="dxa"/>
            <w:tcBorders>
              <w:top w:val="nil"/>
              <w:left w:val="nil"/>
              <w:bottom w:val="nil"/>
              <w:right w:val="nil"/>
            </w:tcBorders>
            <w:shd w:val="clear" w:color="auto" w:fill="auto"/>
          </w:tcPr>
          <w:p w14:paraId="50782FDF" w14:textId="77777777" w:rsidR="007823DF" w:rsidRPr="00D513CA" w:rsidRDefault="007823DF" w:rsidP="007823DF">
            <w:pPr>
              <w:jc w:val="both"/>
              <w:rPr>
                <w:rFonts w:ascii="David" w:hAnsi="David"/>
                <w:b/>
                <w:bCs/>
                <w:sz w:val="26"/>
                <w:szCs w:val="26"/>
                <w:rtl/>
              </w:rPr>
            </w:pPr>
          </w:p>
        </w:tc>
        <w:tc>
          <w:tcPr>
            <w:tcW w:w="3771" w:type="dxa"/>
            <w:tcBorders>
              <w:top w:val="nil"/>
              <w:left w:val="nil"/>
              <w:bottom w:val="nil"/>
              <w:right w:val="nil"/>
            </w:tcBorders>
            <w:shd w:val="clear" w:color="auto" w:fill="auto"/>
          </w:tcPr>
          <w:p w14:paraId="2DD1571A" w14:textId="77777777" w:rsidR="007823DF" w:rsidRPr="00D513CA" w:rsidRDefault="007823DF" w:rsidP="007823DF">
            <w:pPr>
              <w:jc w:val="center"/>
              <w:rPr>
                <w:rFonts w:ascii="David" w:hAnsi="David"/>
                <w:b/>
                <w:bCs/>
                <w:sz w:val="26"/>
                <w:szCs w:val="26"/>
                <w:rtl/>
              </w:rPr>
            </w:pPr>
            <w:r w:rsidRPr="00D513CA">
              <w:rPr>
                <w:rFonts w:ascii="David" w:hAnsi="David"/>
                <w:b/>
                <w:bCs/>
                <w:sz w:val="26"/>
                <w:szCs w:val="26"/>
                <w:rtl/>
              </w:rPr>
              <w:t>המאשימה</w:t>
            </w:r>
          </w:p>
        </w:tc>
      </w:tr>
      <w:tr w:rsidR="007823DF" w:rsidRPr="00D513CA" w14:paraId="4A183AFD" w14:textId="77777777" w:rsidTr="007823DF">
        <w:trPr>
          <w:trHeight w:val="355"/>
          <w:jc w:val="center"/>
        </w:trPr>
        <w:tc>
          <w:tcPr>
            <w:tcW w:w="923" w:type="dxa"/>
            <w:tcBorders>
              <w:top w:val="nil"/>
              <w:left w:val="nil"/>
              <w:bottom w:val="nil"/>
              <w:right w:val="nil"/>
            </w:tcBorders>
            <w:shd w:val="clear" w:color="auto" w:fill="auto"/>
          </w:tcPr>
          <w:p w14:paraId="5BF45621" w14:textId="77777777" w:rsidR="007823DF" w:rsidRPr="00D513CA" w:rsidRDefault="007823DF" w:rsidP="007823DF">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479920D5" w14:textId="77777777" w:rsidR="007823DF" w:rsidRPr="00D513CA" w:rsidRDefault="007823DF" w:rsidP="007823DF">
            <w:pPr>
              <w:jc w:val="center"/>
              <w:rPr>
                <w:rFonts w:ascii="David" w:hAnsi="David"/>
                <w:b/>
                <w:bCs/>
                <w:sz w:val="26"/>
                <w:szCs w:val="26"/>
                <w:rtl/>
              </w:rPr>
            </w:pPr>
          </w:p>
          <w:p w14:paraId="588D53FC" w14:textId="77777777" w:rsidR="007823DF" w:rsidRPr="00D513CA" w:rsidRDefault="007823DF" w:rsidP="007823DF">
            <w:pPr>
              <w:jc w:val="center"/>
              <w:rPr>
                <w:rFonts w:ascii="David" w:hAnsi="David"/>
                <w:b/>
                <w:bCs/>
                <w:sz w:val="26"/>
                <w:szCs w:val="26"/>
                <w:rtl/>
              </w:rPr>
            </w:pPr>
            <w:r w:rsidRPr="00D513CA">
              <w:rPr>
                <w:rFonts w:ascii="David" w:hAnsi="David"/>
                <w:b/>
                <w:bCs/>
                <w:sz w:val="26"/>
                <w:szCs w:val="26"/>
                <w:rtl/>
              </w:rPr>
              <w:t>נגד</w:t>
            </w:r>
          </w:p>
          <w:p w14:paraId="40DBC4C3" w14:textId="77777777" w:rsidR="007823DF" w:rsidRPr="00D513CA" w:rsidRDefault="007823DF" w:rsidP="007823DF">
            <w:pPr>
              <w:jc w:val="both"/>
              <w:rPr>
                <w:rFonts w:ascii="David" w:hAnsi="David"/>
                <w:sz w:val="26"/>
                <w:szCs w:val="26"/>
              </w:rPr>
            </w:pPr>
          </w:p>
        </w:tc>
      </w:tr>
      <w:tr w:rsidR="007823DF" w:rsidRPr="00D513CA" w14:paraId="5552C730" w14:textId="77777777" w:rsidTr="007823DF">
        <w:trPr>
          <w:trHeight w:val="355"/>
          <w:jc w:val="center"/>
        </w:trPr>
        <w:tc>
          <w:tcPr>
            <w:tcW w:w="923" w:type="dxa"/>
            <w:tcBorders>
              <w:top w:val="nil"/>
              <w:left w:val="nil"/>
              <w:bottom w:val="nil"/>
              <w:right w:val="nil"/>
            </w:tcBorders>
            <w:shd w:val="clear" w:color="auto" w:fill="auto"/>
          </w:tcPr>
          <w:p w14:paraId="1E9BE70F" w14:textId="77777777" w:rsidR="007823DF" w:rsidRPr="00D513CA" w:rsidRDefault="007823DF" w:rsidP="00B86722">
            <w:pPr>
              <w:rPr>
                <w:rFonts w:ascii="David" w:hAnsi="David"/>
                <w:sz w:val="26"/>
                <w:szCs w:val="26"/>
                <w:rtl/>
              </w:rPr>
            </w:pPr>
          </w:p>
        </w:tc>
        <w:tc>
          <w:tcPr>
            <w:tcW w:w="4126" w:type="dxa"/>
            <w:tcBorders>
              <w:top w:val="nil"/>
              <w:left w:val="nil"/>
              <w:bottom w:val="nil"/>
              <w:right w:val="nil"/>
            </w:tcBorders>
            <w:shd w:val="clear" w:color="auto" w:fill="auto"/>
          </w:tcPr>
          <w:p w14:paraId="5DFBFA8C" w14:textId="77777777" w:rsidR="007823DF" w:rsidRPr="00D513CA" w:rsidRDefault="007823DF" w:rsidP="00B86722">
            <w:pPr>
              <w:rPr>
                <w:rFonts w:ascii="David" w:hAnsi="David"/>
                <w:sz w:val="26"/>
                <w:szCs w:val="26"/>
                <w:rtl/>
              </w:rPr>
            </w:pPr>
            <w:r w:rsidRPr="00D513CA">
              <w:rPr>
                <w:rFonts w:ascii="David" w:hAnsi="David"/>
                <w:b/>
                <w:bCs/>
                <w:sz w:val="26"/>
                <w:szCs w:val="26"/>
                <w:rtl/>
              </w:rPr>
              <w:t xml:space="preserve">אנס גרדלי </w:t>
            </w:r>
          </w:p>
        </w:tc>
        <w:tc>
          <w:tcPr>
            <w:tcW w:w="3771" w:type="dxa"/>
            <w:tcBorders>
              <w:top w:val="nil"/>
              <w:left w:val="nil"/>
              <w:bottom w:val="nil"/>
              <w:right w:val="nil"/>
            </w:tcBorders>
            <w:shd w:val="clear" w:color="auto" w:fill="auto"/>
          </w:tcPr>
          <w:p w14:paraId="26C7AD5E" w14:textId="77777777" w:rsidR="007823DF" w:rsidRPr="00D513CA" w:rsidRDefault="007823DF" w:rsidP="007823DF">
            <w:pPr>
              <w:jc w:val="right"/>
              <w:rPr>
                <w:rFonts w:ascii="David" w:hAnsi="David"/>
                <w:sz w:val="26"/>
                <w:szCs w:val="26"/>
              </w:rPr>
            </w:pPr>
          </w:p>
        </w:tc>
      </w:tr>
      <w:tr w:rsidR="007823DF" w:rsidRPr="00D513CA" w14:paraId="4ED3FF65" w14:textId="77777777" w:rsidTr="007823DF">
        <w:trPr>
          <w:trHeight w:val="355"/>
          <w:jc w:val="center"/>
        </w:trPr>
        <w:tc>
          <w:tcPr>
            <w:tcW w:w="923" w:type="dxa"/>
            <w:tcBorders>
              <w:top w:val="nil"/>
              <w:left w:val="nil"/>
              <w:bottom w:val="nil"/>
              <w:right w:val="nil"/>
            </w:tcBorders>
            <w:shd w:val="clear" w:color="auto" w:fill="auto"/>
          </w:tcPr>
          <w:p w14:paraId="63B066AF" w14:textId="77777777" w:rsidR="007823DF" w:rsidRPr="00D513CA" w:rsidRDefault="007823DF" w:rsidP="007823DF">
            <w:pPr>
              <w:jc w:val="both"/>
              <w:rPr>
                <w:rFonts w:ascii="David" w:hAnsi="David"/>
                <w:sz w:val="26"/>
                <w:szCs w:val="26"/>
                <w:rtl/>
              </w:rPr>
            </w:pPr>
          </w:p>
        </w:tc>
        <w:tc>
          <w:tcPr>
            <w:tcW w:w="4126" w:type="dxa"/>
            <w:tcBorders>
              <w:top w:val="nil"/>
              <w:left w:val="nil"/>
              <w:bottom w:val="nil"/>
              <w:right w:val="nil"/>
            </w:tcBorders>
            <w:shd w:val="clear" w:color="auto" w:fill="auto"/>
          </w:tcPr>
          <w:p w14:paraId="01603726" w14:textId="77777777" w:rsidR="007823DF" w:rsidRPr="00D513CA" w:rsidRDefault="007823DF" w:rsidP="007823DF">
            <w:pPr>
              <w:jc w:val="both"/>
              <w:rPr>
                <w:rFonts w:ascii="David" w:hAnsi="David"/>
                <w:sz w:val="26"/>
                <w:szCs w:val="26"/>
                <w:rtl/>
              </w:rPr>
            </w:pPr>
          </w:p>
        </w:tc>
        <w:tc>
          <w:tcPr>
            <w:tcW w:w="3771" w:type="dxa"/>
            <w:tcBorders>
              <w:top w:val="nil"/>
              <w:left w:val="nil"/>
              <w:bottom w:val="nil"/>
              <w:right w:val="nil"/>
            </w:tcBorders>
            <w:shd w:val="clear" w:color="auto" w:fill="auto"/>
          </w:tcPr>
          <w:p w14:paraId="63304BAC" w14:textId="77777777" w:rsidR="007823DF" w:rsidRPr="00D513CA" w:rsidRDefault="007823DF" w:rsidP="007823DF">
            <w:pPr>
              <w:jc w:val="center"/>
              <w:rPr>
                <w:rFonts w:ascii="David" w:hAnsi="David"/>
                <w:sz w:val="26"/>
                <w:szCs w:val="26"/>
              </w:rPr>
            </w:pPr>
            <w:r w:rsidRPr="00D513CA">
              <w:rPr>
                <w:rFonts w:ascii="David" w:hAnsi="David"/>
                <w:b/>
                <w:bCs/>
                <w:sz w:val="26"/>
                <w:szCs w:val="26"/>
                <w:rtl/>
              </w:rPr>
              <w:t>הנאשם</w:t>
            </w:r>
          </w:p>
        </w:tc>
      </w:tr>
    </w:tbl>
    <w:p w14:paraId="35F998F0" w14:textId="77777777" w:rsidR="007823DF" w:rsidRPr="00D513CA" w:rsidRDefault="007823DF" w:rsidP="007823DF">
      <w:pPr>
        <w:rPr>
          <w:sz w:val="26"/>
          <w:szCs w:val="26"/>
        </w:rPr>
      </w:pPr>
    </w:p>
    <w:p w14:paraId="436D0175" w14:textId="77777777" w:rsidR="00092D73" w:rsidRDefault="00092D73" w:rsidP="00092D73">
      <w:pPr>
        <w:rPr>
          <w:rFonts w:ascii="David" w:hAnsi="David"/>
          <w:sz w:val="26"/>
          <w:szCs w:val="26"/>
          <w:rtl/>
        </w:rPr>
      </w:pPr>
      <w:bookmarkStart w:id="2" w:name="LawTable"/>
      <w:bookmarkEnd w:id="2"/>
    </w:p>
    <w:p w14:paraId="47DDD047" w14:textId="77777777" w:rsidR="00092D73" w:rsidRPr="00092D73" w:rsidRDefault="00092D73" w:rsidP="00092D73">
      <w:pPr>
        <w:spacing w:before="120" w:after="120" w:line="240" w:lineRule="exact"/>
        <w:ind w:left="283" w:hanging="283"/>
        <w:jc w:val="both"/>
        <w:rPr>
          <w:rFonts w:ascii="FrankRuehl" w:hAnsi="FrankRuehl" w:cs="FrankRuehl"/>
          <w:rtl/>
        </w:rPr>
      </w:pPr>
    </w:p>
    <w:p w14:paraId="238C076A" w14:textId="77777777" w:rsidR="00092D73" w:rsidRPr="00092D73" w:rsidRDefault="00092D73" w:rsidP="00092D73">
      <w:pPr>
        <w:spacing w:before="120" w:after="120" w:line="240" w:lineRule="exact"/>
        <w:ind w:left="283" w:hanging="283"/>
        <w:jc w:val="both"/>
        <w:rPr>
          <w:rFonts w:ascii="FrankRuehl" w:hAnsi="FrankRuehl" w:cs="FrankRuehl"/>
          <w:rtl/>
        </w:rPr>
      </w:pPr>
    </w:p>
    <w:p w14:paraId="4E053C42" w14:textId="77777777" w:rsidR="00092D73" w:rsidRPr="00092D73" w:rsidRDefault="00092D73" w:rsidP="00092D73">
      <w:pPr>
        <w:spacing w:before="120" w:after="120" w:line="240" w:lineRule="exact"/>
        <w:ind w:left="283" w:hanging="283"/>
        <w:jc w:val="both"/>
        <w:rPr>
          <w:rFonts w:ascii="FrankRuehl" w:hAnsi="FrankRuehl" w:cs="FrankRuehl"/>
          <w:rtl/>
        </w:rPr>
      </w:pPr>
      <w:r w:rsidRPr="00092D73">
        <w:rPr>
          <w:rFonts w:ascii="FrankRuehl" w:hAnsi="FrankRuehl" w:cs="FrankRuehl"/>
          <w:rtl/>
        </w:rPr>
        <w:t xml:space="preserve">חקיקה שאוזכרה: </w:t>
      </w:r>
    </w:p>
    <w:p w14:paraId="39E58625" w14:textId="77777777" w:rsidR="00092D73" w:rsidRPr="00092D73" w:rsidRDefault="00092D73" w:rsidP="00092D73">
      <w:pPr>
        <w:spacing w:before="120" w:after="120" w:line="240" w:lineRule="exact"/>
        <w:ind w:left="283" w:hanging="283"/>
        <w:jc w:val="both"/>
        <w:rPr>
          <w:rFonts w:ascii="FrankRuehl" w:hAnsi="FrankRuehl" w:cs="FrankRuehl"/>
          <w:rtl/>
        </w:rPr>
      </w:pPr>
      <w:hyperlink r:id="rId6" w:history="1">
        <w:r w:rsidRPr="00092D73">
          <w:rPr>
            <w:rFonts w:ascii="FrankRuehl" w:hAnsi="FrankRuehl" w:cs="FrankRuehl"/>
            <w:color w:val="0000FF"/>
            <w:rtl/>
          </w:rPr>
          <w:t>חוק העונשין, תשל"ז-1977</w:t>
        </w:r>
      </w:hyperlink>
      <w:r w:rsidRPr="00092D73">
        <w:rPr>
          <w:rFonts w:ascii="FrankRuehl" w:hAnsi="FrankRuehl" w:cs="FrankRuehl"/>
          <w:rtl/>
        </w:rPr>
        <w:t xml:space="preserve">: סע'  </w:t>
      </w:r>
      <w:hyperlink r:id="rId7" w:history="1">
        <w:r w:rsidRPr="00092D73">
          <w:rPr>
            <w:rFonts w:ascii="FrankRuehl" w:hAnsi="FrankRuehl" w:cs="FrankRuehl"/>
            <w:color w:val="0000FF"/>
            <w:rtl/>
          </w:rPr>
          <w:t>40 ג'</w:t>
        </w:r>
      </w:hyperlink>
      <w:r w:rsidRPr="00092D73">
        <w:rPr>
          <w:rFonts w:ascii="FrankRuehl" w:hAnsi="FrankRuehl" w:cs="FrankRuehl"/>
          <w:rtl/>
        </w:rPr>
        <w:t xml:space="preserve">, </w:t>
      </w:r>
      <w:hyperlink r:id="rId8" w:history="1">
        <w:r w:rsidRPr="00092D73">
          <w:rPr>
            <w:rFonts w:ascii="FrankRuehl" w:hAnsi="FrankRuehl" w:cs="FrankRuehl"/>
            <w:color w:val="0000FF"/>
            <w:rtl/>
          </w:rPr>
          <w:t>40ו</w:t>
        </w:r>
      </w:hyperlink>
      <w:r w:rsidRPr="00092D73">
        <w:rPr>
          <w:rFonts w:ascii="FrankRuehl" w:hAnsi="FrankRuehl" w:cs="FrankRuehl"/>
          <w:rtl/>
        </w:rPr>
        <w:t xml:space="preserve">, </w:t>
      </w:r>
      <w:hyperlink r:id="rId9" w:history="1">
        <w:r w:rsidRPr="00092D73">
          <w:rPr>
            <w:rFonts w:ascii="FrankRuehl" w:hAnsi="FrankRuehl" w:cs="FrankRuehl"/>
            <w:color w:val="0000FF"/>
            <w:rtl/>
          </w:rPr>
          <w:t>40ז</w:t>
        </w:r>
      </w:hyperlink>
      <w:r w:rsidRPr="00092D73">
        <w:rPr>
          <w:rFonts w:ascii="FrankRuehl" w:hAnsi="FrankRuehl" w:cs="FrankRuehl"/>
          <w:rtl/>
        </w:rPr>
        <w:t xml:space="preserve">, </w:t>
      </w:r>
      <w:hyperlink r:id="rId10" w:history="1">
        <w:r w:rsidRPr="00092D73">
          <w:rPr>
            <w:rFonts w:ascii="FrankRuehl" w:hAnsi="FrankRuehl" w:cs="FrankRuehl"/>
            <w:color w:val="0000FF"/>
            <w:rtl/>
          </w:rPr>
          <w:t>40ט</w:t>
        </w:r>
      </w:hyperlink>
      <w:r w:rsidRPr="00092D73">
        <w:rPr>
          <w:rFonts w:ascii="FrankRuehl" w:hAnsi="FrankRuehl" w:cs="FrankRuehl"/>
          <w:rtl/>
        </w:rPr>
        <w:t xml:space="preserve">, </w:t>
      </w:r>
      <w:hyperlink r:id="rId11" w:history="1">
        <w:r w:rsidRPr="00092D73">
          <w:rPr>
            <w:rFonts w:ascii="FrankRuehl" w:hAnsi="FrankRuehl" w:cs="FrankRuehl"/>
            <w:color w:val="0000FF"/>
            <w:rtl/>
          </w:rPr>
          <w:t>40י.(ג)</w:t>
        </w:r>
      </w:hyperlink>
      <w:r w:rsidRPr="00092D73">
        <w:rPr>
          <w:rFonts w:ascii="FrankRuehl" w:hAnsi="FrankRuehl" w:cs="FrankRuehl"/>
          <w:rtl/>
        </w:rPr>
        <w:t xml:space="preserve">, </w:t>
      </w:r>
      <w:hyperlink r:id="rId12" w:history="1">
        <w:r w:rsidRPr="00092D73">
          <w:rPr>
            <w:rFonts w:ascii="FrankRuehl" w:hAnsi="FrankRuehl" w:cs="FrankRuehl"/>
            <w:color w:val="0000FF"/>
            <w:rtl/>
          </w:rPr>
          <w:t>144(א)</w:t>
        </w:r>
      </w:hyperlink>
      <w:r w:rsidRPr="00092D73">
        <w:rPr>
          <w:rFonts w:ascii="FrankRuehl" w:hAnsi="FrankRuehl" w:cs="FrankRuehl"/>
          <w:rtl/>
        </w:rPr>
        <w:t xml:space="preserve">, </w:t>
      </w:r>
      <w:hyperlink r:id="rId13" w:history="1">
        <w:r w:rsidRPr="00092D73">
          <w:rPr>
            <w:rFonts w:ascii="FrankRuehl" w:hAnsi="FrankRuehl" w:cs="FrankRuehl"/>
            <w:color w:val="0000FF"/>
            <w:rtl/>
          </w:rPr>
          <w:t>144(ג)(3)</w:t>
        </w:r>
      </w:hyperlink>
    </w:p>
    <w:p w14:paraId="35580EF0" w14:textId="77777777" w:rsidR="00092D73" w:rsidRPr="00092D73" w:rsidRDefault="00092D73" w:rsidP="00092D73">
      <w:pPr>
        <w:rPr>
          <w:rFonts w:ascii="David" w:hAnsi="David"/>
          <w:sz w:val="26"/>
          <w:szCs w:val="26"/>
          <w:rtl/>
        </w:rPr>
      </w:pPr>
      <w:bookmarkStart w:id="3" w:name="LawTable_End"/>
      <w:bookmarkEnd w:id="3"/>
    </w:p>
    <w:p w14:paraId="0E41CA55" w14:textId="77777777" w:rsidR="007823DF" w:rsidRPr="00792008" w:rsidRDefault="007823DF" w:rsidP="00792008">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823DF" w14:paraId="698D3913" w14:textId="77777777" w:rsidTr="007823DF">
        <w:trPr>
          <w:trHeight w:val="355"/>
          <w:jc w:val="center"/>
        </w:trPr>
        <w:tc>
          <w:tcPr>
            <w:tcW w:w="8820" w:type="dxa"/>
            <w:tcBorders>
              <w:top w:val="nil"/>
              <w:left w:val="nil"/>
              <w:bottom w:val="nil"/>
              <w:right w:val="nil"/>
            </w:tcBorders>
            <w:shd w:val="clear" w:color="auto" w:fill="auto"/>
          </w:tcPr>
          <w:p w14:paraId="0CFBDAC0" w14:textId="77777777" w:rsidR="00D513CA" w:rsidRPr="00D513CA" w:rsidRDefault="00D513CA" w:rsidP="00D513CA">
            <w:pPr>
              <w:jc w:val="center"/>
              <w:rPr>
                <w:rFonts w:ascii="David" w:hAnsi="David"/>
                <w:b/>
                <w:bCs/>
                <w:sz w:val="32"/>
                <w:szCs w:val="32"/>
                <w:u w:val="single"/>
                <w:rtl/>
              </w:rPr>
            </w:pPr>
            <w:bookmarkStart w:id="4" w:name="PsakDin" w:colFirst="0" w:colLast="0"/>
            <w:r w:rsidRPr="00D513CA">
              <w:rPr>
                <w:rFonts w:ascii="David" w:hAnsi="David"/>
                <w:b/>
                <w:bCs/>
                <w:sz w:val="32"/>
                <w:szCs w:val="32"/>
                <w:u w:val="single"/>
                <w:rtl/>
              </w:rPr>
              <w:t>גזר דין</w:t>
            </w:r>
          </w:p>
          <w:p w14:paraId="3503B03F" w14:textId="77777777" w:rsidR="007823DF" w:rsidRPr="00D513CA" w:rsidRDefault="007823DF" w:rsidP="00D513CA">
            <w:pPr>
              <w:jc w:val="center"/>
              <w:rPr>
                <w:rFonts w:ascii="David" w:hAnsi="David"/>
                <w:bCs/>
                <w:sz w:val="32"/>
                <w:szCs w:val="32"/>
                <w:u w:val="single"/>
                <w:rtl/>
              </w:rPr>
            </w:pPr>
          </w:p>
        </w:tc>
      </w:tr>
      <w:bookmarkEnd w:id="4"/>
    </w:tbl>
    <w:p w14:paraId="69D38616" w14:textId="77777777" w:rsidR="007823DF" w:rsidRPr="002B7D23" w:rsidRDefault="007823DF" w:rsidP="007823DF">
      <w:pPr>
        <w:rPr>
          <w:rFonts w:ascii="David" w:hAnsi="David"/>
          <w:sz w:val="26"/>
          <w:szCs w:val="26"/>
          <w:rtl/>
        </w:rPr>
      </w:pPr>
    </w:p>
    <w:p w14:paraId="72CBE151" w14:textId="77777777" w:rsidR="007823DF" w:rsidRDefault="007823DF" w:rsidP="007823DF">
      <w:pPr>
        <w:bidi w:val="0"/>
        <w:rPr>
          <w:rFonts w:ascii="David" w:hAnsi="David"/>
          <w:sz w:val="26"/>
          <w:szCs w:val="26"/>
          <w:rtl/>
        </w:rPr>
      </w:pPr>
    </w:p>
    <w:p w14:paraId="128FCCC6" w14:textId="77777777" w:rsidR="007823DF" w:rsidRDefault="007823DF" w:rsidP="007823DF">
      <w:pPr>
        <w:pStyle w:val="a9"/>
        <w:spacing w:line="360" w:lineRule="auto"/>
        <w:ind w:left="720" w:hanging="720"/>
        <w:jc w:val="both"/>
        <w:rPr>
          <w:rFonts w:ascii="David" w:hAnsi="David" w:cs="David"/>
          <w:sz w:val="24"/>
          <w:szCs w:val="24"/>
          <w:rtl/>
        </w:rPr>
      </w:pPr>
      <w:r>
        <w:rPr>
          <w:rFonts w:ascii="David" w:hAnsi="David" w:cs="David"/>
          <w:b/>
          <w:bCs/>
          <w:sz w:val="24"/>
          <w:szCs w:val="24"/>
          <w:rtl/>
        </w:rPr>
        <w:t>1</w:t>
      </w:r>
      <w:r>
        <w:rPr>
          <w:rFonts w:ascii="David" w:hAnsi="David" w:cs="David"/>
          <w:sz w:val="24"/>
          <w:szCs w:val="24"/>
          <w:rtl/>
        </w:rPr>
        <w:t>.</w:t>
      </w:r>
      <w:r>
        <w:rPr>
          <w:rFonts w:ascii="David" w:hAnsi="David" w:cs="David"/>
          <w:sz w:val="24"/>
          <w:szCs w:val="24"/>
          <w:rtl/>
        </w:rPr>
        <w:tab/>
      </w:r>
      <w:bookmarkStart w:id="5" w:name="ABSTRACT_START"/>
      <w:bookmarkEnd w:id="5"/>
      <w:r>
        <w:rPr>
          <w:rFonts w:ascii="David" w:hAnsi="David" w:cs="David"/>
          <w:sz w:val="24"/>
          <w:szCs w:val="24"/>
          <w:rtl/>
        </w:rPr>
        <w:t xml:space="preserve">הנאשם, יליד 01', הורשע על יסוד הודייתו בעובדות כתב אישום אשר תוקן במסגרת הסדר טיעון, בעבירה של </w:t>
      </w:r>
      <w:r>
        <w:rPr>
          <w:rFonts w:ascii="David" w:hAnsi="David" w:cs="David"/>
          <w:b/>
          <w:bCs/>
          <w:sz w:val="24"/>
          <w:szCs w:val="24"/>
          <w:rtl/>
        </w:rPr>
        <w:t>החזקת נשק</w:t>
      </w:r>
      <w:r>
        <w:rPr>
          <w:rFonts w:ascii="David" w:hAnsi="David" w:cs="David"/>
          <w:sz w:val="24"/>
          <w:szCs w:val="24"/>
          <w:rtl/>
        </w:rPr>
        <w:t xml:space="preserve"> -  לפי </w:t>
      </w:r>
      <w:hyperlink r:id="rId14" w:history="1">
        <w:r w:rsidR="00792008" w:rsidRPr="00792008">
          <w:rPr>
            <w:rStyle w:val="Hyperlink"/>
            <w:rFonts w:ascii="David" w:hAnsi="David" w:cs="David"/>
            <w:sz w:val="24"/>
            <w:szCs w:val="24"/>
            <w:rtl/>
          </w:rPr>
          <w:t>סעיף 144(א)</w:t>
        </w:r>
      </w:hyperlink>
      <w:r>
        <w:rPr>
          <w:rFonts w:ascii="David" w:hAnsi="David" w:cs="David"/>
          <w:sz w:val="24"/>
          <w:szCs w:val="24"/>
          <w:rtl/>
        </w:rPr>
        <w:t xml:space="preserve"> רישא ו-</w:t>
      </w:r>
      <w:hyperlink r:id="rId15" w:history="1">
        <w:r w:rsidR="00792008" w:rsidRPr="00792008">
          <w:rPr>
            <w:rStyle w:val="Hyperlink"/>
            <w:rFonts w:ascii="David" w:hAnsi="David" w:cs="David"/>
            <w:sz w:val="24"/>
            <w:szCs w:val="24"/>
            <w:rtl/>
          </w:rPr>
          <w:t>144(ג)(3)</w:t>
        </w:r>
      </w:hyperlink>
      <w:r>
        <w:rPr>
          <w:rFonts w:ascii="David" w:hAnsi="David" w:cs="David"/>
          <w:sz w:val="24"/>
          <w:szCs w:val="24"/>
          <w:rtl/>
        </w:rPr>
        <w:t xml:space="preserve"> ל</w:t>
      </w:r>
      <w:hyperlink r:id="rId16" w:history="1">
        <w:r w:rsidR="00D513CA" w:rsidRPr="00D513CA">
          <w:rPr>
            <w:rFonts w:ascii="David" w:hAnsi="David" w:cs="David"/>
            <w:color w:val="0000FF"/>
            <w:sz w:val="24"/>
            <w:szCs w:val="24"/>
            <w:u w:val="single"/>
            <w:rtl/>
          </w:rPr>
          <w:t>חוק העונשין</w:t>
        </w:r>
      </w:hyperlink>
      <w:r>
        <w:rPr>
          <w:rFonts w:ascii="David" w:hAnsi="David" w:cs="David"/>
          <w:sz w:val="24"/>
          <w:szCs w:val="24"/>
          <w:rtl/>
        </w:rPr>
        <w:t>, תשל"ז-1977</w:t>
      </w:r>
      <w:bookmarkStart w:id="6" w:name="ABSTRACT_END"/>
      <w:bookmarkEnd w:id="6"/>
      <w:r>
        <w:rPr>
          <w:rFonts w:ascii="David" w:hAnsi="David" w:cs="David"/>
          <w:sz w:val="24"/>
          <w:szCs w:val="24"/>
          <w:rtl/>
        </w:rPr>
        <w:t xml:space="preserve"> (להלן: חוק העונשין). </w:t>
      </w:r>
    </w:p>
    <w:p w14:paraId="31AF9495" w14:textId="77777777" w:rsidR="007823DF" w:rsidRDefault="007823DF" w:rsidP="007823DF">
      <w:pPr>
        <w:pStyle w:val="a9"/>
        <w:spacing w:line="360" w:lineRule="auto"/>
        <w:ind w:left="720" w:hanging="720"/>
        <w:jc w:val="both"/>
        <w:rPr>
          <w:rFonts w:ascii="David" w:hAnsi="David" w:cs="David"/>
          <w:sz w:val="24"/>
          <w:szCs w:val="24"/>
          <w:rtl/>
        </w:rPr>
      </w:pPr>
    </w:p>
    <w:p w14:paraId="37E3EB00" w14:textId="77777777" w:rsidR="007823DF" w:rsidRDefault="007823DF" w:rsidP="007823DF">
      <w:pPr>
        <w:pStyle w:val="a9"/>
        <w:spacing w:line="360" w:lineRule="auto"/>
        <w:jc w:val="both"/>
        <w:rPr>
          <w:rFonts w:ascii="David" w:hAnsi="David" w:cs="David"/>
          <w:b/>
          <w:bCs/>
          <w:sz w:val="24"/>
          <w:szCs w:val="24"/>
          <w:u w:val="single"/>
          <w:rtl/>
        </w:rPr>
      </w:pPr>
      <w:r>
        <w:rPr>
          <w:rFonts w:ascii="David" w:hAnsi="David" w:cs="David"/>
          <w:b/>
          <w:bCs/>
          <w:sz w:val="24"/>
          <w:szCs w:val="24"/>
          <w:rtl/>
        </w:rPr>
        <w:t>2.</w:t>
      </w:r>
      <w:r>
        <w:rPr>
          <w:rFonts w:ascii="David" w:hAnsi="David" w:cs="David"/>
          <w:b/>
          <w:bCs/>
          <w:sz w:val="24"/>
          <w:szCs w:val="24"/>
          <w:rtl/>
        </w:rPr>
        <w:tab/>
      </w:r>
      <w:r>
        <w:rPr>
          <w:rFonts w:ascii="David" w:hAnsi="David" w:cs="David"/>
          <w:b/>
          <w:bCs/>
          <w:sz w:val="24"/>
          <w:szCs w:val="24"/>
          <w:u w:val="single"/>
          <w:rtl/>
        </w:rPr>
        <w:t>עובדות כתב האישום המתוקן</w:t>
      </w:r>
    </w:p>
    <w:p w14:paraId="3DBB34CB" w14:textId="77777777" w:rsidR="007823DF" w:rsidRDefault="007823DF" w:rsidP="007823DF">
      <w:pPr>
        <w:pStyle w:val="a9"/>
        <w:spacing w:line="360" w:lineRule="auto"/>
        <w:ind w:left="720" w:hanging="720"/>
        <w:jc w:val="both"/>
        <w:rPr>
          <w:rFonts w:ascii="David" w:hAnsi="David" w:cs="David"/>
          <w:sz w:val="24"/>
          <w:szCs w:val="24"/>
          <w:rtl/>
        </w:rPr>
      </w:pPr>
      <w:r>
        <w:rPr>
          <w:rFonts w:ascii="David" w:hAnsi="David" w:cs="David"/>
          <w:sz w:val="24"/>
          <w:szCs w:val="24"/>
          <w:rtl/>
        </w:rPr>
        <w:tab/>
      </w:r>
      <w:r>
        <w:rPr>
          <w:rFonts w:ascii="David" w:hAnsi="David" w:cs="David"/>
          <w:b/>
          <w:bCs/>
          <w:sz w:val="24"/>
          <w:szCs w:val="24"/>
          <w:rtl/>
        </w:rPr>
        <w:t>א.</w:t>
      </w:r>
      <w:r>
        <w:rPr>
          <w:rFonts w:ascii="David" w:hAnsi="David" w:cs="David"/>
          <w:sz w:val="24"/>
          <w:szCs w:val="24"/>
          <w:rtl/>
        </w:rPr>
        <w:t xml:space="preserve"> בתאריך 2/12/20, בשעה 23:40 או בסמוך לכך, החזיק הנאשם, תושב כפר יאסיף, מטען חבלה פירוטכני מאולתר ברכב מסוג הונדה, מ.ר. 75-880-67 שבבעלותו ביישוב אבו סנאן (להלן: המטען, הרכב ואבו סנאן, בהתאמה). המטען הורכב מחיבור שתי פחיות משקה עשויות מתכת באמצעות סרט הדבקה שחור לכדי מיכל שהכיל אבק שריפה, אשר בין מרכיביו דיפניל וחומר נפץ מסוג ניטרוגליצרין. כמו כן הכיל המטען 5 קליעים של כדורי נשק קל מסוג 5.56 ותרמיל של נשק קל מסוג 5.56 (להלן: הנשק). </w:t>
      </w:r>
    </w:p>
    <w:p w14:paraId="51E528C3" w14:textId="77777777" w:rsidR="007823DF" w:rsidRDefault="007823DF" w:rsidP="007823DF">
      <w:pPr>
        <w:pStyle w:val="a9"/>
        <w:spacing w:line="360" w:lineRule="auto"/>
        <w:ind w:left="720"/>
        <w:jc w:val="both"/>
        <w:rPr>
          <w:rFonts w:ascii="David" w:hAnsi="David" w:cs="David"/>
          <w:sz w:val="16"/>
          <w:szCs w:val="16"/>
          <w:rtl/>
        </w:rPr>
      </w:pPr>
    </w:p>
    <w:p w14:paraId="5F599296" w14:textId="77777777" w:rsidR="007823DF" w:rsidRDefault="007823DF" w:rsidP="007823DF">
      <w:pPr>
        <w:pStyle w:val="a9"/>
        <w:spacing w:line="360" w:lineRule="auto"/>
        <w:ind w:left="720"/>
        <w:jc w:val="both"/>
        <w:rPr>
          <w:rFonts w:ascii="David" w:hAnsi="David" w:cs="David"/>
          <w:sz w:val="24"/>
          <w:szCs w:val="24"/>
          <w:rtl/>
        </w:rPr>
      </w:pPr>
      <w:r>
        <w:rPr>
          <w:rFonts w:ascii="David" w:hAnsi="David" w:cs="David"/>
          <w:sz w:val="24"/>
          <w:szCs w:val="24"/>
          <w:rtl/>
        </w:rPr>
        <w:t xml:space="preserve">המטען היה ללא אמצעי יזימה, כאשר אמצעי היזימה הנחוץ להפעלתו או התפוצצותו הוא פתיל הדלקה, זיקוק עוגה או נפץ חבלה. </w:t>
      </w:r>
    </w:p>
    <w:p w14:paraId="0A5964DB" w14:textId="77777777" w:rsidR="007823DF" w:rsidRDefault="007823DF" w:rsidP="007823DF">
      <w:pPr>
        <w:pStyle w:val="a9"/>
        <w:spacing w:line="360" w:lineRule="auto"/>
        <w:ind w:left="720"/>
        <w:jc w:val="both"/>
        <w:rPr>
          <w:rFonts w:ascii="David" w:hAnsi="David" w:cs="David"/>
          <w:sz w:val="12"/>
          <w:szCs w:val="12"/>
          <w:rtl/>
        </w:rPr>
      </w:pPr>
    </w:p>
    <w:p w14:paraId="227EC94D" w14:textId="77777777" w:rsidR="007823DF" w:rsidRDefault="007823DF" w:rsidP="007823DF">
      <w:pPr>
        <w:pStyle w:val="a9"/>
        <w:spacing w:line="360" w:lineRule="auto"/>
        <w:ind w:left="720"/>
        <w:jc w:val="both"/>
        <w:rPr>
          <w:rFonts w:ascii="David" w:hAnsi="David" w:cs="David"/>
          <w:sz w:val="24"/>
          <w:szCs w:val="24"/>
          <w:rtl/>
        </w:rPr>
      </w:pPr>
      <w:r>
        <w:rPr>
          <w:rFonts w:ascii="David" w:hAnsi="David" w:cs="David"/>
          <w:sz w:val="24"/>
          <w:szCs w:val="24"/>
          <w:rtl/>
        </w:rPr>
        <w:t xml:space="preserve">בכוחו של הנשק לגרום לנזק בעת הפעלתו או התפוצצותו, שחומרתו נעה החל מגרימת צפצופים באוזניים, פציעות שטחיות, כוויות, ועד לרמה של קטיעת איבר. </w:t>
      </w:r>
    </w:p>
    <w:p w14:paraId="74FD5B19" w14:textId="77777777" w:rsidR="007823DF" w:rsidRPr="003A6371" w:rsidRDefault="007823DF" w:rsidP="007823DF">
      <w:pPr>
        <w:pStyle w:val="a9"/>
        <w:spacing w:line="360" w:lineRule="auto"/>
        <w:ind w:left="720"/>
        <w:jc w:val="both"/>
        <w:rPr>
          <w:rFonts w:ascii="David" w:hAnsi="David" w:cs="David"/>
          <w:sz w:val="18"/>
          <w:szCs w:val="18"/>
          <w:rtl/>
        </w:rPr>
      </w:pPr>
    </w:p>
    <w:p w14:paraId="369CBCE7" w14:textId="77777777" w:rsidR="007823DF" w:rsidRDefault="007823DF" w:rsidP="007823DF">
      <w:pPr>
        <w:pStyle w:val="a9"/>
        <w:spacing w:line="360" w:lineRule="auto"/>
        <w:ind w:left="720"/>
        <w:jc w:val="both"/>
        <w:rPr>
          <w:rFonts w:ascii="David" w:hAnsi="David" w:cs="David"/>
          <w:sz w:val="24"/>
          <w:szCs w:val="24"/>
          <w:rtl/>
        </w:rPr>
      </w:pPr>
      <w:r>
        <w:rPr>
          <w:rFonts w:ascii="David" w:hAnsi="David" w:cs="David"/>
          <w:b/>
          <w:bCs/>
          <w:sz w:val="24"/>
          <w:szCs w:val="24"/>
          <w:rtl/>
        </w:rPr>
        <w:t>ב.</w:t>
      </w:r>
      <w:r>
        <w:rPr>
          <w:rFonts w:ascii="David" w:hAnsi="David" w:cs="David"/>
          <w:sz w:val="24"/>
          <w:szCs w:val="24"/>
          <w:rtl/>
        </w:rPr>
        <w:t xml:space="preserve"> במהלך חיפוש שנערך ברכב על ידי המשטרה, אותר הנשק בתוך שקית בחלקו האחורי של מושב הנהג שברכב.</w:t>
      </w:r>
    </w:p>
    <w:p w14:paraId="3607B645" w14:textId="77777777" w:rsidR="007823DF" w:rsidRPr="00EF7255" w:rsidRDefault="007823DF" w:rsidP="007823DF">
      <w:pPr>
        <w:pStyle w:val="a9"/>
        <w:spacing w:line="360" w:lineRule="auto"/>
        <w:ind w:left="720"/>
        <w:jc w:val="both"/>
        <w:rPr>
          <w:rFonts w:ascii="David" w:hAnsi="David" w:cs="David"/>
          <w:sz w:val="16"/>
          <w:szCs w:val="16"/>
          <w:rtl/>
        </w:rPr>
      </w:pPr>
    </w:p>
    <w:p w14:paraId="60E8526D" w14:textId="77777777" w:rsidR="007823DF" w:rsidRDefault="007823DF" w:rsidP="007823DF">
      <w:pPr>
        <w:pStyle w:val="a9"/>
        <w:spacing w:line="360" w:lineRule="auto"/>
        <w:ind w:left="720"/>
        <w:jc w:val="both"/>
        <w:rPr>
          <w:rFonts w:ascii="David" w:hAnsi="David" w:cs="David"/>
          <w:sz w:val="24"/>
          <w:szCs w:val="24"/>
          <w:rtl/>
        </w:rPr>
      </w:pPr>
      <w:r>
        <w:rPr>
          <w:rFonts w:ascii="David" w:hAnsi="David" w:cs="David"/>
          <w:sz w:val="24"/>
          <w:szCs w:val="24"/>
          <w:rtl/>
        </w:rPr>
        <w:t xml:space="preserve"> במעשיו המתוארים לעיל החזיק הנאשם נשק בלא רשות על פי דין להחזקתו. </w:t>
      </w:r>
    </w:p>
    <w:p w14:paraId="4BAF05E0" w14:textId="77777777" w:rsidR="007823DF" w:rsidRDefault="007823DF" w:rsidP="007823DF">
      <w:pPr>
        <w:pStyle w:val="a9"/>
        <w:spacing w:line="360" w:lineRule="auto"/>
        <w:jc w:val="both"/>
        <w:rPr>
          <w:rFonts w:ascii="David" w:hAnsi="David" w:cs="David"/>
          <w:sz w:val="24"/>
          <w:szCs w:val="24"/>
          <w:rtl/>
        </w:rPr>
      </w:pPr>
    </w:p>
    <w:p w14:paraId="148139E5" w14:textId="77777777" w:rsidR="007823DF" w:rsidRDefault="007823DF" w:rsidP="007823DF">
      <w:pPr>
        <w:pStyle w:val="a9"/>
        <w:spacing w:line="360" w:lineRule="auto"/>
        <w:jc w:val="both"/>
        <w:rPr>
          <w:rFonts w:ascii="David" w:hAnsi="David" w:cs="David"/>
          <w:b/>
          <w:bCs/>
          <w:sz w:val="24"/>
          <w:szCs w:val="24"/>
          <w:u w:val="single"/>
          <w:rtl/>
        </w:rPr>
      </w:pPr>
      <w:r>
        <w:rPr>
          <w:rFonts w:ascii="David" w:hAnsi="David" w:cs="David"/>
          <w:b/>
          <w:bCs/>
          <w:sz w:val="24"/>
          <w:szCs w:val="24"/>
          <w:rtl/>
        </w:rPr>
        <w:t>3.</w:t>
      </w:r>
      <w:r>
        <w:rPr>
          <w:rFonts w:ascii="David" w:hAnsi="David" w:cs="David"/>
          <w:b/>
          <w:bCs/>
          <w:sz w:val="24"/>
          <w:szCs w:val="24"/>
          <w:rtl/>
        </w:rPr>
        <w:tab/>
      </w:r>
      <w:r>
        <w:rPr>
          <w:rFonts w:ascii="David" w:hAnsi="David" w:cs="David"/>
          <w:b/>
          <w:bCs/>
          <w:sz w:val="24"/>
          <w:szCs w:val="24"/>
          <w:u w:val="single"/>
          <w:rtl/>
        </w:rPr>
        <w:t>הסדר הטיעון</w:t>
      </w:r>
    </w:p>
    <w:p w14:paraId="3C96BFA9" w14:textId="77777777" w:rsidR="007823DF" w:rsidRDefault="007823DF" w:rsidP="007823DF">
      <w:pPr>
        <w:pStyle w:val="a9"/>
        <w:spacing w:line="360" w:lineRule="auto"/>
        <w:ind w:left="720"/>
        <w:jc w:val="both"/>
        <w:rPr>
          <w:rFonts w:ascii="David" w:hAnsi="David" w:cs="David"/>
          <w:sz w:val="24"/>
          <w:szCs w:val="24"/>
          <w:rtl/>
        </w:rPr>
      </w:pPr>
      <w:r>
        <w:rPr>
          <w:rFonts w:ascii="David" w:hAnsi="David" w:cs="David"/>
          <w:sz w:val="24"/>
          <w:szCs w:val="24"/>
          <w:rtl/>
        </w:rPr>
        <w:t xml:space="preserve">לאחר שהחלה שמיעת הראיות בתיק, וניתנה החלטתו של בית המשפט בטענה דיונית נכבדה של ההגנה, הגיעו הצדדים להסדר טיעון, שבמסגרתו תוקן כתב האישום, הנאשם חזר בו מכפירתו והודה בעובדות כתב האישום המתוקן. הצדדים לא הגיעו להסכמה לעניין העונש והסכימו כי הטיעון לעונש יהיה חופשי, לאחר קבלת תסקיר שירות המבחן, המתחייב בדין נוכח גילו של הנאשם. </w:t>
      </w:r>
    </w:p>
    <w:p w14:paraId="7E439C72" w14:textId="77777777" w:rsidR="007823DF" w:rsidRDefault="007823DF" w:rsidP="007823DF">
      <w:pPr>
        <w:pStyle w:val="a9"/>
        <w:spacing w:line="360" w:lineRule="auto"/>
        <w:ind w:left="720"/>
        <w:jc w:val="both"/>
        <w:rPr>
          <w:rFonts w:ascii="David" w:hAnsi="David" w:cs="David"/>
          <w:sz w:val="24"/>
          <w:szCs w:val="24"/>
          <w:rtl/>
        </w:rPr>
      </w:pPr>
    </w:p>
    <w:p w14:paraId="02D5AA65" w14:textId="77777777" w:rsidR="007823DF" w:rsidRPr="002C40C2" w:rsidRDefault="007823DF" w:rsidP="007823DF">
      <w:pPr>
        <w:pStyle w:val="a9"/>
        <w:spacing w:line="360" w:lineRule="auto"/>
        <w:ind w:left="720" w:hanging="720"/>
        <w:jc w:val="both"/>
        <w:rPr>
          <w:rFonts w:ascii="David" w:hAnsi="David" w:cs="David"/>
          <w:sz w:val="16"/>
          <w:szCs w:val="16"/>
          <w:rtl/>
        </w:rPr>
      </w:pPr>
    </w:p>
    <w:p w14:paraId="59F6843C" w14:textId="77777777" w:rsidR="007823DF" w:rsidRDefault="007823DF" w:rsidP="007823DF">
      <w:pPr>
        <w:pStyle w:val="a9"/>
        <w:spacing w:line="360" w:lineRule="auto"/>
        <w:ind w:left="720"/>
        <w:jc w:val="both"/>
        <w:rPr>
          <w:rFonts w:ascii="David" w:hAnsi="David" w:cs="David"/>
          <w:b/>
          <w:bCs/>
          <w:sz w:val="24"/>
          <w:szCs w:val="24"/>
          <w:u w:val="single"/>
          <w:rtl/>
        </w:rPr>
      </w:pPr>
      <w:r>
        <w:rPr>
          <w:rFonts w:ascii="David" w:hAnsi="David" w:cs="David"/>
          <w:b/>
          <w:bCs/>
          <w:sz w:val="24"/>
          <w:szCs w:val="24"/>
          <w:u w:val="single"/>
          <w:rtl/>
        </w:rPr>
        <w:t>ראיות לעונש</w:t>
      </w:r>
    </w:p>
    <w:p w14:paraId="613BDDB2" w14:textId="77777777" w:rsidR="007823DF" w:rsidRDefault="007823DF" w:rsidP="007823DF">
      <w:pPr>
        <w:pStyle w:val="a9"/>
        <w:spacing w:line="360" w:lineRule="auto"/>
        <w:ind w:left="720" w:hanging="720"/>
        <w:jc w:val="both"/>
        <w:rPr>
          <w:rFonts w:ascii="David" w:hAnsi="David" w:cs="David"/>
          <w:sz w:val="24"/>
          <w:szCs w:val="24"/>
          <w:rtl/>
        </w:rPr>
      </w:pPr>
      <w:r>
        <w:rPr>
          <w:rFonts w:ascii="David" w:hAnsi="David" w:cs="David"/>
          <w:b/>
          <w:bCs/>
          <w:sz w:val="24"/>
          <w:szCs w:val="24"/>
          <w:rtl/>
        </w:rPr>
        <w:t>4</w:t>
      </w:r>
      <w:r>
        <w:rPr>
          <w:rFonts w:ascii="David" w:hAnsi="David" w:cs="David"/>
          <w:sz w:val="24"/>
          <w:szCs w:val="24"/>
          <w:rtl/>
        </w:rPr>
        <w:t>.</w:t>
      </w:r>
      <w:r>
        <w:rPr>
          <w:rFonts w:ascii="David" w:hAnsi="David" w:cs="David"/>
          <w:sz w:val="24"/>
          <w:szCs w:val="24"/>
          <w:rtl/>
        </w:rPr>
        <w:tab/>
        <w:t>לנאשם אין הרשעות קודמות.</w:t>
      </w:r>
    </w:p>
    <w:p w14:paraId="50B4D5B9" w14:textId="77777777" w:rsidR="007823DF" w:rsidRDefault="007823DF" w:rsidP="007823DF">
      <w:pPr>
        <w:pStyle w:val="a9"/>
        <w:spacing w:line="360" w:lineRule="auto"/>
        <w:ind w:left="720" w:hanging="720"/>
        <w:jc w:val="both"/>
        <w:rPr>
          <w:rFonts w:ascii="David" w:hAnsi="David" w:cs="David"/>
          <w:sz w:val="24"/>
          <w:szCs w:val="24"/>
          <w:rtl/>
        </w:rPr>
      </w:pPr>
    </w:p>
    <w:p w14:paraId="4477EECD" w14:textId="77777777" w:rsidR="007823DF" w:rsidRDefault="007823DF" w:rsidP="007823DF">
      <w:pPr>
        <w:pStyle w:val="a9"/>
        <w:spacing w:line="360" w:lineRule="auto"/>
        <w:jc w:val="both"/>
        <w:rPr>
          <w:rFonts w:ascii="David" w:hAnsi="David" w:cs="David"/>
          <w:b/>
          <w:bCs/>
          <w:sz w:val="24"/>
          <w:szCs w:val="24"/>
          <w:u w:val="single"/>
          <w:rtl/>
        </w:rPr>
      </w:pPr>
      <w:r>
        <w:rPr>
          <w:rFonts w:ascii="David" w:hAnsi="David" w:cs="David"/>
          <w:b/>
          <w:bCs/>
          <w:sz w:val="24"/>
          <w:szCs w:val="24"/>
          <w:rtl/>
        </w:rPr>
        <w:t>5.</w:t>
      </w:r>
      <w:r>
        <w:rPr>
          <w:rFonts w:ascii="David" w:hAnsi="David" w:cs="David"/>
          <w:b/>
          <w:bCs/>
          <w:sz w:val="24"/>
          <w:szCs w:val="24"/>
          <w:rtl/>
        </w:rPr>
        <w:tab/>
      </w:r>
      <w:r>
        <w:rPr>
          <w:rFonts w:ascii="David" w:hAnsi="David" w:cs="David"/>
          <w:b/>
          <w:bCs/>
          <w:sz w:val="24"/>
          <w:szCs w:val="24"/>
          <w:u w:val="single"/>
          <w:rtl/>
        </w:rPr>
        <w:t>תסקיר שירות המבחן</w:t>
      </w:r>
    </w:p>
    <w:p w14:paraId="48110B15" w14:textId="77777777" w:rsidR="007823DF" w:rsidRDefault="007823DF" w:rsidP="007823DF">
      <w:pPr>
        <w:pStyle w:val="a9"/>
        <w:spacing w:line="360" w:lineRule="auto"/>
        <w:ind w:left="720"/>
        <w:jc w:val="both"/>
        <w:rPr>
          <w:rFonts w:ascii="David" w:hAnsi="David" w:cs="David"/>
          <w:sz w:val="24"/>
          <w:szCs w:val="24"/>
          <w:rtl/>
        </w:rPr>
      </w:pPr>
      <w:r>
        <w:rPr>
          <w:rFonts w:ascii="David" w:hAnsi="David" w:cs="David"/>
          <w:sz w:val="24"/>
          <w:szCs w:val="24"/>
          <w:rtl/>
        </w:rPr>
        <w:t>בהתחשב במכלול הנסיבות הרלוונטיות, המליץ שירות המבחן להטיל על הנאשם ענישה מרתיעה ומציבת גבולות בדמות מאסר שירוצה בעבודות שירות, לצד עונש מאסר מותנה וקנס. שירות המבחן לא בא בהמלצה טיפולית בעניינו של הנאשם.</w:t>
      </w:r>
    </w:p>
    <w:p w14:paraId="50E311F3" w14:textId="77777777" w:rsidR="007823DF" w:rsidRDefault="007823DF" w:rsidP="007823DF">
      <w:pPr>
        <w:pStyle w:val="a9"/>
        <w:spacing w:line="360" w:lineRule="auto"/>
        <w:jc w:val="both"/>
        <w:rPr>
          <w:rFonts w:ascii="David" w:hAnsi="David" w:cs="David"/>
          <w:sz w:val="24"/>
          <w:szCs w:val="24"/>
          <w:rtl/>
        </w:rPr>
      </w:pPr>
    </w:p>
    <w:p w14:paraId="323471A4" w14:textId="77777777" w:rsidR="007823DF" w:rsidRDefault="007823DF" w:rsidP="007823DF">
      <w:pPr>
        <w:pStyle w:val="a9"/>
        <w:spacing w:line="360" w:lineRule="auto"/>
        <w:ind w:left="720"/>
        <w:jc w:val="both"/>
        <w:rPr>
          <w:rFonts w:ascii="David" w:hAnsi="David" w:cs="David"/>
          <w:sz w:val="24"/>
          <w:szCs w:val="24"/>
          <w:rtl/>
        </w:rPr>
      </w:pPr>
      <w:r>
        <w:rPr>
          <w:rFonts w:ascii="David" w:hAnsi="David" w:cs="David"/>
          <w:b/>
          <w:bCs/>
          <w:sz w:val="24"/>
          <w:szCs w:val="24"/>
          <w:rtl/>
        </w:rPr>
        <w:t>א.</w:t>
      </w:r>
      <w:r>
        <w:rPr>
          <w:rFonts w:ascii="David" w:hAnsi="David" w:cs="David"/>
          <w:sz w:val="24"/>
          <w:szCs w:val="24"/>
          <w:rtl/>
        </w:rPr>
        <w:t xml:space="preserve"> קצין המבחן סקר את נסיבותיו האישיות של הנאשם,</w:t>
      </w:r>
      <w:r>
        <w:rPr>
          <w:rFonts w:ascii="David" w:hAnsi="David" w:cs="David" w:hint="cs"/>
          <w:sz w:val="24"/>
          <w:szCs w:val="24"/>
          <w:rtl/>
        </w:rPr>
        <w:t xml:space="preserve"> רווק </w:t>
      </w:r>
      <w:r>
        <w:rPr>
          <w:rFonts w:ascii="David" w:hAnsi="David" w:cs="David"/>
          <w:sz w:val="24"/>
          <w:szCs w:val="24"/>
          <w:rtl/>
        </w:rPr>
        <w:t>בן 20, המתגורר בכפר יאסיף עם אמו ו</w:t>
      </w:r>
      <w:r>
        <w:rPr>
          <w:rFonts w:ascii="David" w:hAnsi="David" w:cs="David" w:hint="cs"/>
          <w:sz w:val="24"/>
          <w:szCs w:val="24"/>
          <w:rtl/>
        </w:rPr>
        <w:t xml:space="preserve">עם </w:t>
      </w:r>
      <w:r>
        <w:rPr>
          <w:rFonts w:ascii="David" w:hAnsi="David" w:cs="David"/>
          <w:sz w:val="24"/>
          <w:szCs w:val="24"/>
          <w:rtl/>
        </w:rPr>
        <w:t>אחיו</w:t>
      </w:r>
      <w:r>
        <w:rPr>
          <w:rFonts w:ascii="David" w:hAnsi="David" w:cs="David" w:hint="cs"/>
          <w:sz w:val="24"/>
          <w:szCs w:val="24"/>
          <w:rtl/>
        </w:rPr>
        <w:t xml:space="preserve"> הצעיר; אמו סובלת מקשיי תפקוד ואינה עובדת, ושלושת אחאיו הגדולים </w:t>
      </w:r>
      <w:r>
        <w:rPr>
          <w:rFonts w:ascii="David" w:hAnsi="David" w:cs="David"/>
          <w:sz w:val="24"/>
          <w:szCs w:val="24"/>
          <w:rtl/>
        </w:rPr>
        <w:t xml:space="preserve">מנהלים אורח חיים תקין. </w:t>
      </w:r>
      <w:r>
        <w:rPr>
          <w:rFonts w:ascii="David" w:hAnsi="David" w:cs="David" w:hint="cs"/>
          <w:sz w:val="24"/>
          <w:szCs w:val="24"/>
          <w:rtl/>
        </w:rPr>
        <w:t>הנאשם סיפר כי הוריו התגרשו בהיותו כבן 13, ו</w:t>
      </w:r>
      <w:r>
        <w:rPr>
          <w:rFonts w:ascii="David" w:hAnsi="David" w:cs="David"/>
          <w:sz w:val="24"/>
          <w:szCs w:val="24"/>
          <w:rtl/>
        </w:rPr>
        <w:t xml:space="preserve">אביו נפטר באוגוסט 20', בהיותו בן 53, </w:t>
      </w:r>
      <w:r>
        <w:rPr>
          <w:rFonts w:ascii="David" w:hAnsi="David" w:cs="David" w:hint="cs"/>
          <w:sz w:val="24"/>
          <w:szCs w:val="24"/>
          <w:rtl/>
        </w:rPr>
        <w:t xml:space="preserve">בין השאר על </w:t>
      </w:r>
      <w:r>
        <w:rPr>
          <w:rFonts w:ascii="David" w:hAnsi="David" w:cs="David"/>
          <w:sz w:val="24"/>
          <w:szCs w:val="24"/>
          <w:rtl/>
        </w:rPr>
        <w:t xml:space="preserve">רקע </w:t>
      </w:r>
      <w:r>
        <w:rPr>
          <w:rFonts w:ascii="David" w:hAnsi="David" w:cs="David" w:hint="cs"/>
          <w:sz w:val="24"/>
          <w:szCs w:val="24"/>
          <w:rtl/>
        </w:rPr>
        <w:t>התמכרות</w:t>
      </w:r>
      <w:r>
        <w:rPr>
          <w:rFonts w:ascii="David" w:hAnsi="David" w:cs="David"/>
          <w:sz w:val="24"/>
          <w:szCs w:val="24"/>
          <w:rtl/>
        </w:rPr>
        <w:t xml:space="preserve"> לסמים. </w:t>
      </w:r>
      <w:r>
        <w:rPr>
          <w:rFonts w:ascii="David" w:hAnsi="David" w:cs="David" w:hint="cs"/>
          <w:sz w:val="24"/>
          <w:szCs w:val="24"/>
          <w:rtl/>
        </w:rPr>
        <w:t xml:space="preserve">לדבריו, האב היה עבריין, </w:t>
      </w:r>
      <w:r>
        <w:rPr>
          <w:rFonts w:ascii="David" w:hAnsi="David" w:cs="David"/>
          <w:sz w:val="24"/>
          <w:szCs w:val="24"/>
          <w:rtl/>
        </w:rPr>
        <w:t xml:space="preserve">ריצה תקופות מאסר </w:t>
      </w:r>
      <w:r>
        <w:rPr>
          <w:rFonts w:ascii="David" w:hAnsi="David" w:cs="David" w:hint="cs"/>
          <w:sz w:val="24"/>
          <w:szCs w:val="24"/>
          <w:rtl/>
        </w:rPr>
        <w:t xml:space="preserve">שונות, והנאשם ואמו היו חשופים לאלימות מילולית מצדו. </w:t>
      </w:r>
      <w:r>
        <w:rPr>
          <w:rFonts w:ascii="David" w:hAnsi="David" w:cs="David"/>
          <w:sz w:val="24"/>
          <w:szCs w:val="24"/>
          <w:rtl/>
        </w:rPr>
        <w:t xml:space="preserve">טרם מעצרו עבד </w:t>
      </w:r>
      <w:r>
        <w:rPr>
          <w:rFonts w:ascii="David" w:hAnsi="David" w:cs="David" w:hint="cs"/>
          <w:sz w:val="24"/>
          <w:szCs w:val="24"/>
          <w:rtl/>
        </w:rPr>
        <w:t xml:space="preserve">הנאשם </w:t>
      </w:r>
      <w:r>
        <w:rPr>
          <w:rFonts w:ascii="David" w:hAnsi="David" w:cs="David"/>
          <w:sz w:val="24"/>
          <w:szCs w:val="24"/>
          <w:rtl/>
        </w:rPr>
        <w:t>בתחום הריצוף במהלך שעות היום וכמוכר במכולת בשעות הלילה</w:t>
      </w:r>
      <w:r>
        <w:rPr>
          <w:rFonts w:ascii="David" w:hAnsi="David" w:cs="David" w:hint="cs"/>
          <w:sz w:val="24"/>
          <w:szCs w:val="24"/>
          <w:rtl/>
        </w:rPr>
        <w:t>;</w:t>
      </w:r>
      <w:r>
        <w:rPr>
          <w:rFonts w:ascii="David" w:hAnsi="David" w:cs="David"/>
          <w:sz w:val="24"/>
          <w:szCs w:val="24"/>
          <w:rtl/>
        </w:rPr>
        <w:t xml:space="preserve"> הנאשם השלים 12 שנות לימוד בבית ספר מקצועי במגמת מכונאות. לדבריו, במהלך לימודיו ואחריהם עבד על רקע קשיים כלכליים במשפח</w:t>
      </w:r>
      <w:r>
        <w:rPr>
          <w:rFonts w:ascii="David" w:hAnsi="David" w:cs="David" w:hint="cs"/>
          <w:sz w:val="24"/>
          <w:szCs w:val="24"/>
          <w:rtl/>
        </w:rPr>
        <w:t>ה</w:t>
      </w:r>
      <w:r>
        <w:rPr>
          <w:rFonts w:ascii="David" w:hAnsi="David" w:cs="David"/>
          <w:sz w:val="24"/>
          <w:szCs w:val="24"/>
          <w:rtl/>
        </w:rPr>
        <w:t xml:space="preserve">, ושלל קשיים תפקודיים או חברתיים. </w:t>
      </w:r>
      <w:r>
        <w:rPr>
          <w:rFonts w:ascii="David" w:hAnsi="David" w:cs="David" w:hint="cs"/>
          <w:sz w:val="24"/>
          <w:szCs w:val="24"/>
          <w:rtl/>
        </w:rPr>
        <w:t>עברו הפלילי נקי.</w:t>
      </w:r>
    </w:p>
    <w:p w14:paraId="20F87CAB" w14:textId="77777777" w:rsidR="007823DF" w:rsidRDefault="007823DF" w:rsidP="007823DF">
      <w:pPr>
        <w:pStyle w:val="a9"/>
        <w:spacing w:line="360" w:lineRule="auto"/>
        <w:jc w:val="both"/>
        <w:rPr>
          <w:rFonts w:ascii="David" w:hAnsi="David" w:cs="David"/>
          <w:sz w:val="12"/>
          <w:szCs w:val="12"/>
          <w:rtl/>
        </w:rPr>
      </w:pPr>
    </w:p>
    <w:p w14:paraId="77D368A9" w14:textId="77777777" w:rsidR="007823DF" w:rsidRPr="00AB1CB8" w:rsidRDefault="007823DF" w:rsidP="007823DF">
      <w:pPr>
        <w:pStyle w:val="a9"/>
        <w:spacing w:line="360" w:lineRule="auto"/>
        <w:ind w:left="720"/>
        <w:jc w:val="both"/>
        <w:rPr>
          <w:rFonts w:ascii="David" w:hAnsi="David" w:cs="David"/>
          <w:b/>
          <w:bCs/>
          <w:sz w:val="14"/>
          <w:szCs w:val="14"/>
          <w:rtl/>
        </w:rPr>
      </w:pPr>
    </w:p>
    <w:p w14:paraId="0463129C" w14:textId="77777777" w:rsidR="007823DF" w:rsidRDefault="007823DF" w:rsidP="007823DF">
      <w:pPr>
        <w:pStyle w:val="a9"/>
        <w:spacing w:line="360" w:lineRule="auto"/>
        <w:ind w:left="720"/>
        <w:jc w:val="both"/>
        <w:rPr>
          <w:rFonts w:ascii="David" w:hAnsi="David" w:cs="David"/>
          <w:sz w:val="24"/>
          <w:szCs w:val="24"/>
          <w:rtl/>
        </w:rPr>
      </w:pPr>
      <w:r>
        <w:rPr>
          <w:rFonts w:ascii="David" w:hAnsi="David" w:cs="David"/>
          <w:sz w:val="24"/>
          <w:szCs w:val="24"/>
          <w:rtl/>
        </w:rPr>
        <w:t>הנאשם הודה באמור בכתב האישום המתוקן אך שלל כוונה פלילית במעשיו</w:t>
      </w:r>
      <w:r>
        <w:rPr>
          <w:rFonts w:ascii="David" w:hAnsi="David" w:cs="David" w:hint="cs"/>
          <w:sz w:val="24"/>
          <w:szCs w:val="24"/>
          <w:rtl/>
        </w:rPr>
        <w:t xml:space="preserve">, באומרו כי </w:t>
      </w:r>
      <w:r>
        <w:rPr>
          <w:rFonts w:ascii="David" w:hAnsi="David" w:cs="David"/>
          <w:sz w:val="24"/>
          <w:szCs w:val="24"/>
          <w:rtl/>
        </w:rPr>
        <w:t>המטען ניתן לו על ידי אביו לפני חג הקורבן בטענה שמדובר בזיקוקים, נשאר ברכב ונשכח שם. הנאשם התקשה להסביר</w:t>
      </w:r>
      <w:r>
        <w:rPr>
          <w:rFonts w:ascii="David" w:hAnsi="David" w:cs="David" w:hint="cs"/>
          <w:sz w:val="24"/>
          <w:szCs w:val="24"/>
          <w:rtl/>
        </w:rPr>
        <w:t xml:space="preserve"> את נסיבות העניין, אך סיפר כי הוא מתבייש ומתחרט</w:t>
      </w:r>
      <w:r>
        <w:rPr>
          <w:rFonts w:ascii="David" w:hAnsi="David" w:cs="David"/>
          <w:sz w:val="24"/>
          <w:szCs w:val="24"/>
          <w:rtl/>
        </w:rPr>
        <w:t xml:space="preserve"> על כך שלקח את המטען מאביו מבלי להפעיל שיקול דעת. </w:t>
      </w:r>
    </w:p>
    <w:p w14:paraId="67CD9DD9" w14:textId="77777777" w:rsidR="007823DF" w:rsidRDefault="007823DF" w:rsidP="007823DF">
      <w:pPr>
        <w:pStyle w:val="a9"/>
        <w:spacing w:line="360" w:lineRule="auto"/>
        <w:jc w:val="both"/>
        <w:rPr>
          <w:rFonts w:ascii="David" w:hAnsi="David" w:cs="David"/>
          <w:sz w:val="24"/>
          <w:szCs w:val="24"/>
          <w:rtl/>
        </w:rPr>
      </w:pPr>
    </w:p>
    <w:p w14:paraId="562D69FE" w14:textId="77777777" w:rsidR="007823DF" w:rsidRDefault="007823DF" w:rsidP="007823DF">
      <w:pPr>
        <w:pStyle w:val="a9"/>
        <w:spacing w:line="360" w:lineRule="auto"/>
        <w:ind w:left="720"/>
        <w:jc w:val="both"/>
        <w:rPr>
          <w:rFonts w:ascii="David" w:hAnsi="David" w:cs="David"/>
          <w:sz w:val="24"/>
          <w:szCs w:val="24"/>
          <w:rtl/>
        </w:rPr>
      </w:pPr>
      <w:r>
        <w:rPr>
          <w:rFonts w:ascii="David" w:hAnsi="David" w:cs="David"/>
          <w:sz w:val="24"/>
          <w:szCs w:val="24"/>
          <w:rtl/>
        </w:rPr>
        <w:t xml:space="preserve">הנאשם הועמד בצו פיקוח מעצרים במסגרת שירות המבחן החל מיום 12/5/21 ועד יום 12/11/21, </w:t>
      </w:r>
      <w:r>
        <w:rPr>
          <w:rFonts w:ascii="David" w:hAnsi="David" w:cs="David" w:hint="cs"/>
          <w:sz w:val="24"/>
          <w:szCs w:val="24"/>
          <w:rtl/>
        </w:rPr>
        <w:t>ו</w:t>
      </w:r>
      <w:r>
        <w:rPr>
          <w:rFonts w:ascii="David" w:hAnsi="David" w:cs="David"/>
          <w:sz w:val="24"/>
          <w:szCs w:val="24"/>
          <w:rtl/>
        </w:rPr>
        <w:t xml:space="preserve">שולב בקבוצה טיפולית לעצורי בית החל מתאריך 22/7/21. </w:t>
      </w:r>
      <w:r>
        <w:rPr>
          <w:rFonts w:ascii="David" w:hAnsi="David" w:cs="David" w:hint="cs"/>
          <w:sz w:val="24"/>
          <w:szCs w:val="24"/>
          <w:rtl/>
        </w:rPr>
        <w:t>ה</w:t>
      </w:r>
      <w:r>
        <w:rPr>
          <w:rFonts w:ascii="David" w:hAnsi="David" w:cs="David"/>
          <w:sz w:val="24"/>
          <w:szCs w:val="24"/>
          <w:rtl/>
        </w:rPr>
        <w:t xml:space="preserve">נאשם </w:t>
      </w:r>
      <w:r>
        <w:rPr>
          <w:rFonts w:ascii="David" w:hAnsi="David" w:cs="David" w:hint="cs"/>
          <w:sz w:val="24"/>
          <w:szCs w:val="24"/>
          <w:rtl/>
        </w:rPr>
        <w:t xml:space="preserve">נהג להגיע </w:t>
      </w:r>
      <w:r>
        <w:rPr>
          <w:rFonts w:ascii="David" w:hAnsi="David" w:cs="David"/>
          <w:sz w:val="24"/>
          <w:szCs w:val="24"/>
          <w:rtl/>
        </w:rPr>
        <w:t xml:space="preserve">למפגשי הקבוצה </w:t>
      </w:r>
      <w:r>
        <w:rPr>
          <w:rFonts w:ascii="David" w:hAnsi="David" w:cs="David"/>
          <w:sz w:val="24"/>
          <w:szCs w:val="24"/>
          <w:rtl/>
        </w:rPr>
        <w:lastRenderedPageBreak/>
        <w:t xml:space="preserve">אך </w:t>
      </w:r>
      <w:r>
        <w:rPr>
          <w:rFonts w:ascii="David" w:hAnsi="David" w:cs="David" w:hint="cs"/>
          <w:sz w:val="24"/>
          <w:szCs w:val="24"/>
          <w:rtl/>
        </w:rPr>
        <w:t>ה</w:t>
      </w:r>
      <w:r>
        <w:rPr>
          <w:rFonts w:ascii="David" w:hAnsi="David" w:cs="David"/>
          <w:sz w:val="24"/>
          <w:szCs w:val="24"/>
          <w:rtl/>
        </w:rPr>
        <w:t>גיב רק כש</w:t>
      </w:r>
      <w:r>
        <w:rPr>
          <w:rFonts w:ascii="David" w:hAnsi="David" w:cs="David" w:hint="cs"/>
          <w:sz w:val="24"/>
          <w:szCs w:val="24"/>
          <w:rtl/>
        </w:rPr>
        <w:t xml:space="preserve">פנו </w:t>
      </w:r>
      <w:r>
        <w:rPr>
          <w:rFonts w:ascii="David" w:hAnsi="David" w:cs="David"/>
          <w:sz w:val="24"/>
          <w:szCs w:val="24"/>
          <w:rtl/>
        </w:rPr>
        <w:t xml:space="preserve">אליו </w:t>
      </w:r>
      <w:r>
        <w:rPr>
          <w:rFonts w:ascii="David" w:hAnsi="David" w:cs="David" w:hint="cs"/>
          <w:sz w:val="24"/>
          <w:szCs w:val="24"/>
          <w:rtl/>
        </w:rPr>
        <w:t>ישירות</w:t>
      </w:r>
      <w:r>
        <w:rPr>
          <w:rFonts w:ascii="David" w:hAnsi="David" w:cs="David"/>
          <w:sz w:val="24"/>
          <w:szCs w:val="24"/>
          <w:rtl/>
        </w:rPr>
        <w:t xml:space="preserve">. </w:t>
      </w:r>
      <w:r>
        <w:rPr>
          <w:rFonts w:ascii="David" w:hAnsi="David" w:cs="David" w:hint="cs"/>
          <w:sz w:val="24"/>
          <w:szCs w:val="24"/>
          <w:rtl/>
        </w:rPr>
        <w:t xml:space="preserve">שירות המבחן התרשמה </w:t>
      </w:r>
      <w:r>
        <w:rPr>
          <w:rFonts w:ascii="David" w:hAnsi="David" w:cs="David"/>
          <w:sz w:val="24"/>
          <w:szCs w:val="24"/>
          <w:rtl/>
        </w:rPr>
        <w:t xml:space="preserve">כי </w:t>
      </w:r>
      <w:r>
        <w:rPr>
          <w:rFonts w:ascii="David" w:hAnsi="David" w:cs="David" w:hint="cs"/>
          <w:sz w:val="24"/>
          <w:szCs w:val="24"/>
          <w:rtl/>
        </w:rPr>
        <w:t>ל</w:t>
      </w:r>
      <w:r>
        <w:rPr>
          <w:rFonts w:ascii="David" w:hAnsi="David" w:cs="David"/>
          <w:sz w:val="24"/>
          <w:szCs w:val="24"/>
          <w:rtl/>
        </w:rPr>
        <w:t>נאשם</w:t>
      </w:r>
      <w:r>
        <w:rPr>
          <w:rFonts w:ascii="David" w:hAnsi="David" w:cs="David" w:hint="cs"/>
          <w:sz w:val="24"/>
          <w:szCs w:val="24"/>
          <w:rtl/>
        </w:rPr>
        <w:t>, ה</w:t>
      </w:r>
      <w:r>
        <w:rPr>
          <w:rFonts w:ascii="David" w:hAnsi="David" w:cs="David"/>
          <w:sz w:val="24"/>
          <w:szCs w:val="24"/>
          <w:rtl/>
        </w:rPr>
        <w:t xml:space="preserve">משליך את האחריות </w:t>
      </w:r>
      <w:r>
        <w:rPr>
          <w:rFonts w:ascii="David" w:hAnsi="David" w:cs="David" w:hint="cs"/>
          <w:sz w:val="24"/>
          <w:szCs w:val="24"/>
          <w:rtl/>
        </w:rPr>
        <w:t>ל</w:t>
      </w:r>
      <w:r>
        <w:rPr>
          <w:rFonts w:ascii="David" w:hAnsi="David" w:cs="David"/>
          <w:sz w:val="24"/>
          <w:szCs w:val="24"/>
          <w:rtl/>
        </w:rPr>
        <w:t>ביצוע העבירה על אביו</w:t>
      </w:r>
      <w:r>
        <w:rPr>
          <w:rFonts w:ascii="David" w:hAnsi="David" w:cs="David" w:hint="cs"/>
          <w:sz w:val="24"/>
          <w:szCs w:val="24"/>
          <w:rtl/>
        </w:rPr>
        <w:t xml:space="preserve">, </w:t>
      </w:r>
      <w:r>
        <w:rPr>
          <w:rFonts w:ascii="David" w:hAnsi="David" w:cs="David"/>
          <w:sz w:val="24"/>
          <w:szCs w:val="24"/>
          <w:rtl/>
        </w:rPr>
        <w:t>יכולת מצומצמת להיתרם מהטיפול הייעודי במסגרת שירות המבחן.</w:t>
      </w:r>
    </w:p>
    <w:p w14:paraId="27481F26" w14:textId="77777777" w:rsidR="007823DF" w:rsidRDefault="007823DF" w:rsidP="007823DF">
      <w:pPr>
        <w:pStyle w:val="a9"/>
        <w:spacing w:line="360" w:lineRule="auto"/>
        <w:jc w:val="both"/>
        <w:rPr>
          <w:rFonts w:ascii="David" w:hAnsi="David" w:cs="David"/>
          <w:sz w:val="24"/>
          <w:szCs w:val="24"/>
          <w:rtl/>
        </w:rPr>
      </w:pPr>
    </w:p>
    <w:p w14:paraId="14DFC189" w14:textId="77777777" w:rsidR="007823DF" w:rsidRDefault="007823DF" w:rsidP="007823DF">
      <w:pPr>
        <w:pStyle w:val="a9"/>
        <w:spacing w:line="360" w:lineRule="auto"/>
        <w:ind w:left="720"/>
        <w:jc w:val="both"/>
        <w:rPr>
          <w:rFonts w:ascii="David" w:hAnsi="David" w:cs="David"/>
          <w:sz w:val="24"/>
          <w:szCs w:val="24"/>
          <w:rtl/>
        </w:rPr>
      </w:pPr>
      <w:r>
        <w:rPr>
          <w:rFonts w:ascii="David" w:hAnsi="David" w:cs="David" w:hint="cs"/>
          <w:b/>
          <w:bCs/>
          <w:sz w:val="24"/>
          <w:szCs w:val="24"/>
          <w:rtl/>
        </w:rPr>
        <w:t>ב.</w:t>
      </w:r>
      <w:r>
        <w:rPr>
          <w:rFonts w:ascii="David" w:hAnsi="David" w:cs="David"/>
          <w:sz w:val="24"/>
          <w:szCs w:val="24"/>
          <w:rtl/>
        </w:rPr>
        <w:t xml:space="preserve"> בבואו להעריך את </w:t>
      </w:r>
      <w:r>
        <w:rPr>
          <w:rFonts w:ascii="David" w:hAnsi="David" w:cs="David"/>
          <w:b/>
          <w:bCs/>
          <w:sz w:val="24"/>
          <w:szCs w:val="24"/>
          <w:rtl/>
        </w:rPr>
        <w:t>גורמי הסיכוי לשיקום</w:t>
      </w:r>
      <w:r>
        <w:rPr>
          <w:rFonts w:ascii="David" w:hAnsi="David" w:cs="David"/>
          <w:sz w:val="24"/>
          <w:szCs w:val="24"/>
          <w:rtl/>
        </w:rPr>
        <w:t xml:space="preserve"> ולהימנעות מביצוע עבירות דומות בעתיד, התרשם שירות המבחן מאדם צעיר ללא הרשעות קודמות, שאינו מציג דפוסי התנהגות או חשיבה עברייניים מושרשים. הנאשם גילה יכולת הסתגלות במסגרת בית ספרית ותעסוקתית, מגלה מחויבות לתפקידיו במשפחה ובעל כישורים להשלים את המוטל עליו, על אף הקשיים והשינויים שחווה במסגרת משפחתו לאורך השנים. בני משפחתו מהווים </w:t>
      </w:r>
      <w:r>
        <w:rPr>
          <w:rFonts w:ascii="David" w:hAnsi="David" w:cs="David" w:hint="cs"/>
          <w:sz w:val="24"/>
          <w:szCs w:val="24"/>
          <w:rtl/>
        </w:rPr>
        <w:t xml:space="preserve">עבורו </w:t>
      </w:r>
      <w:r>
        <w:rPr>
          <w:rFonts w:ascii="David" w:hAnsi="David" w:cs="David"/>
          <w:sz w:val="24"/>
          <w:szCs w:val="24"/>
          <w:rtl/>
        </w:rPr>
        <w:t xml:space="preserve">מערכת תמיכה משמעותית ויש ביכולתם לסייע </w:t>
      </w:r>
      <w:r>
        <w:rPr>
          <w:rFonts w:ascii="David" w:hAnsi="David" w:cs="David" w:hint="cs"/>
          <w:sz w:val="24"/>
          <w:szCs w:val="24"/>
          <w:rtl/>
        </w:rPr>
        <w:t xml:space="preserve">לו. </w:t>
      </w:r>
      <w:r>
        <w:rPr>
          <w:rFonts w:ascii="David" w:hAnsi="David" w:cs="David"/>
          <w:sz w:val="24"/>
          <w:szCs w:val="24"/>
          <w:rtl/>
        </w:rPr>
        <w:t>שירות המבחן ציין כי הנאשם בעל יכולות תקשורת תקינות, המסוגל להביע את עצמו באופן ברור. הוא מתנהל באופן עצמאי ומובחן, מבטא מודעות לצרכיו האישיים ולשאיפותיו, מגלה מודעות לנזקקות של בני משפחתו ודואג לסייע להם.</w:t>
      </w:r>
    </w:p>
    <w:p w14:paraId="6710583E" w14:textId="77777777" w:rsidR="007823DF" w:rsidRDefault="007823DF" w:rsidP="007823DF">
      <w:pPr>
        <w:pStyle w:val="a9"/>
        <w:spacing w:line="360" w:lineRule="auto"/>
        <w:ind w:left="720"/>
        <w:jc w:val="both"/>
        <w:rPr>
          <w:rFonts w:ascii="David" w:hAnsi="David" w:cs="David"/>
          <w:sz w:val="24"/>
          <w:szCs w:val="24"/>
          <w:rtl/>
        </w:rPr>
      </w:pPr>
    </w:p>
    <w:p w14:paraId="79163A8E" w14:textId="77777777" w:rsidR="007823DF" w:rsidRDefault="007823DF" w:rsidP="007823DF">
      <w:pPr>
        <w:pStyle w:val="a9"/>
        <w:spacing w:line="360" w:lineRule="auto"/>
        <w:ind w:left="720"/>
        <w:jc w:val="both"/>
        <w:rPr>
          <w:rFonts w:ascii="David" w:hAnsi="David" w:cs="David"/>
          <w:sz w:val="24"/>
          <w:szCs w:val="24"/>
          <w:rtl/>
        </w:rPr>
      </w:pPr>
      <w:r w:rsidRPr="00406E3A">
        <w:rPr>
          <w:rFonts w:ascii="David" w:hAnsi="David" w:cs="David" w:hint="cs"/>
          <w:sz w:val="24"/>
          <w:szCs w:val="24"/>
          <w:rtl/>
        </w:rPr>
        <w:t xml:space="preserve">במסגרת </w:t>
      </w:r>
      <w:r>
        <w:rPr>
          <w:rFonts w:ascii="David" w:hAnsi="David" w:cs="David"/>
          <w:b/>
          <w:bCs/>
          <w:sz w:val="24"/>
          <w:szCs w:val="24"/>
          <w:rtl/>
        </w:rPr>
        <w:t xml:space="preserve">גורמי סיכון </w:t>
      </w:r>
      <w:r>
        <w:rPr>
          <w:rFonts w:ascii="David" w:hAnsi="David" w:cs="David"/>
          <w:sz w:val="24"/>
          <w:szCs w:val="24"/>
          <w:rtl/>
        </w:rPr>
        <w:t>להישנות עבירות דומות בעתיד מצדו</w:t>
      </w:r>
      <w:r>
        <w:rPr>
          <w:rFonts w:ascii="David" w:hAnsi="David" w:cs="David" w:hint="cs"/>
          <w:sz w:val="24"/>
          <w:szCs w:val="24"/>
          <w:rtl/>
        </w:rPr>
        <w:t xml:space="preserve"> נכתב כי </w:t>
      </w:r>
      <w:r>
        <w:rPr>
          <w:rFonts w:ascii="David" w:hAnsi="David" w:cs="David"/>
          <w:sz w:val="24"/>
          <w:szCs w:val="24"/>
          <w:rtl/>
        </w:rPr>
        <w:t xml:space="preserve">הנאשם מתקשה לקבל אחריות אקטיבית על העבירות ואינו מבטא מוטיבציה אמתית לשיקום. </w:t>
      </w:r>
      <w:r>
        <w:rPr>
          <w:rFonts w:ascii="David" w:hAnsi="David" w:cs="David" w:hint="cs"/>
          <w:sz w:val="24"/>
          <w:szCs w:val="24"/>
          <w:rtl/>
        </w:rPr>
        <w:t xml:space="preserve">עוד צוין </w:t>
      </w:r>
      <w:r>
        <w:rPr>
          <w:rFonts w:ascii="David" w:hAnsi="David" w:cs="David"/>
          <w:sz w:val="24"/>
          <w:szCs w:val="24"/>
          <w:rtl/>
        </w:rPr>
        <w:t xml:space="preserve">כי רב הנסתר על הגלוי בכל </w:t>
      </w:r>
    </w:p>
    <w:p w14:paraId="64D15956" w14:textId="77777777" w:rsidR="007823DF" w:rsidRDefault="007823DF" w:rsidP="007823DF">
      <w:pPr>
        <w:pStyle w:val="a9"/>
        <w:spacing w:line="360" w:lineRule="auto"/>
        <w:ind w:left="720"/>
        <w:jc w:val="both"/>
        <w:rPr>
          <w:rFonts w:ascii="David" w:hAnsi="David" w:cs="David"/>
          <w:sz w:val="24"/>
          <w:szCs w:val="24"/>
          <w:rtl/>
        </w:rPr>
      </w:pPr>
    </w:p>
    <w:p w14:paraId="4E5D2CE8" w14:textId="77777777" w:rsidR="007823DF" w:rsidRDefault="007823DF" w:rsidP="007823DF">
      <w:pPr>
        <w:pStyle w:val="a9"/>
        <w:spacing w:line="360" w:lineRule="auto"/>
        <w:ind w:left="720"/>
        <w:jc w:val="both"/>
        <w:rPr>
          <w:rFonts w:ascii="David" w:hAnsi="David" w:cs="David"/>
          <w:sz w:val="24"/>
          <w:szCs w:val="24"/>
          <w:rtl/>
        </w:rPr>
      </w:pPr>
      <w:r>
        <w:rPr>
          <w:rFonts w:ascii="David" w:hAnsi="David" w:cs="David"/>
          <w:sz w:val="24"/>
          <w:szCs w:val="24"/>
          <w:rtl/>
        </w:rPr>
        <w:t xml:space="preserve">הקשור לנסיבות הימצאות המטען ברכבו של הנאשם ולמידת קשריו עם גורמים עברייניים בסביבתו. </w:t>
      </w:r>
      <w:r>
        <w:rPr>
          <w:rFonts w:ascii="David" w:hAnsi="David" w:cs="David" w:hint="cs"/>
          <w:sz w:val="24"/>
          <w:szCs w:val="24"/>
          <w:rtl/>
        </w:rPr>
        <w:t xml:space="preserve">משכך, </w:t>
      </w:r>
      <w:r>
        <w:rPr>
          <w:rFonts w:ascii="David" w:hAnsi="David" w:cs="David"/>
          <w:sz w:val="24"/>
          <w:szCs w:val="24"/>
          <w:rtl/>
        </w:rPr>
        <w:t>התרשם שירות המבחן כי לא ניתן לשלול את הסיכון לביצוע עבירות דומות בעתיד.</w:t>
      </w:r>
    </w:p>
    <w:p w14:paraId="67909300" w14:textId="77777777" w:rsidR="007823DF" w:rsidRDefault="007823DF" w:rsidP="007823DF">
      <w:pPr>
        <w:pStyle w:val="a9"/>
        <w:spacing w:line="360" w:lineRule="auto"/>
        <w:jc w:val="both"/>
        <w:rPr>
          <w:rFonts w:ascii="David" w:hAnsi="David" w:cs="David"/>
          <w:sz w:val="24"/>
          <w:szCs w:val="24"/>
          <w:rtl/>
        </w:rPr>
      </w:pPr>
    </w:p>
    <w:p w14:paraId="30645539" w14:textId="77777777" w:rsidR="007823DF" w:rsidRDefault="007823DF" w:rsidP="007823DF">
      <w:pPr>
        <w:pStyle w:val="a9"/>
        <w:spacing w:line="360" w:lineRule="auto"/>
        <w:ind w:left="720"/>
        <w:jc w:val="both"/>
        <w:rPr>
          <w:rFonts w:ascii="David" w:hAnsi="David" w:cs="David"/>
          <w:sz w:val="24"/>
          <w:szCs w:val="24"/>
          <w:rtl/>
        </w:rPr>
      </w:pPr>
      <w:r>
        <w:rPr>
          <w:rFonts w:ascii="David" w:hAnsi="David" w:cs="David" w:hint="cs"/>
          <w:sz w:val="24"/>
          <w:szCs w:val="24"/>
          <w:rtl/>
        </w:rPr>
        <w:t>נוכח ה</w:t>
      </w:r>
      <w:r>
        <w:rPr>
          <w:rFonts w:ascii="David" w:hAnsi="David" w:cs="David"/>
          <w:sz w:val="24"/>
          <w:szCs w:val="24"/>
          <w:rtl/>
        </w:rPr>
        <w:t xml:space="preserve">עמדה </w:t>
      </w:r>
      <w:r>
        <w:rPr>
          <w:rFonts w:ascii="David" w:hAnsi="David" w:cs="David" w:hint="cs"/>
          <w:sz w:val="24"/>
          <w:szCs w:val="24"/>
          <w:rtl/>
        </w:rPr>
        <w:t>ה</w:t>
      </w:r>
      <w:r>
        <w:rPr>
          <w:rFonts w:ascii="David" w:hAnsi="David" w:cs="David"/>
          <w:sz w:val="24"/>
          <w:szCs w:val="24"/>
          <w:rtl/>
        </w:rPr>
        <w:t>ק</w:t>
      </w:r>
      <w:r>
        <w:rPr>
          <w:rFonts w:ascii="David" w:hAnsi="David" w:cs="David" w:hint="cs"/>
          <w:sz w:val="24"/>
          <w:szCs w:val="24"/>
          <w:rtl/>
        </w:rPr>
        <w:t>ו</w:t>
      </w:r>
      <w:r>
        <w:rPr>
          <w:rFonts w:ascii="David" w:hAnsi="David" w:cs="David"/>
          <w:sz w:val="24"/>
          <w:szCs w:val="24"/>
          <w:rtl/>
        </w:rPr>
        <w:t xml:space="preserve">רבנית </w:t>
      </w:r>
      <w:r>
        <w:rPr>
          <w:rFonts w:ascii="David" w:hAnsi="David" w:cs="David" w:hint="cs"/>
          <w:sz w:val="24"/>
          <w:szCs w:val="24"/>
          <w:rtl/>
        </w:rPr>
        <w:t xml:space="preserve">שהציג הנאשם והקושי </w:t>
      </w:r>
      <w:r>
        <w:rPr>
          <w:rFonts w:ascii="David" w:hAnsi="David" w:cs="David"/>
          <w:sz w:val="24"/>
          <w:szCs w:val="24"/>
          <w:rtl/>
        </w:rPr>
        <w:t xml:space="preserve">לקבל אחריות על </w:t>
      </w:r>
      <w:r>
        <w:rPr>
          <w:rFonts w:ascii="David" w:hAnsi="David" w:cs="David" w:hint="cs"/>
          <w:sz w:val="24"/>
          <w:szCs w:val="24"/>
          <w:rtl/>
        </w:rPr>
        <w:t xml:space="preserve">ביצוע העבירה, </w:t>
      </w:r>
      <w:r>
        <w:rPr>
          <w:rFonts w:ascii="David" w:hAnsi="David" w:cs="David"/>
          <w:sz w:val="24"/>
          <w:szCs w:val="24"/>
          <w:rtl/>
        </w:rPr>
        <w:t>התרשם שירות המבחן כי הוא בעל יכולת מצומצמת להפיק תועלת מטיפול</w:t>
      </w:r>
      <w:r>
        <w:rPr>
          <w:rFonts w:ascii="David" w:hAnsi="David" w:cs="David" w:hint="cs"/>
          <w:sz w:val="24"/>
          <w:szCs w:val="24"/>
          <w:rtl/>
        </w:rPr>
        <w:t>, ונמנע מ</w:t>
      </w:r>
      <w:r>
        <w:rPr>
          <w:rFonts w:ascii="David" w:hAnsi="David" w:cs="David"/>
          <w:sz w:val="24"/>
          <w:szCs w:val="24"/>
          <w:rtl/>
        </w:rPr>
        <w:t>המלצה טיפולית בעניינו.</w:t>
      </w:r>
    </w:p>
    <w:p w14:paraId="1426269B" w14:textId="77777777" w:rsidR="007823DF" w:rsidRDefault="007823DF" w:rsidP="007823DF">
      <w:pPr>
        <w:pStyle w:val="a9"/>
        <w:spacing w:line="360" w:lineRule="auto"/>
        <w:jc w:val="both"/>
        <w:rPr>
          <w:rFonts w:ascii="David" w:hAnsi="David" w:cs="David"/>
          <w:sz w:val="24"/>
          <w:szCs w:val="24"/>
          <w:rtl/>
        </w:rPr>
      </w:pPr>
    </w:p>
    <w:p w14:paraId="16A3B2F2" w14:textId="77777777" w:rsidR="007823DF" w:rsidRDefault="007823DF" w:rsidP="007823DF">
      <w:pPr>
        <w:pStyle w:val="a9"/>
        <w:spacing w:line="360" w:lineRule="auto"/>
        <w:ind w:left="720"/>
        <w:jc w:val="both"/>
        <w:rPr>
          <w:rFonts w:ascii="David" w:hAnsi="David" w:cs="David"/>
          <w:sz w:val="24"/>
          <w:szCs w:val="24"/>
          <w:rtl/>
        </w:rPr>
      </w:pPr>
      <w:r w:rsidRPr="00406E3A">
        <w:rPr>
          <w:rFonts w:ascii="David" w:hAnsi="David" w:cs="David" w:hint="cs"/>
          <w:b/>
          <w:bCs/>
          <w:sz w:val="24"/>
          <w:szCs w:val="24"/>
          <w:rtl/>
        </w:rPr>
        <w:t>ג.</w:t>
      </w:r>
      <w:r>
        <w:rPr>
          <w:rFonts w:ascii="David" w:hAnsi="David" w:cs="David" w:hint="cs"/>
          <w:sz w:val="24"/>
          <w:szCs w:val="24"/>
          <w:rtl/>
        </w:rPr>
        <w:t xml:space="preserve"> </w:t>
      </w:r>
      <w:r>
        <w:rPr>
          <w:rFonts w:ascii="David" w:hAnsi="David" w:cs="David"/>
          <w:sz w:val="24"/>
          <w:szCs w:val="24"/>
          <w:rtl/>
        </w:rPr>
        <w:t>לעניין העונש, בהתחשב בגילו הצעיר</w:t>
      </w:r>
      <w:r>
        <w:rPr>
          <w:rFonts w:ascii="David" w:hAnsi="David" w:cs="David" w:hint="cs"/>
          <w:sz w:val="24"/>
          <w:szCs w:val="24"/>
          <w:rtl/>
        </w:rPr>
        <w:t>, בעברו הנקי וב</w:t>
      </w:r>
      <w:r>
        <w:rPr>
          <w:rFonts w:ascii="David" w:hAnsi="David" w:cs="David"/>
          <w:sz w:val="24"/>
          <w:szCs w:val="24"/>
          <w:rtl/>
        </w:rPr>
        <w:t xml:space="preserve">תפקודו החיובי </w:t>
      </w:r>
      <w:r>
        <w:rPr>
          <w:rFonts w:ascii="David" w:hAnsi="David" w:cs="David" w:hint="cs"/>
          <w:sz w:val="24"/>
          <w:szCs w:val="24"/>
          <w:rtl/>
        </w:rPr>
        <w:t xml:space="preserve">של הנאשם עובר לביצוע העבירה, </w:t>
      </w:r>
      <w:r>
        <w:rPr>
          <w:rFonts w:ascii="David" w:hAnsi="David" w:cs="David"/>
          <w:sz w:val="24"/>
          <w:szCs w:val="24"/>
          <w:rtl/>
        </w:rPr>
        <w:t>העריך שירות המבחן כי ההליך הפלילי מהווה גורם הרתעה משמעותי עבור</w:t>
      </w:r>
      <w:r>
        <w:rPr>
          <w:rFonts w:ascii="David" w:hAnsi="David" w:cs="David" w:hint="cs"/>
          <w:sz w:val="24"/>
          <w:szCs w:val="24"/>
          <w:rtl/>
        </w:rPr>
        <w:t>ו</w:t>
      </w:r>
      <w:r>
        <w:rPr>
          <w:rFonts w:ascii="David" w:hAnsi="David" w:cs="David"/>
          <w:sz w:val="24"/>
          <w:szCs w:val="24"/>
          <w:rtl/>
        </w:rPr>
        <w:t>, והמליץ להטיל עליו ענישה מרתיעה באמצעות מאסר שירוצה בעבודות שירות</w:t>
      </w:r>
      <w:r>
        <w:rPr>
          <w:rFonts w:ascii="David" w:hAnsi="David" w:cs="David" w:hint="cs"/>
          <w:sz w:val="24"/>
          <w:szCs w:val="24"/>
          <w:rtl/>
        </w:rPr>
        <w:t xml:space="preserve">, </w:t>
      </w:r>
      <w:r>
        <w:rPr>
          <w:rFonts w:ascii="David" w:hAnsi="David" w:cs="David"/>
          <w:sz w:val="24"/>
          <w:szCs w:val="24"/>
          <w:rtl/>
        </w:rPr>
        <w:t xml:space="preserve">לצד עונש מאסר מותנה וקנס. </w:t>
      </w:r>
    </w:p>
    <w:p w14:paraId="2114AEF4" w14:textId="77777777" w:rsidR="007823DF" w:rsidRDefault="007823DF" w:rsidP="007823DF">
      <w:pPr>
        <w:pStyle w:val="a9"/>
        <w:spacing w:line="360" w:lineRule="auto"/>
        <w:ind w:left="720"/>
        <w:jc w:val="both"/>
        <w:rPr>
          <w:rFonts w:ascii="David" w:hAnsi="David" w:cs="David"/>
          <w:rtl/>
        </w:rPr>
      </w:pPr>
    </w:p>
    <w:p w14:paraId="31889398" w14:textId="77777777" w:rsidR="007823DF" w:rsidRDefault="007823DF" w:rsidP="007823DF">
      <w:pPr>
        <w:pStyle w:val="a9"/>
        <w:spacing w:line="360" w:lineRule="auto"/>
        <w:rPr>
          <w:rFonts w:ascii="David" w:hAnsi="David" w:cs="David"/>
          <w:b/>
          <w:bCs/>
          <w:sz w:val="24"/>
          <w:szCs w:val="24"/>
          <w:rtl/>
        </w:rPr>
      </w:pPr>
      <w:r>
        <w:rPr>
          <w:rFonts w:ascii="David" w:hAnsi="David" w:cs="David"/>
          <w:b/>
          <w:bCs/>
          <w:sz w:val="24"/>
          <w:szCs w:val="24"/>
          <w:rtl/>
        </w:rPr>
        <w:t>6.</w:t>
      </w:r>
      <w:r>
        <w:rPr>
          <w:rFonts w:ascii="David" w:hAnsi="David" w:cs="David"/>
          <w:b/>
          <w:bCs/>
          <w:sz w:val="24"/>
          <w:szCs w:val="24"/>
          <w:rtl/>
        </w:rPr>
        <w:tab/>
      </w:r>
      <w:r>
        <w:rPr>
          <w:rFonts w:ascii="David" w:hAnsi="David" w:cs="David"/>
          <w:b/>
          <w:bCs/>
          <w:sz w:val="24"/>
          <w:szCs w:val="24"/>
          <w:u w:val="single"/>
          <w:rtl/>
        </w:rPr>
        <w:t>טיעוני המאשימה</w:t>
      </w:r>
    </w:p>
    <w:p w14:paraId="5F92F699" w14:textId="77777777" w:rsidR="007823DF" w:rsidRDefault="007823DF" w:rsidP="007823DF">
      <w:pPr>
        <w:spacing w:line="360" w:lineRule="auto"/>
        <w:ind w:left="720"/>
        <w:jc w:val="both"/>
        <w:rPr>
          <w:rFonts w:ascii="David" w:hAnsi="David"/>
          <w:rtl/>
        </w:rPr>
      </w:pPr>
      <w:r>
        <w:rPr>
          <w:rFonts w:ascii="David" w:hAnsi="David"/>
          <w:rtl/>
        </w:rPr>
        <w:t>המאשימה עתרה להטיל על הנאשם מאסר בפועל ברף התחתון של מתחם הענישה, העומד לשיטתה על טווח שבין 3 ל- 7 שנות מאסר, וכן מאסר מותנה מרתיע וקנס כספי.</w:t>
      </w:r>
    </w:p>
    <w:p w14:paraId="240B3742" w14:textId="77777777" w:rsidR="007823DF" w:rsidRPr="00D0693D" w:rsidRDefault="007823DF" w:rsidP="007823DF">
      <w:pPr>
        <w:spacing w:line="360" w:lineRule="auto"/>
        <w:ind w:left="720"/>
        <w:jc w:val="both"/>
        <w:rPr>
          <w:rFonts w:ascii="David" w:hAnsi="David"/>
          <w:sz w:val="12"/>
          <w:szCs w:val="12"/>
          <w:rtl/>
        </w:rPr>
      </w:pPr>
    </w:p>
    <w:p w14:paraId="5D539320" w14:textId="77777777" w:rsidR="007823DF" w:rsidRDefault="007823DF" w:rsidP="007823DF">
      <w:pPr>
        <w:overflowPunct w:val="0"/>
        <w:autoSpaceDE w:val="0"/>
        <w:autoSpaceDN w:val="0"/>
        <w:spacing w:line="360" w:lineRule="auto"/>
        <w:ind w:left="720"/>
        <w:jc w:val="both"/>
        <w:rPr>
          <w:rFonts w:ascii="David" w:hAnsi="David"/>
          <w:rtl/>
        </w:rPr>
      </w:pPr>
      <w:r>
        <w:rPr>
          <w:rFonts w:ascii="David" w:hAnsi="David"/>
          <w:rtl/>
        </w:rPr>
        <w:t>ב"כ המאשימה ציין כי הנאשם היה עצור בגין תיק זה בין התאריכים 3/12/20 – 25/1/21, ו</w:t>
      </w:r>
      <w:r>
        <w:rPr>
          <w:rFonts w:ascii="David" w:hAnsi="David" w:hint="cs"/>
          <w:rtl/>
        </w:rPr>
        <w:t>אז</w:t>
      </w:r>
      <w:r>
        <w:rPr>
          <w:rFonts w:ascii="David" w:hAnsi="David"/>
          <w:rtl/>
        </w:rPr>
        <w:t xml:space="preserve"> היה עצור בפיקוח אלקטרוני.   </w:t>
      </w:r>
    </w:p>
    <w:p w14:paraId="6A401CA5" w14:textId="77777777" w:rsidR="007823DF" w:rsidRPr="00D0693D" w:rsidRDefault="007823DF" w:rsidP="007823DF">
      <w:pPr>
        <w:spacing w:line="360" w:lineRule="auto"/>
        <w:ind w:left="720"/>
        <w:jc w:val="both"/>
        <w:rPr>
          <w:rFonts w:ascii="David" w:hAnsi="David"/>
          <w:sz w:val="2"/>
          <w:szCs w:val="2"/>
          <w:rtl/>
        </w:rPr>
      </w:pPr>
    </w:p>
    <w:p w14:paraId="3897E6F8" w14:textId="77777777" w:rsidR="007823DF" w:rsidRPr="00D0693D" w:rsidRDefault="007823DF" w:rsidP="007823DF">
      <w:pPr>
        <w:overflowPunct w:val="0"/>
        <w:autoSpaceDE w:val="0"/>
        <w:autoSpaceDN w:val="0"/>
        <w:spacing w:line="360" w:lineRule="auto"/>
        <w:ind w:left="720"/>
        <w:jc w:val="both"/>
        <w:rPr>
          <w:rFonts w:ascii="David" w:hAnsi="David"/>
          <w:sz w:val="2"/>
          <w:szCs w:val="2"/>
          <w:rtl/>
        </w:rPr>
      </w:pPr>
    </w:p>
    <w:p w14:paraId="368489B1" w14:textId="77777777" w:rsidR="007823DF" w:rsidRDefault="007823DF" w:rsidP="007823DF">
      <w:pPr>
        <w:tabs>
          <w:tab w:val="left" w:pos="206"/>
        </w:tabs>
        <w:spacing w:before="120" w:after="120" w:line="360" w:lineRule="auto"/>
        <w:ind w:left="720"/>
        <w:jc w:val="both"/>
        <w:rPr>
          <w:rFonts w:ascii="David" w:eastAsia="Calibri" w:hAnsi="David"/>
          <w:rtl/>
        </w:rPr>
      </w:pPr>
      <w:r>
        <w:rPr>
          <w:rFonts w:ascii="David" w:hAnsi="David"/>
          <w:b/>
          <w:bCs/>
          <w:rtl/>
        </w:rPr>
        <w:t>א.</w:t>
      </w:r>
      <w:r>
        <w:rPr>
          <w:rFonts w:ascii="David" w:hAnsi="David"/>
          <w:rtl/>
        </w:rPr>
        <w:t xml:space="preserve"> אשר </w:t>
      </w:r>
      <w:r>
        <w:rPr>
          <w:rFonts w:ascii="David" w:hAnsi="David"/>
          <w:b/>
          <w:bCs/>
          <w:rtl/>
        </w:rPr>
        <w:t>לנסיבות העבירה</w:t>
      </w:r>
      <w:r>
        <w:rPr>
          <w:rFonts w:ascii="David" w:hAnsi="David"/>
          <w:rtl/>
        </w:rPr>
        <w:t>, טען כי מדובר בעבירה חמורה, כאשר הנאשם החזיק במטען חבלה מאולתר בתוך יישוב ובכך סיכן את תושבי האזור.</w:t>
      </w:r>
      <w:r>
        <w:rPr>
          <w:rFonts w:ascii="David" w:eastAsia="Calibri" w:hAnsi="David"/>
          <w:rtl/>
        </w:rPr>
        <w:t xml:space="preserve"> לעניין זה הדגיש את עמדת הפסיקה </w:t>
      </w:r>
      <w:r>
        <w:rPr>
          <w:rFonts w:ascii="David" w:hAnsi="David"/>
          <w:rtl/>
        </w:rPr>
        <w:t>להשלכות הרות האסון בעבירות נשק, הסיכון הגלום בהן, ואת החשיבות בהטלת עונשים מרתיעים, תוך העדפה של האינטרס הציבורי על פני נסיבותיו האישיות של הנאשם. (</w:t>
      </w:r>
      <w:hyperlink r:id="rId17" w:history="1">
        <w:r w:rsidR="00D513CA" w:rsidRPr="00D513CA">
          <w:rPr>
            <w:rFonts w:ascii="David" w:hAnsi="David"/>
            <w:color w:val="0000FF"/>
            <w:u w:val="single"/>
            <w:rtl/>
          </w:rPr>
          <w:t>ע"פ 5717/14</w:t>
        </w:r>
      </w:hyperlink>
      <w:r>
        <w:rPr>
          <w:rFonts w:ascii="David" w:hAnsi="David"/>
          <w:rtl/>
        </w:rPr>
        <w:t xml:space="preserve"> </w:t>
      </w:r>
      <w:r>
        <w:rPr>
          <w:rFonts w:ascii="David" w:hAnsi="David"/>
          <w:b/>
          <w:bCs/>
          <w:rtl/>
        </w:rPr>
        <w:t>מדינת ישראל נ' גדבאן</w:t>
      </w:r>
      <w:r>
        <w:rPr>
          <w:rFonts w:ascii="David" w:hAnsi="David"/>
          <w:rtl/>
        </w:rPr>
        <w:t xml:space="preserve"> (2/12/14), מפי כב' הש' ג'ובראן: </w:t>
      </w:r>
      <w:r>
        <w:rPr>
          <w:rFonts w:ascii="David" w:eastAsia="Calibri" w:hAnsi="David"/>
          <w:rtl/>
        </w:rPr>
        <w:t xml:space="preserve">וכן </w:t>
      </w:r>
      <w:hyperlink r:id="rId18" w:history="1">
        <w:r w:rsidR="00D513CA" w:rsidRPr="00D513CA">
          <w:rPr>
            <w:rFonts w:ascii="David" w:eastAsia="Calibri" w:hAnsi="David"/>
            <w:color w:val="0000FF"/>
            <w:u w:val="single"/>
            <w:rtl/>
          </w:rPr>
          <w:t>ע"פ 4945/13</w:t>
        </w:r>
      </w:hyperlink>
      <w:r>
        <w:rPr>
          <w:rFonts w:ascii="David" w:eastAsia="Calibri" w:hAnsi="David"/>
          <w:rtl/>
        </w:rPr>
        <w:t xml:space="preserve"> </w:t>
      </w:r>
      <w:r>
        <w:rPr>
          <w:rFonts w:ascii="David" w:eastAsia="Calibri" w:hAnsi="David"/>
          <w:b/>
          <w:bCs/>
          <w:rtl/>
        </w:rPr>
        <w:t>מדינת ישראל נ' סלימאן</w:t>
      </w:r>
      <w:r>
        <w:rPr>
          <w:rFonts w:ascii="David" w:eastAsia="Calibri" w:hAnsi="David"/>
          <w:rtl/>
        </w:rPr>
        <w:t xml:space="preserve"> (19/1/14), מפי כב' הש' ארבל). </w:t>
      </w:r>
    </w:p>
    <w:p w14:paraId="15A31DBA" w14:textId="77777777" w:rsidR="007823DF" w:rsidRDefault="007823DF" w:rsidP="007823DF">
      <w:pPr>
        <w:tabs>
          <w:tab w:val="left" w:pos="206"/>
        </w:tabs>
        <w:spacing w:before="120" w:after="120" w:line="360" w:lineRule="auto"/>
        <w:ind w:left="720"/>
        <w:jc w:val="both"/>
        <w:rPr>
          <w:rFonts w:ascii="David" w:eastAsia="Calibri" w:hAnsi="David"/>
          <w:rtl/>
        </w:rPr>
      </w:pPr>
      <w:r>
        <w:rPr>
          <w:rFonts w:ascii="David" w:eastAsia="Calibri" w:hAnsi="David"/>
          <w:rtl/>
        </w:rPr>
        <w:t>כן הפנה לעמדת הפסיקה ביחס למסוכנותם הרבה של חומרי נפץ ומטעני חבלה, שעניינה "בסכנת נפשות פשוטו כמשמעו", והדגיש כי דווקא הקלות הבלתי נסבלת</w:t>
      </w:r>
      <w:r>
        <w:rPr>
          <w:rFonts w:ascii="David" w:eastAsia="Calibri" w:hAnsi="David" w:hint="cs"/>
          <w:rtl/>
        </w:rPr>
        <w:t xml:space="preserve"> ש</w:t>
      </w:r>
      <w:r>
        <w:rPr>
          <w:rFonts w:ascii="David" w:eastAsia="Calibri" w:hAnsi="David"/>
          <w:rtl/>
        </w:rPr>
        <w:t>בה ניתן לייצר מטענים שיש בכוחם להמית אדם, או לגרום לנזקים, מלמדת על החומרה ועל הצורך בענישה הולמת (</w:t>
      </w:r>
      <w:hyperlink r:id="rId19" w:history="1">
        <w:r w:rsidR="00D513CA" w:rsidRPr="00D513CA">
          <w:rPr>
            <w:rFonts w:ascii="David" w:eastAsia="Calibri" w:hAnsi="David"/>
            <w:color w:val="0000FF"/>
            <w:u w:val="single"/>
            <w:rtl/>
          </w:rPr>
          <w:t>ע"פ 5336/13</w:t>
        </w:r>
      </w:hyperlink>
      <w:r>
        <w:rPr>
          <w:rFonts w:ascii="David" w:eastAsia="Calibri" w:hAnsi="David"/>
          <w:rtl/>
        </w:rPr>
        <w:t xml:space="preserve"> </w:t>
      </w:r>
      <w:r>
        <w:rPr>
          <w:rFonts w:ascii="David" w:eastAsia="Calibri" w:hAnsi="David"/>
          <w:b/>
          <w:bCs/>
          <w:rtl/>
        </w:rPr>
        <w:t xml:space="preserve">צדוק נ' מדינת ישראל  </w:t>
      </w:r>
      <w:r>
        <w:rPr>
          <w:rFonts w:ascii="David" w:eastAsia="Calibri" w:hAnsi="David"/>
          <w:rtl/>
        </w:rPr>
        <w:t xml:space="preserve">(17/11/13), מפי כב' הש' סולברג; </w:t>
      </w:r>
      <w:hyperlink r:id="rId20" w:history="1">
        <w:r w:rsidR="00D513CA" w:rsidRPr="00D513CA">
          <w:rPr>
            <w:rFonts w:ascii="David" w:eastAsia="Calibri" w:hAnsi="David"/>
            <w:color w:val="0000FF"/>
            <w:u w:val="single"/>
            <w:rtl/>
          </w:rPr>
          <w:t>ת"פ (חי') 54104-07-12</w:t>
        </w:r>
      </w:hyperlink>
      <w:r>
        <w:rPr>
          <w:rFonts w:ascii="David" w:eastAsia="Calibri" w:hAnsi="David"/>
          <w:rtl/>
        </w:rPr>
        <w:t xml:space="preserve"> </w:t>
      </w:r>
      <w:r>
        <w:rPr>
          <w:rFonts w:ascii="David" w:eastAsia="Calibri" w:hAnsi="David"/>
          <w:b/>
          <w:bCs/>
          <w:rtl/>
        </w:rPr>
        <w:t>מדינת ישראל נ' מסארווה</w:t>
      </w:r>
      <w:r>
        <w:rPr>
          <w:rFonts w:ascii="David" w:eastAsia="Calibri" w:hAnsi="David"/>
          <w:rtl/>
        </w:rPr>
        <w:t xml:space="preserve"> (20/3/13), מפי כב' הש' הורוביץ). </w:t>
      </w:r>
    </w:p>
    <w:p w14:paraId="2DB8148E" w14:textId="77777777" w:rsidR="007823DF" w:rsidRDefault="007823DF" w:rsidP="007823DF">
      <w:pPr>
        <w:widowControl w:val="0"/>
        <w:tabs>
          <w:tab w:val="left" w:pos="206"/>
        </w:tabs>
        <w:spacing w:line="360" w:lineRule="auto"/>
        <w:ind w:left="720"/>
        <w:jc w:val="both"/>
        <w:rPr>
          <w:rFonts w:ascii="Calibri" w:eastAsia="Calibri" w:hAnsi="Calibri"/>
          <w:u w:val="single"/>
          <w:rtl/>
        </w:rPr>
      </w:pPr>
      <w:r>
        <w:rPr>
          <w:rFonts w:ascii="Calibri" w:eastAsia="Calibri" w:hAnsi="Calibri"/>
          <w:rtl/>
        </w:rPr>
        <w:t>לטענת</w:t>
      </w:r>
      <w:r>
        <w:rPr>
          <w:rFonts w:ascii="Calibri" w:eastAsia="Calibri" w:hAnsi="Calibri" w:hint="cs"/>
          <w:rtl/>
        </w:rPr>
        <w:t>ו של ב"כ המאשימה</w:t>
      </w:r>
      <w:r>
        <w:rPr>
          <w:rFonts w:ascii="Calibri" w:eastAsia="Calibri" w:hAnsi="Calibri"/>
          <w:rtl/>
        </w:rPr>
        <w:t>, מטען מאולתר</w:t>
      </w:r>
      <w:r>
        <w:rPr>
          <w:rFonts w:ascii="Calibri" w:eastAsia="Calibri" w:hAnsi="Calibri" w:hint="cs"/>
          <w:rtl/>
        </w:rPr>
        <w:t xml:space="preserve"> </w:t>
      </w:r>
      <w:r>
        <w:rPr>
          <w:rFonts w:ascii="Calibri" w:eastAsia="Calibri" w:hAnsi="Calibri"/>
          <w:rtl/>
        </w:rPr>
        <w:t>- דוגמת זה שנשא הנאשם במקרה הנדון</w:t>
      </w:r>
      <w:r>
        <w:rPr>
          <w:rFonts w:ascii="Calibri" w:eastAsia="Calibri" w:hAnsi="Calibri" w:hint="cs"/>
          <w:rtl/>
        </w:rPr>
        <w:t xml:space="preserve"> </w:t>
      </w:r>
      <w:r>
        <w:rPr>
          <w:rFonts w:ascii="Calibri" w:eastAsia="Calibri" w:hAnsi="Calibri"/>
          <w:rtl/>
        </w:rPr>
        <w:t>- מסוכן יותר מאשר מטען תקני להחזקה ולנשיאה, מבחינת יציבותו ובטיחותו (לעניין זה הפנה ל</w:t>
      </w:r>
      <w:hyperlink r:id="rId21" w:history="1">
        <w:r w:rsidR="00D513CA" w:rsidRPr="00D513CA">
          <w:rPr>
            <w:rFonts w:ascii="Calibri" w:eastAsia="Calibri" w:hAnsi="Calibri" w:hint="cs"/>
            <w:color w:val="0000FF"/>
            <w:u w:val="single"/>
            <w:rtl/>
          </w:rPr>
          <w:t>ע</w:t>
        </w:r>
        <w:r w:rsidR="00D513CA" w:rsidRPr="00D513CA">
          <w:rPr>
            <w:rFonts w:ascii="Calibri" w:eastAsia="Calibri" w:hAnsi="Calibri"/>
            <w:color w:val="0000FF"/>
            <w:u w:val="single"/>
            <w:rtl/>
          </w:rPr>
          <w:t>"</w:t>
        </w:r>
        <w:r w:rsidR="00D513CA" w:rsidRPr="00D513CA">
          <w:rPr>
            <w:rFonts w:ascii="Calibri" w:eastAsia="Calibri" w:hAnsi="Calibri" w:hint="cs"/>
            <w:color w:val="0000FF"/>
            <w:u w:val="single"/>
            <w:rtl/>
          </w:rPr>
          <w:t>פ</w:t>
        </w:r>
        <w:r w:rsidR="00D513CA" w:rsidRPr="00D513CA">
          <w:rPr>
            <w:rFonts w:ascii="Calibri" w:eastAsia="Calibri" w:hAnsi="Calibri"/>
            <w:color w:val="0000FF"/>
            <w:u w:val="single"/>
            <w:rtl/>
          </w:rPr>
          <w:t xml:space="preserve"> 8717/06</w:t>
        </w:r>
      </w:hyperlink>
      <w:r>
        <w:rPr>
          <w:rFonts w:ascii="Calibri" w:eastAsia="Calibri" w:hAnsi="Calibri"/>
          <w:b/>
          <w:bCs/>
          <w:rtl/>
        </w:rPr>
        <w:t xml:space="preserve"> טולידו נ' מדינת ישראל </w:t>
      </w:r>
      <w:r>
        <w:rPr>
          <w:rFonts w:ascii="Calibri" w:eastAsia="Calibri" w:hAnsi="Calibri"/>
          <w:rtl/>
        </w:rPr>
        <w:t>(18/8/08), מפי כב' הש' רובינשטיין).</w:t>
      </w:r>
    </w:p>
    <w:p w14:paraId="09F956F8" w14:textId="77777777" w:rsidR="007823DF" w:rsidRPr="00D0693D" w:rsidRDefault="007823DF" w:rsidP="007823DF">
      <w:pPr>
        <w:tabs>
          <w:tab w:val="left" w:pos="206"/>
        </w:tabs>
        <w:spacing w:before="120" w:after="120" w:line="360" w:lineRule="auto"/>
        <w:ind w:left="720"/>
        <w:jc w:val="both"/>
        <w:rPr>
          <w:rFonts w:ascii="David" w:eastAsia="Calibri" w:hAnsi="David"/>
          <w:b/>
          <w:bCs/>
          <w:sz w:val="8"/>
          <w:szCs w:val="8"/>
          <w:rtl/>
        </w:rPr>
      </w:pPr>
    </w:p>
    <w:p w14:paraId="3D8A113B" w14:textId="77777777" w:rsidR="007823DF" w:rsidRDefault="007823DF" w:rsidP="007823DF">
      <w:pPr>
        <w:tabs>
          <w:tab w:val="left" w:pos="206"/>
        </w:tabs>
        <w:spacing w:before="120" w:after="120" w:line="360" w:lineRule="auto"/>
        <w:ind w:left="720"/>
        <w:jc w:val="both"/>
        <w:rPr>
          <w:rFonts w:ascii="David" w:eastAsia="Calibri" w:hAnsi="David"/>
          <w:rtl/>
        </w:rPr>
      </w:pPr>
      <w:r>
        <w:rPr>
          <w:rFonts w:ascii="David" w:eastAsia="Calibri" w:hAnsi="David"/>
          <w:b/>
          <w:bCs/>
          <w:rtl/>
        </w:rPr>
        <w:t xml:space="preserve">ב. </w:t>
      </w:r>
      <w:r>
        <w:rPr>
          <w:rFonts w:ascii="David" w:hAnsi="David"/>
          <w:rtl/>
        </w:rPr>
        <w:t>ב"כ המאשימה</w:t>
      </w:r>
      <w:r>
        <w:rPr>
          <w:rFonts w:ascii="David" w:hAnsi="David" w:hint="cs"/>
          <w:rtl/>
        </w:rPr>
        <w:t xml:space="preserve"> </w:t>
      </w:r>
      <w:r>
        <w:rPr>
          <w:rFonts w:ascii="David" w:hAnsi="David"/>
          <w:rtl/>
        </w:rPr>
        <w:t xml:space="preserve">פירט את עקרונות הענישה, </w:t>
      </w:r>
      <w:r>
        <w:rPr>
          <w:rFonts w:ascii="David" w:hAnsi="David" w:hint="cs"/>
          <w:rtl/>
        </w:rPr>
        <w:t xml:space="preserve">וביקש להעמיד את </w:t>
      </w:r>
      <w:r>
        <w:rPr>
          <w:rFonts w:ascii="David" w:hAnsi="David"/>
          <w:rtl/>
        </w:rPr>
        <w:t xml:space="preserve">מתחם הענישה ההולם בנסיבות המפורטות </w:t>
      </w:r>
      <w:r>
        <w:rPr>
          <w:rFonts w:ascii="David" w:hAnsi="David" w:hint="cs"/>
          <w:rtl/>
        </w:rPr>
        <w:t>לעיל</w:t>
      </w:r>
      <w:r>
        <w:rPr>
          <w:rFonts w:ascii="David" w:eastAsia="Calibri" w:hAnsi="David" w:hint="cs"/>
          <w:rtl/>
        </w:rPr>
        <w:t xml:space="preserve"> על טווח שבין </w:t>
      </w:r>
      <w:r>
        <w:rPr>
          <w:rFonts w:ascii="David" w:eastAsia="Calibri" w:hAnsi="David"/>
          <w:rtl/>
        </w:rPr>
        <w:t xml:space="preserve">3 -7 שנות מאסר בפועל. </w:t>
      </w:r>
      <w:r>
        <w:rPr>
          <w:rFonts w:ascii="David" w:eastAsia="Calibri" w:hAnsi="David" w:hint="cs"/>
          <w:b/>
          <w:bCs/>
          <w:rtl/>
        </w:rPr>
        <w:t xml:space="preserve"> </w:t>
      </w:r>
      <w:r w:rsidRPr="00204760">
        <w:rPr>
          <w:rFonts w:ascii="David" w:eastAsia="Calibri" w:hAnsi="David" w:hint="cs"/>
          <w:rtl/>
        </w:rPr>
        <w:t>הוא ציין כי</w:t>
      </w:r>
      <w:r>
        <w:rPr>
          <w:rFonts w:ascii="David" w:eastAsia="Calibri" w:hAnsi="David" w:hint="cs"/>
          <w:b/>
          <w:bCs/>
          <w:rtl/>
        </w:rPr>
        <w:t xml:space="preserve"> </w:t>
      </w:r>
      <w:r>
        <w:rPr>
          <w:rFonts w:ascii="David" w:eastAsia="Calibri" w:hAnsi="David"/>
          <w:b/>
          <w:bCs/>
          <w:rtl/>
        </w:rPr>
        <w:t xml:space="preserve">הערכים החברתיים המוגנים </w:t>
      </w:r>
      <w:r w:rsidRPr="00204760">
        <w:rPr>
          <w:rFonts w:ascii="David" w:eastAsia="Calibri" w:hAnsi="David"/>
          <w:rtl/>
        </w:rPr>
        <w:t xml:space="preserve">שנפגעו </w:t>
      </w:r>
      <w:r>
        <w:rPr>
          <w:rFonts w:ascii="David" w:eastAsia="Calibri" w:hAnsi="David"/>
          <w:rtl/>
        </w:rPr>
        <w:t>ממעשי הנאשם הם הבטחת שלום הציבור והגנה על חיי אדם, שכן זמינותו של הנשק, העלול להגיע גם לידיים עברייניות, תורמת להגדלת מעגל האלימות ולתוצאות הקשות הנובעות מכך, ויש לעקור מהשורש את התופע</w:t>
      </w:r>
      <w:r>
        <w:rPr>
          <w:rFonts w:ascii="David" w:eastAsia="Calibri" w:hAnsi="David" w:hint="cs"/>
          <w:rtl/>
        </w:rPr>
        <w:t>ה</w:t>
      </w:r>
      <w:r>
        <w:rPr>
          <w:rFonts w:ascii="David" w:eastAsia="Calibri" w:hAnsi="David"/>
          <w:rtl/>
        </w:rPr>
        <w:t xml:space="preserve"> של הימצאות נשק ברחובות בכלל ומטעני חבלה בפרט.</w:t>
      </w:r>
    </w:p>
    <w:p w14:paraId="74C3D38E" w14:textId="77777777" w:rsidR="007823DF" w:rsidRDefault="007823DF" w:rsidP="007823DF">
      <w:pPr>
        <w:tabs>
          <w:tab w:val="left" w:pos="206"/>
        </w:tabs>
        <w:spacing w:before="120" w:after="120" w:line="360" w:lineRule="auto"/>
        <w:ind w:left="720"/>
        <w:jc w:val="both"/>
        <w:rPr>
          <w:rFonts w:ascii="David" w:eastAsia="Calibri" w:hAnsi="David"/>
          <w:rtl/>
        </w:rPr>
      </w:pPr>
    </w:p>
    <w:p w14:paraId="1797E799" w14:textId="77777777" w:rsidR="007823DF" w:rsidRDefault="007823DF" w:rsidP="007823DF">
      <w:pPr>
        <w:tabs>
          <w:tab w:val="left" w:pos="206"/>
        </w:tabs>
        <w:spacing w:before="120" w:after="120" w:line="360" w:lineRule="auto"/>
        <w:ind w:left="720"/>
        <w:jc w:val="both"/>
        <w:rPr>
          <w:rFonts w:ascii="David" w:hAnsi="David"/>
          <w:sz w:val="6"/>
          <w:szCs w:val="6"/>
          <w:rtl/>
        </w:rPr>
      </w:pPr>
    </w:p>
    <w:p w14:paraId="399C998C" w14:textId="77777777" w:rsidR="007823DF" w:rsidRDefault="007823DF" w:rsidP="007823DF">
      <w:pPr>
        <w:tabs>
          <w:tab w:val="left" w:pos="206"/>
        </w:tabs>
        <w:spacing w:before="120" w:after="120" w:line="360" w:lineRule="auto"/>
        <w:ind w:left="720"/>
        <w:jc w:val="both"/>
        <w:rPr>
          <w:rtl/>
        </w:rPr>
      </w:pPr>
      <w:r>
        <w:rPr>
          <w:rFonts w:ascii="David" w:eastAsia="Calibri" w:hAnsi="David"/>
          <w:b/>
          <w:bCs/>
          <w:rtl/>
        </w:rPr>
        <w:t>ג.</w:t>
      </w:r>
      <w:r>
        <w:rPr>
          <w:rFonts w:ascii="David" w:eastAsia="Calibri" w:hAnsi="David"/>
          <w:rtl/>
        </w:rPr>
        <w:t xml:space="preserve"> ב"כ המאשימה ביקש להחמיר בעונשו של הנאשם, בהפנותו לקריטריונים הקבועים </w:t>
      </w:r>
      <w:hyperlink r:id="rId22" w:history="1">
        <w:r w:rsidR="00792008" w:rsidRPr="00792008">
          <w:rPr>
            <w:rStyle w:val="Hyperlink"/>
            <w:rFonts w:ascii="David" w:eastAsia="Calibri" w:hAnsi="David"/>
            <w:rtl/>
          </w:rPr>
          <w:t>בסעיף 40ט</w:t>
        </w:r>
      </w:hyperlink>
      <w:r>
        <w:rPr>
          <w:rFonts w:ascii="David" w:eastAsia="Calibri" w:hAnsi="David"/>
          <w:rtl/>
        </w:rPr>
        <w:t xml:space="preserve"> ל</w:t>
      </w:r>
      <w:hyperlink r:id="rId23" w:history="1">
        <w:r w:rsidR="00D513CA" w:rsidRPr="00D513CA">
          <w:rPr>
            <w:rFonts w:ascii="David" w:eastAsia="Calibri" w:hAnsi="David"/>
            <w:color w:val="0000FF"/>
            <w:u w:val="single"/>
            <w:rtl/>
          </w:rPr>
          <w:t>חוק העונשין</w:t>
        </w:r>
      </w:hyperlink>
      <w:r>
        <w:rPr>
          <w:rFonts w:ascii="David" w:eastAsia="Calibri" w:hAnsi="David"/>
          <w:rtl/>
        </w:rPr>
        <w:t>; לטענתו, חלקו של הנאשם באירוע הוא מוחלט; הוא ביצע את העבירה לבדו; הנזק הצפוי מביצוע העבירה הוא רב; הנאשם יכול היה להבין את אשר הוא עושה ואת הפסול במעשיו, ויכול היה להימנע מביצועו; לנאשם לא הייתה סיבה לבצע את העבירה, לא הייתה לו מצוקה נפשית ואין כל קרבה לסייג לאחריות פלילית.</w:t>
      </w:r>
      <w:r>
        <w:rPr>
          <w:rFonts w:ascii="David" w:eastAsia="Calibri" w:hAnsi="David" w:hint="cs"/>
          <w:rtl/>
        </w:rPr>
        <w:t xml:space="preserve"> </w:t>
      </w:r>
      <w:r>
        <w:rPr>
          <w:rtl/>
        </w:rPr>
        <w:t xml:space="preserve">כן ביקש להחמיר בענישה משיקולים של הרתעה אישית והרתעת הרבים, מכוח </w:t>
      </w:r>
      <w:hyperlink r:id="rId24" w:history="1">
        <w:r w:rsidR="00792008" w:rsidRPr="00792008">
          <w:rPr>
            <w:rStyle w:val="Hyperlink"/>
            <w:rtl/>
          </w:rPr>
          <w:t>סעיפים 40ו</w:t>
        </w:r>
      </w:hyperlink>
      <w:r>
        <w:rPr>
          <w:rtl/>
        </w:rPr>
        <w:t xml:space="preserve"> ו-</w:t>
      </w:r>
      <w:hyperlink r:id="rId25" w:history="1">
        <w:r w:rsidR="00792008" w:rsidRPr="00792008">
          <w:rPr>
            <w:rStyle w:val="Hyperlink"/>
            <w:rtl/>
          </w:rPr>
          <w:t>40ז</w:t>
        </w:r>
      </w:hyperlink>
      <w:r>
        <w:rPr>
          <w:rtl/>
        </w:rPr>
        <w:t xml:space="preserve"> ל</w:t>
      </w:r>
      <w:hyperlink r:id="rId26" w:history="1">
        <w:r w:rsidR="00D513CA" w:rsidRPr="00D513CA">
          <w:rPr>
            <w:color w:val="0000FF"/>
            <w:u w:val="single"/>
            <w:rtl/>
          </w:rPr>
          <w:t>חוק העונשין</w:t>
        </w:r>
      </w:hyperlink>
      <w:r>
        <w:rPr>
          <w:rtl/>
        </w:rPr>
        <w:t xml:space="preserve">. לטענתו, עונש קל יעביר מסר שגוי לציבור ולנאשם עצמו, ולא תהא בו הרתעה מפני ביצוע עבירות דומות. </w:t>
      </w:r>
    </w:p>
    <w:p w14:paraId="47BB55D8" w14:textId="77777777" w:rsidR="007823DF" w:rsidRDefault="007823DF" w:rsidP="007823DF">
      <w:pPr>
        <w:keepLines/>
        <w:spacing w:line="360" w:lineRule="auto"/>
        <w:ind w:left="720"/>
        <w:jc w:val="both"/>
        <w:rPr>
          <w:sz w:val="12"/>
          <w:szCs w:val="12"/>
          <w:rtl/>
        </w:rPr>
      </w:pPr>
    </w:p>
    <w:p w14:paraId="78D90BF8" w14:textId="77777777" w:rsidR="007823DF" w:rsidRDefault="007823DF" w:rsidP="007823DF">
      <w:pPr>
        <w:pStyle w:val="P00"/>
        <w:spacing w:before="0" w:line="360" w:lineRule="auto"/>
        <w:ind w:left="720"/>
        <w:rPr>
          <w:rFonts w:ascii="David" w:hAnsi="David" w:cs="David"/>
          <w:sz w:val="24"/>
          <w:szCs w:val="24"/>
        </w:rPr>
      </w:pPr>
      <w:r>
        <w:rPr>
          <w:rFonts w:ascii="David" w:hAnsi="David" w:cs="David"/>
          <w:b/>
          <w:bCs/>
          <w:sz w:val="24"/>
          <w:szCs w:val="24"/>
          <w:rtl/>
        </w:rPr>
        <w:t>ד.</w:t>
      </w:r>
      <w:r>
        <w:rPr>
          <w:rFonts w:ascii="David" w:hAnsi="David" w:cs="David"/>
          <w:sz w:val="24"/>
          <w:szCs w:val="24"/>
          <w:rtl/>
        </w:rPr>
        <w:t xml:space="preserve"> </w:t>
      </w:r>
      <w:r>
        <w:rPr>
          <w:rFonts w:ascii="David" w:hAnsi="David" w:cs="David" w:hint="cs"/>
          <w:sz w:val="24"/>
          <w:szCs w:val="24"/>
          <w:rtl/>
        </w:rPr>
        <w:t>הוא</w:t>
      </w:r>
      <w:r>
        <w:rPr>
          <w:rFonts w:ascii="David" w:hAnsi="David" w:cs="David"/>
          <w:sz w:val="24"/>
          <w:szCs w:val="24"/>
          <w:rtl/>
        </w:rPr>
        <w:t xml:space="preserve"> עתר שלא לקבל את המלצת שירות המבחן להטיל על הנאשם מאסר לריצוי בעבודות שירות;</w:t>
      </w:r>
      <w:r>
        <w:rPr>
          <w:rFonts w:ascii="David" w:hAnsi="David" w:cs="David" w:hint="cs"/>
          <w:sz w:val="24"/>
          <w:szCs w:val="24"/>
          <w:rtl/>
        </w:rPr>
        <w:t xml:space="preserve"> נוכח העובדה שמדובר </w:t>
      </w:r>
      <w:r>
        <w:rPr>
          <w:rFonts w:ascii="David" w:hAnsi="David" w:cs="David"/>
          <w:sz w:val="24"/>
          <w:szCs w:val="24"/>
          <w:rtl/>
        </w:rPr>
        <w:t>במטען היכול לגרום לקטיעת איבר</w:t>
      </w:r>
      <w:r>
        <w:rPr>
          <w:rFonts w:ascii="David" w:hAnsi="David" w:cs="David" w:hint="cs"/>
          <w:sz w:val="24"/>
          <w:szCs w:val="24"/>
          <w:rtl/>
        </w:rPr>
        <w:t xml:space="preserve">, וטענת המאשימה כי </w:t>
      </w:r>
      <w:r>
        <w:rPr>
          <w:rFonts w:ascii="David" w:hAnsi="David" w:cs="David"/>
          <w:sz w:val="24"/>
          <w:szCs w:val="24"/>
          <w:rtl/>
        </w:rPr>
        <w:t xml:space="preserve">התסקיר שניתן אינו חיובי; </w:t>
      </w:r>
      <w:r>
        <w:rPr>
          <w:rFonts w:ascii="David" w:hAnsi="David" w:cs="David" w:hint="cs"/>
          <w:sz w:val="24"/>
          <w:szCs w:val="24"/>
          <w:rtl/>
        </w:rPr>
        <w:t xml:space="preserve">ב"כ המאשימה ציין כי </w:t>
      </w:r>
      <w:r>
        <w:rPr>
          <w:rFonts w:ascii="David" w:hAnsi="David" w:cs="David"/>
          <w:sz w:val="24"/>
          <w:szCs w:val="24"/>
          <w:rtl/>
        </w:rPr>
        <w:t>שרות המבחן נמנע מהמלצה טיפולית</w:t>
      </w:r>
      <w:r>
        <w:rPr>
          <w:rFonts w:ascii="David" w:hAnsi="David" w:cs="David" w:hint="cs"/>
          <w:sz w:val="24"/>
          <w:szCs w:val="24"/>
          <w:rtl/>
        </w:rPr>
        <w:t xml:space="preserve">, תוך הפנייה לתסקיר ולגורמי הסיכון שצוינו, ואין צורך לחזור על הדברים.  </w:t>
      </w:r>
      <w:r>
        <w:rPr>
          <w:rFonts w:ascii="David" w:hAnsi="David" w:cs="David"/>
          <w:sz w:val="24"/>
          <w:szCs w:val="24"/>
          <w:rtl/>
        </w:rPr>
        <w:t xml:space="preserve">אף שהשורה התחתונה וההמלצה היא לעבודות שרות, אין המלצה טיפולית, הנאשם לא עבר טיפול או שיקום, ולהמלצה הזאת לא צריך להיות משקל, שעה ששרות המבחן עצמו סבור שיש צורך בענישה מרתיעה ומציבת גבולות. </w:t>
      </w:r>
    </w:p>
    <w:p w14:paraId="39AD1464" w14:textId="77777777" w:rsidR="007823DF" w:rsidRPr="005A2BF5" w:rsidRDefault="007823DF" w:rsidP="007823DF">
      <w:pPr>
        <w:spacing w:line="360" w:lineRule="auto"/>
        <w:jc w:val="both"/>
        <w:rPr>
          <w:rFonts w:ascii="David" w:hAnsi="David"/>
          <w:sz w:val="16"/>
          <w:szCs w:val="16"/>
          <w:rtl/>
        </w:rPr>
      </w:pPr>
    </w:p>
    <w:p w14:paraId="3FF41E5D" w14:textId="77777777" w:rsidR="007823DF" w:rsidRDefault="007823DF" w:rsidP="007823DF">
      <w:pPr>
        <w:spacing w:line="360" w:lineRule="auto"/>
        <w:ind w:left="651"/>
        <w:jc w:val="both"/>
        <w:rPr>
          <w:rFonts w:ascii="David" w:hAnsi="David"/>
          <w:noProof/>
          <w:lang w:eastAsia="he-IL"/>
        </w:rPr>
      </w:pPr>
      <w:r>
        <w:rPr>
          <w:rFonts w:ascii="David" w:hAnsi="David" w:hint="cs"/>
          <w:b/>
          <w:bCs/>
          <w:noProof/>
          <w:rtl/>
          <w:lang w:eastAsia="he-IL"/>
        </w:rPr>
        <w:t>ה</w:t>
      </w:r>
      <w:r>
        <w:rPr>
          <w:rFonts w:ascii="David" w:hAnsi="David"/>
          <w:b/>
          <w:bCs/>
          <w:noProof/>
          <w:rtl/>
          <w:lang w:eastAsia="he-IL"/>
        </w:rPr>
        <w:t xml:space="preserve">. </w:t>
      </w:r>
      <w:r>
        <w:rPr>
          <w:rFonts w:ascii="David" w:hAnsi="David"/>
          <w:noProof/>
          <w:rtl/>
          <w:lang w:eastAsia="he-IL"/>
        </w:rPr>
        <w:t xml:space="preserve">לפיכך עתרה המאשימה להטיל על הנאשם מאסר בפועל ברף התחתון של מתחם הענישה </w:t>
      </w:r>
      <w:r>
        <w:rPr>
          <w:rFonts w:ascii="David" w:hAnsi="David" w:hint="cs"/>
          <w:noProof/>
          <w:rtl/>
          <w:lang w:eastAsia="he-IL"/>
        </w:rPr>
        <w:t>ה</w:t>
      </w:r>
      <w:r>
        <w:rPr>
          <w:rFonts w:ascii="David" w:hAnsi="David"/>
          <w:noProof/>
          <w:rtl/>
          <w:lang w:eastAsia="he-IL"/>
        </w:rPr>
        <w:t xml:space="preserve">מוצע, לצד ענישה נלווית כמפורט לעיל. </w:t>
      </w:r>
    </w:p>
    <w:p w14:paraId="133DAE0E" w14:textId="77777777" w:rsidR="007823DF" w:rsidRDefault="007823DF" w:rsidP="007823DF">
      <w:pPr>
        <w:ind w:left="720"/>
        <w:rPr>
          <w:rFonts w:ascii="David" w:hAnsi="David"/>
          <w:rtl/>
        </w:rPr>
      </w:pPr>
    </w:p>
    <w:p w14:paraId="404B0183" w14:textId="77777777" w:rsidR="007823DF" w:rsidRDefault="007823DF" w:rsidP="007823DF">
      <w:pPr>
        <w:spacing w:line="360" w:lineRule="auto"/>
        <w:jc w:val="both"/>
        <w:rPr>
          <w:b/>
          <w:bCs/>
          <w:u w:val="single"/>
          <w:rtl/>
        </w:rPr>
      </w:pPr>
      <w:r>
        <w:rPr>
          <w:b/>
          <w:bCs/>
          <w:rtl/>
        </w:rPr>
        <w:t>7.</w:t>
      </w:r>
      <w:r>
        <w:rPr>
          <w:b/>
          <w:bCs/>
          <w:rtl/>
        </w:rPr>
        <w:tab/>
      </w:r>
      <w:r>
        <w:rPr>
          <w:b/>
          <w:bCs/>
          <w:u w:val="single"/>
          <w:rtl/>
        </w:rPr>
        <w:t>טיעוני ההגנה</w:t>
      </w:r>
    </w:p>
    <w:p w14:paraId="1885E1CC" w14:textId="77777777" w:rsidR="007823DF" w:rsidRDefault="007823DF" w:rsidP="007823DF">
      <w:pPr>
        <w:spacing w:line="360" w:lineRule="auto"/>
        <w:ind w:left="651"/>
        <w:jc w:val="both"/>
        <w:rPr>
          <w:rtl/>
        </w:rPr>
      </w:pPr>
      <w:r>
        <w:rPr>
          <w:rtl/>
        </w:rPr>
        <w:t>ב"כ הנאשם עתר שלא למצות את הדין עם הנאשם ולאמץ את המלצת שירות המבחן בעניינו.</w:t>
      </w:r>
    </w:p>
    <w:p w14:paraId="63341577" w14:textId="77777777" w:rsidR="007823DF" w:rsidRPr="005A2BF5" w:rsidRDefault="007823DF" w:rsidP="007823DF">
      <w:pPr>
        <w:spacing w:line="360" w:lineRule="auto"/>
        <w:ind w:left="651"/>
        <w:jc w:val="both"/>
        <w:rPr>
          <w:sz w:val="12"/>
          <w:szCs w:val="12"/>
          <w:rtl/>
        </w:rPr>
      </w:pPr>
    </w:p>
    <w:p w14:paraId="60286593" w14:textId="77777777" w:rsidR="007823DF" w:rsidRDefault="007823DF" w:rsidP="007823DF">
      <w:pPr>
        <w:spacing w:line="360" w:lineRule="auto"/>
        <w:ind w:left="651"/>
        <w:jc w:val="both"/>
        <w:rPr>
          <w:rtl/>
        </w:rPr>
      </w:pPr>
      <w:r>
        <w:rPr>
          <w:b/>
          <w:bCs/>
          <w:rtl/>
        </w:rPr>
        <w:t>א.</w:t>
      </w:r>
      <w:r>
        <w:rPr>
          <w:rtl/>
        </w:rPr>
        <w:t xml:space="preserve"> </w:t>
      </w:r>
      <w:r>
        <w:rPr>
          <w:rFonts w:hint="cs"/>
          <w:rtl/>
        </w:rPr>
        <w:t>תחילה</w:t>
      </w:r>
      <w:r>
        <w:rPr>
          <w:rtl/>
        </w:rPr>
        <w:t xml:space="preserve"> נשאל הנאשם על ידי בית המשפט אם הוא מבקש לחזור בו מהודייתו, נוכח דבריו לשירות המבחן כי לא הי</w:t>
      </w:r>
      <w:r>
        <w:rPr>
          <w:rFonts w:hint="cs"/>
          <w:rtl/>
        </w:rPr>
        <w:t>י</w:t>
      </w:r>
      <w:r>
        <w:rPr>
          <w:rtl/>
        </w:rPr>
        <w:t xml:space="preserve">תה לו כוונה פלילית, </w:t>
      </w:r>
      <w:r>
        <w:rPr>
          <w:rFonts w:hint="cs"/>
          <w:rtl/>
        </w:rPr>
        <w:t>ו</w:t>
      </w:r>
      <w:r>
        <w:rPr>
          <w:rtl/>
        </w:rPr>
        <w:t xml:space="preserve">השיב </w:t>
      </w:r>
      <w:r>
        <w:rPr>
          <w:rFonts w:hint="cs"/>
          <w:rtl/>
        </w:rPr>
        <w:t xml:space="preserve">בשלילה; </w:t>
      </w:r>
      <w:r>
        <w:rPr>
          <w:rtl/>
        </w:rPr>
        <w:t>"</w:t>
      </w:r>
      <w:r>
        <w:rPr>
          <w:b/>
          <w:bCs/>
          <w:rtl/>
        </w:rPr>
        <w:t xml:space="preserve">אני לא רציתי להשתמש במטען בכלל. רציתי להחזיר במטען, רק לקחתי את זה מאבא. רציתי רק להניח את זה אצלי. אני מודה בביצוע העבירה". </w:t>
      </w:r>
      <w:r>
        <w:rPr>
          <w:rtl/>
        </w:rPr>
        <w:t xml:space="preserve">ב"כ הנאשם </w:t>
      </w:r>
      <w:r>
        <w:rPr>
          <w:rFonts w:hint="cs"/>
          <w:rtl/>
        </w:rPr>
        <w:t>טען כי הנאשם לא חזר בו מהודאתו בפני שירות המבחן, אלא מסר כי לא היה ב</w:t>
      </w:r>
      <w:r>
        <w:rPr>
          <w:rtl/>
        </w:rPr>
        <w:t>כוונת</w:t>
      </w:r>
      <w:r>
        <w:rPr>
          <w:rFonts w:hint="cs"/>
          <w:rtl/>
        </w:rPr>
        <w:t>ו</w:t>
      </w:r>
      <w:r>
        <w:rPr>
          <w:rtl/>
        </w:rPr>
        <w:t xml:space="preserve"> לעשות שימוש במטען, ומיד לאחר מכן הביע חרטה ותחושת בושה על </w:t>
      </w:r>
      <w:r>
        <w:rPr>
          <w:rFonts w:hint="cs"/>
          <w:rtl/>
        </w:rPr>
        <w:t xml:space="preserve">ביצוע </w:t>
      </w:r>
      <w:r>
        <w:rPr>
          <w:rtl/>
        </w:rPr>
        <w:t xml:space="preserve">העבירה. </w:t>
      </w:r>
    </w:p>
    <w:p w14:paraId="08CD8F19" w14:textId="77777777" w:rsidR="007823DF" w:rsidRPr="00FF14A8" w:rsidRDefault="007823DF" w:rsidP="007823DF">
      <w:pPr>
        <w:spacing w:line="360" w:lineRule="auto"/>
        <w:ind w:left="651"/>
        <w:jc w:val="both"/>
        <w:rPr>
          <w:b/>
          <w:bCs/>
          <w:sz w:val="16"/>
          <w:szCs w:val="16"/>
          <w:rtl/>
        </w:rPr>
      </w:pPr>
    </w:p>
    <w:p w14:paraId="50F76BA0" w14:textId="77777777" w:rsidR="007823DF" w:rsidRDefault="007823DF" w:rsidP="007823DF">
      <w:pPr>
        <w:spacing w:line="360" w:lineRule="auto"/>
        <w:ind w:left="651"/>
        <w:jc w:val="both"/>
        <w:rPr>
          <w:rtl/>
        </w:rPr>
      </w:pPr>
      <w:r>
        <w:rPr>
          <w:b/>
          <w:bCs/>
          <w:rtl/>
        </w:rPr>
        <w:t>ב. אשר לנסיבות ביצוע העבירה</w:t>
      </w:r>
      <w:r>
        <w:rPr>
          <w:rtl/>
        </w:rPr>
        <w:t xml:space="preserve">, ביקש ב"כ הנאשם ליתן משקל משמעותי לקולה לכך שכתב האישום המקורי בעניינו של הנאשם תוקן במסגרת הסדר הטיעון והעבירה אשר בביצועה הודה היא עברת החזקה, להבדיל מנשיאת נשק שיוחסה לו במקור. </w:t>
      </w:r>
      <w:r>
        <w:rPr>
          <w:rFonts w:hint="cs"/>
          <w:rtl/>
        </w:rPr>
        <w:t>הוא חזר ו</w:t>
      </w:r>
      <w:r>
        <w:rPr>
          <w:rtl/>
        </w:rPr>
        <w:t>הדגיש כי הצדדים הסכימו לתיקו</w:t>
      </w:r>
      <w:r>
        <w:rPr>
          <w:rFonts w:hint="cs"/>
          <w:rtl/>
        </w:rPr>
        <w:t>ן</w:t>
      </w:r>
      <w:r>
        <w:rPr>
          <w:rtl/>
        </w:rPr>
        <w:t xml:space="preserve"> כתב האישום על יסוד קושי ראייתי שקיים בתיק, תוך שלקחו בחשבון לא רק את ההפחתה מעבירה של נשיאה להחזקת נשק, אלא  התחשבו גם בשאלה האם בכלל בנתונים של התיק הנדון החפץ שנתפס מהווה "נשק או תחמושת או אפילו לא מגיע למצב של תחמושת". </w:t>
      </w:r>
    </w:p>
    <w:p w14:paraId="3EE8C625" w14:textId="77777777" w:rsidR="007823DF" w:rsidRPr="006347C4" w:rsidRDefault="007823DF" w:rsidP="007823DF">
      <w:pPr>
        <w:spacing w:line="360" w:lineRule="auto"/>
        <w:ind w:left="651"/>
        <w:jc w:val="both"/>
        <w:rPr>
          <w:sz w:val="10"/>
          <w:szCs w:val="10"/>
          <w:rtl/>
        </w:rPr>
      </w:pPr>
    </w:p>
    <w:p w14:paraId="03065E4D" w14:textId="77777777" w:rsidR="007823DF" w:rsidRDefault="007823DF" w:rsidP="007823DF">
      <w:pPr>
        <w:spacing w:line="360" w:lineRule="auto"/>
        <w:ind w:left="651"/>
        <w:jc w:val="both"/>
        <w:rPr>
          <w:b/>
          <w:bCs/>
          <w:sz w:val="12"/>
          <w:szCs w:val="12"/>
          <w:rtl/>
        </w:rPr>
      </w:pPr>
    </w:p>
    <w:p w14:paraId="265C4FD2" w14:textId="77777777" w:rsidR="007823DF" w:rsidRDefault="007823DF" w:rsidP="007823DF">
      <w:pPr>
        <w:spacing w:line="360" w:lineRule="auto"/>
        <w:ind w:left="651"/>
        <w:jc w:val="both"/>
        <w:rPr>
          <w:rtl/>
        </w:rPr>
      </w:pPr>
      <w:r>
        <w:rPr>
          <w:rtl/>
        </w:rPr>
        <w:t xml:space="preserve">לטענתו, אכן הערכים החברתיים המוגנים בעבירות החזקת נשק הם הגנה על שלום הציבור, בטחונו ושלמות הגוף, אך במקרה הנדון הפגיעה בערכים אלו היא מינורית, משעסקינן במטען שאיננו בעל יכולת היזק </w:t>
      </w:r>
      <w:r>
        <w:rPr>
          <w:rFonts w:hint="cs"/>
          <w:rtl/>
        </w:rPr>
        <w:t xml:space="preserve">בהעדר </w:t>
      </w:r>
      <w:r>
        <w:rPr>
          <w:rtl/>
        </w:rPr>
        <w:t xml:space="preserve">אמצעי יזימה, כך שלא ניתן לעשות בו שימוש כפי שהוא נמצא ונתפס. לעניין זה הפנה להתייחסותו של כב' הש' סילמן בהליך המעצר לעניין עוצמת המטען וליכולת ההיזק - אשר התבססה על חוות דעת מעבדת נשק שהוגשה מטעם המאשימה (ת/8) - ולקביעתו כי גם אם יש אמצעי יזימה להפעיל אותו, עדין המתקן הוא פירוטכני. </w:t>
      </w:r>
    </w:p>
    <w:p w14:paraId="3E6EE656" w14:textId="77777777" w:rsidR="007823DF" w:rsidRPr="00601923" w:rsidRDefault="007823DF" w:rsidP="007823DF">
      <w:pPr>
        <w:spacing w:line="360" w:lineRule="auto"/>
        <w:ind w:left="651"/>
        <w:jc w:val="both"/>
        <w:rPr>
          <w:sz w:val="16"/>
          <w:szCs w:val="16"/>
          <w:rtl/>
        </w:rPr>
      </w:pPr>
    </w:p>
    <w:p w14:paraId="3F8740D1" w14:textId="77777777" w:rsidR="007823DF" w:rsidRDefault="007823DF" w:rsidP="007823DF">
      <w:pPr>
        <w:spacing w:line="360" w:lineRule="auto"/>
        <w:ind w:left="651"/>
        <w:jc w:val="both"/>
        <w:rPr>
          <w:rtl/>
        </w:rPr>
      </w:pPr>
      <w:r>
        <w:rPr>
          <w:b/>
          <w:bCs/>
          <w:rtl/>
        </w:rPr>
        <w:t xml:space="preserve">ג. </w:t>
      </w:r>
      <w:r>
        <w:rPr>
          <w:rtl/>
        </w:rPr>
        <w:t>עוד בהקשר זה הפנה ב"כ הנאשם לפסיקת בית המשפט העליון</w:t>
      </w:r>
      <w:r>
        <w:rPr>
          <w:rFonts w:hint="cs"/>
          <w:rtl/>
        </w:rPr>
        <w:t xml:space="preserve">, שלפיה </w:t>
      </w:r>
      <w:r>
        <w:rPr>
          <w:rtl/>
        </w:rPr>
        <w:t>בעת גזירת דינו של נאשם בעבירות נשק יש לתת את הדעת לסוג הנשק, איכותו, הכמות, התכלית שעומדת מאחורי ההחזקה ופוטנציאל הנזק הטמון באותו נשק. (</w:t>
      </w:r>
      <w:hyperlink r:id="rId27" w:history="1">
        <w:r w:rsidR="00D513CA" w:rsidRPr="00D513CA">
          <w:rPr>
            <w:color w:val="0000FF"/>
            <w:u w:val="single"/>
            <w:rtl/>
          </w:rPr>
          <w:t>ע"פ 1323/13</w:t>
        </w:r>
      </w:hyperlink>
      <w:r>
        <w:rPr>
          <w:rtl/>
        </w:rPr>
        <w:t xml:space="preserve"> </w:t>
      </w:r>
      <w:r>
        <w:rPr>
          <w:b/>
          <w:bCs/>
          <w:rtl/>
        </w:rPr>
        <w:t>חסן נ' מדינת ישראל</w:t>
      </w:r>
      <w:r>
        <w:rPr>
          <w:rtl/>
        </w:rPr>
        <w:t xml:space="preserve"> (5/6/13), מפי כב' הש' ארבל). </w:t>
      </w:r>
    </w:p>
    <w:p w14:paraId="42CE6805" w14:textId="77777777" w:rsidR="007823DF" w:rsidRPr="00FF14A8" w:rsidRDefault="007823DF" w:rsidP="007823DF">
      <w:pPr>
        <w:spacing w:line="360" w:lineRule="auto"/>
        <w:ind w:left="651"/>
        <w:jc w:val="both"/>
        <w:rPr>
          <w:sz w:val="14"/>
          <w:szCs w:val="14"/>
          <w:rtl/>
        </w:rPr>
      </w:pPr>
    </w:p>
    <w:p w14:paraId="03795658" w14:textId="77777777" w:rsidR="007823DF" w:rsidRDefault="007823DF" w:rsidP="007823DF">
      <w:pPr>
        <w:spacing w:line="360" w:lineRule="auto"/>
        <w:ind w:left="651"/>
        <w:jc w:val="both"/>
        <w:rPr>
          <w:rFonts w:ascii="David" w:hAnsi="David"/>
          <w:rtl/>
        </w:rPr>
      </w:pPr>
      <w:r>
        <w:rPr>
          <w:rtl/>
        </w:rPr>
        <w:t xml:space="preserve">אשר למקרה הנדון, הפנה לעדותו של רס"ב רון שטמפפר (עמ' 22 ו- 25 לפרוט'), שמסר כי למעשה מדובר באבקת שריפה שנמצאת בתוך פחית, כי הוא לא יכול להסתמך על מחקרים כדי להראות שכמות כזו יכולה לגרום לנזק </w:t>
      </w:r>
      <w:r>
        <w:t>X</w:t>
      </w:r>
      <w:r>
        <w:rPr>
          <w:rtl/>
        </w:rPr>
        <w:t xml:space="preserve"> או </w:t>
      </w:r>
      <w:r>
        <w:t>Y</w:t>
      </w:r>
      <w:r>
        <w:rPr>
          <w:rtl/>
        </w:rPr>
        <w:t xml:space="preserve">, ולכן </w:t>
      </w:r>
      <w:r>
        <w:rPr>
          <w:rFonts w:hint="cs"/>
          <w:rtl/>
        </w:rPr>
        <w:t xml:space="preserve">לטענת ההגנה </w:t>
      </w:r>
      <w:r>
        <w:rPr>
          <w:rtl/>
        </w:rPr>
        <w:t xml:space="preserve">הנשק שנתפס קרוב יותר לתחמושת מאשר למטען חבלה. </w:t>
      </w:r>
      <w:r>
        <w:rPr>
          <w:rFonts w:hint="cs"/>
          <w:rtl/>
        </w:rPr>
        <w:t>אף ש</w:t>
      </w:r>
      <w:r>
        <w:rPr>
          <w:rtl/>
        </w:rPr>
        <w:t xml:space="preserve">הנאשם </w:t>
      </w:r>
      <w:r>
        <w:rPr>
          <w:rFonts w:hint="cs"/>
          <w:rtl/>
        </w:rPr>
        <w:t>מ</w:t>
      </w:r>
      <w:r>
        <w:rPr>
          <w:rtl/>
        </w:rPr>
        <w:t xml:space="preserve">ודה בהחזקת נשק ואינו חוזר בו ממנה, יש ליתן משקל בגזירת הדין למהות המטען שהחזיק המהווה למעשה תחמושת, שנכנסת לגדר של עבירת עוון. בהקשר זה, ולעניין מתחם העונש ההולם, הפנה </w:t>
      </w:r>
      <w:r>
        <w:rPr>
          <w:rFonts w:ascii="David" w:hAnsi="David"/>
          <w:rtl/>
        </w:rPr>
        <w:t>ל</w:t>
      </w:r>
      <w:hyperlink r:id="rId28" w:history="1">
        <w:r w:rsidR="00D513CA" w:rsidRPr="00D513CA">
          <w:rPr>
            <w:rFonts w:ascii="David" w:hAnsi="David"/>
            <w:color w:val="0000FF"/>
            <w:u w:val="single"/>
            <w:rtl/>
          </w:rPr>
          <w:t>ת"פ (חי') 49995-09-17</w:t>
        </w:r>
      </w:hyperlink>
      <w:r>
        <w:rPr>
          <w:rFonts w:ascii="David" w:hAnsi="David"/>
          <w:b/>
          <w:bCs/>
          <w:rtl/>
        </w:rPr>
        <w:t xml:space="preserve"> מדינת ישראל נ' עלי </w:t>
      </w:r>
      <w:r>
        <w:rPr>
          <w:rFonts w:ascii="David" w:hAnsi="David"/>
          <w:rtl/>
        </w:rPr>
        <w:t>(4/11/18),</w:t>
      </w:r>
      <w:r>
        <w:rPr>
          <w:rFonts w:ascii="David" w:hAnsi="David"/>
          <w:b/>
          <w:bCs/>
          <w:rtl/>
        </w:rPr>
        <w:t xml:space="preserve"> </w:t>
      </w:r>
      <w:r>
        <w:rPr>
          <w:rFonts w:ascii="David" w:hAnsi="David"/>
          <w:rtl/>
        </w:rPr>
        <w:t xml:space="preserve">מפי כב' הש' </w:t>
      </w:r>
      <w:r>
        <w:rPr>
          <w:rFonts w:ascii="David" w:hAnsi="David" w:hint="cs"/>
          <w:rtl/>
        </w:rPr>
        <w:t xml:space="preserve">רונית </w:t>
      </w:r>
      <w:r>
        <w:rPr>
          <w:rFonts w:ascii="David" w:hAnsi="David"/>
          <w:rtl/>
        </w:rPr>
        <w:t xml:space="preserve">בש, שם מדובר על מטען נפץ עם אמצעי יזימה, להבדיל מהמקרה הנדון, ונקבע כי מדובר במטען הקרוב יותר לרימון הלם מאשר לפצצה, ולכן למד בית המשפט באותו עניין ממתחם שנקבע במקרים של החזקה של רימון הלם. </w:t>
      </w:r>
    </w:p>
    <w:p w14:paraId="60F22F3B" w14:textId="77777777" w:rsidR="007823DF" w:rsidRDefault="007823DF" w:rsidP="007823DF">
      <w:pPr>
        <w:spacing w:line="360" w:lineRule="auto"/>
        <w:ind w:left="651"/>
        <w:jc w:val="both"/>
        <w:rPr>
          <w:sz w:val="18"/>
          <w:szCs w:val="18"/>
        </w:rPr>
      </w:pPr>
    </w:p>
    <w:p w14:paraId="460ACC4A" w14:textId="77777777" w:rsidR="007823DF" w:rsidRDefault="007823DF" w:rsidP="007823DF">
      <w:pPr>
        <w:spacing w:line="360" w:lineRule="auto"/>
        <w:ind w:left="651"/>
        <w:jc w:val="both"/>
        <w:rPr>
          <w:rtl/>
        </w:rPr>
      </w:pPr>
      <w:r>
        <w:rPr>
          <w:rtl/>
        </w:rPr>
        <w:t>עוד הדגיש ב"כ הנאשם כי</w:t>
      </w:r>
      <w:r>
        <w:rPr>
          <w:rFonts w:hint="cs"/>
          <w:rtl/>
        </w:rPr>
        <w:t xml:space="preserve"> </w:t>
      </w:r>
      <w:r>
        <w:rPr>
          <w:rtl/>
        </w:rPr>
        <w:t>לא זאת בלבד שהחבלן ידע איך לנטרל את ה</w:t>
      </w:r>
      <w:r>
        <w:rPr>
          <w:rFonts w:hint="cs"/>
          <w:rtl/>
        </w:rPr>
        <w:t>מטען</w:t>
      </w:r>
      <w:r>
        <w:rPr>
          <w:rtl/>
        </w:rPr>
        <w:t>, הוא גם העיד שכדי להפעיל את המטען צריך לחמם אותו, ואז מחמם המטען עלול להיפצע. כן הפנה לעדות הסייר כי לאחר שתפס את המטען הכניסו אל תוך כיסו, דבר המלמד כי מדובר במטען שאין בו פוטנציאל סיכון. כך גם בחוות הדעת נקבע כי מטען שכזה אינו גורם למוות, אלא עשוי לגרום לצפצופים באוזניים ו/או לקטיעת אצבע של תופס המטען ולא מעבר לכך.</w:t>
      </w:r>
    </w:p>
    <w:p w14:paraId="274C1544" w14:textId="77777777" w:rsidR="007823DF" w:rsidRPr="00D6517E" w:rsidRDefault="007823DF" w:rsidP="007823DF">
      <w:pPr>
        <w:spacing w:line="360" w:lineRule="auto"/>
        <w:ind w:left="651"/>
        <w:jc w:val="both"/>
        <w:rPr>
          <w:sz w:val="12"/>
          <w:szCs w:val="12"/>
          <w:rtl/>
        </w:rPr>
      </w:pPr>
    </w:p>
    <w:p w14:paraId="2CD89823" w14:textId="77777777" w:rsidR="007823DF" w:rsidRDefault="007823DF" w:rsidP="007823DF">
      <w:pPr>
        <w:spacing w:line="360" w:lineRule="auto"/>
        <w:ind w:left="651"/>
        <w:jc w:val="both"/>
        <w:rPr>
          <w:b/>
          <w:bCs/>
          <w:rtl/>
        </w:rPr>
      </w:pPr>
      <w:r>
        <w:rPr>
          <w:rtl/>
        </w:rPr>
        <w:t>לטענתו, הנסיבה המחמירה של נשיאה – כפי שיוחסה לנאשם בכתב האישום המקורי</w:t>
      </w:r>
      <w:r>
        <w:rPr>
          <w:rFonts w:hint="cs"/>
          <w:rtl/>
        </w:rPr>
        <w:t xml:space="preserve"> </w:t>
      </w:r>
      <w:r>
        <w:rPr>
          <w:rtl/>
        </w:rPr>
        <w:t>- באה כדי למגר תופעה של העברת נשק ממקום למקום לצורך שימוש, להבדיל מהחזקה. בעניינ</w:t>
      </w:r>
      <w:r>
        <w:rPr>
          <w:rFonts w:hint="cs"/>
          <w:rtl/>
        </w:rPr>
        <w:t>נ</w:t>
      </w:r>
      <w:r>
        <w:rPr>
          <w:rtl/>
        </w:rPr>
        <w:t xml:space="preserve">ו, מדובר בנסיבות מיוחדות של מטען מאולתר שאפילו אם נושאים אותו, כל עוד הוא בלי אמצעי יזימה, הוא לא יכול לגרום נזק אלא למי שנושא את המטען. </w:t>
      </w:r>
      <w:r>
        <w:rPr>
          <w:rFonts w:hint="cs"/>
          <w:rtl/>
        </w:rPr>
        <w:t xml:space="preserve">כן </w:t>
      </w:r>
      <w:r>
        <w:rPr>
          <w:rtl/>
        </w:rPr>
        <w:t xml:space="preserve">ביקש הסנגור </w:t>
      </w:r>
      <w:r>
        <w:rPr>
          <w:rFonts w:hint="cs"/>
          <w:rtl/>
        </w:rPr>
        <w:t>להתחשב</w:t>
      </w:r>
      <w:r>
        <w:rPr>
          <w:rtl/>
        </w:rPr>
        <w:t xml:space="preserve"> לקולה </w:t>
      </w:r>
      <w:r>
        <w:rPr>
          <w:rFonts w:hint="cs"/>
          <w:rtl/>
        </w:rPr>
        <w:t>ב</w:t>
      </w:r>
      <w:r>
        <w:rPr>
          <w:rtl/>
        </w:rPr>
        <w:t xml:space="preserve">כך שהמטען נתפס ולא התגלגל לידיי עברייניות. </w:t>
      </w:r>
    </w:p>
    <w:p w14:paraId="0C5146AB" w14:textId="77777777" w:rsidR="007823DF" w:rsidRPr="00D6517E" w:rsidRDefault="007823DF" w:rsidP="007823DF">
      <w:pPr>
        <w:spacing w:line="360" w:lineRule="auto"/>
        <w:ind w:left="651"/>
        <w:jc w:val="both"/>
        <w:rPr>
          <w:sz w:val="18"/>
          <w:szCs w:val="18"/>
          <w:rtl/>
        </w:rPr>
      </w:pPr>
    </w:p>
    <w:p w14:paraId="2510BA55" w14:textId="77777777" w:rsidR="007823DF" w:rsidRDefault="007823DF" w:rsidP="007823DF">
      <w:pPr>
        <w:spacing w:line="360" w:lineRule="auto"/>
        <w:ind w:left="651"/>
        <w:jc w:val="both"/>
        <w:rPr>
          <w:rtl/>
        </w:rPr>
      </w:pPr>
      <w:r>
        <w:rPr>
          <w:b/>
          <w:bCs/>
          <w:rtl/>
        </w:rPr>
        <w:t>ד.</w:t>
      </w:r>
      <w:r>
        <w:rPr>
          <w:rtl/>
        </w:rPr>
        <w:t xml:space="preserve"> </w:t>
      </w:r>
      <w:r>
        <w:rPr>
          <w:b/>
          <w:bCs/>
          <w:rtl/>
        </w:rPr>
        <w:t xml:space="preserve">אשר לנסיבות שאינן קשורות בביצוע העבירה, </w:t>
      </w:r>
      <w:r>
        <w:rPr>
          <w:rtl/>
        </w:rPr>
        <w:t xml:space="preserve">ביקש </w:t>
      </w:r>
      <w:r>
        <w:rPr>
          <w:rFonts w:hint="cs"/>
          <w:rtl/>
        </w:rPr>
        <w:t>הסנגור</w:t>
      </w:r>
      <w:r>
        <w:rPr>
          <w:rtl/>
        </w:rPr>
        <w:t xml:space="preserve"> להתחשב לקולה בהודייתו של הנאשם בעובדות כתב האישום המתוקן, לאחריות שנטל למעשיו ולחרטה שהביע בגינם. כן ביקש לזקוף לזכותו של הנאשם את הח</w:t>
      </w:r>
      <w:r>
        <w:rPr>
          <w:rFonts w:hint="cs"/>
          <w:rtl/>
        </w:rPr>
        <w:t>י</w:t>
      </w:r>
      <w:r>
        <w:rPr>
          <w:rtl/>
        </w:rPr>
        <w:t xml:space="preserve">סכון בזמן השיפוטי, בהדגישו כי עוד בטרם הגיעו הצדדים להסדר טיעון ויתרה הנאשם על שמיעתם של עדים רבים והתמקדה במחלוקת בין הצדדים. </w:t>
      </w:r>
    </w:p>
    <w:p w14:paraId="0DC908CD" w14:textId="77777777" w:rsidR="007823DF" w:rsidRDefault="007823DF" w:rsidP="007823DF">
      <w:pPr>
        <w:spacing w:line="360" w:lineRule="auto"/>
        <w:ind w:left="651"/>
        <w:jc w:val="both"/>
        <w:rPr>
          <w:rtl/>
        </w:rPr>
      </w:pPr>
    </w:p>
    <w:p w14:paraId="7463639B" w14:textId="77777777" w:rsidR="007823DF" w:rsidRDefault="007823DF" w:rsidP="007823DF">
      <w:pPr>
        <w:spacing w:line="360" w:lineRule="auto"/>
        <w:ind w:left="651"/>
        <w:jc w:val="both"/>
        <w:rPr>
          <w:rtl/>
        </w:rPr>
      </w:pPr>
      <w:r>
        <w:rPr>
          <w:rFonts w:hint="cs"/>
          <w:rtl/>
        </w:rPr>
        <w:t xml:space="preserve">כן </w:t>
      </w:r>
      <w:r>
        <w:rPr>
          <w:rtl/>
        </w:rPr>
        <w:t xml:space="preserve">ביקש ליתן משקל לקולה בגזירת עונשו של הנאשם לעינוי הדין שנגרם לטענתו כתוצאה מהתנהלות המדינה בתיק זה, אשר גרמה להתמשכות ההליכים בצורה מיותרת בגלל אי הוצאת תעודת חסיון, ובאה על חשבון חירותו של הנאשם (תוך שהפנה </w:t>
      </w:r>
      <w:r>
        <w:rPr>
          <w:rFonts w:hint="cs"/>
          <w:rtl/>
        </w:rPr>
        <w:t>להחלטה של בית משפט זה</w:t>
      </w:r>
      <w:r>
        <w:rPr>
          <w:rtl/>
        </w:rPr>
        <w:t xml:space="preserve"> מיום 24/6/21). לטענתו, התיק הנדון</w:t>
      </w:r>
      <w:r>
        <w:rPr>
          <w:rFonts w:hint="cs"/>
          <w:rtl/>
        </w:rPr>
        <w:t xml:space="preserve"> </w:t>
      </w:r>
      <w:r>
        <w:rPr>
          <w:rtl/>
        </w:rPr>
        <w:t>יכול היה להסתיים כבר בחודש מרץ</w:t>
      </w:r>
      <w:r>
        <w:rPr>
          <w:rFonts w:hint="cs"/>
          <w:rtl/>
        </w:rPr>
        <w:t xml:space="preserve"> 2021</w:t>
      </w:r>
      <w:r>
        <w:rPr>
          <w:rtl/>
        </w:rPr>
        <w:t>, מסתיים רק עתה, ויש ליתן ביטוי בגזירת העונש להתמשכות ההליך שלא באשמת הנאשם (לעניין זה הפנה לפסיקה שציין בתגובתו מיום 27/5/21 לבקשה שנגעה לתעודת הח</w:t>
      </w:r>
      <w:r>
        <w:rPr>
          <w:rFonts w:hint="cs"/>
          <w:rtl/>
        </w:rPr>
        <w:t>י</w:t>
      </w:r>
      <w:r>
        <w:rPr>
          <w:rtl/>
        </w:rPr>
        <w:t>סיון).</w:t>
      </w:r>
    </w:p>
    <w:p w14:paraId="23F127EC" w14:textId="77777777" w:rsidR="007823DF" w:rsidRDefault="007823DF" w:rsidP="007823DF">
      <w:pPr>
        <w:spacing w:line="360" w:lineRule="auto"/>
        <w:ind w:left="651"/>
        <w:jc w:val="both"/>
        <w:rPr>
          <w:rtl/>
        </w:rPr>
      </w:pPr>
    </w:p>
    <w:p w14:paraId="759550E3" w14:textId="77777777" w:rsidR="007823DF" w:rsidRDefault="007823DF" w:rsidP="007823DF">
      <w:pPr>
        <w:spacing w:line="360" w:lineRule="auto"/>
        <w:ind w:left="651"/>
        <w:jc w:val="both"/>
        <w:rPr>
          <w:rtl/>
        </w:rPr>
      </w:pPr>
    </w:p>
    <w:p w14:paraId="7C4D1197" w14:textId="77777777" w:rsidR="007823DF" w:rsidRDefault="007823DF" w:rsidP="007823DF">
      <w:pPr>
        <w:spacing w:line="360" w:lineRule="auto"/>
        <w:ind w:left="651"/>
        <w:jc w:val="both"/>
        <w:rPr>
          <w:rtl/>
        </w:rPr>
      </w:pPr>
    </w:p>
    <w:p w14:paraId="33A8DB3F" w14:textId="77777777" w:rsidR="007823DF" w:rsidRDefault="007823DF" w:rsidP="007823DF">
      <w:pPr>
        <w:spacing w:line="360" w:lineRule="auto"/>
        <w:ind w:left="651"/>
        <w:jc w:val="both"/>
        <w:rPr>
          <w:rtl/>
        </w:rPr>
      </w:pPr>
      <w:r w:rsidRPr="0091137B">
        <w:rPr>
          <w:rFonts w:hint="cs"/>
          <w:b/>
          <w:bCs/>
          <w:rtl/>
        </w:rPr>
        <w:t>ה.</w:t>
      </w:r>
      <w:r>
        <w:rPr>
          <w:rFonts w:hint="cs"/>
          <w:rtl/>
        </w:rPr>
        <w:t xml:space="preserve"> </w:t>
      </w:r>
      <w:r>
        <w:rPr>
          <w:rtl/>
        </w:rPr>
        <w:t>ב"כ הנאשם ביקש להתחשב לקולה בעברו הנקי של הנאשם ובנסיבותיו האישיות המיוחדות,  כפי שפורטו בתסקיר שירות המבחן</w:t>
      </w:r>
      <w:r>
        <w:rPr>
          <w:rFonts w:hint="cs"/>
          <w:rtl/>
        </w:rPr>
        <w:t xml:space="preserve">, </w:t>
      </w:r>
      <w:r>
        <w:rPr>
          <w:rtl/>
        </w:rPr>
        <w:t xml:space="preserve">אם כי הדגיש כי על אף האווירה המתוחה והקשה בה גדל הנאשם, הוא לא התדרדר לסמים ו/או לפשע, אלא דאג לבני המשפחה הענייה, עבד בשתי עבודות ודאג גם לעתיד אמו שהתגרשה ואין לה הכנסה.  </w:t>
      </w:r>
    </w:p>
    <w:p w14:paraId="6FEFD06F" w14:textId="77777777" w:rsidR="007823DF" w:rsidRPr="00862766" w:rsidRDefault="007823DF" w:rsidP="007823DF">
      <w:pPr>
        <w:spacing w:line="360" w:lineRule="auto"/>
        <w:ind w:left="651"/>
        <w:jc w:val="both"/>
        <w:rPr>
          <w:sz w:val="18"/>
          <w:szCs w:val="18"/>
          <w:rtl/>
        </w:rPr>
      </w:pPr>
    </w:p>
    <w:p w14:paraId="5E1C1647" w14:textId="77777777" w:rsidR="007823DF" w:rsidRDefault="007823DF" w:rsidP="007823DF">
      <w:pPr>
        <w:spacing w:line="360" w:lineRule="auto"/>
        <w:ind w:left="651"/>
        <w:jc w:val="both"/>
        <w:rPr>
          <w:b/>
          <w:bCs/>
          <w:rtl/>
        </w:rPr>
      </w:pPr>
      <w:r>
        <w:rPr>
          <w:rFonts w:hint="cs"/>
          <w:rtl/>
        </w:rPr>
        <w:t>עוד ציין לקולה את גילו הצעיר של הנאשם, ש</w:t>
      </w:r>
      <w:r>
        <w:rPr>
          <w:rtl/>
        </w:rPr>
        <w:t>היה בן 19 בעת ביצוע העבירה</w:t>
      </w:r>
      <w:r>
        <w:rPr>
          <w:rFonts w:hint="cs"/>
          <w:rtl/>
        </w:rPr>
        <w:t>, בגיר צעיר,</w:t>
      </w:r>
      <w:r>
        <w:rPr>
          <w:rtl/>
        </w:rPr>
        <w:t xml:space="preserve"> ולעמדת הפסיקה כי יש ליתן למעמד זה התייחסות מיוחדת בקביעת רמת הענישה (לעניין זה הפנה </w:t>
      </w:r>
      <w:hyperlink r:id="rId29" w:history="1">
        <w:r w:rsidR="00D513CA" w:rsidRPr="00D513CA">
          <w:rPr>
            <w:color w:val="0000FF"/>
            <w:u w:val="single"/>
            <w:rtl/>
          </w:rPr>
          <w:t>ע"פ 7781/12</w:t>
        </w:r>
      </w:hyperlink>
      <w:r>
        <w:rPr>
          <w:rtl/>
        </w:rPr>
        <w:t xml:space="preserve"> </w:t>
      </w:r>
      <w:r>
        <w:rPr>
          <w:b/>
          <w:bCs/>
          <w:rtl/>
        </w:rPr>
        <w:t xml:space="preserve">פלוני נ' מדינת ישראל </w:t>
      </w:r>
      <w:r>
        <w:rPr>
          <w:rtl/>
        </w:rPr>
        <w:t xml:space="preserve">(25/6/13), מפי כב' הש' ג'ובראן).  </w:t>
      </w:r>
    </w:p>
    <w:p w14:paraId="768F879E" w14:textId="77777777" w:rsidR="007823DF" w:rsidRDefault="007823DF" w:rsidP="007823DF">
      <w:pPr>
        <w:spacing w:line="360" w:lineRule="auto"/>
        <w:ind w:left="651"/>
        <w:jc w:val="both"/>
        <w:rPr>
          <w:rtl/>
        </w:rPr>
      </w:pPr>
    </w:p>
    <w:p w14:paraId="7B52B2D4" w14:textId="77777777" w:rsidR="007823DF" w:rsidRDefault="007823DF" w:rsidP="007823DF">
      <w:pPr>
        <w:spacing w:line="360" w:lineRule="auto"/>
        <w:ind w:left="651"/>
        <w:jc w:val="both"/>
        <w:rPr>
          <w:rtl/>
        </w:rPr>
      </w:pPr>
      <w:r>
        <w:rPr>
          <w:rFonts w:hint="cs"/>
          <w:rtl/>
        </w:rPr>
        <w:t xml:space="preserve">עוד </w:t>
      </w:r>
      <w:r>
        <w:rPr>
          <w:rtl/>
        </w:rPr>
        <w:t>ביקש ליתן משקל לכך שהנאשם היה במעצר ממש בין התאריכים 3/12/20 עד 25/1/21, אז שוחרר למעצר בית באיזוק אלקטרוני עד היום, מזה כ- 10 חודשים. לעניין עמדת הפסיקה כי יש להתחשב בעת גזירת הדין בתקופת המעצר באיזוק אלקטרוני הפנה ל</w:t>
      </w:r>
      <w:hyperlink r:id="rId30" w:history="1">
        <w:r w:rsidR="00D513CA" w:rsidRPr="00D513CA">
          <w:rPr>
            <w:color w:val="0000FF"/>
            <w:u w:val="single"/>
            <w:rtl/>
          </w:rPr>
          <w:t>ע"פ 7768/15</w:t>
        </w:r>
      </w:hyperlink>
      <w:r>
        <w:rPr>
          <w:rtl/>
        </w:rPr>
        <w:t xml:space="preserve"> </w:t>
      </w:r>
      <w:r>
        <w:rPr>
          <w:b/>
          <w:bCs/>
          <w:rtl/>
        </w:rPr>
        <w:t>פלוני נ' מדינת ישראל</w:t>
      </w:r>
      <w:r>
        <w:rPr>
          <w:rtl/>
        </w:rPr>
        <w:t xml:space="preserve"> (20/4/16), מפי כב' הש' ג'ובראן).</w:t>
      </w:r>
    </w:p>
    <w:p w14:paraId="2EA367BA" w14:textId="77777777" w:rsidR="007823DF" w:rsidRDefault="007823DF" w:rsidP="007823DF">
      <w:pPr>
        <w:spacing w:line="360" w:lineRule="auto"/>
        <w:ind w:left="651" w:firstLine="69"/>
        <w:jc w:val="both"/>
        <w:rPr>
          <w:sz w:val="14"/>
          <w:szCs w:val="14"/>
          <w:rtl/>
        </w:rPr>
      </w:pPr>
    </w:p>
    <w:p w14:paraId="4DCF1606" w14:textId="77777777" w:rsidR="007823DF" w:rsidRDefault="007823DF" w:rsidP="007823DF">
      <w:pPr>
        <w:spacing w:line="360" w:lineRule="auto"/>
        <w:ind w:left="651"/>
        <w:jc w:val="both"/>
        <w:rPr>
          <w:rtl/>
        </w:rPr>
      </w:pPr>
      <w:r w:rsidRPr="00321EA5">
        <w:rPr>
          <w:rFonts w:hint="cs"/>
          <w:b/>
          <w:bCs/>
          <w:rtl/>
        </w:rPr>
        <w:t>ו.</w:t>
      </w:r>
      <w:r>
        <w:rPr>
          <w:rFonts w:hint="cs"/>
          <w:rtl/>
        </w:rPr>
        <w:t xml:space="preserve"> הסנגור ביקש לאמץ את המלצת שירות המבחן, ש</w:t>
      </w:r>
      <w:r>
        <w:rPr>
          <w:rtl/>
        </w:rPr>
        <w:t xml:space="preserve">התחשב </w:t>
      </w:r>
      <w:r>
        <w:rPr>
          <w:rFonts w:hint="cs"/>
          <w:rtl/>
        </w:rPr>
        <w:t xml:space="preserve">בגילו הצעיר של הנאשם, </w:t>
      </w:r>
      <w:r>
        <w:rPr>
          <w:rtl/>
        </w:rPr>
        <w:t xml:space="preserve">הנעדר עבר פלילי, </w:t>
      </w:r>
      <w:r>
        <w:rPr>
          <w:rFonts w:hint="cs"/>
          <w:rtl/>
        </w:rPr>
        <w:t xml:space="preserve">בהעדר </w:t>
      </w:r>
      <w:r>
        <w:rPr>
          <w:rtl/>
        </w:rPr>
        <w:t xml:space="preserve">דפוסי עבריינות מושרשים, בעל יכולת הסתגלות, ובמי שמתמיד בעבודה ומתנהל בצורה עצמאית; נתונים המלמדים כי לא נשקפת ממנו מסוכנות. לעניין הימנעותו של שירות המבחן מלבוא בהמלצה טיפולית במקרה הנדון, טען הסנגור כי הנאשם הודה שטעה ולמד את הלקח, ולכן "אדם כזה לא צריך שיקום". לעניין זה הפנה לעמדתו של כב' הנשיא שפירא (אם כי לא הפנה לאזכור המתאים) לפיה לא כל אדם צריך לעבור הליך שיקומי, וכי יש אנשים שיכולים לעמוד על הרגליים ולפתוח דף חדש. כן עוד הפנה לפסקי דין בהם אומצה המלצת שירות המבחן לעניין העונש, גם כאשר לא ניתנה המלצה לשיקום. </w:t>
      </w:r>
    </w:p>
    <w:p w14:paraId="1C8CBAA6" w14:textId="77777777" w:rsidR="007823DF" w:rsidRPr="00D6517E" w:rsidRDefault="007823DF" w:rsidP="007823DF">
      <w:pPr>
        <w:spacing w:line="360" w:lineRule="auto"/>
        <w:ind w:left="651" w:firstLine="69"/>
        <w:jc w:val="both"/>
        <w:rPr>
          <w:sz w:val="18"/>
          <w:szCs w:val="18"/>
          <w:rtl/>
        </w:rPr>
      </w:pPr>
    </w:p>
    <w:p w14:paraId="5DE13D4E" w14:textId="77777777" w:rsidR="007823DF" w:rsidRDefault="007823DF" w:rsidP="007823DF">
      <w:pPr>
        <w:spacing w:line="360" w:lineRule="auto"/>
        <w:ind w:left="651"/>
        <w:jc w:val="both"/>
        <w:rPr>
          <w:rtl/>
        </w:rPr>
      </w:pPr>
      <w:r w:rsidRPr="00321EA5">
        <w:rPr>
          <w:rFonts w:hint="cs"/>
          <w:b/>
          <w:bCs/>
          <w:rtl/>
        </w:rPr>
        <w:t>ז.</w:t>
      </w:r>
      <w:r>
        <w:rPr>
          <w:rFonts w:hint="cs"/>
          <w:rtl/>
        </w:rPr>
        <w:t xml:space="preserve"> </w:t>
      </w:r>
      <w:r>
        <w:rPr>
          <w:rtl/>
        </w:rPr>
        <w:t xml:space="preserve">משנדרש לקראת סיום טיעוניו להתייחס לטענות הנשמעות היום דווקא מהמגזר הערבי, שלפיהן לא ניתן מענה הולם לעבירות בנשק למיניהן וכי מדובר במכת מדינה, טען </w:t>
      </w:r>
      <w:r>
        <w:rPr>
          <w:rFonts w:hint="cs"/>
          <w:rtl/>
        </w:rPr>
        <w:t xml:space="preserve">הסנגור </w:t>
      </w:r>
      <w:r>
        <w:rPr>
          <w:rtl/>
        </w:rPr>
        <w:t>כי הענישה היא אינדיבידואלית, וכי אין זה המקרה להחמיר עם הנאשם הנדון כדי להרתיע אחרים. כן חזר וטען כי "</w:t>
      </w:r>
      <w:r>
        <w:rPr>
          <w:b/>
          <w:bCs/>
          <w:rtl/>
        </w:rPr>
        <w:t>מהות המטען מחריג את המקרה הזה מהמקרים שאנו מכירים, זה לא רימון שניתן לזרוק על אנשים, זה לא אקדח שמועבר מיד ליד, זה לא אמ-16, מדובר במטען מאולתר שלצערי ירש אותו מאביו ונשכח ברכב</w:t>
      </w:r>
      <w:r>
        <w:rPr>
          <w:rtl/>
        </w:rPr>
        <w:t xml:space="preserve">". </w:t>
      </w:r>
    </w:p>
    <w:p w14:paraId="24F9D2B9" w14:textId="77777777" w:rsidR="007823DF" w:rsidRDefault="007823DF" w:rsidP="007823DF">
      <w:pPr>
        <w:spacing w:line="360" w:lineRule="auto"/>
        <w:jc w:val="both"/>
        <w:rPr>
          <w:rtl/>
        </w:rPr>
      </w:pPr>
    </w:p>
    <w:p w14:paraId="1F15C093" w14:textId="77777777" w:rsidR="007823DF" w:rsidRDefault="007823DF" w:rsidP="007823DF">
      <w:pPr>
        <w:spacing w:line="360" w:lineRule="auto"/>
        <w:ind w:left="651"/>
        <w:jc w:val="both"/>
        <w:rPr>
          <w:rtl/>
        </w:rPr>
      </w:pPr>
      <w:r>
        <w:rPr>
          <w:rtl/>
        </w:rPr>
        <w:t>נוכח האמור לעיל, עתר ב"כ הנאשם לקבל את המלצת שרות המבחן, ולהטיל על הנאשם עונש מאסר הנמוך מ- 6 חודשים, לריצוי בדרך של עבודות שירות.</w:t>
      </w:r>
    </w:p>
    <w:p w14:paraId="2089982D" w14:textId="77777777" w:rsidR="007823DF" w:rsidRDefault="007823DF" w:rsidP="007823DF">
      <w:pPr>
        <w:spacing w:line="360" w:lineRule="auto"/>
        <w:ind w:left="651"/>
        <w:jc w:val="both"/>
        <w:rPr>
          <w:rtl/>
        </w:rPr>
      </w:pPr>
      <w:r>
        <w:rPr>
          <w:highlight w:val="cyan"/>
          <w:rtl/>
        </w:rPr>
        <w:t xml:space="preserve"> </w:t>
      </w:r>
    </w:p>
    <w:p w14:paraId="599FC8D8" w14:textId="77777777" w:rsidR="007823DF" w:rsidRDefault="007823DF" w:rsidP="007823DF">
      <w:pPr>
        <w:spacing w:line="360" w:lineRule="auto"/>
        <w:ind w:left="651"/>
        <w:jc w:val="both"/>
        <w:rPr>
          <w:b/>
          <w:bCs/>
          <w:rtl/>
        </w:rPr>
      </w:pPr>
      <w:r w:rsidRPr="00321EA5">
        <w:rPr>
          <w:b/>
          <w:bCs/>
          <w:rtl/>
        </w:rPr>
        <w:t>דברי הנאשם: "מתנצל</w:t>
      </w:r>
      <w:r>
        <w:rPr>
          <w:b/>
          <w:bCs/>
          <w:rtl/>
        </w:rPr>
        <w:t xml:space="preserve"> על מה שקרה, למדתי לקח, ולאור כל מה שאני עברתי בטוח שלא אחזור על המעשים האלה". </w:t>
      </w:r>
    </w:p>
    <w:p w14:paraId="61E8DFC8" w14:textId="77777777" w:rsidR="007823DF" w:rsidRPr="00862766" w:rsidRDefault="007823DF" w:rsidP="007823DF">
      <w:pPr>
        <w:spacing w:line="360" w:lineRule="auto"/>
        <w:ind w:left="651"/>
        <w:jc w:val="both"/>
        <w:rPr>
          <w:b/>
          <w:bCs/>
          <w:sz w:val="16"/>
          <w:szCs w:val="16"/>
          <w:rtl/>
        </w:rPr>
      </w:pPr>
    </w:p>
    <w:p w14:paraId="3DDDE947" w14:textId="77777777" w:rsidR="007823DF" w:rsidRDefault="007823DF" w:rsidP="007823DF">
      <w:pPr>
        <w:spacing w:line="360" w:lineRule="auto"/>
        <w:ind w:left="651" w:hanging="651"/>
        <w:jc w:val="both"/>
        <w:rPr>
          <w:rtl/>
        </w:rPr>
      </w:pPr>
      <w:r>
        <w:rPr>
          <w:b/>
          <w:bCs/>
          <w:rtl/>
        </w:rPr>
        <w:t xml:space="preserve">8. </w:t>
      </w:r>
      <w:r>
        <w:rPr>
          <w:rtl/>
        </w:rPr>
        <w:tab/>
      </w:r>
      <w:r>
        <w:rPr>
          <w:rFonts w:hint="cs"/>
          <w:rtl/>
        </w:rPr>
        <w:t xml:space="preserve">לאחר שמיעת טיעוניהם של הצדדים, </w:t>
      </w:r>
      <w:r>
        <w:rPr>
          <w:rtl/>
        </w:rPr>
        <w:t>התבקש הממונה על עבודת השירות (להלן: הממונה) לחוות דעתו, אם הנאשם מסוגל לרצות מאסר של 9 חודשים בעבודות שירות</w:t>
      </w:r>
      <w:r>
        <w:rPr>
          <w:rFonts w:hint="cs"/>
          <w:rtl/>
        </w:rPr>
        <w:t>; זאת,</w:t>
      </w:r>
      <w:r>
        <w:rPr>
          <w:rtl/>
        </w:rPr>
        <w:t xml:space="preserve"> מבלי לקבוע עמדה סופית לגבי גזר הדין ומבלי שהנאשם יהא זכאי להסתמך על החלט</w:t>
      </w:r>
      <w:r>
        <w:rPr>
          <w:rFonts w:hint="cs"/>
          <w:rtl/>
        </w:rPr>
        <w:t>ה זו של</w:t>
      </w:r>
      <w:r>
        <w:rPr>
          <w:rtl/>
        </w:rPr>
        <w:t xml:space="preserve"> בית המשפט</w:t>
      </w:r>
      <w:r>
        <w:rPr>
          <w:rFonts w:hint="cs"/>
          <w:rtl/>
        </w:rPr>
        <w:t>.</w:t>
      </w:r>
    </w:p>
    <w:p w14:paraId="054B18AC" w14:textId="77777777" w:rsidR="007823DF" w:rsidRPr="002C40C2" w:rsidRDefault="007823DF" w:rsidP="007823DF">
      <w:pPr>
        <w:spacing w:line="360" w:lineRule="auto"/>
        <w:ind w:left="651" w:hanging="651"/>
        <w:jc w:val="both"/>
        <w:rPr>
          <w:sz w:val="10"/>
          <w:szCs w:val="10"/>
          <w:rtl/>
        </w:rPr>
      </w:pPr>
    </w:p>
    <w:p w14:paraId="2CFE23BA" w14:textId="77777777" w:rsidR="007823DF" w:rsidRPr="00862766" w:rsidRDefault="007823DF" w:rsidP="007823DF">
      <w:pPr>
        <w:spacing w:line="360" w:lineRule="auto"/>
        <w:ind w:left="651" w:hanging="651"/>
        <w:jc w:val="both"/>
        <w:rPr>
          <w:sz w:val="16"/>
          <w:szCs w:val="16"/>
          <w:rtl/>
        </w:rPr>
      </w:pPr>
    </w:p>
    <w:p w14:paraId="2CAD549D" w14:textId="77777777" w:rsidR="007823DF" w:rsidRDefault="007823DF" w:rsidP="007823DF">
      <w:pPr>
        <w:spacing w:line="360" w:lineRule="auto"/>
        <w:rPr>
          <w:b/>
          <w:bCs/>
          <w:rtl/>
        </w:rPr>
      </w:pPr>
      <w:r>
        <w:rPr>
          <w:b/>
          <w:bCs/>
          <w:rtl/>
        </w:rPr>
        <w:t>9.</w:t>
      </w:r>
      <w:r>
        <w:rPr>
          <w:b/>
          <w:bCs/>
          <w:rtl/>
        </w:rPr>
        <w:tab/>
      </w:r>
      <w:r>
        <w:rPr>
          <w:b/>
          <w:bCs/>
          <w:u w:val="single"/>
          <w:rtl/>
        </w:rPr>
        <w:t>חוות דעת הממונה על עבודות השירות</w:t>
      </w:r>
    </w:p>
    <w:p w14:paraId="1093CDCD" w14:textId="77777777" w:rsidR="007823DF" w:rsidRDefault="007823DF" w:rsidP="007823DF">
      <w:pPr>
        <w:spacing w:line="360" w:lineRule="auto"/>
        <w:ind w:left="720"/>
        <w:jc w:val="both"/>
        <w:rPr>
          <w:rtl/>
        </w:rPr>
      </w:pPr>
      <w:r>
        <w:rPr>
          <w:rtl/>
        </w:rPr>
        <w:t>בחוות דעתו מיום 16/11/21 הודיע  הממונה</w:t>
      </w:r>
      <w:r>
        <w:rPr>
          <w:rFonts w:hint="cs"/>
          <w:rtl/>
        </w:rPr>
        <w:t xml:space="preserve"> </w:t>
      </w:r>
      <w:r>
        <w:rPr>
          <w:rtl/>
        </w:rPr>
        <w:t>–</w:t>
      </w:r>
      <w:r>
        <w:rPr>
          <w:rFonts w:hint="cs"/>
          <w:rtl/>
        </w:rPr>
        <w:t xml:space="preserve"> במסגרת חוות דעת מפורטת ומנומקת -</w:t>
      </w:r>
      <w:r>
        <w:rPr>
          <w:rtl/>
        </w:rPr>
        <w:t xml:space="preserve"> כי </w:t>
      </w:r>
      <w:r>
        <w:rPr>
          <w:rFonts w:hint="cs"/>
          <w:rtl/>
        </w:rPr>
        <w:t xml:space="preserve">לאחר כל הבדיקות שבוצעו, </w:t>
      </w:r>
      <w:r>
        <w:rPr>
          <w:rtl/>
        </w:rPr>
        <w:t>הנאשם נמצא מתאים לעבודות שירות</w:t>
      </w:r>
      <w:r>
        <w:rPr>
          <w:rFonts w:hint="cs"/>
          <w:rtl/>
        </w:rPr>
        <w:t xml:space="preserve">; </w:t>
      </w:r>
      <w:r>
        <w:rPr>
          <w:rtl/>
        </w:rPr>
        <w:t>לא</w:t>
      </w:r>
      <w:r>
        <w:rPr>
          <w:rFonts w:hint="cs"/>
          <w:rtl/>
        </w:rPr>
        <w:t>ח</w:t>
      </w:r>
      <w:r>
        <w:rPr>
          <w:rtl/>
        </w:rPr>
        <w:t>ר בחינת נתוניו של הנאשם ואפשרויות העסקתו המליץ להציבו במקום עבודה:</w:t>
      </w:r>
      <w:r>
        <w:rPr>
          <w:b/>
          <w:bCs/>
          <w:rtl/>
        </w:rPr>
        <w:t xml:space="preserve"> גשר שירותי שיקום אבו סנאן,</w:t>
      </w:r>
      <w:r>
        <w:rPr>
          <w:rtl/>
        </w:rPr>
        <w:t xml:space="preserve"> באזור תעשייה אבו סנאן, כאשר המועד המומלץ לתחילת ריצוי עבודות השירות הוא 7/12/21. </w:t>
      </w:r>
    </w:p>
    <w:p w14:paraId="114ADEE2" w14:textId="77777777" w:rsidR="007823DF" w:rsidRPr="00D6517E" w:rsidRDefault="007823DF" w:rsidP="007823DF">
      <w:pPr>
        <w:spacing w:line="360" w:lineRule="auto"/>
        <w:rPr>
          <w:sz w:val="16"/>
          <w:szCs w:val="16"/>
          <w:rtl/>
        </w:rPr>
      </w:pPr>
    </w:p>
    <w:p w14:paraId="00553A6E" w14:textId="77777777" w:rsidR="007823DF" w:rsidRDefault="007823DF" w:rsidP="007823DF">
      <w:pPr>
        <w:spacing w:line="360" w:lineRule="auto"/>
        <w:ind w:left="720"/>
        <w:jc w:val="both"/>
        <w:rPr>
          <w:rtl/>
        </w:rPr>
      </w:pPr>
      <w:r>
        <w:rPr>
          <w:rtl/>
        </w:rPr>
        <w:t xml:space="preserve">הממונה ציין בחוות דעתו, בין השאר, כי </w:t>
      </w:r>
      <w:r>
        <w:rPr>
          <w:b/>
          <w:bCs/>
          <w:rtl/>
        </w:rPr>
        <w:t>"בשאלת ההתאמה</w:t>
      </w:r>
      <w:r>
        <w:rPr>
          <w:rtl/>
        </w:rPr>
        <w:t xml:space="preserve"> </w:t>
      </w:r>
      <w:r>
        <w:rPr>
          <w:b/>
          <w:bCs/>
          <w:rtl/>
        </w:rPr>
        <w:t>ובהתאם לקבוע ב</w:t>
      </w:r>
      <w:hyperlink r:id="rId31" w:history="1">
        <w:r w:rsidR="00D513CA" w:rsidRPr="00D513CA">
          <w:rPr>
            <w:b/>
            <w:bCs/>
            <w:color w:val="0000FF"/>
            <w:u w:val="single"/>
            <w:rtl/>
          </w:rPr>
          <w:t>חוק העונשין</w:t>
        </w:r>
      </w:hyperlink>
      <w:r>
        <w:rPr>
          <w:b/>
          <w:bCs/>
          <w:rtl/>
        </w:rPr>
        <w:t xml:space="preserve"> סעיף 51ב.(ב1) 1, קצין המודיעין מטעם היחידה לעבודות שירות העביר פניה למשטרת ישראל, על מנת לבחון האם קיימת מסוכנות כלפיו או כלפי סביבתו, אם יישא עונש מאסר בעבודות שירות. ביום 26/10/2021 התקבל מענה לפיו </w:t>
      </w:r>
      <w:r w:rsidRPr="00321EA5">
        <w:rPr>
          <w:b/>
          <w:bCs/>
          <w:u w:val="single"/>
          <w:rtl/>
        </w:rPr>
        <w:t>משטרת ישראל אינה מתנגדת להעסקתו בעבודות שירות</w:t>
      </w:r>
      <w:r w:rsidRPr="00321EA5">
        <w:rPr>
          <w:u w:val="single"/>
          <w:rtl/>
        </w:rPr>
        <w:t>".</w:t>
      </w:r>
      <w:r>
        <w:rPr>
          <w:rtl/>
        </w:rPr>
        <w:t xml:space="preserve"> </w:t>
      </w:r>
    </w:p>
    <w:p w14:paraId="60AF3585" w14:textId="77777777" w:rsidR="007823DF" w:rsidRDefault="007823DF" w:rsidP="007823DF">
      <w:pPr>
        <w:spacing w:line="360" w:lineRule="auto"/>
        <w:jc w:val="both"/>
        <w:rPr>
          <w:rtl/>
        </w:rPr>
      </w:pPr>
    </w:p>
    <w:p w14:paraId="3CA52BED" w14:textId="77777777" w:rsidR="007823DF" w:rsidRDefault="007823DF" w:rsidP="007823DF">
      <w:pPr>
        <w:spacing w:line="360" w:lineRule="auto"/>
        <w:ind w:left="720"/>
        <w:jc w:val="both"/>
        <w:rPr>
          <w:rtl/>
        </w:rPr>
      </w:pPr>
      <w:r>
        <w:rPr>
          <w:rtl/>
        </w:rPr>
        <w:t xml:space="preserve">הממונה ביקש להזהיר את הנאשם כי מדובר בתנאי העסקה קפדניים המצריכים התייצבות רציפה עפ"י הנחיות החוק והממונה, וכל חריגה מכללים אלו יש בה כדי להביא להפסקת ריצוי עונשו בדרך זו ונשיאת יתרת העונש תחת מאסר בפועל. כן ביקש כי אם תתקבל המלצתו יורה בית המשפט לנאשם להתייצב לצורך קליטה והצבה במועד תחילת הריצוי כפי שיקבע בית המשפט במשרדי הממונה על עבודות שירות בשעה 8:00, ביחידת ברקאי – עבודות שירות – שלוחת צפון – סמוך לבית סוהר מגידו. </w:t>
      </w:r>
    </w:p>
    <w:p w14:paraId="2792E795" w14:textId="77777777" w:rsidR="007823DF" w:rsidRPr="00862766" w:rsidRDefault="007823DF" w:rsidP="007823DF">
      <w:pPr>
        <w:spacing w:line="360" w:lineRule="auto"/>
        <w:jc w:val="both"/>
        <w:rPr>
          <w:sz w:val="16"/>
          <w:szCs w:val="16"/>
        </w:rPr>
      </w:pPr>
    </w:p>
    <w:p w14:paraId="49CB19B8" w14:textId="77777777" w:rsidR="007823DF" w:rsidRPr="000B5CEE" w:rsidRDefault="007823DF" w:rsidP="007823DF">
      <w:pPr>
        <w:spacing w:line="360" w:lineRule="auto"/>
        <w:jc w:val="both"/>
        <w:rPr>
          <w:b/>
          <w:bCs/>
          <w:sz w:val="26"/>
          <w:szCs w:val="26"/>
          <w:u w:val="single"/>
          <w:rtl/>
        </w:rPr>
      </w:pPr>
      <w:r w:rsidRPr="000B5CEE">
        <w:rPr>
          <w:sz w:val="26"/>
          <w:szCs w:val="26"/>
          <w:rtl/>
        </w:rPr>
        <w:tab/>
      </w:r>
      <w:r w:rsidRPr="000B5CEE">
        <w:rPr>
          <w:b/>
          <w:bCs/>
          <w:sz w:val="26"/>
          <w:szCs w:val="26"/>
          <w:u w:val="single"/>
          <w:rtl/>
        </w:rPr>
        <w:t>דיון והכרעה</w:t>
      </w:r>
    </w:p>
    <w:p w14:paraId="0FA6727A" w14:textId="77777777" w:rsidR="007823DF" w:rsidRDefault="007823DF" w:rsidP="007823DF">
      <w:pPr>
        <w:spacing w:line="360" w:lineRule="auto"/>
        <w:ind w:left="720" w:hanging="720"/>
        <w:jc w:val="both"/>
        <w:rPr>
          <w:rFonts w:ascii="David" w:hAnsi="David"/>
          <w:highlight w:val="yellow"/>
          <w:rtl/>
        </w:rPr>
      </w:pPr>
      <w:r>
        <w:rPr>
          <w:rFonts w:ascii="David" w:hAnsi="David"/>
          <w:b/>
          <w:bCs/>
          <w:rtl/>
        </w:rPr>
        <w:t>10</w:t>
      </w:r>
      <w:r>
        <w:rPr>
          <w:rFonts w:ascii="David" w:hAnsi="David"/>
          <w:rtl/>
        </w:rPr>
        <w:t>.</w:t>
      </w:r>
      <w:r>
        <w:rPr>
          <w:rFonts w:ascii="David" w:hAnsi="David"/>
          <w:rtl/>
        </w:rPr>
        <w:tab/>
      </w:r>
      <w:r>
        <w:rPr>
          <w:rFonts w:ascii="David" w:hAnsi="David" w:hint="cs"/>
          <w:rtl/>
        </w:rPr>
        <w:t xml:space="preserve">מן המפורסמות הוא כי </w:t>
      </w:r>
      <w:r>
        <w:rPr>
          <w:rFonts w:ascii="David" w:hAnsi="David"/>
          <w:rtl/>
        </w:rPr>
        <w:t xml:space="preserve">העיקרון המנחה את בתי המשפט בעת גזירת העונש הוא עקרון ההלימה; דהיינו, יחס הולם בין החומרה של מעשה העבירה בנסיבותיו ומידת אשמתו של הנאשם לבין סוג העונש המוטל עליו ומידתו (סעיף </w:t>
      </w:r>
      <w:hyperlink r:id="rId32" w:history="1">
        <w:r w:rsidR="00792008" w:rsidRPr="00792008">
          <w:rPr>
            <w:rStyle w:val="Hyperlink"/>
            <w:rFonts w:ascii="David" w:hAnsi="David"/>
            <w:rtl/>
          </w:rPr>
          <w:t>40 ג'</w:t>
        </w:r>
      </w:hyperlink>
      <w:r>
        <w:rPr>
          <w:rFonts w:ascii="David" w:hAnsi="David"/>
          <w:rtl/>
        </w:rPr>
        <w:t xml:space="preserve"> ל</w:t>
      </w:r>
      <w:hyperlink r:id="rId33" w:history="1">
        <w:r w:rsidR="00D513CA" w:rsidRPr="00D513CA">
          <w:rPr>
            <w:rFonts w:ascii="David" w:hAnsi="David"/>
            <w:color w:val="0000FF"/>
            <w:u w:val="single"/>
            <w:rtl/>
          </w:rPr>
          <w:t>חוק העונשין</w:t>
        </w:r>
      </w:hyperlink>
      <w:r>
        <w:rPr>
          <w:rFonts w:ascii="David" w:hAnsi="David"/>
          <w:rtl/>
        </w:rPr>
        <w:t xml:space="preserve">). טרם גזירת העונש על הנאשם על בית המשפט לקבוע את מתחם העונש ההולם המבוסס על נסיבות ביצוע העבירה הייחודית, הערכים החברתיים שנפגעו מביצועה ומידת הפגיעה בהם, מדיניות הענישה הנהוגה ונסיבות נוספות הקשורות בביצוע העבירה (סעיף </w:t>
      </w:r>
      <w:hyperlink r:id="rId34" w:history="1">
        <w:r w:rsidR="00792008" w:rsidRPr="00792008">
          <w:rPr>
            <w:rStyle w:val="Hyperlink"/>
            <w:rFonts w:ascii="David" w:hAnsi="David"/>
            <w:rtl/>
          </w:rPr>
          <w:t>40 ג'</w:t>
        </w:r>
      </w:hyperlink>
      <w:r>
        <w:rPr>
          <w:rFonts w:ascii="David" w:hAnsi="David"/>
          <w:rtl/>
        </w:rPr>
        <w:t xml:space="preserve"> ל</w:t>
      </w:r>
      <w:hyperlink r:id="rId35" w:history="1">
        <w:r w:rsidR="00D513CA" w:rsidRPr="00D513CA">
          <w:rPr>
            <w:rFonts w:ascii="David" w:hAnsi="David"/>
            <w:color w:val="0000FF"/>
            <w:u w:val="single"/>
            <w:rtl/>
          </w:rPr>
          <w:t>חוק העונשין</w:t>
        </w:r>
      </w:hyperlink>
      <w:r>
        <w:rPr>
          <w:rFonts w:ascii="David" w:hAnsi="David"/>
          <w:rtl/>
        </w:rPr>
        <w:t>).</w:t>
      </w:r>
    </w:p>
    <w:p w14:paraId="7F82627F" w14:textId="77777777" w:rsidR="007823DF" w:rsidRDefault="007823DF" w:rsidP="007823DF">
      <w:pPr>
        <w:spacing w:line="360" w:lineRule="auto"/>
        <w:ind w:left="720"/>
        <w:jc w:val="both"/>
        <w:rPr>
          <w:rFonts w:ascii="David" w:hAnsi="David"/>
          <w:sz w:val="18"/>
          <w:szCs w:val="18"/>
          <w:rtl/>
        </w:rPr>
      </w:pPr>
    </w:p>
    <w:p w14:paraId="48099A79" w14:textId="77777777" w:rsidR="007823DF" w:rsidRDefault="007823DF" w:rsidP="007823DF">
      <w:pPr>
        <w:spacing w:line="360" w:lineRule="auto"/>
        <w:ind w:left="720"/>
        <w:jc w:val="both"/>
        <w:rPr>
          <w:rFonts w:ascii="David" w:hAnsi="David"/>
          <w:b/>
          <w:bCs/>
          <w:u w:val="single"/>
          <w:rtl/>
        </w:rPr>
      </w:pPr>
      <w:r>
        <w:rPr>
          <w:rFonts w:ascii="David" w:hAnsi="David"/>
          <w:rtl/>
        </w:rPr>
        <w:t>יחד עם זאת, כל ענישה היא אינדיבידואלית, ובמסגרת הענישה ההולמת, על בית המשפט לאזן בין מספר אינטרסים שונים: נסיבות ביצוע העבירה, תדירות העבירות, חומרתן, אופן ומידת ההשפעה שלהן על החברה מחד גיסא, ומאידך גיסא נסיבותיו האישיות של מבצע העבירה, עברו הפלילי, גילו, אפשרויות שיקום ועוד.</w:t>
      </w:r>
      <w:r>
        <w:rPr>
          <w:rFonts w:ascii="David" w:hAnsi="David" w:hint="cs"/>
          <w:b/>
          <w:bCs/>
          <w:u w:val="single"/>
          <w:rtl/>
        </w:rPr>
        <w:t xml:space="preserve"> </w:t>
      </w:r>
    </w:p>
    <w:p w14:paraId="3377E302" w14:textId="77777777" w:rsidR="007823DF" w:rsidRDefault="007823DF" w:rsidP="007823DF">
      <w:pPr>
        <w:spacing w:after="200" w:line="360" w:lineRule="auto"/>
        <w:ind w:left="720"/>
        <w:jc w:val="both"/>
        <w:rPr>
          <w:sz w:val="4"/>
          <w:szCs w:val="4"/>
          <w:rtl/>
        </w:rPr>
      </w:pPr>
    </w:p>
    <w:p w14:paraId="194C8F68" w14:textId="77777777" w:rsidR="007823DF" w:rsidRDefault="007823DF" w:rsidP="007823DF">
      <w:pPr>
        <w:spacing w:after="200" w:line="360" w:lineRule="auto"/>
        <w:ind w:left="720"/>
        <w:jc w:val="both"/>
        <w:rPr>
          <w:rFonts w:ascii="David" w:hAnsi="David"/>
          <w:b/>
          <w:bCs/>
          <w:sz w:val="2"/>
          <w:szCs w:val="2"/>
          <w:u w:val="single"/>
          <w:rtl/>
        </w:rPr>
      </w:pPr>
      <w:r>
        <w:rPr>
          <w:rtl/>
        </w:rPr>
        <w:t xml:space="preserve">לצורך קביעת מתחם הענישה ההולם יש להתחשב בערך החברתי שנפגע מביצוע העבירה, במידת הפגיעה בו, במדיניות הענישה הנהוגה ובנסיבות הקשורות בביצוע העבירה, בהתאם </w:t>
      </w:r>
      <w:hyperlink r:id="rId36" w:history="1">
        <w:r w:rsidR="00792008" w:rsidRPr="00792008">
          <w:rPr>
            <w:rStyle w:val="Hyperlink"/>
            <w:rtl/>
          </w:rPr>
          <w:t>לסעיף 40ט</w:t>
        </w:r>
      </w:hyperlink>
      <w:r>
        <w:rPr>
          <w:rtl/>
        </w:rPr>
        <w:t xml:space="preserve"> ל</w:t>
      </w:r>
      <w:hyperlink r:id="rId37" w:history="1">
        <w:r w:rsidR="00D513CA" w:rsidRPr="00D513CA">
          <w:rPr>
            <w:color w:val="0000FF"/>
            <w:u w:val="single"/>
            <w:rtl/>
          </w:rPr>
          <w:t>חוק העונשין</w:t>
        </w:r>
      </w:hyperlink>
      <w:r>
        <w:rPr>
          <w:rtl/>
        </w:rPr>
        <w:t>.</w:t>
      </w:r>
    </w:p>
    <w:p w14:paraId="29264DCB" w14:textId="77777777" w:rsidR="007823DF" w:rsidRPr="002C40C2" w:rsidRDefault="007823DF" w:rsidP="007823DF">
      <w:pPr>
        <w:spacing w:after="200" w:line="360" w:lineRule="auto"/>
        <w:ind w:left="720"/>
        <w:jc w:val="both"/>
        <w:rPr>
          <w:rFonts w:ascii="David" w:hAnsi="David"/>
          <w:b/>
          <w:bCs/>
          <w:sz w:val="2"/>
          <w:szCs w:val="2"/>
          <w:u w:val="single"/>
          <w:rtl/>
        </w:rPr>
      </w:pPr>
    </w:p>
    <w:p w14:paraId="3D832363" w14:textId="77777777" w:rsidR="007823DF" w:rsidRDefault="007823DF" w:rsidP="007823DF">
      <w:pPr>
        <w:spacing w:line="360" w:lineRule="auto"/>
        <w:jc w:val="both"/>
        <w:rPr>
          <w:rFonts w:ascii="David" w:hAnsi="David"/>
          <w:rtl/>
        </w:rPr>
      </w:pPr>
      <w:r>
        <w:rPr>
          <w:rFonts w:ascii="David" w:hAnsi="David"/>
          <w:b/>
          <w:bCs/>
          <w:rtl/>
        </w:rPr>
        <w:tab/>
      </w:r>
      <w:r>
        <w:rPr>
          <w:rFonts w:ascii="David" w:hAnsi="David"/>
          <w:b/>
          <w:bCs/>
          <w:u w:val="single"/>
          <w:rtl/>
        </w:rPr>
        <w:t>חומרת העבירות והערכים החברתיים שנפגעו בעטיין</w:t>
      </w:r>
      <w:r>
        <w:rPr>
          <w:rFonts w:ascii="David" w:hAnsi="David"/>
          <w:rtl/>
        </w:rPr>
        <w:t xml:space="preserve"> </w:t>
      </w:r>
    </w:p>
    <w:p w14:paraId="6AF1611B" w14:textId="77777777" w:rsidR="007823DF" w:rsidRDefault="007823DF" w:rsidP="007823DF">
      <w:pPr>
        <w:spacing w:line="360" w:lineRule="auto"/>
        <w:ind w:left="720" w:hanging="720"/>
        <w:jc w:val="both"/>
        <w:rPr>
          <w:rFonts w:ascii="David" w:hAnsi="David"/>
          <w:rtl/>
        </w:rPr>
      </w:pPr>
      <w:r>
        <w:rPr>
          <w:rFonts w:ascii="David" w:hAnsi="David"/>
          <w:b/>
          <w:bCs/>
          <w:rtl/>
        </w:rPr>
        <w:t>11</w:t>
      </w:r>
      <w:r>
        <w:rPr>
          <w:rFonts w:ascii="David" w:hAnsi="David"/>
          <w:rtl/>
        </w:rPr>
        <w:t>.</w:t>
      </w:r>
      <w:r>
        <w:rPr>
          <w:rFonts w:ascii="David" w:hAnsi="David"/>
          <w:rtl/>
        </w:rPr>
        <w:tab/>
        <w:t>אין צורך להכביר מילים אודות חומרתן של עבירות בנשק</w:t>
      </w:r>
      <w:r>
        <w:rPr>
          <w:rFonts w:ascii="David" w:hAnsi="David" w:hint="cs"/>
          <w:rtl/>
        </w:rPr>
        <w:t xml:space="preserve">, </w:t>
      </w:r>
      <w:r>
        <w:rPr>
          <w:rFonts w:ascii="David" w:hAnsi="David"/>
          <w:rtl/>
        </w:rPr>
        <w:t xml:space="preserve">לרבות פוטנציאל הסיכון הרב הגלום בהן. כעולה מעובדות כתב האישום המתוקן בהן הודה הנאשם, הנאשם החזיק ברכבו מטען חבלה מאולתר (שרכיביו פורטו בכתב האישום המתוקן ובסעיף 2 דלעיל), </w:t>
      </w:r>
      <w:r>
        <w:rPr>
          <w:rFonts w:ascii="David" w:hAnsi="David" w:hint="cs"/>
          <w:rtl/>
        </w:rPr>
        <w:t xml:space="preserve">אך </w:t>
      </w:r>
      <w:r>
        <w:rPr>
          <w:rFonts w:ascii="David" w:hAnsi="David"/>
          <w:rtl/>
        </w:rPr>
        <w:t xml:space="preserve">נעדר אמצעי יזימה </w:t>
      </w:r>
      <w:r>
        <w:rPr>
          <w:rFonts w:ascii="David" w:hAnsi="David" w:hint="cs"/>
          <w:rtl/>
        </w:rPr>
        <w:t>(</w:t>
      </w:r>
      <w:r>
        <w:rPr>
          <w:rFonts w:ascii="David" w:hAnsi="David"/>
          <w:rtl/>
        </w:rPr>
        <w:t>בדמות</w:t>
      </w:r>
    </w:p>
    <w:p w14:paraId="49274856" w14:textId="77777777" w:rsidR="007823DF" w:rsidRPr="002C40C2" w:rsidRDefault="007823DF" w:rsidP="007823DF">
      <w:pPr>
        <w:spacing w:line="360" w:lineRule="auto"/>
        <w:ind w:left="720" w:hanging="720"/>
        <w:jc w:val="both"/>
        <w:rPr>
          <w:rFonts w:ascii="David" w:hAnsi="David"/>
          <w:sz w:val="16"/>
          <w:szCs w:val="16"/>
          <w:rtl/>
        </w:rPr>
      </w:pPr>
    </w:p>
    <w:p w14:paraId="030EEB14" w14:textId="77777777" w:rsidR="007823DF" w:rsidRDefault="007823DF" w:rsidP="007823DF">
      <w:pPr>
        <w:spacing w:line="360" w:lineRule="auto"/>
        <w:ind w:left="720"/>
        <w:jc w:val="both"/>
        <w:rPr>
          <w:rFonts w:ascii="David" w:hAnsi="David"/>
          <w:rtl/>
        </w:rPr>
      </w:pPr>
      <w:r>
        <w:rPr>
          <w:rFonts w:ascii="David" w:hAnsi="David"/>
          <w:rtl/>
        </w:rPr>
        <w:t xml:space="preserve"> פתיל הדלקה או זיקוק עוגה או נפץ חבלה</w:t>
      </w:r>
      <w:r>
        <w:rPr>
          <w:rFonts w:ascii="David" w:hAnsi="David" w:hint="cs"/>
          <w:rtl/>
        </w:rPr>
        <w:t xml:space="preserve">) </w:t>
      </w:r>
      <w:r>
        <w:rPr>
          <w:rFonts w:ascii="David" w:hAnsi="David"/>
          <w:rtl/>
        </w:rPr>
        <w:t xml:space="preserve">הנחוץ להפעלתו או התפוצצותו. בכוחו </w:t>
      </w:r>
      <w:r>
        <w:rPr>
          <w:rFonts w:ascii="David" w:hAnsi="David" w:hint="cs"/>
          <w:rtl/>
        </w:rPr>
        <w:t xml:space="preserve">של מטען זה </w:t>
      </w:r>
      <w:r>
        <w:rPr>
          <w:rFonts w:ascii="David" w:hAnsi="David"/>
          <w:rtl/>
        </w:rPr>
        <w:t>לגרום לנזק בעת הפעלתו או התפוצצותו,</w:t>
      </w:r>
      <w:r>
        <w:rPr>
          <w:rFonts w:ascii="David" w:hAnsi="David" w:hint="cs"/>
          <w:rtl/>
        </w:rPr>
        <w:t xml:space="preserve"> החל מ</w:t>
      </w:r>
      <w:r>
        <w:rPr>
          <w:rFonts w:ascii="David" w:hAnsi="David"/>
          <w:rtl/>
        </w:rPr>
        <w:t xml:space="preserve">גרימת צפצופים באוזניים, פציעות שטחיות, כוויות, ועד לרמה של קטיעת איבר. </w:t>
      </w:r>
    </w:p>
    <w:p w14:paraId="6E5D1DF4" w14:textId="77777777" w:rsidR="007823DF" w:rsidRPr="00862766" w:rsidRDefault="007823DF" w:rsidP="007823DF">
      <w:pPr>
        <w:pStyle w:val="a9"/>
        <w:spacing w:line="360" w:lineRule="auto"/>
        <w:ind w:left="720"/>
        <w:jc w:val="both"/>
        <w:rPr>
          <w:rFonts w:ascii="David" w:hAnsi="David" w:cs="David"/>
          <w:sz w:val="20"/>
          <w:szCs w:val="20"/>
          <w:rtl/>
        </w:rPr>
      </w:pPr>
    </w:p>
    <w:p w14:paraId="0553029F" w14:textId="77777777" w:rsidR="007823DF" w:rsidRDefault="007823DF" w:rsidP="007823DF">
      <w:pPr>
        <w:spacing w:line="360" w:lineRule="auto"/>
        <w:ind w:left="720" w:hanging="720"/>
        <w:jc w:val="both"/>
        <w:rPr>
          <w:rFonts w:ascii="David" w:hAnsi="David"/>
          <w:rtl/>
        </w:rPr>
      </w:pPr>
      <w:r>
        <w:rPr>
          <w:rtl/>
        </w:rPr>
        <w:tab/>
      </w:r>
      <w:r>
        <w:rPr>
          <w:rFonts w:ascii="David" w:hAnsi="David"/>
          <w:rtl/>
        </w:rPr>
        <w:t>החוק והפסיקה ייחסו לעבירות בנשק חומרה מיוחדת, נוכח ההשלכות הרות האסון ופוטנציאל הסיכון הרב הגלום בביצוען, ואשר הפכו למרבה הצער למכת מדינה. נפסק כי זמינותו של נשק חם ורב עוצמה בעל פוטנציאל להסלמה בעבירות אלימות מסוגים שונים, מחייבת ביטוי עונשי הולם והחמרה ברמת הענישה. על הסיכון הגלום בעבירות בנשק ראו דבריה של כב' הש' ארבל ב</w:t>
      </w:r>
      <w:hyperlink r:id="rId38" w:history="1">
        <w:r w:rsidR="00D513CA" w:rsidRPr="00D513CA">
          <w:rPr>
            <w:rFonts w:ascii="David" w:hAnsi="David"/>
            <w:color w:val="0000FF"/>
            <w:u w:val="single"/>
            <w:rtl/>
          </w:rPr>
          <w:t>ע"פ 4945/13</w:t>
        </w:r>
      </w:hyperlink>
      <w:r>
        <w:rPr>
          <w:rFonts w:ascii="David" w:hAnsi="David"/>
          <w:rtl/>
        </w:rPr>
        <w:t xml:space="preserve"> </w:t>
      </w:r>
      <w:r>
        <w:rPr>
          <w:rFonts w:ascii="David" w:hAnsi="David"/>
          <w:b/>
          <w:bCs/>
          <w:rtl/>
        </w:rPr>
        <w:t xml:space="preserve">מדינת ישראל נ' סלימאן </w:t>
      </w:r>
      <w:r>
        <w:rPr>
          <w:rFonts w:ascii="David" w:hAnsi="David"/>
          <w:rtl/>
        </w:rPr>
        <w:t>(19/1/14). ראו גם דבריו של כב' הש' סולברג ב</w:t>
      </w:r>
      <w:hyperlink r:id="rId39" w:history="1">
        <w:r w:rsidR="00D513CA" w:rsidRPr="00D513CA">
          <w:rPr>
            <w:rFonts w:ascii="David" w:hAnsi="David"/>
            <w:color w:val="0000FF"/>
            <w:u w:val="single"/>
            <w:rtl/>
          </w:rPr>
          <w:t>ע"פ 9830/17</w:t>
        </w:r>
      </w:hyperlink>
      <w:r>
        <w:rPr>
          <w:rFonts w:ascii="David" w:hAnsi="David"/>
          <w:rtl/>
        </w:rPr>
        <w:t xml:space="preserve"> </w:t>
      </w:r>
      <w:r>
        <w:rPr>
          <w:rFonts w:ascii="David" w:hAnsi="David"/>
          <w:b/>
          <w:bCs/>
          <w:rtl/>
        </w:rPr>
        <w:t>פלאח חמודה נ' מדינת ישראל</w:t>
      </w:r>
      <w:r>
        <w:rPr>
          <w:rFonts w:ascii="David" w:hAnsi="David"/>
          <w:rtl/>
        </w:rPr>
        <w:t xml:space="preserve"> (8/3/18), כדלהלן:</w:t>
      </w:r>
    </w:p>
    <w:p w14:paraId="5C98443C" w14:textId="77777777" w:rsidR="007823DF" w:rsidRDefault="007823DF" w:rsidP="007823DF">
      <w:pPr>
        <w:spacing w:line="360" w:lineRule="auto"/>
        <w:ind w:left="720" w:hanging="720"/>
        <w:jc w:val="both"/>
        <w:rPr>
          <w:rFonts w:ascii="David" w:hAnsi="David"/>
          <w:rtl/>
        </w:rPr>
      </w:pPr>
    </w:p>
    <w:p w14:paraId="587E8DA8" w14:textId="77777777" w:rsidR="007823DF" w:rsidRDefault="007823DF" w:rsidP="007823DF">
      <w:pPr>
        <w:spacing w:line="360" w:lineRule="auto"/>
        <w:ind w:left="1440"/>
        <w:jc w:val="both"/>
        <w:rPr>
          <w:rFonts w:ascii="David" w:hAnsi="David"/>
          <w:color w:val="000000"/>
          <w:spacing w:val="10"/>
          <w:sz w:val="28"/>
          <w:szCs w:val="28"/>
          <w:shd w:val="clear" w:color="auto" w:fill="FFFFFF"/>
          <w:rtl/>
        </w:rPr>
      </w:pPr>
      <w:r>
        <w:rPr>
          <w:rFonts w:ascii="Miriam" w:hAnsi="Miriam" w:cs="Miriam"/>
          <w:rtl/>
        </w:rPr>
        <w:t>"בית משפט זה עמד לא אחת על חומרתן של עבירות הנשק, ועל הסכנה הרבה הטמונה ,בביצוען, וזאת "בעיקר בשל כך שעבירות מסוג זה מקימות פוטנציאל להסלמה עבריינית ויוצרות סיכון ממשי וחמור לשלום הציבור וביטחונו" (</w:t>
      </w:r>
      <w:hyperlink r:id="rId40" w:history="1">
        <w:r w:rsidR="00D513CA" w:rsidRPr="00D513CA">
          <w:rPr>
            <w:rFonts w:ascii="Miriam" w:hAnsi="Miriam" w:cs="Miriam"/>
            <w:color w:val="0000FF"/>
            <w:u w:val="single"/>
            <w:rtl/>
          </w:rPr>
          <w:t>ע"פ 3156/11</w:t>
        </w:r>
      </w:hyperlink>
      <w:r>
        <w:rPr>
          <w:rFonts w:ascii="Miriam" w:hAnsi="Miriam" w:cs="Miriam"/>
          <w:rtl/>
        </w:rPr>
        <w:t xml:space="preserve"> זראיעה נ' מדינת ישראל, פסקה 5 (21.2.2012); ראו גם: </w:t>
      </w:r>
      <w:hyperlink r:id="rId41" w:history="1">
        <w:r w:rsidR="00D513CA" w:rsidRPr="00D513CA">
          <w:rPr>
            <w:rFonts w:ascii="Miriam" w:hAnsi="Miriam" w:cs="Miriam"/>
            <w:color w:val="0000FF"/>
            <w:u w:val="single"/>
            <w:rtl/>
          </w:rPr>
          <w:t>ע"פ 27/17</w:t>
        </w:r>
      </w:hyperlink>
      <w:r>
        <w:rPr>
          <w:rFonts w:ascii="Miriam" w:hAnsi="Miriam" w:cs="Miriam"/>
          <w:rtl/>
        </w:rPr>
        <w:t xml:space="preserve"> בסל נ' מדינת ישראל (פסקה 1 (12.12.2017)). בהתאם לכך, "מדיניות הענישה הנהוגה בעבירות אלה היא מדיניות של ענישה מחמירה, המחייבת בדרך כלל הטלת עונשי מאסר לריצוי בפועל גם על מי שזו הרשעתו הראשונה" (</w:t>
      </w:r>
      <w:hyperlink r:id="rId42" w:history="1">
        <w:r w:rsidR="00D513CA" w:rsidRPr="00D513CA">
          <w:rPr>
            <w:rFonts w:ascii="Miriam" w:hAnsi="Miriam" w:cs="Miriam"/>
            <w:color w:val="0000FF"/>
            <w:u w:val="single"/>
            <w:rtl/>
          </w:rPr>
          <w:t>ע"פ 6989/13</w:t>
        </w:r>
      </w:hyperlink>
      <w:r>
        <w:rPr>
          <w:rFonts w:ascii="Miriam" w:hAnsi="Miriam" w:cs="Miriam"/>
          <w:rtl/>
        </w:rPr>
        <w:t xml:space="preserve"> פרח נ' מדינת ישראל, פסקה 13 (25.2.2014))". </w:t>
      </w:r>
      <w:r>
        <w:rPr>
          <w:rFonts w:ascii="David" w:hAnsi="David"/>
          <w:rtl/>
        </w:rPr>
        <w:t xml:space="preserve">(ראו גם </w:t>
      </w:r>
      <w:hyperlink r:id="rId43" w:history="1">
        <w:r w:rsidR="00D513CA" w:rsidRPr="00D513CA">
          <w:rPr>
            <w:rFonts w:ascii="David" w:hAnsi="David"/>
            <w:color w:val="0000FF"/>
            <w:u w:val="single"/>
            <w:rtl/>
          </w:rPr>
          <w:t>ע"פ 2564/19</w:t>
        </w:r>
      </w:hyperlink>
      <w:r>
        <w:rPr>
          <w:rFonts w:ascii="David" w:hAnsi="David"/>
          <w:rtl/>
        </w:rPr>
        <w:t xml:space="preserve"> </w:t>
      </w:r>
      <w:r>
        <w:rPr>
          <w:rFonts w:ascii="David" w:hAnsi="David"/>
          <w:b/>
          <w:bCs/>
          <w:rtl/>
        </w:rPr>
        <w:t>אזברגה נ' מדינת ישראל</w:t>
      </w:r>
      <w:r>
        <w:rPr>
          <w:rFonts w:ascii="David" w:hAnsi="David"/>
          <w:rtl/>
        </w:rPr>
        <w:t xml:space="preserve"> (18/7/19) והמובאות שם, מפי כב' הש' סולברג; </w:t>
      </w:r>
      <w:hyperlink r:id="rId44" w:history="1">
        <w:r w:rsidR="00D513CA" w:rsidRPr="00D513CA">
          <w:rPr>
            <w:rFonts w:ascii="David" w:hAnsi="David"/>
            <w:color w:val="0000FF"/>
            <w:u w:val="single"/>
            <w:rtl/>
          </w:rPr>
          <w:t>ע"פ 2398/14</w:t>
        </w:r>
      </w:hyperlink>
      <w:r>
        <w:rPr>
          <w:rFonts w:ascii="David" w:hAnsi="David"/>
          <w:rtl/>
        </w:rPr>
        <w:t xml:space="preserve"> </w:t>
      </w:r>
      <w:r>
        <w:rPr>
          <w:rFonts w:ascii="David" w:hAnsi="David"/>
          <w:b/>
          <w:bCs/>
          <w:rtl/>
        </w:rPr>
        <w:t>אלהוייזל נ' מדינת ישראל</w:t>
      </w:r>
      <w:r>
        <w:rPr>
          <w:rFonts w:ascii="David" w:hAnsi="David"/>
          <w:rtl/>
        </w:rPr>
        <w:t xml:space="preserve"> (8/7/14), מפי כב' הש' עמית; </w:t>
      </w:r>
      <w:hyperlink r:id="rId45" w:history="1">
        <w:r w:rsidR="00D513CA" w:rsidRPr="00D513CA">
          <w:rPr>
            <w:rFonts w:ascii="David" w:hAnsi="David"/>
            <w:color w:val="0000FF"/>
            <w:u w:val="single"/>
            <w:rtl/>
          </w:rPr>
          <w:t>ע"פ 8207/19</w:t>
        </w:r>
      </w:hyperlink>
      <w:r>
        <w:rPr>
          <w:rFonts w:ascii="David" w:hAnsi="David"/>
          <w:rtl/>
        </w:rPr>
        <w:t xml:space="preserve"> </w:t>
      </w:r>
      <w:r>
        <w:rPr>
          <w:rFonts w:ascii="David" w:hAnsi="David"/>
          <w:b/>
          <w:bCs/>
          <w:rtl/>
        </w:rPr>
        <w:t>אליהו נ' מדינת ישראל</w:t>
      </w:r>
      <w:r>
        <w:rPr>
          <w:rFonts w:ascii="David" w:hAnsi="David"/>
          <w:rtl/>
        </w:rPr>
        <w:t xml:space="preserve"> (13/7/20), מפי כב' הש' סולברג). </w:t>
      </w:r>
    </w:p>
    <w:p w14:paraId="0A0D5A66" w14:textId="77777777" w:rsidR="007823DF" w:rsidRPr="007C5BA8" w:rsidRDefault="007823DF" w:rsidP="007823DF">
      <w:pPr>
        <w:rPr>
          <w:rFonts w:ascii="Miriam" w:hAnsi="Miriam" w:cs="Miriam"/>
          <w:sz w:val="16"/>
          <w:szCs w:val="16"/>
          <w:rtl/>
        </w:rPr>
      </w:pPr>
    </w:p>
    <w:p w14:paraId="3D51B1E7" w14:textId="77777777" w:rsidR="007823DF" w:rsidRDefault="007823DF" w:rsidP="007823DF">
      <w:pPr>
        <w:shd w:val="clear" w:color="auto" w:fill="FFFFFF"/>
        <w:spacing w:line="360" w:lineRule="atLeast"/>
        <w:ind w:left="720"/>
        <w:jc w:val="both"/>
        <w:rPr>
          <w:rFonts w:ascii="David" w:hAnsi="David"/>
          <w:color w:val="000000"/>
          <w:rtl/>
        </w:rPr>
      </w:pPr>
      <w:r>
        <w:rPr>
          <w:rFonts w:ascii="David" w:hAnsi="David"/>
          <w:color w:val="000000"/>
          <w:rtl/>
        </w:rPr>
        <w:t>ב</w:t>
      </w:r>
      <w:hyperlink r:id="rId46" w:history="1">
        <w:r w:rsidR="00D513CA" w:rsidRPr="00D513CA">
          <w:rPr>
            <w:rFonts w:ascii="David" w:hAnsi="David"/>
            <w:color w:val="0000FF"/>
            <w:u w:val="single"/>
            <w:rtl/>
          </w:rPr>
          <w:t>ע"פ 1323/13</w:t>
        </w:r>
      </w:hyperlink>
      <w:r>
        <w:rPr>
          <w:rFonts w:ascii="David" w:hAnsi="David"/>
          <w:b/>
          <w:bCs/>
          <w:color w:val="000000"/>
          <w:rtl/>
        </w:rPr>
        <w:t xml:space="preserve"> חסן נ' מדינת ישראל</w:t>
      </w:r>
      <w:r w:rsidR="00D513CA">
        <w:rPr>
          <w:rFonts w:ascii="David" w:hAnsi="David"/>
          <w:color w:val="000000"/>
          <w:rtl/>
        </w:rPr>
        <w:t xml:space="preserve"> </w:t>
      </w:r>
      <w:r>
        <w:rPr>
          <w:rFonts w:ascii="David" w:hAnsi="David"/>
          <w:color w:val="000000"/>
          <w:rtl/>
        </w:rPr>
        <w:t xml:space="preserve">(5/6/13, להלן: </w:t>
      </w:r>
      <w:r>
        <w:rPr>
          <w:rFonts w:ascii="David" w:hAnsi="David"/>
          <w:b/>
          <w:bCs/>
          <w:color w:val="000000"/>
          <w:rtl/>
        </w:rPr>
        <w:t>עניין חסן</w:t>
      </w:r>
      <w:r>
        <w:rPr>
          <w:rFonts w:ascii="David" w:hAnsi="David"/>
          <w:color w:val="000000"/>
          <w:rtl/>
        </w:rPr>
        <w:t>), הדגישה כב' הש' ארבל את המגמה המתחייבת של החמרה בענישה בעבירות נשק, המיושמת בפסיקה בשנים האחרונות, בצד הצורך להקפיד על ענישה אינדיבידואלית התואמת כל מקרה לנסיבותיו:</w:t>
      </w:r>
      <w:r>
        <w:rPr>
          <w:rFonts w:cs="Times New Roman" w:hint="cs"/>
          <w:color w:val="000000"/>
          <w:rtl/>
        </w:rPr>
        <w:t xml:space="preserve"> </w:t>
      </w:r>
    </w:p>
    <w:p w14:paraId="0222C343" w14:textId="77777777" w:rsidR="007823DF" w:rsidRPr="000B5CEE" w:rsidRDefault="007823DF" w:rsidP="007823DF">
      <w:pPr>
        <w:shd w:val="clear" w:color="auto" w:fill="FFFFFF"/>
        <w:spacing w:line="360" w:lineRule="atLeast"/>
        <w:ind w:left="720"/>
        <w:jc w:val="both"/>
        <w:rPr>
          <w:rFonts w:ascii="David" w:hAnsi="David"/>
          <w:color w:val="000000"/>
          <w:sz w:val="8"/>
          <w:szCs w:val="8"/>
          <w:rtl/>
        </w:rPr>
      </w:pPr>
    </w:p>
    <w:p w14:paraId="0AA99ABD" w14:textId="77777777" w:rsidR="007823DF" w:rsidRPr="000B5CEE" w:rsidRDefault="007823DF" w:rsidP="007823DF">
      <w:pPr>
        <w:shd w:val="clear" w:color="auto" w:fill="FFFFFF"/>
        <w:spacing w:line="360" w:lineRule="atLeast"/>
        <w:ind w:left="1440"/>
        <w:jc w:val="both"/>
        <w:rPr>
          <w:color w:val="000000"/>
          <w:sz w:val="2"/>
          <w:szCs w:val="2"/>
          <w:rtl/>
        </w:rPr>
      </w:pPr>
      <w:r>
        <w:rPr>
          <w:rFonts w:ascii="Miriam" w:hAnsi="Miriam" w:cs="Miriam"/>
          <w:color w:val="000000"/>
          <w:rtl/>
        </w:rPr>
        <w:t>"נוכח היקפן המתרחב של עבירות המבוצעות בנשק בכלל וסחר בנשק בפרט, וזמינותו המדאיגה של נשק בלתי חוקי במחוזותינו, התעורר הצורך להחמיר בעונשי</w:t>
      </w:r>
      <w:r w:rsidR="00D513CA">
        <w:rPr>
          <w:rFonts w:ascii="Miriam" w:hAnsi="Miriam" w:cs="Miriam"/>
          <w:color w:val="000000"/>
          <w:rtl/>
        </w:rPr>
        <w:t xml:space="preserve"> </w:t>
      </w:r>
      <w:r>
        <w:rPr>
          <w:rFonts w:ascii="Miriam" w:hAnsi="Miriam" w:cs="Miriam"/>
          <w:color w:val="000000"/>
          <w:rtl/>
        </w:rPr>
        <w:t>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sidR="00D513CA">
        <w:rPr>
          <w:rFonts w:ascii="Miriam" w:hAnsi="Miriam" w:cs="Miriam"/>
          <w:color w:val="000000"/>
          <w:rtl/>
        </w:rPr>
        <w:t xml:space="preserve"> </w:t>
      </w:r>
      <w:r w:rsidRPr="007C5BA8">
        <w:rPr>
          <w:rFonts w:ascii="Miriam" w:hAnsi="Miriam" w:cs="Miriam"/>
          <w:color w:val="000000"/>
          <w:rtl/>
        </w:rPr>
        <w:t>למותר לציין כי אין בכך כדי לחתור תחת האופי האינדיבידואלי שבמלאכת הענישה, הנעשית בכל מקרה לגופו, לפי נסיבותיו ומידת אשמו של הנאשם"</w:t>
      </w:r>
      <w:r>
        <w:rPr>
          <w:rFonts w:ascii="Miriam" w:hAnsi="Miriam" w:cs="Miriam" w:hint="cs"/>
          <w:color w:val="000000"/>
          <w:rtl/>
        </w:rPr>
        <w:t>.</w:t>
      </w:r>
      <w:r>
        <w:rPr>
          <w:rFonts w:hint="cs"/>
          <w:color w:val="000000"/>
          <w:sz w:val="12"/>
          <w:szCs w:val="12"/>
          <w:rtl/>
        </w:rPr>
        <w:t xml:space="preserve"> </w:t>
      </w:r>
    </w:p>
    <w:p w14:paraId="27A1FD63" w14:textId="77777777" w:rsidR="007823DF" w:rsidRPr="000B5CEE" w:rsidRDefault="007823DF" w:rsidP="007823DF">
      <w:pPr>
        <w:rPr>
          <w:color w:val="000000"/>
          <w:sz w:val="2"/>
          <w:szCs w:val="2"/>
          <w:rtl/>
        </w:rPr>
      </w:pPr>
      <w:r w:rsidRPr="000B5CEE">
        <w:rPr>
          <w:rFonts w:hint="cs"/>
          <w:color w:val="000000"/>
          <w:sz w:val="2"/>
          <w:szCs w:val="2"/>
          <w:rtl/>
        </w:rPr>
        <w:t>]</w:t>
      </w:r>
    </w:p>
    <w:p w14:paraId="0C827655" w14:textId="77777777" w:rsidR="007823DF" w:rsidRDefault="007823DF" w:rsidP="007823DF">
      <w:pPr>
        <w:shd w:val="clear" w:color="auto" w:fill="FFFFFF"/>
        <w:spacing w:after="160" w:line="360" w:lineRule="atLeast"/>
        <w:ind w:left="651"/>
        <w:jc w:val="both"/>
        <w:rPr>
          <w:color w:val="000000"/>
          <w:rtl/>
        </w:rPr>
      </w:pPr>
      <w:r>
        <w:rPr>
          <w:color w:val="000000"/>
          <w:rtl/>
        </w:rPr>
        <w:t>על מסוכנותם הרבה של חומרי נפץ ומטעני חבלה עמד כב' הש' ב</w:t>
      </w:r>
      <w:hyperlink r:id="rId47" w:history="1">
        <w:r w:rsidR="00D513CA" w:rsidRPr="00D513CA">
          <w:rPr>
            <w:color w:val="0000FF"/>
            <w:u w:val="single"/>
            <w:rtl/>
          </w:rPr>
          <w:t>ע"פ 5336/13</w:t>
        </w:r>
      </w:hyperlink>
      <w:r>
        <w:rPr>
          <w:color w:val="000000"/>
          <w:rtl/>
        </w:rPr>
        <w:t xml:space="preserve"> </w:t>
      </w:r>
      <w:r>
        <w:rPr>
          <w:b/>
          <w:bCs/>
          <w:color w:val="000000"/>
          <w:rtl/>
        </w:rPr>
        <w:t>צדוק נ' מדינת ישראל</w:t>
      </w:r>
      <w:r>
        <w:rPr>
          <w:color w:val="000000"/>
          <w:rtl/>
        </w:rPr>
        <w:t xml:space="preserve"> (17/11/13), כדלהלן: </w:t>
      </w:r>
    </w:p>
    <w:p w14:paraId="04024807" w14:textId="77777777" w:rsidR="007823DF" w:rsidRDefault="007823DF" w:rsidP="007823DF">
      <w:pPr>
        <w:widowControl w:val="0"/>
        <w:tabs>
          <w:tab w:val="left" w:pos="206"/>
        </w:tabs>
        <w:spacing w:line="360" w:lineRule="auto"/>
        <w:ind w:left="1440"/>
        <w:jc w:val="both"/>
        <w:rPr>
          <w:rFonts w:ascii="Miriam" w:eastAsia="Calibri" w:hAnsi="Miriam" w:cs="Miriam"/>
          <w:sz w:val="10"/>
          <w:szCs w:val="10"/>
          <w:rtl/>
        </w:rPr>
      </w:pPr>
    </w:p>
    <w:p w14:paraId="6691E5A8" w14:textId="77777777" w:rsidR="007823DF" w:rsidRDefault="007823DF" w:rsidP="007823DF">
      <w:pPr>
        <w:widowControl w:val="0"/>
        <w:tabs>
          <w:tab w:val="left" w:pos="206"/>
        </w:tabs>
        <w:spacing w:line="360" w:lineRule="auto"/>
        <w:ind w:left="1440"/>
        <w:jc w:val="both"/>
        <w:rPr>
          <w:rFonts w:ascii="David" w:eastAsia="Calibri" w:hAnsi="David"/>
          <w:rtl/>
        </w:rPr>
      </w:pPr>
      <w:r>
        <w:rPr>
          <w:rFonts w:ascii="Miriam" w:eastAsia="Calibri" w:hAnsi="Miriam" w:cs="Miriam"/>
          <w:rtl/>
        </w:rPr>
        <w:t>"מסוכנותם הרבה של חומרי נפץ ומטעני חבלה, ידועה לכל בר דעת. סכנת נפשות, פשוטו כמשמעו. שומה להרתם על מנת למגר תופעה של נשיאה והובלה של נשק. בחיי אדם עסקינן, ואין מקום לפשרות" (</w:t>
      </w:r>
      <w:r>
        <w:rPr>
          <w:rFonts w:ascii="David" w:eastAsia="Calibri" w:hAnsi="David"/>
          <w:rtl/>
        </w:rPr>
        <w:t>כן ראו דבריו של כב' הש' ג'ובראן ב</w:t>
      </w:r>
      <w:hyperlink r:id="rId48" w:history="1">
        <w:r w:rsidR="00D513CA" w:rsidRPr="00D513CA">
          <w:rPr>
            <w:rFonts w:ascii="David" w:eastAsia="Calibri" w:hAnsi="David"/>
            <w:color w:val="0000FF"/>
            <w:u w:val="single"/>
            <w:rtl/>
          </w:rPr>
          <w:t>ע"פ 5995/11</w:t>
        </w:r>
      </w:hyperlink>
      <w:r>
        <w:rPr>
          <w:rFonts w:ascii="David" w:eastAsia="Calibri" w:hAnsi="David"/>
          <w:rtl/>
        </w:rPr>
        <w:t xml:space="preserve"> </w:t>
      </w:r>
      <w:r>
        <w:rPr>
          <w:rFonts w:ascii="David" w:eastAsia="Calibri" w:hAnsi="David"/>
          <w:b/>
          <w:bCs/>
          <w:rtl/>
        </w:rPr>
        <w:t>מדינת ישראל נ' בדראן</w:t>
      </w:r>
      <w:r>
        <w:rPr>
          <w:rFonts w:ascii="David" w:eastAsia="Calibri" w:hAnsi="David"/>
          <w:rtl/>
        </w:rPr>
        <w:t xml:space="preserve"> (24/8/11)).</w:t>
      </w:r>
    </w:p>
    <w:p w14:paraId="06244D91" w14:textId="77777777" w:rsidR="007823DF" w:rsidRPr="000B5CEE" w:rsidRDefault="007823DF" w:rsidP="007823DF">
      <w:pPr>
        <w:widowControl w:val="0"/>
        <w:tabs>
          <w:tab w:val="left" w:pos="206"/>
        </w:tabs>
        <w:spacing w:line="360" w:lineRule="auto"/>
        <w:ind w:left="1440"/>
        <w:jc w:val="both"/>
        <w:rPr>
          <w:rFonts w:ascii="David" w:eastAsia="Calibri" w:hAnsi="David"/>
          <w:sz w:val="8"/>
          <w:szCs w:val="8"/>
          <w:rtl/>
        </w:rPr>
      </w:pPr>
    </w:p>
    <w:p w14:paraId="39C06248" w14:textId="77777777" w:rsidR="007823DF" w:rsidRPr="000B5CEE" w:rsidRDefault="007823DF" w:rsidP="007823DF">
      <w:pPr>
        <w:widowControl w:val="0"/>
        <w:tabs>
          <w:tab w:val="left" w:pos="206"/>
        </w:tabs>
        <w:spacing w:line="360" w:lineRule="auto"/>
        <w:ind w:left="1440"/>
        <w:jc w:val="both"/>
        <w:rPr>
          <w:rFonts w:ascii="David" w:hAnsi="David"/>
          <w:color w:val="404040"/>
          <w:sz w:val="14"/>
          <w:szCs w:val="14"/>
          <w:rtl/>
        </w:rPr>
      </w:pPr>
      <w:r>
        <w:rPr>
          <w:rFonts w:ascii="David" w:eastAsia="Calibri" w:hAnsi="David"/>
          <w:rtl/>
        </w:rPr>
        <w:t xml:space="preserve"> </w:t>
      </w:r>
    </w:p>
    <w:p w14:paraId="24873D3F" w14:textId="77777777" w:rsidR="007823DF" w:rsidRDefault="007823DF" w:rsidP="007823DF">
      <w:pPr>
        <w:widowControl w:val="0"/>
        <w:tabs>
          <w:tab w:val="left" w:pos="206"/>
        </w:tabs>
        <w:spacing w:line="360" w:lineRule="auto"/>
        <w:ind w:left="720" w:hanging="720"/>
        <w:jc w:val="both"/>
        <w:rPr>
          <w:rFonts w:ascii="David" w:hAnsi="David"/>
          <w:rtl/>
        </w:rPr>
      </w:pPr>
      <w:r>
        <w:rPr>
          <w:rFonts w:ascii="David" w:hAnsi="David"/>
          <w:b/>
          <w:bCs/>
          <w:color w:val="404040"/>
          <w:rtl/>
        </w:rPr>
        <w:t>1</w:t>
      </w:r>
      <w:r>
        <w:rPr>
          <w:rFonts w:ascii="David" w:hAnsi="David" w:hint="cs"/>
          <w:b/>
          <w:bCs/>
          <w:color w:val="404040"/>
          <w:rtl/>
        </w:rPr>
        <w:t>2</w:t>
      </w:r>
      <w:r>
        <w:rPr>
          <w:rFonts w:ascii="David" w:hAnsi="David"/>
          <w:b/>
          <w:bCs/>
          <w:color w:val="404040"/>
          <w:rtl/>
        </w:rPr>
        <w:t>.</w:t>
      </w:r>
      <w:r>
        <w:rPr>
          <w:rFonts w:ascii="David" w:hAnsi="David"/>
          <w:b/>
          <w:bCs/>
          <w:rtl/>
        </w:rPr>
        <w:tab/>
        <w:t>במסגרת הנסיבות הקשורות ביצוע העבירה</w:t>
      </w:r>
      <w:r>
        <w:rPr>
          <w:rFonts w:ascii="David" w:hAnsi="David"/>
          <w:rtl/>
        </w:rPr>
        <w:t xml:space="preserve">, יש להתחשב בכך שחלקו של הנאשם בביצוע העבירה הוא מלא ובלעדי. הנאשם החזיק כאמור במטען החבלה בתוך שקית בחלקו האחורי של מושב הנהג של רכבו. יוער כי אפילו בהנחה כי </w:t>
      </w:r>
      <w:r>
        <w:rPr>
          <w:rFonts w:ascii="David" w:hAnsi="David" w:hint="cs"/>
          <w:rtl/>
        </w:rPr>
        <w:t>המטען ניתן לו על ידי אביו המנוח</w:t>
      </w:r>
      <w:r>
        <w:rPr>
          <w:rFonts w:ascii="David" w:hAnsi="David"/>
          <w:rtl/>
        </w:rPr>
        <w:t xml:space="preserve"> עובר לפטירתו, הרי שגם טענתו כי הדבר נשכח ממנו, אינה עולה בקנה אחד עם עובדות כתב האישום </w:t>
      </w:r>
      <w:r>
        <w:rPr>
          <w:rFonts w:ascii="David" w:hAnsi="David" w:hint="cs"/>
          <w:rtl/>
        </w:rPr>
        <w:t>ש</w:t>
      </w:r>
      <w:r>
        <w:rPr>
          <w:rFonts w:ascii="David" w:hAnsi="David"/>
          <w:rtl/>
        </w:rPr>
        <w:t>בהן הודה</w:t>
      </w:r>
      <w:r>
        <w:rPr>
          <w:rFonts w:ascii="David" w:hAnsi="David" w:hint="cs"/>
          <w:rtl/>
        </w:rPr>
        <w:t>,</w:t>
      </w:r>
      <w:r>
        <w:rPr>
          <w:rFonts w:ascii="David" w:hAnsi="David"/>
          <w:rtl/>
        </w:rPr>
        <w:t xml:space="preserve"> המייחסות לו עבירה של מחשבה פלילית, דהיינו מודעות לטיב המעשה ולנסיבותיו, ולא הוכחה ברמת ההוכחה הנדרשת על ידי ההגנה במסגרת הטיעונים לעונש (ראו </w:t>
      </w:r>
      <w:hyperlink r:id="rId49" w:history="1">
        <w:r w:rsidR="00792008" w:rsidRPr="00792008">
          <w:rPr>
            <w:rStyle w:val="Hyperlink"/>
            <w:rFonts w:ascii="David" w:hAnsi="David"/>
            <w:rtl/>
          </w:rPr>
          <w:t>סעיף 40י.(ג)</w:t>
        </w:r>
      </w:hyperlink>
      <w:r>
        <w:rPr>
          <w:rFonts w:ascii="David" w:hAnsi="David"/>
          <w:rtl/>
        </w:rPr>
        <w:t xml:space="preserve"> ל</w:t>
      </w:r>
      <w:hyperlink r:id="rId50" w:history="1">
        <w:r w:rsidR="00D513CA" w:rsidRPr="00D513CA">
          <w:rPr>
            <w:rFonts w:ascii="David" w:hAnsi="David"/>
            <w:color w:val="0000FF"/>
            <w:u w:val="single"/>
            <w:rtl/>
          </w:rPr>
          <w:t>חוק העונשין</w:t>
        </w:r>
      </w:hyperlink>
      <w:r>
        <w:rPr>
          <w:rFonts w:ascii="David" w:hAnsi="David"/>
          <w:rtl/>
        </w:rPr>
        <w:t xml:space="preserve">; כן ראו </w:t>
      </w:r>
      <w:hyperlink r:id="rId51" w:history="1">
        <w:r w:rsidR="00D513CA" w:rsidRPr="00D513CA">
          <w:rPr>
            <w:rFonts w:ascii="David" w:hAnsi="David"/>
            <w:color w:val="0000FF"/>
            <w:u w:val="single"/>
            <w:rtl/>
          </w:rPr>
          <w:t>ע"פ 4442/19</w:t>
        </w:r>
      </w:hyperlink>
      <w:r>
        <w:rPr>
          <w:rFonts w:ascii="David" w:hAnsi="David"/>
          <w:rtl/>
        </w:rPr>
        <w:t xml:space="preserve"> </w:t>
      </w:r>
      <w:r>
        <w:rPr>
          <w:rFonts w:ascii="David" w:hAnsi="David"/>
          <w:b/>
          <w:bCs/>
          <w:rtl/>
        </w:rPr>
        <w:t>מדינת ישראל נ' שווץ</w:t>
      </w:r>
      <w:r>
        <w:rPr>
          <w:rFonts w:ascii="David" w:hAnsi="David"/>
          <w:rtl/>
        </w:rPr>
        <w:t xml:space="preserve"> (13/11/19), ו</w:t>
      </w:r>
      <w:hyperlink r:id="rId52" w:history="1">
        <w:r w:rsidR="00D513CA" w:rsidRPr="00D513CA">
          <w:rPr>
            <w:rFonts w:ascii="David" w:hAnsi="David"/>
            <w:color w:val="0000FF"/>
            <w:u w:val="single"/>
            <w:rtl/>
          </w:rPr>
          <w:t>ע"פ 7876/15</w:t>
        </w:r>
      </w:hyperlink>
      <w:r>
        <w:rPr>
          <w:rFonts w:ascii="David" w:hAnsi="David"/>
          <w:rtl/>
        </w:rPr>
        <w:t xml:space="preserve"> </w:t>
      </w:r>
      <w:r>
        <w:rPr>
          <w:rFonts w:ascii="David" w:hAnsi="David"/>
          <w:b/>
          <w:bCs/>
          <w:rtl/>
        </w:rPr>
        <w:t>חמאמרה נ' מדינת ישראל</w:t>
      </w:r>
      <w:r>
        <w:rPr>
          <w:rFonts w:ascii="David" w:hAnsi="David"/>
          <w:rtl/>
        </w:rPr>
        <w:t xml:space="preserve"> (30/8/17), שניהם מפי כב' הש' ברון). בנסיבות העניין ומשהודיע הנאשם במעמד הטיעונים לעונש כי הוא עומד על הודייתו בעובדות כתב האישום המתוקן כהווייתן, איני רואה ליתן לגרסה זו משקל לקולה בגזירת דינו.</w:t>
      </w:r>
    </w:p>
    <w:p w14:paraId="73457299" w14:textId="77777777" w:rsidR="007823DF" w:rsidRPr="008925D3" w:rsidRDefault="007823DF" w:rsidP="007823DF">
      <w:pPr>
        <w:widowControl w:val="0"/>
        <w:tabs>
          <w:tab w:val="left" w:pos="206"/>
        </w:tabs>
        <w:spacing w:line="360" w:lineRule="auto"/>
        <w:ind w:left="720" w:hanging="720"/>
        <w:jc w:val="both"/>
        <w:rPr>
          <w:rFonts w:ascii="David" w:hAnsi="David"/>
          <w:sz w:val="14"/>
          <w:szCs w:val="14"/>
          <w:rtl/>
        </w:rPr>
      </w:pPr>
    </w:p>
    <w:p w14:paraId="4A4A5A2F" w14:textId="77777777" w:rsidR="007823DF" w:rsidRDefault="007823DF" w:rsidP="007823DF">
      <w:pPr>
        <w:widowControl w:val="0"/>
        <w:tabs>
          <w:tab w:val="left" w:pos="206"/>
        </w:tabs>
        <w:spacing w:line="360" w:lineRule="auto"/>
        <w:ind w:left="720" w:hanging="720"/>
        <w:jc w:val="both"/>
        <w:rPr>
          <w:rFonts w:ascii="David" w:hAnsi="David"/>
          <w:rtl/>
        </w:rPr>
      </w:pPr>
      <w:r>
        <w:rPr>
          <w:rFonts w:ascii="David" w:hAnsi="David"/>
          <w:rtl/>
        </w:rPr>
        <w:tab/>
      </w:r>
      <w:r>
        <w:rPr>
          <w:rFonts w:ascii="David" w:hAnsi="David"/>
          <w:rtl/>
        </w:rPr>
        <w:tab/>
        <w:t>עסקינן בבגיר, אשר היה מודע לפסול שבמעשיו, ויכול היה להימנע מביצועם.</w:t>
      </w:r>
    </w:p>
    <w:p w14:paraId="217287A1" w14:textId="77777777" w:rsidR="007823DF" w:rsidRPr="008925D3" w:rsidRDefault="007823DF" w:rsidP="007823DF">
      <w:pPr>
        <w:widowControl w:val="0"/>
        <w:tabs>
          <w:tab w:val="left" w:pos="206"/>
        </w:tabs>
        <w:spacing w:line="360" w:lineRule="auto"/>
        <w:ind w:left="720" w:hanging="720"/>
        <w:jc w:val="both"/>
        <w:rPr>
          <w:rFonts w:ascii="David" w:hAnsi="David"/>
          <w:sz w:val="18"/>
          <w:szCs w:val="18"/>
          <w:rtl/>
        </w:rPr>
      </w:pPr>
      <w:r>
        <w:rPr>
          <w:rFonts w:ascii="David" w:hAnsi="David"/>
          <w:rtl/>
        </w:rPr>
        <w:tab/>
      </w:r>
      <w:r>
        <w:rPr>
          <w:rFonts w:ascii="David" w:hAnsi="David"/>
          <w:rtl/>
        </w:rPr>
        <w:tab/>
      </w:r>
    </w:p>
    <w:p w14:paraId="41C9FB10" w14:textId="77777777" w:rsidR="007823DF" w:rsidRDefault="007823DF" w:rsidP="007823DF">
      <w:pPr>
        <w:widowControl w:val="0"/>
        <w:tabs>
          <w:tab w:val="left" w:pos="206"/>
        </w:tabs>
        <w:spacing w:line="360" w:lineRule="auto"/>
        <w:ind w:left="720" w:hanging="720"/>
        <w:jc w:val="both"/>
        <w:rPr>
          <w:rFonts w:ascii="David" w:hAnsi="David"/>
          <w:rtl/>
        </w:rPr>
      </w:pPr>
      <w:r>
        <w:rPr>
          <w:rFonts w:ascii="David" w:hAnsi="David"/>
          <w:rtl/>
        </w:rPr>
        <w:tab/>
      </w:r>
      <w:r>
        <w:rPr>
          <w:rFonts w:ascii="David" w:hAnsi="David"/>
          <w:rtl/>
        </w:rPr>
        <w:tab/>
        <w:t>יחד עם זאת, אני רואה להתחשב בכך שעסקינן בנשק – מטען חבלה אשר בעת תפיסתו היה נעדר אמצעי יזימה להפעלתו</w:t>
      </w:r>
      <w:r>
        <w:rPr>
          <w:rFonts w:ascii="David" w:hAnsi="David" w:hint="cs"/>
          <w:rtl/>
        </w:rPr>
        <w:t xml:space="preserve"> </w:t>
      </w:r>
      <w:r>
        <w:rPr>
          <w:rFonts w:ascii="David" w:hAnsi="David"/>
          <w:rtl/>
        </w:rPr>
        <w:t xml:space="preserve">- כפי שעולה כאמור מעובדות כתב האישום המתוקן, </w:t>
      </w:r>
      <w:r>
        <w:rPr>
          <w:rFonts w:ascii="David" w:hAnsi="David" w:hint="cs"/>
          <w:rtl/>
        </w:rPr>
        <w:t>המתבססות על הראיות בתיק</w:t>
      </w:r>
      <w:r>
        <w:rPr>
          <w:rFonts w:ascii="David" w:hAnsi="David"/>
          <w:rtl/>
        </w:rPr>
        <w:t xml:space="preserve">. </w:t>
      </w:r>
    </w:p>
    <w:p w14:paraId="7CB16AE7" w14:textId="77777777" w:rsidR="007823DF" w:rsidRPr="008925D3" w:rsidRDefault="007823DF" w:rsidP="007823DF">
      <w:pPr>
        <w:widowControl w:val="0"/>
        <w:tabs>
          <w:tab w:val="left" w:pos="206"/>
        </w:tabs>
        <w:spacing w:line="360" w:lineRule="auto"/>
        <w:ind w:left="720" w:hanging="720"/>
        <w:jc w:val="both"/>
        <w:rPr>
          <w:rFonts w:ascii="David" w:hAnsi="David"/>
          <w:sz w:val="16"/>
          <w:szCs w:val="16"/>
          <w:rtl/>
        </w:rPr>
      </w:pPr>
    </w:p>
    <w:p w14:paraId="3D5F14CE" w14:textId="77777777" w:rsidR="007823DF" w:rsidRDefault="007823DF" w:rsidP="007823DF">
      <w:pPr>
        <w:widowControl w:val="0"/>
        <w:tabs>
          <w:tab w:val="left" w:pos="206"/>
        </w:tabs>
        <w:spacing w:line="360" w:lineRule="auto"/>
        <w:ind w:left="720" w:hanging="720"/>
        <w:jc w:val="both"/>
        <w:rPr>
          <w:rFonts w:ascii="Calibri" w:hAnsi="Calibri" w:cs="Miriam"/>
          <w:sz w:val="22"/>
          <w:szCs w:val="22"/>
          <w:rtl/>
        </w:rPr>
      </w:pPr>
      <w:r>
        <w:rPr>
          <w:rFonts w:ascii="David" w:hAnsi="David"/>
          <w:rtl/>
        </w:rPr>
        <w:t xml:space="preserve"> </w:t>
      </w:r>
      <w:r>
        <w:rPr>
          <w:rFonts w:ascii="David" w:hAnsi="David"/>
          <w:rtl/>
        </w:rPr>
        <w:tab/>
      </w:r>
      <w:r>
        <w:rPr>
          <w:rFonts w:ascii="David" w:hAnsi="David"/>
          <w:rtl/>
        </w:rPr>
        <w:tab/>
        <w:t xml:space="preserve">נוכח האמור לעיל, ומשעסקינן במקרה הנדון במטען חבלה ללא אמצעי יזימה, אני רואה להתחשב בכך שפוטנציאל הנזק הגלום במטען שבפנינו נמוך ביחס לכלי נשק אחרים, כפי שנטען על ידי הסנגור ובצדק. </w:t>
      </w:r>
      <w:r>
        <w:rPr>
          <w:rFonts w:ascii="Calibri" w:hAnsi="Calibri"/>
          <w:rtl/>
        </w:rPr>
        <w:t xml:space="preserve">בנקודה זו יפים דבריו הבאים של בית המשפט העליון, כפי שנאמרו </w:t>
      </w:r>
      <w:r w:rsidRPr="00D25C89">
        <w:rPr>
          <w:rFonts w:ascii="Calibri" w:hAnsi="Calibri"/>
          <w:b/>
          <w:bCs/>
          <w:rtl/>
        </w:rPr>
        <w:t>בעניין חסן</w:t>
      </w:r>
      <w:r>
        <w:rPr>
          <w:rFonts w:ascii="Calibri" w:hAnsi="Calibri"/>
          <w:rtl/>
        </w:rPr>
        <w:t xml:space="preserve">: </w:t>
      </w:r>
    </w:p>
    <w:p w14:paraId="03AE0A77" w14:textId="77777777" w:rsidR="007823DF" w:rsidRDefault="007823DF" w:rsidP="007823DF">
      <w:pPr>
        <w:widowControl w:val="0"/>
        <w:tabs>
          <w:tab w:val="left" w:pos="206"/>
        </w:tabs>
        <w:spacing w:line="360" w:lineRule="auto"/>
        <w:ind w:left="720" w:hanging="720"/>
        <w:jc w:val="both"/>
        <w:rPr>
          <w:rFonts w:ascii="Calibri" w:hAnsi="Calibri" w:cs="Miriam"/>
          <w:sz w:val="22"/>
          <w:szCs w:val="22"/>
          <w:rtl/>
        </w:rPr>
      </w:pPr>
    </w:p>
    <w:p w14:paraId="46D432B9" w14:textId="77777777" w:rsidR="007823DF" w:rsidRDefault="007823DF" w:rsidP="007823DF">
      <w:pPr>
        <w:widowControl w:val="0"/>
        <w:tabs>
          <w:tab w:val="left" w:pos="206"/>
        </w:tabs>
        <w:spacing w:line="360" w:lineRule="auto"/>
        <w:ind w:left="720" w:hanging="720"/>
        <w:jc w:val="both"/>
        <w:rPr>
          <w:rFonts w:ascii="Calibri" w:hAnsi="Calibri" w:cs="Miriam"/>
          <w:sz w:val="8"/>
          <w:szCs w:val="8"/>
          <w:rtl/>
        </w:rPr>
      </w:pPr>
    </w:p>
    <w:p w14:paraId="55AAC596" w14:textId="77777777" w:rsidR="007823DF" w:rsidRPr="008925D3" w:rsidRDefault="007823DF" w:rsidP="007823DF">
      <w:pPr>
        <w:widowControl w:val="0"/>
        <w:tabs>
          <w:tab w:val="left" w:pos="206"/>
        </w:tabs>
        <w:spacing w:line="360" w:lineRule="auto"/>
        <w:ind w:left="1440" w:hanging="720"/>
        <w:jc w:val="both"/>
        <w:rPr>
          <w:rFonts w:ascii="Calibri" w:hAnsi="Calibri" w:cs="Miriam"/>
          <w:rtl/>
        </w:rPr>
      </w:pPr>
      <w:r>
        <w:rPr>
          <w:rFonts w:ascii="Calibri" w:hAnsi="Calibri" w:cs="Miriam"/>
          <w:sz w:val="22"/>
          <w:szCs w:val="22"/>
          <w:rtl/>
        </w:rPr>
        <w:tab/>
        <w:t>"</w:t>
      </w:r>
      <w:r w:rsidRPr="008925D3">
        <w:rPr>
          <w:rFonts w:ascii="Calibri" w:hAnsi="Calibri" w:cs="Miriam"/>
          <w:rtl/>
        </w:rPr>
        <w:t xml:space="preserve">למעשה, אין כל חידוש בקביעה כי קיים מדרג ענישה בעבירות המבוצעות בנשק, הנקבע, בין השאר, על פי סוג, איכות וכמות הנשק שנעשה בו שימוש: 'כבר נאמר לא אחת בפסיקתנו כי מידת העונש המוטל בגין עבירות המבוצעות בנשק, מושפעת מפוטנציאל הסיכון הרב הטמון בנשק המוחזק שלא כדין ומהעברתו מיד ליד ללא פיקוח. </w:t>
      </w:r>
      <w:r w:rsidRPr="00D25C89">
        <w:rPr>
          <w:rFonts w:ascii="Calibri" w:hAnsi="Calibri" w:cs="Miriam"/>
          <w:u w:val="single"/>
          <w:rtl/>
        </w:rPr>
        <w:t>בבוא בית המשפט לגזור את הדין בעבירה של החזקה  ונשיאה של נשק, עליו להתחשב בנסיבות שבהן באה לידי ביטוי החומרה המיוחדת שבעבירה, בין היתר, ייתן בית המשפט דעתו על סוג הנשק המוחזק שלא כדין, על כמותו, על התכלית שלשמה הוא הוחזק ועל הסכנה המוחשית שייעשה בו שימוש</w:t>
      </w:r>
      <w:r w:rsidRPr="008925D3">
        <w:rPr>
          <w:rFonts w:ascii="Calibri" w:hAnsi="Calibri" w:cs="Miriam"/>
          <w:rtl/>
        </w:rPr>
        <w:t>..."</w:t>
      </w:r>
      <w:r>
        <w:rPr>
          <w:rFonts w:ascii="Calibri" w:hAnsi="Calibri" w:cs="Miriam" w:hint="cs"/>
          <w:rtl/>
        </w:rPr>
        <w:t xml:space="preserve"> </w:t>
      </w:r>
      <w:r w:rsidRPr="00D25C89">
        <w:rPr>
          <w:rFonts w:ascii="Calibri" w:hAnsi="Calibri" w:hint="cs"/>
          <w:rtl/>
        </w:rPr>
        <w:t>(ההדגשה אינה במקור- ד.ס.)</w:t>
      </w:r>
      <w:r w:rsidRPr="00D25C89">
        <w:rPr>
          <w:rFonts w:ascii="Calibri" w:hAnsi="Calibri"/>
          <w:rtl/>
        </w:rPr>
        <w:t>.</w:t>
      </w:r>
    </w:p>
    <w:p w14:paraId="136AF84B" w14:textId="77777777" w:rsidR="007823DF" w:rsidRPr="00D25C89" w:rsidRDefault="007823DF" w:rsidP="007823DF">
      <w:pPr>
        <w:jc w:val="both"/>
        <w:rPr>
          <w:sz w:val="34"/>
          <w:szCs w:val="34"/>
          <w:rtl/>
        </w:rPr>
      </w:pPr>
    </w:p>
    <w:p w14:paraId="09C3FED6" w14:textId="77777777" w:rsidR="007823DF" w:rsidRDefault="007823DF" w:rsidP="007823DF">
      <w:pPr>
        <w:spacing w:line="360" w:lineRule="auto"/>
        <w:ind w:left="720" w:hanging="720"/>
        <w:jc w:val="both"/>
        <w:rPr>
          <w:rtl/>
        </w:rPr>
      </w:pPr>
      <w:r>
        <w:rPr>
          <w:rFonts w:hint="cs"/>
          <w:b/>
          <w:bCs/>
          <w:rtl/>
        </w:rPr>
        <w:t>13</w:t>
      </w:r>
      <w:r>
        <w:rPr>
          <w:rtl/>
        </w:rPr>
        <w:t>.</w:t>
      </w:r>
      <w:r>
        <w:rPr>
          <w:rtl/>
        </w:rPr>
        <w:tab/>
      </w:r>
      <w:r>
        <w:rPr>
          <w:b/>
          <w:bCs/>
          <w:rtl/>
        </w:rPr>
        <w:t xml:space="preserve">הערכים החברתיים </w:t>
      </w:r>
      <w:r>
        <w:rPr>
          <w:rFonts w:hint="cs"/>
          <w:rtl/>
        </w:rPr>
        <w:t>שנפגעו כתוצאה מ</w:t>
      </w:r>
      <w:r>
        <w:rPr>
          <w:rtl/>
        </w:rPr>
        <w:t>ביצוע העבירה</w:t>
      </w:r>
      <w:r>
        <w:rPr>
          <w:b/>
          <w:bCs/>
          <w:rtl/>
        </w:rPr>
        <w:t xml:space="preserve"> </w:t>
      </w:r>
      <w:r>
        <w:rPr>
          <w:rtl/>
        </w:rPr>
        <w:t>הם שלום הציבור ובטחונו</w:t>
      </w:r>
      <w:r>
        <w:rPr>
          <w:rFonts w:hint="cs"/>
          <w:rtl/>
        </w:rPr>
        <w:t>,</w:t>
      </w:r>
      <w:r>
        <w:rPr>
          <w:rtl/>
        </w:rPr>
        <w:t xml:space="preserve"> ושלמות גופו</w:t>
      </w:r>
      <w:r>
        <w:rPr>
          <w:rFonts w:hint="cs"/>
          <w:rtl/>
        </w:rPr>
        <w:t xml:space="preserve"> וכן השמירה על הסדר הציבורי</w:t>
      </w:r>
      <w:r>
        <w:rPr>
          <w:rtl/>
        </w:rPr>
        <w:t xml:space="preserve">. </w:t>
      </w:r>
      <w:r>
        <w:rPr>
          <w:rFonts w:hint="cs"/>
          <w:rtl/>
        </w:rPr>
        <w:t xml:space="preserve">יחד עם זאת, </w:t>
      </w:r>
      <w:r>
        <w:rPr>
          <w:rtl/>
        </w:rPr>
        <w:t>מבלי להקל ראש בחומרת ביצוע העבירה, לא ניתן שלא</w:t>
      </w:r>
    </w:p>
    <w:p w14:paraId="3F1403F3" w14:textId="77777777" w:rsidR="007823DF" w:rsidRPr="002C40C2" w:rsidRDefault="007823DF" w:rsidP="007823DF">
      <w:pPr>
        <w:spacing w:line="360" w:lineRule="auto"/>
        <w:ind w:left="720" w:hanging="720"/>
        <w:jc w:val="both"/>
        <w:rPr>
          <w:sz w:val="18"/>
          <w:szCs w:val="18"/>
          <w:rtl/>
        </w:rPr>
      </w:pPr>
    </w:p>
    <w:p w14:paraId="7DE8618F" w14:textId="77777777" w:rsidR="007823DF" w:rsidRDefault="007823DF" w:rsidP="007823DF">
      <w:pPr>
        <w:spacing w:line="360" w:lineRule="auto"/>
        <w:ind w:left="720"/>
        <w:jc w:val="both"/>
        <w:rPr>
          <w:rtl/>
        </w:rPr>
      </w:pPr>
      <w:r>
        <w:rPr>
          <w:rtl/>
        </w:rPr>
        <w:t xml:space="preserve"> לקבוע כי בשים לב לעובדה כי פוטנציאל הנזק של מטען החבלה הנדון נמוך ממטעני חבלה המכילים אמצעי יזימה להפעלתם, נראה כי מידת הפגיעה בערכים אלו במקרה הנדון היא בינונית.</w:t>
      </w:r>
    </w:p>
    <w:p w14:paraId="56F39472" w14:textId="77777777" w:rsidR="007823DF" w:rsidRDefault="007823DF" w:rsidP="007823DF">
      <w:pPr>
        <w:spacing w:line="360" w:lineRule="auto"/>
        <w:ind w:left="720" w:hanging="720"/>
        <w:jc w:val="both"/>
        <w:rPr>
          <w:rtl/>
        </w:rPr>
      </w:pPr>
      <w:r>
        <w:rPr>
          <w:rtl/>
        </w:rPr>
        <w:t xml:space="preserve"> </w:t>
      </w:r>
    </w:p>
    <w:p w14:paraId="5992D006" w14:textId="77777777" w:rsidR="007823DF" w:rsidRDefault="007823DF" w:rsidP="007823DF">
      <w:pPr>
        <w:spacing w:line="360" w:lineRule="auto"/>
        <w:jc w:val="both"/>
        <w:rPr>
          <w:b/>
          <w:bCs/>
          <w:u w:val="single"/>
        </w:rPr>
      </w:pPr>
      <w:r>
        <w:rPr>
          <w:b/>
          <w:bCs/>
          <w:rtl/>
        </w:rPr>
        <w:softHyphen/>
      </w:r>
      <w:r>
        <w:rPr>
          <w:b/>
          <w:bCs/>
          <w:rtl/>
        </w:rPr>
        <w:tab/>
      </w:r>
      <w:r>
        <w:rPr>
          <w:b/>
          <w:bCs/>
          <w:u w:val="single"/>
          <w:rtl/>
        </w:rPr>
        <w:t>מתחם העונש ההולם</w:t>
      </w:r>
    </w:p>
    <w:p w14:paraId="7043649F" w14:textId="77777777" w:rsidR="007823DF" w:rsidRDefault="007823DF" w:rsidP="007823DF">
      <w:pPr>
        <w:spacing w:line="360" w:lineRule="auto"/>
        <w:ind w:left="720" w:hanging="720"/>
        <w:jc w:val="both"/>
        <w:rPr>
          <w:rFonts w:ascii="David" w:hAnsi="David"/>
          <w:rtl/>
        </w:rPr>
      </w:pPr>
      <w:r>
        <w:rPr>
          <w:rFonts w:ascii="David" w:hAnsi="David" w:hint="cs"/>
          <w:b/>
          <w:bCs/>
          <w:rtl/>
        </w:rPr>
        <w:t>14</w:t>
      </w:r>
      <w:r>
        <w:rPr>
          <w:rFonts w:ascii="David" w:hAnsi="David"/>
          <w:b/>
          <w:bCs/>
          <w:rtl/>
        </w:rPr>
        <w:t>.</w:t>
      </w:r>
      <w:r>
        <w:rPr>
          <w:rFonts w:ascii="David" w:hAnsi="David"/>
          <w:b/>
          <w:bCs/>
          <w:rtl/>
        </w:rPr>
        <w:tab/>
      </w:r>
      <w:r>
        <w:rPr>
          <w:rFonts w:ascii="David" w:hAnsi="David"/>
          <w:rtl/>
        </w:rPr>
        <w:t xml:space="preserve"> העונש המרבי הקבוע בצידה של החזקת נשק לפי </w:t>
      </w:r>
      <w:hyperlink r:id="rId53" w:history="1">
        <w:r w:rsidR="00792008" w:rsidRPr="00792008">
          <w:rPr>
            <w:rStyle w:val="Hyperlink"/>
            <w:rFonts w:ascii="David" w:hAnsi="David"/>
            <w:rtl/>
          </w:rPr>
          <w:t>סעיף 144(א)</w:t>
        </w:r>
      </w:hyperlink>
      <w:r>
        <w:rPr>
          <w:rFonts w:ascii="David" w:hAnsi="David"/>
          <w:rtl/>
        </w:rPr>
        <w:t xml:space="preserve"> רישא ו- </w:t>
      </w:r>
      <w:hyperlink r:id="rId54" w:history="1">
        <w:r w:rsidR="00792008" w:rsidRPr="00792008">
          <w:rPr>
            <w:rStyle w:val="Hyperlink"/>
            <w:rFonts w:ascii="David" w:hAnsi="David"/>
            <w:rtl/>
          </w:rPr>
          <w:t>144(ג)(3)</w:t>
        </w:r>
      </w:hyperlink>
      <w:r>
        <w:rPr>
          <w:rFonts w:ascii="David" w:hAnsi="David"/>
          <w:rtl/>
        </w:rPr>
        <w:t xml:space="preserve"> ל</w:t>
      </w:r>
      <w:hyperlink r:id="rId55" w:history="1">
        <w:r w:rsidR="00D513CA" w:rsidRPr="00D513CA">
          <w:rPr>
            <w:rFonts w:ascii="David" w:hAnsi="David"/>
            <w:color w:val="0000FF"/>
            <w:u w:val="single"/>
            <w:rtl/>
          </w:rPr>
          <w:t>חוק העונשין</w:t>
        </w:r>
      </w:hyperlink>
      <w:r>
        <w:rPr>
          <w:rFonts w:ascii="David" w:hAnsi="David"/>
          <w:rtl/>
        </w:rPr>
        <w:t xml:space="preserve"> הוא 7 שנות מאסר בפועל. </w:t>
      </w:r>
    </w:p>
    <w:p w14:paraId="64781DEC" w14:textId="77777777" w:rsidR="007823DF" w:rsidRDefault="007823DF" w:rsidP="007823DF">
      <w:pPr>
        <w:ind w:left="720" w:hanging="720"/>
        <w:jc w:val="both"/>
        <w:rPr>
          <w:rFonts w:ascii="David" w:hAnsi="David"/>
          <w:rtl/>
        </w:rPr>
      </w:pPr>
    </w:p>
    <w:p w14:paraId="6F20D1CE" w14:textId="77777777" w:rsidR="007823DF" w:rsidRDefault="007823DF" w:rsidP="007823DF">
      <w:pPr>
        <w:spacing w:line="360" w:lineRule="auto"/>
        <w:ind w:left="720" w:hanging="720"/>
        <w:jc w:val="both"/>
        <w:rPr>
          <w:rFonts w:ascii="David" w:hAnsi="David"/>
          <w:rtl/>
        </w:rPr>
      </w:pPr>
      <w:r>
        <w:rPr>
          <w:rFonts w:ascii="David" w:hAnsi="David"/>
          <w:rtl/>
        </w:rPr>
        <w:tab/>
        <w:t xml:space="preserve">ב"כ הצדדים החלוקים בשאלת מתחם העונש ההולם את המקרה הנדון, הפנו לפסקי דין התומכים בעמדתם, זה בכה וזו בכה, כאשר כל אחד מהם הפנה למקרים חמורים יותר וחמורים פחות מהעניין הנדון, וביקש לאבחן את פסקי הדין אליהם הפנה הצד שכנגד, או חלקם. </w:t>
      </w:r>
    </w:p>
    <w:p w14:paraId="591DBB54" w14:textId="77777777" w:rsidR="007823DF" w:rsidRDefault="007823DF" w:rsidP="007823DF">
      <w:pPr>
        <w:jc w:val="both"/>
        <w:rPr>
          <w:rtl/>
        </w:rPr>
      </w:pPr>
    </w:p>
    <w:p w14:paraId="64A86A24" w14:textId="77777777" w:rsidR="007823DF" w:rsidRDefault="007823DF" w:rsidP="007823DF">
      <w:pPr>
        <w:spacing w:line="360" w:lineRule="auto"/>
        <w:ind w:left="651" w:hanging="651"/>
        <w:jc w:val="both"/>
        <w:rPr>
          <w:rtl/>
        </w:rPr>
      </w:pPr>
      <w:r>
        <w:rPr>
          <w:rFonts w:hint="cs"/>
          <w:b/>
          <w:bCs/>
          <w:rtl/>
        </w:rPr>
        <w:t>15</w:t>
      </w:r>
      <w:r>
        <w:rPr>
          <w:rtl/>
        </w:rPr>
        <w:t>.</w:t>
      </w:r>
      <w:r>
        <w:rPr>
          <w:rtl/>
        </w:rPr>
        <w:tab/>
      </w:r>
      <w:r>
        <w:rPr>
          <w:b/>
          <w:bCs/>
          <w:rtl/>
        </w:rPr>
        <w:t xml:space="preserve">ב"כ המאשימה, </w:t>
      </w:r>
      <w:r>
        <w:rPr>
          <w:rtl/>
        </w:rPr>
        <w:t xml:space="preserve">אשר עתר כזכור לקביעת מתחם עונש הולם הנע בין 3 ל- 7 שנות מאסר הפנה לשני פסקי דין בלבד המייצגים לשיטתו את המדיניות הענישה הנוהגת, כדלהלן: </w:t>
      </w:r>
    </w:p>
    <w:p w14:paraId="2BFCE51C" w14:textId="77777777" w:rsidR="007823DF" w:rsidRPr="00D6517E" w:rsidRDefault="007823DF" w:rsidP="007823DF">
      <w:pPr>
        <w:spacing w:line="360" w:lineRule="auto"/>
        <w:jc w:val="both"/>
        <w:rPr>
          <w:sz w:val="14"/>
          <w:szCs w:val="14"/>
          <w:rtl/>
        </w:rPr>
      </w:pPr>
      <w:r>
        <w:rPr>
          <w:rtl/>
        </w:rPr>
        <w:t xml:space="preserve"> </w:t>
      </w:r>
    </w:p>
    <w:p w14:paraId="1FEE2A95" w14:textId="77777777" w:rsidR="007823DF" w:rsidRDefault="007823DF" w:rsidP="007823DF">
      <w:pPr>
        <w:spacing w:line="360" w:lineRule="auto"/>
        <w:ind w:left="651"/>
        <w:jc w:val="both"/>
        <w:rPr>
          <w:rtl/>
        </w:rPr>
      </w:pPr>
      <w:r>
        <w:rPr>
          <w:b/>
          <w:bCs/>
          <w:rtl/>
        </w:rPr>
        <w:t xml:space="preserve">א. </w:t>
      </w:r>
      <w:r>
        <w:rPr>
          <w:rtl/>
        </w:rPr>
        <w:t>ב</w:t>
      </w:r>
      <w:hyperlink r:id="rId56" w:history="1">
        <w:r w:rsidR="00D513CA" w:rsidRPr="00D513CA">
          <w:rPr>
            <w:color w:val="0000FF"/>
            <w:u w:val="single"/>
            <w:rtl/>
          </w:rPr>
          <w:t>רע"פ 2406/16</w:t>
        </w:r>
      </w:hyperlink>
      <w:r>
        <w:rPr>
          <w:rtl/>
        </w:rPr>
        <w:t xml:space="preserve"> </w:t>
      </w:r>
      <w:r>
        <w:rPr>
          <w:b/>
          <w:bCs/>
          <w:rtl/>
        </w:rPr>
        <w:t>יונגר נ' מדינת ישראל</w:t>
      </w:r>
      <w:r>
        <w:rPr>
          <w:rtl/>
        </w:rPr>
        <w:t xml:space="preserve"> (29/9/16), נדח</w:t>
      </w:r>
      <w:r>
        <w:rPr>
          <w:rFonts w:hint="cs"/>
          <w:rtl/>
        </w:rPr>
        <w:t>ת</w:t>
      </w:r>
      <w:r>
        <w:rPr>
          <w:rtl/>
        </w:rPr>
        <w:t xml:space="preserve">ה בקשת רשות ערעור בגלגול שלישי של נאשם בעל עבר פלילי בלתי מכביד, אשר הורשע לאחר שמיעת ראיות בעבירות של החזקת מטען חבלה אלחוטי מאולתר והחזקת סמים מסוכנים לצריכה עצמית. הנאשם החזיק את המטען בצמוד במחסן הצמוד למשרדו, מתחת ליציע של אולם ספורט, אשר שימש בין היתר את ילדי חטיבות בתי הספר הסמוכים  לו וכן ילדים רבים המשתתפים בחוגי ספורט שמפעילה עירית פתח תקווה. המטען הכיל מערכת הפעלה מרחוק על ידי מקלט ומשדר אוטומטי.  כן החזיק הנאשם בעת מעצרו סם מסוכן מסוג קנביס. בית משפט השלום קבע </w:t>
      </w:r>
      <w:r>
        <w:rPr>
          <w:rFonts w:hint="cs"/>
          <w:rtl/>
        </w:rPr>
        <w:t xml:space="preserve"> </w:t>
      </w:r>
      <w:r>
        <w:rPr>
          <w:rtl/>
        </w:rPr>
        <w:t xml:space="preserve">מתחם עונש הולם </w:t>
      </w:r>
      <w:r>
        <w:rPr>
          <w:b/>
          <w:bCs/>
          <w:rtl/>
        </w:rPr>
        <w:t>בין 2 ל- 5 שנות מאסר,  והטיל על הנאשם 4 שנות מאסר</w:t>
      </w:r>
      <w:r>
        <w:rPr>
          <w:rtl/>
        </w:rPr>
        <w:t xml:space="preserve"> בפועל, לצד מאסרים מותנים וקנס. (ערעורו על גזר הדין ובקשתו להוספת ראיה חדשה נדחו על ידי בית המשפט המחוזי ב</w:t>
      </w:r>
      <w:hyperlink r:id="rId57" w:history="1">
        <w:r w:rsidR="00D513CA" w:rsidRPr="00D513CA">
          <w:rPr>
            <w:color w:val="0000FF"/>
            <w:u w:val="single"/>
            <w:rtl/>
          </w:rPr>
          <w:t>עפ"ג (מרכז) 22300-11-15</w:t>
        </w:r>
      </w:hyperlink>
      <w:r>
        <w:rPr>
          <w:rtl/>
        </w:rPr>
        <w:t xml:space="preserve"> </w:t>
      </w:r>
      <w:r w:rsidRPr="00D25C89">
        <w:rPr>
          <w:b/>
          <w:bCs/>
          <w:rtl/>
        </w:rPr>
        <w:t>יונגר נ' מדינת ישראל</w:t>
      </w:r>
      <w:r>
        <w:rPr>
          <w:rtl/>
        </w:rPr>
        <w:t xml:space="preserve">).    </w:t>
      </w:r>
    </w:p>
    <w:p w14:paraId="0EE44D94" w14:textId="77777777" w:rsidR="007823DF" w:rsidRPr="00D6517E" w:rsidRDefault="007823DF" w:rsidP="007823DF">
      <w:pPr>
        <w:pStyle w:val="P00"/>
        <w:tabs>
          <w:tab w:val="clear" w:pos="2835"/>
          <w:tab w:val="left" w:pos="1360"/>
        </w:tabs>
        <w:spacing w:line="360" w:lineRule="auto"/>
        <w:ind w:left="651"/>
        <w:rPr>
          <w:rFonts w:ascii="David" w:hAnsi="David" w:cs="David"/>
          <w:b/>
          <w:bCs/>
          <w:sz w:val="6"/>
          <w:szCs w:val="6"/>
          <w:rtl/>
        </w:rPr>
      </w:pPr>
    </w:p>
    <w:p w14:paraId="6780EA20" w14:textId="77777777" w:rsidR="007823DF" w:rsidRDefault="007823DF" w:rsidP="007823DF">
      <w:pPr>
        <w:pStyle w:val="P00"/>
        <w:tabs>
          <w:tab w:val="clear" w:pos="2835"/>
          <w:tab w:val="left" w:pos="1360"/>
        </w:tabs>
        <w:spacing w:line="360" w:lineRule="auto"/>
        <w:ind w:left="651"/>
        <w:rPr>
          <w:rFonts w:ascii="David" w:hAnsi="David" w:cs="David"/>
          <w:sz w:val="24"/>
          <w:szCs w:val="24"/>
          <w:rtl/>
        </w:rPr>
      </w:pPr>
      <w:r>
        <w:rPr>
          <w:rFonts w:ascii="David" w:hAnsi="David" w:cs="David"/>
          <w:b/>
          <w:bCs/>
          <w:sz w:val="24"/>
          <w:szCs w:val="24"/>
          <w:rtl/>
        </w:rPr>
        <w:t xml:space="preserve">ב. </w:t>
      </w:r>
      <w:r>
        <w:rPr>
          <w:rFonts w:ascii="David" w:hAnsi="David" w:cs="David"/>
          <w:sz w:val="24"/>
          <w:szCs w:val="24"/>
          <w:rtl/>
        </w:rPr>
        <w:t>ב</w:t>
      </w:r>
      <w:hyperlink r:id="rId58" w:history="1">
        <w:r w:rsidR="00D513CA" w:rsidRPr="00D513CA">
          <w:rPr>
            <w:rFonts w:ascii="David" w:hAnsi="David" w:cs="David"/>
            <w:color w:val="0000FF"/>
            <w:sz w:val="24"/>
            <w:szCs w:val="24"/>
            <w:u w:val="single"/>
            <w:rtl/>
          </w:rPr>
          <w:t>ת"פ (ב"ש) 21139-04-17</w:t>
        </w:r>
      </w:hyperlink>
      <w:r>
        <w:rPr>
          <w:rFonts w:ascii="David" w:hAnsi="David" w:cs="David"/>
          <w:sz w:val="24"/>
          <w:szCs w:val="24"/>
          <w:rtl/>
        </w:rPr>
        <w:t xml:space="preserve"> </w:t>
      </w:r>
      <w:r>
        <w:rPr>
          <w:rFonts w:ascii="David" w:hAnsi="David" w:cs="David"/>
          <w:b/>
          <w:bCs/>
          <w:sz w:val="24"/>
          <w:szCs w:val="24"/>
          <w:rtl/>
        </w:rPr>
        <w:t>מדינת ישראל נ' יעקב</w:t>
      </w:r>
      <w:r>
        <w:rPr>
          <w:rFonts w:ascii="David" w:hAnsi="David" w:cs="David"/>
          <w:sz w:val="24"/>
          <w:szCs w:val="24"/>
          <w:rtl/>
        </w:rPr>
        <w:t xml:space="preserve"> (3/12/18), מפי כב' הש' ביתן, הורשע נאשם על יסוד הודייתו במסגרת הסדר טיעון בהחזקת נשק, ו</w:t>
      </w:r>
      <w:r>
        <w:rPr>
          <w:rFonts w:ascii="David" w:hAnsi="David" w:cs="David" w:hint="cs"/>
          <w:sz w:val="24"/>
          <w:szCs w:val="24"/>
          <w:rtl/>
        </w:rPr>
        <w:t xml:space="preserve">בארבע </w:t>
      </w:r>
      <w:r>
        <w:rPr>
          <w:rFonts w:ascii="David" w:hAnsi="David" w:cs="David"/>
          <w:sz w:val="24"/>
          <w:szCs w:val="24"/>
          <w:rtl/>
        </w:rPr>
        <w:t xml:space="preserve">עבירות איומים ובעבירה של הפרעה לשוטר בעת מילוי תפקידו, שיוחסו לו בשלושה תיקים פליליים שצירף לתיק העיקרי. באותו עניין, על רקע סכסוך פעיל עם אחר  החזיק הנאשם, צעיר ללא הרשעות קודמות,  במטען צינור מאולתר בעל פתיל השהייה –שבכוחו להמית- ומסרו לידי סוכן משטרתי. בית המשפט המחוזי קבע כי מתחם העונש ההולם </w:t>
      </w:r>
      <w:r>
        <w:rPr>
          <w:rFonts w:ascii="David" w:hAnsi="David" w:cs="David"/>
          <w:b/>
          <w:bCs/>
          <w:sz w:val="24"/>
          <w:szCs w:val="24"/>
          <w:rtl/>
        </w:rPr>
        <w:t>נע בין 18 ל- 36 חודשי מאסר וגזר על הנאשם 32 חודשי מאסר בפועל</w:t>
      </w:r>
      <w:r>
        <w:rPr>
          <w:rFonts w:ascii="David" w:hAnsi="David" w:cs="David"/>
          <w:sz w:val="24"/>
          <w:szCs w:val="24"/>
          <w:rtl/>
        </w:rPr>
        <w:t xml:space="preserve"> לצד עונשים נילווים. בית המשפט העליון דחה את ערעורו של הנאשם על גזר הדין ב</w:t>
      </w:r>
      <w:hyperlink r:id="rId59" w:history="1">
        <w:r w:rsidR="00D513CA" w:rsidRPr="00D513CA">
          <w:rPr>
            <w:rFonts w:ascii="David" w:hAnsi="David" w:cs="David"/>
            <w:color w:val="0000FF"/>
            <w:sz w:val="24"/>
            <w:szCs w:val="24"/>
            <w:u w:val="single"/>
            <w:rtl/>
          </w:rPr>
          <w:t>ע"פ 113/19</w:t>
        </w:r>
      </w:hyperlink>
      <w:r>
        <w:rPr>
          <w:rFonts w:ascii="David" w:hAnsi="David" w:cs="David"/>
          <w:sz w:val="24"/>
          <w:szCs w:val="24"/>
          <w:rtl/>
        </w:rPr>
        <w:t xml:space="preserve"> </w:t>
      </w:r>
      <w:r>
        <w:rPr>
          <w:rFonts w:ascii="David" w:hAnsi="David" w:cs="David"/>
          <w:b/>
          <w:bCs/>
          <w:sz w:val="24"/>
          <w:szCs w:val="24"/>
          <w:rtl/>
        </w:rPr>
        <w:t>יעקב נ' מדינת ישראל</w:t>
      </w:r>
      <w:r>
        <w:rPr>
          <w:rFonts w:ascii="David" w:hAnsi="David" w:cs="David"/>
          <w:sz w:val="24"/>
          <w:szCs w:val="24"/>
          <w:rtl/>
        </w:rPr>
        <w:t xml:space="preserve"> (21/7/19), מפי כב' הש' הנדל. </w:t>
      </w:r>
    </w:p>
    <w:p w14:paraId="57A2B2C7" w14:textId="77777777" w:rsidR="007823DF" w:rsidRPr="002C40C2" w:rsidRDefault="007823DF" w:rsidP="007823DF">
      <w:pPr>
        <w:pStyle w:val="P00"/>
        <w:tabs>
          <w:tab w:val="clear" w:pos="2835"/>
          <w:tab w:val="left" w:pos="1360"/>
        </w:tabs>
        <w:spacing w:line="360" w:lineRule="auto"/>
        <w:ind w:left="651"/>
        <w:rPr>
          <w:rFonts w:ascii="David" w:hAnsi="David" w:cs="David"/>
          <w:sz w:val="18"/>
          <w:szCs w:val="18"/>
          <w:rtl/>
        </w:rPr>
      </w:pPr>
      <w:r w:rsidRPr="002C40C2">
        <w:rPr>
          <w:rFonts w:ascii="David" w:hAnsi="David" w:cs="David"/>
          <w:sz w:val="18"/>
          <w:szCs w:val="18"/>
          <w:highlight w:val="green"/>
          <w:rtl/>
        </w:rPr>
        <w:t xml:space="preserve"> </w:t>
      </w:r>
    </w:p>
    <w:p w14:paraId="17B15E60" w14:textId="77777777" w:rsidR="007823DF" w:rsidRDefault="007823DF" w:rsidP="007823DF">
      <w:pPr>
        <w:spacing w:line="360" w:lineRule="auto"/>
        <w:ind w:left="651" w:hanging="651"/>
        <w:jc w:val="both"/>
      </w:pPr>
      <w:r>
        <w:rPr>
          <w:b/>
          <w:bCs/>
          <w:rtl/>
        </w:rPr>
        <w:t>1</w:t>
      </w:r>
      <w:r>
        <w:rPr>
          <w:rFonts w:hint="cs"/>
          <w:b/>
          <w:bCs/>
          <w:rtl/>
        </w:rPr>
        <w:t>6</w:t>
      </w:r>
      <w:r>
        <w:rPr>
          <w:rtl/>
        </w:rPr>
        <w:t>.</w:t>
      </w:r>
      <w:r>
        <w:rPr>
          <w:rtl/>
        </w:rPr>
        <w:tab/>
      </w:r>
      <w:r>
        <w:rPr>
          <w:b/>
          <w:bCs/>
          <w:rtl/>
        </w:rPr>
        <w:t>ב" כ הנאשם,</w:t>
      </w:r>
      <w:r>
        <w:rPr>
          <w:rtl/>
        </w:rPr>
        <w:t xml:space="preserve"> אשר התנגד נחרצות למתחם הנטען על ידי המאשימה</w:t>
      </w:r>
      <w:r>
        <w:rPr>
          <w:rFonts w:hint="cs"/>
          <w:rtl/>
        </w:rPr>
        <w:t>,</w:t>
      </w:r>
      <w:r>
        <w:rPr>
          <w:rtl/>
        </w:rPr>
        <w:t xml:space="preserve"> וביקש כזכור לאמץ את המלצת שירות המבחן,  עמד על כך כי לא בנקל ניתן למצוא פסיקה בנושא של החזקת מטען חבלה מאולתר דוגמת המקרה הנדון, והפנה לפסקי דין כדלהלן: </w:t>
      </w:r>
    </w:p>
    <w:p w14:paraId="0A7E59CD" w14:textId="77777777" w:rsidR="007823DF" w:rsidRDefault="007823DF" w:rsidP="007823DF">
      <w:pPr>
        <w:spacing w:line="360" w:lineRule="auto"/>
        <w:jc w:val="both"/>
        <w:rPr>
          <w:sz w:val="14"/>
          <w:szCs w:val="14"/>
          <w:rtl/>
        </w:rPr>
      </w:pPr>
    </w:p>
    <w:p w14:paraId="2C47C78B" w14:textId="77777777" w:rsidR="007823DF" w:rsidRDefault="007823DF" w:rsidP="007823DF">
      <w:pPr>
        <w:spacing w:line="360" w:lineRule="auto"/>
        <w:ind w:left="651"/>
        <w:jc w:val="both"/>
        <w:rPr>
          <w:rFonts w:ascii="David" w:hAnsi="David"/>
          <w:rtl/>
        </w:rPr>
      </w:pPr>
      <w:r>
        <w:rPr>
          <w:b/>
          <w:bCs/>
          <w:rtl/>
        </w:rPr>
        <w:t xml:space="preserve">א. </w:t>
      </w:r>
      <w:r>
        <w:rPr>
          <w:rtl/>
        </w:rPr>
        <w:t>ב</w:t>
      </w:r>
      <w:hyperlink r:id="rId60" w:history="1">
        <w:r w:rsidR="00D513CA" w:rsidRPr="00D513CA">
          <w:rPr>
            <w:color w:val="0000FF"/>
            <w:u w:val="single"/>
            <w:rtl/>
          </w:rPr>
          <w:t>ת"פ (חי') 49995-09-17</w:t>
        </w:r>
      </w:hyperlink>
      <w:r>
        <w:rPr>
          <w:rtl/>
        </w:rPr>
        <w:t xml:space="preserve"> </w:t>
      </w:r>
      <w:r>
        <w:rPr>
          <w:b/>
          <w:bCs/>
          <w:rtl/>
        </w:rPr>
        <w:t>מדינת ישראל נ' עלי</w:t>
      </w:r>
      <w:r>
        <w:rPr>
          <w:rtl/>
        </w:rPr>
        <w:t xml:space="preserve"> (4/11/18), מפי כב' הש' בש, הורשע נאשם על יסוד הודייתו במסגרת הסדר טיעון בעבירות של ייצור נשק, החזקת נשק והחזקת סכין שלא כדין. הנאשם</w:t>
      </w:r>
      <w:r>
        <w:rPr>
          <w:rFonts w:hint="cs"/>
          <w:rtl/>
        </w:rPr>
        <w:t xml:space="preserve">, </w:t>
      </w:r>
      <w:r>
        <w:rPr>
          <w:rtl/>
        </w:rPr>
        <w:t>בן 28</w:t>
      </w:r>
      <w:r>
        <w:rPr>
          <w:rFonts w:hint="cs"/>
          <w:rtl/>
        </w:rPr>
        <w:t xml:space="preserve">, </w:t>
      </w:r>
      <w:r>
        <w:rPr>
          <w:rtl/>
        </w:rPr>
        <w:t xml:space="preserve">נעדר הרשעות קודמות, </w:t>
      </w:r>
      <w:r>
        <w:rPr>
          <w:rFonts w:hint="cs"/>
          <w:rtl/>
        </w:rPr>
        <w:t xml:space="preserve">ייצר </w:t>
      </w:r>
      <w:r>
        <w:rPr>
          <w:rFonts w:ascii="David" w:hAnsi="David"/>
          <w:rtl/>
        </w:rPr>
        <w:t>מטען חבלה מאולתר, אותו הסתיר בתא המטען של רכבו, ונסע</w:t>
      </w:r>
    </w:p>
    <w:p w14:paraId="58BEF091" w14:textId="77777777" w:rsidR="007823DF" w:rsidRPr="002C40C2" w:rsidRDefault="007823DF" w:rsidP="007823DF">
      <w:pPr>
        <w:spacing w:line="360" w:lineRule="auto"/>
        <w:ind w:left="651"/>
        <w:jc w:val="both"/>
        <w:rPr>
          <w:rFonts w:ascii="David" w:hAnsi="David"/>
          <w:sz w:val="20"/>
          <w:szCs w:val="20"/>
          <w:rtl/>
        </w:rPr>
      </w:pPr>
      <w:r>
        <w:rPr>
          <w:rFonts w:ascii="David" w:hAnsi="David"/>
          <w:rtl/>
        </w:rPr>
        <w:t xml:space="preserve"> </w:t>
      </w:r>
    </w:p>
    <w:p w14:paraId="301FD90C" w14:textId="77777777" w:rsidR="007823DF" w:rsidRDefault="007823DF" w:rsidP="007823DF">
      <w:pPr>
        <w:spacing w:line="360" w:lineRule="auto"/>
        <w:ind w:left="651"/>
        <w:jc w:val="both"/>
        <w:rPr>
          <w:rFonts w:ascii="David" w:hAnsi="David"/>
          <w:rtl/>
        </w:rPr>
      </w:pPr>
      <w:r>
        <w:rPr>
          <w:rFonts w:ascii="David" w:hAnsi="David"/>
          <w:rtl/>
        </w:rPr>
        <w:t xml:space="preserve">עם המטען ברכב, כשבדלת הנהג החזיק שתי סכינים, מיכל גז פלפל, שמונה כדורי רובה ושוקר חשמלי. בהתחשב בכך שלא נמצא חומר נפץ בשרידי המטען ובכך שהנזק העשוי להיגרם מהמטען כפוף לקרבה למוקד ההפעלה, קבע בית המשפט המחוזי כי פוטנציאל הנזק הגלום במטען נמוך ביחס לכלי נשק אחרים. כן נקבע כי </w:t>
      </w:r>
      <w:r>
        <w:rPr>
          <w:rFonts w:ascii="David" w:hAnsi="David"/>
          <w:b/>
          <w:bCs/>
          <w:rtl/>
        </w:rPr>
        <w:t>מתחם הענישה הכולל נע בין 6 חודשי מאסר בפועל, לריצוי בעבודות שירות, לבין 18 חודשי מאסר בפועל</w:t>
      </w:r>
      <w:r>
        <w:rPr>
          <w:rFonts w:ascii="David" w:hAnsi="David"/>
          <w:rtl/>
        </w:rPr>
        <w:t xml:space="preserve">, ונגזרו על הנאשם </w:t>
      </w:r>
      <w:r>
        <w:rPr>
          <w:rFonts w:ascii="David" w:hAnsi="David"/>
          <w:b/>
          <w:bCs/>
          <w:rtl/>
        </w:rPr>
        <w:t xml:space="preserve"> 6 חודשי מאסר לריצוי בעבודות שירות</w:t>
      </w:r>
      <w:r>
        <w:rPr>
          <w:rFonts w:ascii="David" w:hAnsi="David" w:hint="cs"/>
          <w:b/>
          <w:bCs/>
          <w:rtl/>
        </w:rPr>
        <w:t xml:space="preserve"> </w:t>
      </w:r>
      <w:r w:rsidRPr="00F529E4">
        <w:rPr>
          <w:rFonts w:ascii="David" w:hAnsi="David" w:hint="cs"/>
          <w:rtl/>
        </w:rPr>
        <w:t>ועונשי נילווים</w:t>
      </w:r>
      <w:r w:rsidRPr="00F529E4">
        <w:rPr>
          <w:rFonts w:ascii="David" w:hAnsi="David"/>
          <w:rtl/>
        </w:rPr>
        <w:t>.</w:t>
      </w:r>
      <w:r>
        <w:rPr>
          <w:rFonts w:ascii="David" w:hAnsi="David"/>
          <w:rtl/>
        </w:rPr>
        <w:t xml:space="preserve">  </w:t>
      </w:r>
    </w:p>
    <w:p w14:paraId="50D66A30" w14:textId="77777777" w:rsidR="007823DF" w:rsidRPr="00612F1E" w:rsidRDefault="007823DF" w:rsidP="007823DF">
      <w:pPr>
        <w:spacing w:line="360" w:lineRule="auto"/>
        <w:ind w:left="651"/>
        <w:jc w:val="both"/>
        <w:rPr>
          <w:sz w:val="18"/>
          <w:szCs w:val="18"/>
        </w:rPr>
      </w:pPr>
    </w:p>
    <w:p w14:paraId="4CB4A28E" w14:textId="77777777" w:rsidR="007823DF" w:rsidRDefault="007823DF" w:rsidP="007823DF">
      <w:pPr>
        <w:spacing w:line="360" w:lineRule="auto"/>
        <w:ind w:left="651"/>
        <w:jc w:val="both"/>
        <w:rPr>
          <w:rFonts w:ascii="Calibri" w:hAnsi="Calibri"/>
          <w:rtl/>
        </w:rPr>
      </w:pPr>
      <w:r>
        <w:rPr>
          <w:b/>
          <w:bCs/>
          <w:rtl/>
        </w:rPr>
        <w:t xml:space="preserve">ב. </w:t>
      </w:r>
      <w:r>
        <w:rPr>
          <w:rtl/>
        </w:rPr>
        <w:t>ב</w:t>
      </w:r>
      <w:hyperlink r:id="rId61" w:history="1">
        <w:r w:rsidR="00D513CA" w:rsidRPr="00D513CA">
          <w:rPr>
            <w:color w:val="0000FF"/>
            <w:u w:val="single"/>
            <w:rtl/>
          </w:rPr>
          <w:t>ת"פ (חי') 34487-02-17</w:t>
        </w:r>
      </w:hyperlink>
      <w:r>
        <w:rPr>
          <w:rtl/>
        </w:rPr>
        <w:t xml:space="preserve"> </w:t>
      </w:r>
      <w:r>
        <w:rPr>
          <w:b/>
          <w:bCs/>
          <w:rtl/>
        </w:rPr>
        <w:t>מדינת ישראל נ' חטיב</w:t>
      </w:r>
      <w:r>
        <w:rPr>
          <w:rtl/>
        </w:rPr>
        <w:t xml:space="preserve"> (27/3/17), מפי כב' הש' פורת, הורשע נאשם על יסוד הודייתו בעבירות של נשיאה והחזקת נשק שלא כדין, לאחר שנתפס ברכב, כשמתחת לרגלו נמצא אקדח </w:t>
      </w:r>
      <w:r>
        <w:rPr>
          <w:rFonts w:ascii="Calibri" w:hAnsi="Calibri"/>
          <w:rtl/>
        </w:rPr>
        <w:t xml:space="preserve">מסוג </w:t>
      </w:r>
      <w:r>
        <w:rPr>
          <w:rFonts w:ascii="Calibri" w:hAnsi="Calibri" w:cs="Calibri"/>
        </w:rPr>
        <w:t>FN</w:t>
      </w:r>
      <w:r>
        <w:rPr>
          <w:rFonts w:ascii="Calibri" w:hAnsi="Calibri"/>
          <w:rtl/>
        </w:rPr>
        <w:t xml:space="preserve">. </w:t>
      </w:r>
      <w:r w:rsidRPr="00F529E4">
        <w:rPr>
          <w:rFonts w:ascii="Calibri" w:hAnsi="Calibri"/>
          <w:rtl/>
        </w:rPr>
        <w:t>נקבע מתחם עונש הולם הנע</w:t>
      </w:r>
      <w:r>
        <w:rPr>
          <w:rFonts w:ascii="Calibri" w:hAnsi="Calibri"/>
          <w:b/>
          <w:bCs/>
          <w:rtl/>
        </w:rPr>
        <w:t xml:space="preserve"> בין 6 חודשים </w:t>
      </w:r>
      <w:r>
        <w:rPr>
          <w:rFonts w:ascii="Calibri" w:hAnsi="Calibri" w:hint="cs"/>
          <w:b/>
          <w:bCs/>
          <w:rtl/>
        </w:rPr>
        <w:t>לריצוי</w:t>
      </w:r>
      <w:r>
        <w:rPr>
          <w:rFonts w:ascii="Calibri" w:hAnsi="Calibri"/>
          <w:b/>
          <w:bCs/>
          <w:rtl/>
        </w:rPr>
        <w:t xml:space="preserve"> בעבודות שירות</w:t>
      </w:r>
      <w:r>
        <w:rPr>
          <w:rFonts w:ascii="Calibri" w:hAnsi="Calibri" w:hint="cs"/>
          <w:b/>
          <w:bCs/>
          <w:rtl/>
        </w:rPr>
        <w:t xml:space="preserve"> לבין </w:t>
      </w:r>
      <w:r>
        <w:rPr>
          <w:rFonts w:ascii="Calibri" w:hAnsi="Calibri"/>
          <w:b/>
          <w:bCs/>
          <w:rtl/>
        </w:rPr>
        <w:t xml:space="preserve">18 חודשי מאסר בפועל, </w:t>
      </w:r>
      <w:r>
        <w:rPr>
          <w:rFonts w:ascii="Calibri" w:hAnsi="Calibri" w:hint="cs"/>
          <w:rtl/>
        </w:rPr>
        <w:t>ו</w:t>
      </w:r>
      <w:r>
        <w:rPr>
          <w:rFonts w:ascii="Calibri" w:hAnsi="Calibri"/>
          <w:rtl/>
        </w:rPr>
        <w:t>בהתחשב בעברו הנקי ובהמלצת שירות המבחן בעניינו</w:t>
      </w:r>
      <w:r>
        <w:rPr>
          <w:rFonts w:ascii="Calibri" w:hAnsi="Calibri" w:hint="cs"/>
          <w:rtl/>
        </w:rPr>
        <w:t xml:space="preserve">, </w:t>
      </w:r>
      <w:r w:rsidRPr="00F529E4">
        <w:rPr>
          <w:rFonts w:ascii="Calibri" w:hAnsi="Calibri"/>
          <w:rtl/>
        </w:rPr>
        <w:t>הושתו על הנאשם</w:t>
      </w:r>
      <w:r>
        <w:rPr>
          <w:rFonts w:ascii="Calibri" w:hAnsi="Calibri"/>
          <w:b/>
          <w:bCs/>
          <w:rtl/>
        </w:rPr>
        <w:t xml:space="preserve"> 6 חודשי מאסר לריצוי בעבודות שירות</w:t>
      </w:r>
      <w:r>
        <w:rPr>
          <w:rFonts w:ascii="Calibri" w:hAnsi="Calibri" w:hint="cs"/>
          <w:b/>
          <w:bCs/>
          <w:rtl/>
        </w:rPr>
        <w:t xml:space="preserve">, </w:t>
      </w:r>
      <w:r w:rsidRPr="00F529E4">
        <w:rPr>
          <w:rFonts w:ascii="Calibri" w:hAnsi="Calibri" w:hint="cs"/>
          <w:rtl/>
        </w:rPr>
        <w:t>צו מבחן ועונשים נלווים</w:t>
      </w:r>
      <w:r>
        <w:rPr>
          <w:rFonts w:ascii="Calibri" w:hAnsi="Calibri" w:hint="cs"/>
          <w:rtl/>
        </w:rPr>
        <w:t>.</w:t>
      </w:r>
    </w:p>
    <w:p w14:paraId="48CD09BC" w14:textId="77777777" w:rsidR="007823DF" w:rsidRDefault="007823DF" w:rsidP="007823DF">
      <w:pPr>
        <w:ind w:firstLine="651"/>
        <w:jc w:val="both"/>
        <w:rPr>
          <w:rFonts w:ascii="Calibri" w:hAnsi="Calibri" w:cs="Calibri"/>
          <w:rtl/>
        </w:rPr>
      </w:pPr>
      <w:r>
        <w:rPr>
          <w:rFonts w:ascii="Calibri" w:hAnsi="Calibri"/>
          <w:rtl/>
        </w:rPr>
        <w:t xml:space="preserve"> </w:t>
      </w:r>
    </w:p>
    <w:p w14:paraId="7CFB5D91" w14:textId="77777777" w:rsidR="007823DF" w:rsidRDefault="007823DF" w:rsidP="007823DF">
      <w:pPr>
        <w:spacing w:line="360" w:lineRule="auto"/>
        <w:ind w:left="651"/>
        <w:jc w:val="both"/>
        <w:rPr>
          <w:rFonts w:ascii="Calibri" w:hAnsi="Calibri"/>
        </w:rPr>
      </w:pPr>
      <w:r>
        <w:rPr>
          <w:b/>
          <w:bCs/>
          <w:rtl/>
        </w:rPr>
        <w:t xml:space="preserve">ג. </w:t>
      </w:r>
      <w:r>
        <w:rPr>
          <w:rtl/>
        </w:rPr>
        <w:t>ב</w:t>
      </w:r>
      <w:hyperlink r:id="rId62" w:history="1">
        <w:r w:rsidR="00D513CA" w:rsidRPr="00D513CA">
          <w:rPr>
            <w:color w:val="0000FF"/>
            <w:u w:val="single"/>
            <w:rtl/>
          </w:rPr>
          <w:t>ת"פ (חי') 8338-12-13</w:t>
        </w:r>
      </w:hyperlink>
      <w:r>
        <w:rPr>
          <w:rtl/>
        </w:rPr>
        <w:t xml:space="preserve"> </w:t>
      </w:r>
      <w:r>
        <w:rPr>
          <w:b/>
          <w:bCs/>
          <w:rtl/>
        </w:rPr>
        <w:t>מדינת ישראל נ' זידאן</w:t>
      </w:r>
      <w:r>
        <w:rPr>
          <w:rtl/>
        </w:rPr>
        <w:t xml:space="preserve"> (18/9/14), מפי כב' הש' טובי, הורשע נאשם </w:t>
      </w:r>
      <w:r>
        <w:rPr>
          <w:rFonts w:hint="cs"/>
          <w:rtl/>
        </w:rPr>
        <w:t>ע</w:t>
      </w:r>
      <w:r>
        <w:rPr>
          <w:rtl/>
        </w:rPr>
        <w:t>ל יסוד הודייתו בעבירות בנשק, לאחר שהחזיק</w:t>
      </w:r>
      <w:r>
        <w:rPr>
          <w:rFonts w:hint="cs"/>
          <w:rtl/>
        </w:rPr>
        <w:t>,</w:t>
      </w:r>
      <w:r>
        <w:rPr>
          <w:rtl/>
        </w:rPr>
        <w:t xml:space="preserve"> נשא והוביל</w:t>
      </w:r>
      <w:r>
        <w:rPr>
          <w:rFonts w:hint="cs"/>
          <w:rtl/>
        </w:rPr>
        <w:t xml:space="preserve"> -</w:t>
      </w:r>
      <w:r>
        <w:rPr>
          <w:rtl/>
        </w:rPr>
        <w:t xml:space="preserve"> עת שנסע ברכב השייך לאחר</w:t>
      </w:r>
      <w:r>
        <w:rPr>
          <w:rFonts w:hint="cs"/>
          <w:rtl/>
        </w:rPr>
        <w:t xml:space="preserve"> -</w:t>
      </w:r>
      <w:r>
        <w:rPr>
          <w:rtl/>
        </w:rPr>
        <w:t xml:space="preserve"> רימון הלם, אשר בכוחו לגרום לפציעה בעת פעילותו, בכפוף לקרבה למוקד הפעולה. מדובר בצעיר בן 19, ללא עבר פלילי, אשר שירות המבחן המליץ להשית עליו עונש מאסר קצר לריצוי בעבודות שירות לצד עונשים נלווים. בית המשפט המחוזי קבע כי </w:t>
      </w:r>
      <w:r w:rsidRPr="00F529E4">
        <w:rPr>
          <w:rtl/>
        </w:rPr>
        <w:t>מתחם העונש ההולם נע</w:t>
      </w:r>
      <w:r>
        <w:rPr>
          <w:b/>
          <w:bCs/>
          <w:rtl/>
        </w:rPr>
        <w:t xml:space="preserve"> בין 6 חודשי מאסר לריצוי בעבודות שירות לבין 3 שנות מאסר בפועל,  </w:t>
      </w:r>
      <w:r w:rsidRPr="00F529E4">
        <w:rPr>
          <w:rtl/>
        </w:rPr>
        <w:t>והשית על הנאשם</w:t>
      </w:r>
      <w:r>
        <w:rPr>
          <w:b/>
          <w:bCs/>
          <w:rtl/>
        </w:rPr>
        <w:t xml:space="preserve"> 6 חודשי מאסר לריצוי בעבודות שירות</w:t>
      </w:r>
      <w:r>
        <w:rPr>
          <w:rFonts w:hint="cs"/>
          <w:b/>
          <w:bCs/>
          <w:rtl/>
        </w:rPr>
        <w:t xml:space="preserve"> </w:t>
      </w:r>
      <w:r w:rsidRPr="00F529E4">
        <w:rPr>
          <w:rFonts w:hint="cs"/>
          <w:rtl/>
        </w:rPr>
        <w:t>ועונשים נלווים.</w:t>
      </w:r>
    </w:p>
    <w:p w14:paraId="52416F92" w14:textId="77777777" w:rsidR="007823DF" w:rsidRDefault="007823DF" w:rsidP="007823DF">
      <w:pPr>
        <w:ind w:firstLine="651"/>
        <w:jc w:val="both"/>
        <w:rPr>
          <w:b/>
          <w:bCs/>
          <w:rtl/>
        </w:rPr>
      </w:pPr>
    </w:p>
    <w:p w14:paraId="33622375" w14:textId="77777777" w:rsidR="007823DF" w:rsidRDefault="007823DF" w:rsidP="007823DF">
      <w:pPr>
        <w:spacing w:line="360" w:lineRule="auto"/>
        <w:ind w:left="651"/>
        <w:jc w:val="both"/>
        <w:rPr>
          <w:rFonts w:ascii="Calibri" w:hAnsi="Calibri"/>
          <w:rtl/>
        </w:rPr>
      </w:pPr>
      <w:r>
        <w:rPr>
          <w:b/>
          <w:bCs/>
          <w:rtl/>
        </w:rPr>
        <w:t xml:space="preserve">ד. </w:t>
      </w:r>
      <w:r>
        <w:rPr>
          <w:rFonts w:hint="cs"/>
          <w:rtl/>
        </w:rPr>
        <w:t>ב</w:t>
      </w:r>
      <w:hyperlink r:id="rId63" w:history="1">
        <w:r w:rsidR="00D513CA" w:rsidRPr="00D513CA">
          <w:rPr>
            <w:color w:val="0000FF"/>
            <w:u w:val="single"/>
            <w:rtl/>
          </w:rPr>
          <w:t>ת"פ (נצ') 34813-07-10</w:t>
        </w:r>
      </w:hyperlink>
      <w:r>
        <w:rPr>
          <w:rtl/>
        </w:rPr>
        <w:t xml:space="preserve"> </w:t>
      </w:r>
      <w:r>
        <w:rPr>
          <w:b/>
          <w:bCs/>
          <w:rtl/>
        </w:rPr>
        <w:t>מדינת ישראל נ' חילף</w:t>
      </w:r>
      <w:r>
        <w:rPr>
          <w:rtl/>
        </w:rPr>
        <w:t xml:space="preserve"> (27/10/10), מפי כב' הש' כתילי (כתוארו אז), הורשע נאשם על פי הודייתו </w:t>
      </w:r>
      <w:r>
        <w:rPr>
          <w:rFonts w:hint="cs"/>
          <w:rtl/>
        </w:rPr>
        <w:t xml:space="preserve">במסגרת הסדר טיעון </w:t>
      </w:r>
      <w:r>
        <w:rPr>
          <w:rtl/>
        </w:rPr>
        <w:t xml:space="preserve">בעבירות של נשיאה והובלת נשק ותחמושת בצוותא וקבלת נכסים שהושגו בפשע. </w:t>
      </w:r>
      <w:r>
        <w:rPr>
          <w:rFonts w:hint="cs"/>
          <w:rtl/>
        </w:rPr>
        <w:t>דובר</w:t>
      </w:r>
      <w:r>
        <w:rPr>
          <w:rtl/>
        </w:rPr>
        <w:t xml:space="preserve"> ב- 5 רימוני הלם, רימון גז, ררנ"ג (תחמושת כדורי גומי), 8 מחסניות לרובה </w:t>
      </w:r>
      <w:r>
        <w:t>M16</w:t>
      </w:r>
      <w:r>
        <w:rPr>
          <w:rtl/>
        </w:rPr>
        <w:t xml:space="preserve">, 30 כדורים חסרי קליע וערכה לניקוי נשק, אשר נגנבו על ידי אחיו של הנאשם בהיותו משרת כגשש ביחידת צהל. </w:t>
      </w:r>
      <w:r>
        <w:rPr>
          <w:rFonts w:hint="cs"/>
          <w:rtl/>
        </w:rPr>
        <w:t>הלה נ</w:t>
      </w:r>
      <w:r>
        <w:rPr>
          <w:rtl/>
        </w:rPr>
        <w:t>שא והוביל את הפריטים הנ</w:t>
      </w:r>
      <w:r>
        <w:rPr>
          <w:rFonts w:hint="cs"/>
          <w:rtl/>
        </w:rPr>
        <w:t>"</w:t>
      </w:r>
      <w:r>
        <w:rPr>
          <w:rtl/>
        </w:rPr>
        <w:t>ל לנאשם וביקש ממנו להסתירם, והשניים נשאו אותם מביתם אל יער המצוי במרחק מה מכפר מגוריהם, חפרו בור והטמינו בו את כל הפריטים. הסדר הטיעון כלל הסכמה כי המאשימה תעתור להטיל על הנאשם 6 חודשי מאסר לר</w:t>
      </w:r>
      <w:r>
        <w:rPr>
          <w:rFonts w:hint="cs"/>
          <w:rtl/>
        </w:rPr>
        <w:t>י</w:t>
      </w:r>
      <w:r>
        <w:rPr>
          <w:rtl/>
        </w:rPr>
        <w:t xml:space="preserve">צוי בעבודות שירות, ואילו הנאשם יטען באופו חופשי. בהתחשב בגילו הצעיר של הנאשם, עברו הנקי, היות חלקו משני ביחס לחלקו של אחיו, והודייתו והחרטה שהביע על מעשיו, </w:t>
      </w:r>
      <w:r w:rsidRPr="00E428D5">
        <w:rPr>
          <w:rtl/>
        </w:rPr>
        <w:t>נגזרו על הנאשם</w:t>
      </w:r>
      <w:r>
        <w:rPr>
          <w:b/>
          <w:bCs/>
          <w:rtl/>
        </w:rPr>
        <w:t xml:space="preserve"> 4 חודשי מאסר לריצוי בעבודות שירות,</w:t>
      </w:r>
      <w:r>
        <w:rPr>
          <w:rtl/>
        </w:rPr>
        <w:t xml:space="preserve"> לצד</w:t>
      </w:r>
      <w:r>
        <w:rPr>
          <w:rFonts w:hint="cs"/>
          <w:rtl/>
        </w:rPr>
        <w:t xml:space="preserve"> עונשים נלווים</w:t>
      </w:r>
      <w:r>
        <w:rPr>
          <w:rtl/>
        </w:rPr>
        <w:t xml:space="preserve">. </w:t>
      </w:r>
    </w:p>
    <w:p w14:paraId="56F71D2A" w14:textId="77777777" w:rsidR="007823DF" w:rsidRPr="00612F1E" w:rsidRDefault="007823DF" w:rsidP="007823DF">
      <w:pPr>
        <w:spacing w:line="360" w:lineRule="auto"/>
        <w:ind w:left="651"/>
        <w:jc w:val="both"/>
        <w:rPr>
          <w:rFonts w:ascii="Calibri" w:hAnsi="Calibri"/>
          <w:sz w:val="18"/>
          <w:szCs w:val="18"/>
          <w:rtl/>
        </w:rPr>
      </w:pPr>
    </w:p>
    <w:p w14:paraId="6126B00B" w14:textId="77777777" w:rsidR="007823DF" w:rsidRDefault="007823DF" w:rsidP="007823DF">
      <w:pPr>
        <w:spacing w:line="360" w:lineRule="auto"/>
        <w:ind w:left="720"/>
        <w:jc w:val="both"/>
        <w:rPr>
          <w:rtl/>
        </w:rPr>
      </w:pPr>
      <w:r>
        <w:rPr>
          <w:b/>
          <w:bCs/>
          <w:rtl/>
        </w:rPr>
        <w:t>ה.</w:t>
      </w:r>
      <w:r>
        <w:rPr>
          <w:rtl/>
        </w:rPr>
        <w:t xml:space="preserve"> ב</w:t>
      </w:r>
      <w:hyperlink r:id="rId64" w:history="1">
        <w:r w:rsidR="00D513CA" w:rsidRPr="00D513CA">
          <w:rPr>
            <w:color w:val="0000FF"/>
            <w:u w:val="single"/>
            <w:rtl/>
          </w:rPr>
          <w:t>ת"פ (מרכז) 8689-01-09</w:t>
        </w:r>
      </w:hyperlink>
      <w:r>
        <w:rPr>
          <w:rtl/>
        </w:rPr>
        <w:t xml:space="preserve"> </w:t>
      </w:r>
      <w:r>
        <w:rPr>
          <w:b/>
          <w:bCs/>
          <w:rtl/>
        </w:rPr>
        <w:t xml:space="preserve">מדינת ישראל נ' סרחאן </w:t>
      </w:r>
      <w:r>
        <w:rPr>
          <w:rtl/>
        </w:rPr>
        <w:t xml:space="preserve">(2/11/09), מפי כב' הש' כספי, הורשע נאשם </w:t>
      </w:r>
      <w:r>
        <w:rPr>
          <w:rFonts w:hint="cs"/>
          <w:rtl/>
        </w:rPr>
        <w:t xml:space="preserve">על פי הודייתו </w:t>
      </w:r>
      <w:r>
        <w:rPr>
          <w:rtl/>
        </w:rPr>
        <w:t xml:space="preserve">בעובדות כתב אישום שתוקן במסגרת הסדר טיעון </w:t>
      </w:r>
      <w:r>
        <w:rPr>
          <w:rFonts w:hint="cs"/>
          <w:rtl/>
        </w:rPr>
        <w:t xml:space="preserve">(במהלך פרשת התביעה) </w:t>
      </w:r>
      <w:r>
        <w:rPr>
          <w:rtl/>
        </w:rPr>
        <w:t xml:space="preserve">בעבירה של החזקת נשק שלא כדין, לאחר שהגיע בשעת לילה מאוחרת לעבר כביש 24 בטייבה כשהוא מחזיק במטען חבלה מאולתר. בשלב מסוים התפוצץ המטען </w:t>
      </w:r>
      <w:r>
        <w:rPr>
          <w:rFonts w:hint="cs"/>
          <w:rtl/>
        </w:rPr>
        <w:t>ליד ה</w:t>
      </w:r>
      <w:r>
        <w:rPr>
          <w:rtl/>
        </w:rPr>
        <w:t>נאשם</w:t>
      </w:r>
      <w:r>
        <w:rPr>
          <w:rFonts w:hint="cs"/>
          <w:rtl/>
        </w:rPr>
        <w:t>,</w:t>
      </w:r>
      <w:r>
        <w:rPr>
          <w:rtl/>
        </w:rPr>
        <w:t xml:space="preserve"> וכתוצאה מכך הוא נפצע בראשו, ו</w:t>
      </w:r>
      <w:r>
        <w:rPr>
          <w:rFonts w:hint="cs"/>
          <w:rtl/>
        </w:rPr>
        <w:t xml:space="preserve">כן </w:t>
      </w:r>
      <w:r>
        <w:rPr>
          <w:rtl/>
        </w:rPr>
        <w:t>פרצה שרפה שגרמה לבערה של עץ דקל שהיה בסמוך מקום. בית המשפט גזר על הנאשם 6 חודשי מאסר לריצוי בעבודות שירות</w:t>
      </w:r>
      <w:r>
        <w:rPr>
          <w:rFonts w:hint="cs"/>
          <w:rtl/>
        </w:rPr>
        <w:t xml:space="preserve"> ועונשים נלווים, </w:t>
      </w:r>
      <w:r>
        <w:rPr>
          <w:rtl/>
        </w:rPr>
        <w:t>בהתחשב בנסיבותיו החריגות של המקרה</w:t>
      </w:r>
      <w:r>
        <w:rPr>
          <w:rFonts w:hint="cs"/>
          <w:rtl/>
        </w:rPr>
        <w:t xml:space="preserve">, פציעת הנאשם, </w:t>
      </w:r>
      <w:r>
        <w:rPr>
          <w:rtl/>
        </w:rPr>
        <w:t>הודייתו ועברו הנקי.</w:t>
      </w:r>
    </w:p>
    <w:p w14:paraId="243C8365" w14:textId="77777777" w:rsidR="007823DF" w:rsidRPr="00D860B8" w:rsidRDefault="007823DF" w:rsidP="007823DF">
      <w:pPr>
        <w:spacing w:line="360" w:lineRule="auto"/>
        <w:ind w:left="720"/>
        <w:jc w:val="both"/>
        <w:rPr>
          <w:sz w:val="18"/>
          <w:szCs w:val="18"/>
          <w:rtl/>
        </w:rPr>
      </w:pPr>
      <w:r>
        <w:rPr>
          <w:rtl/>
        </w:rPr>
        <w:t xml:space="preserve"> </w:t>
      </w:r>
    </w:p>
    <w:p w14:paraId="408974A9" w14:textId="77777777" w:rsidR="007823DF" w:rsidRDefault="007823DF" w:rsidP="007823DF">
      <w:pPr>
        <w:spacing w:line="360" w:lineRule="auto"/>
        <w:ind w:left="720"/>
        <w:jc w:val="both"/>
        <w:rPr>
          <w:rtl/>
        </w:rPr>
      </w:pPr>
      <w:r>
        <w:rPr>
          <w:b/>
          <w:bCs/>
          <w:rtl/>
        </w:rPr>
        <w:t>ו.</w:t>
      </w:r>
      <w:r>
        <w:rPr>
          <w:rtl/>
        </w:rPr>
        <w:t xml:space="preserve"> ב</w:t>
      </w:r>
      <w:hyperlink r:id="rId65" w:history="1">
        <w:r w:rsidR="00D513CA" w:rsidRPr="00D513CA">
          <w:rPr>
            <w:color w:val="0000FF"/>
            <w:u w:val="single"/>
            <w:rtl/>
          </w:rPr>
          <w:t>ע"פ 5713/10</w:t>
        </w:r>
      </w:hyperlink>
      <w:r>
        <w:rPr>
          <w:rtl/>
        </w:rPr>
        <w:t xml:space="preserve"> </w:t>
      </w:r>
      <w:r>
        <w:rPr>
          <w:b/>
          <w:bCs/>
          <w:rtl/>
        </w:rPr>
        <w:t>מדינת ישראל נ' אקרמן</w:t>
      </w:r>
      <w:r>
        <w:rPr>
          <w:rtl/>
        </w:rPr>
        <w:t xml:space="preserve"> (1/3/11), מפי כב' הש' דנציגר</w:t>
      </w:r>
      <w:r>
        <w:rPr>
          <w:rFonts w:hint="cs"/>
          <w:rtl/>
        </w:rPr>
        <w:t>,</w:t>
      </w:r>
      <w:r>
        <w:rPr>
          <w:rtl/>
        </w:rPr>
        <w:t xml:space="preserve"> התקבל ערעורו של נאשם, אשר הורשע על יסוד הודייתו בעבירות של החזקת נשק, בכך שהחזיק בביתו </w:t>
      </w:r>
      <w:r>
        <w:rPr>
          <w:b/>
          <w:bCs/>
          <w:rtl/>
        </w:rPr>
        <w:t xml:space="preserve">לבנת חבלה ואצבע חבלה </w:t>
      </w:r>
      <w:r>
        <w:rPr>
          <w:rtl/>
        </w:rPr>
        <w:t xml:space="preserve">ומסר אותן לאחר שהיה בדירה. </w:t>
      </w:r>
      <w:r w:rsidRPr="00A15906">
        <w:rPr>
          <w:rtl/>
        </w:rPr>
        <w:t>בית המשפט המחוזי גזר על הנאשם תשעה חודשי מאסר בפועל ומאסר מותנה.</w:t>
      </w:r>
      <w:r>
        <w:rPr>
          <w:b/>
          <w:bCs/>
          <w:rtl/>
        </w:rPr>
        <w:t xml:space="preserve"> בית המשפט העליון הפחית את עונשו לשישה חודשי מאסר לריצוי בעבודות שירות,</w:t>
      </w:r>
      <w:r>
        <w:rPr>
          <w:rtl/>
        </w:rPr>
        <w:t xml:space="preserve"> </w:t>
      </w:r>
      <w:r>
        <w:rPr>
          <w:rFonts w:ascii="David" w:hAnsi="David"/>
          <w:color w:val="000000"/>
          <w:shd w:val="clear" w:color="auto" w:fill="FFFFFF"/>
          <w:rtl/>
        </w:rPr>
        <w:t>בהתחשב בעברו החיובי והנורמטיבי ותרומתו למדינה, בשירות הצבאי ופעילות התנדבות, בנטילת האחריות המלאה והבעת החרטה ובהמלצת שירות המבחן, וכן בנסיבות ביצוע העבירה תחת השפעה של אדם אחר</w:t>
      </w:r>
      <w:r>
        <w:rPr>
          <w:rFonts w:ascii="David" w:hAnsi="David"/>
          <w:color w:val="000000"/>
          <w:shd w:val="clear" w:color="auto" w:fill="FFFFFF"/>
        </w:rPr>
        <w:t>.</w:t>
      </w:r>
    </w:p>
    <w:p w14:paraId="744D4F5C" w14:textId="77777777" w:rsidR="007823DF" w:rsidRDefault="007823DF" w:rsidP="007823DF">
      <w:pPr>
        <w:spacing w:line="360" w:lineRule="auto"/>
        <w:jc w:val="both"/>
        <w:rPr>
          <w:sz w:val="2"/>
          <w:szCs w:val="2"/>
          <w:rtl/>
        </w:rPr>
      </w:pPr>
    </w:p>
    <w:p w14:paraId="54EA5FB3" w14:textId="77777777" w:rsidR="007823DF" w:rsidRPr="00D6517E" w:rsidRDefault="007823DF" w:rsidP="007823DF">
      <w:pPr>
        <w:spacing w:line="360" w:lineRule="auto"/>
        <w:jc w:val="both"/>
        <w:rPr>
          <w:sz w:val="14"/>
          <w:szCs w:val="14"/>
          <w:rtl/>
        </w:rPr>
      </w:pPr>
    </w:p>
    <w:p w14:paraId="3E6649CB" w14:textId="77777777" w:rsidR="007823DF" w:rsidRDefault="007823DF" w:rsidP="007823DF">
      <w:pPr>
        <w:spacing w:line="360" w:lineRule="auto"/>
        <w:ind w:left="720" w:hanging="720"/>
        <w:jc w:val="both"/>
        <w:rPr>
          <w:rtl/>
        </w:rPr>
      </w:pPr>
      <w:r>
        <w:rPr>
          <w:b/>
          <w:bCs/>
          <w:rtl/>
        </w:rPr>
        <w:t>1</w:t>
      </w:r>
      <w:r>
        <w:rPr>
          <w:rFonts w:hint="cs"/>
          <w:b/>
          <w:bCs/>
          <w:rtl/>
        </w:rPr>
        <w:t>7</w:t>
      </w:r>
      <w:r>
        <w:rPr>
          <w:b/>
          <w:bCs/>
          <w:rtl/>
        </w:rPr>
        <w:t>.</w:t>
      </w:r>
      <w:r>
        <w:rPr>
          <w:rtl/>
        </w:rPr>
        <w:t xml:space="preserve"> </w:t>
      </w:r>
      <w:r>
        <w:rPr>
          <w:rtl/>
        </w:rPr>
        <w:tab/>
        <w:t>על מנת לשרטט כדבעי את מתחם העונש ההולם, עיינתי בפסיקה נוספת העוסקת בעבירות דומות; כך לדוגמא:</w:t>
      </w:r>
    </w:p>
    <w:p w14:paraId="7529BC92" w14:textId="77777777" w:rsidR="007823DF" w:rsidRPr="00A15906" w:rsidRDefault="007823DF" w:rsidP="007823DF">
      <w:pPr>
        <w:spacing w:line="360" w:lineRule="auto"/>
        <w:jc w:val="both"/>
        <w:rPr>
          <w:sz w:val="16"/>
          <w:szCs w:val="16"/>
          <w:rtl/>
        </w:rPr>
      </w:pPr>
    </w:p>
    <w:p w14:paraId="5D342659" w14:textId="77777777" w:rsidR="007823DF" w:rsidRDefault="007823DF" w:rsidP="007823DF">
      <w:pPr>
        <w:spacing w:line="360" w:lineRule="auto"/>
        <w:ind w:left="720"/>
        <w:jc w:val="both"/>
        <w:rPr>
          <w:rFonts w:ascii="David" w:hAnsi="David"/>
          <w:sz w:val="22"/>
          <w:szCs w:val="22"/>
          <w:rtl/>
        </w:rPr>
      </w:pPr>
      <w:r>
        <w:rPr>
          <w:rFonts w:ascii="David" w:hAnsi="David"/>
          <w:rtl/>
        </w:rPr>
        <w:t>ב</w:t>
      </w:r>
      <w:hyperlink r:id="rId66" w:history="1">
        <w:r w:rsidR="00D513CA" w:rsidRPr="00D513CA">
          <w:rPr>
            <w:rFonts w:ascii="David" w:hAnsi="David"/>
            <w:color w:val="0000FF"/>
            <w:u w:val="single"/>
            <w:rtl/>
          </w:rPr>
          <w:t>רע"פ 5431/21</w:t>
        </w:r>
      </w:hyperlink>
      <w:r>
        <w:rPr>
          <w:rFonts w:ascii="David" w:hAnsi="David"/>
          <w:rtl/>
        </w:rPr>
        <w:t xml:space="preserve"> </w:t>
      </w:r>
      <w:r>
        <w:rPr>
          <w:rFonts w:ascii="David" w:hAnsi="David"/>
          <w:b/>
          <w:bCs/>
          <w:rtl/>
        </w:rPr>
        <w:t>בדרנה נ' מדינת ישראל</w:t>
      </w:r>
      <w:r>
        <w:rPr>
          <w:rFonts w:ascii="David" w:hAnsi="David"/>
          <w:rtl/>
        </w:rPr>
        <w:t xml:space="preserve"> (11/8/21), </w:t>
      </w:r>
      <w:r>
        <w:rPr>
          <w:rFonts w:ascii="David" w:hAnsi="David" w:hint="cs"/>
          <w:rtl/>
        </w:rPr>
        <w:t xml:space="preserve">דחה כב' הש' אלרון בקשת רשות ערעור </w:t>
      </w:r>
      <w:r>
        <w:rPr>
          <w:rFonts w:ascii="David" w:hAnsi="David"/>
          <w:rtl/>
        </w:rPr>
        <w:t>של נאשם שהורשע על פי הודאתו בעבירה של רכישה והחזקה של נשק שלא כדין - מטען חבלה מאולתר במשקל 74.1 גרם חומר נפץ הכולל פתילים להשהיה, זמין לשימוש מידי ומסוגל להזיק לאדם</w:t>
      </w:r>
      <w:r>
        <w:rPr>
          <w:rFonts w:ascii="David" w:hAnsi="David" w:hint="cs"/>
          <w:rtl/>
        </w:rPr>
        <w:t>, ונדון ל-10 חודשי מאסר בפועל ועונשים נלווים</w:t>
      </w:r>
      <w:r>
        <w:rPr>
          <w:rFonts w:ascii="David" w:hAnsi="David"/>
          <w:rtl/>
        </w:rPr>
        <w:t xml:space="preserve">. </w:t>
      </w:r>
    </w:p>
    <w:p w14:paraId="34B0012B" w14:textId="77777777" w:rsidR="007823DF" w:rsidRDefault="007823DF" w:rsidP="007823DF">
      <w:pPr>
        <w:spacing w:line="360" w:lineRule="auto"/>
        <w:jc w:val="both"/>
        <w:rPr>
          <w:rFonts w:ascii="David" w:hAnsi="David"/>
          <w:sz w:val="18"/>
          <w:szCs w:val="18"/>
        </w:rPr>
      </w:pPr>
    </w:p>
    <w:p w14:paraId="5F29AA7B" w14:textId="77777777" w:rsidR="007823DF" w:rsidRDefault="007823DF" w:rsidP="007823DF">
      <w:pPr>
        <w:spacing w:line="360" w:lineRule="auto"/>
        <w:ind w:left="720"/>
        <w:jc w:val="both"/>
        <w:rPr>
          <w:rFonts w:ascii="David" w:hAnsi="David"/>
        </w:rPr>
      </w:pPr>
      <w:r>
        <w:rPr>
          <w:rFonts w:ascii="David" w:hAnsi="David"/>
          <w:rtl/>
        </w:rPr>
        <w:t>ב</w:t>
      </w:r>
      <w:hyperlink r:id="rId67" w:history="1">
        <w:r w:rsidR="00D513CA" w:rsidRPr="00D513CA">
          <w:rPr>
            <w:rFonts w:ascii="David" w:hAnsi="David"/>
            <w:color w:val="0000FF"/>
            <w:u w:val="single"/>
            <w:rtl/>
          </w:rPr>
          <w:t>ע"פ 8017/20</w:t>
        </w:r>
      </w:hyperlink>
      <w:r>
        <w:rPr>
          <w:rFonts w:ascii="David" w:hAnsi="David"/>
          <w:rtl/>
        </w:rPr>
        <w:t xml:space="preserve"> </w:t>
      </w:r>
      <w:r>
        <w:rPr>
          <w:rFonts w:ascii="David" w:hAnsi="David"/>
          <w:b/>
          <w:bCs/>
          <w:rtl/>
        </w:rPr>
        <w:t>מדינת ישראל נ' פאדי גריפאת</w:t>
      </w:r>
      <w:r>
        <w:rPr>
          <w:rFonts w:ascii="David" w:hAnsi="David"/>
          <w:rtl/>
        </w:rPr>
        <w:t xml:space="preserve"> (22/12/20) נתקבל ערעור המדינה בעניינו של נאשם, אשר הורשע על פי הודייתו במסגרת הסדר טיעון, בהחזקה, הובלה ונשיאה של נשק, שעה שהוביל  ברכב ונשא ביחד עם אחר קופסא ובתוכה מטען חבלה, ונידון ל- 7 חודשי מאסר </w:t>
      </w:r>
      <w:r>
        <w:rPr>
          <w:rFonts w:ascii="David" w:hAnsi="David" w:hint="cs"/>
          <w:rtl/>
        </w:rPr>
        <w:t>ועונשים נלווים</w:t>
      </w:r>
      <w:r>
        <w:rPr>
          <w:rFonts w:ascii="David" w:hAnsi="David"/>
          <w:rtl/>
        </w:rPr>
        <w:t>. בית המשפט העליון (כב' הש' פוגלמן), גזר על הנאשם - בעל עבר פלילי בעבירות חמורות, אשר ביצע את העבירה בעודו מרצה מאסר בעבודות שירות בתיק אחר - 14 חודשי מאסר בפועל, והורה כי מתוך תקופה זו ירוצו 12 חודשי מאסר בפועל במצטבר לעונש המאסר שהוטל עליו בגין הפקעת עבודות השירות בהליך האחר.</w:t>
      </w:r>
    </w:p>
    <w:p w14:paraId="5C7E250C" w14:textId="77777777" w:rsidR="007823DF" w:rsidRDefault="007823DF" w:rsidP="007823DF">
      <w:pPr>
        <w:jc w:val="both"/>
        <w:rPr>
          <w:sz w:val="8"/>
          <w:szCs w:val="8"/>
        </w:rPr>
      </w:pPr>
    </w:p>
    <w:p w14:paraId="6E601A91" w14:textId="77777777" w:rsidR="007823DF" w:rsidRDefault="007823DF" w:rsidP="007823DF">
      <w:pPr>
        <w:jc w:val="both"/>
        <w:rPr>
          <w:sz w:val="2"/>
          <w:szCs w:val="2"/>
          <w:rtl/>
        </w:rPr>
      </w:pPr>
    </w:p>
    <w:p w14:paraId="77E82B60" w14:textId="77777777" w:rsidR="007823DF" w:rsidRDefault="007823DF" w:rsidP="007823DF">
      <w:pPr>
        <w:jc w:val="both"/>
        <w:rPr>
          <w:rtl/>
        </w:rPr>
      </w:pPr>
    </w:p>
    <w:p w14:paraId="20D50813" w14:textId="77777777" w:rsidR="007823DF" w:rsidRDefault="007823DF" w:rsidP="007823DF">
      <w:pPr>
        <w:spacing w:line="360" w:lineRule="auto"/>
        <w:ind w:left="720" w:hanging="720"/>
        <w:jc w:val="both"/>
        <w:rPr>
          <w:rtl/>
        </w:rPr>
      </w:pPr>
      <w:r>
        <w:rPr>
          <w:b/>
          <w:bCs/>
          <w:rtl/>
        </w:rPr>
        <w:t>1</w:t>
      </w:r>
      <w:r>
        <w:rPr>
          <w:rFonts w:hint="cs"/>
          <w:b/>
          <w:bCs/>
          <w:rtl/>
        </w:rPr>
        <w:t>8</w:t>
      </w:r>
      <w:r>
        <w:rPr>
          <w:b/>
          <w:bCs/>
          <w:rtl/>
        </w:rPr>
        <w:t>.</w:t>
      </w:r>
      <w:r>
        <w:rPr>
          <w:rtl/>
        </w:rPr>
        <w:tab/>
        <w:t>הנה כי כן מנעד הענישה בעבירות של החזקת נשק הוא רחב ותלוי במכל מקרה לפי נסיבותיו, ונקבע בין השאר על פי סוג הנשק, איכות וכמות הנשק, פוטנציאל הסיכון הנשקף מהחזקתו ומהשימוש בו, ועוד. לעניין האופן לקביעתו של מתחם העונש ההולם וההבחנה בין מתחם הענישה לבין הענישה הנוהגת, המהווה רק אחד הפרמטרים לקביעתו, ראו דבריה של כב' הש' ארבל ב</w:t>
      </w:r>
      <w:hyperlink r:id="rId68" w:history="1">
        <w:r w:rsidR="00D513CA" w:rsidRPr="00D513CA">
          <w:rPr>
            <w:color w:val="0000FF"/>
            <w:u w:val="single"/>
            <w:rtl/>
          </w:rPr>
          <w:t>ע"פ 1323/13</w:t>
        </w:r>
      </w:hyperlink>
      <w:r>
        <w:rPr>
          <w:rtl/>
        </w:rPr>
        <w:t xml:space="preserve"> </w:t>
      </w:r>
      <w:r>
        <w:rPr>
          <w:b/>
          <w:bCs/>
          <w:rtl/>
        </w:rPr>
        <w:t xml:space="preserve">חסן הנ"ל. </w:t>
      </w:r>
    </w:p>
    <w:p w14:paraId="27A380AB" w14:textId="77777777" w:rsidR="007823DF" w:rsidRPr="00CE5151" w:rsidRDefault="007823DF" w:rsidP="007823DF">
      <w:pPr>
        <w:spacing w:line="360" w:lineRule="auto"/>
        <w:ind w:left="707"/>
        <w:jc w:val="both"/>
        <w:rPr>
          <w:sz w:val="18"/>
          <w:szCs w:val="18"/>
          <w:rtl/>
        </w:rPr>
      </w:pPr>
    </w:p>
    <w:p w14:paraId="468BE9B3" w14:textId="77777777" w:rsidR="007823DF" w:rsidRDefault="007823DF" w:rsidP="007823DF">
      <w:pPr>
        <w:spacing w:line="360" w:lineRule="auto"/>
        <w:ind w:left="720" w:hanging="13"/>
        <w:jc w:val="both"/>
        <w:rPr>
          <w:rtl/>
        </w:rPr>
      </w:pPr>
      <w:r>
        <w:rPr>
          <w:rtl/>
        </w:rPr>
        <w:t xml:space="preserve">בנסיבות העניין שלפני, לאחר שבחנתי את טענות הצדדים, ובהתחשב בחומרת העבירה שביצע הנאשם, בנסיבות ביצועה כמפורט לעיל, בשים לב לכך שהחזיק במטען חבלה מאולתר הנעדר אמצעי יזימה, שפוטנציאל פגיעתו </w:t>
      </w:r>
      <w:r>
        <w:rPr>
          <w:rFonts w:hint="cs"/>
          <w:rtl/>
        </w:rPr>
        <w:t xml:space="preserve">אינו מן הגבוהים, </w:t>
      </w:r>
      <w:r>
        <w:rPr>
          <w:rtl/>
        </w:rPr>
        <w:t xml:space="preserve">וכן בהתחשב בערכים החברתיים שנפגעו ובמידת הפגיעה בהם, כמפורט לעיל, ובמדיניות הענישה הנוהגת, אני רואה לקבוע כי מתחם העונש ההולם את המקרה הנדון </w:t>
      </w:r>
      <w:r w:rsidRPr="006A268A">
        <w:rPr>
          <w:rtl/>
        </w:rPr>
        <w:t xml:space="preserve">נע בין </w:t>
      </w:r>
      <w:r w:rsidRPr="006A268A">
        <w:rPr>
          <w:rFonts w:hint="cs"/>
          <w:b/>
          <w:bCs/>
          <w:rtl/>
        </w:rPr>
        <w:t>12</w:t>
      </w:r>
      <w:r w:rsidRPr="006A268A">
        <w:rPr>
          <w:b/>
          <w:bCs/>
          <w:rtl/>
        </w:rPr>
        <w:t xml:space="preserve"> ל- </w:t>
      </w:r>
      <w:r w:rsidRPr="006A268A">
        <w:rPr>
          <w:rFonts w:hint="cs"/>
          <w:b/>
          <w:bCs/>
          <w:rtl/>
        </w:rPr>
        <w:t>30</w:t>
      </w:r>
      <w:r>
        <w:rPr>
          <w:rtl/>
        </w:rPr>
        <w:t xml:space="preserve"> חודשי מאסר בפועל, לצד עונשים נ</w:t>
      </w:r>
      <w:r w:rsidRPr="006A268A">
        <w:rPr>
          <w:rtl/>
        </w:rPr>
        <w:t>לווים.</w:t>
      </w:r>
      <w:r>
        <w:rPr>
          <w:rtl/>
        </w:rPr>
        <w:t xml:space="preserve"> </w:t>
      </w:r>
    </w:p>
    <w:p w14:paraId="0091601B" w14:textId="77777777" w:rsidR="007823DF" w:rsidRDefault="007823DF" w:rsidP="007823DF">
      <w:pPr>
        <w:spacing w:line="360" w:lineRule="auto"/>
        <w:jc w:val="both"/>
        <w:rPr>
          <w:sz w:val="14"/>
          <w:szCs w:val="14"/>
          <w:rtl/>
        </w:rPr>
      </w:pPr>
    </w:p>
    <w:p w14:paraId="6420AABF" w14:textId="77777777" w:rsidR="007823DF" w:rsidRPr="00202D5C" w:rsidRDefault="007823DF" w:rsidP="007823DF">
      <w:pPr>
        <w:jc w:val="both"/>
        <w:rPr>
          <w:sz w:val="20"/>
          <w:szCs w:val="20"/>
          <w:rtl/>
        </w:rPr>
      </w:pPr>
    </w:p>
    <w:p w14:paraId="54435168" w14:textId="77777777" w:rsidR="007823DF" w:rsidRDefault="007823DF" w:rsidP="007823DF">
      <w:pPr>
        <w:spacing w:line="360" w:lineRule="auto"/>
        <w:jc w:val="both"/>
        <w:rPr>
          <w:b/>
          <w:bCs/>
          <w:rtl/>
        </w:rPr>
      </w:pPr>
      <w:r>
        <w:rPr>
          <w:rFonts w:hint="cs"/>
          <w:b/>
          <w:bCs/>
          <w:rtl/>
        </w:rPr>
        <w:t>19</w:t>
      </w:r>
      <w:r>
        <w:rPr>
          <w:b/>
          <w:bCs/>
          <w:rtl/>
        </w:rPr>
        <w:t>.</w:t>
      </w:r>
      <w:r>
        <w:rPr>
          <w:b/>
          <w:bCs/>
          <w:rtl/>
        </w:rPr>
        <w:tab/>
      </w:r>
      <w:r>
        <w:rPr>
          <w:b/>
          <w:bCs/>
          <w:u w:val="single"/>
          <w:rtl/>
        </w:rPr>
        <w:t>נסיבות שאינן קשורות בביצוע העבירה</w:t>
      </w:r>
    </w:p>
    <w:p w14:paraId="3596D6ED" w14:textId="77777777" w:rsidR="007823DF" w:rsidRDefault="007823DF" w:rsidP="007823DF">
      <w:pPr>
        <w:spacing w:line="360" w:lineRule="auto"/>
        <w:ind w:left="720"/>
        <w:jc w:val="both"/>
        <w:rPr>
          <w:rtl/>
        </w:rPr>
      </w:pPr>
      <w:r>
        <w:rPr>
          <w:rtl/>
        </w:rPr>
        <w:t xml:space="preserve">יחד עם זאת, הענישה היא לעולם אינדיבידואלית, ומשכך, יובאו בחשבון שיקולים הנוגעים לנסיבותיו האישיות של הנאשם. </w:t>
      </w:r>
    </w:p>
    <w:p w14:paraId="76C01B42" w14:textId="77777777" w:rsidR="007823DF" w:rsidRPr="006A268A" w:rsidRDefault="007823DF" w:rsidP="007823DF">
      <w:pPr>
        <w:spacing w:line="360" w:lineRule="auto"/>
        <w:ind w:left="720"/>
        <w:jc w:val="both"/>
        <w:rPr>
          <w:sz w:val="16"/>
          <w:szCs w:val="16"/>
          <w:rtl/>
        </w:rPr>
      </w:pPr>
    </w:p>
    <w:p w14:paraId="42E2B906" w14:textId="77777777" w:rsidR="007823DF" w:rsidRDefault="007823DF" w:rsidP="007823DF">
      <w:pPr>
        <w:spacing w:line="360" w:lineRule="auto"/>
        <w:ind w:left="720"/>
        <w:jc w:val="both"/>
        <w:rPr>
          <w:rtl/>
        </w:rPr>
      </w:pPr>
      <w:r>
        <w:rPr>
          <w:b/>
          <w:bCs/>
          <w:rtl/>
        </w:rPr>
        <w:t>א.</w:t>
      </w:r>
      <w:r>
        <w:rPr>
          <w:rtl/>
        </w:rPr>
        <w:t xml:space="preserve"> לקולה אני רואה להתחשב בהודייתו של הנאשם בעובדות כתב האישום המתוקן, לאחר שנשמעו חלק מעדי התביעה, אשר אין חולק כי נגעו ללב המחלוקת שניטשה בין הצדדים, ולאחר שההגנה ויתרה על חקירה של עדים רבים אחרים. ניכר כי בסופו של יום שמיעה של אותם עדים הביאה להסכמת הצדדים להסדר הטיעון והביאה לתיקונו של כתב האישום, כעולה גם מטיעוני הסניגור. </w:t>
      </w:r>
    </w:p>
    <w:p w14:paraId="0EE0F360" w14:textId="77777777" w:rsidR="007823DF" w:rsidRPr="00CE5151" w:rsidRDefault="007823DF" w:rsidP="007823DF">
      <w:pPr>
        <w:spacing w:line="360" w:lineRule="auto"/>
        <w:ind w:left="720"/>
        <w:jc w:val="both"/>
        <w:rPr>
          <w:sz w:val="20"/>
          <w:szCs w:val="20"/>
          <w:rtl/>
        </w:rPr>
      </w:pPr>
      <w:r>
        <w:rPr>
          <w:rtl/>
        </w:rPr>
        <w:t xml:space="preserve"> </w:t>
      </w:r>
    </w:p>
    <w:p w14:paraId="66E55555" w14:textId="77777777" w:rsidR="007823DF" w:rsidRDefault="007823DF" w:rsidP="007823DF">
      <w:pPr>
        <w:spacing w:line="360" w:lineRule="auto"/>
        <w:ind w:left="720"/>
        <w:jc w:val="both"/>
        <w:rPr>
          <w:rtl/>
        </w:rPr>
      </w:pPr>
      <w:r>
        <w:rPr>
          <w:rtl/>
        </w:rPr>
        <w:t xml:space="preserve">כן ייזקפו לזכותו של הנאשם  האחריות שנטל למעשיו, והצער והחרטה שהביע בגינם, אם כי </w:t>
      </w:r>
      <w:r>
        <w:rPr>
          <w:rFonts w:hint="cs"/>
          <w:rtl/>
        </w:rPr>
        <w:t xml:space="preserve">שלל כוונה לעשות שימוש במטען, כמפורט </w:t>
      </w:r>
      <w:r>
        <w:rPr>
          <w:rtl/>
        </w:rPr>
        <w:t xml:space="preserve">לעיל. בסופו של יום הורשע הנאשם על יסוד הודייתו ועמד עליה בטיעונים לעונש. </w:t>
      </w:r>
    </w:p>
    <w:p w14:paraId="07078535" w14:textId="77777777" w:rsidR="007823DF" w:rsidRPr="00CE5151" w:rsidRDefault="007823DF" w:rsidP="007823DF">
      <w:pPr>
        <w:spacing w:line="360" w:lineRule="auto"/>
        <w:ind w:left="720"/>
        <w:jc w:val="both"/>
        <w:rPr>
          <w:sz w:val="20"/>
          <w:szCs w:val="20"/>
          <w:rtl/>
        </w:rPr>
      </w:pPr>
    </w:p>
    <w:p w14:paraId="468E083D" w14:textId="77777777" w:rsidR="007823DF" w:rsidRDefault="007823DF" w:rsidP="007823DF">
      <w:pPr>
        <w:spacing w:line="360" w:lineRule="auto"/>
        <w:ind w:left="720"/>
        <w:jc w:val="both"/>
        <w:rPr>
          <w:b/>
          <w:bCs/>
          <w:rtl/>
        </w:rPr>
      </w:pPr>
      <w:r>
        <w:rPr>
          <w:rFonts w:hint="cs"/>
          <w:b/>
          <w:bCs/>
          <w:rtl/>
        </w:rPr>
        <w:t>ה</w:t>
      </w:r>
      <w:r>
        <w:rPr>
          <w:b/>
          <w:bCs/>
          <w:rtl/>
        </w:rPr>
        <w:t>.</w:t>
      </w:r>
      <w:r>
        <w:rPr>
          <w:rtl/>
        </w:rPr>
        <w:t xml:space="preserve"> עוד </w:t>
      </w:r>
      <w:r>
        <w:rPr>
          <w:rFonts w:hint="cs"/>
          <w:rtl/>
        </w:rPr>
        <w:t xml:space="preserve">ניתן </w:t>
      </w:r>
      <w:r>
        <w:rPr>
          <w:rtl/>
        </w:rPr>
        <w:t xml:space="preserve">משקל לגילו הצעיר של הנאשם, עברו הנקי </w:t>
      </w:r>
      <w:r>
        <w:rPr>
          <w:rFonts w:hint="cs"/>
          <w:rtl/>
        </w:rPr>
        <w:t>ו</w:t>
      </w:r>
      <w:r>
        <w:rPr>
          <w:rtl/>
        </w:rPr>
        <w:t xml:space="preserve">נסיבות חייו הקשות, כעולה מתסקיר שירות המבחן בעניינו ומפי סנגורו. </w:t>
      </w:r>
      <w:r>
        <w:rPr>
          <w:rFonts w:hint="cs"/>
          <w:rtl/>
        </w:rPr>
        <w:t xml:space="preserve">בתמצית ייאמר כי </w:t>
      </w:r>
      <w:r>
        <w:rPr>
          <w:rtl/>
        </w:rPr>
        <w:t xml:space="preserve">מדובר בנאשם </w:t>
      </w:r>
      <w:r>
        <w:rPr>
          <w:rFonts w:hint="cs"/>
          <w:rtl/>
        </w:rPr>
        <w:t>שהיה בן 19 בעת ביצוע העבירה,</w:t>
      </w:r>
      <w:r>
        <w:rPr>
          <w:rtl/>
        </w:rPr>
        <w:t xml:space="preserve"> </w:t>
      </w:r>
      <w:r>
        <w:rPr>
          <w:rFonts w:hint="cs"/>
          <w:rtl/>
        </w:rPr>
        <w:t>בוגר תיכון, ש</w:t>
      </w:r>
      <w:r>
        <w:rPr>
          <w:rtl/>
        </w:rPr>
        <w:t xml:space="preserve">ניהל </w:t>
      </w:r>
      <w:r>
        <w:rPr>
          <w:rFonts w:hint="cs"/>
          <w:rtl/>
        </w:rPr>
        <w:t xml:space="preserve">לכאורה </w:t>
      </w:r>
      <w:r>
        <w:rPr>
          <w:rtl/>
        </w:rPr>
        <w:t>אורח חיים נורמטיבי</w:t>
      </w:r>
      <w:r>
        <w:rPr>
          <w:rFonts w:hint="cs"/>
          <w:rtl/>
        </w:rPr>
        <w:t xml:space="preserve"> עובר למעצרו</w:t>
      </w:r>
      <w:r>
        <w:rPr>
          <w:rtl/>
        </w:rPr>
        <w:t xml:space="preserve">, עבד </w:t>
      </w:r>
      <w:r>
        <w:rPr>
          <w:rFonts w:hint="cs"/>
          <w:rtl/>
        </w:rPr>
        <w:t xml:space="preserve">גם תוך כדי לימודיו </w:t>
      </w:r>
      <w:r>
        <w:rPr>
          <w:rtl/>
        </w:rPr>
        <w:t>בשתי עבודות, בתחום הריצוף במהלך היום, וכמוכר במכולת בשעות הלילה</w:t>
      </w:r>
      <w:r>
        <w:rPr>
          <w:rFonts w:hint="cs"/>
          <w:rtl/>
        </w:rPr>
        <w:t xml:space="preserve"> כדי </w:t>
      </w:r>
      <w:r>
        <w:rPr>
          <w:rtl/>
        </w:rPr>
        <w:t>לממן לימודים כטכנאי טלפונים</w:t>
      </w:r>
      <w:r>
        <w:rPr>
          <w:rFonts w:hint="cs"/>
          <w:rtl/>
        </w:rPr>
        <w:t xml:space="preserve">, וכדי לסייע </w:t>
      </w:r>
      <w:r>
        <w:rPr>
          <w:rtl/>
        </w:rPr>
        <w:t>לאמו</w:t>
      </w:r>
      <w:r>
        <w:rPr>
          <w:rFonts w:hint="cs"/>
          <w:rtl/>
        </w:rPr>
        <w:t xml:space="preserve"> החד הורית, ש</w:t>
      </w:r>
      <w:r>
        <w:rPr>
          <w:rtl/>
        </w:rPr>
        <w:t xml:space="preserve">התקשתה </w:t>
      </w:r>
      <w:r>
        <w:rPr>
          <w:rFonts w:hint="cs"/>
          <w:rtl/>
        </w:rPr>
        <w:t xml:space="preserve">לשאת </w:t>
      </w:r>
      <w:r>
        <w:rPr>
          <w:rtl/>
        </w:rPr>
        <w:t>בנטל הפרנסה של המשפחה</w:t>
      </w:r>
      <w:r>
        <w:rPr>
          <w:rFonts w:hint="cs"/>
          <w:rtl/>
        </w:rPr>
        <w:t xml:space="preserve">, לאחר שהתגרשה מאביו שהיה </w:t>
      </w:r>
      <w:r w:rsidRPr="008E7626">
        <w:rPr>
          <w:rFonts w:hint="cs"/>
          <w:rtl/>
        </w:rPr>
        <w:t>עבריין.</w:t>
      </w:r>
      <w:r>
        <w:rPr>
          <w:rFonts w:hint="cs"/>
          <w:b/>
          <w:bCs/>
          <w:rtl/>
        </w:rPr>
        <w:t xml:space="preserve"> </w:t>
      </w:r>
      <w:r>
        <w:rPr>
          <w:rtl/>
        </w:rPr>
        <w:t xml:space="preserve">לא ניתן להתעלם מכך שחרף נסיבות החיים הבלתי פשוטות בהן גדל, כמפורט לעיל ובתסקיר, לא הסתבך הנאשם בפלילים עד לאירוע הנדון, ושירות המבחן התרשם כי הוא נעדר דפוסים עברייניים מושרשים, </w:t>
      </w:r>
      <w:r>
        <w:rPr>
          <w:rFonts w:hint="cs"/>
          <w:rtl/>
        </w:rPr>
        <w:t>ג</w:t>
      </w:r>
      <w:r>
        <w:rPr>
          <w:rtl/>
        </w:rPr>
        <w:t>ילה יכולת הסתגלות במסגרת בית ספר ובמסגרת תעסוקתית, גילה מחויבות לתפקידיו במשפחה והציג כישורים ויכולת להשלים את המוטל עליו, חרף הקשיים והשינויים שחווה במסגרת משפחתו לאורך השנים.</w:t>
      </w:r>
      <w:r>
        <w:rPr>
          <w:rFonts w:hint="cs"/>
          <w:b/>
          <w:bCs/>
          <w:rtl/>
        </w:rPr>
        <w:t xml:space="preserve"> </w:t>
      </w:r>
    </w:p>
    <w:p w14:paraId="51DED8A9" w14:textId="77777777" w:rsidR="007823DF" w:rsidRPr="00D6517E" w:rsidRDefault="007823DF" w:rsidP="007823DF">
      <w:pPr>
        <w:spacing w:line="360" w:lineRule="auto"/>
        <w:ind w:left="720"/>
        <w:jc w:val="both"/>
        <w:rPr>
          <w:b/>
          <w:bCs/>
          <w:rtl/>
        </w:rPr>
      </w:pPr>
    </w:p>
    <w:p w14:paraId="6D2AB6B0" w14:textId="77777777" w:rsidR="007823DF" w:rsidRDefault="007823DF" w:rsidP="007823DF">
      <w:pPr>
        <w:spacing w:line="360" w:lineRule="auto"/>
        <w:ind w:left="720"/>
        <w:jc w:val="both"/>
        <w:rPr>
          <w:rtl/>
        </w:rPr>
      </w:pPr>
      <w:r w:rsidRPr="00D6517E">
        <w:rPr>
          <w:b/>
          <w:bCs/>
          <w:rtl/>
        </w:rPr>
        <w:t>ד</w:t>
      </w:r>
      <w:r>
        <w:rPr>
          <w:rtl/>
        </w:rPr>
        <w:t xml:space="preserve">. </w:t>
      </w:r>
      <w:r>
        <w:rPr>
          <w:rFonts w:hint="cs"/>
          <w:rtl/>
        </w:rPr>
        <w:t>כן</w:t>
      </w:r>
      <w:r>
        <w:rPr>
          <w:rtl/>
        </w:rPr>
        <w:t xml:space="preserve"> </w:t>
      </w:r>
      <w:r>
        <w:rPr>
          <w:rFonts w:hint="cs"/>
          <w:rtl/>
        </w:rPr>
        <w:t xml:space="preserve">תובא </w:t>
      </w:r>
      <w:r>
        <w:rPr>
          <w:rtl/>
        </w:rPr>
        <w:t>בחשבון התקופה בת החודשיים בה שהה הנאשם במעצר מאחורי סורג ובריח, וכי מזה כ- 10 חודשים</w:t>
      </w:r>
      <w:r>
        <w:rPr>
          <w:rFonts w:hint="cs"/>
          <w:rtl/>
        </w:rPr>
        <w:t xml:space="preserve"> </w:t>
      </w:r>
      <w:r>
        <w:rPr>
          <w:rtl/>
        </w:rPr>
        <w:t>הוא שוהה במעצר בית ב</w:t>
      </w:r>
      <w:r>
        <w:rPr>
          <w:rFonts w:hint="cs"/>
          <w:rtl/>
        </w:rPr>
        <w:t xml:space="preserve">אזוק </w:t>
      </w:r>
      <w:r>
        <w:rPr>
          <w:rtl/>
        </w:rPr>
        <w:t>אלקטרוני</w:t>
      </w:r>
      <w:r>
        <w:rPr>
          <w:rFonts w:hint="cs"/>
          <w:rtl/>
        </w:rPr>
        <w:t>, על כל הכרוך בכך</w:t>
      </w:r>
      <w:r>
        <w:rPr>
          <w:rtl/>
        </w:rPr>
        <w:t xml:space="preserve">. </w:t>
      </w:r>
    </w:p>
    <w:p w14:paraId="1AAF8257" w14:textId="77777777" w:rsidR="007823DF" w:rsidRDefault="007823DF" w:rsidP="007823DF">
      <w:pPr>
        <w:spacing w:line="360" w:lineRule="auto"/>
        <w:ind w:left="720"/>
        <w:jc w:val="both"/>
        <w:rPr>
          <w:rtl/>
        </w:rPr>
      </w:pPr>
      <w:r>
        <w:rPr>
          <w:rtl/>
        </w:rPr>
        <w:t xml:space="preserve"> </w:t>
      </w:r>
    </w:p>
    <w:p w14:paraId="5A27F595" w14:textId="77777777" w:rsidR="007823DF" w:rsidRDefault="007823DF" w:rsidP="007823DF">
      <w:pPr>
        <w:spacing w:line="360" w:lineRule="auto"/>
        <w:ind w:left="720"/>
        <w:jc w:val="both"/>
        <w:rPr>
          <w:rtl/>
        </w:rPr>
      </w:pPr>
      <w:r>
        <w:rPr>
          <w:b/>
          <w:bCs/>
          <w:rtl/>
        </w:rPr>
        <w:t>ה</w:t>
      </w:r>
      <w:r>
        <w:rPr>
          <w:rtl/>
        </w:rPr>
        <w:t>. לא נעלם מעיני כי שירות המבחן נמנע מהמלצה טיפולית בעניינו של הנאשם</w:t>
      </w:r>
      <w:r>
        <w:rPr>
          <w:rFonts w:hint="cs"/>
          <w:rtl/>
        </w:rPr>
        <w:t xml:space="preserve">, </w:t>
      </w:r>
      <w:r>
        <w:rPr>
          <w:rtl/>
        </w:rPr>
        <w:t xml:space="preserve">ואולם לצד זאת, על רקע מאפייניו החיוביים של הנאשם, ובמיוחד גילו הצעיר של הנאשם, עברו הנקי ותפקודו החיובי, </w:t>
      </w:r>
      <w:r>
        <w:rPr>
          <w:rFonts w:hint="cs"/>
          <w:rtl/>
        </w:rPr>
        <w:t xml:space="preserve">חרטתו, הבושה שהוא חש בגין הסתבכותו בעבירה הנדונה, </w:t>
      </w:r>
      <w:r>
        <w:rPr>
          <w:rtl/>
        </w:rPr>
        <w:t xml:space="preserve">והערכתו </w:t>
      </w:r>
      <w:r>
        <w:rPr>
          <w:rFonts w:hint="cs"/>
          <w:rtl/>
        </w:rPr>
        <w:t xml:space="preserve">של שירות המבחן </w:t>
      </w:r>
      <w:r>
        <w:rPr>
          <w:rtl/>
        </w:rPr>
        <w:t xml:space="preserve">כי ההליך הפלילי הנוכחי מהווה גורם הרתעה משמעותי עבורו המליץ להשית עליו ענישה מרתיעה באמצעות מאסר שירוצה בעבודות שירות. </w:t>
      </w:r>
    </w:p>
    <w:p w14:paraId="4A0534E3" w14:textId="77777777" w:rsidR="007823DF" w:rsidRPr="00612F1E" w:rsidRDefault="007823DF" w:rsidP="007823DF">
      <w:pPr>
        <w:spacing w:line="360" w:lineRule="auto"/>
        <w:ind w:left="720"/>
        <w:jc w:val="both"/>
        <w:rPr>
          <w:sz w:val="14"/>
          <w:szCs w:val="14"/>
          <w:rtl/>
        </w:rPr>
      </w:pPr>
    </w:p>
    <w:p w14:paraId="44CAC78D" w14:textId="77777777" w:rsidR="007823DF" w:rsidRDefault="007823DF" w:rsidP="007823DF">
      <w:pPr>
        <w:spacing w:line="360" w:lineRule="auto"/>
        <w:ind w:left="720"/>
        <w:jc w:val="both"/>
        <w:rPr>
          <w:b/>
          <w:bCs/>
          <w:rtl/>
        </w:rPr>
      </w:pPr>
      <w:r>
        <w:rPr>
          <w:rtl/>
        </w:rPr>
        <w:t>כזכור, בחוות דעת הממונה נקבע הנאשם נמצא מתאים לביצוע עבודות שירות, זאת בין השאר לאחר שמידת מסוכנותו של הנאשם נבדקה מול קצין מודיעין, אשר ה</w:t>
      </w:r>
      <w:r>
        <w:rPr>
          <w:rFonts w:hint="cs"/>
          <w:rtl/>
        </w:rPr>
        <w:t>ודיע</w:t>
      </w:r>
      <w:r>
        <w:rPr>
          <w:rtl/>
        </w:rPr>
        <w:t xml:space="preserve"> כי </w:t>
      </w:r>
      <w:r>
        <w:rPr>
          <w:b/>
          <w:bCs/>
          <w:rtl/>
        </w:rPr>
        <w:t xml:space="preserve">"משטרת ישראל אינה מתנגדת להעסקתו בעבודות שירות".    </w:t>
      </w:r>
    </w:p>
    <w:p w14:paraId="325632F5" w14:textId="77777777" w:rsidR="007823DF" w:rsidRPr="00CE5151" w:rsidRDefault="007823DF" w:rsidP="007823DF">
      <w:pPr>
        <w:spacing w:line="360" w:lineRule="auto"/>
        <w:ind w:left="720"/>
        <w:jc w:val="both"/>
        <w:rPr>
          <w:sz w:val="22"/>
          <w:szCs w:val="22"/>
          <w:rtl/>
        </w:rPr>
      </w:pPr>
    </w:p>
    <w:p w14:paraId="2FEDA677" w14:textId="77777777" w:rsidR="007823DF" w:rsidRDefault="007823DF" w:rsidP="007823DF">
      <w:pPr>
        <w:spacing w:line="360" w:lineRule="auto"/>
        <w:ind w:left="720"/>
        <w:jc w:val="both"/>
        <w:rPr>
          <w:rFonts w:ascii="David" w:hAnsi="David"/>
          <w:rtl/>
        </w:rPr>
      </w:pPr>
      <w:r w:rsidRPr="00612F1E">
        <w:rPr>
          <w:b/>
          <w:bCs/>
          <w:rtl/>
        </w:rPr>
        <w:t>ו. בנסיבות המיוחדות של המקרה הנדון,</w:t>
      </w:r>
      <w:r w:rsidRPr="00612F1E">
        <w:rPr>
          <w:rtl/>
        </w:rPr>
        <w:t xml:space="preserve"> בהתחשב בכך שהנאשם שהה כאמור משך חודשיים במעצר מלא ולאחר מכן כ- 10 חודשים במעצר ב</w:t>
      </w:r>
      <w:r w:rsidRPr="00612F1E">
        <w:rPr>
          <w:rFonts w:hint="cs"/>
          <w:rtl/>
        </w:rPr>
        <w:t>אזוק</w:t>
      </w:r>
      <w:r w:rsidRPr="00612F1E">
        <w:rPr>
          <w:rtl/>
        </w:rPr>
        <w:t xml:space="preserve"> אלקטרוני, ונוכח </w:t>
      </w:r>
      <w:r w:rsidRPr="00612F1E">
        <w:rPr>
          <w:rFonts w:hint="cs"/>
          <w:rtl/>
        </w:rPr>
        <w:t>מחדל ו</w:t>
      </w:r>
      <w:r w:rsidRPr="00612F1E">
        <w:rPr>
          <w:rtl/>
        </w:rPr>
        <w:t xml:space="preserve">עינוי דין </w:t>
      </w:r>
      <w:r w:rsidRPr="00612F1E">
        <w:rPr>
          <w:rFonts w:hint="cs"/>
          <w:rtl/>
        </w:rPr>
        <w:t xml:space="preserve">מסוים </w:t>
      </w:r>
      <w:r w:rsidRPr="00612F1E">
        <w:rPr>
          <w:rtl/>
        </w:rPr>
        <w:t xml:space="preserve">שנגרם לנאשם בנסיבות המתוארות בהרחבה בהחלטה מיום 24/6/21, ואין צורך לחזור על הדברים, </w:t>
      </w:r>
      <w:r w:rsidRPr="00612F1E">
        <w:rPr>
          <w:rFonts w:hint="cs"/>
          <w:rtl/>
        </w:rPr>
        <w:t xml:space="preserve">חרטתו של הנאשם והתחייבותו כי לא יחזור על מעשיו, </w:t>
      </w:r>
      <w:r w:rsidRPr="00612F1E">
        <w:rPr>
          <w:rtl/>
        </w:rPr>
        <w:t xml:space="preserve">אני רואה </w:t>
      </w:r>
      <w:r w:rsidRPr="00612F1E">
        <w:rPr>
          <w:rFonts w:hint="cs"/>
          <w:rtl/>
        </w:rPr>
        <w:t xml:space="preserve">לסטות </w:t>
      </w:r>
      <w:r w:rsidRPr="00612F1E">
        <w:rPr>
          <w:rtl/>
        </w:rPr>
        <w:t>במקרה הנדון ממתחם העונש ההולם, לאמץ את המלצת שירות המבחן בעניינו ולהטיל על הנאשם 9 חודשי מאסר לריצוי בעבודות שירות</w:t>
      </w:r>
      <w:r>
        <w:rPr>
          <w:rFonts w:hint="cs"/>
          <w:rtl/>
        </w:rPr>
        <w:t xml:space="preserve"> </w:t>
      </w:r>
      <w:r w:rsidRPr="00612F1E">
        <w:rPr>
          <w:rFonts w:ascii="David" w:hAnsi="David" w:hint="cs"/>
          <w:rtl/>
        </w:rPr>
        <w:t xml:space="preserve">(לעניין </w:t>
      </w:r>
      <w:r w:rsidRPr="00612F1E">
        <w:rPr>
          <w:rFonts w:ascii="David" w:hAnsi="David"/>
          <w:rtl/>
        </w:rPr>
        <w:t>סעד של הקלה בעונש בשל מחדלי חקירה</w:t>
      </w:r>
      <w:r w:rsidRPr="00612F1E">
        <w:rPr>
          <w:rFonts w:ascii="David" w:hAnsi="David" w:hint="cs"/>
          <w:rtl/>
        </w:rPr>
        <w:t xml:space="preserve"> וטענות של הגנה מן הצדק, השוו</w:t>
      </w:r>
      <w:r w:rsidRPr="00612F1E">
        <w:rPr>
          <w:rFonts w:ascii="David" w:hAnsi="David"/>
          <w:rtl/>
        </w:rPr>
        <w:t xml:space="preserve"> </w:t>
      </w:r>
      <w:bookmarkStart w:id="7" w:name="casename_body"/>
      <w:r w:rsidR="00D513CA" w:rsidRPr="00D513CA">
        <w:rPr>
          <w:rFonts w:ascii="David" w:hAnsi="David"/>
          <w:color w:val="0000FF"/>
          <w:u w:val="single"/>
          <w:rtl/>
        </w:rPr>
        <w:fldChar w:fldCharType="begin"/>
      </w:r>
      <w:r w:rsidR="00D513CA" w:rsidRPr="00D513CA">
        <w:rPr>
          <w:rFonts w:ascii="David" w:hAnsi="David"/>
          <w:color w:val="0000FF"/>
          <w:u w:val="single"/>
          <w:rtl/>
        </w:rPr>
        <w:instrText xml:space="preserve"> </w:instrText>
      </w:r>
      <w:r w:rsidR="00D513CA" w:rsidRPr="00D513CA">
        <w:rPr>
          <w:rFonts w:ascii="David" w:hAnsi="David"/>
          <w:color w:val="0000FF"/>
          <w:u w:val="single"/>
        </w:rPr>
        <w:instrText xml:space="preserve">HYPERLINK </w:instrText>
      </w:r>
      <w:r w:rsidR="00D513CA" w:rsidRPr="00D513CA">
        <w:rPr>
          <w:rFonts w:ascii="David" w:hAnsi="David"/>
          <w:color w:val="0000FF"/>
          <w:u w:val="single"/>
          <w:rtl/>
        </w:rPr>
        <w:instrText>"</w:instrText>
      </w:r>
      <w:r w:rsidR="00D513CA" w:rsidRPr="00D513CA">
        <w:rPr>
          <w:rFonts w:ascii="David" w:hAnsi="David"/>
          <w:color w:val="0000FF"/>
          <w:u w:val="single"/>
        </w:rPr>
        <w:instrText>http://www.nevo.co.il/case/5704648"</w:instrText>
      </w:r>
      <w:r w:rsidR="00D513CA" w:rsidRPr="00D513CA">
        <w:rPr>
          <w:rFonts w:ascii="David" w:hAnsi="David"/>
          <w:color w:val="0000FF"/>
          <w:u w:val="single"/>
          <w:rtl/>
        </w:rPr>
        <w:instrText xml:space="preserve"> </w:instrText>
      </w:r>
      <w:r w:rsidR="00D513CA" w:rsidRPr="00D513CA">
        <w:rPr>
          <w:rFonts w:ascii="David" w:hAnsi="David"/>
          <w:color w:val="0000FF"/>
          <w:u w:val="single"/>
          <w:rtl/>
        </w:rPr>
      </w:r>
      <w:r w:rsidR="00D513CA" w:rsidRPr="00D513CA">
        <w:rPr>
          <w:rFonts w:ascii="David" w:hAnsi="David"/>
          <w:color w:val="0000FF"/>
          <w:u w:val="single"/>
          <w:rtl/>
        </w:rPr>
        <w:fldChar w:fldCharType="separate"/>
      </w:r>
      <w:bookmarkEnd w:id="7"/>
      <w:r w:rsidR="00D513CA" w:rsidRPr="00D513CA">
        <w:rPr>
          <w:rFonts w:ascii="David" w:hAnsi="David"/>
          <w:color w:val="0000FF"/>
          <w:u w:val="single"/>
          <w:rtl/>
        </w:rPr>
        <w:t>ע"פ 1224/07</w:t>
      </w:r>
      <w:r w:rsidR="00D513CA" w:rsidRPr="00D513CA">
        <w:rPr>
          <w:rFonts w:ascii="David" w:hAnsi="David"/>
          <w:color w:val="0000FF"/>
          <w:u w:val="single"/>
          <w:rtl/>
        </w:rPr>
        <w:fldChar w:fldCharType="end"/>
      </w:r>
      <w:r w:rsidRPr="00612F1E">
        <w:rPr>
          <w:rFonts w:ascii="David" w:hAnsi="David"/>
          <w:rtl/>
        </w:rPr>
        <w:t xml:space="preserve"> </w:t>
      </w:r>
      <w:r w:rsidRPr="00612F1E">
        <w:rPr>
          <w:rFonts w:ascii="David" w:hAnsi="David"/>
          <w:b/>
          <w:bCs/>
          <w:rtl/>
        </w:rPr>
        <w:t>אברהם בלדב נ' מדינת ישראל</w:t>
      </w:r>
      <w:r w:rsidRPr="00612F1E">
        <w:rPr>
          <w:rFonts w:ascii="David" w:hAnsi="David"/>
          <w:color w:val="1F497D"/>
          <w:rtl/>
        </w:rPr>
        <w:t xml:space="preserve"> </w:t>
      </w:r>
      <w:r w:rsidRPr="00612F1E">
        <w:rPr>
          <w:rFonts w:ascii="David" w:hAnsi="David"/>
          <w:rtl/>
        </w:rPr>
        <w:t>(10/2/10), מפי כבוד הש' פרוקצ'יה</w:t>
      </w:r>
      <w:r>
        <w:rPr>
          <w:rFonts w:ascii="David" w:hAnsi="David" w:hint="cs"/>
          <w:rtl/>
        </w:rPr>
        <w:t>).</w:t>
      </w:r>
    </w:p>
    <w:p w14:paraId="4B17E551" w14:textId="77777777" w:rsidR="007823DF" w:rsidRPr="00D860B8" w:rsidRDefault="007823DF" w:rsidP="007823DF">
      <w:pPr>
        <w:spacing w:line="360" w:lineRule="auto"/>
        <w:ind w:left="720"/>
        <w:jc w:val="both"/>
        <w:rPr>
          <w:rFonts w:ascii="David" w:hAnsi="David"/>
          <w:sz w:val="14"/>
          <w:szCs w:val="14"/>
          <w:rtl/>
        </w:rPr>
      </w:pPr>
    </w:p>
    <w:p w14:paraId="6EC53634" w14:textId="77777777" w:rsidR="007823DF" w:rsidRPr="00612F1E" w:rsidRDefault="007823DF" w:rsidP="007823DF">
      <w:pPr>
        <w:spacing w:line="360" w:lineRule="auto"/>
        <w:ind w:left="720"/>
        <w:jc w:val="both"/>
        <w:rPr>
          <w:rFonts w:ascii="David" w:hAnsi="David"/>
          <w:rtl/>
        </w:rPr>
      </w:pPr>
      <w:r>
        <w:rPr>
          <w:rFonts w:ascii="David" w:hAnsi="David" w:hint="cs"/>
          <w:rtl/>
        </w:rPr>
        <w:t xml:space="preserve">ראו גם </w:t>
      </w:r>
      <w:hyperlink r:id="rId69" w:history="1">
        <w:r w:rsidR="00D513CA" w:rsidRPr="00D513CA">
          <w:rPr>
            <w:rFonts w:ascii="David" w:hAnsi="David"/>
            <w:color w:val="0000FF"/>
            <w:u w:val="single"/>
            <w:rtl/>
          </w:rPr>
          <w:t>ע"פ 4855/02</w:t>
        </w:r>
      </w:hyperlink>
      <w:r w:rsidRPr="00612F1E">
        <w:rPr>
          <w:rFonts w:ascii="David" w:hAnsi="David"/>
          <w:rtl/>
        </w:rPr>
        <w:t xml:space="preserve"> </w:t>
      </w:r>
      <w:r w:rsidRPr="00612F1E">
        <w:rPr>
          <w:rFonts w:ascii="David" w:hAnsi="David"/>
          <w:b/>
          <w:bCs/>
          <w:rtl/>
        </w:rPr>
        <w:t>מדינת ישראל נ' ד"ר איתמר בורוביץ</w:t>
      </w:r>
      <w:r w:rsidRPr="00612F1E">
        <w:rPr>
          <w:rFonts w:ascii="David" w:hAnsi="David"/>
          <w:rtl/>
        </w:rPr>
        <w:t xml:space="preserve"> (31/3/05), מפי כב' הש' מצא, לוי וגרוניס</w:t>
      </w:r>
      <w:r>
        <w:rPr>
          <w:rFonts w:ascii="David" w:hAnsi="David" w:hint="cs"/>
          <w:rtl/>
        </w:rPr>
        <w:t>:</w:t>
      </w:r>
      <w:r w:rsidRPr="00612F1E">
        <w:rPr>
          <w:rFonts w:ascii="David" w:hAnsi="David"/>
          <w:rtl/>
        </w:rPr>
        <w:t xml:space="preserve"> </w:t>
      </w:r>
    </w:p>
    <w:p w14:paraId="1EBD6AAB" w14:textId="77777777" w:rsidR="007823DF" w:rsidRPr="00CE5151" w:rsidRDefault="007823DF" w:rsidP="007823DF">
      <w:pPr>
        <w:spacing w:line="360" w:lineRule="auto"/>
        <w:ind w:left="720"/>
        <w:jc w:val="both"/>
        <w:rPr>
          <w:rFonts w:ascii="David" w:hAnsi="David"/>
          <w:sz w:val="12"/>
          <w:szCs w:val="12"/>
          <w:rtl/>
        </w:rPr>
      </w:pPr>
    </w:p>
    <w:p w14:paraId="63B1ECAC" w14:textId="77777777" w:rsidR="007823DF" w:rsidRPr="000227D1" w:rsidRDefault="007823DF" w:rsidP="007823DF">
      <w:pPr>
        <w:pStyle w:val="aa"/>
        <w:spacing w:line="360" w:lineRule="auto"/>
        <w:ind w:left="1440" w:firstLine="0"/>
        <w:rPr>
          <w:rFonts w:ascii="Calibri" w:hAnsi="Calibri" w:cs="David"/>
          <w:sz w:val="24"/>
          <w:rtl/>
          <w:lang w:eastAsia="en-US"/>
        </w:rPr>
      </w:pPr>
      <w:r w:rsidRPr="005D1A93">
        <w:rPr>
          <w:rtl/>
        </w:rPr>
        <w:t>"</w:t>
      </w:r>
      <w:r w:rsidRPr="00CE5151">
        <w:rPr>
          <w:rFonts w:ascii="Miriam" w:hAnsi="Miriam" w:cs="Miriam"/>
          <w:b/>
          <w:bCs/>
          <w:sz w:val="28"/>
          <w:rtl/>
        </w:rPr>
        <w:t>גם משהשקפנו במבט-על על הפגמים שנפלו בהליכי החקירה ובראיונות כמכלול</w:t>
      </w:r>
      <w:r w:rsidRPr="005D1A93">
        <w:rPr>
          <w:rFonts w:ascii="Miriam" w:hAnsi="Miriam" w:cs="Miriam"/>
          <w:sz w:val="28"/>
          <w:rtl/>
        </w:rPr>
        <w:t xml:space="preserve"> – בחינה שאף אותה יש לערוך במסגרת הדיון בטענת ההגנה מן הצדק – נחה דעתנו כי לא הייתה בניהולו של ההליך הפלילי בעניינם של המערערים משום פגיעה חריפה בתחושת הצדק וההגינות המצדיקה את ביטולו של ההליך או את זיכוים מחמת הגנה </w:t>
      </w:r>
      <w:r w:rsidRPr="000227D1">
        <w:rPr>
          <w:rFonts w:ascii="Calibri" w:hAnsi="Calibri" w:cs="David"/>
          <w:sz w:val="24"/>
          <w:rtl/>
          <w:lang w:eastAsia="en-US"/>
        </w:rPr>
        <w:t xml:space="preserve">מן הצדק </w:t>
      </w:r>
      <w:r w:rsidRPr="000227D1">
        <w:rPr>
          <w:rFonts w:ascii="Miriam" w:hAnsi="Miriam" w:cs="Miriam"/>
          <w:sz w:val="28"/>
          <w:rtl/>
        </w:rPr>
        <w:t>(</w:t>
      </w:r>
      <w:r w:rsidRPr="000227D1">
        <w:rPr>
          <w:rFonts w:ascii="Miriam" w:hAnsi="Miriam" w:cs="Miriam"/>
          <w:b/>
          <w:bCs/>
          <w:sz w:val="28"/>
          <w:rtl/>
        </w:rPr>
        <w:t>להבדיל, אולי, מסעד של הקלה בעונש)".</w:t>
      </w:r>
      <w:r w:rsidRPr="000227D1">
        <w:rPr>
          <w:rFonts w:ascii="Calibri" w:hAnsi="Calibri" w:cs="David"/>
          <w:sz w:val="24"/>
          <w:rtl/>
          <w:lang w:eastAsia="en-US"/>
        </w:rPr>
        <w:t xml:space="preserve"> </w:t>
      </w:r>
      <w:r w:rsidRPr="000227D1">
        <w:rPr>
          <w:rFonts w:ascii="Calibri" w:hAnsi="Calibri" w:cs="David" w:hint="cs"/>
          <w:sz w:val="24"/>
          <w:rtl/>
          <w:lang w:eastAsia="en-US"/>
        </w:rPr>
        <w:t xml:space="preserve">(ההדגשה אינה במקור </w:t>
      </w:r>
      <w:r w:rsidRPr="000227D1">
        <w:rPr>
          <w:rFonts w:ascii="Calibri" w:hAnsi="Calibri" w:cs="David"/>
          <w:sz w:val="24"/>
          <w:rtl/>
          <w:lang w:eastAsia="en-US"/>
        </w:rPr>
        <w:t>–</w:t>
      </w:r>
      <w:r w:rsidRPr="000227D1">
        <w:rPr>
          <w:rFonts w:ascii="Calibri" w:hAnsi="Calibri" w:cs="David" w:hint="cs"/>
          <w:sz w:val="24"/>
          <w:rtl/>
          <w:lang w:eastAsia="en-US"/>
        </w:rPr>
        <w:t>ד.ס.).</w:t>
      </w:r>
    </w:p>
    <w:p w14:paraId="3BD1786C" w14:textId="77777777" w:rsidR="007823DF" w:rsidRPr="00CE5151" w:rsidRDefault="007823DF" w:rsidP="007823DF">
      <w:pPr>
        <w:spacing w:line="360" w:lineRule="auto"/>
        <w:ind w:left="720"/>
        <w:jc w:val="both"/>
        <w:rPr>
          <w:rFonts w:ascii="David" w:hAnsi="David"/>
          <w:sz w:val="6"/>
          <w:szCs w:val="6"/>
          <w:rtl/>
        </w:rPr>
      </w:pPr>
    </w:p>
    <w:p w14:paraId="6E059D53" w14:textId="77777777" w:rsidR="007823DF" w:rsidRPr="000227D1" w:rsidRDefault="007823DF" w:rsidP="007823DF">
      <w:pPr>
        <w:spacing w:line="360" w:lineRule="auto"/>
        <w:ind w:left="720"/>
        <w:jc w:val="both"/>
        <w:rPr>
          <w:b/>
          <w:bCs/>
          <w:sz w:val="26"/>
          <w:szCs w:val="26"/>
          <w:u w:val="single"/>
          <w:rtl/>
        </w:rPr>
      </w:pPr>
      <w:r w:rsidRPr="000227D1">
        <w:rPr>
          <w:b/>
          <w:bCs/>
          <w:sz w:val="26"/>
          <w:szCs w:val="26"/>
          <w:u w:val="single"/>
          <w:rtl/>
        </w:rPr>
        <w:t>סוף דבר</w:t>
      </w:r>
    </w:p>
    <w:p w14:paraId="68716E0A" w14:textId="77777777" w:rsidR="007823DF" w:rsidRDefault="007823DF" w:rsidP="007823DF">
      <w:pPr>
        <w:spacing w:line="360" w:lineRule="auto"/>
        <w:jc w:val="both"/>
        <w:rPr>
          <w:rtl/>
        </w:rPr>
      </w:pPr>
      <w:r>
        <w:rPr>
          <w:b/>
          <w:bCs/>
          <w:rtl/>
        </w:rPr>
        <w:t>2</w:t>
      </w:r>
      <w:r>
        <w:rPr>
          <w:rFonts w:hint="cs"/>
          <w:b/>
          <w:bCs/>
          <w:rtl/>
        </w:rPr>
        <w:t>0</w:t>
      </w:r>
      <w:r>
        <w:rPr>
          <w:b/>
          <w:bCs/>
          <w:rtl/>
        </w:rPr>
        <w:t>.</w:t>
      </w:r>
      <w:r>
        <w:rPr>
          <w:rtl/>
        </w:rPr>
        <w:tab/>
        <w:t>נוכח כל המקובץ לעיל, אני רואה להטיל על הנאשם עונשים, כדלהלן:</w:t>
      </w:r>
    </w:p>
    <w:p w14:paraId="62975D42" w14:textId="77777777" w:rsidR="007823DF" w:rsidRDefault="007823DF" w:rsidP="007823DF">
      <w:pPr>
        <w:spacing w:line="360" w:lineRule="auto"/>
        <w:jc w:val="both"/>
        <w:rPr>
          <w:sz w:val="14"/>
          <w:szCs w:val="14"/>
          <w:rtl/>
        </w:rPr>
      </w:pPr>
      <w:r>
        <w:rPr>
          <w:rtl/>
        </w:rPr>
        <w:t xml:space="preserve"> </w:t>
      </w:r>
    </w:p>
    <w:p w14:paraId="63E18ED5" w14:textId="77777777" w:rsidR="007823DF" w:rsidRDefault="007823DF" w:rsidP="007823DF">
      <w:pPr>
        <w:spacing w:line="360" w:lineRule="auto"/>
        <w:ind w:left="720"/>
        <w:jc w:val="both"/>
        <w:rPr>
          <w:rFonts w:ascii="David" w:hAnsi="David"/>
          <w:rtl/>
        </w:rPr>
      </w:pPr>
      <w:r>
        <w:rPr>
          <w:rFonts w:ascii="David" w:hAnsi="David"/>
          <w:b/>
          <w:bCs/>
          <w:rtl/>
        </w:rPr>
        <w:t xml:space="preserve">א. 9 חודשי מאסר בפועל לריצוי </w:t>
      </w:r>
      <w:r>
        <w:rPr>
          <w:rFonts w:ascii="David" w:hAnsi="David" w:hint="cs"/>
          <w:b/>
          <w:bCs/>
          <w:rtl/>
        </w:rPr>
        <w:t>ב</w:t>
      </w:r>
      <w:r>
        <w:rPr>
          <w:rFonts w:ascii="David" w:hAnsi="David"/>
          <w:b/>
          <w:bCs/>
          <w:rtl/>
        </w:rPr>
        <w:t xml:space="preserve">עבודות שירות </w:t>
      </w:r>
      <w:r>
        <w:rPr>
          <w:rFonts w:ascii="David" w:hAnsi="David"/>
          <w:rtl/>
        </w:rPr>
        <w:t>החל מיום 7/12/21, בתנאים ובמקום שקבע הממונה בחוות דעתו</w:t>
      </w:r>
      <w:r>
        <w:rPr>
          <w:rFonts w:ascii="David" w:hAnsi="David" w:hint="cs"/>
          <w:rtl/>
        </w:rPr>
        <w:t>, כמפורט לעיל</w:t>
      </w:r>
      <w:r>
        <w:rPr>
          <w:rFonts w:ascii="David" w:hAnsi="David"/>
          <w:rtl/>
        </w:rPr>
        <w:t xml:space="preserve">. </w:t>
      </w:r>
    </w:p>
    <w:p w14:paraId="5F3163C2" w14:textId="77777777" w:rsidR="007823DF" w:rsidRDefault="007823DF" w:rsidP="007823DF">
      <w:pPr>
        <w:spacing w:line="360" w:lineRule="auto"/>
        <w:ind w:left="1080"/>
        <w:contextualSpacing/>
        <w:jc w:val="both"/>
        <w:rPr>
          <w:rFonts w:ascii="David" w:hAnsi="David"/>
          <w:sz w:val="16"/>
          <w:szCs w:val="16"/>
          <w:rtl/>
        </w:rPr>
      </w:pPr>
    </w:p>
    <w:p w14:paraId="04CCF647" w14:textId="77777777" w:rsidR="007823DF" w:rsidRDefault="007823DF" w:rsidP="007823DF">
      <w:pPr>
        <w:spacing w:after="160" w:line="360" w:lineRule="auto"/>
        <w:ind w:left="720"/>
        <w:jc w:val="both"/>
        <w:rPr>
          <w:rFonts w:ascii="Calibri" w:hAnsi="Calibri"/>
          <w:b/>
          <w:bCs/>
          <w:rtl/>
        </w:rPr>
      </w:pPr>
      <w:r>
        <w:rPr>
          <w:rFonts w:ascii="Calibri" w:hAnsi="Calibri"/>
          <w:b/>
          <w:bCs/>
          <w:rtl/>
        </w:rPr>
        <w:t>ב.</w:t>
      </w:r>
      <w:r>
        <w:rPr>
          <w:rFonts w:ascii="Calibri" w:hAnsi="Calibri"/>
          <w:rtl/>
        </w:rPr>
        <w:t xml:space="preserve"> </w:t>
      </w:r>
      <w:r>
        <w:rPr>
          <w:rFonts w:ascii="Calibri" w:hAnsi="Calibri" w:hint="cs"/>
          <w:rtl/>
        </w:rPr>
        <w:t xml:space="preserve"> </w:t>
      </w:r>
      <w:r>
        <w:rPr>
          <w:rFonts w:ascii="Calibri" w:hAnsi="Calibri"/>
          <w:rtl/>
        </w:rPr>
        <w:t xml:space="preserve">מאסר על תנאי למשך </w:t>
      </w:r>
      <w:r w:rsidRPr="006C3DB8">
        <w:rPr>
          <w:rFonts w:ascii="Calibri" w:hAnsi="Calibri"/>
          <w:b/>
          <w:bCs/>
          <w:rtl/>
        </w:rPr>
        <w:t>12 חודשים</w:t>
      </w:r>
      <w:r>
        <w:rPr>
          <w:rFonts w:ascii="Calibri" w:hAnsi="Calibri"/>
          <w:rtl/>
        </w:rPr>
        <w:t xml:space="preserve">, שהנאשם לא יישא בו, זולת אם יעבור במשך שלוש שנים עבירה בה הורשע או כל עבירת </w:t>
      </w:r>
      <w:r>
        <w:rPr>
          <w:rFonts w:ascii="Calibri" w:hAnsi="Calibri" w:hint="cs"/>
          <w:rtl/>
        </w:rPr>
        <w:t xml:space="preserve">נשק, </w:t>
      </w:r>
      <w:r>
        <w:rPr>
          <w:rFonts w:ascii="Calibri" w:hAnsi="Calibri"/>
          <w:rtl/>
        </w:rPr>
        <w:t xml:space="preserve">אלימות או רכוש מסוג פשע. </w:t>
      </w:r>
    </w:p>
    <w:p w14:paraId="4610AB61" w14:textId="77777777" w:rsidR="007823DF" w:rsidRDefault="007823DF" w:rsidP="007823DF">
      <w:pPr>
        <w:spacing w:line="360" w:lineRule="auto"/>
        <w:ind w:left="720"/>
        <w:jc w:val="both"/>
        <w:rPr>
          <w:rtl/>
        </w:rPr>
      </w:pPr>
      <w:r w:rsidRPr="002757E7">
        <w:rPr>
          <w:b/>
          <w:bCs/>
          <w:rtl/>
        </w:rPr>
        <w:t>ג.</w:t>
      </w:r>
      <w:r>
        <w:rPr>
          <w:rtl/>
        </w:rPr>
        <w:t xml:space="preserve"> </w:t>
      </w:r>
      <w:r>
        <w:rPr>
          <w:rFonts w:hint="cs"/>
          <w:rtl/>
        </w:rPr>
        <w:t xml:space="preserve"> </w:t>
      </w:r>
      <w:r>
        <w:rPr>
          <w:rtl/>
        </w:rPr>
        <w:t xml:space="preserve">קנס בסך </w:t>
      </w:r>
      <w:r>
        <w:rPr>
          <w:rFonts w:hint="cs"/>
          <w:rtl/>
        </w:rPr>
        <w:t xml:space="preserve">3,000 ₪ שישולם על ידי הנאשם ב </w:t>
      </w:r>
      <w:r>
        <w:rPr>
          <w:rtl/>
        </w:rPr>
        <w:t>–</w:t>
      </w:r>
      <w:r>
        <w:rPr>
          <w:rFonts w:hint="cs"/>
          <w:rtl/>
        </w:rPr>
        <w:t xml:space="preserve"> 6 תשלומים שווים ורצופים החל מיום 10/10/22 ואילך ובכל 10 לחודש לאחריו.</w:t>
      </w:r>
      <w:r>
        <w:rPr>
          <w:rtl/>
        </w:rPr>
        <w:t xml:space="preserve"> </w:t>
      </w:r>
    </w:p>
    <w:p w14:paraId="088B7AD0" w14:textId="77777777" w:rsidR="007823DF" w:rsidRPr="002757E7" w:rsidRDefault="007823DF" w:rsidP="007823DF">
      <w:pPr>
        <w:spacing w:line="360" w:lineRule="auto"/>
        <w:jc w:val="both"/>
        <w:rPr>
          <w:sz w:val="18"/>
          <w:szCs w:val="18"/>
          <w:rtl/>
        </w:rPr>
      </w:pPr>
    </w:p>
    <w:p w14:paraId="69F3377B" w14:textId="77777777" w:rsidR="007823DF" w:rsidRDefault="007823DF" w:rsidP="007823DF">
      <w:pPr>
        <w:spacing w:line="360" w:lineRule="auto"/>
        <w:ind w:left="720"/>
        <w:jc w:val="both"/>
        <w:rPr>
          <w:rFonts w:ascii="David" w:hAnsi="David"/>
          <w:rtl/>
        </w:rPr>
      </w:pPr>
      <w:r w:rsidRPr="002757E7">
        <w:rPr>
          <w:b/>
          <w:bCs/>
          <w:rtl/>
        </w:rPr>
        <w:t>ד.</w:t>
      </w:r>
      <w:r>
        <w:rPr>
          <w:rtl/>
        </w:rPr>
        <w:t xml:space="preserve"> </w:t>
      </w:r>
      <w:r>
        <w:rPr>
          <w:rFonts w:ascii="David" w:hAnsi="David"/>
          <w:rtl/>
        </w:rPr>
        <w:t xml:space="preserve">מובהר בזה לנאשם כי עליו לעמוד באופן דווקני בצו שניתן לביצוע עבודות השירות. הנאשם מוזהר בזה </w:t>
      </w:r>
      <w:r>
        <w:rPr>
          <w:rFonts w:ascii="David" w:hAnsi="David" w:hint="cs"/>
          <w:rtl/>
        </w:rPr>
        <w:t xml:space="preserve">כי </w:t>
      </w:r>
      <w:r>
        <w:rPr>
          <w:rFonts w:ascii="David" w:hAnsi="David"/>
          <w:rtl/>
        </w:rPr>
        <w:t xml:space="preserve">תנאי העסקה של עבודות השירות הם קפדניים, מצריכים התייצבות רציפה ועמידה בהנחיות החוק והממונה, וכי יש בחריגה מכללים אלו כדי להביא להפסקה מנהלית של ריצוי מאסרו בעבודות שירות, וריצוי יתרת ימי המאסר בפועל בין כתלי הכלא. </w:t>
      </w:r>
    </w:p>
    <w:p w14:paraId="32A4532F" w14:textId="77777777" w:rsidR="007823DF" w:rsidRPr="00CE5151" w:rsidRDefault="007823DF" w:rsidP="007823DF">
      <w:pPr>
        <w:spacing w:after="160" w:line="256" w:lineRule="auto"/>
        <w:ind w:firstLine="720"/>
        <w:rPr>
          <w:rFonts w:ascii="Calibri" w:hAnsi="Calibri"/>
          <w:sz w:val="14"/>
          <w:szCs w:val="14"/>
          <w:rtl/>
        </w:rPr>
      </w:pPr>
    </w:p>
    <w:p w14:paraId="65180252" w14:textId="77777777" w:rsidR="007823DF" w:rsidRPr="002757E7" w:rsidRDefault="007823DF" w:rsidP="007823DF">
      <w:pPr>
        <w:spacing w:after="160" w:line="256" w:lineRule="auto"/>
        <w:ind w:firstLine="720"/>
        <w:rPr>
          <w:rFonts w:ascii="Calibri" w:hAnsi="Calibri"/>
          <w:b/>
          <w:bCs/>
          <w:rtl/>
        </w:rPr>
      </w:pPr>
      <w:r w:rsidRPr="002757E7">
        <w:rPr>
          <w:rFonts w:ascii="Calibri" w:hAnsi="Calibri"/>
          <w:b/>
          <w:bCs/>
          <w:rtl/>
        </w:rPr>
        <w:t>המזכירות תעביר את גזר הדין לממונה על עבודות השירות</w:t>
      </w:r>
      <w:r w:rsidRPr="002757E7">
        <w:rPr>
          <w:rFonts w:ascii="Calibri" w:hAnsi="Calibri" w:hint="cs"/>
          <w:b/>
          <w:bCs/>
          <w:rtl/>
        </w:rPr>
        <w:t>.</w:t>
      </w:r>
      <w:r w:rsidRPr="002757E7">
        <w:rPr>
          <w:rFonts w:ascii="Calibri" w:hAnsi="Calibri"/>
          <w:b/>
          <w:bCs/>
          <w:rtl/>
        </w:rPr>
        <w:t xml:space="preserve"> </w:t>
      </w:r>
    </w:p>
    <w:p w14:paraId="651DF23B" w14:textId="77777777" w:rsidR="007823DF" w:rsidRPr="00CE5151" w:rsidRDefault="007823DF" w:rsidP="007823DF">
      <w:pPr>
        <w:spacing w:after="160" w:line="256" w:lineRule="auto"/>
        <w:rPr>
          <w:rFonts w:ascii="Calibri" w:hAnsi="Calibri"/>
          <w:sz w:val="22"/>
          <w:szCs w:val="22"/>
          <w:rtl/>
        </w:rPr>
      </w:pPr>
    </w:p>
    <w:p w14:paraId="48E2B798" w14:textId="77777777" w:rsidR="007823DF" w:rsidRDefault="007823DF" w:rsidP="007823DF">
      <w:pPr>
        <w:spacing w:line="360" w:lineRule="auto"/>
        <w:ind w:left="360" w:firstLine="360"/>
        <w:jc w:val="both"/>
        <w:rPr>
          <w:rFonts w:ascii="David" w:hAnsi="David"/>
          <w:b/>
          <w:bCs/>
          <w:u w:val="single"/>
          <w:rtl/>
        </w:rPr>
      </w:pPr>
      <w:r>
        <w:rPr>
          <w:rFonts w:ascii="David" w:hAnsi="David"/>
          <w:b/>
          <w:bCs/>
          <w:u w:val="single"/>
          <w:rtl/>
        </w:rPr>
        <w:t>זכות ערעור תוך 45 יום לבית המשפט העליון.</w:t>
      </w:r>
    </w:p>
    <w:p w14:paraId="3CAA2D38" w14:textId="77777777" w:rsidR="007823DF" w:rsidRDefault="007823DF" w:rsidP="007823DF">
      <w:pPr>
        <w:jc w:val="center"/>
        <w:rPr>
          <w:rFonts w:ascii="David" w:hAnsi="David"/>
          <w:rtl/>
        </w:rPr>
      </w:pPr>
    </w:p>
    <w:p w14:paraId="67957F81" w14:textId="77777777" w:rsidR="007823DF" w:rsidRDefault="007823DF" w:rsidP="007823DF">
      <w:pPr>
        <w:rPr>
          <w:color w:val="FFFFFF"/>
          <w:sz w:val="2"/>
          <w:szCs w:val="2"/>
          <w:rtl/>
        </w:rPr>
      </w:pPr>
      <w:r>
        <w:rPr>
          <w:color w:val="FFFFFF"/>
          <w:sz w:val="2"/>
          <w:szCs w:val="2"/>
          <w:rtl/>
        </w:rPr>
        <w:t>5129371</w:t>
      </w:r>
    </w:p>
    <w:p w14:paraId="6D49609C" w14:textId="77777777" w:rsidR="007823DF" w:rsidRPr="00D513CA" w:rsidRDefault="00D513CA" w:rsidP="007823DF">
      <w:pPr>
        <w:tabs>
          <w:tab w:val="left" w:pos="2586"/>
        </w:tabs>
        <w:rPr>
          <w:rFonts w:ascii="David" w:hAnsi="David"/>
          <w:color w:val="FFFFFF"/>
          <w:sz w:val="2"/>
          <w:szCs w:val="2"/>
          <w:rtl/>
        </w:rPr>
      </w:pPr>
      <w:r w:rsidRPr="00D513CA">
        <w:rPr>
          <w:rFonts w:ascii="David" w:hAnsi="David"/>
          <w:color w:val="FFFFFF"/>
          <w:sz w:val="2"/>
          <w:szCs w:val="2"/>
          <w:rtl/>
        </w:rPr>
        <w:t>5129371</w:t>
      </w:r>
      <w:r w:rsidR="007823DF" w:rsidRPr="00D513CA">
        <w:rPr>
          <w:rFonts w:ascii="David" w:hAnsi="David"/>
          <w:color w:val="FFFFFF"/>
          <w:sz w:val="2"/>
          <w:szCs w:val="2"/>
          <w:rtl/>
        </w:rPr>
        <w:tab/>
      </w:r>
    </w:p>
    <w:p w14:paraId="330C3E54" w14:textId="77777777" w:rsidR="007823DF" w:rsidRPr="00D513CA" w:rsidRDefault="00D513CA" w:rsidP="007823DF">
      <w:pPr>
        <w:ind w:firstLine="720"/>
        <w:rPr>
          <w:rFonts w:ascii="David" w:hAnsi="David"/>
          <w:color w:val="FFFFFF"/>
          <w:sz w:val="2"/>
          <w:szCs w:val="2"/>
          <w:rtl/>
        </w:rPr>
      </w:pPr>
      <w:r w:rsidRPr="00D513CA">
        <w:rPr>
          <w:rFonts w:ascii="David" w:hAnsi="David"/>
          <w:color w:val="FFFFFF"/>
          <w:sz w:val="2"/>
          <w:szCs w:val="2"/>
          <w:rtl/>
        </w:rPr>
        <w:t>54678313</w:t>
      </w:r>
    </w:p>
    <w:p w14:paraId="77BFE784" w14:textId="77777777" w:rsidR="007823DF" w:rsidRPr="002B7D23" w:rsidRDefault="00D513CA" w:rsidP="007823DF">
      <w:pPr>
        <w:spacing w:line="360" w:lineRule="auto"/>
        <w:ind w:firstLine="720"/>
        <w:jc w:val="both"/>
        <w:rPr>
          <w:rFonts w:ascii="David" w:hAnsi="David"/>
          <w:sz w:val="26"/>
          <w:szCs w:val="26"/>
          <w:rtl/>
        </w:rPr>
      </w:pPr>
      <w:bookmarkStart w:id="8" w:name="Nitan"/>
      <w:r>
        <w:rPr>
          <w:rFonts w:ascii="David" w:hAnsi="David"/>
          <w:rtl/>
        </w:rPr>
        <w:t xml:space="preserve">ניתן היום,  י"ב כסלו תשפ"ב, 16 נובמבר 2021.  </w:t>
      </w:r>
      <w:bookmarkEnd w:id="8"/>
    </w:p>
    <w:p w14:paraId="1821AC57" w14:textId="77777777" w:rsidR="007823DF" w:rsidRPr="00CE5151" w:rsidRDefault="007823DF" w:rsidP="00D513CA">
      <w:pPr>
        <w:jc w:val="center"/>
      </w:pPr>
      <w:r w:rsidRPr="00CE5151">
        <w:rPr>
          <w:rFonts w:ascii="David" w:hAnsi="David"/>
          <w:i/>
          <w:iCs/>
          <w:sz w:val="26"/>
          <w:szCs w:val="26"/>
          <w:rtl/>
        </w:rPr>
        <w:t xml:space="preserve">   </w:t>
      </w:r>
      <w:r w:rsidRPr="00CE5151">
        <w:rPr>
          <w:rFonts w:ascii="David" w:hAnsi="David"/>
          <w:i/>
          <w:iCs/>
          <w:sz w:val="26"/>
          <w:szCs w:val="26"/>
          <w:rtl/>
        </w:rPr>
        <w:tab/>
      </w:r>
      <w:r w:rsidRPr="00CE5151">
        <w:rPr>
          <w:rFonts w:ascii="David" w:hAnsi="David"/>
          <w:i/>
          <w:iCs/>
          <w:sz w:val="26"/>
          <w:szCs w:val="26"/>
          <w:rtl/>
        </w:rPr>
        <w:tab/>
      </w:r>
      <w:r w:rsidRPr="00CE5151">
        <w:rPr>
          <w:rFonts w:ascii="David" w:hAnsi="David"/>
          <w:i/>
          <w:iCs/>
          <w:sz w:val="26"/>
          <w:szCs w:val="26"/>
          <w:rtl/>
        </w:rPr>
        <w:tab/>
      </w:r>
      <w:r w:rsidRPr="00CE5151">
        <w:rPr>
          <w:rFonts w:ascii="David" w:hAnsi="David"/>
          <w:i/>
          <w:iCs/>
          <w:sz w:val="26"/>
          <w:szCs w:val="26"/>
          <w:rtl/>
        </w:rPr>
        <w:tab/>
      </w:r>
      <w:r w:rsidRPr="00CE5151">
        <w:rPr>
          <w:rFonts w:ascii="David" w:hAnsi="David"/>
          <w:i/>
          <w:iCs/>
          <w:sz w:val="26"/>
          <w:szCs w:val="26"/>
          <w:rtl/>
        </w:rPr>
        <w:tab/>
      </w:r>
    </w:p>
    <w:p w14:paraId="5EDD42F8" w14:textId="77777777" w:rsidR="007823DF" w:rsidRPr="00CE5151" w:rsidRDefault="007823DF" w:rsidP="007823DF">
      <w:pPr>
        <w:jc w:val="center"/>
        <w:rPr>
          <w:rFonts w:ascii="David" w:hAnsi="David"/>
          <w:sz w:val="26"/>
          <w:szCs w:val="26"/>
          <w:rtl/>
        </w:rPr>
      </w:pPr>
    </w:p>
    <w:p w14:paraId="695F1B3A" w14:textId="77777777" w:rsidR="007823DF" w:rsidRPr="002B7D23" w:rsidRDefault="007823DF" w:rsidP="007823DF">
      <w:pPr>
        <w:jc w:val="center"/>
        <w:rPr>
          <w:rFonts w:ascii="David" w:hAnsi="David"/>
          <w:sz w:val="26"/>
          <w:szCs w:val="26"/>
          <w:rtl/>
        </w:rPr>
      </w:pPr>
    </w:p>
    <w:p w14:paraId="00A478EF" w14:textId="77777777" w:rsidR="009E266F" w:rsidRPr="00D513CA" w:rsidRDefault="009E266F" w:rsidP="00D513CA">
      <w:pPr>
        <w:keepNext/>
        <w:rPr>
          <w:rFonts w:ascii="David" w:hAnsi="David"/>
          <w:color w:val="000000"/>
          <w:sz w:val="22"/>
          <w:szCs w:val="22"/>
          <w:rtl/>
        </w:rPr>
      </w:pPr>
    </w:p>
    <w:p w14:paraId="40C01BC7" w14:textId="77777777" w:rsidR="00D513CA" w:rsidRPr="00D513CA" w:rsidRDefault="00D513CA" w:rsidP="00D513CA">
      <w:pPr>
        <w:keepNext/>
        <w:rPr>
          <w:rFonts w:ascii="David" w:hAnsi="David"/>
          <w:color w:val="000000"/>
          <w:sz w:val="22"/>
          <w:szCs w:val="22"/>
          <w:rtl/>
        </w:rPr>
      </w:pPr>
      <w:r w:rsidRPr="00D513CA">
        <w:rPr>
          <w:rFonts w:ascii="David" w:hAnsi="David"/>
          <w:color w:val="000000"/>
          <w:sz w:val="22"/>
          <w:szCs w:val="22"/>
          <w:rtl/>
        </w:rPr>
        <w:t>דיאנה סלע 54678313</w:t>
      </w:r>
    </w:p>
    <w:p w14:paraId="24F6688E" w14:textId="77777777" w:rsidR="00D513CA" w:rsidRDefault="00D513CA" w:rsidP="00D513CA">
      <w:pPr>
        <w:rPr>
          <w:rFonts w:hint="cs"/>
        </w:rPr>
      </w:pPr>
      <w:r w:rsidRPr="00D513CA">
        <w:rPr>
          <w:color w:val="000000"/>
          <w:rtl/>
        </w:rPr>
        <w:t>נוסח מסמך זה כפוף לשינויי ניסוח ועריכה</w:t>
      </w:r>
      <w:r w:rsidR="00CE074F">
        <w:rPr>
          <w:rFonts w:hint="cs"/>
          <w:rtl/>
        </w:rPr>
        <w:t xml:space="preserve"> </w:t>
      </w:r>
    </w:p>
    <w:p w14:paraId="1C15C490" w14:textId="77777777" w:rsidR="00D513CA" w:rsidRDefault="00D513CA" w:rsidP="00D513CA">
      <w:pPr>
        <w:rPr>
          <w:rtl/>
        </w:rPr>
      </w:pPr>
    </w:p>
    <w:p w14:paraId="0A228BE7" w14:textId="77777777" w:rsidR="00D513CA" w:rsidRDefault="00D513CA" w:rsidP="00D513CA">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6A5DCA3F" w14:textId="77777777" w:rsidR="00D513CA" w:rsidRPr="00D513CA" w:rsidRDefault="00D513CA" w:rsidP="00D513CA">
      <w:pPr>
        <w:jc w:val="center"/>
        <w:rPr>
          <w:color w:val="0000FF"/>
          <w:u w:val="single"/>
        </w:rPr>
      </w:pPr>
    </w:p>
    <w:sectPr w:rsidR="00D513CA" w:rsidRPr="00D513CA" w:rsidSect="00D513CA">
      <w:headerReference w:type="even" r:id="rId71"/>
      <w:headerReference w:type="default" r:id="rId72"/>
      <w:footerReference w:type="even" r:id="rId73"/>
      <w:footerReference w:type="default" r:id="rId74"/>
      <w:pgSz w:w="11907" w:h="16840" w:code="9"/>
      <w:pgMar w:top="1701" w:right="1701" w:bottom="1134" w:left="1134"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1E572" w14:textId="77777777" w:rsidR="00ED07EF" w:rsidRDefault="00ED07EF" w:rsidP="00E35E5C">
      <w:r>
        <w:separator/>
      </w:r>
    </w:p>
  </w:endnote>
  <w:endnote w:type="continuationSeparator" w:id="0">
    <w:p w14:paraId="5B3B7085" w14:textId="77777777" w:rsidR="00ED07EF" w:rsidRDefault="00ED07EF" w:rsidP="00E35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64880" w14:textId="77777777" w:rsidR="00D513CA" w:rsidRDefault="00D513CA" w:rsidP="00D513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8983356" w14:textId="77777777" w:rsidR="00B86722" w:rsidRPr="00D513CA" w:rsidRDefault="00D513CA" w:rsidP="00D513C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C47CF" w14:textId="77777777" w:rsidR="00D513CA" w:rsidRDefault="00D513CA" w:rsidP="00D513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B79EB">
      <w:rPr>
        <w:rFonts w:ascii="FrankRuehl" w:hAnsi="FrankRuehl" w:cs="FrankRuehl"/>
        <w:noProof/>
        <w:rtl/>
      </w:rPr>
      <w:t>1</w:t>
    </w:r>
    <w:r>
      <w:rPr>
        <w:rFonts w:ascii="FrankRuehl" w:hAnsi="FrankRuehl" w:cs="FrankRuehl"/>
        <w:rtl/>
      </w:rPr>
      <w:fldChar w:fldCharType="end"/>
    </w:r>
  </w:p>
  <w:p w14:paraId="168BAD6A" w14:textId="77777777" w:rsidR="00B86722" w:rsidRPr="00D513CA" w:rsidRDefault="00D513CA" w:rsidP="00D513C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6677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4D224" w14:textId="77777777" w:rsidR="00ED07EF" w:rsidRDefault="00ED07EF" w:rsidP="00E35E5C">
      <w:r>
        <w:separator/>
      </w:r>
    </w:p>
  </w:footnote>
  <w:footnote w:type="continuationSeparator" w:id="0">
    <w:p w14:paraId="4D5F17E6" w14:textId="77777777" w:rsidR="00ED07EF" w:rsidRDefault="00ED07EF" w:rsidP="00E35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320C2" w14:textId="77777777" w:rsidR="00D513CA" w:rsidRPr="00D513CA" w:rsidRDefault="00D513CA" w:rsidP="00D513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41762-12-20</w:t>
    </w:r>
    <w:r>
      <w:rPr>
        <w:rFonts w:ascii="David" w:hAnsi="David"/>
        <w:color w:val="000000"/>
        <w:sz w:val="22"/>
        <w:szCs w:val="22"/>
        <w:rtl/>
      </w:rPr>
      <w:tab/>
      <w:t xml:space="preserve"> מדינת ישראל נ' אנס גרדלי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A623A" w14:textId="77777777" w:rsidR="00D513CA" w:rsidRPr="00D513CA" w:rsidRDefault="00D513CA" w:rsidP="00D513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41762-12-20</w:t>
    </w:r>
    <w:r>
      <w:rPr>
        <w:rFonts w:ascii="David" w:hAnsi="David"/>
        <w:color w:val="000000"/>
        <w:sz w:val="22"/>
        <w:szCs w:val="22"/>
        <w:rtl/>
      </w:rPr>
      <w:tab/>
      <w:t xml:space="preserve"> מדינת ישראל נ' אנס גרדלי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823DF"/>
    <w:rsid w:val="00092D73"/>
    <w:rsid w:val="000B79EB"/>
    <w:rsid w:val="001B5A3B"/>
    <w:rsid w:val="002D50D5"/>
    <w:rsid w:val="00605827"/>
    <w:rsid w:val="007739C5"/>
    <w:rsid w:val="007823DF"/>
    <w:rsid w:val="00792008"/>
    <w:rsid w:val="009E266F"/>
    <w:rsid w:val="00A2779A"/>
    <w:rsid w:val="00AB1680"/>
    <w:rsid w:val="00B4209E"/>
    <w:rsid w:val="00B86722"/>
    <w:rsid w:val="00CE074F"/>
    <w:rsid w:val="00D513CA"/>
    <w:rsid w:val="00E35E5C"/>
    <w:rsid w:val="00ED07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4D7B0E"/>
  <w15:chartTrackingRefBased/>
  <w15:docId w15:val="{195B392E-1F0C-41B4-A59F-3D2EC6B7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23D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823DF"/>
    <w:pPr>
      <w:tabs>
        <w:tab w:val="center" w:pos="4153"/>
        <w:tab w:val="right" w:pos="8306"/>
      </w:tabs>
    </w:pPr>
  </w:style>
  <w:style w:type="character" w:customStyle="1" w:styleId="a4">
    <w:name w:val="כותרת עליונה תו"/>
    <w:link w:val="a3"/>
    <w:rsid w:val="007823DF"/>
    <w:rPr>
      <w:rFonts w:ascii="Times New Roman" w:eastAsia="Times New Roman" w:hAnsi="Times New Roman" w:cs="David"/>
      <w:sz w:val="24"/>
      <w:szCs w:val="24"/>
    </w:rPr>
  </w:style>
  <w:style w:type="paragraph" w:styleId="a5">
    <w:name w:val="footer"/>
    <w:basedOn w:val="a"/>
    <w:link w:val="a6"/>
    <w:rsid w:val="007823DF"/>
    <w:pPr>
      <w:tabs>
        <w:tab w:val="center" w:pos="4153"/>
        <w:tab w:val="right" w:pos="8306"/>
      </w:tabs>
    </w:pPr>
  </w:style>
  <w:style w:type="character" w:customStyle="1" w:styleId="a6">
    <w:name w:val="כותרת תחתונה תו"/>
    <w:link w:val="a5"/>
    <w:rsid w:val="007823DF"/>
    <w:rPr>
      <w:rFonts w:ascii="Times New Roman" w:eastAsia="Times New Roman" w:hAnsi="Times New Roman" w:cs="David"/>
      <w:sz w:val="24"/>
      <w:szCs w:val="24"/>
    </w:rPr>
  </w:style>
  <w:style w:type="table" w:styleId="a7">
    <w:name w:val="Table Grid"/>
    <w:basedOn w:val="a1"/>
    <w:rsid w:val="007823D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823DF"/>
  </w:style>
  <w:style w:type="paragraph" w:styleId="a9">
    <w:name w:val="No Spacing"/>
    <w:qFormat/>
    <w:rsid w:val="007823DF"/>
    <w:pPr>
      <w:bidi/>
    </w:pPr>
    <w:rPr>
      <w:sz w:val="22"/>
      <w:szCs w:val="22"/>
    </w:rPr>
  </w:style>
  <w:style w:type="paragraph" w:customStyle="1" w:styleId="P00">
    <w:name w:val="P00"/>
    <w:rsid w:val="007823DF"/>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FrankRuehl"/>
      <w:noProof/>
      <w:szCs w:val="26"/>
      <w:lang w:eastAsia="he-IL"/>
    </w:rPr>
  </w:style>
  <w:style w:type="paragraph" w:customStyle="1" w:styleId="aa">
    <w:name w:val="כללי"/>
    <w:basedOn w:val="a"/>
    <w:rsid w:val="007823DF"/>
    <w:pPr>
      <w:overflowPunct w:val="0"/>
      <w:autoSpaceDE w:val="0"/>
      <w:autoSpaceDN w:val="0"/>
      <w:adjustRightInd w:val="0"/>
      <w:spacing w:after="240" w:line="270" w:lineRule="exact"/>
      <w:ind w:firstLine="284"/>
      <w:jc w:val="both"/>
    </w:pPr>
    <w:rPr>
      <w:rFonts w:cs="FrankRuehl"/>
      <w:sz w:val="20"/>
      <w:lang w:eastAsia="he-IL"/>
    </w:rPr>
  </w:style>
  <w:style w:type="character" w:styleId="Hyperlink">
    <w:name w:val="Hyperlink"/>
    <w:rsid w:val="00D513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case/6136093" TargetMode="External"/><Relationship Id="rId42" Type="http://schemas.openxmlformats.org/officeDocument/2006/relationships/hyperlink" Target="http://www.nevo.co.il/case/8291683" TargetMode="External"/><Relationship Id="rId47" Type="http://schemas.openxmlformats.org/officeDocument/2006/relationships/hyperlink" Target="http://www.nevo.co.il/case/7821883" TargetMode="External"/><Relationship Id="rId63" Type="http://schemas.openxmlformats.org/officeDocument/2006/relationships/hyperlink" Target="http://www.nevo.co.il/case/4656586" TargetMode="External"/><Relationship Id="rId68" Type="http://schemas.openxmlformats.org/officeDocument/2006/relationships/hyperlink" Target="http://www.nevo.co.il/case/6473037"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6248029" TargetMode="External"/><Relationship Id="rId11" Type="http://schemas.openxmlformats.org/officeDocument/2006/relationships/hyperlink" Target="http://www.nevo.co.il/law/70301/40j" TargetMode="External"/><Relationship Id="rId24" Type="http://schemas.openxmlformats.org/officeDocument/2006/relationships/hyperlink" Target="http://www.nevo.co.il/law/70301/40f" TargetMode="External"/><Relationship Id="rId32" Type="http://schemas.openxmlformats.org/officeDocument/2006/relationships/hyperlink" Target="http://www.nevo.co.il/law/70301/40c"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5878682" TargetMode="External"/><Relationship Id="rId45" Type="http://schemas.openxmlformats.org/officeDocument/2006/relationships/hyperlink" Target="http://www.nevo.co.il/case/26263927" TargetMode="External"/><Relationship Id="rId53" Type="http://schemas.openxmlformats.org/officeDocument/2006/relationships/hyperlink" Target="http://www.nevo.co.il/law/70301/144.a" TargetMode="External"/><Relationship Id="rId58" Type="http://schemas.openxmlformats.org/officeDocument/2006/relationships/hyperlink" Target="http://www.nevo.co.il/case/22531980" TargetMode="External"/><Relationship Id="rId66" Type="http://schemas.openxmlformats.org/officeDocument/2006/relationships/hyperlink" Target="http://www.nevo.co.il/case/27841913" TargetMode="External"/><Relationship Id="rId74"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case/22250185" TargetMode="External"/><Relationship Id="rId19" Type="http://schemas.openxmlformats.org/officeDocument/2006/relationships/hyperlink" Target="http://www.nevo.co.il/case/7821883"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6473037" TargetMode="External"/><Relationship Id="rId30" Type="http://schemas.openxmlformats.org/officeDocument/2006/relationships/hyperlink" Target="http://www.nevo.co.il/case/20832660"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5612982" TargetMode="External"/><Relationship Id="rId48" Type="http://schemas.openxmlformats.org/officeDocument/2006/relationships/hyperlink" Target="http://www.nevo.co.il/case/6043688" TargetMode="External"/><Relationship Id="rId56" Type="http://schemas.openxmlformats.org/officeDocument/2006/relationships/hyperlink" Target="http://www.nevo.co.il/case/21055840" TargetMode="External"/><Relationship Id="rId64" Type="http://schemas.openxmlformats.org/officeDocument/2006/relationships/hyperlink" Target="http://www.nevo.co.il/case/5153529" TargetMode="External"/><Relationship Id="rId69" Type="http://schemas.openxmlformats.org/officeDocument/2006/relationships/hyperlink" Target="http://www.nevo.co.il/case/5819116" TargetMode="External"/><Relationship Id="rId8" Type="http://schemas.openxmlformats.org/officeDocument/2006/relationships/hyperlink" Target="http://www.nevo.co.il/law/70301/40f" TargetMode="External"/><Relationship Id="rId51" Type="http://schemas.openxmlformats.org/officeDocument/2006/relationships/hyperlink" Target="http://www.nevo.co.il/case/25824898" TargetMode="External"/><Relationship Id="rId72"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case/17948201" TargetMode="External"/><Relationship Id="rId25" Type="http://schemas.openxmlformats.org/officeDocument/2006/relationships/hyperlink" Target="http://www.nevo.co.il/law/70301/40g"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7791493" TargetMode="External"/><Relationship Id="rId46" Type="http://schemas.openxmlformats.org/officeDocument/2006/relationships/hyperlink" Target="http://www.nevo.co.il/case/6473037" TargetMode="External"/><Relationship Id="rId59" Type="http://schemas.openxmlformats.org/officeDocument/2006/relationships/hyperlink" Target="http://www.nevo.co.il/case/25294543" TargetMode="External"/><Relationship Id="rId67" Type="http://schemas.openxmlformats.org/officeDocument/2006/relationships/hyperlink" Target="http://www.nevo.co.il/case/27171364" TargetMode="External"/><Relationship Id="rId20" Type="http://schemas.openxmlformats.org/officeDocument/2006/relationships/hyperlink" Target="http://www.nevo.co.il/case/3878506" TargetMode="External"/><Relationship Id="rId41" Type="http://schemas.openxmlformats.org/officeDocument/2006/relationships/hyperlink" Target="http://www.nevo.co.il/case/21946424" TargetMode="External"/><Relationship Id="rId54" Type="http://schemas.openxmlformats.org/officeDocument/2006/relationships/hyperlink" Target="http://www.nevo.co.il/law/70301/144.c.3" TargetMode="External"/><Relationship Id="rId62" Type="http://schemas.openxmlformats.org/officeDocument/2006/relationships/hyperlink" Target="http://www.nevo.co.il/case/10499511"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c.3"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3009435" TargetMode="External"/><Relationship Id="rId36" Type="http://schemas.openxmlformats.org/officeDocument/2006/relationships/hyperlink" Target="http://www.nevo.co.il/law/70301/40i" TargetMode="External"/><Relationship Id="rId49" Type="http://schemas.openxmlformats.org/officeDocument/2006/relationships/hyperlink" Target="http://www.nevo.co.il/law/70301/40j#.c" TargetMode="External"/><Relationship Id="rId57" Type="http://schemas.openxmlformats.org/officeDocument/2006/relationships/hyperlink" Target="http://www.nevo.co.il/case/20718258"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13093744" TargetMode="External"/><Relationship Id="rId52" Type="http://schemas.openxmlformats.org/officeDocument/2006/relationships/hyperlink" Target="http://www.nevo.co.il/case/20685046" TargetMode="External"/><Relationship Id="rId60" Type="http://schemas.openxmlformats.org/officeDocument/2006/relationships/hyperlink" Target="http://www.nevo.co.il/case/23009435" TargetMode="External"/><Relationship Id="rId65" Type="http://schemas.openxmlformats.org/officeDocument/2006/relationships/hyperlink" Target="http://www.nevo.co.il/case/5678001" TargetMode="External"/><Relationship Id="rId7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0g" TargetMode="External"/><Relationship Id="rId13" Type="http://schemas.openxmlformats.org/officeDocument/2006/relationships/hyperlink" Target="http://www.nevo.co.il/law/70301/144.c.3" TargetMode="External"/><Relationship Id="rId18" Type="http://schemas.openxmlformats.org/officeDocument/2006/relationships/hyperlink" Target="http://www.nevo.co.il/case/7791493" TargetMode="External"/><Relationship Id="rId39" Type="http://schemas.openxmlformats.org/officeDocument/2006/relationships/hyperlink" Target="http://www.nevo.co.il/case/23509035" TargetMode="External"/><Relationship Id="rId34" Type="http://schemas.openxmlformats.org/officeDocument/2006/relationships/hyperlink" Target="http://www.nevo.co.il/law/70301/40c"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76" Type="http://schemas.openxmlformats.org/officeDocument/2006/relationships/theme" Target="theme/theme1.xml"/><Relationship Id="rId7" Type="http://schemas.openxmlformats.org/officeDocument/2006/relationships/hyperlink" Target="http://www.nevo.co.il/law/70301/40c"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6017</Words>
  <Characters>30086</Characters>
  <Application>Microsoft Office Word</Application>
  <DocSecurity>0</DocSecurity>
  <Lines>250</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36031</CharactersWithSpaces>
  <SharedDoc>false</SharedDoc>
  <HLinks>
    <vt:vector size="396" baseType="variant">
      <vt:variant>
        <vt:i4>393283</vt:i4>
      </vt:variant>
      <vt:variant>
        <vt:i4>195</vt:i4>
      </vt:variant>
      <vt:variant>
        <vt:i4>0</vt:i4>
      </vt:variant>
      <vt:variant>
        <vt:i4>5</vt:i4>
      </vt:variant>
      <vt:variant>
        <vt:lpwstr>http://www.nevo.co.il/advertisements/nevo-100.doc</vt:lpwstr>
      </vt:variant>
      <vt:variant>
        <vt:lpwstr/>
      </vt:variant>
      <vt:variant>
        <vt:i4>3342452</vt:i4>
      </vt:variant>
      <vt:variant>
        <vt:i4>192</vt:i4>
      </vt:variant>
      <vt:variant>
        <vt:i4>0</vt:i4>
      </vt:variant>
      <vt:variant>
        <vt:i4>5</vt:i4>
      </vt:variant>
      <vt:variant>
        <vt:lpwstr>http://www.nevo.co.il/case/5819116</vt:lpwstr>
      </vt:variant>
      <vt:variant>
        <vt:lpwstr/>
      </vt:variant>
      <vt:variant>
        <vt:i4>3866739</vt:i4>
      </vt:variant>
      <vt:variant>
        <vt:i4>189</vt:i4>
      </vt:variant>
      <vt:variant>
        <vt:i4>0</vt:i4>
      </vt:variant>
      <vt:variant>
        <vt:i4>5</vt:i4>
      </vt:variant>
      <vt:variant>
        <vt:lpwstr>http://www.nevo.co.il/case/5704648</vt:lpwstr>
      </vt:variant>
      <vt:variant>
        <vt:lpwstr/>
      </vt:variant>
      <vt:variant>
        <vt:i4>3539056</vt:i4>
      </vt:variant>
      <vt:variant>
        <vt:i4>186</vt:i4>
      </vt:variant>
      <vt:variant>
        <vt:i4>0</vt:i4>
      </vt:variant>
      <vt:variant>
        <vt:i4>5</vt:i4>
      </vt:variant>
      <vt:variant>
        <vt:lpwstr>http://www.nevo.co.il/case/6473037</vt:lpwstr>
      </vt:variant>
      <vt:variant>
        <vt:lpwstr/>
      </vt:variant>
      <vt:variant>
        <vt:i4>3407991</vt:i4>
      </vt:variant>
      <vt:variant>
        <vt:i4>183</vt:i4>
      </vt:variant>
      <vt:variant>
        <vt:i4>0</vt:i4>
      </vt:variant>
      <vt:variant>
        <vt:i4>5</vt:i4>
      </vt:variant>
      <vt:variant>
        <vt:lpwstr>http://www.nevo.co.il/case/27171364</vt:lpwstr>
      </vt:variant>
      <vt:variant>
        <vt:lpwstr/>
      </vt:variant>
      <vt:variant>
        <vt:i4>3801214</vt:i4>
      </vt:variant>
      <vt:variant>
        <vt:i4>180</vt:i4>
      </vt:variant>
      <vt:variant>
        <vt:i4>0</vt:i4>
      </vt:variant>
      <vt:variant>
        <vt:i4>5</vt:i4>
      </vt:variant>
      <vt:variant>
        <vt:lpwstr>http://www.nevo.co.il/case/27841913</vt:lpwstr>
      </vt:variant>
      <vt:variant>
        <vt:lpwstr/>
      </vt:variant>
      <vt:variant>
        <vt:i4>3342458</vt:i4>
      </vt:variant>
      <vt:variant>
        <vt:i4>177</vt:i4>
      </vt:variant>
      <vt:variant>
        <vt:i4>0</vt:i4>
      </vt:variant>
      <vt:variant>
        <vt:i4>5</vt:i4>
      </vt:variant>
      <vt:variant>
        <vt:lpwstr>http://www.nevo.co.il/case/5678001</vt:lpwstr>
      </vt:variant>
      <vt:variant>
        <vt:lpwstr/>
      </vt:variant>
      <vt:variant>
        <vt:i4>3932276</vt:i4>
      </vt:variant>
      <vt:variant>
        <vt:i4>174</vt:i4>
      </vt:variant>
      <vt:variant>
        <vt:i4>0</vt:i4>
      </vt:variant>
      <vt:variant>
        <vt:i4>5</vt:i4>
      </vt:variant>
      <vt:variant>
        <vt:lpwstr>http://www.nevo.co.il/case/5153529</vt:lpwstr>
      </vt:variant>
      <vt:variant>
        <vt:lpwstr/>
      </vt:variant>
      <vt:variant>
        <vt:i4>3276924</vt:i4>
      </vt:variant>
      <vt:variant>
        <vt:i4>171</vt:i4>
      </vt:variant>
      <vt:variant>
        <vt:i4>0</vt:i4>
      </vt:variant>
      <vt:variant>
        <vt:i4>5</vt:i4>
      </vt:variant>
      <vt:variant>
        <vt:lpwstr>http://www.nevo.co.il/case/4656586</vt:lpwstr>
      </vt:variant>
      <vt:variant>
        <vt:lpwstr/>
      </vt:variant>
      <vt:variant>
        <vt:i4>3997816</vt:i4>
      </vt:variant>
      <vt:variant>
        <vt:i4>168</vt:i4>
      </vt:variant>
      <vt:variant>
        <vt:i4>0</vt:i4>
      </vt:variant>
      <vt:variant>
        <vt:i4>5</vt:i4>
      </vt:variant>
      <vt:variant>
        <vt:lpwstr>http://www.nevo.co.il/case/10499511</vt:lpwstr>
      </vt:variant>
      <vt:variant>
        <vt:lpwstr/>
      </vt:variant>
      <vt:variant>
        <vt:i4>3670130</vt:i4>
      </vt:variant>
      <vt:variant>
        <vt:i4>165</vt:i4>
      </vt:variant>
      <vt:variant>
        <vt:i4>0</vt:i4>
      </vt:variant>
      <vt:variant>
        <vt:i4>5</vt:i4>
      </vt:variant>
      <vt:variant>
        <vt:lpwstr>http://www.nevo.co.il/case/22250185</vt:lpwstr>
      </vt:variant>
      <vt:variant>
        <vt:lpwstr/>
      </vt:variant>
      <vt:variant>
        <vt:i4>3670131</vt:i4>
      </vt:variant>
      <vt:variant>
        <vt:i4>162</vt:i4>
      </vt:variant>
      <vt:variant>
        <vt:i4>0</vt:i4>
      </vt:variant>
      <vt:variant>
        <vt:i4>5</vt:i4>
      </vt:variant>
      <vt:variant>
        <vt:lpwstr>http://www.nevo.co.il/case/23009435</vt:lpwstr>
      </vt:variant>
      <vt:variant>
        <vt:lpwstr/>
      </vt:variant>
      <vt:variant>
        <vt:i4>3145853</vt:i4>
      </vt:variant>
      <vt:variant>
        <vt:i4>159</vt:i4>
      </vt:variant>
      <vt:variant>
        <vt:i4>0</vt:i4>
      </vt:variant>
      <vt:variant>
        <vt:i4>5</vt:i4>
      </vt:variant>
      <vt:variant>
        <vt:lpwstr>http://www.nevo.co.il/case/25294543</vt:lpwstr>
      </vt:variant>
      <vt:variant>
        <vt:lpwstr/>
      </vt:variant>
      <vt:variant>
        <vt:i4>4063356</vt:i4>
      </vt:variant>
      <vt:variant>
        <vt:i4>156</vt:i4>
      </vt:variant>
      <vt:variant>
        <vt:i4>0</vt:i4>
      </vt:variant>
      <vt:variant>
        <vt:i4>5</vt:i4>
      </vt:variant>
      <vt:variant>
        <vt:lpwstr>http://www.nevo.co.il/case/22531980</vt:lpwstr>
      </vt:variant>
      <vt:variant>
        <vt:lpwstr/>
      </vt:variant>
      <vt:variant>
        <vt:i4>3670135</vt:i4>
      </vt:variant>
      <vt:variant>
        <vt:i4>153</vt:i4>
      </vt:variant>
      <vt:variant>
        <vt:i4>0</vt:i4>
      </vt:variant>
      <vt:variant>
        <vt:i4>5</vt:i4>
      </vt:variant>
      <vt:variant>
        <vt:lpwstr>http://www.nevo.co.il/case/20718258</vt:lpwstr>
      </vt:variant>
      <vt:variant>
        <vt:lpwstr/>
      </vt:variant>
      <vt:variant>
        <vt:i4>3342456</vt:i4>
      </vt:variant>
      <vt:variant>
        <vt:i4>150</vt:i4>
      </vt:variant>
      <vt:variant>
        <vt:i4>0</vt:i4>
      </vt:variant>
      <vt:variant>
        <vt:i4>5</vt:i4>
      </vt:variant>
      <vt:variant>
        <vt:lpwstr>http://www.nevo.co.il/case/21055840</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6357043</vt:i4>
      </vt:variant>
      <vt:variant>
        <vt:i4>144</vt:i4>
      </vt:variant>
      <vt:variant>
        <vt:i4>0</vt:i4>
      </vt:variant>
      <vt:variant>
        <vt:i4>5</vt:i4>
      </vt:variant>
      <vt:variant>
        <vt:lpwstr>http://www.nevo.co.il/law/70301/144.c.3</vt:lpwstr>
      </vt:variant>
      <vt:variant>
        <vt:lpwstr/>
      </vt:variant>
      <vt:variant>
        <vt:i4>5177424</vt:i4>
      </vt:variant>
      <vt:variant>
        <vt:i4>141</vt:i4>
      </vt:variant>
      <vt:variant>
        <vt:i4>0</vt:i4>
      </vt:variant>
      <vt:variant>
        <vt:i4>5</vt:i4>
      </vt:variant>
      <vt:variant>
        <vt:lpwstr>http://www.nevo.co.il/law/70301/144.a</vt:lpwstr>
      </vt:variant>
      <vt:variant>
        <vt:lpwstr/>
      </vt:variant>
      <vt:variant>
        <vt:i4>3473532</vt:i4>
      </vt:variant>
      <vt:variant>
        <vt:i4>138</vt:i4>
      </vt:variant>
      <vt:variant>
        <vt:i4>0</vt:i4>
      </vt:variant>
      <vt:variant>
        <vt:i4>5</vt:i4>
      </vt:variant>
      <vt:variant>
        <vt:lpwstr>http://www.nevo.co.il/case/20685046</vt:lpwstr>
      </vt:variant>
      <vt:variant>
        <vt:lpwstr/>
      </vt:variant>
      <vt:variant>
        <vt:i4>3604603</vt:i4>
      </vt:variant>
      <vt:variant>
        <vt:i4>135</vt:i4>
      </vt:variant>
      <vt:variant>
        <vt:i4>0</vt:i4>
      </vt:variant>
      <vt:variant>
        <vt:i4>5</vt:i4>
      </vt:variant>
      <vt:variant>
        <vt:lpwstr>http://www.nevo.co.il/case/25824898</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393295</vt:i4>
      </vt:variant>
      <vt:variant>
        <vt:i4>129</vt:i4>
      </vt:variant>
      <vt:variant>
        <vt:i4>0</vt:i4>
      </vt:variant>
      <vt:variant>
        <vt:i4>5</vt:i4>
      </vt:variant>
      <vt:variant>
        <vt:lpwstr>http://www.nevo.co.il/law/70301/40j</vt:lpwstr>
      </vt:variant>
      <vt:variant>
        <vt:lpwstr>.c</vt:lpwstr>
      </vt:variant>
      <vt:variant>
        <vt:i4>3932287</vt:i4>
      </vt:variant>
      <vt:variant>
        <vt:i4>126</vt:i4>
      </vt:variant>
      <vt:variant>
        <vt:i4>0</vt:i4>
      </vt:variant>
      <vt:variant>
        <vt:i4>5</vt:i4>
      </vt:variant>
      <vt:variant>
        <vt:lpwstr>http://www.nevo.co.il/case/6043688</vt:lpwstr>
      </vt:variant>
      <vt:variant>
        <vt:lpwstr/>
      </vt:variant>
      <vt:variant>
        <vt:i4>4063349</vt:i4>
      </vt:variant>
      <vt:variant>
        <vt:i4>123</vt:i4>
      </vt:variant>
      <vt:variant>
        <vt:i4>0</vt:i4>
      </vt:variant>
      <vt:variant>
        <vt:i4>5</vt:i4>
      </vt:variant>
      <vt:variant>
        <vt:lpwstr>http://www.nevo.co.il/case/7821883</vt:lpwstr>
      </vt:variant>
      <vt:variant>
        <vt:lpwstr/>
      </vt:variant>
      <vt:variant>
        <vt:i4>3539056</vt:i4>
      </vt:variant>
      <vt:variant>
        <vt:i4>120</vt:i4>
      </vt:variant>
      <vt:variant>
        <vt:i4>0</vt:i4>
      </vt:variant>
      <vt:variant>
        <vt:i4>5</vt:i4>
      </vt:variant>
      <vt:variant>
        <vt:lpwstr>http://www.nevo.co.il/case/6473037</vt:lpwstr>
      </vt:variant>
      <vt:variant>
        <vt:lpwstr/>
      </vt:variant>
      <vt:variant>
        <vt:i4>3211389</vt:i4>
      </vt:variant>
      <vt:variant>
        <vt:i4>117</vt:i4>
      </vt:variant>
      <vt:variant>
        <vt:i4>0</vt:i4>
      </vt:variant>
      <vt:variant>
        <vt:i4>5</vt:i4>
      </vt:variant>
      <vt:variant>
        <vt:lpwstr>http://www.nevo.co.il/case/26263927</vt:lpwstr>
      </vt:variant>
      <vt:variant>
        <vt:lpwstr/>
      </vt:variant>
      <vt:variant>
        <vt:i4>3539065</vt:i4>
      </vt:variant>
      <vt:variant>
        <vt:i4>114</vt:i4>
      </vt:variant>
      <vt:variant>
        <vt:i4>0</vt:i4>
      </vt:variant>
      <vt:variant>
        <vt:i4>5</vt:i4>
      </vt:variant>
      <vt:variant>
        <vt:lpwstr>http://www.nevo.co.il/case/13093744</vt:lpwstr>
      </vt:variant>
      <vt:variant>
        <vt:lpwstr/>
      </vt:variant>
      <vt:variant>
        <vt:i4>4063353</vt:i4>
      </vt:variant>
      <vt:variant>
        <vt:i4>111</vt:i4>
      </vt:variant>
      <vt:variant>
        <vt:i4>0</vt:i4>
      </vt:variant>
      <vt:variant>
        <vt:i4>5</vt:i4>
      </vt:variant>
      <vt:variant>
        <vt:lpwstr>http://www.nevo.co.il/case/25612982</vt:lpwstr>
      </vt:variant>
      <vt:variant>
        <vt:lpwstr/>
      </vt:variant>
      <vt:variant>
        <vt:i4>3407999</vt:i4>
      </vt:variant>
      <vt:variant>
        <vt:i4>108</vt:i4>
      </vt:variant>
      <vt:variant>
        <vt:i4>0</vt:i4>
      </vt:variant>
      <vt:variant>
        <vt:i4>5</vt:i4>
      </vt:variant>
      <vt:variant>
        <vt:lpwstr>http://www.nevo.co.il/case/8291683</vt:lpwstr>
      </vt:variant>
      <vt:variant>
        <vt:lpwstr/>
      </vt:variant>
      <vt:variant>
        <vt:i4>4128885</vt:i4>
      </vt:variant>
      <vt:variant>
        <vt:i4>105</vt:i4>
      </vt:variant>
      <vt:variant>
        <vt:i4>0</vt:i4>
      </vt:variant>
      <vt:variant>
        <vt:i4>5</vt:i4>
      </vt:variant>
      <vt:variant>
        <vt:lpwstr>http://www.nevo.co.il/case/21946424</vt:lpwstr>
      </vt:variant>
      <vt:variant>
        <vt:lpwstr/>
      </vt:variant>
      <vt:variant>
        <vt:i4>3539068</vt:i4>
      </vt:variant>
      <vt:variant>
        <vt:i4>102</vt:i4>
      </vt:variant>
      <vt:variant>
        <vt:i4>0</vt:i4>
      </vt:variant>
      <vt:variant>
        <vt:i4>5</vt:i4>
      </vt:variant>
      <vt:variant>
        <vt:lpwstr>http://www.nevo.co.il/case/5878682</vt:lpwstr>
      </vt:variant>
      <vt:variant>
        <vt:lpwstr/>
      </vt:variant>
      <vt:variant>
        <vt:i4>3997815</vt:i4>
      </vt:variant>
      <vt:variant>
        <vt:i4>99</vt:i4>
      </vt:variant>
      <vt:variant>
        <vt:i4>0</vt:i4>
      </vt:variant>
      <vt:variant>
        <vt:i4>5</vt:i4>
      </vt:variant>
      <vt:variant>
        <vt:lpwstr>http://www.nevo.co.il/case/23509035</vt:lpwstr>
      </vt:variant>
      <vt:variant>
        <vt:lpwstr/>
      </vt:variant>
      <vt:variant>
        <vt:i4>3735675</vt:i4>
      </vt:variant>
      <vt:variant>
        <vt:i4>96</vt:i4>
      </vt:variant>
      <vt:variant>
        <vt:i4>0</vt:i4>
      </vt:variant>
      <vt:variant>
        <vt:i4>5</vt:i4>
      </vt:variant>
      <vt:variant>
        <vt:lpwstr>http://www.nevo.co.il/case/7791493</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http://www.nevo.co.il/law/70301/40c</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http://www.nevo.co.il/law/70301/40c</vt:lpwstr>
      </vt:variant>
      <vt:variant>
        <vt:lpwstr/>
      </vt:variant>
      <vt:variant>
        <vt:i4>7995492</vt:i4>
      </vt:variant>
      <vt:variant>
        <vt:i4>75</vt:i4>
      </vt:variant>
      <vt:variant>
        <vt:i4>0</vt:i4>
      </vt:variant>
      <vt:variant>
        <vt:i4>5</vt:i4>
      </vt:variant>
      <vt:variant>
        <vt:lpwstr>http://www.nevo.co.il/law/70301</vt:lpwstr>
      </vt:variant>
      <vt:variant>
        <vt:lpwstr/>
      </vt:variant>
      <vt:variant>
        <vt:i4>4063345</vt:i4>
      </vt:variant>
      <vt:variant>
        <vt:i4>72</vt:i4>
      </vt:variant>
      <vt:variant>
        <vt:i4>0</vt:i4>
      </vt:variant>
      <vt:variant>
        <vt:i4>5</vt:i4>
      </vt:variant>
      <vt:variant>
        <vt:lpwstr>http://www.nevo.co.il/case/20832660</vt:lpwstr>
      </vt:variant>
      <vt:variant>
        <vt:lpwstr/>
      </vt:variant>
      <vt:variant>
        <vt:i4>3866748</vt:i4>
      </vt:variant>
      <vt:variant>
        <vt:i4>69</vt:i4>
      </vt:variant>
      <vt:variant>
        <vt:i4>0</vt:i4>
      </vt:variant>
      <vt:variant>
        <vt:i4>5</vt:i4>
      </vt:variant>
      <vt:variant>
        <vt:lpwstr>http://www.nevo.co.il/case/6248029</vt:lpwstr>
      </vt:variant>
      <vt:variant>
        <vt:lpwstr/>
      </vt:variant>
      <vt:variant>
        <vt:i4>3670131</vt:i4>
      </vt:variant>
      <vt:variant>
        <vt:i4>66</vt:i4>
      </vt:variant>
      <vt:variant>
        <vt:i4>0</vt:i4>
      </vt:variant>
      <vt:variant>
        <vt:i4>5</vt:i4>
      </vt:variant>
      <vt:variant>
        <vt:lpwstr>http://www.nevo.co.il/case/23009435</vt:lpwstr>
      </vt:variant>
      <vt:variant>
        <vt:lpwstr/>
      </vt:variant>
      <vt:variant>
        <vt:i4>3539056</vt:i4>
      </vt:variant>
      <vt:variant>
        <vt:i4>63</vt:i4>
      </vt:variant>
      <vt:variant>
        <vt:i4>0</vt:i4>
      </vt:variant>
      <vt:variant>
        <vt:i4>5</vt:i4>
      </vt:variant>
      <vt:variant>
        <vt:lpwstr>http://www.nevo.co.il/case/6473037</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http://www.nevo.co.il/law/70301/40g</vt:lpwstr>
      </vt:variant>
      <vt:variant>
        <vt:lpwstr/>
      </vt:variant>
      <vt:variant>
        <vt:i4>6619233</vt:i4>
      </vt:variant>
      <vt:variant>
        <vt:i4>54</vt:i4>
      </vt:variant>
      <vt:variant>
        <vt:i4>0</vt:i4>
      </vt:variant>
      <vt:variant>
        <vt:i4>5</vt:i4>
      </vt:variant>
      <vt:variant>
        <vt:lpwstr>http://www.nevo.co.il/law/70301/40f</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3539066</vt:i4>
      </vt:variant>
      <vt:variant>
        <vt:i4>45</vt:i4>
      </vt:variant>
      <vt:variant>
        <vt:i4>0</vt:i4>
      </vt:variant>
      <vt:variant>
        <vt:i4>5</vt:i4>
      </vt:variant>
      <vt:variant>
        <vt:lpwstr>http://www.nevo.co.il/case/6136093</vt:lpwstr>
      </vt:variant>
      <vt:variant>
        <vt:lpwstr/>
      </vt:variant>
      <vt:variant>
        <vt:i4>3604596</vt:i4>
      </vt:variant>
      <vt:variant>
        <vt:i4>42</vt:i4>
      </vt:variant>
      <vt:variant>
        <vt:i4>0</vt:i4>
      </vt:variant>
      <vt:variant>
        <vt:i4>5</vt:i4>
      </vt:variant>
      <vt:variant>
        <vt:lpwstr>http://www.nevo.co.il/case/3878506</vt:lpwstr>
      </vt:variant>
      <vt:variant>
        <vt:lpwstr/>
      </vt:variant>
      <vt:variant>
        <vt:i4>4063349</vt:i4>
      </vt:variant>
      <vt:variant>
        <vt:i4>39</vt:i4>
      </vt:variant>
      <vt:variant>
        <vt:i4>0</vt:i4>
      </vt:variant>
      <vt:variant>
        <vt:i4>5</vt:i4>
      </vt:variant>
      <vt:variant>
        <vt:lpwstr>http://www.nevo.co.il/case/7821883</vt:lpwstr>
      </vt:variant>
      <vt:variant>
        <vt:lpwstr/>
      </vt:variant>
      <vt:variant>
        <vt:i4>3735675</vt:i4>
      </vt:variant>
      <vt:variant>
        <vt:i4>36</vt:i4>
      </vt:variant>
      <vt:variant>
        <vt:i4>0</vt:i4>
      </vt:variant>
      <vt:variant>
        <vt:i4>5</vt:i4>
      </vt:variant>
      <vt:variant>
        <vt:lpwstr>http://www.nevo.co.il/case/7791493</vt:lpwstr>
      </vt:variant>
      <vt:variant>
        <vt:lpwstr/>
      </vt:variant>
      <vt:variant>
        <vt:i4>3145845</vt:i4>
      </vt:variant>
      <vt:variant>
        <vt:i4>33</vt:i4>
      </vt:variant>
      <vt:variant>
        <vt:i4>0</vt:i4>
      </vt:variant>
      <vt:variant>
        <vt:i4>5</vt:i4>
      </vt:variant>
      <vt:variant>
        <vt:lpwstr>http://www.nevo.co.il/case/17948201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6357043</vt:i4>
      </vt:variant>
      <vt:variant>
        <vt:i4>27</vt:i4>
      </vt:variant>
      <vt:variant>
        <vt:i4>0</vt:i4>
      </vt:variant>
      <vt:variant>
        <vt:i4>5</vt:i4>
      </vt:variant>
      <vt:variant>
        <vt:lpwstr>http://www.nevo.co.il/law/70301/144.c.3</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6357043</vt:i4>
      </vt:variant>
      <vt:variant>
        <vt:i4>21</vt:i4>
      </vt:variant>
      <vt:variant>
        <vt:i4>0</vt:i4>
      </vt:variant>
      <vt:variant>
        <vt:i4>5</vt:i4>
      </vt:variant>
      <vt:variant>
        <vt:lpwstr>http://www.nevo.co.il/law/70301/144.c.3</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6619233</vt:i4>
      </vt:variant>
      <vt:variant>
        <vt:i4>15</vt:i4>
      </vt:variant>
      <vt:variant>
        <vt:i4>0</vt:i4>
      </vt:variant>
      <vt:variant>
        <vt:i4>5</vt:i4>
      </vt:variant>
      <vt:variant>
        <vt:lpwstr>http://www.nevo.co.il/law/70301/40j</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6619233</vt:i4>
      </vt:variant>
      <vt:variant>
        <vt:i4>6</vt:i4>
      </vt:variant>
      <vt:variant>
        <vt:i4>0</vt:i4>
      </vt:variant>
      <vt:variant>
        <vt:i4>5</vt:i4>
      </vt:variant>
      <vt:variant>
        <vt:lpwstr>http://www.nevo.co.il/law/70301/40f</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2025-01-19T16:39:00Z</dcterms:created>
  <dcterms:modified xsi:type="dcterms:W3CDTF">2025-01-19T16:39:00Z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41762</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אנס גרדלי</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20211116</vt:lpwstr>
  </property>
  <property fmtid="{D5CDD505-2E9C-101B-9397-08002B2CF9AE}" pid="13" name="TYPE_N_DATE">
    <vt:lpwstr>39020211116</vt:lpwstr>
  </property>
  <property fmtid="{D5CDD505-2E9C-101B-9397-08002B2CF9AE}" pid="14" name="WORDNUMPAGES">
    <vt:lpwstr>15</vt:lpwstr>
  </property>
  <property fmtid="{D5CDD505-2E9C-101B-9397-08002B2CF9AE}" pid="15" name="TYPE_ABS_DATE">
    <vt:lpwstr>390020211116</vt:lpwstr>
  </property>
  <property fmtid="{D5CDD505-2E9C-101B-9397-08002B2CF9AE}" pid="16" name="ISABSTRACT">
    <vt:lpwstr>Y</vt:lpwstr>
  </property>
  <property fmtid="{D5CDD505-2E9C-101B-9397-08002B2CF9AE}" pid="17" name="CASESLISTTMP1">
    <vt:lpwstr>17948201;7791493:2;7821883:2;3878506;6136093;6473037:3;23009435:2;6248029;20832660;23509035;5878682;21946424;8291683;25612982;13093744;26263927;6043688;25824898;20685046;21055840;20718258;22531980;25294543;22250185;10499511;4656586;5153529;5678001</vt:lpwstr>
  </property>
  <property fmtid="{D5CDD505-2E9C-101B-9397-08002B2CF9AE}" pid="18" name="CASESLISTTMP2">
    <vt:lpwstr>27841913;27171364;5704648;5819116</vt:lpwstr>
  </property>
  <property fmtid="{D5CDD505-2E9C-101B-9397-08002B2CF9AE}" pid="19" name="LAWLISTTMP1">
    <vt:lpwstr>70301/144.a:2;144.c.3:2;040i:2;040f;040g;040c:2;040j</vt:lpwstr>
  </property>
</Properties>
</file>