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6630C0" w:rsidRPr="00E81991" w14:paraId="7D6A6462" w14:textId="77777777" w:rsidTr="00314EB6">
        <w:trPr>
          <w:trHeight w:hRule="exact" w:val="418"/>
          <w:jc w:val="center"/>
        </w:trPr>
        <w:tc>
          <w:tcPr>
            <w:tcW w:w="8721" w:type="dxa"/>
            <w:gridSpan w:val="2"/>
          </w:tcPr>
          <w:p w14:paraId="4C8AA1B4" w14:textId="77777777" w:rsidR="006630C0" w:rsidRPr="00E81991" w:rsidRDefault="006630C0" w:rsidP="00ED0687">
            <w:pPr>
              <w:pStyle w:val="a3"/>
              <w:jc w:val="center"/>
              <w:rPr>
                <w:rFonts w:ascii="Tahoma" w:hAnsi="Tahoma" w:cs="Tahoma"/>
                <w:color w:val="000080"/>
                <w:rtl/>
              </w:rPr>
            </w:pPr>
            <w:bookmarkStart w:id="0" w:name="LastJudge"/>
            <w:r w:rsidRPr="00E81991">
              <w:rPr>
                <w:rFonts w:ascii="Tahoma" w:hAnsi="Tahoma" w:cs="Tahoma"/>
                <w:b/>
                <w:bCs/>
                <w:color w:val="000080"/>
                <w:rtl/>
              </w:rPr>
              <w:t>בית המשפט המחוזי בחיפה</w:t>
            </w:r>
          </w:p>
        </w:tc>
      </w:tr>
      <w:tr w:rsidR="006630C0" w:rsidRPr="00E81991" w14:paraId="5C9323E3" w14:textId="77777777" w:rsidTr="00314EB6">
        <w:trPr>
          <w:trHeight w:val="337"/>
          <w:jc w:val="center"/>
        </w:trPr>
        <w:tc>
          <w:tcPr>
            <w:tcW w:w="5063" w:type="dxa"/>
          </w:tcPr>
          <w:p w14:paraId="7599F650" w14:textId="77777777" w:rsidR="006630C0" w:rsidRPr="00E81991" w:rsidRDefault="006630C0" w:rsidP="00ED0687">
            <w:pPr>
              <w:rPr>
                <w:rFonts w:cs="FrankRuehl"/>
                <w:sz w:val="28"/>
                <w:szCs w:val="28"/>
                <w:rtl/>
              </w:rPr>
            </w:pPr>
            <w:r w:rsidRPr="00E81991">
              <w:rPr>
                <w:rFonts w:cs="FrankRuehl"/>
                <w:sz w:val="28"/>
                <w:szCs w:val="28"/>
                <w:rtl/>
              </w:rPr>
              <w:t>ת"פ</w:t>
            </w:r>
            <w:r w:rsidRPr="00E81991">
              <w:rPr>
                <w:rFonts w:cs="FrankRuehl" w:hint="cs"/>
                <w:sz w:val="28"/>
                <w:szCs w:val="28"/>
                <w:rtl/>
              </w:rPr>
              <w:t xml:space="preserve"> </w:t>
            </w:r>
            <w:r w:rsidRPr="00E81991">
              <w:rPr>
                <w:rFonts w:cs="FrankRuehl"/>
                <w:sz w:val="28"/>
                <w:szCs w:val="28"/>
                <w:rtl/>
              </w:rPr>
              <w:t>1802-01-21</w:t>
            </w:r>
            <w:r w:rsidRPr="00E81991">
              <w:rPr>
                <w:rFonts w:cs="FrankRuehl" w:hint="cs"/>
                <w:sz w:val="28"/>
                <w:szCs w:val="28"/>
                <w:rtl/>
              </w:rPr>
              <w:t xml:space="preserve"> </w:t>
            </w:r>
            <w:r w:rsidRPr="00E81991">
              <w:rPr>
                <w:rFonts w:cs="FrankRuehl"/>
                <w:sz w:val="28"/>
                <w:szCs w:val="28"/>
                <w:rtl/>
              </w:rPr>
              <w:t>מדינת ישראל נ' סרחאן(עצור/אסיר בפיקוח)</w:t>
            </w:r>
          </w:p>
          <w:p w14:paraId="2E8B5EDD" w14:textId="77777777" w:rsidR="006630C0" w:rsidRPr="00E81991" w:rsidRDefault="006630C0" w:rsidP="00ED0687">
            <w:pPr>
              <w:pStyle w:val="a3"/>
              <w:rPr>
                <w:rFonts w:cs="FrankRuehl"/>
                <w:sz w:val="28"/>
                <w:szCs w:val="28"/>
                <w:rtl/>
              </w:rPr>
            </w:pPr>
          </w:p>
        </w:tc>
        <w:tc>
          <w:tcPr>
            <w:tcW w:w="3658" w:type="dxa"/>
          </w:tcPr>
          <w:p w14:paraId="33C30B3E" w14:textId="77777777" w:rsidR="006630C0" w:rsidRPr="00E81991" w:rsidRDefault="006630C0" w:rsidP="00ED0687">
            <w:pPr>
              <w:pStyle w:val="a3"/>
              <w:jc w:val="right"/>
              <w:rPr>
                <w:rFonts w:cs="FrankRuehl"/>
                <w:sz w:val="28"/>
                <w:szCs w:val="28"/>
                <w:rtl/>
              </w:rPr>
            </w:pPr>
          </w:p>
        </w:tc>
      </w:tr>
    </w:tbl>
    <w:p w14:paraId="13D4978E" w14:textId="77777777" w:rsidR="006630C0" w:rsidRPr="00E81991" w:rsidRDefault="006630C0" w:rsidP="006630C0">
      <w:pPr>
        <w:pStyle w:val="a3"/>
        <w:rPr>
          <w:rtl/>
        </w:rPr>
      </w:pPr>
      <w:r w:rsidRPr="00E81991">
        <w:rPr>
          <w:rFonts w:hint="cs"/>
          <w:rtl/>
        </w:rPr>
        <w:t xml:space="preserve"> </w:t>
      </w:r>
    </w:p>
    <w:p w14:paraId="5DC6DF20" w14:textId="77777777" w:rsidR="006630C0" w:rsidRPr="00E81991" w:rsidRDefault="006630C0" w:rsidP="006630C0">
      <w:pPr>
        <w:jc w:val="both"/>
        <w:rPr>
          <w:rtl/>
        </w:rPr>
      </w:pPr>
    </w:p>
    <w:p w14:paraId="316AC5D6" w14:textId="77777777" w:rsidR="006630C0" w:rsidRPr="00E81991" w:rsidRDefault="006630C0" w:rsidP="006630C0">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630C0" w:rsidRPr="00E81991" w14:paraId="0549C280" w14:textId="77777777" w:rsidTr="006630C0">
        <w:trPr>
          <w:trHeight w:val="295"/>
          <w:jc w:val="center"/>
        </w:trPr>
        <w:tc>
          <w:tcPr>
            <w:tcW w:w="923" w:type="dxa"/>
            <w:tcBorders>
              <w:top w:val="nil"/>
              <w:left w:val="nil"/>
              <w:bottom w:val="nil"/>
              <w:right w:val="nil"/>
            </w:tcBorders>
            <w:shd w:val="clear" w:color="auto" w:fill="auto"/>
          </w:tcPr>
          <w:p w14:paraId="68347C34" w14:textId="77777777" w:rsidR="006630C0" w:rsidRPr="00E81991" w:rsidRDefault="006630C0" w:rsidP="006630C0">
            <w:pPr>
              <w:jc w:val="both"/>
              <w:rPr>
                <w:rFonts w:ascii="David" w:hAnsi="David"/>
                <w:b/>
                <w:bCs/>
              </w:rPr>
            </w:pPr>
            <w:r w:rsidRPr="00E81991">
              <w:rPr>
                <w:rFonts w:ascii="David" w:hAnsi="David"/>
                <w:b/>
                <w:bCs/>
                <w:rtl/>
              </w:rPr>
              <w:t xml:space="preserve">בפני </w:t>
            </w:r>
          </w:p>
        </w:tc>
        <w:tc>
          <w:tcPr>
            <w:tcW w:w="7897" w:type="dxa"/>
            <w:gridSpan w:val="2"/>
            <w:tcBorders>
              <w:top w:val="nil"/>
              <w:left w:val="nil"/>
              <w:bottom w:val="nil"/>
              <w:right w:val="nil"/>
            </w:tcBorders>
            <w:shd w:val="clear" w:color="auto" w:fill="auto"/>
          </w:tcPr>
          <w:p w14:paraId="408DD273" w14:textId="77777777" w:rsidR="006630C0" w:rsidRPr="00E81991" w:rsidRDefault="006630C0" w:rsidP="006630C0">
            <w:pPr>
              <w:jc w:val="both"/>
              <w:rPr>
                <w:rFonts w:ascii="David" w:hAnsi="David"/>
                <w:b/>
                <w:bCs/>
                <w:rtl/>
              </w:rPr>
            </w:pPr>
            <w:r w:rsidRPr="00E81991">
              <w:rPr>
                <w:rFonts w:ascii="David" w:hAnsi="David"/>
                <w:b/>
                <w:bCs/>
                <w:rtl/>
              </w:rPr>
              <w:t>כבוד השופטת  רונית בש</w:t>
            </w:r>
          </w:p>
          <w:p w14:paraId="1BCF4D69" w14:textId="77777777" w:rsidR="006630C0" w:rsidRPr="00E81991" w:rsidRDefault="006630C0" w:rsidP="006630C0">
            <w:pPr>
              <w:jc w:val="both"/>
              <w:rPr>
                <w:rFonts w:ascii="David" w:hAnsi="David"/>
                <w:b/>
                <w:bCs/>
                <w:rtl/>
              </w:rPr>
            </w:pPr>
          </w:p>
          <w:p w14:paraId="7AD9817E" w14:textId="77777777" w:rsidR="006630C0" w:rsidRPr="00E81991" w:rsidRDefault="006630C0" w:rsidP="006630C0">
            <w:pPr>
              <w:jc w:val="both"/>
              <w:rPr>
                <w:rFonts w:ascii="David" w:hAnsi="David"/>
                <w:b/>
                <w:bCs/>
              </w:rPr>
            </w:pPr>
          </w:p>
        </w:tc>
      </w:tr>
      <w:tr w:rsidR="006630C0" w:rsidRPr="00E81991" w14:paraId="27C5B94A" w14:textId="77777777" w:rsidTr="006630C0">
        <w:trPr>
          <w:trHeight w:val="355"/>
          <w:jc w:val="center"/>
        </w:trPr>
        <w:tc>
          <w:tcPr>
            <w:tcW w:w="923" w:type="dxa"/>
            <w:tcBorders>
              <w:top w:val="nil"/>
              <w:left w:val="nil"/>
              <w:bottom w:val="nil"/>
              <w:right w:val="nil"/>
            </w:tcBorders>
            <w:shd w:val="clear" w:color="auto" w:fill="auto"/>
          </w:tcPr>
          <w:p w14:paraId="79B7688F" w14:textId="77777777" w:rsidR="006630C0" w:rsidRPr="00E81991" w:rsidRDefault="006630C0" w:rsidP="006630C0">
            <w:pPr>
              <w:jc w:val="both"/>
              <w:rPr>
                <w:rFonts w:ascii="David" w:hAnsi="David"/>
                <w:b/>
                <w:bCs/>
              </w:rPr>
            </w:pPr>
            <w:bookmarkStart w:id="1" w:name="FirstAppellant"/>
            <w:r w:rsidRPr="00E81991">
              <w:rPr>
                <w:rFonts w:ascii="David" w:hAnsi="David"/>
                <w:b/>
                <w:bCs/>
                <w:rtl/>
              </w:rPr>
              <w:t>בעניין:</w:t>
            </w:r>
          </w:p>
        </w:tc>
        <w:tc>
          <w:tcPr>
            <w:tcW w:w="4126" w:type="dxa"/>
            <w:tcBorders>
              <w:top w:val="nil"/>
              <w:left w:val="nil"/>
              <w:bottom w:val="nil"/>
              <w:right w:val="nil"/>
            </w:tcBorders>
            <w:shd w:val="clear" w:color="auto" w:fill="auto"/>
          </w:tcPr>
          <w:p w14:paraId="0C3341C5" w14:textId="77777777" w:rsidR="006630C0" w:rsidRPr="00E81991" w:rsidRDefault="006630C0" w:rsidP="006630C0">
            <w:pPr>
              <w:jc w:val="both"/>
              <w:rPr>
                <w:rFonts w:ascii="David" w:hAnsi="David"/>
                <w:b/>
                <w:bCs/>
              </w:rPr>
            </w:pPr>
            <w:r w:rsidRPr="00E81991">
              <w:rPr>
                <w:rFonts w:ascii="David" w:hAnsi="David"/>
                <w:b/>
                <w:bCs/>
                <w:rtl/>
              </w:rPr>
              <w:t>מדינת ישראל</w:t>
            </w:r>
          </w:p>
        </w:tc>
        <w:tc>
          <w:tcPr>
            <w:tcW w:w="3771" w:type="dxa"/>
            <w:tcBorders>
              <w:top w:val="nil"/>
              <w:left w:val="nil"/>
              <w:bottom w:val="nil"/>
              <w:right w:val="nil"/>
            </w:tcBorders>
            <w:shd w:val="clear" w:color="auto" w:fill="auto"/>
          </w:tcPr>
          <w:p w14:paraId="256ED3F2" w14:textId="77777777" w:rsidR="006630C0" w:rsidRPr="00E81991" w:rsidRDefault="006630C0" w:rsidP="006630C0">
            <w:pPr>
              <w:jc w:val="both"/>
              <w:rPr>
                <w:rFonts w:ascii="David" w:hAnsi="David"/>
                <w:b/>
                <w:bCs/>
              </w:rPr>
            </w:pPr>
            <w:r w:rsidRPr="00E81991">
              <w:rPr>
                <w:rFonts w:ascii="David" w:hAnsi="David"/>
                <w:b/>
                <w:bCs/>
                <w:rtl/>
              </w:rPr>
              <w:t>המאשימה</w:t>
            </w:r>
          </w:p>
        </w:tc>
      </w:tr>
      <w:bookmarkEnd w:id="1"/>
      <w:tr w:rsidR="006630C0" w:rsidRPr="00E81991" w14:paraId="6300DAFE" w14:textId="77777777" w:rsidTr="006630C0">
        <w:trPr>
          <w:trHeight w:val="355"/>
          <w:jc w:val="center"/>
        </w:trPr>
        <w:tc>
          <w:tcPr>
            <w:tcW w:w="923" w:type="dxa"/>
            <w:tcBorders>
              <w:top w:val="nil"/>
              <w:left w:val="nil"/>
              <w:bottom w:val="nil"/>
              <w:right w:val="nil"/>
            </w:tcBorders>
            <w:shd w:val="clear" w:color="auto" w:fill="auto"/>
          </w:tcPr>
          <w:p w14:paraId="67622592" w14:textId="77777777" w:rsidR="006630C0" w:rsidRPr="00E81991" w:rsidRDefault="006630C0" w:rsidP="006630C0">
            <w:pPr>
              <w:jc w:val="center"/>
              <w:rPr>
                <w:rFonts w:ascii="David" w:hAnsi="David"/>
                <w:b/>
                <w:bCs/>
                <w:rtl/>
              </w:rPr>
            </w:pPr>
          </w:p>
        </w:tc>
        <w:tc>
          <w:tcPr>
            <w:tcW w:w="7897" w:type="dxa"/>
            <w:gridSpan w:val="2"/>
            <w:tcBorders>
              <w:top w:val="nil"/>
              <w:left w:val="nil"/>
              <w:bottom w:val="nil"/>
              <w:right w:val="nil"/>
            </w:tcBorders>
            <w:shd w:val="clear" w:color="auto" w:fill="auto"/>
          </w:tcPr>
          <w:p w14:paraId="3B483C23" w14:textId="77777777" w:rsidR="006630C0" w:rsidRPr="00E81991" w:rsidRDefault="006630C0" w:rsidP="006630C0">
            <w:pPr>
              <w:jc w:val="center"/>
              <w:rPr>
                <w:rFonts w:ascii="David" w:hAnsi="David"/>
                <w:b/>
                <w:bCs/>
                <w:rtl/>
              </w:rPr>
            </w:pPr>
          </w:p>
          <w:p w14:paraId="5D37EC58" w14:textId="77777777" w:rsidR="006630C0" w:rsidRPr="00E81991" w:rsidRDefault="006630C0" w:rsidP="006630C0">
            <w:pPr>
              <w:jc w:val="center"/>
              <w:rPr>
                <w:rFonts w:ascii="David" w:hAnsi="David"/>
                <w:b/>
                <w:bCs/>
                <w:rtl/>
              </w:rPr>
            </w:pPr>
            <w:r w:rsidRPr="00E81991">
              <w:rPr>
                <w:rFonts w:ascii="David" w:hAnsi="David"/>
                <w:b/>
                <w:bCs/>
                <w:rtl/>
              </w:rPr>
              <w:t>נגד</w:t>
            </w:r>
          </w:p>
          <w:p w14:paraId="4572DFCF" w14:textId="77777777" w:rsidR="006630C0" w:rsidRPr="00E81991" w:rsidRDefault="006630C0" w:rsidP="006630C0">
            <w:pPr>
              <w:jc w:val="center"/>
              <w:rPr>
                <w:rFonts w:ascii="David" w:hAnsi="David"/>
                <w:b/>
                <w:bCs/>
              </w:rPr>
            </w:pPr>
          </w:p>
        </w:tc>
      </w:tr>
      <w:tr w:rsidR="006630C0" w:rsidRPr="00E81991" w14:paraId="162FCA2E" w14:textId="77777777" w:rsidTr="006630C0">
        <w:trPr>
          <w:trHeight w:val="355"/>
          <w:jc w:val="center"/>
        </w:trPr>
        <w:tc>
          <w:tcPr>
            <w:tcW w:w="923" w:type="dxa"/>
            <w:tcBorders>
              <w:top w:val="nil"/>
              <w:left w:val="nil"/>
              <w:bottom w:val="nil"/>
              <w:right w:val="nil"/>
            </w:tcBorders>
            <w:shd w:val="clear" w:color="auto" w:fill="auto"/>
          </w:tcPr>
          <w:p w14:paraId="32DE3776" w14:textId="77777777" w:rsidR="006630C0" w:rsidRPr="00E81991" w:rsidRDefault="006630C0" w:rsidP="006630C0">
            <w:pPr>
              <w:jc w:val="both"/>
              <w:rPr>
                <w:rFonts w:ascii="David" w:hAnsi="David"/>
                <w:b/>
                <w:bCs/>
                <w:rtl/>
              </w:rPr>
            </w:pPr>
          </w:p>
        </w:tc>
        <w:tc>
          <w:tcPr>
            <w:tcW w:w="4126" w:type="dxa"/>
            <w:tcBorders>
              <w:top w:val="nil"/>
              <w:left w:val="nil"/>
              <w:bottom w:val="nil"/>
              <w:right w:val="nil"/>
            </w:tcBorders>
            <w:shd w:val="clear" w:color="auto" w:fill="auto"/>
          </w:tcPr>
          <w:p w14:paraId="12028702" w14:textId="77777777" w:rsidR="006630C0" w:rsidRPr="00E81991" w:rsidRDefault="006630C0" w:rsidP="006630C0">
            <w:pPr>
              <w:jc w:val="both"/>
              <w:rPr>
                <w:rFonts w:ascii="David" w:hAnsi="David"/>
                <w:b/>
                <w:bCs/>
                <w:rtl/>
              </w:rPr>
            </w:pPr>
            <w:r w:rsidRPr="00E81991">
              <w:rPr>
                <w:rFonts w:ascii="David" w:hAnsi="David"/>
                <w:b/>
                <w:bCs/>
                <w:rtl/>
              </w:rPr>
              <w:t>יוסף סרחאן (עצור בפיקוח)</w:t>
            </w:r>
          </w:p>
        </w:tc>
        <w:tc>
          <w:tcPr>
            <w:tcW w:w="3771" w:type="dxa"/>
            <w:tcBorders>
              <w:top w:val="nil"/>
              <w:left w:val="nil"/>
              <w:bottom w:val="nil"/>
              <w:right w:val="nil"/>
            </w:tcBorders>
            <w:shd w:val="clear" w:color="auto" w:fill="auto"/>
          </w:tcPr>
          <w:p w14:paraId="060202BD" w14:textId="77777777" w:rsidR="006630C0" w:rsidRPr="00E81991" w:rsidRDefault="006630C0" w:rsidP="006630C0">
            <w:pPr>
              <w:jc w:val="both"/>
              <w:rPr>
                <w:rFonts w:ascii="David" w:hAnsi="David"/>
                <w:b/>
                <w:bCs/>
              </w:rPr>
            </w:pPr>
            <w:r w:rsidRPr="00E81991">
              <w:rPr>
                <w:rFonts w:ascii="David" w:hAnsi="David"/>
                <w:b/>
                <w:bCs/>
                <w:rtl/>
              </w:rPr>
              <w:t>הנאשם</w:t>
            </w:r>
          </w:p>
        </w:tc>
      </w:tr>
    </w:tbl>
    <w:p w14:paraId="426BFF0F" w14:textId="77777777" w:rsidR="006630C0" w:rsidRPr="00E81991" w:rsidRDefault="006630C0" w:rsidP="006630C0">
      <w:pPr>
        <w:jc w:val="both"/>
      </w:pPr>
    </w:p>
    <w:p w14:paraId="4424ACB4" w14:textId="77777777" w:rsidR="002C1ABD" w:rsidRDefault="002C1ABD" w:rsidP="002C1ABD">
      <w:pPr>
        <w:jc w:val="both"/>
        <w:rPr>
          <w:rFonts w:ascii="David" w:hAnsi="David"/>
          <w:rtl/>
        </w:rPr>
      </w:pPr>
      <w:bookmarkStart w:id="2" w:name="LawTable"/>
      <w:bookmarkEnd w:id="2"/>
    </w:p>
    <w:p w14:paraId="4E024F74" w14:textId="77777777" w:rsidR="002C1ABD" w:rsidRPr="002C1ABD" w:rsidRDefault="002C1ABD" w:rsidP="002C1ABD">
      <w:pPr>
        <w:spacing w:before="120" w:after="120" w:line="240" w:lineRule="exact"/>
        <w:ind w:left="283" w:hanging="283"/>
        <w:jc w:val="both"/>
        <w:rPr>
          <w:rFonts w:ascii="FrankRuehl" w:hAnsi="FrankRuehl" w:cs="FrankRuehl"/>
          <w:rtl/>
        </w:rPr>
      </w:pPr>
    </w:p>
    <w:p w14:paraId="49AEFBB8" w14:textId="77777777" w:rsidR="002C1ABD" w:rsidRPr="002C1ABD" w:rsidRDefault="002C1ABD" w:rsidP="002C1ABD">
      <w:pPr>
        <w:spacing w:before="120" w:after="120" w:line="240" w:lineRule="exact"/>
        <w:ind w:left="283" w:hanging="283"/>
        <w:jc w:val="both"/>
        <w:rPr>
          <w:rFonts w:ascii="FrankRuehl" w:hAnsi="FrankRuehl" w:cs="FrankRuehl"/>
          <w:rtl/>
        </w:rPr>
      </w:pPr>
    </w:p>
    <w:p w14:paraId="58FB8EDE" w14:textId="77777777" w:rsidR="002C1ABD" w:rsidRPr="002C1ABD" w:rsidRDefault="002C1ABD" w:rsidP="002C1ABD">
      <w:pPr>
        <w:spacing w:before="120" w:after="120" w:line="240" w:lineRule="exact"/>
        <w:ind w:left="283" w:hanging="283"/>
        <w:jc w:val="both"/>
        <w:rPr>
          <w:rFonts w:ascii="FrankRuehl" w:hAnsi="FrankRuehl" w:cs="FrankRuehl"/>
          <w:rtl/>
        </w:rPr>
      </w:pPr>
      <w:r w:rsidRPr="002C1ABD">
        <w:rPr>
          <w:rFonts w:ascii="FrankRuehl" w:hAnsi="FrankRuehl" w:cs="FrankRuehl"/>
          <w:rtl/>
        </w:rPr>
        <w:t xml:space="preserve">חקיקה שאוזכרה: </w:t>
      </w:r>
    </w:p>
    <w:p w14:paraId="45A4D05C" w14:textId="77777777" w:rsidR="002C1ABD" w:rsidRPr="002C1ABD" w:rsidRDefault="002C1ABD" w:rsidP="002C1ABD">
      <w:pPr>
        <w:spacing w:before="120" w:after="120" w:line="240" w:lineRule="exact"/>
        <w:ind w:left="283" w:hanging="283"/>
        <w:jc w:val="both"/>
        <w:rPr>
          <w:rFonts w:ascii="FrankRuehl" w:hAnsi="FrankRuehl" w:cs="FrankRuehl"/>
          <w:rtl/>
        </w:rPr>
      </w:pPr>
      <w:hyperlink r:id="rId7" w:history="1">
        <w:r w:rsidRPr="002C1ABD">
          <w:rPr>
            <w:rFonts w:ascii="FrankRuehl" w:hAnsi="FrankRuehl" w:cs="FrankRuehl"/>
            <w:color w:val="0000FF"/>
            <w:rtl/>
          </w:rPr>
          <w:t>חוק העונשין, תשל"ז-1977</w:t>
        </w:r>
      </w:hyperlink>
      <w:r w:rsidRPr="002C1ABD">
        <w:rPr>
          <w:rFonts w:ascii="FrankRuehl" w:hAnsi="FrankRuehl" w:cs="FrankRuehl"/>
          <w:rtl/>
        </w:rPr>
        <w:t xml:space="preserve">: סע'  </w:t>
      </w:r>
      <w:hyperlink r:id="rId8" w:history="1">
        <w:r w:rsidRPr="002C1ABD">
          <w:rPr>
            <w:rFonts w:ascii="FrankRuehl" w:hAnsi="FrankRuehl" w:cs="FrankRuehl"/>
            <w:color w:val="0000FF"/>
            <w:rtl/>
          </w:rPr>
          <w:t>40ב</w:t>
        </w:r>
      </w:hyperlink>
      <w:r w:rsidRPr="002C1ABD">
        <w:rPr>
          <w:rFonts w:ascii="FrankRuehl" w:hAnsi="FrankRuehl" w:cs="FrankRuehl"/>
          <w:rtl/>
        </w:rPr>
        <w:t xml:space="preserve">, </w:t>
      </w:r>
      <w:hyperlink r:id="rId9" w:history="1">
        <w:r w:rsidRPr="002C1ABD">
          <w:rPr>
            <w:rFonts w:ascii="FrankRuehl" w:hAnsi="FrankRuehl" w:cs="FrankRuehl"/>
            <w:color w:val="0000FF"/>
            <w:rtl/>
          </w:rPr>
          <w:t>40ג</w:t>
        </w:r>
      </w:hyperlink>
      <w:r w:rsidRPr="002C1ABD">
        <w:rPr>
          <w:rFonts w:ascii="FrankRuehl" w:hAnsi="FrankRuehl" w:cs="FrankRuehl"/>
          <w:rtl/>
        </w:rPr>
        <w:t xml:space="preserve">, </w:t>
      </w:r>
      <w:hyperlink r:id="rId10" w:history="1">
        <w:r w:rsidRPr="002C1ABD">
          <w:rPr>
            <w:rFonts w:ascii="FrankRuehl" w:hAnsi="FrankRuehl" w:cs="FrankRuehl"/>
            <w:color w:val="0000FF"/>
            <w:rtl/>
          </w:rPr>
          <w:t>40ד(א)</w:t>
        </w:r>
      </w:hyperlink>
      <w:r w:rsidRPr="002C1ABD">
        <w:rPr>
          <w:rFonts w:ascii="FrankRuehl" w:hAnsi="FrankRuehl" w:cs="FrankRuehl"/>
          <w:rtl/>
        </w:rPr>
        <w:t xml:space="preserve">, </w:t>
      </w:r>
      <w:hyperlink r:id="rId11" w:history="1">
        <w:r w:rsidRPr="002C1ABD">
          <w:rPr>
            <w:rFonts w:ascii="FrankRuehl" w:hAnsi="FrankRuehl" w:cs="FrankRuehl"/>
            <w:color w:val="0000FF"/>
            <w:rtl/>
          </w:rPr>
          <w:t>40ט</w:t>
        </w:r>
      </w:hyperlink>
      <w:r w:rsidRPr="002C1ABD">
        <w:rPr>
          <w:rFonts w:ascii="FrankRuehl" w:hAnsi="FrankRuehl" w:cs="FrankRuehl"/>
          <w:rtl/>
        </w:rPr>
        <w:t xml:space="preserve">, </w:t>
      </w:r>
      <w:hyperlink r:id="rId12" w:history="1">
        <w:r w:rsidRPr="002C1ABD">
          <w:rPr>
            <w:rFonts w:ascii="FrankRuehl" w:hAnsi="FrankRuehl" w:cs="FrankRuehl"/>
            <w:color w:val="0000FF"/>
            <w:rtl/>
          </w:rPr>
          <w:t>144</w:t>
        </w:r>
      </w:hyperlink>
      <w:r w:rsidRPr="002C1ABD">
        <w:rPr>
          <w:rFonts w:ascii="FrankRuehl" w:hAnsi="FrankRuehl" w:cs="FrankRuehl"/>
          <w:rtl/>
        </w:rPr>
        <w:t xml:space="preserve">, </w:t>
      </w:r>
      <w:hyperlink r:id="rId13" w:history="1">
        <w:r w:rsidRPr="002C1ABD">
          <w:rPr>
            <w:rFonts w:ascii="FrankRuehl" w:hAnsi="FrankRuehl" w:cs="FrankRuehl"/>
            <w:color w:val="0000FF"/>
            <w:rtl/>
          </w:rPr>
          <w:t>144(א)</w:t>
        </w:r>
      </w:hyperlink>
      <w:r w:rsidRPr="002C1ABD">
        <w:rPr>
          <w:rFonts w:ascii="FrankRuehl" w:hAnsi="FrankRuehl" w:cs="FrankRuehl"/>
          <w:rtl/>
        </w:rPr>
        <w:t xml:space="preserve">, </w:t>
      </w:r>
      <w:hyperlink r:id="rId14" w:history="1">
        <w:r w:rsidRPr="002C1ABD">
          <w:rPr>
            <w:rFonts w:ascii="FrankRuehl" w:hAnsi="FrankRuehl" w:cs="FrankRuehl"/>
            <w:color w:val="0000FF"/>
            <w:rtl/>
          </w:rPr>
          <w:t>144(ב)</w:t>
        </w:r>
      </w:hyperlink>
    </w:p>
    <w:p w14:paraId="5EDA40F9" w14:textId="77777777" w:rsidR="002C1ABD" w:rsidRPr="002C1ABD" w:rsidRDefault="002C1ABD" w:rsidP="002C1ABD">
      <w:pPr>
        <w:jc w:val="both"/>
        <w:rPr>
          <w:rFonts w:ascii="David" w:hAnsi="David"/>
          <w:rtl/>
        </w:rPr>
      </w:pPr>
      <w:bookmarkStart w:id="3" w:name="LawTable_End"/>
      <w:bookmarkEnd w:id="3"/>
    </w:p>
    <w:p w14:paraId="75FB6B58" w14:textId="77777777" w:rsidR="006630C0" w:rsidRPr="00314EB6" w:rsidRDefault="006630C0" w:rsidP="00314EB6">
      <w:pPr>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30C0" w:rsidRPr="00CB2E98" w14:paraId="69F211EC" w14:textId="77777777" w:rsidTr="006630C0">
        <w:trPr>
          <w:trHeight w:val="355"/>
          <w:jc w:val="center"/>
        </w:trPr>
        <w:tc>
          <w:tcPr>
            <w:tcW w:w="8820" w:type="dxa"/>
            <w:tcBorders>
              <w:top w:val="nil"/>
              <w:left w:val="nil"/>
              <w:bottom w:val="nil"/>
              <w:right w:val="nil"/>
            </w:tcBorders>
            <w:shd w:val="clear" w:color="auto" w:fill="auto"/>
          </w:tcPr>
          <w:p w14:paraId="4951F578" w14:textId="77777777" w:rsidR="00E81991" w:rsidRPr="00E81991" w:rsidRDefault="00E81991" w:rsidP="00E81991">
            <w:pPr>
              <w:jc w:val="center"/>
              <w:rPr>
                <w:rFonts w:ascii="David" w:hAnsi="David"/>
                <w:b/>
                <w:bCs/>
                <w:sz w:val="32"/>
                <w:szCs w:val="32"/>
                <w:u w:val="single"/>
                <w:rtl/>
              </w:rPr>
            </w:pPr>
            <w:bookmarkStart w:id="4" w:name="PsakDin" w:colFirst="0" w:colLast="0"/>
            <w:bookmarkEnd w:id="0"/>
            <w:r w:rsidRPr="00E81991">
              <w:rPr>
                <w:rFonts w:ascii="David" w:hAnsi="David"/>
                <w:b/>
                <w:bCs/>
                <w:sz w:val="32"/>
                <w:szCs w:val="32"/>
                <w:u w:val="single"/>
                <w:rtl/>
              </w:rPr>
              <w:t>גזר דין</w:t>
            </w:r>
          </w:p>
          <w:p w14:paraId="6842E903" w14:textId="77777777" w:rsidR="006630C0" w:rsidRPr="00E81991" w:rsidRDefault="006630C0" w:rsidP="00E81991">
            <w:pPr>
              <w:jc w:val="center"/>
              <w:rPr>
                <w:rFonts w:ascii="David" w:hAnsi="David"/>
                <w:bCs/>
                <w:sz w:val="32"/>
                <w:szCs w:val="32"/>
                <w:u w:val="single"/>
                <w:rtl/>
              </w:rPr>
            </w:pPr>
          </w:p>
        </w:tc>
      </w:tr>
      <w:bookmarkEnd w:id="4"/>
    </w:tbl>
    <w:p w14:paraId="06A671EA" w14:textId="77777777" w:rsidR="006630C0" w:rsidRPr="00CB2E98" w:rsidRDefault="006630C0" w:rsidP="006630C0">
      <w:pPr>
        <w:jc w:val="both"/>
        <w:rPr>
          <w:rFonts w:ascii="David" w:hAnsi="David"/>
          <w:rtl/>
        </w:rPr>
      </w:pPr>
    </w:p>
    <w:p w14:paraId="3A6CD60E" w14:textId="77777777" w:rsidR="006630C0" w:rsidRPr="00CB2E98" w:rsidRDefault="006630C0" w:rsidP="006630C0">
      <w:pPr>
        <w:spacing w:line="360" w:lineRule="auto"/>
        <w:jc w:val="both"/>
        <w:rPr>
          <w:rFonts w:ascii="David" w:hAnsi="David"/>
          <w:rtl/>
        </w:rPr>
      </w:pPr>
      <w:r w:rsidRPr="00CB2E98">
        <w:rPr>
          <w:rFonts w:ascii="David" w:hAnsi="David" w:hint="cs"/>
          <w:rtl/>
        </w:rPr>
        <w:t>1.</w:t>
      </w:r>
      <w:r w:rsidRPr="00CB2E98">
        <w:rPr>
          <w:rFonts w:ascii="David" w:hAnsi="David"/>
          <w:rtl/>
        </w:rPr>
        <w:tab/>
      </w:r>
      <w:bookmarkStart w:id="5" w:name="ABSTRACT_START"/>
      <w:bookmarkEnd w:id="5"/>
      <w:r w:rsidRPr="00CB2E98">
        <w:rPr>
          <w:rFonts w:ascii="David" w:hAnsi="David" w:hint="cs"/>
          <w:rtl/>
        </w:rPr>
        <w:t>הנאשם הורשע, על יסוד הודאתו, בעובדות כתב</w:t>
      </w:r>
      <w:r>
        <w:rPr>
          <w:rFonts w:ascii="David" w:hAnsi="David" w:hint="cs"/>
          <w:rtl/>
        </w:rPr>
        <w:t xml:space="preserve"> האישום</w:t>
      </w:r>
      <w:r w:rsidRPr="00CB2E98">
        <w:rPr>
          <w:rFonts w:ascii="David" w:hAnsi="David" w:hint="cs"/>
          <w:rtl/>
        </w:rPr>
        <w:t xml:space="preserve"> המתוקן (</w:t>
      </w:r>
      <w:r w:rsidRPr="00CB2E98">
        <w:rPr>
          <w:rFonts w:ascii="Miriam" w:hAnsi="Miriam" w:cs="Miriam"/>
          <w:rtl/>
        </w:rPr>
        <w:t>א/2</w:t>
      </w:r>
      <w:r w:rsidRPr="00CB2E98">
        <w:rPr>
          <w:rFonts w:ascii="David" w:hAnsi="David" w:hint="cs"/>
          <w:rtl/>
        </w:rPr>
        <w:t>)</w:t>
      </w:r>
      <w:r>
        <w:rPr>
          <w:rFonts w:ascii="David" w:hAnsi="David" w:hint="cs"/>
          <w:rtl/>
        </w:rPr>
        <w:t xml:space="preserve"> (להלן גם: </w:t>
      </w:r>
      <w:r w:rsidRPr="000435CF">
        <w:rPr>
          <w:rFonts w:ascii="Miriam" w:hAnsi="Miriam" w:cs="Miriam"/>
          <w:rtl/>
        </w:rPr>
        <w:t>כתב האישום</w:t>
      </w:r>
      <w:r>
        <w:rPr>
          <w:rFonts w:ascii="David" w:hAnsi="David" w:hint="cs"/>
          <w:rtl/>
        </w:rPr>
        <w:t xml:space="preserve">), </w:t>
      </w:r>
      <w:r w:rsidRPr="00CB2E98">
        <w:rPr>
          <w:rFonts w:ascii="David" w:hAnsi="David" w:hint="cs"/>
          <w:rtl/>
        </w:rPr>
        <w:t xml:space="preserve"> במסגרת הסדר טיעון בין הצדדים, בביצוע עבירה של החזקת נשק, עבירה לפי </w:t>
      </w:r>
      <w:hyperlink r:id="rId15" w:history="1">
        <w:r w:rsidR="00314EB6" w:rsidRPr="00314EB6">
          <w:rPr>
            <w:rStyle w:val="Hyperlink"/>
            <w:rFonts w:ascii="David" w:hAnsi="David" w:hint="eastAsia"/>
            <w:rtl/>
          </w:rPr>
          <w:t>סעיף</w:t>
        </w:r>
        <w:r w:rsidR="00314EB6" w:rsidRPr="00314EB6">
          <w:rPr>
            <w:rStyle w:val="Hyperlink"/>
            <w:rFonts w:ascii="David" w:hAnsi="David"/>
            <w:rtl/>
          </w:rPr>
          <w:t xml:space="preserve"> 144(א)</w:t>
        </w:r>
      </w:hyperlink>
      <w:r w:rsidRPr="00CB2E98">
        <w:rPr>
          <w:rFonts w:ascii="David" w:hAnsi="David" w:hint="cs"/>
          <w:rtl/>
        </w:rPr>
        <w:t xml:space="preserve"> רישא וסיפא ל</w:t>
      </w:r>
      <w:hyperlink r:id="rId16" w:history="1">
        <w:r w:rsidR="00E81991" w:rsidRPr="00E81991">
          <w:rPr>
            <w:rFonts w:ascii="David" w:hAnsi="David"/>
            <w:color w:val="0000FF"/>
            <w:u w:val="single"/>
            <w:rtl/>
          </w:rPr>
          <w:t>חוק העונשין</w:t>
        </w:r>
      </w:hyperlink>
      <w:r w:rsidRPr="00CB2E98">
        <w:rPr>
          <w:rFonts w:ascii="David" w:hAnsi="David" w:hint="cs"/>
          <w:rtl/>
        </w:rPr>
        <w:t xml:space="preserve">- התשל"ז- 1977 (להלן: </w:t>
      </w:r>
      <w:r w:rsidRPr="00CB2E98">
        <w:rPr>
          <w:rFonts w:ascii="Miriam" w:hAnsi="Miriam" w:cs="Miriam"/>
          <w:rtl/>
        </w:rPr>
        <w:t>חוק העונשין</w:t>
      </w:r>
      <w:r w:rsidRPr="00CB2E98">
        <w:rPr>
          <w:rFonts w:ascii="David" w:hAnsi="David" w:hint="cs"/>
          <w:rtl/>
        </w:rPr>
        <w:t>)</w:t>
      </w:r>
      <w:r>
        <w:rPr>
          <w:rFonts w:ascii="David" w:hAnsi="David" w:hint="cs"/>
          <w:rtl/>
        </w:rPr>
        <w:t xml:space="preserve"> </w:t>
      </w:r>
      <w:r w:rsidRPr="00CB2E98">
        <w:rPr>
          <w:rFonts w:ascii="David" w:hAnsi="David" w:hint="cs"/>
          <w:rtl/>
        </w:rPr>
        <w:t xml:space="preserve">ובעבירה של נשיאה והובלה של נשק, עבירה לפי </w:t>
      </w:r>
      <w:hyperlink r:id="rId17" w:history="1">
        <w:r w:rsidR="00314EB6" w:rsidRPr="00314EB6">
          <w:rPr>
            <w:rStyle w:val="Hyperlink"/>
            <w:rFonts w:ascii="David" w:hAnsi="David" w:hint="eastAsia"/>
            <w:rtl/>
          </w:rPr>
          <w:t>סעיף</w:t>
        </w:r>
        <w:r w:rsidR="00314EB6" w:rsidRPr="00314EB6">
          <w:rPr>
            <w:rStyle w:val="Hyperlink"/>
            <w:rFonts w:ascii="David" w:hAnsi="David"/>
            <w:rtl/>
          </w:rPr>
          <w:t xml:space="preserve"> 144(ב)</w:t>
        </w:r>
      </w:hyperlink>
      <w:r w:rsidRPr="00CB2E98">
        <w:rPr>
          <w:rFonts w:ascii="David" w:hAnsi="David" w:hint="cs"/>
          <w:rtl/>
        </w:rPr>
        <w:t xml:space="preserve"> רישא לחוק העונשין. לא גובשה בין הצדדים הסכמה לעניין העונש.</w:t>
      </w:r>
    </w:p>
    <w:p w14:paraId="7C5CABD4" w14:textId="77777777" w:rsidR="006630C0" w:rsidRPr="00CB2E98" w:rsidRDefault="006630C0" w:rsidP="006630C0">
      <w:pPr>
        <w:spacing w:line="360" w:lineRule="auto"/>
        <w:jc w:val="both"/>
        <w:rPr>
          <w:rFonts w:ascii="David" w:hAnsi="David"/>
          <w:rtl/>
        </w:rPr>
      </w:pPr>
      <w:bookmarkStart w:id="6" w:name="ABSTRACT_END"/>
      <w:bookmarkEnd w:id="6"/>
    </w:p>
    <w:p w14:paraId="0A38CE91" w14:textId="77777777" w:rsidR="006630C0" w:rsidRPr="00CB2E98" w:rsidRDefault="006630C0" w:rsidP="006630C0">
      <w:pPr>
        <w:spacing w:line="360" w:lineRule="auto"/>
        <w:jc w:val="both"/>
        <w:rPr>
          <w:rFonts w:ascii="Miriam" w:hAnsi="Miriam" w:cs="Miriam"/>
          <w:u w:val="single"/>
          <w:rtl/>
        </w:rPr>
      </w:pPr>
      <w:r w:rsidRPr="00CB2E98">
        <w:rPr>
          <w:rFonts w:ascii="Miriam" w:hAnsi="Miriam" w:cs="Miriam"/>
          <w:u w:val="single"/>
          <w:rtl/>
        </w:rPr>
        <w:t>כתב האישום המתוקן</w:t>
      </w:r>
    </w:p>
    <w:p w14:paraId="40594F8A" w14:textId="77777777" w:rsidR="006630C0" w:rsidRPr="00CB2E98" w:rsidRDefault="006630C0" w:rsidP="006630C0">
      <w:pPr>
        <w:spacing w:line="360" w:lineRule="auto"/>
        <w:jc w:val="both"/>
        <w:rPr>
          <w:rFonts w:ascii="Miriam" w:hAnsi="Miriam" w:cs="Miriam"/>
          <w:rtl/>
        </w:rPr>
      </w:pPr>
    </w:p>
    <w:p w14:paraId="3D4D4A2F" w14:textId="77777777" w:rsidR="006630C0" w:rsidRDefault="006630C0" w:rsidP="006630C0">
      <w:pPr>
        <w:spacing w:line="360" w:lineRule="auto"/>
        <w:jc w:val="both"/>
        <w:rPr>
          <w:rFonts w:ascii="David" w:hAnsi="David"/>
          <w:rtl/>
        </w:rPr>
      </w:pPr>
      <w:r w:rsidRPr="00CB2E98">
        <w:rPr>
          <w:rFonts w:ascii="David" w:hAnsi="David" w:hint="cs"/>
          <w:rtl/>
        </w:rPr>
        <w:t>2.</w:t>
      </w:r>
      <w:r w:rsidRPr="00CB2E98">
        <w:rPr>
          <w:rFonts w:ascii="David" w:hAnsi="David" w:hint="cs"/>
          <w:rtl/>
        </w:rPr>
        <w:tab/>
        <w:t>הנאשם מתגורר בדירה באבו סנאן יחד עם הוריו ואחיו. לבניין המגורים בו נמצאת הדירה צמוד מחסן אשר משמש את הנאשם ובני משפחתו (להלן:</w:t>
      </w:r>
      <w:r>
        <w:rPr>
          <w:rFonts w:ascii="Miriam" w:hAnsi="Miriam" w:cs="Miriam" w:hint="cs"/>
          <w:rtl/>
        </w:rPr>
        <w:t xml:space="preserve"> </w:t>
      </w:r>
      <w:r w:rsidRPr="00CB2E98">
        <w:rPr>
          <w:rFonts w:ascii="Miriam" w:hAnsi="Miriam" w:cs="Miriam"/>
          <w:rtl/>
        </w:rPr>
        <w:t>המחסן</w:t>
      </w:r>
      <w:r w:rsidRPr="00CB2E98">
        <w:rPr>
          <w:rFonts w:ascii="David" w:hAnsi="David" w:hint="cs"/>
          <w:rtl/>
        </w:rPr>
        <w:t xml:space="preserve">). ביום 17/12/20 החזיק הנאשם במחסן, בתוך קופסא סגורה: אקדח חצי אוטומטי 7.65 </w:t>
      </w:r>
      <w:r>
        <w:rPr>
          <w:rFonts w:ascii="David" w:hAnsi="David"/>
        </w:rPr>
        <w:t>mauser</w:t>
      </w:r>
      <w:r w:rsidRPr="00CB2E98">
        <w:rPr>
          <w:rFonts w:ascii="David" w:hAnsi="David"/>
        </w:rPr>
        <w:t xml:space="preserve"> </w:t>
      </w:r>
      <w:r w:rsidRPr="00CB2E98">
        <w:rPr>
          <w:rFonts w:ascii="David" w:hAnsi="David" w:hint="cs"/>
          <w:rtl/>
        </w:rPr>
        <w:t xml:space="preserve"> (להלן: </w:t>
      </w:r>
      <w:r w:rsidRPr="00CB2E98">
        <w:rPr>
          <w:rFonts w:ascii="Miriam" w:hAnsi="Miriam" w:cs="Miriam"/>
          <w:rtl/>
        </w:rPr>
        <w:t xml:space="preserve">אקדח </w:t>
      </w:r>
      <w:r>
        <w:rPr>
          <w:rFonts w:ascii="Miriam" w:hAnsi="Miriam" w:cs="Miriam" w:hint="cs"/>
          <w:rtl/>
        </w:rPr>
        <w:t>ה</w:t>
      </w:r>
      <w:r w:rsidRPr="00CB2E98">
        <w:rPr>
          <w:rFonts w:ascii="Miriam" w:hAnsi="Miriam" w:cs="Miriam"/>
          <w:rtl/>
        </w:rPr>
        <w:t>מאוזר</w:t>
      </w:r>
      <w:r w:rsidRPr="00CB2E98">
        <w:rPr>
          <w:rFonts w:ascii="David" w:hAnsi="David" w:hint="cs"/>
          <w:rtl/>
        </w:rPr>
        <w:t xml:space="preserve">) טעון במחסנית ובה 3 כדורים בקוטר 7.65 מ"מ. האקדח הוא כלי שסוגל לירות כדור שבכוחו להמית אדם ולפיכך הוא נשק; אקדח חצי אוטומטי </w:t>
      </w:r>
      <w:r w:rsidRPr="00CB2E98">
        <w:rPr>
          <w:rFonts w:ascii="David" w:hAnsi="David" w:hint="cs"/>
        </w:rPr>
        <w:t>FN</w:t>
      </w:r>
      <w:r w:rsidRPr="00CB2E98">
        <w:rPr>
          <w:rFonts w:ascii="David" w:hAnsi="David" w:hint="cs"/>
          <w:rtl/>
        </w:rPr>
        <w:t xml:space="preserve"> לא תקין</w:t>
      </w:r>
      <w:r>
        <w:rPr>
          <w:rFonts w:ascii="David" w:hAnsi="David" w:hint="cs"/>
          <w:rtl/>
        </w:rPr>
        <w:t>-</w:t>
      </w:r>
      <w:r w:rsidRPr="00CB2E98">
        <w:rPr>
          <w:rFonts w:ascii="David" w:hAnsi="David" w:hint="cs"/>
          <w:rtl/>
        </w:rPr>
        <w:t xml:space="preserve"> </w:t>
      </w:r>
      <w:r>
        <w:rPr>
          <w:rFonts w:ascii="David" w:hAnsi="David" w:hint="cs"/>
          <w:rtl/>
        </w:rPr>
        <w:t>"</w:t>
      </w:r>
      <w:r w:rsidRPr="00CB2E98">
        <w:rPr>
          <w:rFonts w:ascii="David" w:hAnsi="David" w:hint="cs"/>
          <w:rtl/>
        </w:rPr>
        <w:t>חסר פין עצר המחלק וניצרה ידנית לא פועלת</w:t>
      </w:r>
      <w:r>
        <w:rPr>
          <w:rFonts w:ascii="David" w:hAnsi="David" w:hint="cs"/>
          <w:rtl/>
        </w:rPr>
        <w:t>"</w:t>
      </w:r>
      <w:r w:rsidRPr="00CB2E98">
        <w:rPr>
          <w:rFonts w:ascii="David" w:hAnsi="David" w:hint="cs"/>
          <w:rtl/>
        </w:rPr>
        <w:t>.</w:t>
      </w:r>
    </w:p>
    <w:p w14:paraId="5923B9E0" w14:textId="77777777" w:rsidR="006630C0" w:rsidRPr="00CB2E98" w:rsidRDefault="006630C0" w:rsidP="006630C0">
      <w:pPr>
        <w:spacing w:line="360" w:lineRule="auto"/>
        <w:jc w:val="both"/>
        <w:rPr>
          <w:rFonts w:ascii="David" w:hAnsi="David"/>
          <w:rtl/>
        </w:rPr>
      </w:pPr>
      <w:r w:rsidRPr="00CB2E98">
        <w:rPr>
          <w:rFonts w:ascii="David" w:hAnsi="David" w:hint="cs"/>
          <w:rtl/>
        </w:rPr>
        <w:lastRenderedPageBreak/>
        <w:t xml:space="preserve"> האקדח הוא כלי שסוגל לירות כדור שבכוחו להמית אדם ולפיכך הוא נשק; שתי מחסניות טעונות בכדורים בקוטר 9 מ"מ, האחת טעונה ב- 15 כדורים והשנייה טעונה ב- 14 כדורים. בנוסף החזיק הנאשם במחסן, בתוך שקית עליה רשום "לי קופר" באנגלית, 16 כדורים של אקדח.</w:t>
      </w:r>
    </w:p>
    <w:p w14:paraId="4A9EA72F" w14:textId="77777777" w:rsidR="006630C0" w:rsidRPr="00CB2E98" w:rsidRDefault="006630C0" w:rsidP="006630C0">
      <w:pPr>
        <w:spacing w:line="360" w:lineRule="auto"/>
        <w:jc w:val="both"/>
        <w:rPr>
          <w:rFonts w:ascii="David" w:hAnsi="David"/>
          <w:rtl/>
        </w:rPr>
      </w:pPr>
    </w:p>
    <w:p w14:paraId="438083A0" w14:textId="77777777" w:rsidR="006630C0" w:rsidRPr="00CB2E98" w:rsidRDefault="006630C0" w:rsidP="006630C0">
      <w:pPr>
        <w:spacing w:line="360" w:lineRule="auto"/>
        <w:jc w:val="both"/>
        <w:rPr>
          <w:rFonts w:ascii="David" w:hAnsi="David"/>
          <w:rtl/>
        </w:rPr>
      </w:pPr>
      <w:r w:rsidRPr="00CB2E98">
        <w:rPr>
          <w:rFonts w:ascii="David" w:hAnsi="David"/>
          <w:rtl/>
        </w:rPr>
        <w:tab/>
      </w:r>
      <w:r w:rsidRPr="00CB2E98">
        <w:rPr>
          <w:rFonts w:ascii="David" w:hAnsi="David" w:hint="cs"/>
          <w:rtl/>
        </w:rPr>
        <w:t>בחודש אוקטובר או נובמבר 2020, לפני יום 3/11/20, הנאשם נשא והוביל</w:t>
      </w:r>
      <w:r>
        <w:rPr>
          <w:rFonts w:ascii="David" w:hAnsi="David" w:hint="cs"/>
          <w:rtl/>
        </w:rPr>
        <w:t xml:space="preserve"> את </w:t>
      </w:r>
      <w:r w:rsidRPr="00CB2E98">
        <w:rPr>
          <w:rFonts w:ascii="David" w:hAnsi="David" w:hint="cs"/>
          <w:rtl/>
        </w:rPr>
        <w:t>אקדח המאוזר בכפר אבו סנ</w:t>
      </w:r>
      <w:r>
        <w:rPr>
          <w:rFonts w:ascii="David" w:hAnsi="David" w:hint="cs"/>
          <w:rtl/>
        </w:rPr>
        <w:t xml:space="preserve">אן למרחק של כ- 1.3. ק"מ מביתו, </w:t>
      </w:r>
      <w:r w:rsidRPr="00CB2E98">
        <w:rPr>
          <w:rFonts w:ascii="David" w:hAnsi="David" w:hint="cs"/>
          <w:rtl/>
        </w:rPr>
        <w:t>הגיע ושהה עמו בביתו של תושב שכונת הנביא זכריה, בלא רשות על פי דין לנשיאתו והובלתו של האקדח.</w:t>
      </w:r>
    </w:p>
    <w:p w14:paraId="34466AE4" w14:textId="77777777" w:rsidR="006630C0" w:rsidRPr="00CB2E98" w:rsidRDefault="006630C0" w:rsidP="006630C0">
      <w:pPr>
        <w:spacing w:line="360" w:lineRule="auto"/>
        <w:jc w:val="both"/>
        <w:rPr>
          <w:rFonts w:ascii="David" w:hAnsi="David"/>
          <w:rtl/>
        </w:rPr>
      </w:pPr>
    </w:p>
    <w:p w14:paraId="0C7F7789" w14:textId="77777777" w:rsidR="006630C0" w:rsidRPr="00CB2E98" w:rsidRDefault="006630C0" w:rsidP="006630C0">
      <w:pPr>
        <w:spacing w:line="360" w:lineRule="auto"/>
        <w:ind w:firstLine="720"/>
        <w:jc w:val="both"/>
        <w:rPr>
          <w:rFonts w:ascii="David" w:hAnsi="David"/>
          <w:rtl/>
        </w:rPr>
      </w:pPr>
      <w:r w:rsidRPr="00CB2E98">
        <w:rPr>
          <w:rFonts w:ascii="David" w:hAnsi="David" w:hint="cs"/>
          <w:rtl/>
        </w:rPr>
        <w:t xml:space="preserve">בתאריך 17/12/20 סמוך לשעה 07:30, בחיפוש שנערך במחסן על </w:t>
      </w:r>
      <w:r w:rsidRPr="00CB2E98">
        <w:rPr>
          <w:rFonts w:ascii="David" w:hAnsi="David"/>
          <w:rtl/>
        </w:rPr>
        <w:t>–</w:t>
      </w:r>
      <w:r w:rsidRPr="00CB2E98">
        <w:rPr>
          <w:rFonts w:ascii="David" w:hAnsi="David" w:hint="cs"/>
          <w:rtl/>
        </w:rPr>
        <w:t>ידי משטרת ישראל, נתפסו הנשק, האביזרים והתחמושת לנשק.</w:t>
      </w:r>
    </w:p>
    <w:p w14:paraId="111979EC" w14:textId="77777777" w:rsidR="006630C0" w:rsidRPr="00CB2E98" w:rsidRDefault="006630C0" w:rsidP="006630C0">
      <w:pPr>
        <w:spacing w:line="360" w:lineRule="auto"/>
        <w:ind w:firstLine="720"/>
        <w:jc w:val="both"/>
        <w:rPr>
          <w:rFonts w:ascii="David" w:hAnsi="David"/>
          <w:rtl/>
        </w:rPr>
      </w:pPr>
    </w:p>
    <w:p w14:paraId="1966FA39" w14:textId="77777777" w:rsidR="006630C0" w:rsidRDefault="006630C0" w:rsidP="006630C0">
      <w:pPr>
        <w:spacing w:line="360" w:lineRule="auto"/>
        <w:jc w:val="both"/>
        <w:rPr>
          <w:rFonts w:ascii="Miriam" w:hAnsi="Miriam" w:cs="Miriam"/>
          <w:u w:val="single"/>
          <w:rtl/>
        </w:rPr>
      </w:pPr>
    </w:p>
    <w:p w14:paraId="1E9A2BFC" w14:textId="77777777" w:rsidR="006630C0" w:rsidRDefault="006630C0" w:rsidP="006630C0">
      <w:pPr>
        <w:spacing w:line="360" w:lineRule="auto"/>
        <w:jc w:val="both"/>
        <w:rPr>
          <w:rFonts w:ascii="Miriam" w:hAnsi="Miriam" w:cs="Miriam"/>
          <w:u w:val="single"/>
          <w:rtl/>
        </w:rPr>
      </w:pPr>
    </w:p>
    <w:p w14:paraId="1B961CC5" w14:textId="77777777" w:rsidR="006630C0" w:rsidRPr="00CB2E98" w:rsidRDefault="006630C0" w:rsidP="006630C0">
      <w:pPr>
        <w:spacing w:line="360" w:lineRule="auto"/>
        <w:jc w:val="both"/>
        <w:rPr>
          <w:rFonts w:ascii="Miriam" w:hAnsi="Miriam" w:cs="Miriam"/>
          <w:u w:val="single"/>
          <w:rtl/>
        </w:rPr>
      </w:pPr>
      <w:r w:rsidRPr="00CB2E98">
        <w:rPr>
          <w:rFonts w:ascii="Miriam" w:hAnsi="Miriam" w:cs="Miriam"/>
          <w:u w:val="single"/>
          <w:rtl/>
        </w:rPr>
        <w:t>תסקיר שירות המבחן</w:t>
      </w:r>
    </w:p>
    <w:p w14:paraId="68DA6A36" w14:textId="77777777" w:rsidR="006630C0" w:rsidRPr="00CB2E98" w:rsidRDefault="006630C0" w:rsidP="006630C0">
      <w:pPr>
        <w:spacing w:line="360" w:lineRule="auto"/>
        <w:jc w:val="both"/>
        <w:rPr>
          <w:rFonts w:ascii="Miriam" w:hAnsi="Miriam" w:cs="Miriam"/>
          <w:rtl/>
        </w:rPr>
      </w:pPr>
    </w:p>
    <w:p w14:paraId="1E297FBF" w14:textId="77777777" w:rsidR="006630C0" w:rsidRPr="00CB2E98" w:rsidRDefault="006630C0" w:rsidP="006630C0">
      <w:pPr>
        <w:spacing w:line="360" w:lineRule="auto"/>
        <w:jc w:val="both"/>
        <w:rPr>
          <w:rFonts w:ascii="David" w:hAnsi="David"/>
          <w:rtl/>
        </w:rPr>
      </w:pPr>
      <w:r w:rsidRPr="00CB2E98">
        <w:rPr>
          <w:rFonts w:ascii="David" w:hAnsi="David" w:hint="cs"/>
          <w:rtl/>
        </w:rPr>
        <w:t>3.</w:t>
      </w:r>
      <w:r w:rsidRPr="00CB2E98">
        <w:rPr>
          <w:rFonts w:ascii="David" w:hAnsi="David" w:hint="cs"/>
          <w:rtl/>
        </w:rPr>
        <w:tab/>
        <w:t>תסקיר שירות המבחן שהוגש על אודות הנאשם ביום 14.6.21, מלמד כי הנאשם בן 26, מאורס, טרם מעצרו התגורר בבית דודיו ומזה כארבע שנים, מנהל עסק בתחום השיפוצים. משפחתו של הנאשם מתוארת כמשפחה נורמטיבית וחמה. עברו הפלילי של הנאשם נקי</w:t>
      </w:r>
      <w:r>
        <w:rPr>
          <w:rFonts w:ascii="David" w:hAnsi="David" w:hint="cs"/>
          <w:rtl/>
        </w:rPr>
        <w:t>.</w:t>
      </w:r>
    </w:p>
    <w:p w14:paraId="39168BF8" w14:textId="77777777" w:rsidR="006630C0" w:rsidRPr="00CB2E98" w:rsidRDefault="006630C0" w:rsidP="006630C0">
      <w:pPr>
        <w:spacing w:line="360" w:lineRule="auto"/>
        <w:jc w:val="both"/>
        <w:rPr>
          <w:rFonts w:ascii="David" w:hAnsi="David"/>
          <w:rtl/>
        </w:rPr>
      </w:pPr>
    </w:p>
    <w:p w14:paraId="31046ACF" w14:textId="77777777" w:rsidR="006630C0" w:rsidRPr="00CB2E98" w:rsidRDefault="006630C0" w:rsidP="006630C0">
      <w:pPr>
        <w:spacing w:line="360" w:lineRule="auto"/>
        <w:jc w:val="both"/>
        <w:rPr>
          <w:rFonts w:ascii="David" w:hAnsi="David"/>
          <w:rtl/>
        </w:rPr>
      </w:pPr>
      <w:r w:rsidRPr="00CB2E98">
        <w:rPr>
          <w:rFonts w:ascii="David" w:hAnsi="David" w:hint="cs"/>
          <w:rtl/>
        </w:rPr>
        <w:t>4.</w:t>
      </w:r>
      <w:r w:rsidRPr="00CB2E98">
        <w:rPr>
          <w:rFonts w:ascii="David" w:hAnsi="David"/>
          <w:rtl/>
        </w:rPr>
        <w:tab/>
      </w:r>
      <w:r w:rsidRPr="00CB2E98">
        <w:rPr>
          <w:rFonts w:ascii="David" w:hAnsi="David" w:hint="cs"/>
          <w:rtl/>
        </w:rPr>
        <w:t>בהתייחס לביצוע העבירות, ציין הנאשם כי הרקע ל</w:t>
      </w:r>
      <w:r>
        <w:rPr>
          <w:rFonts w:ascii="David" w:hAnsi="David" w:hint="cs"/>
          <w:rtl/>
        </w:rPr>
        <w:t xml:space="preserve">החזקת הנשק </w:t>
      </w:r>
      <w:r w:rsidRPr="00CB2E98">
        <w:rPr>
          <w:rFonts w:ascii="David" w:hAnsi="David" w:hint="cs"/>
          <w:rtl/>
        </w:rPr>
        <w:t xml:space="preserve">נעוץ בשכיחות </w:t>
      </w:r>
      <w:r>
        <w:rPr>
          <w:rFonts w:ascii="David" w:hAnsi="David" w:hint="cs"/>
          <w:rtl/>
        </w:rPr>
        <w:t xml:space="preserve">תופעת </w:t>
      </w:r>
      <w:r w:rsidRPr="00CB2E98">
        <w:rPr>
          <w:rFonts w:ascii="David" w:hAnsi="David" w:hint="cs"/>
          <w:rtl/>
        </w:rPr>
        <w:t xml:space="preserve">אחזקת </w:t>
      </w:r>
      <w:r>
        <w:rPr>
          <w:rFonts w:ascii="David" w:hAnsi="David" w:hint="cs"/>
          <w:rtl/>
        </w:rPr>
        <w:t xml:space="preserve">כלי </w:t>
      </w:r>
      <w:r w:rsidRPr="00CB2E98">
        <w:rPr>
          <w:rFonts w:ascii="David" w:hAnsi="David" w:hint="cs"/>
          <w:rtl/>
        </w:rPr>
        <w:t>נשק באזור מגוריו ו</w:t>
      </w:r>
      <w:r>
        <w:rPr>
          <w:rFonts w:ascii="David" w:hAnsi="David" w:hint="cs"/>
          <w:rtl/>
        </w:rPr>
        <w:t xml:space="preserve">בצורך שלו להגביר </w:t>
      </w:r>
      <w:r w:rsidRPr="00CB2E98">
        <w:rPr>
          <w:rFonts w:ascii="David" w:hAnsi="David" w:hint="cs"/>
          <w:rtl/>
        </w:rPr>
        <w:t xml:space="preserve">את תחושת הביטחון שלו ע"י התחמשות. </w:t>
      </w:r>
      <w:r>
        <w:rPr>
          <w:rFonts w:ascii="David" w:hAnsi="David" w:hint="cs"/>
          <w:rtl/>
        </w:rPr>
        <w:t xml:space="preserve">בהתייחס לנשיאת הנשק, טען הנאשם כי חפץ להציגו לראווה בפני חברו שהינו בעל רישיון להחזקת נשק. </w:t>
      </w:r>
      <w:r w:rsidRPr="00CB2E98">
        <w:rPr>
          <w:rFonts w:ascii="David" w:hAnsi="David" w:hint="cs"/>
          <w:rtl/>
        </w:rPr>
        <w:t>הנאשם ביטא צער וחרטה על</w:t>
      </w:r>
      <w:r>
        <w:rPr>
          <w:rFonts w:ascii="David" w:hAnsi="David" w:hint="cs"/>
          <w:rtl/>
        </w:rPr>
        <w:t xml:space="preserve"> מעשיו ולקח אחריות מלאה לביצוען, וכן זיהה את הפגיעה הפוטנציאלית הטמונה בעבירות בנשק ותוך כך הביע הקלה על תפיסת הנשק.</w:t>
      </w:r>
    </w:p>
    <w:p w14:paraId="11824624" w14:textId="77777777" w:rsidR="006630C0" w:rsidRPr="00CB2E98" w:rsidRDefault="006630C0" w:rsidP="006630C0">
      <w:pPr>
        <w:spacing w:line="360" w:lineRule="auto"/>
        <w:jc w:val="both"/>
        <w:rPr>
          <w:rFonts w:ascii="David" w:hAnsi="David"/>
          <w:rtl/>
        </w:rPr>
      </w:pPr>
    </w:p>
    <w:p w14:paraId="4DC99CBB" w14:textId="77777777" w:rsidR="006630C0" w:rsidRPr="00CB2E98" w:rsidRDefault="006630C0" w:rsidP="006630C0">
      <w:pPr>
        <w:spacing w:line="360" w:lineRule="auto"/>
        <w:jc w:val="both"/>
        <w:rPr>
          <w:rFonts w:ascii="David" w:hAnsi="David"/>
          <w:rtl/>
        </w:rPr>
      </w:pPr>
      <w:r w:rsidRPr="00CB2E98">
        <w:rPr>
          <w:rFonts w:ascii="David" w:hAnsi="David" w:hint="cs"/>
          <w:rtl/>
        </w:rPr>
        <w:t>5.</w:t>
      </w:r>
      <w:r w:rsidRPr="00CB2E98">
        <w:rPr>
          <w:rFonts w:ascii="David" w:hAnsi="David" w:hint="cs"/>
          <w:rtl/>
        </w:rPr>
        <w:tab/>
        <w:t xml:space="preserve">שירות המבחן התרשם מבחור צעיר נעדר דפוסים אנטי-סוציאליים מושרשים באישיותו, החווה את ההליך הפלילי המתנהל נגדו לראשונה בחייו, באופן משמעותי. שירות המבחן העריך, כי התנהלותו של הנאשם והעבירות המיוחסות לו משקפות  </w:t>
      </w:r>
      <w:r>
        <w:rPr>
          <w:rFonts w:ascii="David" w:hAnsi="David" w:hint="cs"/>
          <w:rtl/>
        </w:rPr>
        <w:t>ניהול</w:t>
      </w:r>
      <w:r w:rsidRPr="00CB2E98">
        <w:rPr>
          <w:rFonts w:ascii="David" w:hAnsi="David" w:hint="cs"/>
          <w:rtl/>
        </w:rPr>
        <w:t xml:space="preserve"> קשרים חברתיים בעייתיי</w:t>
      </w:r>
      <w:r w:rsidRPr="00CB2E98">
        <w:rPr>
          <w:rFonts w:ascii="David" w:hAnsi="David" w:hint="eastAsia"/>
          <w:rtl/>
        </w:rPr>
        <w:t>ם</w:t>
      </w:r>
      <w:r w:rsidRPr="00CB2E98">
        <w:rPr>
          <w:rFonts w:ascii="David" w:hAnsi="David" w:hint="cs"/>
          <w:rtl/>
        </w:rPr>
        <w:t xml:space="preserve"> </w:t>
      </w:r>
      <w:r>
        <w:rPr>
          <w:rFonts w:ascii="David" w:hAnsi="David" w:hint="cs"/>
          <w:rtl/>
        </w:rPr>
        <w:t xml:space="preserve">ע"י הנאשם </w:t>
      </w:r>
      <w:r w:rsidRPr="00CB2E98">
        <w:rPr>
          <w:rFonts w:ascii="David" w:hAnsi="David" w:hint="cs"/>
          <w:rtl/>
        </w:rPr>
        <w:t xml:space="preserve">באזור מגוריו. </w:t>
      </w:r>
      <w:r>
        <w:rPr>
          <w:rFonts w:ascii="David" w:hAnsi="David" w:hint="cs"/>
          <w:rtl/>
        </w:rPr>
        <w:t xml:space="preserve">עוד </w:t>
      </w:r>
      <w:r w:rsidRPr="00CB2E98">
        <w:rPr>
          <w:rFonts w:ascii="David" w:hAnsi="David" w:hint="cs"/>
          <w:rtl/>
        </w:rPr>
        <w:t xml:space="preserve"> העריך שירות המבחן כי</w:t>
      </w:r>
      <w:r>
        <w:rPr>
          <w:rFonts w:ascii="David" w:hAnsi="David" w:hint="cs"/>
          <w:rtl/>
        </w:rPr>
        <w:t xml:space="preserve"> הנאשם ביצע את העבירות </w:t>
      </w:r>
      <w:r w:rsidRPr="00CB2E98">
        <w:rPr>
          <w:rFonts w:ascii="David" w:hAnsi="David" w:hint="cs"/>
          <w:rtl/>
        </w:rPr>
        <w:t>כדי להקנות לעצמו תחושת שייכות וערך מתוך דימוי עצמי נמוך</w:t>
      </w:r>
      <w:r>
        <w:rPr>
          <w:rFonts w:ascii="David" w:hAnsi="David" w:hint="cs"/>
          <w:rtl/>
        </w:rPr>
        <w:t>, וכן</w:t>
      </w:r>
      <w:r w:rsidRPr="00CB2E98">
        <w:rPr>
          <w:rFonts w:ascii="David" w:hAnsi="David" w:hint="cs"/>
          <w:rtl/>
        </w:rPr>
        <w:t xml:space="preserve"> התרשם שירות המבחן כי לנאשם נטייה להתנהל באופן פורץ גבולות במצבי לחץ ובמצבים חברתיים</w:t>
      </w:r>
      <w:r>
        <w:rPr>
          <w:rFonts w:ascii="David" w:hAnsi="David" w:hint="cs"/>
          <w:rtl/>
        </w:rPr>
        <w:t xml:space="preserve"> עמומים</w:t>
      </w:r>
      <w:r w:rsidRPr="00CB2E98">
        <w:rPr>
          <w:rFonts w:ascii="David" w:hAnsi="David" w:hint="cs"/>
          <w:rtl/>
        </w:rPr>
        <w:t>.</w:t>
      </w:r>
      <w:r>
        <w:rPr>
          <w:rFonts w:ascii="David" w:hAnsi="David" w:hint="cs"/>
          <w:rtl/>
        </w:rPr>
        <w:t xml:space="preserve"> </w:t>
      </w:r>
      <w:r w:rsidRPr="00CB2E98">
        <w:rPr>
          <w:rFonts w:ascii="David" w:hAnsi="David" w:hint="cs"/>
          <w:rtl/>
        </w:rPr>
        <w:t xml:space="preserve">בבחינת גורמי הסיכוי לשיקום, התרשם שירות המבחן כי לנאשם מיקוד שליטה  פנימי, </w:t>
      </w:r>
      <w:r>
        <w:rPr>
          <w:rFonts w:ascii="David" w:hAnsi="David" w:hint="cs"/>
          <w:rtl/>
        </w:rPr>
        <w:t xml:space="preserve">וזאת </w:t>
      </w:r>
      <w:r w:rsidRPr="00CB2E98">
        <w:rPr>
          <w:rFonts w:ascii="David" w:hAnsi="David" w:hint="cs"/>
          <w:rtl/>
        </w:rPr>
        <w:t>לצד</w:t>
      </w:r>
      <w:r>
        <w:rPr>
          <w:rFonts w:ascii="David" w:hAnsi="David" w:hint="cs"/>
          <w:rtl/>
        </w:rPr>
        <w:t xml:space="preserve"> </w:t>
      </w:r>
      <w:r w:rsidRPr="00CB2E98">
        <w:rPr>
          <w:rFonts w:ascii="David" w:hAnsi="David" w:hint="cs"/>
          <w:rtl/>
        </w:rPr>
        <w:t xml:space="preserve">לקיחת אחריות </w:t>
      </w:r>
      <w:r>
        <w:rPr>
          <w:rFonts w:ascii="David" w:hAnsi="David" w:hint="cs"/>
          <w:rtl/>
        </w:rPr>
        <w:t xml:space="preserve">מלאה על-ידו </w:t>
      </w:r>
      <w:r w:rsidRPr="00CB2E98">
        <w:rPr>
          <w:rFonts w:ascii="David" w:hAnsi="David" w:hint="cs"/>
          <w:rtl/>
        </w:rPr>
        <w:t>לביצוע העבירות וה</w:t>
      </w:r>
      <w:r>
        <w:rPr>
          <w:rFonts w:ascii="David" w:hAnsi="David" w:hint="cs"/>
          <w:rtl/>
        </w:rPr>
        <w:t>בנתו את הרציונל שבבסיס החוק</w:t>
      </w:r>
      <w:r w:rsidRPr="00CB2E98">
        <w:rPr>
          <w:rFonts w:ascii="David" w:hAnsi="David" w:hint="cs"/>
          <w:rtl/>
        </w:rPr>
        <w:t xml:space="preserve">. </w:t>
      </w:r>
      <w:r>
        <w:rPr>
          <w:rFonts w:ascii="David" w:hAnsi="David" w:hint="cs"/>
          <w:rtl/>
        </w:rPr>
        <w:t>בנוסף,</w:t>
      </w:r>
      <w:r w:rsidRPr="00CB2E98">
        <w:rPr>
          <w:rFonts w:ascii="David" w:hAnsi="David" w:hint="cs"/>
          <w:rtl/>
        </w:rPr>
        <w:t xml:space="preserve"> ציין שירות המבחן</w:t>
      </w:r>
      <w:r>
        <w:rPr>
          <w:rFonts w:ascii="David" w:hAnsi="David" w:hint="cs"/>
          <w:rtl/>
        </w:rPr>
        <w:t xml:space="preserve"> בנקודה זו </w:t>
      </w:r>
      <w:r w:rsidRPr="00CB2E98">
        <w:rPr>
          <w:rFonts w:ascii="David" w:hAnsi="David" w:hint="cs"/>
          <w:rtl/>
        </w:rPr>
        <w:t xml:space="preserve"> את התרשמותו החיובית של מנחה הקבוצה לעצורי בית בה שולב הנאשם</w:t>
      </w:r>
      <w:r>
        <w:rPr>
          <w:rFonts w:ascii="David" w:hAnsi="David" w:hint="cs"/>
          <w:rtl/>
        </w:rPr>
        <w:t>, המעידה על יכולתו לערוך התבוננות בדפוסי התנהגותו ולשתף פעולה עם שרות המבחן</w:t>
      </w:r>
      <w:r w:rsidRPr="00CB2E98">
        <w:rPr>
          <w:rFonts w:ascii="David" w:hAnsi="David" w:hint="cs"/>
          <w:rtl/>
        </w:rPr>
        <w:t xml:space="preserve">. </w:t>
      </w:r>
      <w:r>
        <w:rPr>
          <w:rFonts w:ascii="David" w:hAnsi="David" w:hint="cs"/>
          <w:rtl/>
        </w:rPr>
        <w:t>בד בבד  צוין</w:t>
      </w:r>
      <w:r w:rsidRPr="00CB2E98">
        <w:rPr>
          <w:rFonts w:ascii="David" w:hAnsi="David" w:hint="cs"/>
          <w:rtl/>
        </w:rPr>
        <w:t xml:space="preserve"> כי לנאשם מוטיבציה וכוחות לערוך </w:t>
      </w:r>
      <w:r w:rsidRPr="00CB2E98">
        <w:rPr>
          <w:rFonts w:ascii="David" w:hAnsi="David" w:hint="cs"/>
          <w:rtl/>
        </w:rPr>
        <w:lastRenderedPageBreak/>
        <w:t>שינוי בדפוסיו</w:t>
      </w:r>
      <w:r>
        <w:rPr>
          <w:rFonts w:ascii="David" w:hAnsi="David" w:hint="cs"/>
          <w:rtl/>
        </w:rPr>
        <w:t xml:space="preserve"> המכשילים תוך שהוא מבטא שאיפות לנהל אורח חיים נורמטיבי, דבר הבא לידי ביטוי בניהול עסק על-ידו חרף גילו הצעיר ובהצלחתו לשמור על רצף תעסוקתי. </w:t>
      </w:r>
      <w:r w:rsidRPr="00CB2E98">
        <w:rPr>
          <w:rFonts w:ascii="David" w:hAnsi="David" w:hint="cs"/>
          <w:rtl/>
        </w:rPr>
        <w:t xml:space="preserve">שירות המבחן </w:t>
      </w:r>
      <w:r>
        <w:rPr>
          <w:rFonts w:ascii="David" w:hAnsi="David" w:hint="cs"/>
          <w:rtl/>
        </w:rPr>
        <w:t xml:space="preserve">מעריך כי </w:t>
      </w:r>
      <w:r w:rsidRPr="00CB2E98">
        <w:rPr>
          <w:rFonts w:ascii="David" w:hAnsi="David" w:hint="cs"/>
          <w:rtl/>
        </w:rPr>
        <w:t xml:space="preserve">אם ישולב </w:t>
      </w:r>
      <w:r>
        <w:rPr>
          <w:rFonts w:ascii="David" w:hAnsi="David" w:hint="cs"/>
          <w:rtl/>
        </w:rPr>
        <w:t xml:space="preserve">הנאשם </w:t>
      </w:r>
      <w:r w:rsidRPr="00CB2E98">
        <w:rPr>
          <w:rFonts w:ascii="David" w:hAnsi="David" w:hint="cs"/>
          <w:rtl/>
        </w:rPr>
        <w:t>בהליך טיפולי ארוך טווח, הסיכון להישנות עבירות דומות</w:t>
      </w:r>
      <w:r>
        <w:rPr>
          <w:rFonts w:ascii="David" w:hAnsi="David" w:hint="cs"/>
          <w:rtl/>
        </w:rPr>
        <w:t xml:space="preserve"> בעתיד</w:t>
      </w:r>
      <w:r w:rsidRPr="00CB2E98">
        <w:rPr>
          <w:rFonts w:ascii="David" w:hAnsi="David" w:hint="cs"/>
          <w:rtl/>
        </w:rPr>
        <w:t xml:space="preserve">, יפחת. על כן, </w:t>
      </w:r>
      <w:r>
        <w:rPr>
          <w:rFonts w:ascii="David" w:hAnsi="David" w:hint="cs"/>
          <w:rtl/>
        </w:rPr>
        <w:t xml:space="preserve">ובהתחשב בעברו הנקי של הנאשם, </w:t>
      </w:r>
      <w:r w:rsidRPr="00CB2E98">
        <w:rPr>
          <w:rFonts w:ascii="David" w:hAnsi="David" w:hint="cs"/>
          <w:rtl/>
        </w:rPr>
        <w:t>ממליץ שירות המבחן להטיל על</w:t>
      </w:r>
      <w:r>
        <w:rPr>
          <w:rFonts w:ascii="David" w:hAnsi="David" w:hint="cs"/>
          <w:rtl/>
        </w:rPr>
        <w:t xml:space="preserve">יו </w:t>
      </w:r>
      <w:r w:rsidRPr="00CB2E98">
        <w:rPr>
          <w:rFonts w:ascii="David" w:hAnsi="David" w:hint="cs"/>
          <w:rtl/>
        </w:rPr>
        <w:t xml:space="preserve">צו מבחן למשך 12 חודשים, במהלכו ישולב בקבוצה טיפולית. </w:t>
      </w:r>
      <w:r>
        <w:rPr>
          <w:rFonts w:ascii="David" w:hAnsi="David" w:hint="cs"/>
          <w:rtl/>
        </w:rPr>
        <w:t>בהינתן</w:t>
      </w:r>
      <w:r w:rsidRPr="00CB2E98">
        <w:rPr>
          <w:rFonts w:ascii="David" w:hAnsi="David" w:hint="cs"/>
          <w:rtl/>
        </w:rPr>
        <w:t xml:space="preserve"> חומרת העבירות, ממליץ שירות המבחן </w:t>
      </w:r>
      <w:r>
        <w:rPr>
          <w:rFonts w:ascii="David" w:hAnsi="David" w:hint="cs"/>
          <w:rtl/>
        </w:rPr>
        <w:t xml:space="preserve">גם </w:t>
      </w:r>
      <w:r w:rsidRPr="00CB2E98">
        <w:rPr>
          <w:rFonts w:ascii="David" w:hAnsi="David" w:hint="cs"/>
          <w:rtl/>
        </w:rPr>
        <w:t xml:space="preserve">על הטלת עונש </w:t>
      </w:r>
      <w:r>
        <w:rPr>
          <w:rFonts w:ascii="David" w:hAnsi="David" w:hint="cs"/>
          <w:rtl/>
        </w:rPr>
        <w:t xml:space="preserve">של </w:t>
      </w:r>
      <w:r w:rsidRPr="00CB2E98">
        <w:rPr>
          <w:rFonts w:ascii="David" w:hAnsi="David" w:hint="cs"/>
          <w:rtl/>
        </w:rPr>
        <w:t xml:space="preserve">מאסר </w:t>
      </w:r>
      <w:r>
        <w:rPr>
          <w:rFonts w:ascii="David" w:hAnsi="David" w:hint="cs"/>
          <w:rtl/>
        </w:rPr>
        <w:t xml:space="preserve">בפועל </w:t>
      </w:r>
      <w:r w:rsidRPr="00CB2E98">
        <w:rPr>
          <w:rFonts w:ascii="David" w:hAnsi="David" w:hint="cs"/>
          <w:rtl/>
        </w:rPr>
        <w:t>לריצוי בעבודות שירות לתקופה שאינה ממושכת</w:t>
      </w:r>
      <w:r>
        <w:rPr>
          <w:rFonts w:ascii="David" w:hAnsi="David" w:hint="cs"/>
          <w:rtl/>
        </w:rPr>
        <w:t xml:space="preserve"> </w:t>
      </w:r>
      <w:r w:rsidRPr="00CB2E98">
        <w:rPr>
          <w:rFonts w:ascii="David" w:hAnsi="David" w:hint="cs"/>
          <w:rtl/>
        </w:rPr>
        <w:t xml:space="preserve">כדי לא לפגום </w:t>
      </w:r>
      <w:r>
        <w:rPr>
          <w:rFonts w:ascii="David" w:hAnsi="David" w:hint="cs"/>
          <w:rtl/>
        </w:rPr>
        <w:t>ביכולתו של הנאשם לשוב לתפקוד יצרני</w:t>
      </w:r>
      <w:r w:rsidRPr="00CB2E98">
        <w:rPr>
          <w:rFonts w:ascii="David" w:hAnsi="David" w:hint="cs"/>
          <w:rtl/>
        </w:rPr>
        <w:t>.</w:t>
      </w:r>
    </w:p>
    <w:p w14:paraId="4A8EA0FA" w14:textId="77777777" w:rsidR="006630C0" w:rsidRPr="00CB2E98" w:rsidRDefault="006630C0" w:rsidP="006630C0">
      <w:pPr>
        <w:spacing w:line="360" w:lineRule="auto"/>
        <w:jc w:val="both"/>
        <w:rPr>
          <w:rFonts w:ascii="David" w:hAnsi="David"/>
          <w:rtl/>
        </w:rPr>
      </w:pPr>
    </w:p>
    <w:p w14:paraId="5CC27800" w14:textId="77777777" w:rsidR="006630C0" w:rsidRDefault="006630C0" w:rsidP="006630C0">
      <w:pPr>
        <w:spacing w:line="360" w:lineRule="auto"/>
        <w:jc w:val="both"/>
        <w:rPr>
          <w:rFonts w:ascii="David" w:hAnsi="David"/>
          <w:u w:val="single"/>
          <w:rtl/>
        </w:rPr>
      </w:pPr>
    </w:p>
    <w:p w14:paraId="2B828865" w14:textId="77777777" w:rsidR="006630C0" w:rsidRDefault="006630C0" w:rsidP="006630C0">
      <w:pPr>
        <w:spacing w:line="360" w:lineRule="auto"/>
        <w:jc w:val="both"/>
        <w:rPr>
          <w:rFonts w:ascii="David" w:hAnsi="David"/>
          <w:u w:val="single"/>
          <w:rtl/>
        </w:rPr>
      </w:pPr>
    </w:p>
    <w:p w14:paraId="49B74FDA" w14:textId="77777777" w:rsidR="006630C0" w:rsidRDefault="006630C0" w:rsidP="006630C0">
      <w:pPr>
        <w:spacing w:line="360" w:lineRule="auto"/>
        <w:jc w:val="both"/>
        <w:rPr>
          <w:rFonts w:ascii="David" w:hAnsi="David"/>
          <w:u w:val="single"/>
          <w:rtl/>
        </w:rPr>
      </w:pPr>
    </w:p>
    <w:p w14:paraId="187F2AC6" w14:textId="77777777" w:rsidR="006630C0" w:rsidRPr="00190AE3" w:rsidRDefault="006630C0" w:rsidP="006630C0">
      <w:pPr>
        <w:spacing w:line="360" w:lineRule="auto"/>
        <w:jc w:val="both"/>
        <w:rPr>
          <w:rFonts w:ascii="Miriam" w:hAnsi="Miriam" w:cs="Miriam"/>
          <w:u w:val="single"/>
          <w:rtl/>
        </w:rPr>
      </w:pPr>
      <w:r w:rsidRPr="00190AE3">
        <w:rPr>
          <w:rFonts w:ascii="Miriam" w:hAnsi="Miriam" w:cs="Miriam"/>
          <w:u w:val="single"/>
          <w:rtl/>
        </w:rPr>
        <w:t>טיעוני הצדדים לעונש</w:t>
      </w:r>
    </w:p>
    <w:p w14:paraId="6198B9D5" w14:textId="77777777" w:rsidR="006630C0" w:rsidRPr="00CB2E98" w:rsidRDefault="006630C0" w:rsidP="006630C0">
      <w:pPr>
        <w:spacing w:line="360" w:lineRule="auto"/>
        <w:jc w:val="both"/>
        <w:rPr>
          <w:rFonts w:ascii="David" w:hAnsi="David"/>
          <w:u w:val="single"/>
          <w:rtl/>
        </w:rPr>
      </w:pPr>
    </w:p>
    <w:p w14:paraId="3B1DFA4B" w14:textId="77777777" w:rsidR="006630C0" w:rsidRPr="00CB2E98" w:rsidRDefault="006630C0" w:rsidP="006630C0">
      <w:pPr>
        <w:spacing w:line="360" w:lineRule="auto"/>
        <w:jc w:val="both"/>
        <w:rPr>
          <w:rFonts w:ascii="David" w:hAnsi="David"/>
          <w:u w:val="single"/>
          <w:rtl/>
        </w:rPr>
      </w:pPr>
      <w:r w:rsidRPr="00CB2E98">
        <w:rPr>
          <w:rFonts w:ascii="David" w:hAnsi="David" w:hint="cs"/>
          <w:rtl/>
        </w:rPr>
        <w:t>6.</w:t>
      </w:r>
      <w:r w:rsidRPr="00CB2E98">
        <w:rPr>
          <w:rFonts w:ascii="David" w:hAnsi="David" w:hint="cs"/>
          <w:color w:val="000000"/>
          <w:rtl/>
        </w:rPr>
        <w:tab/>
      </w:r>
      <w:r w:rsidRPr="00CB2E98">
        <w:rPr>
          <w:rFonts w:ascii="David" w:hAnsi="David"/>
          <w:color w:val="000000"/>
          <w:rtl/>
        </w:rPr>
        <w:t xml:space="preserve">במסגרת טיעוניו לעונש הפנה ב"כ המאשימה לעובדות כתב האישום המתוקן ללמד על חומרת העבירות בהן הורשע הנאשם, תוך שהדגיש כי הנאשם החזיק בביתו 2 אקדחים, האחד טעון במחסנית ובה 3 כדורים, והשני- אקדח שאינו תקין, </w:t>
      </w:r>
      <w:r>
        <w:rPr>
          <w:rFonts w:ascii="David" w:hAnsi="David" w:hint="cs"/>
          <w:color w:val="000000"/>
          <w:rtl/>
        </w:rPr>
        <w:t xml:space="preserve">וזאת </w:t>
      </w:r>
      <w:r w:rsidRPr="00CB2E98">
        <w:rPr>
          <w:rFonts w:ascii="David" w:hAnsi="David"/>
          <w:color w:val="000000"/>
          <w:rtl/>
        </w:rPr>
        <w:t>לצד  תחמושת מסוגים שונים. עוד נטען כי הנאשם נשא והוביל, בטבורה של עיר, את אקדח המאוזר, אם כי מדובר בנשיאה קצרה לבית חברו של הנאשם.</w:t>
      </w:r>
      <w:r w:rsidRPr="00CB2E98">
        <w:rPr>
          <w:rFonts w:ascii="David" w:hAnsi="David"/>
          <w:rtl/>
        </w:rPr>
        <w:t xml:space="preserve"> ב"כ המאשימה הוסיף וטען לחומרה כי צבר האמל"ח בו החזיק הנאשם אינו עולה בקנה אחד עם טענתו</w:t>
      </w:r>
      <w:r>
        <w:rPr>
          <w:rFonts w:ascii="David" w:hAnsi="David" w:hint="cs"/>
          <w:rtl/>
        </w:rPr>
        <w:t>, ל</w:t>
      </w:r>
      <w:r w:rsidRPr="00CB2E98">
        <w:rPr>
          <w:rFonts w:ascii="David" w:hAnsi="David"/>
          <w:rtl/>
        </w:rPr>
        <w:t>פיה החזיק בנשק אך לצורך הגברת ביטחונו האישי ונוכח שכיחות תופע</w:t>
      </w:r>
      <w:r>
        <w:rPr>
          <w:rFonts w:ascii="David" w:hAnsi="David" w:hint="cs"/>
          <w:rtl/>
        </w:rPr>
        <w:t xml:space="preserve">ת החזקת נשק </w:t>
      </w:r>
      <w:r w:rsidRPr="00CB2E98">
        <w:rPr>
          <w:rFonts w:ascii="David" w:hAnsi="David"/>
          <w:rtl/>
        </w:rPr>
        <w:t xml:space="preserve"> בחברה הערבית, ומעיד על התעוזה והמסוכנות שבמעשיו. ב"כ המאשימה </w:t>
      </w:r>
      <w:r>
        <w:rPr>
          <w:rFonts w:ascii="David" w:hAnsi="David" w:hint="cs"/>
          <w:rtl/>
        </w:rPr>
        <w:t xml:space="preserve">הבהיר </w:t>
      </w:r>
      <w:r w:rsidRPr="00CB2E98">
        <w:rPr>
          <w:rFonts w:ascii="David" w:hAnsi="David"/>
          <w:rtl/>
        </w:rPr>
        <w:t xml:space="preserve">כי לשיטת המאשימה עבירת </w:t>
      </w:r>
      <w:r>
        <w:rPr>
          <w:rFonts w:ascii="David" w:hAnsi="David" w:hint="cs"/>
          <w:rtl/>
        </w:rPr>
        <w:t>החזקת</w:t>
      </w:r>
      <w:r w:rsidRPr="00CB2E98">
        <w:rPr>
          <w:rFonts w:ascii="David" w:hAnsi="David"/>
          <w:rtl/>
        </w:rPr>
        <w:t xml:space="preserve"> הנשק לא בוצעה אגב נשיאתו, כך שלא מדובר במעשה אחד, אולם מדובר באותו אירוע בגינו מבקשת המאשימה לקבוע מתחם עונש הולם אחד.</w:t>
      </w:r>
    </w:p>
    <w:p w14:paraId="0817E7E4" w14:textId="77777777" w:rsidR="006630C0" w:rsidRPr="00CB2E98" w:rsidRDefault="006630C0" w:rsidP="006630C0">
      <w:pPr>
        <w:spacing w:line="360" w:lineRule="auto"/>
        <w:jc w:val="both"/>
        <w:rPr>
          <w:rFonts w:ascii="David" w:hAnsi="David"/>
          <w:u w:val="single"/>
          <w:rtl/>
        </w:rPr>
      </w:pPr>
    </w:p>
    <w:p w14:paraId="1827C4BC" w14:textId="77777777" w:rsidR="006630C0" w:rsidRPr="00CB2E98" w:rsidRDefault="006630C0" w:rsidP="006630C0">
      <w:pPr>
        <w:spacing w:line="360" w:lineRule="auto"/>
        <w:jc w:val="both"/>
        <w:rPr>
          <w:rFonts w:ascii="David" w:hAnsi="David"/>
          <w:u w:val="single"/>
          <w:rtl/>
        </w:rPr>
      </w:pPr>
      <w:r w:rsidRPr="00CB2E98">
        <w:rPr>
          <w:rFonts w:ascii="David" w:hAnsi="David" w:hint="cs"/>
          <w:rtl/>
        </w:rPr>
        <w:t>7.</w:t>
      </w:r>
      <w:r w:rsidRPr="00CB2E98">
        <w:rPr>
          <w:rFonts w:ascii="David" w:hAnsi="David" w:hint="cs"/>
          <w:rtl/>
        </w:rPr>
        <w:tab/>
      </w:r>
      <w:r w:rsidRPr="00CB2E98">
        <w:rPr>
          <w:rFonts w:ascii="David" w:hAnsi="David"/>
          <w:rtl/>
        </w:rPr>
        <w:t>ב"כ המאשימה טען כי הערכים החברתיים שנפגעו כתוצאה ממעשיו של הנאשם הם חיי אדם, שלטון החוק ושלום הציבור, תוך שהטעים כי מציאות החיים מלמדת כאלף עדים על כך שנשק טעון ה</w:t>
      </w:r>
      <w:r>
        <w:rPr>
          <w:rFonts w:ascii="David" w:hAnsi="David" w:hint="cs"/>
          <w:rtl/>
        </w:rPr>
        <w:t xml:space="preserve">וא </w:t>
      </w:r>
      <w:r w:rsidRPr="00CB2E98">
        <w:rPr>
          <w:rFonts w:ascii="David" w:hAnsi="David"/>
          <w:rtl/>
        </w:rPr>
        <w:t>קטלני ביותר.</w:t>
      </w:r>
      <w:r>
        <w:rPr>
          <w:rFonts w:ascii="David" w:hAnsi="David" w:hint="cs"/>
          <w:rtl/>
        </w:rPr>
        <w:t xml:space="preserve"> </w:t>
      </w:r>
      <w:r w:rsidRPr="00CB2E98">
        <w:rPr>
          <w:rFonts w:ascii="David" w:hAnsi="David"/>
          <w:color w:val="000000"/>
          <w:rtl/>
        </w:rPr>
        <w:t>לאחר שהפנה לפסיקה להמחשת עמדת המאשימה לעונש (</w:t>
      </w:r>
      <w:r w:rsidRPr="00CB2E98">
        <w:rPr>
          <w:rFonts w:ascii="Miriam" w:hAnsi="Miriam" w:cs="Miriam"/>
          <w:color w:val="000000"/>
          <w:rtl/>
        </w:rPr>
        <w:t>ט/1</w:t>
      </w:r>
      <w:r w:rsidRPr="00CB2E98">
        <w:rPr>
          <w:rFonts w:ascii="David" w:hAnsi="David"/>
          <w:color w:val="000000"/>
          <w:rtl/>
        </w:rPr>
        <w:t>) ו</w:t>
      </w:r>
      <w:r>
        <w:rPr>
          <w:rFonts w:ascii="David" w:hAnsi="David" w:hint="cs"/>
          <w:color w:val="000000"/>
          <w:rtl/>
        </w:rPr>
        <w:t xml:space="preserve">כן </w:t>
      </w:r>
      <w:r w:rsidRPr="00CB2E98">
        <w:rPr>
          <w:rFonts w:ascii="David" w:hAnsi="David"/>
          <w:color w:val="000000"/>
          <w:rtl/>
        </w:rPr>
        <w:t xml:space="preserve">הפנה לדו"ח מבקר המדינה </w:t>
      </w:r>
      <w:r>
        <w:rPr>
          <w:rFonts w:ascii="David" w:hAnsi="David" w:hint="cs"/>
          <w:color w:val="000000"/>
          <w:rtl/>
        </w:rPr>
        <w:t>ממנו עולה</w:t>
      </w:r>
      <w:r w:rsidRPr="00CB2E98">
        <w:rPr>
          <w:rFonts w:ascii="David" w:hAnsi="David"/>
          <w:color w:val="000000"/>
          <w:rtl/>
        </w:rPr>
        <w:t xml:space="preserve"> הנזק הנגרם כתוצאה מתופעת החזקת הנשק במגזר ה</w:t>
      </w:r>
      <w:r>
        <w:rPr>
          <w:rFonts w:ascii="David" w:hAnsi="David" w:hint="cs"/>
          <w:color w:val="000000"/>
          <w:rtl/>
        </w:rPr>
        <w:t xml:space="preserve">ערבי </w:t>
      </w:r>
      <w:r w:rsidRPr="00CB2E98">
        <w:rPr>
          <w:rFonts w:ascii="David" w:hAnsi="David"/>
          <w:color w:val="000000"/>
          <w:rtl/>
        </w:rPr>
        <w:t>והצורך במיגורה</w:t>
      </w:r>
      <w:r>
        <w:rPr>
          <w:rFonts w:ascii="David" w:hAnsi="David" w:hint="cs"/>
          <w:color w:val="000000"/>
          <w:rtl/>
        </w:rPr>
        <w:t xml:space="preserve"> </w:t>
      </w:r>
      <w:r w:rsidRPr="00CB2E98">
        <w:rPr>
          <w:rFonts w:ascii="David" w:hAnsi="David"/>
          <w:color w:val="000000"/>
          <w:rtl/>
        </w:rPr>
        <w:t>(</w:t>
      </w:r>
      <w:r w:rsidRPr="00CB2E98">
        <w:rPr>
          <w:rFonts w:ascii="Miriam" w:hAnsi="Miriam" w:cs="Miriam"/>
          <w:color w:val="000000"/>
          <w:rtl/>
        </w:rPr>
        <w:t>ט/2</w:t>
      </w:r>
      <w:r w:rsidRPr="00CB2E98">
        <w:rPr>
          <w:rFonts w:ascii="David" w:hAnsi="David"/>
          <w:color w:val="000000"/>
          <w:rtl/>
        </w:rPr>
        <w:t xml:space="preserve">), טען ב"כ המאשימה למתחם עונש הולם הנע בין 5-2.5 שנות מאסר בפועל לצד עונש </w:t>
      </w:r>
      <w:r>
        <w:rPr>
          <w:rFonts w:ascii="David" w:hAnsi="David" w:hint="cs"/>
          <w:color w:val="000000"/>
          <w:rtl/>
        </w:rPr>
        <w:t xml:space="preserve">של </w:t>
      </w:r>
      <w:r w:rsidRPr="00CB2E98">
        <w:rPr>
          <w:rFonts w:ascii="David" w:hAnsi="David"/>
          <w:color w:val="000000"/>
          <w:rtl/>
        </w:rPr>
        <w:t>מאסר על תנאי וקנס.</w:t>
      </w:r>
    </w:p>
    <w:p w14:paraId="48B32EE5" w14:textId="77777777" w:rsidR="006630C0" w:rsidRPr="00CB2E98" w:rsidRDefault="006630C0" w:rsidP="006630C0">
      <w:pPr>
        <w:spacing w:line="360" w:lineRule="auto"/>
        <w:jc w:val="both"/>
        <w:rPr>
          <w:rFonts w:ascii="David" w:hAnsi="David"/>
          <w:u w:val="single"/>
          <w:rtl/>
        </w:rPr>
      </w:pPr>
    </w:p>
    <w:p w14:paraId="1D1AF5CA" w14:textId="77777777" w:rsidR="006630C0" w:rsidRPr="00CB2E98" w:rsidRDefault="006630C0" w:rsidP="006630C0">
      <w:pPr>
        <w:spacing w:line="360" w:lineRule="auto"/>
        <w:jc w:val="both"/>
        <w:rPr>
          <w:rFonts w:ascii="David" w:hAnsi="David"/>
          <w:u w:val="single"/>
          <w:rtl/>
        </w:rPr>
      </w:pPr>
      <w:r w:rsidRPr="00CB2E98">
        <w:rPr>
          <w:rFonts w:ascii="David" w:hAnsi="David" w:hint="cs"/>
          <w:rtl/>
        </w:rPr>
        <w:t>8.</w:t>
      </w:r>
      <w:r w:rsidRPr="00CB2E98">
        <w:rPr>
          <w:rFonts w:ascii="David" w:hAnsi="David" w:hint="cs"/>
          <w:rtl/>
        </w:rPr>
        <w:tab/>
      </w:r>
      <w:r w:rsidRPr="00CB2E98">
        <w:rPr>
          <w:rFonts w:ascii="David" w:hAnsi="David"/>
          <w:color w:val="000000"/>
          <w:rtl/>
        </w:rPr>
        <w:t>לאחר שסקר ב"כ המאשימה את הנסיבות שאינן קשורות בביצוע העביר</w:t>
      </w:r>
      <w:r>
        <w:rPr>
          <w:rFonts w:ascii="David" w:hAnsi="David" w:hint="cs"/>
          <w:color w:val="000000"/>
          <w:rtl/>
        </w:rPr>
        <w:t>ות-</w:t>
      </w:r>
      <w:r w:rsidRPr="00CB2E98">
        <w:rPr>
          <w:rFonts w:ascii="David" w:hAnsi="David"/>
          <w:color w:val="000000"/>
          <w:rtl/>
        </w:rPr>
        <w:t xml:space="preserve"> הודאת הנאשם, לקיחת אחריות על מעשיו, גילו הצעיר ועברו הפלילי הנקי, ו</w:t>
      </w:r>
      <w:r>
        <w:rPr>
          <w:rFonts w:ascii="David" w:hAnsi="David" w:hint="cs"/>
          <w:color w:val="000000"/>
          <w:rtl/>
        </w:rPr>
        <w:t>תוך ש</w:t>
      </w:r>
      <w:r w:rsidRPr="00CB2E98">
        <w:rPr>
          <w:rFonts w:ascii="David" w:hAnsi="David"/>
          <w:color w:val="000000"/>
          <w:rtl/>
        </w:rPr>
        <w:t xml:space="preserve">נתן דעתו </w:t>
      </w:r>
      <w:r>
        <w:rPr>
          <w:rFonts w:ascii="David" w:hAnsi="David" w:hint="cs"/>
          <w:color w:val="000000"/>
          <w:rtl/>
        </w:rPr>
        <w:t xml:space="preserve">במסגרת זו </w:t>
      </w:r>
      <w:r w:rsidRPr="00CB2E98">
        <w:rPr>
          <w:rFonts w:ascii="David" w:hAnsi="David"/>
          <w:color w:val="000000"/>
          <w:rtl/>
        </w:rPr>
        <w:t xml:space="preserve">לכך שהנאשם שיתף פעולה עם שירות המבחן, הביע חרטה וגילה מוטיבציה שיקומית, </w:t>
      </w:r>
      <w:r>
        <w:rPr>
          <w:rFonts w:ascii="David" w:hAnsi="David" w:hint="cs"/>
          <w:color w:val="000000"/>
          <w:rtl/>
        </w:rPr>
        <w:t>וכן</w:t>
      </w:r>
      <w:r w:rsidRPr="00CB2E98">
        <w:rPr>
          <w:rFonts w:ascii="David" w:hAnsi="David"/>
          <w:color w:val="000000"/>
          <w:rtl/>
        </w:rPr>
        <w:t xml:space="preserve"> </w:t>
      </w:r>
      <w:r>
        <w:rPr>
          <w:rFonts w:ascii="David" w:hAnsi="David" w:hint="cs"/>
          <w:color w:val="000000"/>
          <w:rtl/>
        </w:rPr>
        <w:t xml:space="preserve">להיותו כארבעה שבועות </w:t>
      </w:r>
      <w:r w:rsidRPr="00CB2E98">
        <w:rPr>
          <w:rFonts w:ascii="David" w:hAnsi="David"/>
          <w:color w:val="000000"/>
          <w:rtl/>
        </w:rPr>
        <w:t xml:space="preserve"> במעצר מאחורי סורג ובריח ולאחר מכן במעצר באיזוק אלקטרוני, ביקש </w:t>
      </w:r>
      <w:r>
        <w:rPr>
          <w:rFonts w:ascii="David" w:hAnsi="David" w:hint="cs"/>
          <w:color w:val="000000"/>
          <w:rtl/>
        </w:rPr>
        <w:t xml:space="preserve">ב"כ המאשימה </w:t>
      </w:r>
      <w:r w:rsidRPr="00CB2E98">
        <w:rPr>
          <w:rFonts w:ascii="David" w:hAnsi="David"/>
          <w:color w:val="000000"/>
          <w:rtl/>
        </w:rPr>
        <w:t xml:space="preserve">להשית על הנאשם עונש המצוי בחלקו התחתון של מתחם העונש ההולם </w:t>
      </w:r>
      <w:r>
        <w:rPr>
          <w:rFonts w:ascii="David" w:hAnsi="David" w:hint="cs"/>
          <w:color w:val="000000"/>
          <w:rtl/>
        </w:rPr>
        <w:t xml:space="preserve">לו עותרת המאשימה. ב"כ המאשימה טען עוד </w:t>
      </w:r>
      <w:r w:rsidRPr="00CB2E98">
        <w:rPr>
          <w:rFonts w:ascii="David" w:hAnsi="David"/>
          <w:color w:val="000000"/>
          <w:rtl/>
        </w:rPr>
        <w:t xml:space="preserve">כי אין זה המקרה לסטות ממתחם העונש ההולם, שכן בעבירות כה חמורות, שיקולי השיקום אינם עומדים לבדם ולצדם קיים גם אלמנט ההרתעה. בסיכומו של דבר, ביקש ב"כ המאשימה להשית על הנאשם עונש </w:t>
      </w:r>
      <w:r>
        <w:rPr>
          <w:rFonts w:ascii="David" w:hAnsi="David" w:hint="cs"/>
          <w:color w:val="000000"/>
          <w:rtl/>
        </w:rPr>
        <w:t xml:space="preserve">של </w:t>
      </w:r>
      <w:r w:rsidRPr="00CB2E98">
        <w:rPr>
          <w:rFonts w:ascii="David" w:hAnsi="David"/>
          <w:color w:val="000000"/>
          <w:rtl/>
        </w:rPr>
        <w:t xml:space="preserve">מאסר </w:t>
      </w:r>
      <w:r>
        <w:rPr>
          <w:rFonts w:ascii="David" w:hAnsi="David" w:hint="cs"/>
          <w:color w:val="000000"/>
          <w:rtl/>
        </w:rPr>
        <w:t xml:space="preserve">בפועל </w:t>
      </w:r>
      <w:r w:rsidRPr="00CB2E98">
        <w:rPr>
          <w:rFonts w:ascii="David" w:hAnsi="David"/>
          <w:color w:val="000000"/>
          <w:rtl/>
        </w:rPr>
        <w:t>ברף התחתון של המתחם לו עותרת</w:t>
      </w:r>
      <w:r>
        <w:rPr>
          <w:rFonts w:ascii="David" w:hAnsi="David" w:hint="cs"/>
          <w:color w:val="000000"/>
          <w:rtl/>
        </w:rPr>
        <w:t xml:space="preserve">, כאמור, </w:t>
      </w:r>
      <w:r w:rsidRPr="00CB2E98">
        <w:rPr>
          <w:rFonts w:ascii="David" w:hAnsi="David"/>
          <w:color w:val="000000"/>
          <w:rtl/>
        </w:rPr>
        <w:t xml:space="preserve"> המאשימה, לצד רכיבי ענישה של מאסר מותנה וקנס. </w:t>
      </w:r>
      <w:r>
        <w:rPr>
          <w:rFonts w:ascii="David" w:hAnsi="David" w:hint="cs"/>
          <w:color w:val="000000"/>
          <w:rtl/>
        </w:rPr>
        <w:t xml:space="preserve">כמו </w:t>
      </w:r>
      <w:r w:rsidRPr="00CB2E98">
        <w:rPr>
          <w:rFonts w:ascii="David" w:hAnsi="David"/>
          <w:color w:val="000000"/>
          <w:rtl/>
        </w:rPr>
        <w:t>כן</w:t>
      </w:r>
      <w:r>
        <w:rPr>
          <w:rFonts w:ascii="David" w:hAnsi="David" w:hint="cs"/>
          <w:color w:val="000000"/>
          <w:rtl/>
        </w:rPr>
        <w:t>,</w:t>
      </w:r>
      <w:r w:rsidRPr="00CB2E98">
        <w:rPr>
          <w:rFonts w:ascii="David" w:hAnsi="David"/>
          <w:color w:val="000000"/>
          <w:rtl/>
        </w:rPr>
        <w:t xml:space="preserve"> ביקש ב"כ המאשימה להורות על חילוט הנשק והתחמושת הנזכרים בכתב האישום המתוקן. </w:t>
      </w:r>
    </w:p>
    <w:p w14:paraId="2E53FDC2" w14:textId="77777777" w:rsidR="006630C0" w:rsidRPr="00CB2E98" w:rsidRDefault="006630C0" w:rsidP="006630C0">
      <w:pPr>
        <w:spacing w:line="360" w:lineRule="auto"/>
        <w:jc w:val="both"/>
        <w:rPr>
          <w:rFonts w:ascii="David" w:hAnsi="David"/>
          <w:u w:val="single"/>
          <w:rtl/>
        </w:rPr>
      </w:pPr>
    </w:p>
    <w:p w14:paraId="673AB7DE" w14:textId="77777777" w:rsidR="006630C0" w:rsidRPr="00CB2E98" w:rsidRDefault="006630C0" w:rsidP="006630C0">
      <w:pPr>
        <w:spacing w:line="360" w:lineRule="auto"/>
        <w:jc w:val="both"/>
        <w:rPr>
          <w:rFonts w:ascii="David" w:hAnsi="David"/>
          <w:u w:val="single"/>
        </w:rPr>
      </w:pPr>
      <w:r w:rsidRPr="00CB2E98">
        <w:rPr>
          <w:rFonts w:ascii="David" w:hAnsi="David" w:hint="cs"/>
          <w:rtl/>
        </w:rPr>
        <w:t>9.</w:t>
      </w:r>
      <w:r w:rsidRPr="00CB2E98">
        <w:rPr>
          <w:rFonts w:ascii="David" w:hAnsi="David" w:hint="cs"/>
          <w:rtl/>
        </w:rPr>
        <w:tab/>
      </w:r>
      <w:r w:rsidRPr="00CB2E98">
        <w:rPr>
          <w:rFonts w:ascii="David" w:hAnsi="David"/>
          <w:color w:val="000000"/>
          <w:rtl/>
        </w:rPr>
        <w:t xml:space="preserve">בפתח טיעוניו לעונש טען הסניגור כי הוא חולק על מתחם העונש </w:t>
      </w:r>
      <w:r>
        <w:rPr>
          <w:rFonts w:ascii="David" w:hAnsi="David"/>
          <w:color w:val="000000"/>
          <w:rtl/>
        </w:rPr>
        <w:t>ההולם לו עותרת המאשימה, תוך שטע</w:t>
      </w:r>
      <w:r>
        <w:rPr>
          <w:rFonts w:ascii="David" w:hAnsi="David" w:hint="cs"/>
          <w:color w:val="000000"/>
          <w:rtl/>
        </w:rPr>
        <w:t>ן</w:t>
      </w:r>
      <w:r w:rsidRPr="00CB2E98">
        <w:rPr>
          <w:rFonts w:ascii="David" w:hAnsi="David"/>
          <w:color w:val="000000"/>
          <w:rtl/>
        </w:rPr>
        <w:t xml:space="preserve"> כי אין לגזור גזירה שווה מהפסיקה אליה הפנה ב"כ המאשימה </w:t>
      </w:r>
      <w:r>
        <w:rPr>
          <w:rFonts w:ascii="David" w:hAnsi="David" w:hint="cs"/>
          <w:color w:val="000000"/>
          <w:rtl/>
        </w:rPr>
        <w:t>מאחר ש</w:t>
      </w:r>
      <w:r w:rsidRPr="00CB2E98">
        <w:rPr>
          <w:rFonts w:ascii="David" w:hAnsi="David"/>
          <w:color w:val="000000"/>
          <w:rtl/>
        </w:rPr>
        <w:t>אין הנדון דומה לראייה</w:t>
      </w:r>
      <w:r>
        <w:rPr>
          <w:rFonts w:ascii="David" w:hAnsi="David" w:hint="cs"/>
          <w:color w:val="000000"/>
          <w:rtl/>
        </w:rPr>
        <w:t xml:space="preserve"> נוכח היות נסיבות המקרים בפסיקה הנ"ל חמורות מנסיבותיו של תיק זה</w:t>
      </w:r>
      <w:r w:rsidRPr="00CB2E98">
        <w:rPr>
          <w:rFonts w:ascii="David" w:hAnsi="David"/>
          <w:color w:val="000000"/>
          <w:rtl/>
        </w:rPr>
        <w:t xml:space="preserve">. </w:t>
      </w:r>
    </w:p>
    <w:p w14:paraId="52ACA8EC" w14:textId="77777777" w:rsidR="006630C0" w:rsidRPr="00CB2E98" w:rsidRDefault="006630C0" w:rsidP="006630C0">
      <w:pPr>
        <w:spacing w:line="360" w:lineRule="auto"/>
        <w:jc w:val="both"/>
        <w:rPr>
          <w:rFonts w:ascii="David" w:hAnsi="David"/>
          <w:u w:val="single"/>
        </w:rPr>
      </w:pPr>
      <w:r w:rsidRPr="00CB2E98">
        <w:rPr>
          <w:rFonts w:ascii="David" w:hAnsi="David"/>
        </w:rPr>
        <w:t>10</w:t>
      </w:r>
      <w:r w:rsidRPr="00CB2E98">
        <w:rPr>
          <w:rFonts w:ascii="David" w:hAnsi="David" w:hint="cs"/>
          <w:rtl/>
        </w:rPr>
        <w:t>.</w:t>
      </w:r>
      <w:r w:rsidRPr="00CB2E98">
        <w:rPr>
          <w:rFonts w:ascii="David" w:hAnsi="David" w:hint="cs"/>
          <w:rtl/>
        </w:rPr>
        <w:tab/>
      </w:r>
      <w:r w:rsidRPr="00CB2E98">
        <w:rPr>
          <w:rFonts w:ascii="David" w:hAnsi="David"/>
          <w:color w:val="000000"/>
          <w:rtl/>
        </w:rPr>
        <w:t xml:space="preserve">מבלי להפחית מחומרת העבירות ובצורך במיגור תופעת הנשק במגזר הערבי, הדגיש הסניגור כי הענישה היא לעולם אינדיבידואלית. הסנגור חלק על טיעוני </w:t>
      </w:r>
      <w:r>
        <w:rPr>
          <w:rFonts w:ascii="David" w:hAnsi="David" w:hint="cs"/>
          <w:color w:val="000000"/>
          <w:rtl/>
        </w:rPr>
        <w:t xml:space="preserve">ב"כ המאשימה </w:t>
      </w:r>
      <w:r w:rsidRPr="00CB2E98">
        <w:rPr>
          <w:rFonts w:ascii="David" w:hAnsi="David"/>
          <w:color w:val="000000"/>
          <w:rtl/>
        </w:rPr>
        <w:t xml:space="preserve">לעניין החומרה היתרה שביקש לייחס למעשיו של הנאשם מעצם העובדה שברשותו נתפסו שני </w:t>
      </w:r>
      <w:r>
        <w:rPr>
          <w:rFonts w:ascii="David" w:hAnsi="David" w:hint="cs"/>
          <w:color w:val="000000"/>
          <w:rtl/>
        </w:rPr>
        <w:t>כלי נשק</w:t>
      </w:r>
      <w:r w:rsidRPr="00CB2E98">
        <w:rPr>
          <w:rFonts w:ascii="David" w:hAnsi="David"/>
          <w:color w:val="000000"/>
          <w:rtl/>
        </w:rPr>
        <w:t xml:space="preserve"> </w:t>
      </w:r>
      <w:r>
        <w:rPr>
          <w:rFonts w:ascii="David" w:hAnsi="David" w:hint="cs"/>
          <w:color w:val="000000"/>
          <w:rtl/>
        </w:rPr>
        <w:t>ו</w:t>
      </w:r>
      <w:r w:rsidRPr="00CB2E98">
        <w:rPr>
          <w:rFonts w:ascii="David" w:hAnsi="David"/>
          <w:color w:val="000000"/>
          <w:rtl/>
        </w:rPr>
        <w:t xml:space="preserve">תוך </w:t>
      </w:r>
      <w:r>
        <w:rPr>
          <w:rFonts w:ascii="David" w:hAnsi="David" w:hint="cs"/>
          <w:color w:val="000000"/>
          <w:rtl/>
        </w:rPr>
        <w:t xml:space="preserve">כך </w:t>
      </w:r>
      <w:r w:rsidRPr="00CB2E98">
        <w:rPr>
          <w:rFonts w:ascii="David" w:hAnsi="David"/>
          <w:color w:val="000000"/>
          <w:rtl/>
        </w:rPr>
        <w:t>טען כי מדובר בסוג אחד של נשק- אקדח ובסוג תחמושת אחד בלבד. עוד נטען, כי אקדח המאוזר הוא נשק ארכאי מתקופת מלחמת העולם ה</w:t>
      </w:r>
      <w:r>
        <w:rPr>
          <w:rFonts w:ascii="David" w:hAnsi="David" w:hint="cs"/>
          <w:color w:val="000000"/>
          <w:rtl/>
        </w:rPr>
        <w:t>ראשונה</w:t>
      </w:r>
      <w:r w:rsidRPr="00CB2E98">
        <w:rPr>
          <w:rFonts w:ascii="David" w:hAnsi="David"/>
          <w:color w:val="000000"/>
          <w:rtl/>
        </w:rPr>
        <w:t xml:space="preserve">, ולכן יש לאבחן </w:t>
      </w:r>
      <w:r>
        <w:rPr>
          <w:rFonts w:ascii="David" w:hAnsi="David" w:hint="cs"/>
          <w:color w:val="000000"/>
          <w:rtl/>
        </w:rPr>
        <w:t>אותו</w:t>
      </w:r>
      <w:r w:rsidRPr="00CB2E98">
        <w:rPr>
          <w:rFonts w:ascii="David" w:hAnsi="David"/>
          <w:color w:val="000000"/>
          <w:rtl/>
        </w:rPr>
        <w:t xml:space="preserve"> ביחס </w:t>
      </w:r>
      <w:r>
        <w:rPr>
          <w:rFonts w:ascii="David" w:hAnsi="David" w:hint="cs"/>
          <w:color w:val="000000"/>
          <w:rtl/>
        </w:rPr>
        <w:t>לאקדחים חדשים היורים באופן יותר טוב ומדויק</w:t>
      </w:r>
      <w:r w:rsidRPr="00CB2E98">
        <w:rPr>
          <w:rFonts w:ascii="David" w:hAnsi="David"/>
          <w:color w:val="000000"/>
          <w:rtl/>
        </w:rPr>
        <w:t xml:space="preserve">. אשר לאקדח הנוסף שנתפס ברשותו של הנאשם, נטען כי מדובר באקדח תקול שרק לאחר התקנת חלקים במעבדה, הוא סוגל לירות. הסנגור </w:t>
      </w:r>
      <w:r>
        <w:rPr>
          <w:rFonts w:ascii="David" w:hAnsi="David" w:hint="cs"/>
          <w:color w:val="000000"/>
          <w:rtl/>
        </w:rPr>
        <w:t>ציין</w:t>
      </w:r>
      <w:r w:rsidRPr="00CB2E98">
        <w:rPr>
          <w:rFonts w:ascii="David" w:hAnsi="David"/>
          <w:color w:val="000000"/>
          <w:rtl/>
        </w:rPr>
        <w:t xml:space="preserve"> כי נשיאת הנשק הייתה אך למרחק קצר בלבד</w:t>
      </w:r>
      <w:r>
        <w:rPr>
          <w:rFonts w:ascii="David" w:hAnsi="David" w:hint="cs"/>
          <w:color w:val="000000"/>
          <w:rtl/>
        </w:rPr>
        <w:t>,</w:t>
      </w:r>
      <w:r w:rsidRPr="00CB2E98">
        <w:rPr>
          <w:rFonts w:ascii="David" w:hAnsi="David"/>
          <w:color w:val="000000"/>
          <w:rtl/>
        </w:rPr>
        <w:t xml:space="preserve"> לבית חברו של הנאשם</w:t>
      </w:r>
      <w:r>
        <w:rPr>
          <w:rFonts w:ascii="David" w:hAnsi="David" w:hint="cs"/>
          <w:color w:val="000000"/>
          <w:rtl/>
        </w:rPr>
        <w:t>,</w:t>
      </w:r>
      <w:r w:rsidRPr="00CB2E98">
        <w:rPr>
          <w:rFonts w:ascii="David" w:hAnsi="David"/>
          <w:color w:val="000000"/>
          <w:rtl/>
        </w:rPr>
        <w:t xml:space="preserve"> ו</w:t>
      </w:r>
      <w:r>
        <w:rPr>
          <w:rFonts w:ascii="David" w:hAnsi="David" w:hint="cs"/>
          <w:color w:val="000000"/>
          <w:rtl/>
        </w:rPr>
        <w:t>טען כי היא נעוצה ב</w:t>
      </w:r>
      <w:r w:rsidRPr="00CB2E98">
        <w:rPr>
          <w:rFonts w:ascii="David" w:hAnsi="David"/>
          <w:color w:val="000000"/>
          <w:rtl/>
        </w:rPr>
        <w:t>טעמים ילדותיים ו</w:t>
      </w:r>
      <w:r>
        <w:rPr>
          <w:rFonts w:ascii="David" w:hAnsi="David" w:hint="cs"/>
          <w:color w:val="000000"/>
          <w:rtl/>
        </w:rPr>
        <w:t>ב</w:t>
      </w:r>
      <w:r>
        <w:rPr>
          <w:rFonts w:ascii="David" w:hAnsi="David"/>
          <w:color w:val="000000"/>
          <w:rtl/>
        </w:rPr>
        <w:t xml:space="preserve">רצונו </w:t>
      </w:r>
      <w:r>
        <w:rPr>
          <w:rFonts w:ascii="David" w:hAnsi="David" w:hint="cs"/>
          <w:color w:val="000000"/>
          <w:rtl/>
        </w:rPr>
        <w:t xml:space="preserve">של הנאשם </w:t>
      </w:r>
      <w:r>
        <w:rPr>
          <w:rFonts w:ascii="David" w:hAnsi="David"/>
          <w:color w:val="000000"/>
          <w:rtl/>
        </w:rPr>
        <w:t>להתרברב בפני חברו</w:t>
      </w:r>
      <w:r w:rsidRPr="00CB2E98">
        <w:rPr>
          <w:rFonts w:ascii="David" w:hAnsi="David"/>
          <w:color w:val="000000"/>
          <w:rtl/>
        </w:rPr>
        <w:t xml:space="preserve"> ולא במטרה ליישב סכסוך. הסנגור הוסיף וטען, כי האבחנה בין החזקת הנשק לנשיאתו היא מלאכותית ו</w:t>
      </w:r>
      <w:r>
        <w:rPr>
          <w:rFonts w:ascii="David" w:hAnsi="David" w:hint="cs"/>
          <w:color w:val="000000"/>
          <w:rtl/>
        </w:rPr>
        <w:t xml:space="preserve">הבהיר כי לשיטתו </w:t>
      </w:r>
      <w:r w:rsidRPr="00CB2E98">
        <w:rPr>
          <w:rFonts w:ascii="David" w:hAnsi="David"/>
          <w:color w:val="000000"/>
          <w:rtl/>
        </w:rPr>
        <w:t xml:space="preserve">מדובר באירוע אחד לצורך קביעת מתחם העונש ההולם. הסנגור הגיש פסיקה להמחשת עמדת ההגנה לעונש </w:t>
      </w:r>
      <w:r w:rsidRPr="00CB2E98">
        <w:rPr>
          <w:rFonts w:ascii="Miriam" w:hAnsi="Miriam" w:cs="Miriam"/>
          <w:color w:val="000000"/>
          <w:rtl/>
        </w:rPr>
        <w:t>(נ/2- נ/3)</w:t>
      </w:r>
      <w:r>
        <w:rPr>
          <w:rFonts w:ascii="David" w:hAnsi="David"/>
          <w:color w:val="000000"/>
          <w:rtl/>
        </w:rPr>
        <w:t xml:space="preserve"> וטען </w:t>
      </w:r>
      <w:r w:rsidRPr="00CB2E98">
        <w:rPr>
          <w:rFonts w:ascii="David" w:hAnsi="David"/>
          <w:color w:val="000000"/>
          <w:rtl/>
        </w:rPr>
        <w:t xml:space="preserve">למתחם עונש הולם הנע בין עונש </w:t>
      </w:r>
      <w:r>
        <w:rPr>
          <w:rFonts w:ascii="David" w:hAnsi="David" w:hint="cs"/>
          <w:color w:val="000000"/>
          <w:rtl/>
        </w:rPr>
        <w:t xml:space="preserve">של </w:t>
      </w:r>
      <w:r w:rsidRPr="00CB2E98">
        <w:rPr>
          <w:rFonts w:ascii="David" w:hAnsi="David"/>
          <w:color w:val="000000"/>
          <w:rtl/>
        </w:rPr>
        <w:t xml:space="preserve">מאסר </w:t>
      </w:r>
      <w:r>
        <w:rPr>
          <w:rFonts w:ascii="David" w:hAnsi="David" w:hint="cs"/>
          <w:color w:val="000000"/>
          <w:rtl/>
        </w:rPr>
        <w:t>ה</w:t>
      </w:r>
      <w:r w:rsidRPr="00CB2E98">
        <w:rPr>
          <w:rFonts w:ascii="David" w:hAnsi="David"/>
          <w:color w:val="000000"/>
          <w:rtl/>
        </w:rPr>
        <w:t>ניתן לר</w:t>
      </w:r>
      <w:r>
        <w:rPr>
          <w:rFonts w:ascii="David" w:hAnsi="David" w:hint="cs"/>
          <w:color w:val="000000"/>
          <w:rtl/>
        </w:rPr>
        <w:t>יצוי</w:t>
      </w:r>
      <w:r w:rsidRPr="00CB2E98">
        <w:rPr>
          <w:rFonts w:ascii="David" w:hAnsi="David"/>
          <w:color w:val="000000"/>
          <w:rtl/>
        </w:rPr>
        <w:t xml:space="preserve"> בעבודות שירות ועד ל- 24 חודשי מאסר בפועל. </w:t>
      </w:r>
    </w:p>
    <w:p w14:paraId="44D94771" w14:textId="77777777" w:rsidR="006630C0" w:rsidRPr="00CB2E98" w:rsidRDefault="006630C0" w:rsidP="006630C0">
      <w:pPr>
        <w:jc w:val="both"/>
        <w:rPr>
          <w:rFonts w:ascii="David" w:hAnsi="David"/>
          <w:u w:val="single"/>
        </w:rPr>
      </w:pPr>
    </w:p>
    <w:p w14:paraId="5E968E7E" w14:textId="77777777" w:rsidR="006630C0" w:rsidRPr="00CB2E98" w:rsidRDefault="006630C0" w:rsidP="006630C0">
      <w:pPr>
        <w:spacing w:line="360" w:lineRule="auto"/>
        <w:jc w:val="both"/>
        <w:rPr>
          <w:rFonts w:ascii="David" w:hAnsi="David"/>
          <w:u w:val="single"/>
        </w:rPr>
      </w:pPr>
      <w:r w:rsidRPr="00CB2E98">
        <w:rPr>
          <w:rFonts w:ascii="David" w:hAnsi="David" w:hint="cs"/>
          <w:rtl/>
        </w:rPr>
        <w:t>11.</w:t>
      </w:r>
      <w:r w:rsidRPr="00CB2E98">
        <w:rPr>
          <w:rFonts w:ascii="David" w:hAnsi="David"/>
        </w:rPr>
        <w:tab/>
      </w:r>
      <w:r w:rsidRPr="00CB2E98">
        <w:rPr>
          <w:rFonts w:ascii="David" w:hAnsi="David"/>
          <w:color w:val="000000"/>
          <w:rtl/>
        </w:rPr>
        <w:t xml:space="preserve">בד בבד טען הסנגור כי במידה ובית המשפט יקבע </w:t>
      </w:r>
      <w:r>
        <w:rPr>
          <w:rFonts w:ascii="David" w:hAnsi="David"/>
          <w:color w:val="000000"/>
          <w:rtl/>
        </w:rPr>
        <w:t xml:space="preserve">מתחם </w:t>
      </w:r>
      <w:r w:rsidRPr="00CB2E98">
        <w:rPr>
          <w:rFonts w:ascii="David" w:hAnsi="David"/>
          <w:color w:val="000000"/>
          <w:rtl/>
        </w:rPr>
        <w:t xml:space="preserve">עונש </w:t>
      </w:r>
      <w:r>
        <w:rPr>
          <w:rFonts w:ascii="David" w:hAnsi="David" w:hint="cs"/>
          <w:color w:val="000000"/>
          <w:rtl/>
        </w:rPr>
        <w:t xml:space="preserve">הולם </w:t>
      </w:r>
      <w:r w:rsidRPr="00CB2E98">
        <w:rPr>
          <w:rFonts w:ascii="David" w:hAnsi="David"/>
          <w:color w:val="000000"/>
          <w:rtl/>
        </w:rPr>
        <w:t xml:space="preserve">שתחילתו היא במאסר שלא ניתן לרצותו בעבודות שירות, הרי שזהו המקרה הקלאסי המצדיק סטייה ממתחם העונש ההולם מטעמי שיקום ואימוץ </w:t>
      </w:r>
      <w:r>
        <w:rPr>
          <w:rFonts w:ascii="David" w:hAnsi="David" w:hint="cs"/>
          <w:color w:val="000000"/>
          <w:rtl/>
        </w:rPr>
        <w:t xml:space="preserve">של </w:t>
      </w:r>
      <w:r w:rsidRPr="00CB2E98">
        <w:rPr>
          <w:rFonts w:ascii="David" w:hAnsi="David"/>
          <w:color w:val="000000"/>
          <w:rtl/>
        </w:rPr>
        <w:t xml:space="preserve">עמדת שירות המבחן. הסנגור הפנה </w:t>
      </w:r>
      <w:r>
        <w:rPr>
          <w:rFonts w:ascii="David" w:hAnsi="David" w:hint="cs"/>
          <w:color w:val="000000"/>
          <w:rtl/>
        </w:rPr>
        <w:t xml:space="preserve">לעניין זה </w:t>
      </w:r>
      <w:r w:rsidRPr="00CB2E98">
        <w:rPr>
          <w:rFonts w:ascii="David" w:hAnsi="David"/>
          <w:color w:val="000000"/>
          <w:rtl/>
        </w:rPr>
        <w:t xml:space="preserve">לאמור בתסקיר שירות המבחן </w:t>
      </w:r>
      <w:r>
        <w:rPr>
          <w:rFonts w:ascii="David" w:hAnsi="David" w:hint="cs"/>
          <w:color w:val="000000"/>
          <w:rtl/>
        </w:rPr>
        <w:t>בעניינו</w:t>
      </w:r>
      <w:r w:rsidRPr="00CB2E98">
        <w:rPr>
          <w:rFonts w:ascii="David" w:hAnsi="David"/>
          <w:color w:val="000000"/>
          <w:rtl/>
        </w:rPr>
        <w:t xml:space="preserve"> של הנאשם</w:t>
      </w:r>
      <w:r>
        <w:rPr>
          <w:rFonts w:ascii="David" w:hAnsi="David" w:hint="cs"/>
          <w:color w:val="000000"/>
          <w:rtl/>
        </w:rPr>
        <w:t>, לרבות להמלצה</w:t>
      </w:r>
      <w:r w:rsidRPr="00CB2E98">
        <w:rPr>
          <w:rFonts w:ascii="David" w:hAnsi="David"/>
          <w:color w:val="000000"/>
          <w:rtl/>
        </w:rPr>
        <w:t xml:space="preserve"> בדבר ענישה שיקומית המשלבת אלמנט הרתעתי. נטען כי לצד גילו הצעיר של הנאשם, עברו הנקי ללא רבב, הודאתו בהזדמנות הראשונה ולקיחת האחריות הכנה על מעשיו, </w:t>
      </w:r>
      <w:r>
        <w:rPr>
          <w:rFonts w:ascii="David" w:hAnsi="David" w:hint="cs"/>
          <w:color w:val="000000"/>
          <w:rtl/>
        </w:rPr>
        <w:t xml:space="preserve">קיימת </w:t>
      </w:r>
      <w:r w:rsidRPr="00CB2E98">
        <w:rPr>
          <w:rFonts w:ascii="David" w:hAnsi="David"/>
          <w:color w:val="000000"/>
          <w:rtl/>
        </w:rPr>
        <w:t>התרשמו</w:t>
      </w:r>
      <w:r>
        <w:rPr>
          <w:rFonts w:ascii="David" w:hAnsi="David" w:hint="cs"/>
          <w:color w:val="000000"/>
          <w:rtl/>
        </w:rPr>
        <w:t>ת של כלל גורמי הטיפול</w:t>
      </w:r>
      <w:r w:rsidRPr="00CB2E98">
        <w:rPr>
          <w:rFonts w:ascii="David" w:hAnsi="David"/>
          <w:color w:val="000000"/>
          <w:rtl/>
        </w:rPr>
        <w:t xml:space="preserve"> בדבר סיכויי השיקום הממשיים </w:t>
      </w:r>
      <w:r>
        <w:rPr>
          <w:rFonts w:ascii="David" w:hAnsi="David" w:hint="cs"/>
          <w:color w:val="000000"/>
          <w:rtl/>
        </w:rPr>
        <w:t>של הנאשם</w:t>
      </w:r>
      <w:r w:rsidRPr="00CB2E98">
        <w:rPr>
          <w:rFonts w:ascii="David" w:hAnsi="David"/>
          <w:color w:val="000000"/>
          <w:rtl/>
        </w:rPr>
        <w:t>. עוד נטען, כי במהלך משפטו חלתה אמו של הנאשם  במחלה קשה</w:t>
      </w:r>
      <w:r>
        <w:rPr>
          <w:rFonts w:ascii="Miriam" w:hAnsi="Miriam" w:cs="Miriam" w:hint="cs"/>
          <w:color w:val="000000"/>
          <w:rtl/>
        </w:rPr>
        <w:t xml:space="preserve"> </w:t>
      </w:r>
      <w:r w:rsidRPr="000E78CF">
        <w:rPr>
          <w:rFonts w:ascii="Miriam" w:hAnsi="Miriam" w:cs="Miriam"/>
          <w:color w:val="000000"/>
          <w:rtl/>
        </w:rPr>
        <w:t>(נ/1)</w:t>
      </w:r>
      <w:r>
        <w:rPr>
          <w:rFonts w:ascii="Miriam" w:hAnsi="Miriam" w:cs="Miriam" w:hint="cs"/>
          <w:color w:val="000000"/>
          <w:rtl/>
        </w:rPr>
        <w:t>,</w:t>
      </w:r>
      <w:r w:rsidRPr="00CB2E98">
        <w:rPr>
          <w:rFonts w:ascii="David" w:hAnsi="David"/>
          <w:color w:val="000000"/>
          <w:rtl/>
        </w:rPr>
        <w:t xml:space="preserve"> ו</w:t>
      </w:r>
      <w:r>
        <w:rPr>
          <w:rFonts w:ascii="David" w:hAnsi="David" w:hint="cs"/>
          <w:color w:val="000000"/>
          <w:rtl/>
        </w:rPr>
        <w:t xml:space="preserve">כי </w:t>
      </w:r>
      <w:r w:rsidRPr="00CB2E98">
        <w:rPr>
          <w:rFonts w:ascii="David" w:hAnsi="David"/>
          <w:color w:val="000000"/>
          <w:rtl/>
        </w:rPr>
        <w:t xml:space="preserve">הנאשם שהיה נתון במעצר בית הרחק מביתו, חש אשמה על כך. </w:t>
      </w:r>
      <w:r>
        <w:rPr>
          <w:rFonts w:ascii="David" w:hAnsi="David" w:hint="cs"/>
          <w:color w:val="000000"/>
          <w:rtl/>
        </w:rPr>
        <w:t xml:space="preserve">צוין </w:t>
      </w:r>
      <w:r w:rsidRPr="00CB2E98">
        <w:rPr>
          <w:rFonts w:ascii="David" w:hAnsi="David"/>
          <w:color w:val="000000"/>
          <w:rtl/>
        </w:rPr>
        <w:t xml:space="preserve">כי המלצת שירות המבחן לא מתעלמת מחומרת העבירות ומשלבת בחובה גם אלמנט הרתעתי בדמות </w:t>
      </w:r>
      <w:r>
        <w:rPr>
          <w:rFonts w:ascii="David" w:hAnsi="David" w:hint="cs"/>
          <w:color w:val="000000"/>
          <w:rtl/>
        </w:rPr>
        <w:t xml:space="preserve">של </w:t>
      </w:r>
      <w:r w:rsidRPr="00CB2E98">
        <w:rPr>
          <w:rFonts w:ascii="David" w:hAnsi="David"/>
          <w:color w:val="000000"/>
          <w:rtl/>
        </w:rPr>
        <w:t xml:space="preserve">מאסר שירוצה בעבודות שירות, </w:t>
      </w:r>
      <w:r>
        <w:rPr>
          <w:rFonts w:ascii="David" w:hAnsi="David" w:hint="cs"/>
          <w:color w:val="000000"/>
          <w:rtl/>
        </w:rPr>
        <w:t xml:space="preserve">ותוך כך נטען כי בדרך זו </w:t>
      </w:r>
      <w:r w:rsidRPr="00CB2E98">
        <w:rPr>
          <w:rFonts w:ascii="David" w:hAnsi="David"/>
          <w:color w:val="000000"/>
          <w:rtl/>
        </w:rPr>
        <w:t>לא ייגדע שיקומו של הנאשם ו</w:t>
      </w:r>
      <w:r>
        <w:rPr>
          <w:rFonts w:ascii="David" w:hAnsi="David" w:hint="cs"/>
          <w:color w:val="000000"/>
          <w:rtl/>
        </w:rPr>
        <w:t>תת</w:t>
      </w:r>
      <w:r w:rsidRPr="00CB2E98">
        <w:rPr>
          <w:rFonts w:ascii="David" w:hAnsi="David"/>
          <w:color w:val="000000"/>
          <w:rtl/>
        </w:rPr>
        <w:t>אפשר חזרתו לחברה.</w:t>
      </w:r>
    </w:p>
    <w:p w14:paraId="50E56CD0" w14:textId="77777777" w:rsidR="006630C0" w:rsidRPr="00CB2E98" w:rsidRDefault="006630C0" w:rsidP="006630C0">
      <w:pPr>
        <w:jc w:val="both"/>
        <w:rPr>
          <w:rFonts w:ascii="David" w:hAnsi="David"/>
          <w:u w:val="single"/>
        </w:rPr>
      </w:pPr>
    </w:p>
    <w:p w14:paraId="0C8C36C4" w14:textId="77777777" w:rsidR="006630C0" w:rsidRPr="00CB2E98" w:rsidRDefault="006630C0" w:rsidP="006630C0">
      <w:pPr>
        <w:spacing w:line="360" w:lineRule="auto"/>
        <w:jc w:val="both"/>
        <w:rPr>
          <w:rFonts w:ascii="David" w:hAnsi="David"/>
          <w:u w:val="single"/>
        </w:rPr>
      </w:pPr>
      <w:r w:rsidRPr="00CB2E98">
        <w:rPr>
          <w:rFonts w:ascii="David" w:hAnsi="David" w:hint="cs"/>
          <w:rtl/>
        </w:rPr>
        <w:t>12.</w:t>
      </w:r>
      <w:r w:rsidRPr="00CB2E98">
        <w:rPr>
          <w:rFonts w:ascii="David" w:hAnsi="David"/>
        </w:rPr>
        <w:tab/>
      </w:r>
      <w:r w:rsidRPr="00CB2E98">
        <w:rPr>
          <w:rFonts w:ascii="David" w:hAnsi="David"/>
          <w:rtl/>
        </w:rPr>
        <w:t>בס</w:t>
      </w:r>
      <w:r>
        <w:rPr>
          <w:rFonts w:ascii="David" w:hAnsi="David"/>
          <w:rtl/>
        </w:rPr>
        <w:t xml:space="preserve">יכומו של דבר, עותרת ההגנה לאמץ את המלצתו של שירות </w:t>
      </w:r>
      <w:r w:rsidRPr="00CB2E98">
        <w:rPr>
          <w:rFonts w:ascii="David" w:hAnsi="David"/>
          <w:rtl/>
        </w:rPr>
        <w:t>המבחן. הסנגור הסכים</w:t>
      </w:r>
      <w:r>
        <w:rPr>
          <w:rFonts w:ascii="David" w:hAnsi="David" w:hint="cs"/>
          <w:rtl/>
        </w:rPr>
        <w:t xml:space="preserve">, בנוסף, </w:t>
      </w:r>
      <w:r w:rsidRPr="00CB2E98">
        <w:rPr>
          <w:rFonts w:ascii="David" w:hAnsi="David"/>
          <w:rtl/>
        </w:rPr>
        <w:t xml:space="preserve">להשתת עונש </w:t>
      </w:r>
      <w:r>
        <w:rPr>
          <w:rFonts w:ascii="David" w:hAnsi="David" w:hint="cs"/>
          <w:rtl/>
        </w:rPr>
        <w:t>ה</w:t>
      </w:r>
      <w:r w:rsidRPr="00CB2E98">
        <w:rPr>
          <w:rFonts w:ascii="David" w:hAnsi="David"/>
          <w:rtl/>
        </w:rPr>
        <w:t>צופה פני עתיד</w:t>
      </w:r>
      <w:r>
        <w:rPr>
          <w:rFonts w:ascii="David" w:hAnsi="David" w:hint="cs"/>
          <w:rtl/>
        </w:rPr>
        <w:t xml:space="preserve">, אך לעניין </w:t>
      </w:r>
      <w:r w:rsidRPr="00CB2E98">
        <w:rPr>
          <w:rFonts w:ascii="David" w:hAnsi="David"/>
          <w:rtl/>
        </w:rPr>
        <w:t>רכיב הקנס ביקש להתחשב במצבו הכלכלי הקשה של הנאשם</w:t>
      </w:r>
      <w:r>
        <w:rPr>
          <w:rFonts w:ascii="David" w:hAnsi="David" w:hint="cs"/>
          <w:rtl/>
        </w:rPr>
        <w:t xml:space="preserve"> הנתון יותר מחמישה חודשים באיזוק אלקטרוני. לעניין זה ציין הסנגור כי הנאשם לא הפר כלל את תנאי מעצרו באיזוק, וכי יש להתחשב הן בתקופת מעצרו באיזוק והן בתקופת מעצרו הממשי (מיום 17/12/20 עד ליום 13/1/21).</w:t>
      </w:r>
    </w:p>
    <w:p w14:paraId="7A1DB073" w14:textId="77777777" w:rsidR="006630C0" w:rsidRPr="00CB2E98" w:rsidRDefault="006630C0" w:rsidP="006630C0">
      <w:pPr>
        <w:spacing w:after="160"/>
        <w:jc w:val="both"/>
        <w:rPr>
          <w:rFonts w:ascii="David" w:hAnsi="David"/>
          <w:rtl/>
        </w:rPr>
      </w:pPr>
    </w:p>
    <w:p w14:paraId="60073545" w14:textId="77777777" w:rsidR="006630C0" w:rsidRPr="00CB2E98" w:rsidRDefault="006630C0" w:rsidP="006630C0">
      <w:pPr>
        <w:spacing w:after="160" w:line="360" w:lineRule="auto"/>
        <w:jc w:val="both"/>
        <w:rPr>
          <w:rFonts w:ascii="Miriam" w:hAnsi="Miriam" w:cs="Miriam"/>
          <w:rtl/>
        </w:rPr>
      </w:pPr>
      <w:r w:rsidRPr="00CB2E98">
        <w:rPr>
          <w:rFonts w:ascii="David" w:hAnsi="David" w:hint="cs"/>
          <w:rtl/>
        </w:rPr>
        <w:t>13.</w:t>
      </w:r>
      <w:r w:rsidRPr="00CB2E98">
        <w:rPr>
          <w:rFonts w:ascii="David" w:hAnsi="David" w:hint="cs"/>
          <w:rtl/>
        </w:rPr>
        <w:tab/>
      </w:r>
      <w:r w:rsidRPr="00CB2E98">
        <w:rPr>
          <w:rFonts w:ascii="David" w:hAnsi="David"/>
          <w:rtl/>
        </w:rPr>
        <w:t xml:space="preserve">להלן דברי הנאשם </w:t>
      </w:r>
      <w:r>
        <w:rPr>
          <w:rFonts w:ascii="David" w:hAnsi="David" w:hint="cs"/>
          <w:rtl/>
        </w:rPr>
        <w:t>בדיון לפניי</w:t>
      </w:r>
      <w:r w:rsidRPr="00CB2E98">
        <w:rPr>
          <w:rFonts w:ascii="David" w:hAnsi="David"/>
          <w:rtl/>
        </w:rPr>
        <w:t>:</w:t>
      </w:r>
      <w:r>
        <w:rPr>
          <w:rFonts w:ascii="Miriam" w:hAnsi="Miriam" w:cs="Miriam" w:hint="cs"/>
          <w:rtl/>
        </w:rPr>
        <w:t xml:space="preserve"> "</w:t>
      </w:r>
      <w:r w:rsidRPr="00CB2E98">
        <w:rPr>
          <w:rFonts w:ascii="Miriam" w:hAnsi="Miriam" w:cs="Miriam"/>
          <w:rtl/>
        </w:rPr>
        <w:t>אני מאוד מצטער על הטעות שעשיתי, אני יודע שעשיתי טעות גדולה שגרמה נזק להורים, לעצמי, למדינה.  אני מצטער מאוד. אני מבין עד כמה גדולה הטעות שעשיתי ותודה רבה למדינה שנתנה לי להשתקם,  עכשיו אני בקבוצה, משתקם.  אני רוצה לחזור להיות אדם נורמטיבי.  אני מבין מה עשיתי</w:t>
      </w:r>
      <w:r>
        <w:rPr>
          <w:rFonts w:ascii="Miriam" w:hAnsi="Miriam" w:cs="Miriam" w:hint="cs"/>
          <w:rtl/>
        </w:rPr>
        <w:t>"</w:t>
      </w:r>
      <w:r w:rsidRPr="00CB2E98">
        <w:rPr>
          <w:rFonts w:ascii="Miriam" w:hAnsi="Miriam" w:cs="Miriam"/>
          <w:rtl/>
        </w:rPr>
        <w:t xml:space="preserve">. </w:t>
      </w:r>
    </w:p>
    <w:p w14:paraId="0F937DE6" w14:textId="77777777" w:rsidR="006630C0" w:rsidRPr="009F1BCA" w:rsidRDefault="006630C0" w:rsidP="006630C0">
      <w:pPr>
        <w:spacing w:after="200" w:line="360" w:lineRule="auto"/>
        <w:jc w:val="both"/>
        <w:rPr>
          <w:rFonts w:ascii="Miriam" w:hAnsi="Miriam" w:cs="Miriam"/>
          <w:color w:val="000000"/>
          <w:u w:val="single"/>
          <w:rtl/>
        </w:rPr>
      </w:pPr>
      <w:r w:rsidRPr="009F1BCA">
        <w:rPr>
          <w:rFonts w:ascii="Miriam" w:hAnsi="Miriam" w:cs="Miriam"/>
          <w:color w:val="000000"/>
          <w:u w:val="single"/>
          <w:rtl/>
        </w:rPr>
        <w:t>דיון והכרעה</w:t>
      </w:r>
    </w:p>
    <w:p w14:paraId="28518E43" w14:textId="77777777" w:rsidR="006630C0" w:rsidRPr="00CB2E98" w:rsidRDefault="006630C0" w:rsidP="006630C0">
      <w:pPr>
        <w:spacing w:line="360" w:lineRule="auto"/>
        <w:jc w:val="both"/>
        <w:rPr>
          <w:rtl/>
        </w:rPr>
      </w:pPr>
      <w:r w:rsidRPr="00CB2E98">
        <w:rPr>
          <w:rFonts w:hint="cs"/>
          <w:rtl/>
        </w:rPr>
        <w:t>14</w:t>
      </w:r>
      <w:r w:rsidRPr="00CB2E98">
        <w:rPr>
          <w:rtl/>
        </w:rPr>
        <w:t>.</w:t>
      </w:r>
      <w:r w:rsidRPr="00CB2E98">
        <w:rPr>
          <w:rtl/>
        </w:rPr>
        <w:tab/>
        <w:t>תיקון 113 ל</w:t>
      </w:r>
      <w:hyperlink r:id="rId18" w:history="1">
        <w:r w:rsidR="00E81991" w:rsidRPr="00E81991">
          <w:rPr>
            <w:color w:val="0000FF"/>
            <w:u w:val="single"/>
            <w:rtl/>
          </w:rPr>
          <w:t>חוק העונשין</w:t>
        </w:r>
      </w:hyperlink>
      <w:r w:rsidRPr="00CB2E98">
        <w:rPr>
          <w:rtl/>
        </w:rPr>
        <w:t xml:space="preserve"> מתווה את העיקרון המנחה כיום את ביהמ"ש בבואו לגזור דינו של נאשם, שהינו לפי </w:t>
      </w:r>
      <w:hyperlink r:id="rId19" w:history="1">
        <w:r w:rsidR="00314EB6" w:rsidRPr="00314EB6">
          <w:rPr>
            <w:rStyle w:val="Hyperlink"/>
            <w:rtl/>
          </w:rPr>
          <w:t>סעיף 40ב</w:t>
        </w:r>
      </w:hyperlink>
      <w:r w:rsidRPr="00CB2E98">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0" w:history="1">
        <w:r w:rsidR="00E81991" w:rsidRPr="00E81991">
          <w:rPr>
            <w:color w:val="0000FF"/>
            <w:u w:val="single"/>
            <w:rtl/>
          </w:rPr>
          <w:t>ע"פ 1523/10</w:t>
        </w:r>
      </w:hyperlink>
      <w:r w:rsidRPr="00CB2E98">
        <w:rPr>
          <w:rtl/>
        </w:rPr>
        <w:t xml:space="preserve"> </w:t>
      </w:r>
      <w:r w:rsidRPr="00CB2E98">
        <w:rPr>
          <w:rFonts w:ascii="Miriam" w:hAnsi="Miriam" w:cs="Miriam"/>
          <w:rtl/>
        </w:rPr>
        <w:t>פלוני נ' מדינת ישראל</w:t>
      </w:r>
      <w:r w:rsidRPr="00CB2E98">
        <w:rPr>
          <w:rtl/>
        </w:rPr>
        <w:t xml:space="preserve">, 18/4/12). </w:t>
      </w:r>
      <w:hyperlink r:id="rId21" w:history="1">
        <w:r w:rsidR="00314EB6" w:rsidRPr="00314EB6">
          <w:rPr>
            <w:rStyle w:val="Hyperlink"/>
            <w:rtl/>
          </w:rPr>
          <w:t>סעיף 40ג</w:t>
        </w:r>
      </w:hyperlink>
      <w:r w:rsidRPr="00CB2E98">
        <w:rPr>
          <w:rtl/>
        </w:rPr>
        <w:t xml:space="preserve"> ל</w:t>
      </w:r>
      <w:hyperlink r:id="rId22" w:history="1">
        <w:r w:rsidR="00E81991" w:rsidRPr="00E81991">
          <w:rPr>
            <w:color w:val="0000FF"/>
            <w:u w:val="single"/>
            <w:rtl/>
          </w:rPr>
          <w:t>חוק העונשין</w:t>
        </w:r>
      </w:hyperlink>
      <w:r w:rsidRPr="00CB2E98">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3" w:history="1">
        <w:r w:rsidR="00314EB6" w:rsidRPr="00314EB6">
          <w:rPr>
            <w:rStyle w:val="Hyperlink"/>
            <w:rtl/>
          </w:rPr>
          <w:t>בסעיף 40ט</w:t>
        </w:r>
      </w:hyperlink>
      <w:r w:rsidRPr="00CB2E98">
        <w:rPr>
          <w:rtl/>
        </w:rPr>
        <w:t xml:space="preserve"> ל</w:t>
      </w:r>
      <w:hyperlink r:id="rId24" w:history="1">
        <w:r w:rsidR="00E81991" w:rsidRPr="00E81991">
          <w:rPr>
            <w:color w:val="0000FF"/>
            <w:u w:val="single"/>
            <w:rtl/>
          </w:rPr>
          <w:t>חוק העונשין</w:t>
        </w:r>
      </w:hyperlink>
      <w:r w:rsidRPr="00CB2E98">
        <w:rPr>
          <w:rtl/>
        </w:rPr>
        <w:t>.</w:t>
      </w:r>
      <w:r w:rsidRPr="00CB2E98">
        <w:rPr>
          <w:rFonts w:hint="cs"/>
          <w:rtl/>
        </w:rPr>
        <w:t xml:space="preserve"> במקרה דנן מהוות שתי העבירות בהן הורשע הנאשם משום מסכת עבריינית אחת ואין חולק, לפיכך, כי עסקינן באירוע אחד בגינו ייקבע מתחם העונש ההולם בתיק זה. </w:t>
      </w:r>
    </w:p>
    <w:p w14:paraId="5BCB7289" w14:textId="77777777" w:rsidR="006630C0" w:rsidRPr="00CB2E98" w:rsidRDefault="006630C0" w:rsidP="006630C0">
      <w:pPr>
        <w:spacing w:line="360" w:lineRule="auto"/>
        <w:jc w:val="both"/>
        <w:rPr>
          <w:rtl/>
        </w:rPr>
      </w:pPr>
    </w:p>
    <w:p w14:paraId="26F5D593" w14:textId="77777777" w:rsidR="006630C0" w:rsidRPr="002F140B" w:rsidRDefault="006630C0" w:rsidP="006630C0">
      <w:pPr>
        <w:spacing w:line="360" w:lineRule="auto"/>
        <w:jc w:val="both"/>
        <w:rPr>
          <w:rFonts w:ascii="David" w:hAnsi="David"/>
          <w:rtl/>
        </w:rPr>
      </w:pPr>
      <w:r w:rsidRPr="00CB2E98">
        <w:rPr>
          <w:rtl/>
        </w:rPr>
        <w:t>1</w:t>
      </w:r>
      <w:r w:rsidRPr="00CB2E98">
        <w:rPr>
          <w:rFonts w:hint="cs"/>
          <w:rtl/>
        </w:rPr>
        <w:t>5</w:t>
      </w:r>
      <w:r w:rsidRPr="00CB2E98">
        <w:rPr>
          <w:rtl/>
        </w:rPr>
        <w:t>.</w:t>
      </w:r>
      <w:r w:rsidRPr="00CB2E98">
        <w:rPr>
          <w:rtl/>
        </w:rPr>
        <w:tab/>
      </w:r>
      <w:r w:rsidRPr="002F140B">
        <w:rPr>
          <w:rtl/>
        </w:rPr>
        <w:t>הער</w:t>
      </w:r>
      <w:r w:rsidRPr="002F140B">
        <w:rPr>
          <w:rFonts w:hint="cs"/>
          <w:rtl/>
        </w:rPr>
        <w:t>ך החברתי</w:t>
      </w:r>
      <w:r w:rsidRPr="002F140B">
        <w:rPr>
          <w:rtl/>
        </w:rPr>
        <w:t xml:space="preserve"> ה</w:t>
      </w:r>
      <w:r w:rsidRPr="002F140B">
        <w:rPr>
          <w:rFonts w:hint="cs"/>
          <w:rtl/>
        </w:rPr>
        <w:t xml:space="preserve">נפגע </w:t>
      </w:r>
      <w:r w:rsidRPr="002F140B">
        <w:rPr>
          <w:rtl/>
        </w:rPr>
        <w:t>כתוצאה מביצוע העביר</w:t>
      </w:r>
      <w:r w:rsidRPr="002F140B">
        <w:rPr>
          <w:rFonts w:hint="cs"/>
          <w:rtl/>
        </w:rPr>
        <w:t>ות של החזקת נשק,</w:t>
      </w:r>
      <w:r w:rsidRPr="002F140B">
        <w:rPr>
          <w:rtl/>
        </w:rPr>
        <w:t xml:space="preserve"> </w:t>
      </w:r>
      <w:r w:rsidRPr="002F140B">
        <w:rPr>
          <w:rFonts w:hint="cs"/>
          <w:rtl/>
        </w:rPr>
        <w:t>נשיאתו</w:t>
      </w:r>
      <w:r w:rsidRPr="002F140B">
        <w:rPr>
          <w:rtl/>
        </w:rPr>
        <w:t xml:space="preserve"> והובלתו שלא כדין</w:t>
      </w:r>
      <w:r w:rsidRPr="002F140B">
        <w:rPr>
          <w:rFonts w:hint="cs"/>
          <w:rtl/>
        </w:rPr>
        <w:t>,</w:t>
      </w:r>
      <w:r w:rsidRPr="002F140B">
        <w:rPr>
          <w:rtl/>
        </w:rPr>
        <w:t xml:space="preserve"> ה</w:t>
      </w:r>
      <w:r w:rsidRPr="002F140B">
        <w:rPr>
          <w:rFonts w:hint="cs"/>
          <w:rtl/>
        </w:rPr>
        <w:t>וא</w:t>
      </w:r>
      <w:r w:rsidRPr="002F140B">
        <w:rPr>
          <w:rtl/>
        </w:rPr>
        <w:t xml:space="preserve"> שלום הציבור ובטחונו</w:t>
      </w:r>
      <w:r w:rsidRPr="002F140B">
        <w:rPr>
          <w:rFonts w:hint="cs"/>
          <w:rtl/>
        </w:rPr>
        <w:t>. עוד נפגע שלטון החוק</w:t>
      </w:r>
      <w:r w:rsidRPr="002F140B">
        <w:rPr>
          <w:rtl/>
        </w:rPr>
        <w:t xml:space="preserve"> </w:t>
      </w:r>
      <w:r w:rsidRPr="002F140B">
        <w:rPr>
          <w:rFonts w:hint="cs"/>
          <w:rtl/>
        </w:rPr>
        <w:t xml:space="preserve">לצד </w:t>
      </w:r>
      <w:r w:rsidRPr="002F140B">
        <w:rPr>
          <w:rtl/>
        </w:rPr>
        <w:t>בטחון ה</w:t>
      </w:r>
      <w:r w:rsidRPr="002F140B">
        <w:rPr>
          <w:rFonts w:hint="cs"/>
          <w:rtl/>
        </w:rPr>
        <w:t>תושבים</w:t>
      </w:r>
      <w:r w:rsidRPr="002F140B">
        <w:rPr>
          <w:rtl/>
        </w:rPr>
        <w:t xml:space="preserve"> </w:t>
      </w:r>
      <w:r w:rsidRPr="002F140B">
        <w:rPr>
          <w:rFonts w:hint="cs"/>
          <w:rtl/>
        </w:rPr>
        <w:t xml:space="preserve">וזאת </w:t>
      </w:r>
      <w:r w:rsidRPr="002F140B">
        <w:rPr>
          <w:rtl/>
        </w:rPr>
        <w:t xml:space="preserve">כתוצאה </w:t>
      </w:r>
      <w:r w:rsidRPr="002F140B">
        <w:rPr>
          <w:rFonts w:hint="cs"/>
          <w:rtl/>
        </w:rPr>
        <w:t xml:space="preserve">מהימצאות </w:t>
      </w:r>
      <w:r w:rsidRPr="002F140B">
        <w:rPr>
          <w:rtl/>
        </w:rPr>
        <w:t xml:space="preserve">כלי נשק לא חוקיים </w:t>
      </w:r>
      <w:r w:rsidRPr="002F140B">
        <w:rPr>
          <w:rFonts w:hint="cs"/>
          <w:rtl/>
        </w:rPr>
        <w:t>בהיקפים נרחבים בשטחה של המדינה</w:t>
      </w:r>
      <w:r w:rsidRPr="002F140B">
        <w:rPr>
          <w:rtl/>
        </w:rPr>
        <w:t>. "</w:t>
      </w:r>
      <w:r w:rsidRPr="002F140B">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sidRPr="002F140B">
        <w:rPr>
          <w:rtl/>
        </w:rPr>
        <w:t>" (</w:t>
      </w:r>
      <w:hyperlink r:id="rId25" w:history="1">
        <w:r w:rsidR="00E81991" w:rsidRPr="00E81991">
          <w:rPr>
            <w:color w:val="0000FF"/>
            <w:u w:val="single"/>
            <w:rtl/>
          </w:rPr>
          <w:t>ע"פ 7502/12</w:t>
        </w:r>
      </w:hyperlink>
      <w:r w:rsidRPr="002F140B">
        <w:rPr>
          <w:rtl/>
        </w:rPr>
        <w:t xml:space="preserve"> ‏</w:t>
      </w:r>
      <w:r w:rsidRPr="002F140B">
        <w:rPr>
          <w:rFonts w:ascii="Miriam" w:hAnsi="Miriam" w:cs="Miriam"/>
          <w:rtl/>
        </w:rPr>
        <w:t xml:space="preserve">כוויס נ' מדינת ישראל </w:t>
      </w:r>
      <w:r w:rsidRPr="002F140B">
        <w:rPr>
          <w:rtl/>
        </w:rPr>
        <w:t>(25.6.2013)). דבריה הבאים של כב' השופטת ארבל שנאמרו ב</w:t>
      </w:r>
      <w:hyperlink r:id="rId26" w:history="1">
        <w:r w:rsidR="00E81991" w:rsidRPr="00E81991">
          <w:rPr>
            <w:color w:val="0000FF"/>
            <w:u w:val="single"/>
            <w:rtl/>
          </w:rPr>
          <w:t>ע"פ 4945/13</w:t>
        </w:r>
      </w:hyperlink>
      <w:r w:rsidRPr="002F140B">
        <w:rPr>
          <w:rtl/>
        </w:rPr>
        <w:t xml:space="preserve"> </w:t>
      </w:r>
      <w:r w:rsidRPr="002F140B">
        <w:rPr>
          <w:rFonts w:ascii="Miriam" w:hAnsi="Miriam" w:cs="Miriam"/>
          <w:rtl/>
        </w:rPr>
        <w:t>מדינת ישראל נ' עבד אלכרים סלימאן</w:t>
      </w:r>
      <w:r w:rsidRPr="002F140B">
        <w:rPr>
          <w:rtl/>
        </w:rPr>
        <w:t xml:space="preserve"> (19.01.14) ממחישים אף הם את המסוכנות הפוטנציאלית הטמונה בעבירות בנשק לשלום הציבור ובטחונו: </w:t>
      </w:r>
      <w:r w:rsidRPr="002F140B">
        <w:rPr>
          <w:rFonts w:ascii="Miriam" w:hAnsi="Miriam" w:cs="Miriam"/>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w:t>
      </w:r>
    </w:p>
    <w:p w14:paraId="400F4025" w14:textId="77777777" w:rsidR="006630C0" w:rsidRPr="002F140B" w:rsidRDefault="006630C0" w:rsidP="006630C0">
      <w:pPr>
        <w:spacing w:after="200"/>
        <w:jc w:val="both"/>
        <w:rPr>
          <w:rFonts w:ascii="David" w:hAnsi="David"/>
          <w:color w:val="000000"/>
          <w:rtl/>
        </w:rPr>
      </w:pPr>
    </w:p>
    <w:p w14:paraId="241C99D2" w14:textId="77777777" w:rsidR="006630C0" w:rsidRPr="00CB2E98" w:rsidRDefault="006630C0" w:rsidP="006630C0">
      <w:pPr>
        <w:spacing w:after="200" w:line="360" w:lineRule="auto"/>
        <w:jc w:val="both"/>
        <w:rPr>
          <w:rFonts w:ascii="David" w:hAnsi="David"/>
          <w:color w:val="000000"/>
          <w:rtl/>
        </w:rPr>
      </w:pPr>
      <w:r w:rsidRPr="00CB2E98">
        <w:rPr>
          <w:rFonts w:ascii="David" w:hAnsi="David" w:hint="cs"/>
          <w:color w:val="000000"/>
          <w:rtl/>
        </w:rPr>
        <w:t>16.</w:t>
      </w:r>
      <w:r w:rsidRPr="00CB2E98">
        <w:rPr>
          <w:rFonts w:ascii="David" w:hAnsi="David" w:hint="cs"/>
          <w:color w:val="000000"/>
          <w:rtl/>
        </w:rPr>
        <w:tab/>
        <w:t>במסגרת הנסיבות הקשורות בביצוע העבירה אציין, לחובת הנאשם</w:t>
      </w:r>
      <w:r>
        <w:rPr>
          <w:rFonts w:ascii="David" w:hAnsi="David" w:hint="cs"/>
          <w:color w:val="000000"/>
          <w:rtl/>
        </w:rPr>
        <w:t>,</w:t>
      </w:r>
      <w:r w:rsidRPr="00CB2E98">
        <w:rPr>
          <w:rFonts w:ascii="David" w:hAnsi="David" w:hint="cs"/>
          <w:color w:val="000000"/>
          <w:rtl/>
        </w:rPr>
        <w:t xml:space="preserve"> כי החזיק ברשותו שני אקדחים. אמנם אחד מהם נמצא לא תקין, אולם עסקינן בכלי נשק בעל פוטנציאל של מסוכנות</w:t>
      </w:r>
      <w:r>
        <w:rPr>
          <w:rFonts w:ascii="David" w:hAnsi="David" w:hint="cs"/>
          <w:color w:val="000000"/>
          <w:rtl/>
        </w:rPr>
        <w:t xml:space="preserve"> ואכן הובהר, לאחר תיקונו במעבדה, כי הוא סוגל לירות</w:t>
      </w:r>
      <w:r w:rsidRPr="00CB2E98">
        <w:rPr>
          <w:rFonts w:ascii="David" w:hAnsi="David" w:hint="cs"/>
          <w:color w:val="000000"/>
          <w:rtl/>
        </w:rPr>
        <w:t xml:space="preserve">. </w:t>
      </w:r>
      <w:r>
        <w:rPr>
          <w:rFonts w:ascii="David" w:hAnsi="David" w:hint="cs"/>
          <w:color w:val="000000"/>
          <w:rtl/>
        </w:rPr>
        <w:t>בנוסף לאקדח הלא תקין, החזיק הנאשם גם</w:t>
      </w:r>
      <w:r w:rsidRPr="00CB2E98">
        <w:rPr>
          <w:rFonts w:ascii="David" w:hAnsi="David" w:hint="cs"/>
          <w:color w:val="000000"/>
          <w:rtl/>
        </w:rPr>
        <w:t xml:space="preserve"> באקדח תקין מסוג מאוזר חצי אוטומטי </w:t>
      </w:r>
      <w:r>
        <w:rPr>
          <w:rFonts w:ascii="David" w:hAnsi="David" w:hint="cs"/>
          <w:color w:val="000000"/>
          <w:rtl/>
        </w:rPr>
        <w:t>כשהוא</w:t>
      </w:r>
      <w:r w:rsidRPr="00CB2E98">
        <w:rPr>
          <w:rFonts w:ascii="David" w:hAnsi="David" w:hint="cs"/>
          <w:color w:val="000000"/>
          <w:rtl/>
        </w:rPr>
        <w:t xml:space="preserve"> טעון במחסנית ו-3 כדורים, דבר המ</w:t>
      </w:r>
      <w:r>
        <w:rPr>
          <w:rFonts w:ascii="David" w:hAnsi="David" w:hint="cs"/>
          <w:color w:val="000000"/>
          <w:rtl/>
        </w:rPr>
        <w:t>עצים</w:t>
      </w:r>
      <w:r w:rsidRPr="00CB2E98">
        <w:rPr>
          <w:rFonts w:ascii="David" w:hAnsi="David" w:hint="cs"/>
          <w:color w:val="000000"/>
          <w:rtl/>
        </w:rPr>
        <w:t xml:space="preserve"> את המסוכנות הטמונה  בהחזקת </w:t>
      </w:r>
      <w:r>
        <w:rPr>
          <w:rFonts w:ascii="David" w:hAnsi="David" w:hint="cs"/>
          <w:color w:val="000000"/>
          <w:rtl/>
        </w:rPr>
        <w:t>אותו אקדח</w:t>
      </w:r>
      <w:r w:rsidRPr="00CB2E98">
        <w:rPr>
          <w:rFonts w:ascii="David" w:hAnsi="David" w:hint="cs"/>
          <w:color w:val="000000"/>
          <w:rtl/>
        </w:rPr>
        <w:t>.  לכל האמור לעיל יש להוסיף</w:t>
      </w:r>
      <w:r>
        <w:rPr>
          <w:rFonts w:ascii="David" w:hAnsi="David" w:hint="cs"/>
          <w:color w:val="000000"/>
          <w:rtl/>
        </w:rPr>
        <w:t>,</w:t>
      </w:r>
      <w:r w:rsidRPr="00CB2E98">
        <w:rPr>
          <w:rFonts w:ascii="David" w:hAnsi="David" w:hint="cs"/>
          <w:color w:val="000000"/>
          <w:rtl/>
        </w:rPr>
        <w:t xml:space="preserve"> לחומרה, כי הנאשם החזיק כמות לא מבוטלת של תחמושת לנשק </w:t>
      </w:r>
      <w:r w:rsidRPr="00CB2E98">
        <w:rPr>
          <w:rFonts w:ascii="David" w:hAnsi="David"/>
          <w:color w:val="000000"/>
          <w:rtl/>
        </w:rPr>
        <w:t>–</w:t>
      </w:r>
      <w:r w:rsidRPr="00CB2E98">
        <w:rPr>
          <w:rFonts w:ascii="David" w:hAnsi="David" w:hint="cs"/>
          <w:color w:val="000000"/>
          <w:rtl/>
        </w:rPr>
        <w:t xml:space="preserve"> שתי מחסניות </w:t>
      </w:r>
      <w:r>
        <w:rPr>
          <w:rFonts w:ascii="David" w:hAnsi="David"/>
          <w:color w:val="000000"/>
          <w:rtl/>
        </w:rPr>
        <w:t>–</w:t>
      </w:r>
      <w:r>
        <w:rPr>
          <w:rFonts w:ascii="David" w:hAnsi="David" w:hint="cs"/>
          <w:color w:val="000000"/>
          <w:rtl/>
        </w:rPr>
        <w:t xml:space="preserve">האחת טעונה ב- 15 כדורים והשנייה טעונה ב- 14  </w:t>
      </w:r>
      <w:r w:rsidRPr="00CB2E98">
        <w:rPr>
          <w:rFonts w:ascii="David" w:hAnsi="David" w:hint="cs"/>
          <w:color w:val="000000"/>
          <w:rtl/>
        </w:rPr>
        <w:t>כדורים וכן 16 כדורים נוספים של אקדח, וכל זאת בנוסף למחסנית ול</w:t>
      </w:r>
      <w:r>
        <w:rPr>
          <w:rFonts w:ascii="David" w:hAnsi="David" w:hint="cs"/>
          <w:color w:val="000000"/>
          <w:rtl/>
        </w:rPr>
        <w:t>שלושת ה</w:t>
      </w:r>
      <w:r w:rsidRPr="00CB2E98">
        <w:rPr>
          <w:rFonts w:ascii="David" w:hAnsi="David" w:hint="cs"/>
          <w:color w:val="000000"/>
          <w:rtl/>
        </w:rPr>
        <w:t xml:space="preserve">כדורים שנטענו באקדח המאוזר הנ"ל. </w:t>
      </w:r>
    </w:p>
    <w:p w14:paraId="7845C09D" w14:textId="77777777" w:rsidR="006630C0" w:rsidRPr="00CB2E98" w:rsidRDefault="006630C0" w:rsidP="006630C0">
      <w:pPr>
        <w:spacing w:after="200" w:line="360" w:lineRule="auto"/>
        <w:jc w:val="both"/>
        <w:rPr>
          <w:rFonts w:ascii="David" w:hAnsi="David"/>
          <w:color w:val="000000"/>
          <w:rtl/>
        </w:rPr>
      </w:pPr>
      <w:r w:rsidRPr="00CB2E98">
        <w:rPr>
          <w:rFonts w:ascii="David" w:hAnsi="David" w:hint="cs"/>
          <w:color w:val="000000"/>
          <w:rtl/>
        </w:rPr>
        <w:t xml:space="preserve">17. </w:t>
      </w:r>
      <w:r w:rsidRPr="00CB2E98">
        <w:rPr>
          <w:rFonts w:ascii="David" w:hAnsi="David" w:hint="cs"/>
          <w:color w:val="000000"/>
          <w:rtl/>
        </w:rPr>
        <w:tab/>
        <w:t>מעבר להחזקת הנשק,  הורשע הנאשם</w:t>
      </w:r>
      <w:r>
        <w:rPr>
          <w:rFonts w:ascii="David" w:hAnsi="David" w:hint="cs"/>
          <w:color w:val="000000"/>
          <w:rtl/>
        </w:rPr>
        <w:t>, כאמור,</w:t>
      </w:r>
      <w:r w:rsidRPr="00CB2E98">
        <w:rPr>
          <w:rFonts w:ascii="David" w:hAnsi="David" w:hint="cs"/>
          <w:color w:val="000000"/>
          <w:rtl/>
        </w:rPr>
        <w:t xml:space="preserve">  גם בעבירה ש</w:t>
      </w:r>
      <w:r>
        <w:rPr>
          <w:rFonts w:ascii="David" w:hAnsi="David" w:hint="cs"/>
          <w:color w:val="000000"/>
          <w:rtl/>
        </w:rPr>
        <w:t>עניינה</w:t>
      </w:r>
      <w:r w:rsidRPr="00CB2E98">
        <w:rPr>
          <w:rFonts w:ascii="David" w:hAnsi="David" w:hint="cs"/>
          <w:color w:val="000000"/>
          <w:rtl/>
        </w:rPr>
        <w:t xml:space="preserve"> נשיאת והובלת אקדח </w:t>
      </w:r>
      <w:r>
        <w:rPr>
          <w:rFonts w:ascii="David" w:hAnsi="David" w:hint="cs"/>
          <w:color w:val="000000"/>
          <w:rtl/>
        </w:rPr>
        <w:t xml:space="preserve">המאוזר </w:t>
      </w:r>
      <w:r w:rsidRPr="00CB2E98">
        <w:rPr>
          <w:rFonts w:ascii="David" w:hAnsi="David" w:hint="cs"/>
          <w:color w:val="000000"/>
          <w:rtl/>
        </w:rPr>
        <w:t>א</w:t>
      </w:r>
      <w:r>
        <w:rPr>
          <w:rFonts w:ascii="David" w:hAnsi="David" w:hint="cs"/>
          <w:color w:val="000000"/>
          <w:rtl/>
        </w:rPr>
        <w:t>ף</w:t>
      </w:r>
      <w:r w:rsidRPr="00CB2E98">
        <w:rPr>
          <w:rFonts w:ascii="David" w:hAnsi="David" w:hint="cs"/>
          <w:color w:val="000000"/>
          <w:rtl/>
        </w:rPr>
        <w:t xml:space="preserve"> כי לקולה </w:t>
      </w:r>
      <w:r>
        <w:rPr>
          <w:rFonts w:ascii="David" w:hAnsi="David" w:hint="cs"/>
          <w:color w:val="000000"/>
          <w:rtl/>
        </w:rPr>
        <w:t>יש ל</w:t>
      </w:r>
      <w:r w:rsidRPr="00CB2E98">
        <w:rPr>
          <w:rFonts w:ascii="David" w:hAnsi="David" w:hint="cs"/>
          <w:color w:val="000000"/>
          <w:rtl/>
        </w:rPr>
        <w:t xml:space="preserve">ציין </w:t>
      </w:r>
      <w:r>
        <w:rPr>
          <w:rFonts w:ascii="David" w:hAnsi="David" w:hint="cs"/>
          <w:color w:val="000000"/>
          <w:rtl/>
        </w:rPr>
        <w:t>ש</w:t>
      </w:r>
      <w:r w:rsidRPr="00CB2E98">
        <w:rPr>
          <w:rFonts w:ascii="David" w:hAnsi="David" w:hint="cs"/>
          <w:color w:val="000000"/>
          <w:rtl/>
        </w:rPr>
        <w:t xml:space="preserve">מדובר בנשיאה והובלה למרחק קצר יחסית </w:t>
      </w:r>
      <w:r>
        <w:rPr>
          <w:rFonts w:ascii="David" w:hAnsi="David" w:hint="cs"/>
          <w:color w:val="000000"/>
          <w:rtl/>
        </w:rPr>
        <w:t>של 1.3 קילומטרים</w:t>
      </w:r>
      <w:r w:rsidRPr="00CB2E98">
        <w:rPr>
          <w:rFonts w:ascii="David" w:hAnsi="David" w:hint="cs"/>
          <w:color w:val="000000"/>
          <w:rtl/>
        </w:rPr>
        <w:t>. המניע לביצוע עבירת החזקת הנשק נעוץ, לדברי הנאשם בפני שירות המבחן, ברצונו להגביר את ביטחונו ובהסתמכו על שכיחות תופעת החזקת הנשק הלא חוקי ב</w:t>
      </w:r>
      <w:r>
        <w:rPr>
          <w:rFonts w:ascii="David" w:hAnsi="David" w:hint="cs"/>
          <w:color w:val="000000"/>
          <w:rtl/>
        </w:rPr>
        <w:t>ישוב</w:t>
      </w:r>
      <w:r w:rsidRPr="00CB2E98">
        <w:rPr>
          <w:rFonts w:ascii="David" w:hAnsi="David" w:hint="cs"/>
          <w:color w:val="000000"/>
          <w:rtl/>
        </w:rPr>
        <w:t xml:space="preserve"> מגוריו. המניע לנשיאת הנשק נעוץ, כפי שעולה מהתסקיר, </w:t>
      </w:r>
      <w:r>
        <w:rPr>
          <w:rFonts w:ascii="David" w:hAnsi="David" w:hint="cs"/>
          <w:color w:val="000000"/>
          <w:rtl/>
        </w:rPr>
        <w:t>ב</w:t>
      </w:r>
      <w:r w:rsidRPr="00CB2E98">
        <w:rPr>
          <w:rFonts w:ascii="David" w:hAnsi="David" w:hint="cs"/>
          <w:color w:val="000000"/>
          <w:rtl/>
        </w:rPr>
        <w:t>רצונו של הנאשם להתרברב בפני חברו</w:t>
      </w:r>
      <w:r>
        <w:rPr>
          <w:rFonts w:ascii="David" w:hAnsi="David" w:hint="cs"/>
          <w:color w:val="000000"/>
          <w:rtl/>
        </w:rPr>
        <w:t xml:space="preserve">, אשר אל ביתו </w:t>
      </w:r>
      <w:r w:rsidRPr="00CB2E98">
        <w:rPr>
          <w:rFonts w:ascii="David" w:hAnsi="David" w:hint="cs"/>
          <w:color w:val="000000"/>
          <w:rtl/>
        </w:rPr>
        <w:t xml:space="preserve"> נשא והוביל את הנשק. הסבריו הנ"ל של הנאשם ל</w:t>
      </w:r>
      <w:r>
        <w:rPr>
          <w:rFonts w:ascii="David" w:hAnsi="David" w:hint="cs"/>
          <w:color w:val="000000"/>
          <w:rtl/>
        </w:rPr>
        <w:t>גבי</w:t>
      </w:r>
      <w:r w:rsidRPr="00CB2E98">
        <w:rPr>
          <w:rFonts w:ascii="David" w:hAnsi="David" w:hint="cs"/>
          <w:color w:val="000000"/>
          <w:rtl/>
        </w:rPr>
        <w:t xml:space="preserve"> המניע</w:t>
      </w:r>
      <w:r>
        <w:rPr>
          <w:rFonts w:ascii="David" w:hAnsi="David" w:hint="cs"/>
          <w:color w:val="000000"/>
          <w:rtl/>
        </w:rPr>
        <w:t>ים</w:t>
      </w:r>
      <w:r w:rsidRPr="00CB2E98">
        <w:rPr>
          <w:rFonts w:ascii="David" w:hAnsi="David" w:hint="cs"/>
          <w:color w:val="000000"/>
          <w:rtl/>
        </w:rPr>
        <w:t xml:space="preserve"> לביצוע העבירות אינם מפחיתים מחומרת הנסיבות שבפנינו ואינם מהווים הצדקה ל</w:t>
      </w:r>
      <w:r>
        <w:rPr>
          <w:rFonts w:ascii="David" w:hAnsi="David" w:hint="cs"/>
          <w:color w:val="000000"/>
          <w:rtl/>
        </w:rPr>
        <w:t>נשיאת והובלת האקדח התקין בכפר מגורים לבית חברו של הנאשם ול</w:t>
      </w:r>
      <w:r w:rsidRPr="00CB2E98">
        <w:rPr>
          <w:rFonts w:ascii="David" w:hAnsi="David" w:hint="cs"/>
          <w:color w:val="000000"/>
          <w:rtl/>
        </w:rPr>
        <w:t xml:space="preserve">החזקת </w:t>
      </w:r>
      <w:r>
        <w:rPr>
          <w:rFonts w:ascii="David" w:hAnsi="David" w:hint="cs"/>
          <w:color w:val="000000"/>
          <w:rtl/>
        </w:rPr>
        <w:t xml:space="preserve">היקף משמעותי של </w:t>
      </w:r>
      <w:r w:rsidRPr="00CB2E98">
        <w:rPr>
          <w:rFonts w:ascii="David" w:hAnsi="David" w:hint="cs"/>
          <w:color w:val="000000"/>
          <w:rtl/>
        </w:rPr>
        <w:t>תחמושת לנשק ושני אקדחים</w:t>
      </w:r>
      <w:r>
        <w:rPr>
          <w:rFonts w:ascii="David" w:hAnsi="David" w:hint="cs"/>
          <w:color w:val="000000"/>
          <w:rtl/>
        </w:rPr>
        <w:t xml:space="preserve">- האחד אמנם תקול אך השני תקין וטעון בשלושה כדורים. </w:t>
      </w:r>
    </w:p>
    <w:p w14:paraId="26FB3123" w14:textId="77777777" w:rsidR="006630C0" w:rsidRPr="00CB2E98" w:rsidRDefault="006630C0" w:rsidP="006630C0">
      <w:pPr>
        <w:spacing w:after="200" w:line="360" w:lineRule="auto"/>
        <w:jc w:val="both"/>
        <w:rPr>
          <w:rFonts w:ascii="David" w:hAnsi="David"/>
          <w:color w:val="000000"/>
          <w:rtl/>
        </w:rPr>
      </w:pPr>
      <w:r w:rsidRPr="00CB2E98">
        <w:rPr>
          <w:rFonts w:ascii="David" w:hAnsi="David" w:hint="cs"/>
          <w:color w:val="000000"/>
          <w:rtl/>
        </w:rPr>
        <w:t xml:space="preserve">18. </w:t>
      </w:r>
      <w:r w:rsidRPr="00CB2E98">
        <w:rPr>
          <w:rFonts w:ascii="David" w:hAnsi="David"/>
          <w:color w:val="000000"/>
          <w:rtl/>
        </w:rPr>
        <w:tab/>
      </w:r>
      <w:r w:rsidRPr="00CB2E98">
        <w:rPr>
          <w:rFonts w:ascii="David" w:hAnsi="David" w:hint="cs"/>
          <w:color w:val="000000"/>
          <w:rtl/>
        </w:rPr>
        <w:t xml:space="preserve">במסגרת סקירת מדיניות הענישה הנהוגה בעבירות שעיקרן  נשיאת  נשק מסוג אקדח, תובא הפסיקה הבאה: </w:t>
      </w:r>
    </w:p>
    <w:p w14:paraId="0D98C6FD" w14:textId="77777777" w:rsidR="006630C0" w:rsidRPr="000C5DC9" w:rsidRDefault="006630C0" w:rsidP="006630C0">
      <w:pPr>
        <w:pStyle w:val="a9"/>
        <w:numPr>
          <w:ilvl w:val="0"/>
          <w:numId w:val="1"/>
        </w:numPr>
        <w:spacing w:line="360" w:lineRule="auto"/>
        <w:jc w:val="both"/>
        <w:rPr>
          <w:rFonts w:ascii="David" w:hAnsi="David"/>
          <w:color w:val="000000"/>
          <w:rtl/>
        </w:rPr>
      </w:pPr>
      <w:r w:rsidRPr="00CB2E98">
        <w:rPr>
          <w:rFonts w:ascii="David" w:hAnsi="David"/>
          <w:rtl/>
        </w:rPr>
        <w:t>ב</w:t>
      </w:r>
      <w:hyperlink r:id="rId27" w:history="1">
        <w:r w:rsidR="00E81991" w:rsidRPr="00E81991">
          <w:rPr>
            <w:rFonts w:ascii="David" w:hAnsi="David"/>
            <w:color w:val="0000FF"/>
            <w:u w:val="single"/>
            <w:rtl/>
          </w:rPr>
          <w:t>ע"פ 5604/11</w:t>
        </w:r>
      </w:hyperlink>
      <w:r w:rsidR="00E81991">
        <w:rPr>
          <w:rFonts w:ascii="David" w:hAnsi="David"/>
          <w:rtl/>
        </w:rPr>
        <w:t xml:space="preserve"> </w:t>
      </w:r>
      <w:r w:rsidRPr="00CB2E98">
        <w:rPr>
          <w:rFonts w:ascii="Miriam" w:hAnsi="Miriam" w:cs="Miriam"/>
          <w:rtl/>
        </w:rPr>
        <w:t>נידאל נא</w:t>
      </w:r>
      <w:r w:rsidRPr="00CB2E98">
        <w:rPr>
          <w:rFonts w:ascii="Miriam" w:hAnsi="Miriam" w:cs="Miriam"/>
          <w:color w:val="000000"/>
          <w:rtl/>
        </w:rPr>
        <w:t>סר נ' מ"י</w:t>
      </w:r>
      <w:r w:rsidR="00E81991">
        <w:rPr>
          <w:rFonts w:ascii="David" w:hAnsi="David"/>
          <w:color w:val="000000"/>
          <w:rtl/>
        </w:rPr>
        <w:t xml:space="preserve"> </w:t>
      </w:r>
      <w:r w:rsidRPr="00CB2E98">
        <w:rPr>
          <w:rFonts w:ascii="David" w:hAnsi="David"/>
          <w:color w:val="000000"/>
          <w:rtl/>
        </w:rPr>
        <w:t xml:space="preserve"> (5</w:t>
      </w:r>
      <w:r>
        <w:rPr>
          <w:rFonts w:ascii="David" w:hAnsi="David" w:hint="cs"/>
          <w:color w:val="000000"/>
          <w:rtl/>
        </w:rPr>
        <w:t>/</w:t>
      </w:r>
      <w:r w:rsidRPr="00CB2E98">
        <w:rPr>
          <w:rFonts w:ascii="David" w:hAnsi="David"/>
          <w:color w:val="000000"/>
          <w:rtl/>
        </w:rPr>
        <w:t>10</w:t>
      </w:r>
      <w:r>
        <w:rPr>
          <w:rFonts w:ascii="David" w:hAnsi="David" w:hint="cs"/>
          <w:color w:val="000000"/>
          <w:rtl/>
        </w:rPr>
        <w:t>/</w:t>
      </w:r>
      <w:r w:rsidRPr="00CB2E98">
        <w:rPr>
          <w:rFonts w:ascii="David" w:hAnsi="David"/>
          <w:color w:val="000000"/>
          <w:rtl/>
        </w:rPr>
        <w:t xml:space="preserve">2011) המערער הורשע בבימ"ש המחוזי בעבירות בנשק (החזקת נשק ותחמושת) לאחר שבביתו נתפסו אקדח </w:t>
      </w:r>
      <w:r>
        <w:rPr>
          <w:rFonts w:ascii="David" w:hAnsi="David" w:hint="cs"/>
          <w:color w:val="000000"/>
          <w:rtl/>
        </w:rPr>
        <w:t xml:space="preserve">אחד </w:t>
      </w:r>
      <w:r w:rsidRPr="00CB2E98">
        <w:rPr>
          <w:rFonts w:ascii="David" w:hAnsi="David"/>
          <w:color w:val="000000"/>
          <w:rtl/>
        </w:rPr>
        <w:t>מסוג ברטה 9 מ"מ קצר ומחסנית לאקדח ובה שמונה כדורים. בית המשפט המחוזי השית על המערער 12 חודשי מאסר בפועל לצד עונשים נלווים. בית המשפט העליון דחה את הערעור, תוך שציין כי</w:t>
      </w:r>
      <w:r w:rsidR="00E81991">
        <w:rPr>
          <w:rFonts w:ascii="David" w:hAnsi="David"/>
          <w:color w:val="000000"/>
          <w:rtl/>
        </w:rPr>
        <w:t xml:space="preserve"> </w:t>
      </w:r>
      <w:r w:rsidRPr="00CB2E98">
        <w:rPr>
          <w:rFonts w:ascii="David" w:hAnsi="David"/>
          <w:b/>
          <w:bCs/>
          <w:color w:val="000000"/>
          <w:rtl/>
        </w:rPr>
        <w:t>"</w:t>
      </w:r>
      <w:r w:rsidRPr="000C5DC9">
        <w:rPr>
          <w:rFonts w:ascii="David" w:hAnsi="David"/>
          <w:color w:val="000000"/>
          <w:rtl/>
        </w:rPr>
        <w:t>צדק בית המשפט שהשית על המערער עונש מאסר בפועל התואם לרף הענישה המקובל במקרים דומים".</w:t>
      </w:r>
    </w:p>
    <w:p w14:paraId="39167F06" w14:textId="77777777" w:rsidR="006630C0" w:rsidRPr="00CB2E98" w:rsidRDefault="00E81991" w:rsidP="006630C0">
      <w:pPr>
        <w:spacing w:line="360" w:lineRule="auto"/>
        <w:jc w:val="both"/>
        <w:rPr>
          <w:rFonts w:ascii="David" w:hAnsi="David"/>
          <w:color w:val="000000"/>
          <w:rtl/>
        </w:rPr>
      </w:pPr>
      <w:r>
        <w:rPr>
          <w:rFonts w:ascii="David" w:hAnsi="David"/>
          <w:color w:val="000000"/>
          <w:rtl/>
        </w:rPr>
        <w:t xml:space="preserve"> </w:t>
      </w:r>
    </w:p>
    <w:p w14:paraId="2F13DBFA" w14:textId="77777777" w:rsidR="006630C0" w:rsidRPr="008D02CA" w:rsidRDefault="006630C0" w:rsidP="006630C0">
      <w:pPr>
        <w:pStyle w:val="a9"/>
        <w:numPr>
          <w:ilvl w:val="0"/>
          <w:numId w:val="1"/>
        </w:numPr>
        <w:spacing w:line="360" w:lineRule="auto"/>
        <w:jc w:val="both"/>
        <w:rPr>
          <w:rFonts w:ascii="David" w:hAnsi="David"/>
          <w:color w:val="000000"/>
          <w:rtl/>
        </w:rPr>
      </w:pPr>
      <w:r w:rsidRPr="00CB2E98">
        <w:rPr>
          <w:rFonts w:ascii="David" w:hAnsi="David"/>
          <w:rtl/>
        </w:rPr>
        <w:t>ב</w:t>
      </w:r>
      <w:hyperlink r:id="rId28" w:history="1">
        <w:r w:rsidR="00E81991" w:rsidRPr="00E81991">
          <w:rPr>
            <w:rFonts w:ascii="David" w:hAnsi="David"/>
            <w:color w:val="0000FF"/>
            <w:u w:val="single"/>
            <w:rtl/>
          </w:rPr>
          <w:t>ע"פ 3156/11</w:t>
        </w:r>
      </w:hyperlink>
      <w:r w:rsidR="00E81991">
        <w:rPr>
          <w:rFonts w:ascii="David" w:hAnsi="David"/>
          <w:rtl/>
        </w:rPr>
        <w:t xml:space="preserve"> </w:t>
      </w:r>
      <w:r w:rsidRPr="00CB2E98">
        <w:rPr>
          <w:rFonts w:ascii="Miriam" w:hAnsi="Miriam" w:cs="Miriam"/>
          <w:rtl/>
        </w:rPr>
        <w:t>זראיעה נ' מ"י</w:t>
      </w:r>
      <w:r w:rsidR="00E81991">
        <w:rPr>
          <w:rFonts w:ascii="David" w:hAnsi="David"/>
          <w:rtl/>
        </w:rPr>
        <w:t xml:space="preserve"> </w:t>
      </w:r>
      <w:r w:rsidRPr="00CB2E98">
        <w:rPr>
          <w:rFonts w:ascii="David" w:hAnsi="David"/>
          <w:rtl/>
        </w:rPr>
        <w:t xml:space="preserve"> (21</w:t>
      </w:r>
      <w:r>
        <w:rPr>
          <w:rFonts w:ascii="David" w:hAnsi="David" w:hint="cs"/>
          <w:rtl/>
        </w:rPr>
        <w:t>/</w:t>
      </w:r>
      <w:r w:rsidRPr="00CB2E98">
        <w:rPr>
          <w:rFonts w:ascii="David" w:hAnsi="David"/>
          <w:rtl/>
        </w:rPr>
        <w:t>2</w:t>
      </w:r>
      <w:r>
        <w:rPr>
          <w:rFonts w:ascii="David" w:hAnsi="David" w:hint="cs"/>
          <w:rtl/>
        </w:rPr>
        <w:t>/</w:t>
      </w:r>
      <w:r w:rsidRPr="00CB2E98">
        <w:rPr>
          <w:rFonts w:ascii="David" w:hAnsi="David"/>
          <w:rtl/>
        </w:rPr>
        <w:t xml:space="preserve">12) הורשע המערער בעבירות של נשיאת והובלת נשק והסתייעות </w:t>
      </w:r>
      <w:r w:rsidRPr="00CB2E98">
        <w:rPr>
          <w:rFonts w:ascii="David" w:hAnsi="David"/>
          <w:color w:val="000000"/>
          <w:rtl/>
        </w:rPr>
        <w:t xml:space="preserve">ברכב לביצוע פשע, ובגין אלו הוטל עליו מאסר למשך 24 חודשים. על פי כתב האישום המתוקן, המערער נסע ברכבו אחרי שהסליק בו אקדח, מחסנית טעונה בכדורי אקדח וקופסאות עם כדורי אקדח, והאקדח והתחמושת נתפסו בחיפוש שגרתי שביצעה המשטרה ברכב. המערער היה נעדר עבר פלילי למעט </w:t>
      </w:r>
      <w:r>
        <w:rPr>
          <w:rFonts w:ascii="David" w:hAnsi="David" w:hint="cs"/>
          <w:color w:val="000000"/>
          <w:rtl/>
        </w:rPr>
        <w:t>הרשעה ב</w:t>
      </w:r>
      <w:r w:rsidRPr="00CB2E98">
        <w:rPr>
          <w:rFonts w:ascii="David" w:hAnsi="David"/>
          <w:color w:val="000000"/>
          <w:rtl/>
        </w:rPr>
        <w:t xml:space="preserve">עבירה </w:t>
      </w:r>
      <w:r w:rsidRPr="00CB2E98">
        <w:rPr>
          <w:rFonts w:ascii="David" w:hAnsi="David" w:hint="cs"/>
          <w:color w:val="000000"/>
          <w:rtl/>
        </w:rPr>
        <w:t>מסוג אחר</w:t>
      </w:r>
      <w:r w:rsidRPr="00CB2E98">
        <w:rPr>
          <w:rFonts w:ascii="David" w:hAnsi="David"/>
          <w:color w:val="000000"/>
          <w:rtl/>
        </w:rPr>
        <w:t>. הערעור נדחה.</w:t>
      </w:r>
    </w:p>
    <w:p w14:paraId="27EAD4A6" w14:textId="77777777" w:rsidR="006630C0" w:rsidRPr="00CB2E98" w:rsidRDefault="00E81991" w:rsidP="006630C0">
      <w:pPr>
        <w:spacing w:line="360" w:lineRule="auto"/>
        <w:jc w:val="both"/>
        <w:rPr>
          <w:rFonts w:ascii="David" w:hAnsi="David"/>
          <w:color w:val="000000"/>
          <w:rtl/>
        </w:rPr>
      </w:pPr>
      <w:r>
        <w:rPr>
          <w:rFonts w:ascii="David" w:hAnsi="David"/>
          <w:b/>
          <w:bCs/>
          <w:color w:val="000000"/>
          <w:rtl/>
        </w:rPr>
        <w:t xml:space="preserve"> </w:t>
      </w:r>
    </w:p>
    <w:p w14:paraId="76EC9B13" w14:textId="77777777" w:rsidR="006630C0" w:rsidRPr="00CB2E98" w:rsidRDefault="006630C0" w:rsidP="006630C0">
      <w:pPr>
        <w:pStyle w:val="a9"/>
        <w:numPr>
          <w:ilvl w:val="0"/>
          <w:numId w:val="1"/>
        </w:numPr>
        <w:spacing w:line="360" w:lineRule="auto"/>
        <w:jc w:val="both"/>
        <w:rPr>
          <w:rFonts w:ascii="David" w:hAnsi="David"/>
          <w:color w:val="000000"/>
          <w:rtl/>
        </w:rPr>
      </w:pPr>
      <w:r w:rsidRPr="00CB2E98">
        <w:rPr>
          <w:rFonts w:ascii="David" w:hAnsi="David"/>
          <w:rtl/>
        </w:rPr>
        <w:t>ב</w:t>
      </w:r>
      <w:hyperlink r:id="rId29" w:history="1">
        <w:r w:rsidR="00E81991" w:rsidRPr="00E81991">
          <w:rPr>
            <w:rFonts w:ascii="David" w:hAnsi="David"/>
            <w:color w:val="0000FF"/>
            <w:u w:val="single"/>
            <w:rtl/>
          </w:rPr>
          <w:t>ע"פ 2398/14</w:t>
        </w:r>
      </w:hyperlink>
      <w:r w:rsidR="00E81991">
        <w:rPr>
          <w:rFonts w:ascii="David" w:hAnsi="David"/>
          <w:rtl/>
        </w:rPr>
        <w:t xml:space="preserve"> </w:t>
      </w:r>
      <w:r w:rsidRPr="00CB2E98">
        <w:rPr>
          <w:rFonts w:ascii="Miriam" w:hAnsi="Miriam" w:cs="Miriam"/>
          <w:rtl/>
        </w:rPr>
        <w:t>ענאן אלהזייל נגד מ"י</w:t>
      </w:r>
      <w:r w:rsidR="00E81991">
        <w:rPr>
          <w:rFonts w:ascii="David" w:hAnsi="David"/>
          <w:color w:val="000000"/>
          <w:rtl/>
        </w:rPr>
        <w:t xml:space="preserve"> </w:t>
      </w:r>
      <w:r w:rsidRPr="00CB2E98">
        <w:rPr>
          <w:rFonts w:ascii="David" w:hAnsi="David"/>
          <w:color w:val="000000"/>
          <w:rtl/>
        </w:rPr>
        <w:t xml:space="preserve"> (8</w:t>
      </w:r>
      <w:r>
        <w:rPr>
          <w:rFonts w:ascii="David" w:hAnsi="David" w:hint="cs"/>
          <w:color w:val="000000"/>
          <w:rtl/>
        </w:rPr>
        <w:t>/</w:t>
      </w:r>
      <w:r w:rsidRPr="00CB2E98">
        <w:rPr>
          <w:rFonts w:ascii="David" w:hAnsi="David"/>
          <w:color w:val="000000"/>
          <w:rtl/>
        </w:rPr>
        <w:t>7</w:t>
      </w:r>
      <w:r>
        <w:rPr>
          <w:rFonts w:ascii="David" w:hAnsi="David" w:hint="cs"/>
          <w:color w:val="000000"/>
          <w:rtl/>
        </w:rPr>
        <w:t>/</w:t>
      </w:r>
      <w:r w:rsidRPr="00CB2E98">
        <w:rPr>
          <w:rFonts w:ascii="David" w:hAnsi="David"/>
          <w:color w:val="000000"/>
          <w:rtl/>
        </w:rPr>
        <w:t>2014) המערער הורשע על פי הודאתו בכתב אישום מתוקן בעבירה של אחזקת נשק ותחמושת, בכך שנתפס כשהוא מחזיק ברכבו, בקופסה גלויה במושב הנוסע הקדמי, אקדח ובו מחסנית עם 8 כדורים וקופסה ובה 38 כדורים נוספים. בית המשפט המחוזי העמיד את מתחם העונש על 10-24</w:t>
      </w:r>
      <w:r w:rsidR="00E81991">
        <w:rPr>
          <w:rFonts w:ascii="David" w:hAnsi="David"/>
          <w:color w:val="000000"/>
          <w:rtl/>
        </w:rPr>
        <w:t xml:space="preserve"> </w:t>
      </w:r>
      <w:r w:rsidRPr="00CB2E98">
        <w:rPr>
          <w:rFonts w:ascii="David" w:hAnsi="David"/>
          <w:color w:val="000000"/>
          <w:rtl/>
        </w:rPr>
        <w:t xml:space="preserve"> חודשי מאסר בפועל, והשית על המערער 13 חודשי מאסר בפועל לצד ענישה נלווית. הערעור נדחה.</w:t>
      </w:r>
    </w:p>
    <w:p w14:paraId="6E061FA3" w14:textId="77777777" w:rsidR="006630C0" w:rsidRPr="00CB2E98" w:rsidRDefault="006630C0" w:rsidP="006630C0">
      <w:pPr>
        <w:spacing w:line="360" w:lineRule="auto"/>
        <w:jc w:val="both"/>
        <w:rPr>
          <w:rFonts w:ascii="David" w:hAnsi="David"/>
          <w:color w:val="000000"/>
          <w:rtl/>
        </w:rPr>
      </w:pPr>
    </w:p>
    <w:p w14:paraId="7BF8943E" w14:textId="77777777" w:rsidR="006630C0" w:rsidRPr="00CB2E98" w:rsidRDefault="006630C0" w:rsidP="006630C0">
      <w:pPr>
        <w:pStyle w:val="a9"/>
        <w:numPr>
          <w:ilvl w:val="0"/>
          <w:numId w:val="1"/>
        </w:numPr>
        <w:spacing w:line="360" w:lineRule="auto"/>
        <w:jc w:val="both"/>
        <w:rPr>
          <w:rFonts w:ascii="David" w:hAnsi="David"/>
          <w:color w:val="000000"/>
          <w:rtl/>
        </w:rPr>
      </w:pPr>
      <w:r w:rsidRPr="00CB2E98">
        <w:rPr>
          <w:rFonts w:ascii="David" w:hAnsi="David" w:hint="cs"/>
          <w:color w:val="000000"/>
          <w:rtl/>
        </w:rPr>
        <w:t>ב</w:t>
      </w:r>
      <w:hyperlink r:id="rId30" w:history="1">
        <w:r w:rsidR="00E81991" w:rsidRPr="00E81991">
          <w:rPr>
            <w:rFonts w:ascii="David" w:hAnsi="David"/>
            <w:color w:val="0000FF"/>
            <w:u w:val="single"/>
            <w:rtl/>
          </w:rPr>
          <w:t>ע"פ 3288/14</w:t>
        </w:r>
      </w:hyperlink>
      <w:r w:rsidR="00E81991">
        <w:rPr>
          <w:rFonts w:ascii="Miriam" w:hAnsi="Miriam" w:cs="Miriam"/>
          <w:color w:val="000000"/>
          <w:rtl/>
        </w:rPr>
        <w:t xml:space="preserve"> </w:t>
      </w:r>
      <w:r w:rsidRPr="00CB2E98">
        <w:rPr>
          <w:rFonts w:ascii="Miriam" w:hAnsi="Miriam" w:cs="Miriam"/>
          <w:color w:val="000000"/>
          <w:rtl/>
        </w:rPr>
        <w:t>מדינת ישראל נ' מטיאל קריספיל</w:t>
      </w:r>
      <w:r w:rsidR="00E81991">
        <w:rPr>
          <w:rFonts w:ascii="David" w:hAnsi="David"/>
          <w:color w:val="000000"/>
          <w:rtl/>
        </w:rPr>
        <w:t xml:space="preserve"> </w:t>
      </w:r>
      <w:r w:rsidRPr="00CB2E98">
        <w:rPr>
          <w:rFonts w:ascii="David" w:hAnsi="David"/>
          <w:color w:val="000000"/>
          <w:rtl/>
        </w:rPr>
        <w:t>(24</w:t>
      </w:r>
      <w:r>
        <w:rPr>
          <w:rFonts w:ascii="David" w:hAnsi="David" w:hint="cs"/>
          <w:color w:val="000000"/>
          <w:rtl/>
        </w:rPr>
        <w:t>/</w:t>
      </w:r>
      <w:r w:rsidRPr="00CB2E98">
        <w:rPr>
          <w:rFonts w:ascii="David" w:hAnsi="David"/>
          <w:color w:val="000000"/>
          <w:rtl/>
        </w:rPr>
        <w:t>08</w:t>
      </w:r>
      <w:r>
        <w:rPr>
          <w:rFonts w:ascii="David" w:hAnsi="David" w:hint="cs"/>
          <w:color w:val="000000"/>
          <w:rtl/>
        </w:rPr>
        <w:t>/</w:t>
      </w:r>
      <w:r w:rsidRPr="00CB2E98">
        <w:rPr>
          <w:rFonts w:ascii="David" w:hAnsi="David"/>
          <w:color w:val="000000"/>
          <w:rtl/>
        </w:rPr>
        <w:t xml:space="preserve">2014) </w:t>
      </w:r>
      <w:r>
        <w:rPr>
          <w:rFonts w:ascii="David" w:hAnsi="David" w:hint="cs"/>
          <w:color w:val="000000"/>
          <w:rtl/>
        </w:rPr>
        <w:t>דובר במי שהורשע</w:t>
      </w:r>
      <w:r w:rsidRPr="00CB2E98">
        <w:rPr>
          <w:rFonts w:ascii="David" w:hAnsi="David"/>
          <w:color w:val="000000"/>
          <w:rtl/>
        </w:rPr>
        <w:t xml:space="preserve"> בהחזקה של אקדח ותחמושת, והושתו עליו 9 חודשי מאסר בפועל. בית המשפט העליון קיבל את ערעור המדינה, וגזר על </w:t>
      </w:r>
      <w:r>
        <w:rPr>
          <w:rFonts w:ascii="David" w:hAnsi="David" w:hint="cs"/>
          <w:color w:val="000000"/>
          <w:rtl/>
        </w:rPr>
        <w:t xml:space="preserve">המשיב </w:t>
      </w:r>
      <w:r w:rsidRPr="00CB2E98">
        <w:rPr>
          <w:rFonts w:ascii="David" w:hAnsi="David"/>
          <w:color w:val="000000"/>
          <w:rtl/>
        </w:rPr>
        <w:t xml:space="preserve"> 18 חודשי מאסר בפועל.</w:t>
      </w:r>
    </w:p>
    <w:p w14:paraId="0A5BFB3F" w14:textId="77777777" w:rsidR="006630C0" w:rsidRPr="00CB2E98" w:rsidRDefault="006630C0" w:rsidP="006630C0">
      <w:pPr>
        <w:spacing w:line="360" w:lineRule="auto"/>
        <w:jc w:val="both"/>
        <w:rPr>
          <w:rFonts w:ascii="David" w:hAnsi="David"/>
          <w:color w:val="000000"/>
          <w:rtl/>
        </w:rPr>
      </w:pPr>
    </w:p>
    <w:p w14:paraId="05C268F2" w14:textId="77777777" w:rsidR="006630C0" w:rsidRPr="00CB2E98" w:rsidRDefault="006630C0" w:rsidP="006630C0">
      <w:pPr>
        <w:pStyle w:val="a9"/>
        <w:numPr>
          <w:ilvl w:val="0"/>
          <w:numId w:val="1"/>
        </w:numPr>
        <w:spacing w:line="360" w:lineRule="auto"/>
        <w:jc w:val="both"/>
        <w:rPr>
          <w:rFonts w:ascii="David" w:hAnsi="David"/>
          <w:color w:val="000000"/>
          <w:rtl/>
        </w:rPr>
      </w:pPr>
      <w:r w:rsidRPr="00CB2E98">
        <w:rPr>
          <w:rFonts w:ascii="David" w:hAnsi="David" w:hint="cs"/>
          <w:color w:val="000000"/>
          <w:rtl/>
        </w:rPr>
        <w:t>ב</w:t>
      </w:r>
      <w:hyperlink r:id="rId31" w:history="1">
        <w:r w:rsidR="00E81991" w:rsidRPr="00E81991">
          <w:rPr>
            <w:rFonts w:ascii="David" w:hAnsi="David"/>
            <w:color w:val="0000FF"/>
            <w:u w:val="single"/>
            <w:rtl/>
          </w:rPr>
          <w:t>ע"פ 390/17</w:t>
        </w:r>
      </w:hyperlink>
      <w:r w:rsidRPr="00CB2E98">
        <w:rPr>
          <w:rFonts w:ascii="David" w:hAnsi="David" w:hint="cs"/>
          <w:b/>
          <w:bCs/>
          <w:color w:val="000000"/>
          <w:rtl/>
        </w:rPr>
        <w:t xml:space="preserve"> </w:t>
      </w:r>
      <w:r w:rsidRPr="00CB2E98">
        <w:rPr>
          <w:rFonts w:ascii="Miriam" w:hAnsi="Miriam" w:cs="Miriam"/>
          <w:color w:val="000000"/>
          <w:rtl/>
        </w:rPr>
        <w:t>עומר סער נ' מדינת ישראל</w:t>
      </w:r>
      <w:r w:rsidR="00E81991">
        <w:rPr>
          <w:rFonts w:ascii="David" w:hAnsi="David"/>
          <w:color w:val="000000"/>
          <w:rtl/>
        </w:rPr>
        <w:t xml:space="preserve"> </w:t>
      </w:r>
      <w:r w:rsidRPr="00CB2E98">
        <w:rPr>
          <w:rFonts w:ascii="David" w:hAnsi="David"/>
          <w:color w:val="000000"/>
          <w:rtl/>
        </w:rPr>
        <w:t>(03</w:t>
      </w:r>
      <w:r>
        <w:rPr>
          <w:rFonts w:ascii="David" w:hAnsi="David" w:hint="cs"/>
          <w:color w:val="000000"/>
          <w:rtl/>
        </w:rPr>
        <w:t>/</w:t>
      </w:r>
      <w:r w:rsidRPr="00CB2E98">
        <w:rPr>
          <w:rFonts w:ascii="David" w:hAnsi="David"/>
          <w:color w:val="000000"/>
          <w:rtl/>
        </w:rPr>
        <w:t>07</w:t>
      </w:r>
      <w:r>
        <w:rPr>
          <w:rFonts w:ascii="David" w:hAnsi="David" w:hint="cs"/>
          <w:color w:val="000000"/>
          <w:rtl/>
        </w:rPr>
        <w:t>/</w:t>
      </w:r>
      <w:r w:rsidRPr="00CB2E98">
        <w:rPr>
          <w:rFonts w:ascii="David" w:hAnsi="David"/>
          <w:color w:val="000000"/>
          <w:rtl/>
        </w:rPr>
        <w:t xml:space="preserve">2017) נקבע מתחם ענישה, אשר נע בין 28-54 חודשי מאסר בפועל, בגין נשיאת אקדח בצוותא באמצעות אופנוע, וכן נהיגה בקלות-דעת. </w:t>
      </w:r>
      <w:r>
        <w:rPr>
          <w:rFonts w:ascii="David" w:hAnsi="David" w:hint="cs"/>
          <w:color w:val="000000"/>
          <w:rtl/>
        </w:rPr>
        <w:t xml:space="preserve">אותו מערער, </w:t>
      </w:r>
      <w:r w:rsidRPr="00CB2E98">
        <w:rPr>
          <w:rFonts w:ascii="David" w:hAnsi="David"/>
          <w:color w:val="000000"/>
          <w:rtl/>
        </w:rPr>
        <w:t>בעל עבר פלילי מכביד, הודה במעשיו. בית המשפט העליון קיבל את ערעורו של וגזר עליו 34 חודשי מאסר בפועל חלף 40 החודשים שגזר עליו בית המשפט המחוזי.</w:t>
      </w:r>
    </w:p>
    <w:p w14:paraId="0E40C337" w14:textId="77777777" w:rsidR="006630C0" w:rsidRPr="00CB2E98" w:rsidRDefault="006630C0" w:rsidP="006630C0">
      <w:pPr>
        <w:spacing w:line="360" w:lineRule="auto"/>
        <w:jc w:val="both"/>
        <w:rPr>
          <w:rFonts w:ascii="David" w:hAnsi="David"/>
          <w:color w:val="000000"/>
          <w:rtl/>
        </w:rPr>
      </w:pPr>
    </w:p>
    <w:p w14:paraId="658DCA67" w14:textId="77777777" w:rsidR="006630C0" w:rsidRPr="00CB2E98" w:rsidRDefault="006630C0" w:rsidP="006630C0">
      <w:pPr>
        <w:pStyle w:val="a9"/>
        <w:numPr>
          <w:ilvl w:val="0"/>
          <w:numId w:val="1"/>
        </w:numPr>
        <w:spacing w:line="360" w:lineRule="auto"/>
        <w:jc w:val="both"/>
        <w:rPr>
          <w:rFonts w:ascii="David" w:hAnsi="David"/>
          <w:color w:val="000000"/>
          <w:rtl/>
        </w:rPr>
      </w:pPr>
      <w:r w:rsidRPr="00CB2E98">
        <w:rPr>
          <w:rFonts w:ascii="David" w:hAnsi="David" w:hint="cs"/>
          <w:rtl/>
        </w:rPr>
        <w:t>ב</w:t>
      </w:r>
      <w:hyperlink r:id="rId32" w:history="1">
        <w:r w:rsidR="00E81991" w:rsidRPr="00E81991">
          <w:rPr>
            <w:rFonts w:ascii="David" w:hAnsi="David"/>
            <w:color w:val="0000FF"/>
            <w:u w:val="single"/>
            <w:rtl/>
          </w:rPr>
          <w:t>ע"פ 2564/19</w:t>
        </w:r>
      </w:hyperlink>
      <w:r w:rsidRPr="00CB2E98">
        <w:rPr>
          <w:rStyle w:val="Hyperlink"/>
          <w:rFonts w:ascii="David" w:hAnsi="David" w:hint="cs"/>
          <w:rtl/>
        </w:rPr>
        <w:t xml:space="preserve"> </w:t>
      </w:r>
      <w:r w:rsidR="00E81991">
        <w:rPr>
          <w:rFonts w:ascii="Miriam" w:hAnsi="Miriam" w:cs="Miriam"/>
          <w:rtl/>
        </w:rPr>
        <w:t xml:space="preserve"> </w:t>
      </w:r>
      <w:r w:rsidRPr="00CB2E98">
        <w:rPr>
          <w:rFonts w:ascii="Miriam" w:hAnsi="Miriam" w:cs="Miriam"/>
          <w:rtl/>
        </w:rPr>
        <w:t>אי</w:t>
      </w:r>
      <w:r w:rsidRPr="00CB2E98">
        <w:rPr>
          <w:rFonts w:ascii="Miriam" w:hAnsi="Miriam" w:cs="Miriam"/>
          <w:color w:val="000000"/>
          <w:rtl/>
        </w:rPr>
        <w:t>ברהים</w:t>
      </w:r>
      <w:r w:rsidR="00E81991">
        <w:rPr>
          <w:rFonts w:ascii="Miriam" w:hAnsi="Miriam" w:cs="Miriam"/>
          <w:color w:val="000000"/>
          <w:rtl/>
        </w:rPr>
        <w:t xml:space="preserve"> </w:t>
      </w:r>
      <w:r w:rsidRPr="00CB2E98">
        <w:rPr>
          <w:rFonts w:ascii="Miriam" w:hAnsi="Miriam" w:cs="Miriam"/>
          <w:color w:val="000000"/>
          <w:rtl/>
        </w:rPr>
        <w:t>אזברגה נ' מדינת ישראל</w:t>
      </w:r>
      <w:r w:rsidR="00E81991">
        <w:rPr>
          <w:rFonts w:ascii="David" w:hAnsi="David"/>
          <w:color w:val="000000"/>
          <w:rtl/>
        </w:rPr>
        <w:t xml:space="preserve"> </w:t>
      </w:r>
      <w:r w:rsidRPr="00CB2E98">
        <w:rPr>
          <w:rFonts w:ascii="David" w:hAnsi="David"/>
          <w:color w:val="000000"/>
          <w:rtl/>
        </w:rPr>
        <w:t>(18</w:t>
      </w:r>
      <w:r>
        <w:rPr>
          <w:rFonts w:ascii="David" w:hAnsi="David" w:hint="cs"/>
          <w:color w:val="000000"/>
          <w:rtl/>
        </w:rPr>
        <w:t>/</w:t>
      </w:r>
      <w:r w:rsidRPr="00CB2E98">
        <w:rPr>
          <w:rFonts w:ascii="David" w:hAnsi="David"/>
          <w:color w:val="000000"/>
          <w:rtl/>
        </w:rPr>
        <w:t>07</w:t>
      </w:r>
      <w:r>
        <w:rPr>
          <w:rFonts w:ascii="David" w:hAnsi="David" w:hint="cs"/>
          <w:color w:val="000000"/>
          <w:rtl/>
        </w:rPr>
        <w:t>/</w:t>
      </w:r>
      <w:r>
        <w:rPr>
          <w:rFonts w:ascii="David" w:hAnsi="David"/>
          <w:color w:val="000000"/>
          <w:rtl/>
        </w:rPr>
        <w:t>2019)</w:t>
      </w:r>
      <w:r w:rsidRPr="00CB2E98">
        <w:rPr>
          <w:rFonts w:ascii="David" w:hAnsi="David"/>
          <w:color w:val="000000"/>
          <w:rtl/>
        </w:rPr>
        <w:t xml:space="preserve"> נקבע מתחם ענישה שנע בין </w:t>
      </w:r>
      <w:r>
        <w:rPr>
          <w:rFonts w:ascii="David" w:hAnsi="David" w:hint="cs"/>
          <w:color w:val="000000"/>
          <w:rtl/>
        </w:rPr>
        <w:t>40-12</w:t>
      </w:r>
      <w:r w:rsidRPr="00CB2E98">
        <w:rPr>
          <w:rFonts w:ascii="David" w:hAnsi="David"/>
          <w:color w:val="000000"/>
          <w:rtl/>
        </w:rPr>
        <w:t xml:space="preserve"> חודשי מאסר בפועל, בגין נשיאת אקדח </w:t>
      </w:r>
      <w:r>
        <w:rPr>
          <w:rFonts w:ascii="David" w:hAnsi="David" w:hint="cs"/>
          <w:color w:val="000000"/>
          <w:rtl/>
        </w:rPr>
        <w:t xml:space="preserve">אחד </w:t>
      </w:r>
      <w:r w:rsidRPr="00CB2E98">
        <w:rPr>
          <w:rFonts w:ascii="David" w:hAnsi="David"/>
          <w:color w:val="000000"/>
          <w:rtl/>
        </w:rPr>
        <w:t>בקוטר 9 מ"מ באמצעות רכב. ה</w:t>
      </w:r>
      <w:r>
        <w:rPr>
          <w:rFonts w:ascii="David" w:hAnsi="David" w:hint="cs"/>
          <w:color w:val="000000"/>
          <w:rtl/>
        </w:rPr>
        <w:t>מערער</w:t>
      </w:r>
      <w:r w:rsidRPr="00CB2E98">
        <w:rPr>
          <w:rFonts w:ascii="David" w:hAnsi="David"/>
          <w:color w:val="000000"/>
          <w:rtl/>
        </w:rPr>
        <w:t xml:space="preserve">, אשר הודה במעשיו, היה </w:t>
      </w:r>
      <w:r>
        <w:rPr>
          <w:rFonts w:ascii="David" w:hAnsi="David"/>
          <w:color w:val="000000"/>
          <w:rtl/>
        </w:rPr>
        <w:t>ללא עבר פלילי</w:t>
      </w:r>
      <w:r>
        <w:rPr>
          <w:rFonts w:ascii="David" w:hAnsi="David" w:hint="cs"/>
          <w:color w:val="000000"/>
          <w:rtl/>
        </w:rPr>
        <w:t xml:space="preserve"> </w:t>
      </w:r>
      <w:r w:rsidRPr="00CB2E98">
        <w:rPr>
          <w:rFonts w:ascii="David" w:hAnsi="David"/>
          <w:color w:val="000000"/>
          <w:rtl/>
        </w:rPr>
        <w:t>ו</w:t>
      </w:r>
      <w:r>
        <w:rPr>
          <w:rFonts w:ascii="David" w:hAnsi="David" w:hint="cs"/>
          <w:color w:val="000000"/>
          <w:rtl/>
        </w:rPr>
        <w:t xml:space="preserve">ניתן בעניינו </w:t>
      </w:r>
      <w:r w:rsidRPr="00CB2E98">
        <w:rPr>
          <w:rFonts w:ascii="David" w:hAnsi="David"/>
          <w:color w:val="000000"/>
          <w:rtl/>
        </w:rPr>
        <w:t>תסקיר של</w:t>
      </w:r>
      <w:r>
        <w:rPr>
          <w:rFonts w:ascii="David" w:hAnsi="David" w:hint="cs"/>
          <w:color w:val="000000"/>
          <w:rtl/>
        </w:rPr>
        <w:t>י</w:t>
      </w:r>
      <w:r w:rsidRPr="00CB2E98">
        <w:rPr>
          <w:rFonts w:ascii="David" w:hAnsi="David"/>
          <w:color w:val="000000"/>
          <w:rtl/>
        </w:rPr>
        <w:t>לי</w:t>
      </w:r>
      <w:r>
        <w:rPr>
          <w:rFonts w:ascii="David" w:hAnsi="David" w:hint="cs"/>
          <w:color w:val="000000"/>
          <w:rtl/>
        </w:rPr>
        <w:t xml:space="preserve">. הלה </w:t>
      </w:r>
      <w:r w:rsidRPr="00CB2E98">
        <w:rPr>
          <w:rFonts w:ascii="David" w:hAnsi="David"/>
          <w:color w:val="000000"/>
          <w:rtl/>
        </w:rPr>
        <w:t xml:space="preserve">נדון ל-16 חודשי מאסר בפועל, ובית המשפט העליון </w:t>
      </w:r>
      <w:r>
        <w:rPr>
          <w:rFonts w:ascii="David" w:hAnsi="David" w:hint="cs"/>
          <w:color w:val="000000"/>
          <w:rtl/>
        </w:rPr>
        <w:t>הותיר</w:t>
      </w:r>
      <w:r w:rsidRPr="00CB2E98">
        <w:rPr>
          <w:rFonts w:ascii="David" w:hAnsi="David"/>
          <w:color w:val="000000"/>
          <w:rtl/>
        </w:rPr>
        <w:t xml:space="preserve"> את גזר-הדין</w:t>
      </w:r>
      <w:r>
        <w:rPr>
          <w:rFonts w:ascii="David" w:hAnsi="David" w:hint="cs"/>
          <w:color w:val="000000"/>
          <w:rtl/>
        </w:rPr>
        <w:t xml:space="preserve"> על כנו</w:t>
      </w:r>
      <w:r w:rsidRPr="00CB2E98">
        <w:rPr>
          <w:rFonts w:ascii="David" w:hAnsi="David"/>
          <w:color w:val="000000"/>
          <w:rtl/>
        </w:rPr>
        <w:t>.</w:t>
      </w:r>
    </w:p>
    <w:p w14:paraId="0B9ABED1" w14:textId="77777777" w:rsidR="006630C0" w:rsidRPr="00CB2E98" w:rsidRDefault="006630C0" w:rsidP="006630C0">
      <w:pPr>
        <w:spacing w:line="360" w:lineRule="auto"/>
        <w:jc w:val="both"/>
        <w:rPr>
          <w:rFonts w:ascii="David" w:hAnsi="David"/>
          <w:color w:val="000000"/>
          <w:rtl/>
        </w:rPr>
      </w:pPr>
    </w:p>
    <w:p w14:paraId="4A9712E5" w14:textId="77777777" w:rsidR="006630C0" w:rsidRPr="00CB2E98" w:rsidRDefault="006630C0" w:rsidP="006630C0">
      <w:pPr>
        <w:pStyle w:val="a9"/>
        <w:numPr>
          <w:ilvl w:val="0"/>
          <w:numId w:val="1"/>
        </w:numPr>
        <w:spacing w:line="360" w:lineRule="auto"/>
        <w:jc w:val="both"/>
        <w:rPr>
          <w:rFonts w:ascii="David" w:hAnsi="David"/>
          <w:rtl/>
        </w:rPr>
      </w:pPr>
      <w:r w:rsidRPr="00CB2E98">
        <w:rPr>
          <w:rFonts w:ascii="David" w:hAnsi="David" w:hint="cs"/>
          <w:color w:val="000000"/>
          <w:rtl/>
        </w:rPr>
        <w:t>ב</w:t>
      </w:r>
      <w:hyperlink r:id="rId33" w:history="1">
        <w:r w:rsidR="00E81991" w:rsidRPr="00E81991">
          <w:rPr>
            <w:rFonts w:ascii="David" w:hAnsi="David"/>
            <w:color w:val="0000FF"/>
            <w:u w:val="single"/>
            <w:rtl/>
          </w:rPr>
          <w:t>ת.פ. (מחוזי חיפה) 61106-05-20</w:t>
        </w:r>
      </w:hyperlink>
      <w:r w:rsidRPr="00CB2E98">
        <w:rPr>
          <w:rFonts w:ascii="David" w:hAnsi="David"/>
          <w:rtl/>
        </w:rPr>
        <w:t xml:space="preserve"> </w:t>
      </w:r>
      <w:r w:rsidRPr="00CB2E98">
        <w:rPr>
          <w:rFonts w:ascii="Miriam" w:hAnsi="Miriam" w:cs="Miriam"/>
          <w:rtl/>
        </w:rPr>
        <w:t xml:space="preserve">מדינת ישראל נ' עבד אל גני </w:t>
      </w:r>
      <w:r>
        <w:rPr>
          <w:rFonts w:ascii="David" w:hAnsi="David"/>
          <w:rtl/>
        </w:rPr>
        <w:t>(24/5/2</w:t>
      </w:r>
      <w:r>
        <w:rPr>
          <w:rFonts w:ascii="David" w:hAnsi="David" w:hint="cs"/>
          <w:rtl/>
        </w:rPr>
        <w:t>1</w:t>
      </w:r>
      <w:r w:rsidRPr="00CB2E98">
        <w:rPr>
          <w:rFonts w:ascii="David" w:hAnsi="David"/>
          <w:rtl/>
        </w:rPr>
        <w:t>) נגזר לאחרונה עונש של מאסר בפועל למשך 22 חודשים ומאסר מותנה על נאשם בעל עבר נקי שהורשע מכוח הודאת</w:t>
      </w:r>
      <w:r>
        <w:rPr>
          <w:rFonts w:ascii="David" w:hAnsi="David"/>
          <w:rtl/>
        </w:rPr>
        <w:t xml:space="preserve">ו בעבירות בנשק (נשיאה והובלה). </w:t>
      </w:r>
      <w:r w:rsidRPr="00CB2E98">
        <w:rPr>
          <w:rFonts w:ascii="David" w:hAnsi="David"/>
          <w:rtl/>
        </w:rPr>
        <w:t>אותו נאשם, נשא והוביל, בלא רשות על-פי דין, אקדח חצי אוטומטי מסוג יריחו ובתוכו מחסנית, אשר הוחזק בשקית, מתחת למכסה המנוע ברכב</w:t>
      </w:r>
      <w:r w:rsidRPr="00CB2E98">
        <w:rPr>
          <w:rFonts w:ascii="David" w:hAnsi="David"/>
        </w:rPr>
        <w:t>.</w:t>
      </w:r>
    </w:p>
    <w:p w14:paraId="20BCB329" w14:textId="77777777" w:rsidR="006630C0" w:rsidRPr="00CB2E98" w:rsidRDefault="006630C0" w:rsidP="006630C0">
      <w:pPr>
        <w:spacing w:line="360" w:lineRule="auto"/>
        <w:jc w:val="both"/>
        <w:rPr>
          <w:rFonts w:ascii="David" w:hAnsi="David"/>
          <w:rtl/>
        </w:rPr>
      </w:pPr>
    </w:p>
    <w:p w14:paraId="0231E8D1" w14:textId="77777777" w:rsidR="006630C0" w:rsidRPr="00CB2E98" w:rsidRDefault="006630C0" w:rsidP="006630C0">
      <w:pPr>
        <w:spacing w:line="360" w:lineRule="auto"/>
        <w:jc w:val="both"/>
        <w:rPr>
          <w:rFonts w:ascii="David" w:hAnsi="David"/>
          <w:rtl/>
        </w:rPr>
      </w:pPr>
      <w:r w:rsidRPr="00CB2E98">
        <w:rPr>
          <w:rFonts w:ascii="David" w:hAnsi="David" w:hint="cs"/>
          <w:rtl/>
        </w:rPr>
        <w:t xml:space="preserve">19. </w:t>
      </w:r>
      <w:r w:rsidRPr="00CB2E98">
        <w:rPr>
          <w:rFonts w:ascii="David" w:hAnsi="David" w:hint="cs"/>
          <w:rtl/>
        </w:rPr>
        <w:tab/>
        <w:t xml:space="preserve">לאחר שבחנתי את הערכים החברתיים שנפגעו כתוצאה מביצוע העבירות, את נסיבות ביצוען ואת מדיניות הענישה הנהוגה, לרבות הפסיקה אליה הפנו הצדדים, הגעתי לכלל מסקנה  כי מתחם העונש ההולם בתיק זה נע בין עונש של </w:t>
      </w:r>
      <w:r>
        <w:rPr>
          <w:rFonts w:ascii="David" w:hAnsi="David" w:hint="cs"/>
          <w:rtl/>
        </w:rPr>
        <w:t xml:space="preserve">24 </w:t>
      </w:r>
      <w:r w:rsidRPr="00CB2E98">
        <w:rPr>
          <w:rFonts w:ascii="David" w:hAnsi="David" w:hint="cs"/>
          <w:rtl/>
        </w:rPr>
        <w:t xml:space="preserve">חודשי מאסר בפועל עד ל- </w:t>
      </w:r>
      <w:r>
        <w:rPr>
          <w:rFonts w:ascii="David" w:hAnsi="David" w:hint="cs"/>
          <w:rtl/>
        </w:rPr>
        <w:t>48</w:t>
      </w:r>
      <w:r w:rsidRPr="00CB2E98">
        <w:rPr>
          <w:rFonts w:ascii="David" w:hAnsi="David" w:hint="cs"/>
          <w:rtl/>
        </w:rPr>
        <w:t xml:space="preserve"> חודשי מאסר בפועל, וזאת לצד רכיבי ענישה של מאסר על תנאי וקנס.  </w:t>
      </w:r>
    </w:p>
    <w:p w14:paraId="4FBD40E3" w14:textId="77777777" w:rsidR="006630C0" w:rsidRPr="00CB2E98" w:rsidRDefault="006630C0" w:rsidP="006630C0">
      <w:pPr>
        <w:spacing w:line="360" w:lineRule="auto"/>
        <w:jc w:val="both"/>
        <w:rPr>
          <w:rFonts w:ascii="David" w:hAnsi="David"/>
          <w:rtl/>
        </w:rPr>
      </w:pPr>
    </w:p>
    <w:p w14:paraId="2A6F2FB1" w14:textId="77777777" w:rsidR="006630C0" w:rsidRPr="00CB2E98" w:rsidRDefault="006630C0" w:rsidP="006630C0">
      <w:pPr>
        <w:spacing w:line="360" w:lineRule="auto"/>
        <w:jc w:val="both"/>
        <w:rPr>
          <w:rFonts w:ascii="David" w:hAnsi="David"/>
          <w:rtl/>
        </w:rPr>
      </w:pPr>
      <w:r w:rsidRPr="00CB2E98">
        <w:rPr>
          <w:rFonts w:ascii="David" w:hAnsi="David" w:hint="cs"/>
          <w:rtl/>
        </w:rPr>
        <w:t xml:space="preserve">20. </w:t>
      </w:r>
      <w:r w:rsidRPr="00CB2E98">
        <w:rPr>
          <w:rFonts w:ascii="David" w:hAnsi="David" w:hint="cs"/>
          <w:rtl/>
        </w:rPr>
        <w:tab/>
        <w:t xml:space="preserve">במקרה דנן ובעיקר נוכח התמונה החיובית המצטיירת בעניינו של הנאשם ממקרא תסקירו של שירות המבחן, אני בדעה כי מן הראוי לסטות </w:t>
      </w:r>
      <w:r>
        <w:rPr>
          <w:rFonts w:ascii="David" w:hAnsi="David" w:hint="cs"/>
          <w:rtl/>
        </w:rPr>
        <w:t xml:space="preserve">במידת מה </w:t>
      </w:r>
      <w:r w:rsidRPr="00CB2E98">
        <w:rPr>
          <w:rFonts w:ascii="David" w:hAnsi="David" w:hint="cs"/>
          <w:rtl/>
        </w:rPr>
        <w:t>לקולה בתיק זה ממתחם העונש ההולם מטעמי</w:t>
      </w:r>
      <w:r>
        <w:rPr>
          <w:rFonts w:ascii="David" w:hAnsi="David" w:hint="cs"/>
          <w:rtl/>
        </w:rPr>
        <w:t>ם הנעוצים ב</w:t>
      </w:r>
      <w:r w:rsidRPr="00CB2E98">
        <w:rPr>
          <w:rFonts w:ascii="David" w:hAnsi="David" w:hint="cs"/>
          <w:rtl/>
        </w:rPr>
        <w:t>שיקו</w:t>
      </w:r>
      <w:r>
        <w:rPr>
          <w:rFonts w:ascii="David" w:hAnsi="David" w:hint="cs"/>
          <w:rtl/>
        </w:rPr>
        <w:t xml:space="preserve">מו של הנאשם, כאמור </w:t>
      </w:r>
      <w:hyperlink r:id="rId34" w:history="1">
        <w:r w:rsidR="00314EB6" w:rsidRPr="00314EB6">
          <w:rPr>
            <w:rStyle w:val="Hyperlink"/>
            <w:rFonts w:ascii="David" w:hAnsi="David" w:hint="eastAsia"/>
            <w:rtl/>
          </w:rPr>
          <w:t>בסעיף</w:t>
        </w:r>
        <w:r w:rsidR="00314EB6" w:rsidRPr="00314EB6">
          <w:rPr>
            <w:rStyle w:val="Hyperlink"/>
            <w:rFonts w:ascii="David" w:hAnsi="David"/>
            <w:rtl/>
          </w:rPr>
          <w:t xml:space="preserve"> 40ד(א)</w:t>
        </w:r>
      </w:hyperlink>
      <w:r w:rsidRPr="00CB2E98">
        <w:rPr>
          <w:rFonts w:ascii="David" w:hAnsi="David" w:hint="cs"/>
          <w:rtl/>
        </w:rPr>
        <w:t xml:space="preserve"> ל</w:t>
      </w:r>
      <w:hyperlink r:id="rId35" w:history="1">
        <w:r w:rsidR="00E81991" w:rsidRPr="00E81991">
          <w:rPr>
            <w:rFonts w:ascii="David" w:hAnsi="David"/>
            <w:color w:val="0000FF"/>
            <w:u w:val="single"/>
            <w:rtl/>
          </w:rPr>
          <w:t>חוק העונשין</w:t>
        </w:r>
      </w:hyperlink>
      <w:r>
        <w:rPr>
          <w:rFonts w:hint="cs"/>
          <w:rtl/>
        </w:rPr>
        <w:t>, אשר זו לשונו</w:t>
      </w:r>
      <w:r>
        <w:rPr>
          <w:rtl/>
        </w:rPr>
        <w:t xml:space="preserve">: </w:t>
      </w:r>
      <w:r>
        <w:rPr>
          <w:rFonts w:cs="Miriam"/>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w:t>
      </w:r>
      <w:r>
        <w:rPr>
          <w:rFonts w:cs="Miriam" w:hint="cs"/>
          <w:rtl/>
        </w:rPr>
        <w:t>...</w:t>
      </w:r>
      <w:r>
        <w:rPr>
          <w:rFonts w:cs="Miriam"/>
          <w:rtl/>
        </w:rPr>
        <w:t xml:space="preserve"> "</w:t>
      </w:r>
      <w:r>
        <w:rPr>
          <w:rtl/>
        </w:rPr>
        <w:t xml:space="preserve">. </w:t>
      </w:r>
      <w:r>
        <w:rPr>
          <w:rFonts w:hint="cs"/>
          <w:rtl/>
        </w:rPr>
        <w:t xml:space="preserve"> </w:t>
      </w:r>
      <w:r>
        <w:rPr>
          <w:rFonts w:ascii="David" w:hAnsi="David" w:hint="cs"/>
          <w:rtl/>
        </w:rPr>
        <w:t xml:space="preserve">. </w:t>
      </w:r>
    </w:p>
    <w:p w14:paraId="06856103" w14:textId="77777777" w:rsidR="006630C0" w:rsidRPr="00CB2E98" w:rsidRDefault="006630C0" w:rsidP="006630C0">
      <w:pPr>
        <w:spacing w:line="360" w:lineRule="auto"/>
        <w:jc w:val="both"/>
        <w:rPr>
          <w:rFonts w:ascii="David" w:hAnsi="David"/>
          <w:rtl/>
        </w:rPr>
      </w:pPr>
    </w:p>
    <w:p w14:paraId="45E75D0C" w14:textId="77777777" w:rsidR="006630C0" w:rsidRPr="00CB2E98" w:rsidRDefault="006630C0" w:rsidP="006630C0">
      <w:pPr>
        <w:spacing w:line="360" w:lineRule="auto"/>
        <w:jc w:val="both"/>
        <w:rPr>
          <w:rFonts w:ascii="David" w:hAnsi="David"/>
          <w:rtl/>
        </w:rPr>
      </w:pPr>
      <w:r w:rsidRPr="00CB2E98">
        <w:rPr>
          <w:rFonts w:ascii="David" w:hAnsi="David" w:hint="cs"/>
          <w:rtl/>
        </w:rPr>
        <w:t xml:space="preserve">21. </w:t>
      </w:r>
      <w:r w:rsidRPr="00CB2E98">
        <w:rPr>
          <w:rFonts w:ascii="David" w:hAnsi="David" w:hint="cs"/>
          <w:rtl/>
        </w:rPr>
        <w:tab/>
        <w:t xml:space="preserve">מתסקירו של שירות המבחן עולה, כאמור, כי הנאשם לקח אחריות מלאה על ביצוע המעשים, ביטא צער וחרטה על האופן בו התנהג, הצליח להבין </w:t>
      </w:r>
      <w:r>
        <w:rPr>
          <w:rFonts w:ascii="David" w:hAnsi="David" w:hint="cs"/>
          <w:rtl/>
        </w:rPr>
        <w:t xml:space="preserve">כי </w:t>
      </w:r>
      <w:r w:rsidRPr="00CB2E98">
        <w:rPr>
          <w:rFonts w:ascii="David" w:hAnsi="David" w:hint="cs"/>
          <w:rtl/>
        </w:rPr>
        <w:t>פעל בקלות דעת ומתוך רצון להרשים את סביבתו ולהגדיל את תחושת הערך שלו וכן זיהה את הפגיעה הפוטנציאלית בעבירות שביצע</w:t>
      </w:r>
      <w:r>
        <w:rPr>
          <w:rFonts w:ascii="David" w:hAnsi="David" w:hint="cs"/>
          <w:rtl/>
        </w:rPr>
        <w:t xml:space="preserve">. </w:t>
      </w:r>
      <w:r w:rsidRPr="00CB2E98">
        <w:rPr>
          <w:rFonts w:ascii="David" w:hAnsi="David" w:hint="cs"/>
          <w:rtl/>
        </w:rPr>
        <w:t xml:space="preserve"> הנאשם </w:t>
      </w:r>
      <w:r>
        <w:rPr>
          <w:rFonts w:ascii="David" w:hAnsi="David" w:hint="cs"/>
          <w:rtl/>
        </w:rPr>
        <w:t xml:space="preserve">אף הביע צער וחרטה על מעשיו </w:t>
      </w:r>
      <w:r w:rsidRPr="00CB2E98">
        <w:rPr>
          <w:rFonts w:ascii="David" w:hAnsi="David" w:hint="cs"/>
          <w:rtl/>
        </w:rPr>
        <w:t>ב</w:t>
      </w:r>
      <w:r>
        <w:rPr>
          <w:rFonts w:ascii="David" w:hAnsi="David" w:hint="cs"/>
          <w:rtl/>
        </w:rPr>
        <w:t>דבריו ב</w:t>
      </w:r>
      <w:r w:rsidRPr="00CB2E98">
        <w:rPr>
          <w:rFonts w:ascii="David" w:hAnsi="David" w:hint="cs"/>
          <w:rtl/>
        </w:rPr>
        <w:t>פני בית המשפט</w:t>
      </w:r>
      <w:r>
        <w:rPr>
          <w:rFonts w:ascii="David" w:hAnsi="David" w:hint="cs"/>
          <w:rtl/>
        </w:rPr>
        <w:t>.</w:t>
      </w:r>
      <w:r w:rsidRPr="00CB2E98">
        <w:rPr>
          <w:rFonts w:ascii="David" w:hAnsi="David" w:hint="cs"/>
          <w:rtl/>
        </w:rPr>
        <w:t xml:space="preserve"> </w:t>
      </w:r>
    </w:p>
    <w:p w14:paraId="57E96E99" w14:textId="77777777" w:rsidR="006630C0" w:rsidRPr="00CB2E98" w:rsidRDefault="006630C0" w:rsidP="006630C0">
      <w:pPr>
        <w:spacing w:line="360" w:lineRule="auto"/>
        <w:jc w:val="both"/>
        <w:rPr>
          <w:rFonts w:ascii="David" w:hAnsi="David"/>
          <w:rtl/>
        </w:rPr>
      </w:pPr>
    </w:p>
    <w:p w14:paraId="3144CA3C" w14:textId="77777777" w:rsidR="006630C0" w:rsidRPr="00CB2E98" w:rsidRDefault="006630C0" w:rsidP="006630C0">
      <w:pPr>
        <w:spacing w:line="360" w:lineRule="auto"/>
        <w:jc w:val="both"/>
        <w:rPr>
          <w:rFonts w:ascii="David" w:hAnsi="David"/>
          <w:rtl/>
        </w:rPr>
      </w:pPr>
      <w:r w:rsidRPr="00CB2E98">
        <w:rPr>
          <w:rFonts w:ascii="David" w:hAnsi="David" w:hint="cs"/>
          <w:rtl/>
        </w:rPr>
        <w:t xml:space="preserve">22. </w:t>
      </w:r>
      <w:r w:rsidRPr="00CB2E98">
        <w:rPr>
          <w:rFonts w:ascii="David" w:hAnsi="David" w:hint="cs"/>
          <w:rtl/>
        </w:rPr>
        <w:tab/>
      </w:r>
      <w:r w:rsidRPr="00F20F7C">
        <w:rPr>
          <w:rFonts w:ascii="David" w:hAnsi="David" w:hint="cs"/>
          <w:rtl/>
        </w:rPr>
        <w:t>עוד יש לזקוף לטובת הנאשם את עברו הנקי ללא רבב ואת התרשמות שירות המבחן ממנו כבחור צעיר הנעדר דפוסים אנטי-סוציאליים</w:t>
      </w:r>
      <w:r>
        <w:rPr>
          <w:rFonts w:ascii="David" w:hAnsi="David" w:hint="cs"/>
          <w:rtl/>
        </w:rPr>
        <w:t xml:space="preserve">, </w:t>
      </w:r>
      <w:r w:rsidRPr="00F20F7C">
        <w:rPr>
          <w:rFonts w:ascii="David" w:hAnsi="David" w:hint="cs"/>
          <w:rtl/>
        </w:rPr>
        <w:t xml:space="preserve">מוקף במשפחה נורמטיבית ותומכת. </w:t>
      </w:r>
      <w:r>
        <w:rPr>
          <w:rFonts w:ascii="David" w:hAnsi="David" w:hint="cs"/>
          <w:rtl/>
        </w:rPr>
        <w:t>כמו כן</w:t>
      </w:r>
      <w:r w:rsidRPr="00F20F7C">
        <w:rPr>
          <w:rFonts w:ascii="David" w:hAnsi="David" w:hint="cs"/>
          <w:rtl/>
        </w:rPr>
        <w:t xml:space="preserve"> אוסיף ואציין </w:t>
      </w:r>
      <w:r>
        <w:rPr>
          <w:rFonts w:ascii="David" w:hAnsi="David" w:hint="cs"/>
          <w:rtl/>
        </w:rPr>
        <w:t>לקולה</w:t>
      </w:r>
      <w:r w:rsidRPr="00F20F7C">
        <w:rPr>
          <w:rFonts w:ascii="David" w:hAnsi="David" w:hint="cs"/>
          <w:rtl/>
        </w:rPr>
        <w:t xml:space="preserve"> את עובדת היותו </w:t>
      </w:r>
      <w:r>
        <w:rPr>
          <w:rFonts w:ascii="David" w:hAnsi="David" w:hint="cs"/>
          <w:rtl/>
        </w:rPr>
        <w:t xml:space="preserve">של הנאשם </w:t>
      </w:r>
      <w:r w:rsidRPr="00F20F7C">
        <w:rPr>
          <w:rFonts w:ascii="David" w:hAnsi="David" w:hint="cs"/>
          <w:rtl/>
        </w:rPr>
        <w:t>נתון במעצר באיזוק אלקטרוני במשך תקופה משמעותית של</w:t>
      </w:r>
      <w:r>
        <w:rPr>
          <w:rFonts w:ascii="David" w:hAnsi="David" w:hint="cs"/>
          <w:rtl/>
        </w:rPr>
        <w:t xml:space="preserve"> כחצי שנה</w:t>
      </w:r>
      <w:r w:rsidRPr="00F20F7C">
        <w:rPr>
          <w:rFonts w:ascii="David" w:hAnsi="David" w:hint="cs"/>
          <w:rtl/>
        </w:rPr>
        <w:t xml:space="preserve">, במהלכם קיים כדבעי אחר </w:t>
      </w:r>
      <w:r>
        <w:rPr>
          <w:rFonts w:ascii="David" w:hAnsi="David" w:hint="cs"/>
          <w:rtl/>
        </w:rPr>
        <w:t>ה</w:t>
      </w:r>
      <w:r w:rsidRPr="00F20F7C">
        <w:rPr>
          <w:rFonts w:ascii="David" w:hAnsi="David" w:hint="cs"/>
          <w:rtl/>
        </w:rPr>
        <w:t>תנאי</w:t>
      </w:r>
      <w:r>
        <w:rPr>
          <w:rFonts w:ascii="David" w:hAnsi="David" w:hint="cs"/>
          <w:rtl/>
        </w:rPr>
        <w:t>ם</w:t>
      </w:r>
      <w:r w:rsidRPr="00F20F7C">
        <w:rPr>
          <w:rFonts w:ascii="David" w:hAnsi="David" w:hint="cs"/>
          <w:rtl/>
        </w:rPr>
        <w:t xml:space="preserve"> </w:t>
      </w:r>
      <w:r>
        <w:rPr>
          <w:rFonts w:ascii="David" w:hAnsi="David" w:hint="cs"/>
          <w:rtl/>
        </w:rPr>
        <w:t>המגבילים שהושתו עליו</w:t>
      </w:r>
      <w:r w:rsidRPr="00F20F7C">
        <w:rPr>
          <w:rFonts w:ascii="David" w:hAnsi="David" w:hint="cs"/>
          <w:rtl/>
        </w:rPr>
        <w:t xml:space="preserve"> והתנהל באופן נורמטיבי</w:t>
      </w:r>
      <w:r>
        <w:rPr>
          <w:rFonts w:ascii="David" w:hAnsi="David" w:hint="cs"/>
          <w:rtl/>
        </w:rPr>
        <w:t xml:space="preserve"> תוך השתתפות בהליך הטיפולי בו שולב.</w:t>
      </w:r>
      <w:r w:rsidRPr="00F20F7C">
        <w:rPr>
          <w:rFonts w:ascii="David" w:hAnsi="David" w:hint="cs"/>
          <w:rtl/>
        </w:rPr>
        <w:t xml:space="preserve"> </w:t>
      </w:r>
    </w:p>
    <w:p w14:paraId="370F33CB" w14:textId="77777777" w:rsidR="006630C0" w:rsidRPr="00CB2E98" w:rsidRDefault="006630C0" w:rsidP="006630C0">
      <w:pPr>
        <w:spacing w:line="360" w:lineRule="auto"/>
        <w:jc w:val="both"/>
        <w:rPr>
          <w:rFonts w:ascii="David" w:hAnsi="David"/>
          <w:rtl/>
        </w:rPr>
      </w:pPr>
    </w:p>
    <w:p w14:paraId="5D42BDF9" w14:textId="77777777" w:rsidR="006630C0" w:rsidRPr="00CB2E98" w:rsidRDefault="006630C0" w:rsidP="006630C0">
      <w:pPr>
        <w:spacing w:line="360" w:lineRule="auto"/>
        <w:jc w:val="both"/>
        <w:rPr>
          <w:rFonts w:ascii="Miriam" w:hAnsi="Miriam" w:cs="Miriam"/>
          <w:rtl/>
        </w:rPr>
      </w:pPr>
      <w:r w:rsidRPr="00CB2E98">
        <w:rPr>
          <w:rFonts w:ascii="David" w:hAnsi="David" w:hint="cs"/>
          <w:rtl/>
        </w:rPr>
        <w:t xml:space="preserve">23. </w:t>
      </w:r>
      <w:r w:rsidRPr="00CB2E98">
        <w:rPr>
          <w:rFonts w:ascii="David" w:hAnsi="David" w:hint="cs"/>
          <w:rtl/>
        </w:rPr>
        <w:tab/>
        <w:t>לפיכך, ובהינתן הודאת הנאשם בהזדמנות הראשונה בעובדות כתב האישום המתוקן</w:t>
      </w:r>
      <w:r>
        <w:rPr>
          <w:rFonts w:ascii="David" w:hAnsi="David" w:hint="cs"/>
          <w:rtl/>
        </w:rPr>
        <w:t>,</w:t>
      </w:r>
      <w:r w:rsidRPr="00CB2E98">
        <w:rPr>
          <w:rFonts w:ascii="David" w:hAnsi="David" w:hint="cs"/>
          <w:rtl/>
        </w:rPr>
        <w:t xml:space="preserve"> </w:t>
      </w:r>
      <w:r>
        <w:rPr>
          <w:rFonts w:ascii="David" w:hAnsi="David" w:hint="cs"/>
          <w:rtl/>
        </w:rPr>
        <w:t xml:space="preserve">ונוכח התרשמותם של גורמי הטיפול לגבי סיכויי השיקום הטובים של הנאשם, </w:t>
      </w:r>
      <w:r w:rsidRPr="00CB2E98">
        <w:rPr>
          <w:rFonts w:ascii="David" w:hAnsi="David"/>
          <w:rtl/>
        </w:rPr>
        <w:t>אני סבורה</w:t>
      </w:r>
      <w:r>
        <w:rPr>
          <w:rFonts w:ascii="David" w:hAnsi="David" w:hint="cs"/>
          <w:rtl/>
        </w:rPr>
        <w:t xml:space="preserve"> </w:t>
      </w:r>
      <w:r w:rsidRPr="00CB2E98">
        <w:rPr>
          <w:rFonts w:ascii="David" w:hAnsi="David"/>
          <w:rtl/>
        </w:rPr>
        <w:t>כי יש מקום בתיק זה</w:t>
      </w:r>
      <w:r>
        <w:rPr>
          <w:rFonts w:ascii="David" w:hAnsi="David" w:hint="cs"/>
          <w:rtl/>
        </w:rPr>
        <w:t xml:space="preserve"> </w:t>
      </w:r>
      <w:r w:rsidRPr="00CB2E98">
        <w:rPr>
          <w:rFonts w:ascii="David" w:hAnsi="David"/>
          <w:rtl/>
        </w:rPr>
        <w:t>לסטות לקולה ממתחם העונש ההולם</w:t>
      </w:r>
      <w:r>
        <w:rPr>
          <w:rFonts w:ascii="David" w:hAnsi="David" w:hint="cs"/>
          <w:rtl/>
        </w:rPr>
        <w:t xml:space="preserve"> מטעמים הנעוצים בשיקומו</w:t>
      </w:r>
      <w:r w:rsidRPr="00CB2E98">
        <w:rPr>
          <w:rFonts w:ascii="David" w:hAnsi="David" w:hint="cs"/>
          <w:rtl/>
        </w:rPr>
        <w:t xml:space="preserve">. </w:t>
      </w:r>
      <w:r w:rsidRPr="00CB2E98">
        <w:rPr>
          <w:rFonts w:ascii="David" w:hAnsi="David"/>
          <w:rtl/>
        </w:rPr>
        <w:t xml:space="preserve">עם זאת, </w:t>
      </w:r>
      <w:r>
        <w:rPr>
          <w:rFonts w:ascii="David" w:hAnsi="David" w:hint="cs"/>
          <w:rtl/>
        </w:rPr>
        <w:t xml:space="preserve">חומרתן המיוחדת של עבירות הנשק בהן הורשע הנאשם ופוטנציאל הנזק הכרוך בהן, כמו גם נסיבות ביצוען שתוארו לעיל, מצדיקים הטלת </w:t>
      </w:r>
      <w:r w:rsidRPr="00CB2E98">
        <w:rPr>
          <w:rFonts w:ascii="David" w:hAnsi="David"/>
          <w:rtl/>
        </w:rPr>
        <w:t xml:space="preserve"> </w:t>
      </w:r>
      <w:r>
        <w:rPr>
          <w:rFonts w:ascii="David" w:hAnsi="David"/>
          <w:rtl/>
        </w:rPr>
        <w:t>עונש מאסר בפועל</w:t>
      </w:r>
      <w:r>
        <w:rPr>
          <w:rFonts w:ascii="David" w:hAnsi="David" w:hint="cs"/>
          <w:rtl/>
        </w:rPr>
        <w:t xml:space="preserve"> של ממש על הנאשם</w:t>
      </w:r>
      <w:r w:rsidRPr="00CB2E98">
        <w:rPr>
          <w:rFonts w:ascii="David" w:hAnsi="David"/>
          <w:rtl/>
        </w:rPr>
        <w:t>.</w:t>
      </w:r>
      <w:r w:rsidRPr="00CB2E98">
        <w:rPr>
          <w:rFonts w:ascii="David" w:hAnsi="David" w:hint="cs"/>
          <w:rtl/>
        </w:rPr>
        <w:t xml:space="preserve"> </w:t>
      </w:r>
      <w:r>
        <w:rPr>
          <w:rFonts w:ascii="David" w:hAnsi="David" w:hint="cs"/>
          <w:rtl/>
        </w:rPr>
        <w:t>כאן ראוי להדגיש כי בית המשפט העליון ציין בפסיקתו, לא אחת, כי מתחייבת החמרה ממשית בענישה על עבירות אלו, על מנת לשדר מסר מרתיע מפני ביצוען (ראו, למשל, פסק הדין שניתן לאחרונה ב</w:t>
      </w:r>
      <w:hyperlink r:id="rId36" w:history="1">
        <w:r w:rsidR="00E81991" w:rsidRPr="00E81991">
          <w:rPr>
            <w:rFonts w:ascii="David" w:hAnsi="David"/>
            <w:color w:val="0000FF"/>
            <w:u w:val="single"/>
            <w:rtl/>
          </w:rPr>
          <w:t>ע"פ 2141/21</w:t>
        </w:r>
      </w:hyperlink>
      <w:r>
        <w:rPr>
          <w:rFonts w:ascii="David" w:hAnsi="David" w:hint="cs"/>
          <w:rtl/>
        </w:rPr>
        <w:t xml:space="preserve"> </w:t>
      </w:r>
      <w:r w:rsidRPr="0063561B">
        <w:rPr>
          <w:rFonts w:ascii="Miriam" w:hAnsi="Miriam" w:cs="Miriam"/>
          <w:rtl/>
        </w:rPr>
        <w:t>חניני נ' מדינת ישראל</w:t>
      </w:r>
      <w:r>
        <w:rPr>
          <w:rFonts w:ascii="David" w:hAnsi="David" w:hint="cs"/>
          <w:rtl/>
        </w:rPr>
        <w:t xml:space="preserve"> (3/5/21)). </w:t>
      </w:r>
      <w:r w:rsidRPr="00CB2E98">
        <w:rPr>
          <w:rFonts w:ascii="David" w:hAnsi="David" w:hint="cs"/>
          <w:rtl/>
        </w:rPr>
        <w:t xml:space="preserve">בנקודה זו יפים </w:t>
      </w:r>
      <w:r>
        <w:rPr>
          <w:rFonts w:ascii="David" w:hAnsi="David" w:hint="cs"/>
          <w:rtl/>
        </w:rPr>
        <w:t xml:space="preserve">גם </w:t>
      </w:r>
      <w:r w:rsidRPr="00CB2E98">
        <w:rPr>
          <w:rFonts w:ascii="David" w:hAnsi="David" w:hint="cs"/>
          <w:rtl/>
        </w:rPr>
        <w:t xml:space="preserve">דבריו הבאים של בית המשפט העליון </w:t>
      </w:r>
      <w:r>
        <w:rPr>
          <w:rFonts w:ascii="David" w:hAnsi="David" w:hint="cs"/>
          <w:rtl/>
        </w:rPr>
        <w:t>ב</w:t>
      </w:r>
      <w:hyperlink r:id="rId37" w:history="1">
        <w:r w:rsidR="00E81991" w:rsidRPr="00E81991">
          <w:rPr>
            <w:rFonts w:ascii="David" w:hAnsi="David"/>
            <w:color w:val="0000FF"/>
            <w:u w:val="single"/>
            <w:rtl/>
          </w:rPr>
          <w:t>ע"פ 5807/20</w:t>
        </w:r>
      </w:hyperlink>
      <w:r w:rsidRPr="00CB2E98">
        <w:rPr>
          <w:rFonts w:ascii="David" w:hAnsi="David"/>
          <w:rtl/>
        </w:rPr>
        <w:t xml:space="preserve"> </w:t>
      </w:r>
      <w:r w:rsidRPr="00CB2E98">
        <w:rPr>
          <w:rFonts w:ascii="Miriam" w:hAnsi="Miriam" w:cs="Miriam"/>
          <w:rtl/>
        </w:rPr>
        <w:t>מוחמד שיבלי נ' מדינת ישראל</w:t>
      </w:r>
      <w:r w:rsidRPr="00CB2E98">
        <w:rPr>
          <w:rFonts w:ascii="David" w:hAnsi="David"/>
          <w:rtl/>
        </w:rPr>
        <w:t xml:space="preserve"> (30.12.2020)</w:t>
      </w:r>
      <w:r w:rsidRPr="00CB2E98">
        <w:rPr>
          <w:rFonts w:ascii="David" w:hAnsi="David" w:hint="cs"/>
          <w:rtl/>
        </w:rPr>
        <w:t>:</w:t>
      </w:r>
      <w:r w:rsidRPr="00CB2E98">
        <w:rPr>
          <w:rFonts w:ascii="David" w:hAnsi="David"/>
          <w:rtl/>
        </w:rPr>
        <w:t xml:space="preserve"> </w:t>
      </w:r>
      <w:r w:rsidRPr="00CB2E98">
        <w:rPr>
          <w:rFonts w:ascii="Miriam" w:hAnsi="Miriam" w:cs="Miriam"/>
          <w:rtl/>
        </w:rPr>
        <w:t xml:space="preserve">"עבירות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w:t>
      </w:r>
      <w:r>
        <w:rPr>
          <w:rFonts w:ascii="Miriam" w:hAnsi="Miriam" w:cs="Miriam" w:hint="cs"/>
          <w:rtl/>
        </w:rPr>
        <w:t>...</w:t>
      </w:r>
      <w:r w:rsidRPr="00CB2E98">
        <w:rPr>
          <w:rFonts w:ascii="Miriam" w:hAnsi="Miriam" w:cs="Miriam"/>
          <w:rtl/>
        </w:rPr>
        <w:t>"</w:t>
      </w:r>
      <w:r>
        <w:rPr>
          <w:rFonts w:ascii="Miriam" w:hAnsi="Miriam" w:cs="Miriam" w:hint="cs"/>
          <w:rtl/>
        </w:rPr>
        <w:t>.</w:t>
      </w:r>
      <w:r>
        <w:rPr>
          <w:rFonts w:ascii="Miriam" w:hAnsi="Miriam" w:cs="Miriam" w:hint="cs"/>
          <w:rtl/>
        </w:rPr>
        <w:tab/>
      </w:r>
    </w:p>
    <w:p w14:paraId="647EE161" w14:textId="77777777" w:rsidR="006630C0" w:rsidRDefault="006630C0" w:rsidP="006630C0">
      <w:pPr>
        <w:spacing w:line="360" w:lineRule="auto"/>
        <w:jc w:val="both"/>
        <w:rPr>
          <w:rFonts w:ascii="David" w:hAnsi="David"/>
          <w:color w:val="000000"/>
          <w:rtl/>
        </w:rPr>
      </w:pPr>
    </w:p>
    <w:p w14:paraId="729943F7" w14:textId="77777777" w:rsidR="006630C0" w:rsidRPr="00C61423" w:rsidRDefault="006630C0" w:rsidP="006630C0">
      <w:pPr>
        <w:spacing w:line="360" w:lineRule="auto"/>
        <w:jc w:val="both"/>
        <w:rPr>
          <w:rFonts w:ascii="David" w:hAnsi="David"/>
          <w:rtl/>
        </w:rPr>
      </w:pPr>
      <w:r>
        <w:rPr>
          <w:rFonts w:ascii="David" w:hAnsi="David" w:hint="cs"/>
          <w:color w:val="000000"/>
          <w:rtl/>
        </w:rPr>
        <w:t>24.</w:t>
      </w:r>
      <w:r>
        <w:rPr>
          <w:rFonts w:ascii="David" w:hAnsi="David" w:hint="cs"/>
          <w:color w:val="000000"/>
          <w:rtl/>
        </w:rPr>
        <w:tab/>
      </w:r>
      <w:r w:rsidRPr="00894768">
        <w:rPr>
          <w:rFonts w:ascii="David" w:hAnsi="David" w:hint="cs"/>
          <w:rtl/>
        </w:rPr>
        <w:t>אינני מתעלמת מהמלצתו של שרות המבחן להשית בתיק זה על הנאשם עונש של מאסר בפועל לריצוי בעבודות שרות לצד צו מבחן. שרות המבחן הוא אכן</w:t>
      </w:r>
      <w:r w:rsidRPr="00894768">
        <w:rPr>
          <w:rFonts w:ascii="David" w:hAnsi="David"/>
          <w:rtl/>
        </w:rPr>
        <w:t xml:space="preserve"> הגורם המקצועי הבוחן</w:t>
      </w:r>
      <w:r w:rsidRPr="00894768">
        <w:rPr>
          <w:rFonts w:ascii="David" w:hAnsi="David" w:hint="cs"/>
          <w:rtl/>
        </w:rPr>
        <w:t xml:space="preserve"> בעיקר את מכלול הנסיבות הקשורות בנאשם</w:t>
      </w:r>
      <w:r w:rsidRPr="00894768">
        <w:rPr>
          <w:rFonts w:ascii="David" w:hAnsi="David"/>
          <w:rtl/>
        </w:rPr>
        <w:t xml:space="preserve"> ואת הפוטנציאל השיקומי </w:t>
      </w:r>
      <w:r w:rsidRPr="00894768">
        <w:rPr>
          <w:rFonts w:ascii="David" w:hAnsi="David" w:hint="cs"/>
          <w:rtl/>
        </w:rPr>
        <w:t xml:space="preserve">שלו </w:t>
      </w:r>
      <w:r w:rsidRPr="00894768">
        <w:rPr>
          <w:rFonts w:ascii="David" w:hAnsi="David"/>
          <w:rtl/>
        </w:rPr>
        <w:t>ולבסוף מגבש המלצה בכל הנוגע לעונשו</w:t>
      </w:r>
      <w:r w:rsidRPr="00894768">
        <w:rPr>
          <w:rFonts w:ascii="David" w:hAnsi="David" w:hint="cs"/>
          <w:rtl/>
        </w:rPr>
        <w:t xml:space="preserve"> של הנאשם. עם זאת, שרות המבחן בוחן בעיקר את הפן השיקומי-טיפולי ואילו </w:t>
      </w:r>
      <w:r w:rsidRPr="00894768">
        <w:rPr>
          <w:rFonts w:ascii="David" w:hAnsi="David"/>
          <w:rtl/>
        </w:rPr>
        <w:t xml:space="preserve"> בית המשפט אמון על שיקולים רחבים יותר</w:t>
      </w:r>
      <w:r w:rsidRPr="00894768">
        <w:rPr>
          <w:rFonts w:ascii="David" w:hAnsi="David" w:hint="cs"/>
          <w:rtl/>
        </w:rPr>
        <w:t>, כדוגמת שיקולי גמול והרתעה, ולו נתונה המילה האחרונה בגזר הדין ואילו המלצת שרות המבחן, כשמה כן היא, בגדר המלצה בלבד</w:t>
      </w:r>
      <w:r w:rsidRPr="00894768">
        <w:rPr>
          <w:rFonts w:ascii="David" w:hAnsi="David"/>
          <w:rtl/>
        </w:rPr>
        <w:t xml:space="preserve"> (ראו</w:t>
      </w:r>
      <w:r w:rsidRPr="00894768">
        <w:rPr>
          <w:rFonts w:ascii="David" w:hAnsi="David" w:hint="cs"/>
          <w:rtl/>
        </w:rPr>
        <w:t>, למשל,</w:t>
      </w:r>
      <w:r w:rsidRPr="00894768">
        <w:rPr>
          <w:rFonts w:ascii="David" w:hAnsi="David"/>
          <w:rtl/>
        </w:rPr>
        <w:t xml:space="preserve"> לעניין זה</w:t>
      </w:r>
      <w:r w:rsidRPr="00C61423">
        <w:rPr>
          <w:rFonts w:ascii="David" w:hAnsi="David"/>
          <w:spacing w:val="10"/>
          <w:rtl/>
        </w:rPr>
        <w:t>:</w:t>
      </w:r>
      <w:hyperlink r:id="rId38" w:history="1">
        <w:r w:rsidR="00E81991" w:rsidRPr="00E81991">
          <w:rPr>
            <w:rFonts w:ascii="David" w:hAnsi="David"/>
            <w:color w:val="0000FF"/>
            <w:spacing w:val="10"/>
            <w:u w:val="single"/>
            <w:rtl/>
          </w:rPr>
          <w:t>ע"פ 3183/16</w:t>
        </w:r>
      </w:hyperlink>
      <w:r w:rsidR="00E81991">
        <w:rPr>
          <w:rFonts w:ascii="David" w:hAnsi="David"/>
          <w:spacing w:val="10"/>
        </w:rPr>
        <w:t xml:space="preserve"> </w:t>
      </w:r>
      <w:r w:rsidRPr="00C61423">
        <w:rPr>
          <w:rFonts w:ascii="Miriam" w:hAnsi="Miriam" w:cs="Miriam"/>
          <w:rtl/>
        </w:rPr>
        <w:t>עופרי נ' מדינת ישראל</w:t>
      </w:r>
      <w:r w:rsidRPr="00C61423">
        <w:rPr>
          <w:rFonts w:ascii="David" w:hAnsi="David"/>
          <w:spacing w:val="10"/>
          <w:rtl/>
        </w:rPr>
        <w:t xml:space="preserve"> פסקה 11</w:t>
      </w:r>
      <w:r>
        <w:rPr>
          <w:rFonts w:ascii="David" w:hAnsi="David" w:hint="cs"/>
          <w:spacing w:val="10"/>
          <w:rtl/>
        </w:rPr>
        <w:t xml:space="preserve"> (8/3/17)).</w:t>
      </w:r>
    </w:p>
    <w:p w14:paraId="7CD152FD" w14:textId="77777777" w:rsidR="006630C0" w:rsidRPr="004214FE" w:rsidRDefault="006630C0" w:rsidP="006630C0">
      <w:pPr>
        <w:spacing w:line="360" w:lineRule="auto"/>
        <w:jc w:val="both"/>
        <w:rPr>
          <w:rFonts w:ascii="David" w:hAnsi="David"/>
          <w:color w:val="000000"/>
          <w:rtl/>
        </w:rPr>
      </w:pPr>
    </w:p>
    <w:p w14:paraId="0569A249" w14:textId="77777777" w:rsidR="006630C0" w:rsidRPr="00CB2E98" w:rsidRDefault="006630C0" w:rsidP="006630C0">
      <w:pPr>
        <w:spacing w:line="360" w:lineRule="auto"/>
        <w:jc w:val="both"/>
        <w:rPr>
          <w:rFonts w:ascii="David" w:hAnsi="David"/>
          <w:color w:val="000000"/>
          <w:rtl/>
        </w:rPr>
      </w:pPr>
      <w:r>
        <w:rPr>
          <w:rFonts w:ascii="David" w:hAnsi="David" w:hint="cs"/>
          <w:color w:val="000000"/>
          <w:rtl/>
        </w:rPr>
        <w:t>25</w:t>
      </w:r>
      <w:r w:rsidRPr="00CB2E98">
        <w:rPr>
          <w:rFonts w:ascii="David" w:hAnsi="David" w:hint="cs"/>
          <w:color w:val="000000"/>
          <w:rtl/>
        </w:rPr>
        <w:t xml:space="preserve">. </w:t>
      </w:r>
      <w:r w:rsidRPr="00CB2E98">
        <w:rPr>
          <w:rFonts w:ascii="David" w:hAnsi="David"/>
          <w:color w:val="000000"/>
          <w:rtl/>
        </w:rPr>
        <w:tab/>
      </w:r>
      <w:r w:rsidRPr="00CB2E98">
        <w:rPr>
          <w:rFonts w:ascii="David" w:hAnsi="David" w:hint="cs"/>
          <w:color w:val="000000"/>
          <w:rtl/>
        </w:rPr>
        <w:t xml:space="preserve">סוף דבר, </w:t>
      </w:r>
      <w:r>
        <w:rPr>
          <w:rFonts w:ascii="David" w:hAnsi="David" w:hint="cs"/>
          <w:color w:val="000000"/>
          <w:rtl/>
        </w:rPr>
        <w:t xml:space="preserve">ולאחר שהחלטתי, כאמור,  לסטות מטעמי שיקום לקולה ממתחם העונש ההולם, אשר נקבע על-ידי לעיל, אני </w:t>
      </w:r>
      <w:r w:rsidRPr="00CB2E98">
        <w:rPr>
          <w:rFonts w:ascii="David" w:hAnsi="David" w:hint="cs"/>
          <w:color w:val="000000"/>
          <w:rtl/>
        </w:rPr>
        <w:t>דנה את הנאשם כדלקמן:</w:t>
      </w:r>
    </w:p>
    <w:p w14:paraId="40836D10" w14:textId="77777777" w:rsidR="006630C0" w:rsidRPr="00CB2E98" w:rsidRDefault="006630C0" w:rsidP="006630C0">
      <w:pPr>
        <w:pStyle w:val="a9"/>
        <w:numPr>
          <w:ilvl w:val="0"/>
          <w:numId w:val="1"/>
        </w:numPr>
        <w:spacing w:line="360" w:lineRule="auto"/>
        <w:jc w:val="both"/>
        <w:rPr>
          <w:rFonts w:ascii="David" w:hAnsi="David"/>
          <w:color w:val="000000"/>
        </w:rPr>
      </w:pPr>
      <w:r w:rsidRPr="00CB2E98">
        <w:rPr>
          <w:color w:val="000000"/>
          <w:rtl/>
        </w:rPr>
        <w:t xml:space="preserve">למאסר בפועל לתקופה של </w:t>
      </w:r>
      <w:r w:rsidRPr="00CB2E98">
        <w:rPr>
          <w:rFonts w:hint="cs"/>
          <w:color w:val="000000"/>
          <w:rtl/>
        </w:rPr>
        <w:t>15</w:t>
      </w:r>
      <w:r w:rsidRPr="00CB2E98">
        <w:rPr>
          <w:color w:val="000000"/>
          <w:rtl/>
        </w:rPr>
        <w:t xml:space="preserve"> חודשים, בניכוי ימי מעצרו (</w:t>
      </w:r>
      <w:r w:rsidRPr="00CB2E98">
        <w:rPr>
          <w:rFonts w:hint="cs"/>
          <w:color w:val="000000"/>
          <w:rtl/>
        </w:rPr>
        <w:t>13/1/21-17/12/20)</w:t>
      </w:r>
      <w:r>
        <w:rPr>
          <w:rFonts w:ascii="David" w:hAnsi="David" w:hint="cs"/>
          <w:color w:val="000000"/>
          <w:rtl/>
        </w:rPr>
        <w:t>.</w:t>
      </w:r>
    </w:p>
    <w:p w14:paraId="0CFBCE8A" w14:textId="77777777" w:rsidR="006630C0" w:rsidRPr="00CB2E98" w:rsidRDefault="006630C0" w:rsidP="006630C0">
      <w:pPr>
        <w:pStyle w:val="a9"/>
        <w:spacing w:line="360" w:lineRule="auto"/>
        <w:jc w:val="both"/>
        <w:rPr>
          <w:rFonts w:ascii="David" w:hAnsi="David"/>
          <w:color w:val="000000"/>
        </w:rPr>
      </w:pPr>
    </w:p>
    <w:p w14:paraId="332F41CD" w14:textId="77777777" w:rsidR="006630C0" w:rsidRPr="00CB2E98" w:rsidRDefault="006630C0" w:rsidP="006630C0">
      <w:pPr>
        <w:pStyle w:val="a9"/>
        <w:numPr>
          <w:ilvl w:val="0"/>
          <w:numId w:val="1"/>
        </w:numPr>
        <w:spacing w:line="360" w:lineRule="auto"/>
        <w:jc w:val="both"/>
        <w:rPr>
          <w:rFonts w:ascii="David" w:hAnsi="David"/>
          <w:color w:val="000000"/>
        </w:rPr>
      </w:pPr>
      <w:r w:rsidRPr="00CB2E98">
        <w:rPr>
          <w:color w:val="000000"/>
          <w:rtl/>
        </w:rPr>
        <w:t xml:space="preserve">למאסר על תנאי לתקופה של 12 חודשים למשך 3 שנים והתנאי הוא לבל יבצע הנאשם עבירה מסוג פשע לפי </w:t>
      </w:r>
      <w:hyperlink r:id="rId39" w:history="1">
        <w:r w:rsidR="00314EB6" w:rsidRPr="00314EB6">
          <w:rPr>
            <w:rStyle w:val="Hyperlink"/>
            <w:rtl/>
          </w:rPr>
          <w:t>סעיף 144</w:t>
        </w:r>
      </w:hyperlink>
      <w:r w:rsidRPr="00CB2E98">
        <w:rPr>
          <w:color w:val="000000"/>
          <w:rtl/>
        </w:rPr>
        <w:t xml:space="preserve"> ל</w:t>
      </w:r>
      <w:hyperlink r:id="rId40" w:history="1">
        <w:r w:rsidR="00E81991" w:rsidRPr="00E81991">
          <w:rPr>
            <w:color w:val="0000FF"/>
            <w:u w:val="single"/>
            <w:rtl/>
          </w:rPr>
          <w:t>חוק העונשין</w:t>
        </w:r>
      </w:hyperlink>
      <w:r w:rsidRPr="00CB2E98">
        <w:rPr>
          <w:color w:val="000000"/>
          <w:rtl/>
        </w:rPr>
        <w:t xml:space="preserve">, התשל"ז-1977. </w:t>
      </w:r>
      <w:r w:rsidR="00E81991">
        <w:rPr>
          <w:color w:val="000000"/>
          <w:rtl/>
        </w:rPr>
        <w:t xml:space="preserve"> </w:t>
      </w:r>
      <w:r w:rsidRPr="00CB2E98">
        <w:rPr>
          <w:color w:val="000000"/>
          <w:rtl/>
        </w:rPr>
        <w:t xml:space="preserve"> </w:t>
      </w:r>
    </w:p>
    <w:p w14:paraId="36FC1BC2" w14:textId="77777777" w:rsidR="006630C0" w:rsidRPr="00CB2E98" w:rsidRDefault="006630C0" w:rsidP="006630C0">
      <w:pPr>
        <w:spacing w:line="360" w:lineRule="auto"/>
        <w:jc w:val="both"/>
        <w:rPr>
          <w:rFonts w:ascii="David" w:hAnsi="David"/>
          <w:color w:val="000000"/>
        </w:rPr>
      </w:pPr>
    </w:p>
    <w:p w14:paraId="00C1A37E" w14:textId="77777777" w:rsidR="006630C0" w:rsidRPr="00CB2E98" w:rsidRDefault="006630C0" w:rsidP="006630C0">
      <w:pPr>
        <w:pStyle w:val="a9"/>
        <w:numPr>
          <w:ilvl w:val="0"/>
          <w:numId w:val="1"/>
        </w:numPr>
        <w:spacing w:line="360" w:lineRule="auto"/>
        <w:jc w:val="both"/>
        <w:rPr>
          <w:rFonts w:ascii="David" w:hAnsi="David"/>
          <w:color w:val="000000"/>
        </w:rPr>
      </w:pPr>
      <w:r w:rsidRPr="00CB2E98">
        <w:rPr>
          <w:color w:val="000000"/>
          <w:rtl/>
        </w:rPr>
        <w:t xml:space="preserve">למאסר על תנאי לתקופה של 6 חודשים למשך 3 שנים והתנאי הוא לבל יבצע הנאשם עבירה מסוג עוון לפי </w:t>
      </w:r>
      <w:hyperlink r:id="rId41" w:history="1">
        <w:r w:rsidR="00314EB6" w:rsidRPr="00314EB6">
          <w:rPr>
            <w:rStyle w:val="Hyperlink"/>
            <w:rtl/>
          </w:rPr>
          <w:t>סעיף 144</w:t>
        </w:r>
      </w:hyperlink>
      <w:r w:rsidRPr="00CB2E98">
        <w:rPr>
          <w:color w:val="000000"/>
          <w:rtl/>
        </w:rPr>
        <w:t xml:space="preserve"> ל</w:t>
      </w:r>
      <w:hyperlink r:id="rId42" w:history="1">
        <w:r w:rsidR="00E81991" w:rsidRPr="00E81991">
          <w:rPr>
            <w:color w:val="0000FF"/>
            <w:u w:val="single"/>
            <w:rtl/>
          </w:rPr>
          <w:t>חוק העונשין</w:t>
        </w:r>
      </w:hyperlink>
      <w:r w:rsidRPr="00CB2E98">
        <w:rPr>
          <w:color w:val="000000"/>
          <w:rtl/>
        </w:rPr>
        <w:t>, התשל"ז-1977</w:t>
      </w:r>
      <w:r w:rsidRPr="00CB2E98">
        <w:rPr>
          <w:rFonts w:hint="cs"/>
          <w:color w:val="000000"/>
          <w:rtl/>
        </w:rPr>
        <w:t>.</w:t>
      </w:r>
    </w:p>
    <w:p w14:paraId="1FA9CD3A" w14:textId="77777777" w:rsidR="006630C0" w:rsidRPr="00CB2E98" w:rsidRDefault="006630C0" w:rsidP="006630C0">
      <w:pPr>
        <w:spacing w:line="360" w:lineRule="auto"/>
        <w:jc w:val="both"/>
        <w:rPr>
          <w:rFonts w:ascii="David" w:hAnsi="David"/>
          <w:color w:val="000000"/>
        </w:rPr>
      </w:pPr>
    </w:p>
    <w:p w14:paraId="5032E33E" w14:textId="77777777" w:rsidR="006630C0" w:rsidRPr="00CB2E98" w:rsidRDefault="006630C0" w:rsidP="006630C0">
      <w:pPr>
        <w:pStyle w:val="a9"/>
        <w:numPr>
          <w:ilvl w:val="0"/>
          <w:numId w:val="1"/>
        </w:numPr>
        <w:spacing w:line="360" w:lineRule="auto"/>
        <w:jc w:val="both"/>
        <w:rPr>
          <w:rFonts w:ascii="David" w:hAnsi="David"/>
          <w:color w:val="000000"/>
        </w:rPr>
      </w:pPr>
      <w:r w:rsidRPr="00CB2E98">
        <w:rPr>
          <w:color w:val="000000"/>
          <w:rtl/>
        </w:rPr>
        <w:t xml:space="preserve">לתשלום קנס בסך 5,000 ₪ או 25 ימי מאסר תמורתו. הקנס ישולם ב-20 תשלומים חודשיים, שווים ורצופים בסך 250 ₪ כל אחד החל מיום </w:t>
      </w:r>
      <w:r>
        <w:rPr>
          <w:rFonts w:hint="cs"/>
          <w:color w:val="000000"/>
          <w:rtl/>
        </w:rPr>
        <w:t>12</w:t>
      </w:r>
      <w:r w:rsidRPr="00CB2E98">
        <w:rPr>
          <w:rFonts w:hint="cs"/>
          <w:color w:val="000000"/>
          <w:rtl/>
        </w:rPr>
        <w:t>/9/21.</w:t>
      </w:r>
      <w:r>
        <w:rPr>
          <w:rFonts w:ascii="David" w:hAnsi="David" w:hint="cs"/>
          <w:color w:val="000000"/>
          <w:rtl/>
        </w:rPr>
        <w:t xml:space="preserve"> במידה ולא יעמוד הנאשם בחלק מתשלומי הקנס, תעמוד מלוא היתרה לפירעון מידי.</w:t>
      </w:r>
    </w:p>
    <w:p w14:paraId="4B449734" w14:textId="77777777" w:rsidR="006630C0" w:rsidRPr="00CC6EE1" w:rsidRDefault="006630C0" w:rsidP="006630C0">
      <w:pPr>
        <w:spacing w:line="360" w:lineRule="auto"/>
        <w:jc w:val="both"/>
        <w:rPr>
          <w:rFonts w:ascii="David" w:hAnsi="David"/>
          <w:color w:val="000000"/>
        </w:rPr>
      </w:pPr>
    </w:p>
    <w:p w14:paraId="21698799" w14:textId="77777777" w:rsidR="006630C0" w:rsidRPr="00CB2E98" w:rsidRDefault="006630C0" w:rsidP="006630C0">
      <w:pPr>
        <w:pStyle w:val="a9"/>
        <w:numPr>
          <w:ilvl w:val="0"/>
          <w:numId w:val="1"/>
        </w:numPr>
        <w:spacing w:line="360" w:lineRule="auto"/>
        <w:jc w:val="both"/>
        <w:rPr>
          <w:rFonts w:ascii="David" w:hAnsi="David"/>
          <w:color w:val="000000"/>
        </w:rPr>
      </w:pPr>
      <w:r>
        <w:rPr>
          <w:color w:val="000000"/>
          <w:rtl/>
        </w:rPr>
        <w:t>אני מורה, לבקשת המאשימה,</w:t>
      </w:r>
      <w:r>
        <w:rPr>
          <w:rFonts w:hint="cs"/>
          <w:color w:val="000000"/>
          <w:rtl/>
        </w:rPr>
        <w:t xml:space="preserve"> </w:t>
      </w:r>
      <w:r w:rsidRPr="00CB2E98">
        <w:rPr>
          <w:color w:val="000000"/>
          <w:rtl/>
        </w:rPr>
        <w:t>על חילוט לטובת המדינה של האקדח</w:t>
      </w:r>
      <w:r w:rsidRPr="00CB2E98">
        <w:rPr>
          <w:rFonts w:hint="cs"/>
          <w:color w:val="000000"/>
          <w:rtl/>
        </w:rPr>
        <w:t xml:space="preserve">ים, </w:t>
      </w:r>
      <w:r w:rsidRPr="00CB2E98">
        <w:rPr>
          <w:color w:val="000000"/>
          <w:rtl/>
        </w:rPr>
        <w:t xml:space="preserve">המחסנית </w:t>
      </w:r>
      <w:r w:rsidRPr="00CB2E98">
        <w:rPr>
          <w:rFonts w:hint="cs"/>
          <w:color w:val="000000"/>
          <w:rtl/>
        </w:rPr>
        <w:t xml:space="preserve">והתחמושת </w:t>
      </w:r>
      <w:r w:rsidRPr="00CB2E98">
        <w:rPr>
          <w:color w:val="000000"/>
          <w:rtl/>
        </w:rPr>
        <w:t>הנזכרים בכתב האישום.</w:t>
      </w:r>
    </w:p>
    <w:p w14:paraId="6883CD06" w14:textId="77777777" w:rsidR="006630C0" w:rsidRDefault="006630C0" w:rsidP="006630C0">
      <w:pPr>
        <w:pStyle w:val="a9"/>
        <w:spacing w:line="360" w:lineRule="auto"/>
        <w:jc w:val="both"/>
        <w:rPr>
          <w:color w:val="000000"/>
          <w:rtl/>
        </w:rPr>
      </w:pPr>
    </w:p>
    <w:p w14:paraId="235D5438" w14:textId="77777777" w:rsidR="006630C0" w:rsidRDefault="006630C0" w:rsidP="006630C0">
      <w:pPr>
        <w:pStyle w:val="a9"/>
        <w:spacing w:line="360" w:lineRule="auto"/>
        <w:jc w:val="both"/>
        <w:rPr>
          <w:color w:val="000000"/>
          <w:rtl/>
        </w:rPr>
      </w:pPr>
      <w:r>
        <w:rPr>
          <w:rFonts w:hint="cs"/>
          <w:color w:val="000000"/>
          <w:rtl/>
        </w:rPr>
        <w:t xml:space="preserve">בשולי גזר הדין מובאת בזה המלצתי לשב"ס לשלב את הנאשם במסגרת של שיקום בין כותלי בית הסוהר. </w:t>
      </w:r>
    </w:p>
    <w:p w14:paraId="4E74B78B" w14:textId="77777777" w:rsidR="006630C0" w:rsidRPr="0005295E" w:rsidRDefault="006630C0" w:rsidP="006630C0">
      <w:pPr>
        <w:pStyle w:val="a9"/>
        <w:spacing w:line="360" w:lineRule="auto"/>
        <w:jc w:val="both"/>
        <w:rPr>
          <w:color w:val="000000"/>
          <w:rtl/>
        </w:rPr>
      </w:pPr>
    </w:p>
    <w:p w14:paraId="6EB2291C" w14:textId="77777777" w:rsidR="006630C0" w:rsidRPr="002B64AB" w:rsidRDefault="006630C0" w:rsidP="006630C0">
      <w:pPr>
        <w:pStyle w:val="a9"/>
        <w:ind w:left="0"/>
        <w:rPr>
          <w:color w:val="000000"/>
          <w:u w:val="single"/>
          <w:rtl/>
        </w:rPr>
      </w:pPr>
      <w:r w:rsidRPr="002B64AB">
        <w:rPr>
          <w:b/>
          <w:bCs/>
          <w:color w:val="000000"/>
          <w:u w:val="single"/>
          <w:rtl/>
        </w:rPr>
        <w:t>המזכירות תמציא העתק מגזר הדין לשרות המבחן</w:t>
      </w:r>
      <w:r w:rsidRPr="002B64AB">
        <w:rPr>
          <w:color w:val="000000"/>
          <w:u w:val="single"/>
          <w:rtl/>
        </w:rPr>
        <w:t xml:space="preserve">. </w:t>
      </w:r>
    </w:p>
    <w:p w14:paraId="43DFFA4D" w14:textId="77777777" w:rsidR="006630C0" w:rsidRPr="002B64AB" w:rsidRDefault="006630C0" w:rsidP="006630C0">
      <w:pPr>
        <w:pStyle w:val="a9"/>
        <w:ind w:left="0"/>
        <w:rPr>
          <w:color w:val="000000"/>
          <w:u w:val="single"/>
          <w:rtl/>
        </w:rPr>
      </w:pPr>
    </w:p>
    <w:p w14:paraId="029241CE" w14:textId="77777777" w:rsidR="006630C0" w:rsidRPr="002B64AB" w:rsidRDefault="00E81991" w:rsidP="006630C0">
      <w:pPr>
        <w:pStyle w:val="a9"/>
        <w:ind w:left="0"/>
        <w:rPr>
          <w:b/>
          <w:bCs/>
          <w:color w:val="000000"/>
          <w:u w:val="single"/>
          <w:rtl/>
        </w:rPr>
      </w:pPr>
      <w:r w:rsidRPr="00E81991">
        <w:rPr>
          <w:b/>
          <w:bCs/>
          <w:color w:val="FFFFFF"/>
          <w:sz w:val="2"/>
          <w:szCs w:val="2"/>
          <w:u w:val="single"/>
          <w:rtl/>
        </w:rPr>
        <w:t>5129371</w:t>
      </w:r>
      <w:r w:rsidR="006630C0" w:rsidRPr="002B64AB">
        <w:rPr>
          <w:b/>
          <w:bCs/>
          <w:color w:val="000000"/>
          <w:u w:val="single"/>
          <w:rtl/>
        </w:rPr>
        <w:t xml:space="preserve">זכות ערעור לבית המשפט העליון תוך 45 יום. </w:t>
      </w:r>
    </w:p>
    <w:p w14:paraId="3FF3298B" w14:textId="77777777" w:rsidR="006630C0" w:rsidRPr="00E81991" w:rsidRDefault="00E81991" w:rsidP="006630C0">
      <w:pPr>
        <w:pStyle w:val="a9"/>
        <w:spacing w:line="360" w:lineRule="auto"/>
        <w:jc w:val="both"/>
        <w:rPr>
          <w:color w:val="FFFFFF"/>
          <w:sz w:val="2"/>
          <w:szCs w:val="2"/>
          <w:rtl/>
        </w:rPr>
      </w:pPr>
      <w:r w:rsidRPr="00E81991">
        <w:rPr>
          <w:color w:val="FFFFFF"/>
          <w:sz w:val="2"/>
          <w:szCs w:val="2"/>
          <w:rtl/>
        </w:rPr>
        <w:t>54678313</w:t>
      </w:r>
    </w:p>
    <w:p w14:paraId="6E8D8BB1" w14:textId="77777777" w:rsidR="006630C0" w:rsidRPr="00CB2E98" w:rsidRDefault="00E81991" w:rsidP="006630C0">
      <w:pPr>
        <w:spacing w:line="360" w:lineRule="auto"/>
        <w:jc w:val="both"/>
        <w:rPr>
          <w:rFonts w:ascii="David" w:hAnsi="David"/>
        </w:rPr>
      </w:pPr>
      <w:bookmarkStart w:id="7" w:name="Nitan"/>
      <w:r>
        <w:rPr>
          <w:rFonts w:ascii="David" w:hAnsi="David"/>
          <w:rtl/>
        </w:rPr>
        <w:t xml:space="preserve">ניתן היום,  ו' אב תשפ"א, 15 יולי 2021, במעמד ב"כ המאשימה, עו"ד נג'וא סלימאן, ב"כ הנאשם, </w:t>
      </w:r>
      <w:bookmarkEnd w:id="7"/>
      <w:r w:rsidR="006630C0">
        <w:rPr>
          <w:rFonts w:ascii="David" w:hAnsi="David" w:hint="cs"/>
          <w:rtl/>
        </w:rPr>
        <w:t xml:space="preserve">עו"ד סאלח עבאס והנאשם. </w:t>
      </w:r>
    </w:p>
    <w:p w14:paraId="4735001C" w14:textId="77777777" w:rsidR="006630C0" w:rsidRPr="001A1BA5" w:rsidRDefault="006630C0" w:rsidP="006630C0">
      <w:pPr>
        <w:jc w:val="both"/>
        <w:rPr>
          <w:rFonts w:ascii="David" w:hAnsi="David"/>
          <w:rtl/>
        </w:rPr>
      </w:pPr>
    </w:p>
    <w:p w14:paraId="575200EC" w14:textId="77777777" w:rsidR="006630C0" w:rsidRPr="00CB2E98" w:rsidRDefault="006630C0" w:rsidP="00E81991">
      <w:pPr>
        <w:jc w:val="both"/>
      </w:pPr>
      <w:r w:rsidRPr="00CB2E98">
        <w:rPr>
          <w:rFonts w:ascii="David" w:hAnsi="David"/>
          <w:rtl/>
        </w:rPr>
        <w:t xml:space="preserve">   </w:t>
      </w:r>
      <w:r w:rsidRPr="00CB2E98">
        <w:rPr>
          <w:rFonts w:ascii="David" w:hAnsi="David"/>
          <w:rtl/>
        </w:rPr>
        <w:tab/>
      </w:r>
      <w:r w:rsidRPr="00CB2E98">
        <w:rPr>
          <w:rFonts w:ascii="David" w:hAnsi="David"/>
          <w:rtl/>
        </w:rPr>
        <w:tab/>
      </w:r>
      <w:r w:rsidRPr="00CB2E98">
        <w:rPr>
          <w:rFonts w:ascii="David" w:hAnsi="David"/>
          <w:rtl/>
        </w:rPr>
        <w:tab/>
      </w:r>
      <w:r w:rsidRPr="00CB2E98">
        <w:rPr>
          <w:rFonts w:ascii="David" w:hAnsi="David"/>
          <w:rtl/>
        </w:rPr>
        <w:tab/>
      </w:r>
      <w:r w:rsidRPr="00CB2E98">
        <w:rPr>
          <w:rFonts w:ascii="David" w:hAnsi="David"/>
          <w:rtl/>
        </w:rPr>
        <w:tab/>
      </w:r>
    </w:p>
    <w:p w14:paraId="7FFA33E6" w14:textId="77777777" w:rsidR="006630C0" w:rsidRPr="00314EB6" w:rsidRDefault="00314EB6" w:rsidP="006630C0">
      <w:pPr>
        <w:jc w:val="both"/>
        <w:rPr>
          <w:rFonts w:ascii="David" w:hAnsi="David"/>
          <w:color w:val="FFFFFF"/>
          <w:sz w:val="2"/>
          <w:szCs w:val="2"/>
          <w:rtl/>
        </w:rPr>
      </w:pPr>
      <w:r w:rsidRPr="00314EB6">
        <w:rPr>
          <w:rFonts w:ascii="David" w:hAnsi="David"/>
          <w:color w:val="FFFFFF"/>
          <w:sz w:val="2"/>
          <w:szCs w:val="2"/>
          <w:rtl/>
        </w:rPr>
        <w:t>5129371</w:t>
      </w:r>
    </w:p>
    <w:p w14:paraId="3CA5FA69" w14:textId="77777777" w:rsidR="00F04807" w:rsidRPr="00314EB6" w:rsidRDefault="00314EB6" w:rsidP="00E81991">
      <w:pPr>
        <w:keepNext/>
        <w:rPr>
          <w:rFonts w:ascii="David" w:hAnsi="David"/>
          <w:color w:val="FFFFFF"/>
          <w:sz w:val="2"/>
          <w:szCs w:val="2"/>
          <w:rtl/>
        </w:rPr>
      </w:pPr>
      <w:r w:rsidRPr="00314EB6">
        <w:rPr>
          <w:rFonts w:ascii="David" w:hAnsi="David"/>
          <w:color w:val="FFFFFF"/>
          <w:sz w:val="2"/>
          <w:szCs w:val="2"/>
          <w:rtl/>
        </w:rPr>
        <w:t>54678313</w:t>
      </w:r>
    </w:p>
    <w:p w14:paraId="468471B9" w14:textId="77777777" w:rsidR="00E81991" w:rsidRPr="00E81991" w:rsidRDefault="00E81991" w:rsidP="00E81991">
      <w:pPr>
        <w:keepNext/>
        <w:rPr>
          <w:rFonts w:ascii="David" w:hAnsi="David"/>
          <w:color w:val="000000"/>
          <w:sz w:val="22"/>
          <w:szCs w:val="22"/>
          <w:rtl/>
        </w:rPr>
      </w:pPr>
      <w:r w:rsidRPr="00E81991">
        <w:rPr>
          <w:rFonts w:ascii="David" w:hAnsi="David"/>
          <w:color w:val="000000"/>
          <w:sz w:val="22"/>
          <w:szCs w:val="22"/>
          <w:rtl/>
        </w:rPr>
        <w:t>רונית בש 54678313</w:t>
      </w:r>
    </w:p>
    <w:p w14:paraId="620BAF68" w14:textId="77777777" w:rsidR="00E81991" w:rsidRDefault="00E81991" w:rsidP="00E81991">
      <w:r w:rsidRPr="00E81991">
        <w:rPr>
          <w:color w:val="000000"/>
          <w:rtl/>
        </w:rPr>
        <w:t>נוסח מסמך זה כפוף לשינויי ניסוח ועריכה</w:t>
      </w:r>
    </w:p>
    <w:p w14:paraId="75550384" w14:textId="77777777" w:rsidR="00E81991" w:rsidRDefault="00E81991" w:rsidP="00E81991">
      <w:pPr>
        <w:rPr>
          <w:rtl/>
        </w:rPr>
      </w:pPr>
    </w:p>
    <w:p w14:paraId="5974DDE1" w14:textId="77777777" w:rsidR="00E81991" w:rsidRDefault="00E81991" w:rsidP="00E81991">
      <w:pPr>
        <w:jc w:val="center"/>
        <w:rPr>
          <w:rFonts w:hint="cs"/>
          <w:color w:val="0000FF"/>
          <w:u w:val="single"/>
        </w:rPr>
      </w:pPr>
      <w:hyperlink r:id="rId43" w:history="1">
        <w:r>
          <w:rPr>
            <w:color w:val="0000FF"/>
            <w:u w:val="single"/>
            <w:rtl/>
          </w:rPr>
          <w:t>בעניין עריכה ושינויים במסמכי פסיקה, חקיקה ועוד באתר נבו – הקש כאן</w:t>
        </w:r>
      </w:hyperlink>
      <w:r w:rsidR="001E5308">
        <w:rPr>
          <w:rFonts w:hint="cs"/>
          <w:color w:val="0000FF"/>
          <w:u w:val="single"/>
          <w:rtl/>
        </w:rPr>
        <w:t xml:space="preserve"> </w:t>
      </w:r>
    </w:p>
    <w:p w14:paraId="7370F58C" w14:textId="77777777" w:rsidR="00314EB6" w:rsidRPr="00314EB6" w:rsidRDefault="00314EB6" w:rsidP="00314EB6">
      <w:pPr>
        <w:keepNext/>
        <w:rPr>
          <w:rFonts w:ascii="David" w:hAnsi="David"/>
          <w:color w:val="000000"/>
          <w:sz w:val="22"/>
          <w:szCs w:val="22"/>
          <w:rtl/>
        </w:rPr>
      </w:pPr>
    </w:p>
    <w:sectPr w:rsidR="00314EB6" w:rsidRPr="00314EB6" w:rsidSect="00314EB6">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766FD" w14:textId="77777777" w:rsidR="0073754F" w:rsidRDefault="0073754F" w:rsidP="00C30BAC">
      <w:r>
        <w:separator/>
      </w:r>
    </w:p>
  </w:endnote>
  <w:endnote w:type="continuationSeparator" w:id="0">
    <w:p w14:paraId="54447D1F" w14:textId="77777777" w:rsidR="0073754F" w:rsidRDefault="0073754F" w:rsidP="00C3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79DD8" w14:textId="77777777" w:rsidR="00314EB6" w:rsidRDefault="00314EB6" w:rsidP="00314E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7F3ACA" w14:textId="77777777" w:rsidR="00ED0687" w:rsidRPr="00314EB6" w:rsidRDefault="00314EB6" w:rsidP="00314EB6">
    <w:pPr>
      <w:pStyle w:val="a5"/>
      <w:pBdr>
        <w:top w:val="single" w:sz="4" w:space="1" w:color="auto"/>
        <w:between w:val="single" w:sz="4" w:space="0" w:color="auto"/>
      </w:pBdr>
      <w:spacing w:after="60"/>
      <w:jc w:val="center"/>
      <w:rPr>
        <w:rFonts w:ascii="FrankRuehl" w:hAnsi="FrankRuehl" w:cs="FrankRuehl"/>
        <w:color w:val="000000"/>
      </w:rPr>
    </w:pPr>
    <w:r w:rsidRPr="00314E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92A6A" w14:textId="77777777" w:rsidR="00314EB6" w:rsidRDefault="00314EB6" w:rsidP="00314E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5E99">
      <w:rPr>
        <w:rFonts w:ascii="FrankRuehl" w:hAnsi="FrankRuehl" w:cs="FrankRuehl"/>
        <w:noProof/>
        <w:rtl/>
      </w:rPr>
      <w:t>1</w:t>
    </w:r>
    <w:r>
      <w:rPr>
        <w:rFonts w:ascii="FrankRuehl" w:hAnsi="FrankRuehl" w:cs="FrankRuehl"/>
        <w:rtl/>
      </w:rPr>
      <w:fldChar w:fldCharType="end"/>
    </w:r>
  </w:p>
  <w:p w14:paraId="6EDCF880" w14:textId="77777777" w:rsidR="00ED0687" w:rsidRPr="00314EB6" w:rsidRDefault="00314EB6" w:rsidP="00314EB6">
    <w:pPr>
      <w:pStyle w:val="a5"/>
      <w:pBdr>
        <w:top w:val="single" w:sz="4" w:space="1" w:color="auto"/>
        <w:between w:val="single" w:sz="4" w:space="0" w:color="auto"/>
      </w:pBdr>
      <w:spacing w:after="60"/>
      <w:jc w:val="center"/>
      <w:rPr>
        <w:rFonts w:ascii="FrankRuehl" w:hAnsi="FrankRuehl" w:cs="FrankRuehl"/>
        <w:color w:val="000000"/>
      </w:rPr>
    </w:pPr>
    <w:r w:rsidRPr="00314EB6">
      <w:rPr>
        <w:rFonts w:ascii="FrankRuehl" w:hAnsi="FrankRuehl" w:cs="FrankRuehl"/>
        <w:color w:val="000000"/>
      </w:rPr>
      <w:pict w14:anchorId="754E4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057DD" w14:textId="77777777" w:rsidR="0073754F" w:rsidRDefault="0073754F" w:rsidP="00C30BAC">
      <w:r>
        <w:separator/>
      </w:r>
    </w:p>
  </w:footnote>
  <w:footnote w:type="continuationSeparator" w:id="0">
    <w:p w14:paraId="72A3FE25" w14:textId="77777777" w:rsidR="0073754F" w:rsidRDefault="0073754F" w:rsidP="00C30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D7DA0" w14:textId="77777777" w:rsidR="00E81991" w:rsidRPr="00314EB6" w:rsidRDefault="00314EB6" w:rsidP="00314E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1802-01-21</w:t>
    </w:r>
    <w:r>
      <w:rPr>
        <w:rFonts w:ascii="David" w:hAnsi="David"/>
        <w:color w:val="000000"/>
        <w:sz w:val="22"/>
        <w:szCs w:val="22"/>
        <w:rtl/>
      </w:rPr>
      <w:tab/>
      <w:t xml:space="preserve"> מדינת ישראל נ' יוסף סרחאן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8A0" w14:textId="77777777" w:rsidR="00E81991" w:rsidRPr="00314EB6" w:rsidRDefault="00314EB6" w:rsidP="00314E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1802-01-21</w:t>
    </w:r>
    <w:r>
      <w:rPr>
        <w:rFonts w:ascii="David" w:hAnsi="David"/>
        <w:color w:val="000000"/>
        <w:sz w:val="22"/>
        <w:szCs w:val="22"/>
        <w:rtl/>
      </w:rPr>
      <w:tab/>
      <w:t xml:space="preserve"> מדינת ישראל נ' יוסף סרחאן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86CBE"/>
    <w:multiLevelType w:val="hybridMultilevel"/>
    <w:tmpl w:val="CD08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50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30C0"/>
    <w:rsid w:val="001B5A3B"/>
    <w:rsid w:val="001E5308"/>
    <w:rsid w:val="002C1ABD"/>
    <w:rsid w:val="00314EB6"/>
    <w:rsid w:val="00466E46"/>
    <w:rsid w:val="00490CE3"/>
    <w:rsid w:val="006630C0"/>
    <w:rsid w:val="00702271"/>
    <w:rsid w:val="0073754F"/>
    <w:rsid w:val="007E47C7"/>
    <w:rsid w:val="00935E99"/>
    <w:rsid w:val="00A845AD"/>
    <w:rsid w:val="00C30BAC"/>
    <w:rsid w:val="00D44307"/>
    <w:rsid w:val="00E81991"/>
    <w:rsid w:val="00ED0687"/>
    <w:rsid w:val="00F048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182684"/>
  <w15:chartTrackingRefBased/>
  <w15:docId w15:val="{1FA722B3-0D43-4CCB-BE50-4B973552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0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30C0"/>
    <w:pPr>
      <w:tabs>
        <w:tab w:val="center" w:pos="4153"/>
        <w:tab w:val="right" w:pos="8306"/>
      </w:tabs>
    </w:pPr>
  </w:style>
  <w:style w:type="character" w:customStyle="1" w:styleId="a4">
    <w:name w:val="כותרת עליונה תו"/>
    <w:link w:val="a3"/>
    <w:rsid w:val="006630C0"/>
    <w:rPr>
      <w:rFonts w:ascii="Times New Roman" w:eastAsia="Times New Roman" w:hAnsi="Times New Roman" w:cs="David"/>
      <w:sz w:val="24"/>
      <w:szCs w:val="24"/>
    </w:rPr>
  </w:style>
  <w:style w:type="paragraph" w:styleId="a5">
    <w:name w:val="footer"/>
    <w:basedOn w:val="a"/>
    <w:link w:val="a6"/>
    <w:rsid w:val="006630C0"/>
    <w:pPr>
      <w:tabs>
        <w:tab w:val="center" w:pos="4153"/>
        <w:tab w:val="right" w:pos="8306"/>
      </w:tabs>
    </w:pPr>
  </w:style>
  <w:style w:type="character" w:customStyle="1" w:styleId="a6">
    <w:name w:val="כותרת תחתונה תו"/>
    <w:link w:val="a5"/>
    <w:rsid w:val="006630C0"/>
    <w:rPr>
      <w:rFonts w:ascii="Times New Roman" w:eastAsia="Times New Roman" w:hAnsi="Times New Roman" w:cs="David"/>
      <w:sz w:val="24"/>
      <w:szCs w:val="24"/>
    </w:rPr>
  </w:style>
  <w:style w:type="table" w:styleId="a7">
    <w:name w:val="Table Grid"/>
    <w:basedOn w:val="a1"/>
    <w:rsid w:val="006630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30C0"/>
  </w:style>
  <w:style w:type="paragraph" w:styleId="a9">
    <w:name w:val="List Paragraph"/>
    <w:basedOn w:val="a"/>
    <w:qFormat/>
    <w:rsid w:val="006630C0"/>
    <w:pPr>
      <w:ind w:left="720"/>
      <w:contextualSpacing/>
    </w:pPr>
  </w:style>
  <w:style w:type="character" w:styleId="Hyperlink">
    <w:name w:val="Hyperlink"/>
    <w:rsid w:val="00663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7791493"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40c" TargetMode="External"/><Relationship Id="rId34" Type="http://schemas.openxmlformats.org/officeDocument/2006/relationships/hyperlink" Target="http://www.nevo.co.il/law/70301/40d.a"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3093744"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612982" TargetMode="External"/><Relationship Id="rId37" Type="http://schemas.openxmlformats.org/officeDocument/2006/relationships/hyperlink" Target="http://www.nevo.co.il/case/26934681"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5878682" TargetMode="External"/><Relationship Id="rId36" Type="http://schemas.openxmlformats.org/officeDocument/2006/relationships/hyperlink" Target="http://www.nevo.co.il/case/27502726" TargetMode="External"/><Relationship Id="rId49" Type="http://schemas.openxmlformats.org/officeDocument/2006/relationships/theme" Target="theme/theme1.xml"/><Relationship Id="rId10" Type="http://schemas.openxmlformats.org/officeDocument/2006/relationships/hyperlink" Target="http://www.nevo.co.il/law/70301/40d.a"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2137915"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24035" TargetMode="External"/><Relationship Id="rId30" Type="http://schemas.openxmlformats.org/officeDocument/2006/relationships/hyperlink" Target="http://www.nevo.co.il/case/16913730" TargetMode="External"/><Relationship Id="rId35"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26707667" TargetMode="External"/><Relationship Id="rId38" Type="http://schemas.openxmlformats.org/officeDocument/2006/relationships/hyperlink" Target="http://www.nevo.co.il/case/21473281" TargetMode="External"/><Relationship Id="rId46" Type="http://schemas.openxmlformats.org/officeDocument/2006/relationships/footer" Target="footer1.xml"/><Relationship Id="rId20" Type="http://schemas.openxmlformats.org/officeDocument/2006/relationships/hyperlink" Target="http://www.nevo.co.il/case/6243627" TargetMode="External"/><Relationship Id="rId41"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3263</Words>
  <Characters>16316</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19540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6357092</vt:i4>
      </vt:variant>
      <vt:variant>
        <vt:i4>102</vt:i4>
      </vt:variant>
      <vt:variant>
        <vt:i4>0</vt:i4>
      </vt:variant>
      <vt:variant>
        <vt:i4>5</vt:i4>
      </vt:variant>
      <vt:variant>
        <vt:lpwstr>http://www.nevo.co.il/law/70301/144</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3997808</vt:i4>
      </vt:variant>
      <vt:variant>
        <vt:i4>93</vt:i4>
      </vt:variant>
      <vt:variant>
        <vt:i4>0</vt:i4>
      </vt:variant>
      <vt:variant>
        <vt:i4>5</vt:i4>
      </vt:variant>
      <vt:variant>
        <vt:lpwstr>http://www.nevo.co.il/case/21473281</vt:lpwstr>
      </vt:variant>
      <vt:variant>
        <vt:lpwstr/>
      </vt:variant>
      <vt:variant>
        <vt:i4>3604599</vt:i4>
      </vt:variant>
      <vt:variant>
        <vt:i4>90</vt:i4>
      </vt:variant>
      <vt:variant>
        <vt:i4>0</vt:i4>
      </vt:variant>
      <vt:variant>
        <vt:i4>5</vt:i4>
      </vt:variant>
      <vt:variant>
        <vt:lpwstr>http://www.nevo.co.il/case/26934681</vt:lpwstr>
      </vt:variant>
      <vt:variant>
        <vt:lpwstr/>
      </vt:variant>
      <vt:variant>
        <vt:i4>3604596</vt:i4>
      </vt:variant>
      <vt:variant>
        <vt:i4>87</vt:i4>
      </vt:variant>
      <vt:variant>
        <vt:i4>0</vt:i4>
      </vt:variant>
      <vt:variant>
        <vt:i4>5</vt:i4>
      </vt:variant>
      <vt:variant>
        <vt:lpwstr>http://www.nevo.co.il/case/27502726</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4915205</vt:i4>
      </vt:variant>
      <vt:variant>
        <vt:i4>81</vt:i4>
      </vt:variant>
      <vt:variant>
        <vt:i4>0</vt:i4>
      </vt:variant>
      <vt:variant>
        <vt:i4>5</vt:i4>
      </vt:variant>
      <vt:variant>
        <vt:lpwstr>http://www.nevo.co.il/law/70301/40d.a</vt:lpwstr>
      </vt:variant>
      <vt:variant>
        <vt:lpwstr/>
      </vt:variant>
      <vt:variant>
        <vt:i4>3407988</vt:i4>
      </vt:variant>
      <vt:variant>
        <vt:i4>78</vt:i4>
      </vt:variant>
      <vt:variant>
        <vt:i4>0</vt:i4>
      </vt:variant>
      <vt:variant>
        <vt:i4>5</vt:i4>
      </vt:variant>
      <vt:variant>
        <vt:lpwstr>http://www.nevo.co.il/case/26707667</vt:lpwstr>
      </vt:variant>
      <vt:variant>
        <vt:lpwstr/>
      </vt:variant>
      <vt:variant>
        <vt:i4>4063353</vt:i4>
      </vt:variant>
      <vt:variant>
        <vt:i4>75</vt:i4>
      </vt:variant>
      <vt:variant>
        <vt:i4>0</vt:i4>
      </vt:variant>
      <vt:variant>
        <vt:i4>5</vt:i4>
      </vt:variant>
      <vt:variant>
        <vt:lpwstr>http://www.nevo.co.il/case/25612982</vt:lpwstr>
      </vt:variant>
      <vt:variant>
        <vt:lpwstr/>
      </vt:variant>
      <vt:variant>
        <vt:i4>3473532</vt:i4>
      </vt:variant>
      <vt:variant>
        <vt:i4>72</vt:i4>
      </vt:variant>
      <vt:variant>
        <vt:i4>0</vt:i4>
      </vt:variant>
      <vt:variant>
        <vt:i4>5</vt:i4>
      </vt:variant>
      <vt:variant>
        <vt:lpwstr>http://www.nevo.co.il/case/22137915</vt:lpwstr>
      </vt:variant>
      <vt:variant>
        <vt:lpwstr/>
      </vt:variant>
      <vt:variant>
        <vt:i4>3670132</vt:i4>
      </vt:variant>
      <vt:variant>
        <vt:i4>69</vt:i4>
      </vt:variant>
      <vt:variant>
        <vt:i4>0</vt:i4>
      </vt:variant>
      <vt:variant>
        <vt:i4>5</vt:i4>
      </vt:variant>
      <vt:variant>
        <vt:lpwstr>http://www.nevo.co.il/case/16913730</vt:lpwstr>
      </vt:variant>
      <vt:variant>
        <vt:lpwstr/>
      </vt:variant>
      <vt:variant>
        <vt:i4>3539065</vt:i4>
      </vt:variant>
      <vt:variant>
        <vt:i4>66</vt:i4>
      </vt:variant>
      <vt:variant>
        <vt:i4>0</vt:i4>
      </vt:variant>
      <vt:variant>
        <vt:i4>5</vt:i4>
      </vt:variant>
      <vt:variant>
        <vt:lpwstr>http://www.nevo.co.il/case/13093744</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3211379</vt:i4>
      </vt:variant>
      <vt:variant>
        <vt:i4>60</vt:i4>
      </vt:variant>
      <vt:variant>
        <vt:i4>0</vt:i4>
      </vt:variant>
      <vt:variant>
        <vt:i4>5</vt:i4>
      </vt:variant>
      <vt:variant>
        <vt:lpwstr>http://www.nevo.co.il/case/6024035</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3342455</vt:i4>
      </vt:variant>
      <vt:variant>
        <vt:i4>39</vt:i4>
      </vt:variant>
      <vt:variant>
        <vt:i4>0</vt:i4>
      </vt:variant>
      <vt:variant>
        <vt:i4>5</vt:i4>
      </vt:variant>
      <vt:variant>
        <vt:lpwstr>http://www.nevo.co.il/case/6243627</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1802</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סרחאן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20210715</vt:lpwstr>
  </property>
  <property fmtid="{D5CDD505-2E9C-101B-9397-08002B2CF9AE}" pid="13" name="TYPE_N_DATE">
    <vt:lpwstr>39020210715</vt:lpwstr>
  </property>
  <property fmtid="{D5CDD505-2E9C-101B-9397-08002B2CF9AE}" pid="14" name="WORDNUMPAGES">
    <vt:lpwstr>9</vt:lpwstr>
  </property>
  <property fmtid="{D5CDD505-2E9C-101B-9397-08002B2CF9AE}" pid="15" name="TYPE_ABS_DATE">
    <vt:lpwstr>390020210715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6243627;5601503;7791493;6024035;5878682;13093744;16913730;22137915;25612982;26707667;27502726;26934681;21473281</vt:lpwstr>
  </property>
  <property fmtid="{D5CDD505-2E9C-101B-9397-08002B2CF9AE}" pid="36" name="LAWLISTTMP1">
    <vt:lpwstr>70301/144.a;144.b;040b;040c;040i;040d.a;144:2</vt:lpwstr>
  </property>
</Properties>
</file>