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8"/>
        <w:gridCol w:w="3663"/>
      </w:tblGrid>
      <w:tr w:rsidR="002860ED" w:rsidRPr="001375F8" w14:paraId="35F850E6" w14:textId="77777777" w:rsidTr="00515EAE">
        <w:trPr>
          <w:trHeight w:hRule="exact" w:val="418"/>
          <w:jc w:val="center"/>
        </w:trPr>
        <w:tc>
          <w:tcPr>
            <w:tcW w:w="8721" w:type="dxa"/>
            <w:gridSpan w:val="2"/>
          </w:tcPr>
          <w:p w14:paraId="331489D4" w14:textId="77777777" w:rsidR="002860ED" w:rsidRPr="001375F8" w:rsidRDefault="002860ED" w:rsidP="00ED5D35">
            <w:pPr>
              <w:pStyle w:val="a3"/>
              <w:jc w:val="center"/>
              <w:rPr>
                <w:rFonts w:ascii="Tahoma" w:hAnsi="Tahoma" w:cs="Tahoma"/>
                <w:color w:val="000080"/>
                <w:rtl/>
              </w:rPr>
            </w:pPr>
            <w:bookmarkStart w:id="0" w:name="FirstLawyer"/>
            <w:bookmarkStart w:id="1" w:name="LastJudge"/>
            <w:r w:rsidRPr="001375F8">
              <w:rPr>
                <w:rFonts w:ascii="Tahoma" w:hAnsi="Tahoma" w:cs="Tahoma"/>
                <w:b/>
                <w:bCs/>
                <w:color w:val="000080"/>
                <w:rtl/>
              </w:rPr>
              <w:t>בית המשפט המחוזי בירושלים</w:t>
            </w:r>
          </w:p>
        </w:tc>
      </w:tr>
      <w:tr w:rsidR="002860ED" w:rsidRPr="001375F8" w14:paraId="04361924" w14:textId="77777777" w:rsidTr="00515EAE">
        <w:trPr>
          <w:trHeight w:val="337"/>
          <w:jc w:val="center"/>
        </w:trPr>
        <w:tc>
          <w:tcPr>
            <w:tcW w:w="5058" w:type="dxa"/>
          </w:tcPr>
          <w:p w14:paraId="12445AF4" w14:textId="77777777" w:rsidR="002860ED" w:rsidRPr="001375F8" w:rsidRDefault="002860ED" w:rsidP="00ED5D35">
            <w:pPr>
              <w:rPr>
                <w:rFonts w:cs="FrankRuehl"/>
                <w:sz w:val="28"/>
                <w:szCs w:val="28"/>
                <w:rtl/>
              </w:rPr>
            </w:pPr>
            <w:r w:rsidRPr="001375F8">
              <w:rPr>
                <w:rFonts w:cs="FrankRuehl"/>
                <w:sz w:val="28"/>
                <w:szCs w:val="28"/>
                <w:rtl/>
              </w:rPr>
              <w:t>ת"פ</w:t>
            </w:r>
            <w:r w:rsidRPr="001375F8">
              <w:rPr>
                <w:rFonts w:cs="FrankRuehl" w:hint="cs"/>
                <w:sz w:val="28"/>
                <w:szCs w:val="28"/>
                <w:rtl/>
              </w:rPr>
              <w:t xml:space="preserve"> </w:t>
            </w:r>
            <w:r w:rsidRPr="001375F8">
              <w:rPr>
                <w:rFonts w:cs="FrankRuehl"/>
                <w:sz w:val="28"/>
                <w:szCs w:val="28"/>
                <w:rtl/>
              </w:rPr>
              <w:t>24822-01-21</w:t>
            </w:r>
            <w:r w:rsidRPr="001375F8">
              <w:rPr>
                <w:rFonts w:cs="FrankRuehl" w:hint="cs"/>
                <w:sz w:val="28"/>
                <w:szCs w:val="28"/>
                <w:rtl/>
              </w:rPr>
              <w:t xml:space="preserve"> </w:t>
            </w:r>
            <w:r w:rsidRPr="001375F8">
              <w:rPr>
                <w:rFonts w:cs="FrankRuehl"/>
                <w:sz w:val="28"/>
                <w:szCs w:val="28"/>
                <w:rtl/>
              </w:rPr>
              <w:t>מדינת ישראל נ' עבאסי(עציר)</w:t>
            </w:r>
          </w:p>
          <w:p w14:paraId="6361FC7C" w14:textId="77777777" w:rsidR="002860ED" w:rsidRPr="001375F8" w:rsidRDefault="002860ED" w:rsidP="00ED5D35">
            <w:pPr>
              <w:pStyle w:val="a3"/>
              <w:rPr>
                <w:rFonts w:cs="FrankRuehl"/>
                <w:sz w:val="28"/>
                <w:szCs w:val="28"/>
                <w:rtl/>
              </w:rPr>
            </w:pPr>
          </w:p>
        </w:tc>
        <w:tc>
          <w:tcPr>
            <w:tcW w:w="3663" w:type="dxa"/>
          </w:tcPr>
          <w:p w14:paraId="41200394" w14:textId="77777777" w:rsidR="002860ED" w:rsidRPr="001375F8" w:rsidRDefault="002860ED" w:rsidP="00ED5D35">
            <w:pPr>
              <w:pStyle w:val="a3"/>
              <w:jc w:val="right"/>
              <w:rPr>
                <w:rFonts w:cs="FrankRuehl"/>
                <w:sz w:val="28"/>
                <w:szCs w:val="28"/>
                <w:rtl/>
              </w:rPr>
            </w:pPr>
          </w:p>
        </w:tc>
      </w:tr>
    </w:tbl>
    <w:p w14:paraId="2A6F1B6C" w14:textId="77777777" w:rsidR="002860ED" w:rsidRPr="001375F8" w:rsidRDefault="002860ED" w:rsidP="002860ED">
      <w:pPr>
        <w:pStyle w:val="a3"/>
        <w:rPr>
          <w:rtl/>
        </w:rPr>
      </w:pPr>
      <w:r w:rsidRPr="001375F8">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5062"/>
        <w:gridCol w:w="2835"/>
      </w:tblGrid>
      <w:tr w:rsidR="002860ED" w:rsidRPr="001375F8" w14:paraId="05210A56" w14:textId="77777777" w:rsidTr="002860ED">
        <w:trPr>
          <w:trHeight w:val="295"/>
          <w:jc w:val="center"/>
        </w:trPr>
        <w:tc>
          <w:tcPr>
            <w:tcW w:w="923" w:type="dxa"/>
            <w:tcBorders>
              <w:top w:val="nil"/>
              <w:left w:val="nil"/>
              <w:bottom w:val="nil"/>
              <w:right w:val="nil"/>
            </w:tcBorders>
            <w:shd w:val="clear" w:color="auto" w:fill="auto"/>
          </w:tcPr>
          <w:p w14:paraId="037BD18F" w14:textId="77777777" w:rsidR="002860ED" w:rsidRPr="001375F8" w:rsidRDefault="002860ED" w:rsidP="002860ED">
            <w:pPr>
              <w:jc w:val="both"/>
              <w:rPr>
                <w:rFonts w:ascii="FrankRuehl" w:hAnsi="FrankRuehl" w:cs="FrankRuehl"/>
                <w:b/>
                <w:bCs/>
                <w:sz w:val="30"/>
                <w:szCs w:val="30"/>
              </w:rPr>
            </w:pPr>
            <w:r w:rsidRPr="001375F8">
              <w:rPr>
                <w:rFonts w:ascii="FrankRuehl" w:hAnsi="FrankRuehl" w:cs="FrankRuehl"/>
                <w:b/>
                <w:bCs/>
                <w:sz w:val="30"/>
                <w:szCs w:val="30"/>
                <w:rtl/>
              </w:rPr>
              <w:t xml:space="preserve">בפני </w:t>
            </w:r>
          </w:p>
        </w:tc>
        <w:tc>
          <w:tcPr>
            <w:tcW w:w="7897" w:type="dxa"/>
            <w:gridSpan w:val="2"/>
            <w:tcBorders>
              <w:top w:val="nil"/>
              <w:left w:val="nil"/>
              <w:bottom w:val="nil"/>
              <w:right w:val="nil"/>
            </w:tcBorders>
            <w:shd w:val="clear" w:color="auto" w:fill="auto"/>
          </w:tcPr>
          <w:p w14:paraId="40230DD3" w14:textId="77777777" w:rsidR="002860ED" w:rsidRPr="001375F8" w:rsidRDefault="002860ED" w:rsidP="00ED5D35">
            <w:pPr>
              <w:rPr>
                <w:rFonts w:ascii="FrankRuehl" w:hAnsi="FrankRuehl" w:cs="FrankRuehl"/>
                <w:b/>
                <w:bCs/>
                <w:sz w:val="30"/>
                <w:szCs w:val="30"/>
              </w:rPr>
            </w:pPr>
            <w:r w:rsidRPr="001375F8">
              <w:rPr>
                <w:rFonts w:ascii="FrankRuehl" w:hAnsi="FrankRuehl" w:cs="FrankRuehl"/>
                <w:b/>
                <w:bCs/>
                <w:sz w:val="30"/>
                <w:szCs w:val="30"/>
                <w:rtl/>
              </w:rPr>
              <w:t>כב' השופט  אילן סלע</w:t>
            </w:r>
          </w:p>
          <w:p w14:paraId="1BD63E4E" w14:textId="77777777" w:rsidR="002860ED" w:rsidRPr="001375F8" w:rsidRDefault="002860ED" w:rsidP="002860ED">
            <w:pPr>
              <w:jc w:val="both"/>
              <w:rPr>
                <w:rFonts w:ascii="FrankRuehl" w:hAnsi="FrankRuehl" w:cs="FrankRuehl"/>
                <w:b/>
                <w:bCs/>
                <w:sz w:val="30"/>
                <w:szCs w:val="30"/>
                <w:rtl/>
              </w:rPr>
            </w:pPr>
          </w:p>
        </w:tc>
      </w:tr>
      <w:tr w:rsidR="002860ED" w:rsidRPr="001375F8" w14:paraId="6CF2FFA7" w14:textId="77777777" w:rsidTr="002860ED">
        <w:trPr>
          <w:trHeight w:val="355"/>
          <w:jc w:val="center"/>
        </w:trPr>
        <w:tc>
          <w:tcPr>
            <w:tcW w:w="923" w:type="dxa"/>
            <w:tcBorders>
              <w:top w:val="nil"/>
              <w:left w:val="nil"/>
              <w:bottom w:val="nil"/>
              <w:right w:val="nil"/>
            </w:tcBorders>
            <w:shd w:val="clear" w:color="auto" w:fill="auto"/>
          </w:tcPr>
          <w:p w14:paraId="5F962A1B" w14:textId="77777777" w:rsidR="002860ED" w:rsidRPr="001375F8" w:rsidRDefault="002860ED" w:rsidP="002860ED">
            <w:pPr>
              <w:jc w:val="both"/>
              <w:rPr>
                <w:rFonts w:ascii="FrankRuehl" w:hAnsi="FrankRuehl" w:cs="FrankRuehl"/>
                <w:b/>
                <w:bCs/>
                <w:sz w:val="30"/>
                <w:szCs w:val="30"/>
              </w:rPr>
            </w:pPr>
            <w:bookmarkStart w:id="2" w:name="FirstAppellant"/>
            <w:r w:rsidRPr="001375F8">
              <w:rPr>
                <w:rFonts w:ascii="FrankRuehl" w:hAnsi="FrankRuehl" w:cs="FrankRuehl"/>
                <w:b/>
                <w:bCs/>
                <w:sz w:val="30"/>
                <w:szCs w:val="30"/>
                <w:rtl/>
              </w:rPr>
              <w:t>בעניין:</w:t>
            </w:r>
          </w:p>
        </w:tc>
        <w:tc>
          <w:tcPr>
            <w:tcW w:w="5062" w:type="dxa"/>
            <w:tcBorders>
              <w:top w:val="nil"/>
              <w:left w:val="nil"/>
              <w:bottom w:val="nil"/>
              <w:right w:val="nil"/>
            </w:tcBorders>
            <w:shd w:val="clear" w:color="auto" w:fill="auto"/>
          </w:tcPr>
          <w:p w14:paraId="1EDA35BD" w14:textId="77777777" w:rsidR="002860ED" w:rsidRPr="001375F8" w:rsidRDefault="002860ED" w:rsidP="00ED5D35">
            <w:pPr>
              <w:rPr>
                <w:rFonts w:ascii="FrankRuehl" w:hAnsi="FrankRuehl" w:cs="FrankRuehl"/>
                <w:b/>
                <w:bCs/>
                <w:sz w:val="30"/>
                <w:szCs w:val="30"/>
              </w:rPr>
            </w:pPr>
            <w:r w:rsidRPr="001375F8">
              <w:rPr>
                <w:rFonts w:ascii="FrankRuehl" w:hAnsi="FrankRuehl" w:cs="FrankRuehl"/>
                <w:b/>
                <w:bCs/>
                <w:sz w:val="30"/>
                <w:szCs w:val="30"/>
                <w:rtl/>
              </w:rPr>
              <w:t>מדינת ישראל</w:t>
            </w:r>
          </w:p>
        </w:tc>
        <w:tc>
          <w:tcPr>
            <w:tcW w:w="2835" w:type="dxa"/>
            <w:tcBorders>
              <w:top w:val="nil"/>
              <w:left w:val="nil"/>
              <w:bottom w:val="nil"/>
              <w:right w:val="nil"/>
            </w:tcBorders>
            <w:shd w:val="clear" w:color="auto" w:fill="auto"/>
          </w:tcPr>
          <w:p w14:paraId="344C44AA" w14:textId="77777777" w:rsidR="002860ED" w:rsidRPr="001375F8" w:rsidRDefault="002860ED" w:rsidP="002860ED">
            <w:pPr>
              <w:jc w:val="both"/>
              <w:rPr>
                <w:rFonts w:ascii="FrankRuehl" w:hAnsi="FrankRuehl" w:cs="FrankRuehl"/>
                <w:b/>
                <w:bCs/>
                <w:sz w:val="30"/>
                <w:szCs w:val="30"/>
              </w:rPr>
            </w:pPr>
          </w:p>
        </w:tc>
      </w:tr>
      <w:bookmarkEnd w:id="2"/>
      <w:tr w:rsidR="002860ED" w:rsidRPr="001375F8" w14:paraId="2DA085D1" w14:textId="77777777" w:rsidTr="002860ED">
        <w:trPr>
          <w:trHeight w:val="355"/>
          <w:jc w:val="center"/>
        </w:trPr>
        <w:tc>
          <w:tcPr>
            <w:tcW w:w="923" w:type="dxa"/>
            <w:tcBorders>
              <w:top w:val="nil"/>
              <w:left w:val="nil"/>
              <w:bottom w:val="nil"/>
              <w:right w:val="nil"/>
            </w:tcBorders>
            <w:shd w:val="clear" w:color="auto" w:fill="auto"/>
          </w:tcPr>
          <w:p w14:paraId="414697F6" w14:textId="77777777" w:rsidR="002860ED" w:rsidRPr="001375F8" w:rsidRDefault="002860ED" w:rsidP="002860ED">
            <w:pPr>
              <w:jc w:val="both"/>
              <w:rPr>
                <w:rFonts w:ascii="FrankRuehl" w:hAnsi="FrankRuehl" w:cs="FrankRuehl"/>
                <w:b/>
                <w:bCs/>
                <w:sz w:val="30"/>
                <w:szCs w:val="30"/>
              </w:rPr>
            </w:pPr>
          </w:p>
        </w:tc>
        <w:tc>
          <w:tcPr>
            <w:tcW w:w="5062" w:type="dxa"/>
            <w:tcBorders>
              <w:top w:val="nil"/>
              <w:left w:val="nil"/>
              <w:bottom w:val="nil"/>
              <w:right w:val="nil"/>
            </w:tcBorders>
            <w:shd w:val="clear" w:color="auto" w:fill="auto"/>
          </w:tcPr>
          <w:p w14:paraId="4C40A098" w14:textId="77777777" w:rsidR="002860ED" w:rsidRPr="001375F8" w:rsidRDefault="002860ED" w:rsidP="002860ED">
            <w:pPr>
              <w:jc w:val="both"/>
              <w:rPr>
                <w:rFonts w:ascii="FrankRuehl" w:hAnsi="FrankRuehl" w:cs="FrankRuehl"/>
                <w:b/>
                <w:bCs/>
                <w:sz w:val="30"/>
                <w:szCs w:val="30"/>
                <w:rtl/>
              </w:rPr>
            </w:pPr>
            <w:r w:rsidRPr="001375F8">
              <w:rPr>
                <w:rFonts w:ascii="FrankRuehl" w:hAnsi="FrankRuehl" w:cs="FrankRuehl"/>
                <w:b/>
                <w:bCs/>
                <w:sz w:val="30"/>
                <w:szCs w:val="30"/>
                <w:rtl/>
              </w:rPr>
              <w:t>באמצעות פרקליטות מחוז ירושלים (פלילי),</w:t>
            </w:r>
          </w:p>
          <w:p w14:paraId="665DB418" w14:textId="77777777" w:rsidR="002860ED" w:rsidRPr="001375F8" w:rsidRDefault="002860ED" w:rsidP="002860ED">
            <w:pPr>
              <w:jc w:val="both"/>
              <w:rPr>
                <w:rFonts w:ascii="FrankRuehl" w:hAnsi="FrankRuehl" w:cs="FrankRuehl"/>
                <w:b/>
                <w:bCs/>
                <w:sz w:val="30"/>
                <w:szCs w:val="30"/>
                <w:rtl/>
              </w:rPr>
            </w:pPr>
            <w:r w:rsidRPr="001375F8">
              <w:rPr>
                <w:rFonts w:ascii="FrankRuehl" w:hAnsi="FrankRuehl" w:cs="FrankRuehl"/>
                <w:b/>
                <w:bCs/>
                <w:sz w:val="30"/>
                <w:szCs w:val="30"/>
                <w:rtl/>
              </w:rPr>
              <w:t>ע"י עו"ד שי עציון</w:t>
            </w:r>
          </w:p>
        </w:tc>
        <w:tc>
          <w:tcPr>
            <w:tcW w:w="2835" w:type="dxa"/>
            <w:tcBorders>
              <w:top w:val="nil"/>
              <w:left w:val="nil"/>
              <w:bottom w:val="nil"/>
              <w:right w:val="nil"/>
            </w:tcBorders>
            <w:shd w:val="clear" w:color="auto" w:fill="auto"/>
          </w:tcPr>
          <w:p w14:paraId="33D2E47F" w14:textId="77777777" w:rsidR="002860ED" w:rsidRPr="001375F8" w:rsidRDefault="002860ED" w:rsidP="002860ED">
            <w:pPr>
              <w:jc w:val="right"/>
              <w:rPr>
                <w:rFonts w:ascii="FrankRuehl" w:hAnsi="FrankRuehl" w:cs="FrankRuehl"/>
                <w:b/>
                <w:bCs/>
                <w:sz w:val="30"/>
                <w:szCs w:val="30"/>
                <w:rtl/>
              </w:rPr>
            </w:pPr>
          </w:p>
          <w:p w14:paraId="3C94A591" w14:textId="77777777" w:rsidR="002860ED" w:rsidRPr="001375F8" w:rsidRDefault="002860ED" w:rsidP="002860ED">
            <w:pPr>
              <w:jc w:val="right"/>
              <w:rPr>
                <w:rFonts w:ascii="FrankRuehl" w:hAnsi="FrankRuehl" w:cs="FrankRuehl"/>
                <w:b/>
                <w:bCs/>
                <w:sz w:val="30"/>
                <w:szCs w:val="30"/>
                <w:rtl/>
              </w:rPr>
            </w:pPr>
            <w:r w:rsidRPr="001375F8">
              <w:rPr>
                <w:rFonts w:ascii="FrankRuehl" w:hAnsi="FrankRuehl" w:cs="FrankRuehl"/>
                <w:b/>
                <w:bCs/>
                <w:sz w:val="30"/>
                <w:szCs w:val="30"/>
                <w:rtl/>
              </w:rPr>
              <w:t>המאשימה</w:t>
            </w:r>
          </w:p>
        </w:tc>
      </w:tr>
      <w:tr w:rsidR="002860ED" w:rsidRPr="001375F8" w14:paraId="65C80447" w14:textId="77777777" w:rsidTr="002860ED">
        <w:trPr>
          <w:trHeight w:val="355"/>
          <w:jc w:val="center"/>
        </w:trPr>
        <w:tc>
          <w:tcPr>
            <w:tcW w:w="923" w:type="dxa"/>
            <w:tcBorders>
              <w:top w:val="nil"/>
              <w:left w:val="nil"/>
              <w:bottom w:val="nil"/>
              <w:right w:val="nil"/>
            </w:tcBorders>
            <w:shd w:val="clear" w:color="auto" w:fill="auto"/>
          </w:tcPr>
          <w:p w14:paraId="023A6A1D" w14:textId="77777777" w:rsidR="002860ED" w:rsidRPr="001375F8" w:rsidRDefault="002860ED" w:rsidP="002860ED">
            <w:pPr>
              <w:jc w:val="both"/>
              <w:rPr>
                <w:rFonts w:ascii="FrankRuehl" w:hAnsi="FrankRuehl" w:cs="FrankRuehl"/>
                <w:b/>
                <w:bCs/>
                <w:sz w:val="30"/>
                <w:szCs w:val="30"/>
                <w:rtl/>
              </w:rPr>
            </w:pPr>
          </w:p>
        </w:tc>
        <w:tc>
          <w:tcPr>
            <w:tcW w:w="7897" w:type="dxa"/>
            <w:gridSpan w:val="2"/>
            <w:tcBorders>
              <w:top w:val="nil"/>
              <w:left w:val="nil"/>
              <w:bottom w:val="nil"/>
              <w:right w:val="nil"/>
            </w:tcBorders>
            <w:shd w:val="clear" w:color="auto" w:fill="auto"/>
          </w:tcPr>
          <w:p w14:paraId="16057D14" w14:textId="77777777" w:rsidR="002860ED" w:rsidRPr="001375F8" w:rsidRDefault="002860ED" w:rsidP="002860ED">
            <w:pPr>
              <w:jc w:val="center"/>
              <w:rPr>
                <w:rFonts w:ascii="FrankRuehl" w:hAnsi="FrankRuehl" w:cs="FrankRuehl"/>
                <w:b/>
                <w:bCs/>
                <w:sz w:val="30"/>
                <w:szCs w:val="30"/>
                <w:rtl/>
              </w:rPr>
            </w:pPr>
          </w:p>
          <w:p w14:paraId="6B9C37FD" w14:textId="77777777" w:rsidR="002860ED" w:rsidRPr="001375F8" w:rsidRDefault="002860ED" w:rsidP="002860ED">
            <w:pPr>
              <w:jc w:val="center"/>
              <w:rPr>
                <w:rFonts w:ascii="FrankRuehl" w:hAnsi="FrankRuehl" w:cs="FrankRuehl"/>
                <w:b/>
                <w:bCs/>
                <w:sz w:val="30"/>
                <w:szCs w:val="30"/>
                <w:rtl/>
              </w:rPr>
            </w:pPr>
            <w:r w:rsidRPr="001375F8">
              <w:rPr>
                <w:rFonts w:ascii="FrankRuehl" w:hAnsi="FrankRuehl" w:cs="FrankRuehl"/>
                <w:b/>
                <w:bCs/>
                <w:sz w:val="30"/>
                <w:szCs w:val="30"/>
                <w:rtl/>
              </w:rPr>
              <w:t>נ ג ד</w:t>
            </w:r>
          </w:p>
          <w:p w14:paraId="631CDFF1" w14:textId="77777777" w:rsidR="002860ED" w:rsidRPr="001375F8" w:rsidRDefault="002860ED" w:rsidP="002860ED">
            <w:pPr>
              <w:jc w:val="both"/>
              <w:rPr>
                <w:rFonts w:ascii="FrankRuehl" w:hAnsi="FrankRuehl" w:cs="FrankRuehl"/>
                <w:b/>
                <w:bCs/>
                <w:sz w:val="30"/>
                <w:szCs w:val="30"/>
                <w:rtl/>
              </w:rPr>
            </w:pPr>
          </w:p>
        </w:tc>
      </w:tr>
      <w:tr w:rsidR="002860ED" w:rsidRPr="001375F8" w14:paraId="77C5030B" w14:textId="77777777" w:rsidTr="002860ED">
        <w:trPr>
          <w:trHeight w:val="355"/>
          <w:jc w:val="center"/>
        </w:trPr>
        <w:tc>
          <w:tcPr>
            <w:tcW w:w="923" w:type="dxa"/>
            <w:tcBorders>
              <w:top w:val="nil"/>
              <w:left w:val="nil"/>
              <w:bottom w:val="nil"/>
              <w:right w:val="nil"/>
            </w:tcBorders>
            <w:shd w:val="clear" w:color="auto" w:fill="auto"/>
          </w:tcPr>
          <w:p w14:paraId="45590EEE" w14:textId="77777777" w:rsidR="002860ED" w:rsidRPr="001375F8" w:rsidRDefault="002860ED" w:rsidP="00ED5D35">
            <w:pPr>
              <w:rPr>
                <w:rFonts w:ascii="FrankRuehl" w:hAnsi="FrankRuehl" w:cs="FrankRuehl"/>
                <w:b/>
                <w:bCs/>
                <w:sz w:val="30"/>
                <w:szCs w:val="30"/>
              </w:rPr>
            </w:pPr>
          </w:p>
        </w:tc>
        <w:tc>
          <w:tcPr>
            <w:tcW w:w="5062" w:type="dxa"/>
            <w:tcBorders>
              <w:top w:val="nil"/>
              <w:left w:val="nil"/>
              <w:bottom w:val="nil"/>
              <w:right w:val="nil"/>
            </w:tcBorders>
            <w:shd w:val="clear" w:color="auto" w:fill="auto"/>
          </w:tcPr>
          <w:p w14:paraId="049E92F6" w14:textId="77777777" w:rsidR="002860ED" w:rsidRPr="001375F8" w:rsidRDefault="002860ED" w:rsidP="00ED5D35">
            <w:pPr>
              <w:rPr>
                <w:rFonts w:ascii="FrankRuehl" w:hAnsi="FrankRuehl" w:cs="FrankRuehl"/>
                <w:b/>
                <w:bCs/>
                <w:sz w:val="30"/>
                <w:szCs w:val="30"/>
                <w:rtl/>
              </w:rPr>
            </w:pPr>
            <w:r w:rsidRPr="001375F8">
              <w:rPr>
                <w:rFonts w:ascii="FrankRuehl" w:hAnsi="FrankRuehl" w:cs="FrankRuehl"/>
                <w:b/>
                <w:bCs/>
                <w:sz w:val="30"/>
                <w:szCs w:val="30"/>
                <w:rtl/>
              </w:rPr>
              <w:t xml:space="preserve">מוסא עבאסי </w:t>
            </w:r>
            <w:r w:rsidRPr="001375F8">
              <w:rPr>
                <w:rFonts w:ascii="FrankRuehl" w:hAnsi="FrankRuehl" w:cs="FrankRuehl"/>
                <w:b/>
                <w:bCs/>
                <w:sz w:val="30"/>
                <w:szCs w:val="30"/>
                <w:rtl/>
              </w:rPr>
              <w:br/>
              <w:t>ע"י ב"כ עו"ד בדריה עותמאן</w:t>
            </w:r>
          </w:p>
        </w:tc>
        <w:tc>
          <w:tcPr>
            <w:tcW w:w="2835" w:type="dxa"/>
            <w:tcBorders>
              <w:top w:val="nil"/>
              <w:left w:val="nil"/>
              <w:bottom w:val="nil"/>
              <w:right w:val="nil"/>
            </w:tcBorders>
            <w:shd w:val="clear" w:color="auto" w:fill="auto"/>
          </w:tcPr>
          <w:p w14:paraId="52789A51" w14:textId="77777777" w:rsidR="002860ED" w:rsidRPr="001375F8" w:rsidRDefault="002860ED" w:rsidP="002860ED">
            <w:pPr>
              <w:jc w:val="right"/>
              <w:rPr>
                <w:rFonts w:ascii="FrankRuehl" w:hAnsi="FrankRuehl" w:cs="FrankRuehl"/>
                <w:b/>
                <w:bCs/>
                <w:sz w:val="30"/>
                <w:szCs w:val="30"/>
                <w:rtl/>
              </w:rPr>
            </w:pPr>
          </w:p>
        </w:tc>
      </w:tr>
      <w:tr w:rsidR="002860ED" w:rsidRPr="001375F8" w14:paraId="414AEE69" w14:textId="77777777" w:rsidTr="002860ED">
        <w:trPr>
          <w:trHeight w:val="355"/>
          <w:jc w:val="center"/>
        </w:trPr>
        <w:tc>
          <w:tcPr>
            <w:tcW w:w="923" w:type="dxa"/>
            <w:tcBorders>
              <w:top w:val="nil"/>
              <w:left w:val="nil"/>
              <w:bottom w:val="nil"/>
              <w:right w:val="nil"/>
            </w:tcBorders>
            <w:shd w:val="clear" w:color="auto" w:fill="auto"/>
          </w:tcPr>
          <w:p w14:paraId="5C12B33B" w14:textId="77777777" w:rsidR="002860ED" w:rsidRPr="001375F8" w:rsidRDefault="002860ED" w:rsidP="002860ED">
            <w:pPr>
              <w:jc w:val="both"/>
              <w:rPr>
                <w:rFonts w:ascii="FrankRuehl" w:hAnsi="FrankRuehl" w:cs="FrankRuehl"/>
                <w:b/>
                <w:bCs/>
                <w:sz w:val="30"/>
                <w:szCs w:val="30"/>
              </w:rPr>
            </w:pPr>
          </w:p>
        </w:tc>
        <w:tc>
          <w:tcPr>
            <w:tcW w:w="5062" w:type="dxa"/>
            <w:tcBorders>
              <w:top w:val="nil"/>
              <w:left w:val="nil"/>
              <w:bottom w:val="nil"/>
              <w:right w:val="nil"/>
            </w:tcBorders>
            <w:shd w:val="clear" w:color="auto" w:fill="auto"/>
          </w:tcPr>
          <w:p w14:paraId="5472D08C" w14:textId="77777777" w:rsidR="002860ED" w:rsidRPr="001375F8" w:rsidRDefault="002860ED" w:rsidP="002860ED">
            <w:pPr>
              <w:jc w:val="both"/>
              <w:rPr>
                <w:rFonts w:ascii="FrankRuehl" w:hAnsi="FrankRuehl" w:cs="FrankRuehl"/>
                <w:b/>
                <w:bCs/>
                <w:sz w:val="30"/>
                <w:szCs w:val="30"/>
                <w:rtl/>
              </w:rPr>
            </w:pPr>
          </w:p>
        </w:tc>
        <w:tc>
          <w:tcPr>
            <w:tcW w:w="2835" w:type="dxa"/>
            <w:tcBorders>
              <w:top w:val="nil"/>
              <w:left w:val="nil"/>
              <w:bottom w:val="nil"/>
              <w:right w:val="nil"/>
            </w:tcBorders>
            <w:shd w:val="clear" w:color="auto" w:fill="auto"/>
          </w:tcPr>
          <w:p w14:paraId="53B77D33" w14:textId="77777777" w:rsidR="002860ED" w:rsidRPr="001375F8" w:rsidRDefault="002860ED" w:rsidP="002860ED">
            <w:pPr>
              <w:jc w:val="center"/>
              <w:rPr>
                <w:rFonts w:ascii="FrankRuehl" w:hAnsi="FrankRuehl" w:cs="FrankRuehl"/>
                <w:b/>
                <w:bCs/>
                <w:sz w:val="30"/>
                <w:szCs w:val="30"/>
                <w:rtl/>
              </w:rPr>
            </w:pPr>
            <w:r w:rsidRPr="001375F8">
              <w:rPr>
                <w:rFonts w:ascii="FrankRuehl" w:hAnsi="FrankRuehl" w:cs="FrankRuehl"/>
                <w:b/>
                <w:bCs/>
                <w:sz w:val="30"/>
                <w:szCs w:val="30"/>
                <w:rtl/>
              </w:rPr>
              <w:t xml:space="preserve">                     הנאשם</w:t>
            </w:r>
          </w:p>
        </w:tc>
      </w:tr>
    </w:tbl>
    <w:p w14:paraId="72A906A9" w14:textId="77777777" w:rsidR="002860ED" w:rsidRPr="001375F8" w:rsidRDefault="002860ED" w:rsidP="002860ED">
      <w:pPr>
        <w:rPr>
          <w:rFonts w:ascii="FrankRuehl" w:hAnsi="FrankRuehl" w:cs="FrankRuehl"/>
          <w:b/>
          <w:bCs/>
          <w:sz w:val="30"/>
          <w:szCs w:val="30"/>
        </w:rPr>
      </w:pPr>
    </w:p>
    <w:p w14:paraId="59717D66" w14:textId="77777777" w:rsidR="002860ED" w:rsidRPr="001375F8" w:rsidRDefault="002860ED" w:rsidP="002860ED">
      <w:pPr>
        <w:rPr>
          <w:rFonts w:ascii="FrankRuehl" w:hAnsi="FrankRuehl" w:cs="FrankRuehl"/>
          <w:sz w:val="30"/>
          <w:szCs w:val="30"/>
          <w:rtl/>
        </w:rPr>
      </w:pPr>
    </w:p>
    <w:p w14:paraId="71E4A391" w14:textId="77777777" w:rsidR="00515EAE" w:rsidRPr="001375F8" w:rsidRDefault="00515EAE" w:rsidP="00ED5D35">
      <w:pPr>
        <w:rPr>
          <w:rFonts w:ascii="FrankRuehl" w:hAnsi="FrankRuehl" w:cs="FrankRuehl"/>
          <w:b/>
          <w:bCs/>
          <w:sz w:val="28"/>
          <w:szCs w:val="28"/>
        </w:rPr>
      </w:pPr>
      <w:r w:rsidRPr="001375F8">
        <w:rPr>
          <w:rFonts w:ascii="FrankRuehl" w:hAnsi="FrankRuehl" w:cs="FrankRuehl"/>
          <w:b/>
          <w:bCs/>
          <w:sz w:val="28"/>
          <w:szCs w:val="28"/>
          <w:rtl/>
        </w:rPr>
        <w:t xml:space="preserve">נוכחים: </w:t>
      </w:r>
    </w:p>
    <w:p w14:paraId="6B63F8FE" w14:textId="77777777" w:rsidR="00515EAE" w:rsidRPr="001375F8" w:rsidRDefault="00515EAE" w:rsidP="00ED5D35">
      <w:pPr>
        <w:rPr>
          <w:rFonts w:ascii="FrankRuehl" w:hAnsi="FrankRuehl" w:cs="FrankRuehl"/>
          <w:sz w:val="28"/>
          <w:szCs w:val="28"/>
          <w:rtl/>
        </w:rPr>
      </w:pPr>
      <w:r w:rsidRPr="001375F8">
        <w:rPr>
          <w:rFonts w:ascii="FrankRuehl" w:hAnsi="FrankRuehl" w:cs="FrankRuehl"/>
          <w:sz w:val="28"/>
          <w:szCs w:val="28"/>
          <w:rtl/>
        </w:rPr>
        <w:t>ב"כ המאשימה עו"ד</w:t>
      </w:r>
      <w:r w:rsidRPr="001375F8">
        <w:rPr>
          <w:rFonts w:ascii="FrankRuehl" w:hAnsi="FrankRuehl" w:cs="FrankRuehl" w:hint="cs"/>
          <w:sz w:val="28"/>
          <w:szCs w:val="28"/>
          <w:rtl/>
        </w:rPr>
        <w:t xml:space="preserve"> מרים בן גל</w:t>
      </w:r>
    </w:p>
    <w:p w14:paraId="75542A45" w14:textId="77777777" w:rsidR="00515EAE" w:rsidRPr="001375F8" w:rsidRDefault="00515EAE" w:rsidP="00ED5D35">
      <w:pPr>
        <w:rPr>
          <w:rFonts w:ascii="FrankRuehl" w:hAnsi="FrankRuehl" w:cs="FrankRuehl"/>
          <w:sz w:val="28"/>
          <w:szCs w:val="28"/>
          <w:rtl/>
        </w:rPr>
      </w:pPr>
      <w:r w:rsidRPr="001375F8">
        <w:rPr>
          <w:rFonts w:ascii="FrankRuehl" w:hAnsi="FrankRuehl" w:cs="FrankRuehl"/>
          <w:sz w:val="28"/>
          <w:szCs w:val="28"/>
          <w:rtl/>
        </w:rPr>
        <w:t>ב"כ הנאשם עו"ד בדריה עותמאן</w:t>
      </w:r>
    </w:p>
    <w:p w14:paraId="38E69EF7" w14:textId="77777777" w:rsidR="00515EAE" w:rsidRPr="001375F8" w:rsidRDefault="00515EAE" w:rsidP="00ED5D35">
      <w:pPr>
        <w:rPr>
          <w:rFonts w:ascii="FrankRuehl" w:hAnsi="FrankRuehl" w:cs="FrankRuehl"/>
          <w:sz w:val="28"/>
          <w:szCs w:val="28"/>
          <w:rtl/>
        </w:rPr>
      </w:pPr>
      <w:r w:rsidRPr="001375F8">
        <w:rPr>
          <w:rFonts w:ascii="FrankRuehl" w:hAnsi="FrankRuehl" w:cs="FrankRuehl"/>
          <w:sz w:val="28"/>
          <w:szCs w:val="28"/>
          <w:rtl/>
        </w:rPr>
        <w:t>הנאשם בעצמו</w:t>
      </w:r>
    </w:p>
    <w:p w14:paraId="026D33FD" w14:textId="77777777" w:rsidR="00515EAE" w:rsidRPr="001375F8" w:rsidRDefault="00515EAE" w:rsidP="00ED5D35">
      <w:pPr>
        <w:rPr>
          <w:rFonts w:ascii="FrankRuehl" w:hAnsi="FrankRuehl" w:cs="FrankRuehl"/>
          <w:sz w:val="28"/>
          <w:szCs w:val="28"/>
          <w:rtl/>
        </w:rPr>
      </w:pPr>
      <w:r w:rsidRPr="001375F8">
        <w:rPr>
          <w:rFonts w:ascii="FrankRuehl" w:hAnsi="FrankRuehl" w:cs="FrankRuehl"/>
          <w:sz w:val="28"/>
          <w:szCs w:val="28"/>
          <w:rtl/>
        </w:rPr>
        <w:t>מתורגמ</w:t>
      </w:r>
      <w:r w:rsidRPr="001375F8">
        <w:rPr>
          <w:rFonts w:ascii="FrankRuehl" w:hAnsi="FrankRuehl" w:cs="FrankRuehl" w:hint="cs"/>
          <w:sz w:val="28"/>
          <w:szCs w:val="28"/>
          <w:rtl/>
        </w:rPr>
        <w:t>נית</w:t>
      </w:r>
      <w:r w:rsidRPr="001375F8">
        <w:rPr>
          <w:rFonts w:ascii="FrankRuehl" w:hAnsi="FrankRuehl" w:cs="FrankRuehl"/>
          <w:sz w:val="28"/>
          <w:szCs w:val="28"/>
          <w:rtl/>
        </w:rPr>
        <w:t xml:space="preserve"> בית המשפט לשפה הערבית </w:t>
      </w:r>
      <w:r w:rsidRPr="001375F8">
        <w:rPr>
          <w:rFonts w:ascii="FrankRuehl" w:hAnsi="FrankRuehl" w:cs="FrankRuehl" w:hint="cs"/>
          <w:sz w:val="28"/>
          <w:szCs w:val="28"/>
          <w:rtl/>
        </w:rPr>
        <w:t>גב' רים דעדוע</w:t>
      </w:r>
    </w:p>
    <w:p w14:paraId="3270249D" w14:textId="77777777" w:rsidR="00515EAE" w:rsidRPr="001375F8" w:rsidRDefault="00515EAE" w:rsidP="00515EAE">
      <w:pPr>
        <w:pStyle w:val="a3"/>
        <w:spacing w:before="120" w:after="120" w:line="240" w:lineRule="exact"/>
        <w:ind w:left="283" w:hanging="283"/>
        <w:jc w:val="both"/>
        <w:rPr>
          <w:rFonts w:ascii="FrankRuehl" w:hAnsi="FrankRuehl" w:cs="FrankRuehl"/>
          <w:rtl/>
        </w:rPr>
      </w:pPr>
    </w:p>
    <w:p w14:paraId="13395B41" w14:textId="77777777" w:rsidR="00515EAE" w:rsidRPr="001375F8" w:rsidRDefault="00515EAE" w:rsidP="00ED5D35">
      <w:pPr>
        <w:rPr>
          <w:rFonts w:ascii="FrankRuehl" w:hAnsi="FrankRuehl" w:cs="FrankRuehl"/>
          <w:b/>
          <w:bCs/>
          <w:sz w:val="30"/>
          <w:szCs w:val="30"/>
          <w:rtl/>
        </w:rPr>
      </w:pPr>
    </w:p>
    <w:p w14:paraId="1A6E8A48" w14:textId="77777777" w:rsidR="00515EAE" w:rsidRPr="001375F8" w:rsidRDefault="00515EAE" w:rsidP="002860ED">
      <w:pPr>
        <w:jc w:val="center"/>
        <w:rPr>
          <w:rFonts w:ascii="FrankRuehl" w:hAnsi="FrankRuehl" w:cs="FrankRuehl"/>
          <w:b/>
          <w:bCs/>
          <w:sz w:val="30"/>
          <w:szCs w:val="30"/>
          <w:rtl/>
        </w:rPr>
      </w:pPr>
    </w:p>
    <w:p w14:paraId="1DBBB271" w14:textId="77777777" w:rsidR="009F779B" w:rsidRDefault="009F779B" w:rsidP="002860ED">
      <w:pPr>
        <w:jc w:val="center"/>
        <w:rPr>
          <w:rFonts w:ascii="FrankRuehl" w:hAnsi="FrankRuehl" w:cs="FrankRuehl"/>
          <w:sz w:val="30"/>
          <w:szCs w:val="30"/>
          <w:rtl/>
        </w:rPr>
      </w:pPr>
    </w:p>
    <w:p w14:paraId="44B95B10" w14:textId="77777777" w:rsidR="009F779B" w:rsidRPr="009F779B" w:rsidRDefault="009F779B" w:rsidP="009F779B">
      <w:pPr>
        <w:spacing w:after="120" w:line="240" w:lineRule="exact"/>
        <w:ind w:left="283" w:hanging="283"/>
        <w:jc w:val="both"/>
        <w:rPr>
          <w:rFonts w:ascii="FrankRuehl" w:hAnsi="FrankRuehl" w:cs="FrankRuehl"/>
          <w:rtl/>
        </w:rPr>
      </w:pPr>
    </w:p>
    <w:p w14:paraId="15E74FA1" w14:textId="77777777" w:rsidR="00785E8D" w:rsidRDefault="00785E8D" w:rsidP="00785E8D">
      <w:pPr>
        <w:jc w:val="center"/>
        <w:rPr>
          <w:rFonts w:ascii="FrankRuehl" w:hAnsi="FrankRuehl" w:cs="FrankRuehl"/>
          <w:sz w:val="30"/>
          <w:szCs w:val="30"/>
          <w:rtl/>
        </w:rPr>
      </w:pPr>
      <w:bookmarkStart w:id="3" w:name="LawTable"/>
      <w:bookmarkEnd w:id="3"/>
    </w:p>
    <w:p w14:paraId="65E68CA8" w14:textId="77777777" w:rsidR="00785E8D" w:rsidRPr="00785E8D" w:rsidRDefault="00785E8D" w:rsidP="00785E8D">
      <w:pPr>
        <w:spacing w:before="120" w:after="120" w:line="240" w:lineRule="exact"/>
        <w:ind w:left="283" w:hanging="283"/>
        <w:jc w:val="both"/>
        <w:rPr>
          <w:rFonts w:ascii="FrankRuehl" w:hAnsi="FrankRuehl" w:cs="FrankRuehl"/>
          <w:rtl/>
        </w:rPr>
      </w:pPr>
    </w:p>
    <w:p w14:paraId="58AEF993" w14:textId="77777777" w:rsidR="00785E8D" w:rsidRPr="00785E8D" w:rsidRDefault="00785E8D" w:rsidP="00785E8D">
      <w:pPr>
        <w:spacing w:before="120" w:after="120" w:line="240" w:lineRule="exact"/>
        <w:ind w:left="283" w:hanging="283"/>
        <w:jc w:val="both"/>
        <w:rPr>
          <w:rFonts w:ascii="FrankRuehl" w:hAnsi="FrankRuehl" w:cs="FrankRuehl"/>
          <w:rtl/>
        </w:rPr>
      </w:pPr>
    </w:p>
    <w:p w14:paraId="4BA94F7F" w14:textId="77777777" w:rsidR="00785E8D" w:rsidRPr="00785E8D" w:rsidRDefault="00785E8D" w:rsidP="00785E8D">
      <w:pPr>
        <w:spacing w:before="120" w:after="120" w:line="240" w:lineRule="exact"/>
        <w:ind w:left="283" w:hanging="283"/>
        <w:jc w:val="both"/>
        <w:rPr>
          <w:rFonts w:ascii="FrankRuehl" w:hAnsi="FrankRuehl" w:cs="FrankRuehl"/>
          <w:rtl/>
        </w:rPr>
      </w:pPr>
      <w:r w:rsidRPr="00785E8D">
        <w:rPr>
          <w:rFonts w:ascii="FrankRuehl" w:hAnsi="FrankRuehl" w:cs="FrankRuehl"/>
          <w:rtl/>
        </w:rPr>
        <w:t xml:space="preserve">חקיקה שאוזכרה: </w:t>
      </w:r>
    </w:p>
    <w:p w14:paraId="395BA5D6" w14:textId="77777777" w:rsidR="00785E8D" w:rsidRPr="00785E8D" w:rsidRDefault="00785E8D" w:rsidP="00785E8D">
      <w:pPr>
        <w:spacing w:before="120" w:after="120" w:line="240" w:lineRule="exact"/>
        <w:ind w:left="283" w:hanging="283"/>
        <w:jc w:val="both"/>
        <w:rPr>
          <w:rFonts w:ascii="FrankRuehl" w:hAnsi="FrankRuehl" w:cs="FrankRuehl"/>
          <w:rtl/>
        </w:rPr>
      </w:pPr>
      <w:hyperlink r:id="rId6" w:history="1">
        <w:r w:rsidRPr="00785E8D">
          <w:rPr>
            <w:rFonts w:ascii="FrankRuehl" w:hAnsi="FrankRuehl" w:cs="FrankRuehl"/>
            <w:color w:val="0000FF"/>
            <w:rtl/>
          </w:rPr>
          <w:t>חוק העונשין, תשל"ז-1977</w:t>
        </w:r>
      </w:hyperlink>
      <w:r w:rsidRPr="00785E8D">
        <w:rPr>
          <w:rFonts w:ascii="FrankRuehl" w:hAnsi="FrankRuehl" w:cs="FrankRuehl"/>
          <w:rtl/>
        </w:rPr>
        <w:t xml:space="preserve">: סע'  </w:t>
      </w:r>
      <w:hyperlink r:id="rId7" w:history="1">
        <w:r w:rsidRPr="00785E8D">
          <w:rPr>
            <w:rFonts w:ascii="FrankRuehl" w:hAnsi="FrankRuehl" w:cs="FrankRuehl"/>
            <w:color w:val="0000FF"/>
            <w:rtl/>
          </w:rPr>
          <w:t>25</w:t>
        </w:r>
      </w:hyperlink>
      <w:r w:rsidRPr="00785E8D">
        <w:rPr>
          <w:rFonts w:ascii="FrankRuehl" w:hAnsi="FrankRuehl" w:cs="FrankRuehl"/>
          <w:rtl/>
        </w:rPr>
        <w:t xml:space="preserve">, </w:t>
      </w:r>
      <w:hyperlink r:id="rId8" w:history="1">
        <w:r w:rsidRPr="00785E8D">
          <w:rPr>
            <w:rFonts w:ascii="FrankRuehl" w:hAnsi="FrankRuehl" w:cs="FrankRuehl"/>
            <w:color w:val="0000FF"/>
            <w:rtl/>
          </w:rPr>
          <w:t>144(א)</w:t>
        </w:r>
      </w:hyperlink>
      <w:r w:rsidRPr="00785E8D">
        <w:rPr>
          <w:rFonts w:ascii="FrankRuehl" w:hAnsi="FrankRuehl" w:cs="FrankRuehl"/>
          <w:rtl/>
        </w:rPr>
        <w:t xml:space="preserve">, </w:t>
      </w:r>
      <w:hyperlink r:id="rId9" w:history="1">
        <w:r w:rsidRPr="00785E8D">
          <w:rPr>
            <w:rFonts w:ascii="FrankRuehl" w:hAnsi="FrankRuehl" w:cs="FrankRuehl"/>
            <w:color w:val="0000FF"/>
            <w:rtl/>
          </w:rPr>
          <w:t>144(ב)</w:t>
        </w:r>
      </w:hyperlink>
      <w:r w:rsidRPr="00785E8D">
        <w:rPr>
          <w:rFonts w:ascii="FrankRuehl" w:hAnsi="FrankRuehl" w:cs="FrankRuehl"/>
          <w:rtl/>
        </w:rPr>
        <w:t xml:space="preserve">, </w:t>
      </w:r>
      <w:hyperlink r:id="rId10" w:history="1">
        <w:r w:rsidRPr="00785E8D">
          <w:rPr>
            <w:rFonts w:ascii="FrankRuehl" w:hAnsi="FrankRuehl" w:cs="FrankRuehl"/>
            <w:color w:val="0000FF"/>
            <w:rtl/>
          </w:rPr>
          <w:t>340א(א)</w:t>
        </w:r>
      </w:hyperlink>
    </w:p>
    <w:p w14:paraId="0BF5CF66" w14:textId="77777777" w:rsidR="00785E8D" w:rsidRPr="00785E8D" w:rsidRDefault="00785E8D" w:rsidP="00785E8D">
      <w:pPr>
        <w:jc w:val="center"/>
        <w:rPr>
          <w:rFonts w:ascii="FrankRuehl" w:hAnsi="FrankRuehl" w:cs="FrankRuehl"/>
          <w:sz w:val="30"/>
          <w:szCs w:val="30"/>
          <w:rtl/>
        </w:rPr>
      </w:pPr>
      <w:bookmarkStart w:id="4" w:name="LawTable_End"/>
      <w:bookmarkEnd w:id="4"/>
    </w:p>
    <w:p w14:paraId="7022288F" w14:textId="77777777" w:rsidR="00515EAE" w:rsidRPr="009F779B" w:rsidRDefault="00515EAE" w:rsidP="002860ED">
      <w:pPr>
        <w:jc w:val="center"/>
        <w:rPr>
          <w:rFonts w:ascii="FrankRuehl" w:hAnsi="FrankRuehl" w:cs="FrankRuehl"/>
          <w:b/>
          <w:bCs/>
          <w:sz w:val="30"/>
          <w:szCs w:val="30"/>
          <w:rtl/>
        </w:rPr>
      </w:pPr>
    </w:p>
    <w:p w14:paraId="697AF21A" w14:textId="77777777" w:rsidR="00515EAE" w:rsidRPr="001375F8" w:rsidRDefault="00515EAE" w:rsidP="002860ED">
      <w:pPr>
        <w:jc w:val="center"/>
        <w:rPr>
          <w:rFonts w:ascii="FrankRuehl" w:hAnsi="FrankRuehl" w:cs="FrankRuehl"/>
          <w:b/>
          <w:bCs/>
          <w:sz w:val="36"/>
          <w:szCs w:val="36"/>
          <w:rtl/>
        </w:rPr>
      </w:pPr>
      <w:bookmarkStart w:id="5" w:name="PsakDin"/>
      <w:r w:rsidRPr="001375F8">
        <w:rPr>
          <w:rFonts w:ascii="FrankRuehl" w:hAnsi="FrankRuehl" w:cs="FrankRuehl"/>
          <w:b/>
          <w:bCs/>
          <w:sz w:val="36"/>
          <w:szCs w:val="36"/>
          <w:rtl/>
        </w:rPr>
        <w:t xml:space="preserve">גזר </w:t>
      </w:r>
      <w:bookmarkEnd w:id="5"/>
      <w:r w:rsidRPr="001375F8">
        <w:rPr>
          <w:rFonts w:ascii="FrankRuehl" w:hAnsi="FrankRuehl" w:cs="FrankRuehl"/>
          <w:b/>
          <w:bCs/>
          <w:sz w:val="36"/>
          <w:szCs w:val="36"/>
          <w:rtl/>
        </w:rPr>
        <w:t>דין</w:t>
      </w:r>
    </w:p>
    <w:bookmarkEnd w:id="0"/>
    <w:bookmarkEnd w:id="1"/>
    <w:p w14:paraId="2CA6CEE6" w14:textId="77777777" w:rsidR="002860ED" w:rsidRDefault="002860ED" w:rsidP="002860ED">
      <w:pPr>
        <w:rPr>
          <w:rFonts w:ascii="FrankRuehl" w:hAnsi="FrankRuehl" w:cs="FrankRuehl"/>
          <w:sz w:val="30"/>
          <w:szCs w:val="30"/>
          <w:rtl/>
        </w:rPr>
      </w:pPr>
    </w:p>
    <w:p w14:paraId="165C2646" w14:textId="77777777" w:rsidR="002860ED" w:rsidRDefault="002860ED" w:rsidP="002860ED">
      <w:pPr>
        <w:rPr>
          <w:rFonts w:ascii="FrankRuehl" w:hAnsi="FrankRuehl" w:cs="FrankRuehl"/>
          <w:sz w:val="30"/>
          <w:szCs w:val="30"/>
          <w:rtl/>
        </w:rPr>
      </w:pPr>
    </w:p>
    <w:p w14:paraId="6835014D" w14:textId="77777777" w:rsidR="002860ED" w:rsidRDefault="002860ED" w:rsidP="002860ED">
      <w:pPr>
        <w:rPr>
          <w:rFonts w:ascii="David" w:hAnsi="David"/>
          <w:sz w:val="26"/>
          <w:szCs w:val="26"/>
          <w:rtl/>
        </w:rPr>
      </w:pPr>
    </w:p>
    <w:p w14:paraId="547FD7D0" w14:textId="77777777" w:rsidR="002860ED" w:rsidRPr="00B05E2D" w:rsidRDefault="002860ED" w:rsidP="002860ED">
      <w:pPr>
        <w:spacing w:line="360" w:lineRule="auto"/>
        <w:jc w:val="both"/>
        <w:rPr>
          <w:rFonts w:ascii="FrankRuehl" w:hAnsi="FrankRuehl" w:cs="FrankRuehl"/>
          <w:b/>
          <w:bCs/>
          <w:sz w:val="28"/>
          <w:szCs w:val="28"/>
          <w:u w:val="single"/>
          <w:rtl/>
        </w:rPr>
      </w:pPr>
      <w:r w:rsidRPr="00B05E2D">
        <w:rPr>
          <w:rFonts w:ascii="FrankRuehl" w:hAnsi="FrankRuehl" w:cs="FrankRuehl"/>
          <w:b/>
          <w:bCs/>
          <w:sz w:val="28"/>
          <w:szCs w:val="28"/>
          <w:u w:val="single"/>
          <w:rtl/>
        </w:rPr>
        <w:t>האישומים</w:t>
      </w:r>
    </w:p>
    <w:p w14:paraId="47873588" w14:textId="77777777" w:rsidR="002860ED" w:rsidRDefault="002860ED" w:rsidP="002860ED">
      <w:pPr>
        <w:spacing w:line="360" w:lineRule="auto"/>
        <w:jc w:val="both"/>
        <w:rPr>
          <w:rFonts w:ascii="FrankRuehl" w:hAnsi="FrankRuehl" w:cs="FrankRuehl"/>
          <w:sz w:val="28"/>
          <w:szCs w:val="28"/>
          <w:rtl/>
        </w:rPr>
      </w:pPr>
      <w:r>
        <w:rPr>
          <w:rFonts w:ascii="FrankRuehl" w:hAnsi="FrankRuehl" w:cs="FrankRuehl"/>
          <w:sz w:val="28"/>
          <w:szCs w:val="28"/>
          <w:rtl/>
        </w:rPr>
        <w:lastRenderedPageBreak/>
        <w:t>1.</w:t>
      </w:r>
      <w:r>
        <w:rPr>
          <w:rFonts w:ascii="FrankRuehl" w:hAnsi="FrankRuehl" w:cs="FrankRuehl"/>
          <w:sz w:val="28"/>
          <w:szCs w:val="28"/>
          <w:rtl/>
        </w:rPr>
        <w:tab/>
      </w:r>
      <w:bookmarkStart w:id="6" w:name="ABSTRACT_START"/>
      <w:bookmarkEnd w:id="6"/>
      <w:r>
        <w:rPr>
          <w:rFonts w:ascii="FrankRuehl" w:hAnsi="FrankRuehl" w:cs="FrankRuehl"/>
          <w:sz w:val="28"/>
          <w:szCs w:val="28"/>
          <w:rtl/>
        </w:rPr>
        <w:t xml:space="preserve">הנאשם הורשע על פי הודאתו, שניתנה במסגרת הסדר טיעון, בעבירות שיוחסו לו בכתב האישום המתוקן. כתב האישום כלל שישה אישומים אשר על פיהם ביצע הנאשם עבירה של ירי מנשק חם לפי </w:t>
      </w:r>
      <w:hyperlink r:id="rId11" w:history="1">
        <w:r w:rsidR="009F779B" w:rsidRPr="009F779B">
          <w:rPr>
            <w:rStyle w:val="Hyperlink"/>
            <w:rFonts w:ascii="FrankRuehl" w:hAnsi="FrankRuehl" w:cs="FrankRuehl"/>
            <w:sz w:val="28"/>
            <w:szCs w:val="28"/>
            <w:rtl/>
          </w:rPr>
          <w:t>סעיף 340א(א)</w:t>
        </w:r>
      </w:hyperlink>
      <w:r>
        <w:rPr>
          <w:rFonts w:ascii="FrankRuehl" w:hAnsi="FrankRuehl" w:cs="FrankRuehl"/>
          <w:sz w:val="28"/>
          <w:szCs w:val="28"/>
          <w:rtl/>
        </w:rPr>
        <w:t xml:space="preserve"> ל</w:t>
      </w:r>
      <w:hyperlink r:id="rId12" w:history="1">
        <w:r w:rsidR="001375F8" w:rsidRPr="001375F8">
          <w:rPr>
            <w:rFonts w:ascii="FrankRuehl" w:hAnsi="FrankRuehl" w:cs="FrankRuehl"/>
            <w:color w:val="0000FF"/>
            <w:sz w:val="28"/>
            <w:szCs w:val="28"/>
            <w:u w:val="single"/>
            <w:rtl/>
          </w:rPr>
          <w:t>חוק העונשין</w:t>
        </w:r>
      </w:hyperlink>
      <w:r>
        <w:rPr>
          <w:rFonts w:ascii="FrankRuehl" w:hAnsi="FrankRuehl" w:cs="FrankRuehl"/>
          <w:sz w:val="28"/>
          <w:szCs w:val="28"/>
          <w:rtl/>
        </w:rPr>
        <w:t xml:space="preserve">, תשל"ז-1977 (להלן: "החוק"); שתי עבירות של נשיאת נשק לפי </w:t>
      </w:r>
      <w:hyperlink r:id="rId13" w:history="1">
        <w:r w:rsidR="009F779B" w:rsidRPr="009F779B">
          <w:rPr>
            <w:rStyle w:val="Hyperlink"/>
            <w:rFonts w:ascii="FrankRuehl" w:hAnsi="FrankRuehl" w:cs="FrankRuehl"/>
            <w:sz w:val="28"/>
            <w:szCs w:val="28"/>
            <w:rtl/>
          </w:rPr>
          <w:t>סעיף 144(ב)</w:t>
        </w:r>
      </w:hyperlink>
      <w:r>
        <w:rPr>
          <w:rFonts w:ascii="FrankRuehl" w:hAnsi="FrankRuehl" w:cs="FrankRuehl"/>
          <w:sz w:val="28"/>
          <w:szCs w:val="28"/>
          <w:rtl/>
        </w:rPr>
        <w:t xml:space="preserve"> רישא לחוק; עבירה של נשיאת תחמושת לפי </w:t>
      </w:r>
      <w:hyperlink r:id="rId14" w:history="1">
        <w:r w:rsidR="009F779B" w:rsidRPr="009F779B">
          <w:rPr>
            <w:rStyle w:val="Hyperlink"/>
            <w:rFonts w:ascii="FrankRuehl" w:hAnsi="FrankRuehl" w:cs="FrankRuehl"/>
            <w:sz w:val="28"/>
            <w:szCs w:val="28"/>
            <w:rtl/>
          </w:rPr>
          <w:t>סעיף 144(ב)</w:t>
        </w:r>
      </w:hyperlink>
      <w:r>
        <w:rPr>
          <w:rFonts w:ascii="FrankRuehl" w:hAnsi="FrankRuehl" w:cs="FrankRuehl"/>
          <w:sz w:val="28"/>
          <w:szCs w:val="28"/>
          <w:rtl/>
        </w:rPr>
        <w:t xml:space="preserve"> סיפא לחוק; שלוש עבירות של רכישת והחזקת תחמושת לפי </w:t>
      </w:r>
      <w:hyperlink r:id="rId15" w:history="1">
        <w:r w:rsidR="009F779B" w:rsidRPr="009F779B">
          <w:rPr>
            <w:rStyle w:val="Hyperlink"/>
            <w:rFonts w:ascii="FrankRuehl" w:hAnsi="FrankRuehl" w:cs="FrankRuehl"/>
            <w:sz w:val="28"/>
            <w:szCs w:val="28"/>
            <w:rtl/>
          </w:rPr>
          <w:t>סעיף 144(א)</w:t>
        </w:r>
      </w:hyperlink>
      <w:r>
        <w:rPr>
          <w:rFonts w:ascii="FrankRuehl" w:hAnsi="FrankRuehl" w:cs="FrankRuehl"/>
          <w:sz w:val="28"/>
          <w:szCs w:val="28"/>
          <w:rtl/>
        </w:rPr>
        <w:t xml:space="preserve"> סיפא לחוק; ועבירה של ניסיון רכישת אביזר נשק לפי </w:t>
      </w:r>
      <w:hyperlink r:id="rId16" w:history="1">
        <w:r w:rsidR="009F779B" w:rsidRPr="009F779B">
          <w:rPr>
            <w:rStyle w:val="Hyperlink"/>
            <w:rFonts w:ascii="FrankRuehl" w:hAnsi="FrankRuehl" w:cs="FrankRuehl"/>
            <w:sz w:val="28"/>
            <w:szCs w:val="28"/>
            <w:rtl/>
          </w:rPr>
          <w:t>סעיף 144(א)</w:t>
        </w:r>
      </w:hyperlink>
      <w:r>
        <w:rPr>
          <w:rFonts w:ascii="FrankRuehl" w:hAnsi="FrankRuehl" w:cs="FrankRuehl"/>
          <w:sz w:val="28"/>
          <w:szCs w:val="28"/>
          <w:rtl/>
        </w:rPr>
        <w:t xml:space="preserve"> סיפא יחד עם </w:t>
      </w:r>
      <w:hyperlink r:id="rId17" w:history="1">
        <w:r w:rsidR="009F779B" w:rsidRPr="009F779B">
          <w:rPr>
            <w:rStyle w:val="Hyperlink"/>
            <w:rFonts w:ascii="FrankRuehl" w:hAnsi="FrankRuehl" w:cs="FrankRuehl"/>
            <w:sz w:val="28"/>
            <w:szCs w:val="28"/>
            <w:rtl/>
          </w:rPr>
          <w:t>סעיף 25</w:t>
        </w:r>
      </w:hyperlink>
      <w:r>
        <w:rPr>
          <w:rFonts w:ascii="FrankRuehl" w:hAnsi="FrankRuehl" w:cs="FrankRuehl"/>
          <w:sz w:val="28"/>
          <w:szCs w:val="28"/>
          <w:rtl/>
        </w:rPr>
        <w:t xml:space="preserve"> לחוק. </w:t>
      </w:r>
      <w:r>
        <w:rPr>
          <w:rFonts w:ascii="FrankRuehl" w:hAnsi="FrankRuehl" w:cs="FrankRuehl"/>
          <w:sz w:val="28"/>
          <w:szCs w:val="28"/>
          <w:rtl/>
        </w:rPr>
        <w:tab/>
      </w:r>
      <w:bookmarkStart w:id="7" w:name="ABSTRACT_END"/>
      <w:bookmarkEnd w:id="7"/>
    </w:p>
    <w:p w14:paraId="291D7C9F" w14:textId="77777777" w:rsidR="002860ED" w:rsidRDefault="002860ED" w:rsidP="002860ED">
      <w:pPr>
        <w:spacing w:line="360" w:lineRule="auto"/>
        <w:jc w:val="both"/>
        <w:rPr>
          <w:rFonts w:ascii="FrankRuehl" w:hAnsi="FrankRuehl" w:cs="FrankRuehl"/>
          <w:b/>
          <w:bCs/>
          <w:sz w:val="28"/>
          <w:szCs w:val="28"/>
          <w:u w:val="single"/>
          <w:rtl/>
        </w:rPr>
      </w:pPr>
    </w:p>
    <w:p w14:paraId="6B42ADE9" w14:textId="77777777" w:rsidR="002860ED" w:rsidRDefault="002860ED" w:rsidP="002860ED">
      <w:pPr>
        <w:spacing w:line="360" w:lineRule="auto"/>
        <w:jc w:val="both"/>
        <w:rPr>
          <w:rFonts w:ascii="FrankRuehl" w:hAnsi="FrankRuehl" w:cs="FrankRuehl"/>
          <w:sz w:val="28"/>
          <w:szCs w:val="28"/>
          <w:rtl/>
        </w:rPr>
      </w:pPr>
      <w:r>
        <w:rPr>
          <w:rFonts w:ascii="FrankRuehl" w:hAnsi="FrankRuehl" w:cs="FrankRuehl"/>
          <w:sz w:val="28"/>
          <w:szCs w:val="28"/>
          <w:rtl/>
        </w:rPr>
        <w:t>בכתב האישום המתוקן פורטו שישה אישומים.</w:t>
      </w:r>
    </w:p>
    <w:p w14:paraId="7816AECA" w14:textId="77777777" w:rsidR="002860ED" w:rsidRDefault="002860ED" w:rsidP="002860ED">
      <w:pPr>
        <w:spacing w:line="360" w:lineRule="auto"/>
        <w:jc w:val="both"/>
        <w:rPr>
          <w:rFonts w:ascii="FrankRuehl" w:hAnsi="FrankRuehl" w:cs="FrankRuehl"/>
          <w:sz w:val="28"/>
          <w:szCs w:val="28"/>
          <w:rtl/>
        </w:rPr>
      </w:pPr>
    </w:p>
    <w:p w14:paraId="193C71FF" w14:textId="77777777" w:rsidR="002860ED" w:rsidRDefault="002860ED" w:rsidP="002860ED">
      <w:pPr>
        <w:spacing w:line="360" w:lineRule="auto"/>
        <w:jc w:val="both"/>
        <w:rPr>
          <w:rFonts w:ascii="FrankRuehl" w:hAnsi="FrankRuehl" w:cs="FrankRuehl"/>
          <w:sz w:val="28"/>
          <w:szCs w:val="28"/>
          <w:u w:val="single"/>
          <w:rtl/>
        </w:rPr>
      </w:pPr>
      <w:r>
        <w:rPr>
          <w:rFonts w:ascii="FrankRuehl" w:hAnsi="FrankRuehl" w:cs="FrankRuehl"/>
          <w:sz w:val="28"/>
          <w:szCs w:val="28"/>
          <w:u w:val="single"/>
          <w:rtl/>
        </w:rPr>
        <w:t>האישום הראשון</w:t>
      </w:r>
    </w:p>
    <w:p w14:paraId="3EEE0BCB" w14:textId="77777777" w:rsidR="002860ED" w:rsidRDefault="002860ED" w:rsidP="002860ED">
      <w:pPr>
        <w:spacing w:line="360" w:lineRule="auto"/>
        <w:jc w:val="both"/>
        <w:rPr>
          <w:rFonts w:ascii="FrankRuehl" w:hAnsi="FrankRuehl" w:cs="FrankRuehl"/>
          <w:sz w:val="28"/>
          <w:szCs w:val="28"/>
          <w:rtl/>
        </w:rPr>
      </w:pPr>
      <w:r>
        <w:rPr>
          <w:rFonts w:ascii="FrankRuehl" w:hAnsi="FrankRuehl" w:cs="FrankRuehl"/>
          <w:sz w:val="28"/>
          <w:szCs w:val="28"/>
          <w:rtl/>
        </w:rPr>
        <w:t>2.</w:t>
      </w:r>
      <w:r>
        <w:rPr>
          <w:rFonts w:ascii="FrankRuehl" w:hAnsi="FrankRuehl" w:cs="FrankRuehl"/>
          <w:sz w:val="28"/>
          <w:szCs w:val="28"/>
          <w:rtl/>
        </w:rPr>
        <w:tab/>
        <w:t xml:space="preserve">בחודש אוקטובר בשנת 2020, השתתף הנאשם בחתונת אחיו של חברו, באולם הסמוך לירושלים. במהלך החתונה, לקח הנאשם מאדם אחר נשק מסוג </w:t>
      </w:r>
      <w:r>
        <w:rPr>
          <w:rFonts w:ascii="FrankRuehl" w:hAnsi="FrankRuehl" w:cs="FrankRuehl"/>
          <w:sz w:val="28"/>
          <w:szCs w:val="28"/>
        </w:rPr>
        <w:t>M16</w:t>
      </w:r>
      <w:r>
        <w:rPr>
          <w:rFonts w:ascii="FrankRuehl" w:hAnsi="FrankRuehl" w:cs="FrankRuehl"/>
          <w:sz w:val="28"/>
          <w:szCs w:val="28"/>
          <w:rtl/>
        </w:rPr>
        <w:t>, עם מחסנית ותחמושת. הנאשם התרחק מהאולם למרחק של כ-40 מטר, וירה בנשק עשרה כדורים לכיוון מעלה.</w:t>
      </w:r>
    </w:p>
    <w:p w14:paraId="4D474183" w14:textId="77777777" w:rsidR="002860ED" w:rsidRDefault="002860ED" w:rsidP="002860ED">
      <w:pPr>
        <w:spacing w:line="360" w:lineRule="auto"/>
        <w:jc w:val="both"/>
        <w:rPr>
          <w:rFonts w:ascii="FrankRuehl" w:hAnsi="FrankRuehl" w:cs="FrankRuehl"/>
          <w:sz w:val="28"/>
          <w:szCs w:val="28"/>
          <w:u w:val="single"/>
          <w:rtl/>
        </w:rPr>
      </w:pPr>
    </w:p>
    <w:p w14:paraId="41A92577" w14:textId="77777777" w:rsidR="002860ED" w:rsidRDefault="002860ED" w:rsidP="002860ED">
      <w:pPr>
        <w:spacing w:line="360" w:lineRule="auto"/>
        <w:jc w:val="both"/>
        <w:rPr>
          <w:rFonts w:ascii="FrankRuehl" w:hAnsi="FrankRuehl" w:cs="FrankRuehl"/>
          <w:sz w:val="28"/>
          <w:szCs w:val="28"/>
          <w:u w:val="single"/>
          <w:rtl/>
        </w:rPr>
      </w:pPr>
      <w:r>
        <w:rPr>
          <w:rFonts w:ascii="FrankRuehl" w:hAnsi="FrankRuehl" w:cs="FrankRuehl"/>
          <w:sz w:val="28"/>
          <w:szCs w:val="28"/>
          <w:u w:val="single"/>
          <w:rtl/>
        </w:rPr>
        <w:t>האישום השני</w:t>
      </w:r>
    </w:p>
    <w:p w14:paraId="110F2F22" w14:textId="77777777" w:rsidR="002860ED" w:rsidRDefault="002860ED" w:rsidP="002860ED">
      <w:pPr>
        <w:spacing w:line="360" w:lineRule="auto"/>
        <w:jc w:val="both"/>
        <w:rPr>
          <w:rFonts w:ascii="FrankRuehl" w:hAnsi="FrankRuehl" w:cs="FrankRuehl"/>
          <w:sz w:val="28"/>
          <w:szCs w:val="28"/>
          <w:rtl/>
        </w:rPr>
      </w:pPr>
      <w:r>
        <w:rPr>
          <w:rFonts w:ascii="FrankRuehl" w:hAnsi="FrankRuehl" w:cs="FrankRuehl"/>
          <w:sz w:val="28"/>
          <w:szCs w:val="28"/>
          <w:rtl/>
        </w:rPr>
        <w:t>3.</w:t>
      </w:r>
      <w:r>
        <w:rPr>
          <w:rFonts w:ascii="FrankRuehl" w:hAnsi="FrankRuehl" w:cs="FrankRuehl"/>
          <w:sz w:val="28"/>
          <w:szCs w:val="28"/>
          <w:rtl/>
        </w:rPr>
        <w:tab/>
        <w:t xml:space="preserve">במהלך שנת 2018, גמלה בליבו של הנאשם החלטה לבצע ירי מאקדח, לשם ציון הצלחת חברו במבחני הבגרות. לצורך האמור, רכש הנאשם 50 כדורי אקדח בתמורה ל-500 ₪, וכן קיבל לידו אקדח מבן דודו. </w:t>
      </w:r>
    </w:p>
    <w:p w14:paraId="0E8FEA38" w14:textId="77777777" w:rsidR="002860ED" w:rsidRDefault="002860ED" w:rsidP="002860ED">
      <w:pPr>
        <w:spacing w:line="360" w:lineRule="auto"/>
        <w:jc w:val="both"/>
        <w:rPr>
          <w:rFonts w:ascii="FrankRuehl" w:hAnsi="FrankRuehl" w:cs="FrankRuehl"/>
          <w:sz w:val="28"/>
          <w:szCs w:val="28"/>
          <w:rtl/>
        </w:rPr>
      </w:pPr>
    </w:p>
    <w:p w14:paraId="42192908" w14:textId="77777777" w:rsidR="002860ED" w:rsidRDefault="002860ED" w:rsidP="002860ED">
      <w:pPr>
        <w:spacing w:line="360" w:lineRule="auto"/>
        <w:jc w:val="both"/>
        <w:rPr>
          <w:rFonts w:ascii="FrankRuehl" w:hAnsi="FrankRuehl" w:cs="FrankRuehl"/>
          <w:sz w:val="28"/>
          <w:szCs w:val="28"/>
          <w:u w:val="single"/>
          <w:rtl/>
        </w:rPr>
      </w:pPr>
      <w:r>
        <w:rPr>
          <w:rFonts w:ascii="FrankRuehl" w:hAnsi="FrankRuehl" w:cs="FrankRuehl"/>
          <w:sz w:val="28"/>
          <w:szCs w:val="28"/>
          <w:u w:val="single"/>
          <w:rtl/>
        </w:rPr>
        <w:t>האישום השלישי</w:t>
      </w:r>
    </w:p>
    <w:p w14:paraId="5A47E4B5" w14:textId="77777777" w:rsidR="002860ED" w:rsidRDefault="002860ED" w:rsidP="002860ED">
      <w:pPr>
        <w:spacing w:line="360" w:lineRule="auto"/>
        <w:jc w:val="both"/>
        <w:rPr>
          <w:rFonts w:ascii="FrankRuehl" w:hAnsi="FrankRuehl" w:cs="FrankRuehl"/>
          <w:sz w:val="28"/>
          <w:szCs w:val="28"/>
          <w:rtl/>
        </w:rPr>
      </w:pPr>
      <w:r>
        <w:rPr>
          <w:rFonts w:ascii="FrankRuehl" w:hAnsi="FrankRuehl" w:cs="FrankRuehl"/>
          <w:sz w:val="28"/>
          <w:szCs w:val="28"/>
          <w:rtl/>
        </w:rPr>
        <w:t>4.</w:t>
      </w:r>
      <w:r>
        <w:rPr>
          <w:rFonts w:ascii="FrankRuehl" w:hAnsi="FrankRuehl" w:cs="FrankRuehl"/>
          <w:sz w:val="28"/>
          <w:szCs w:val="28"/>
          <w:rtl/>
        </w:rPr>
        <w:tab/>
        <w:t>בחודש מאי בשנת 2020, גמלה בליבו של הנאשם החלטה לבצע ירי מאקדח, לשם ציון הצלחת אחיו במבחני הבגרות. לצורך האמור, נסע הנאשם למחנה פליטים שועפאט, שם רכש 50 כדורי אקדח בתמורה ל-800 ₪. הנאשם לא ביצע את הירי, מאחר שאחיו לא צלח את מבחני הבגרות, והמשיך להחזיק את הכדורים בביתו.</w:t>
      </w:r>
    </w:p>
    <w:p w14:paraId="131DD490" w14:textId="77777777" w:rsidR="002860ED" w:rsidRDefault="002860ED" w:rsidP="002860ED">
      <w:pPr>
        <w:spacing w:line="360" w:lineRule="auto"/>
        <w:jc w:val="both"/>
        <w:rPr>
          <w:rFonts w:ascii="FrankRuehl" w:hAnsi="FrankRuehl" w:cs="FrankRuehl"/>
          <w:sz w:val="28"/>
          <w:szCs w:val="28"/>
          <w:rtl/>
        </w:rPr>
      </w:pPr>
    </w:p>
    <w:p w14:paraId="7A7065DC" w14:textId="77777777" w:rsidR="002860ED" w:rsidRDefault="002860ED" w:rsidP="002860ED">
      <w:pPr>
        <w:spacing w:line="360" w:lineRule="auto"/>
        <w:jc w:val="both"/>
        <w:rPr>
          <w:rFonts w:ascii="FrankRuehl" w:hAnsi="FrankRuehl" w:cs="FrankRuehl"/>
          <w:sz w:val="28"/>
          <w:szCs w:val="28"/>
          <w:u w:val="single"/>
          <w:rtl/>
        </w:rPr>
      </w:pPr>
      <w:r>
        <w:rPr>
          <w:rFonts w:ascii="FrankRuehl" w:hAnsi="FrankRuehl" w:cs="FrankRuehl"/>
          <w:sz w:val="28"/>
          <w:szCs w:val="28"/>
          <w:u w:val="single"/>
          <w:rtl/>
        </w:rPr>
        <w:t>האישום הרביעי</w:t>
      </w:r>
    </w:p>
    <w:p w14:paraId="4500A90D" w14:textId="77777777" w:rsidR="002860ED" w:rsidRDefault="002860ED" w:rsidP="002860ED">
      <w:pPr>
        <w:spacing w:line="360" w:lineRule="auto"/>
        <w:jc w:val="both"/>
        <w:rPr>
          <w:rFonts w:ascii="FrankRuehl" w:hAnsi="FrankRuehl" w:cs="FrankRuehl"/>
          <w:sz w:val="28"/>
          <w:szCs w:val="28"/>
          <w:rtl/>
        </w:rPr>
      </w:pPr>
      <w:r>
        <w:rPr>
          <w:rFonts w:ascii="FrankRuehl" w:hAnsi="FrankRuehl" w:cs="FrankRuehl"/>
          <w:sz w:val="28"/>
          <w:szCs w:val="28"/>
          <w:rtl/>
        </w:rPr>
        <w:t>5.</w:t>
      </w:r>
      <w:r>
        <w:rPr>
          <w:rFonts w:ascii="FrankRuehl" w:hAnsi="FrankRuehl" w:cs="FrankRuehl"/>
          <w:sz w:val="28"/>
          <w:szCs w:val="28"/>
          <w:rtl/>
        </w:rPr>
        <w:tab/>
        <w:t xml:space="preserve">בעקבות סכסוך משפחתי של משפחת הנאשם עם משפחה אחרת, במהלך אוקטובר 2020 פנה הנאשם למי ממכריו, וביקש לרכוש עבורו שש מחסניות לנשק מסוג </w:t>
      </w:r>
      <w:r>
        <w:rPr>
          <w:rFonts w:ascii="FrankRuehl" w:hAnsi="FrankRuehl" w:cs="FrankRuehl"/>
          <w:sz w:val="28"/>
          <w:szCs w:val="28"/>
        </w:rPr>
        <w:t>M16</w:t>
      </w:r>
      <w:r>
        <w:rPr>
          <w:rFonts w:ascii="FrankRuehl" w:hAnsi="FrankRuehl" w:cs="FrankRuehl"/>
          <w:sz w:val="28"/>
          <w:szCs w:val="28"/>
          <w:rtl/>
        </w:rPr>
        <w:t>. לאחר משא ומתן על מחיר המחסניות, חזר בו הנאשם מהכוונה לרכשן, זאת לנוכח גובה המחיר הנדרש.</w:t>
      </w:r>
    </w:p>
    <w:p w14:paraId="45622293" w14:textId="77777777" w:rsidR="002860ED" w:rsidRDefault="002860ED" w:rsidP="002860ED">
      <w:pPr>
        <w:spacing w:line="360" w:lineRule="auto"/>
        <w:jc w:val="both"/>
        <w:rPr>
          <w:rFonts w:ascii="FrankRuehl" w:hAnsi="FrankRuehl" w:cs="FrankRuehl"/>
          <w:sz w:val="28"/>
          <w:szCs w:val="28"/>
          <w:rtl/>
        </w:rPr>
      </w:pPr>
    </w:p>
    <w:p w14:paraId="60D54CD9" w14:textId="77777777" w:rsidR="002860ED" w:rsidRDefault="002860ED" w:rsidP="002860ED">
      <w:pPr>
        <w:spacing w:line="360" w:lineRule="auto"/>
        <w:jc w:val="both"/>
        <w:rPr>
          <w:rFonts w:ascii="FrankRuehl" w:hAnsi="FrankRuehl" w:cs="FrankRuehl"/>
          <w:sz w:val="28"/>
          <w:szCs w:val="28"/>
          <w:rtl/>
        </w:rPr>
      </w:pPr>
      <w:r>
        <w:rPr>
          <w:rFonts w:ascii="FrankRuehl" w:hAnsi="FrankRuehl" w:cs="FrankRuehl"/>
          <w:sz w:val="28"/>
          <w:szCs w:val="28"/>
          <w:u w:val="single"/>
          <w:rtl/>
        </w:rPr>
        <w:lastRenderedPageBreak/>
        <w:t>האישום החמישי</w:t>
      </w:r>
    </w:p>
    <w:p w14:paraId="71F20CCD" w14:textId="77777777" w:rsidR="002860ED" w:rsidRDefault="002860ED" w:rsidP="002860ED">
      <w:pPr>
        <w:spacing w:line="360" w:lineRule="auto"/>
        <w:jc w:val="both"/>
        <w:rPr>
          <w:rFonts w:ascii="FrankRuehl" w:hAnsi="FrankRuehl" w:cs="FrankRuehl"/>
          <w:sz w:val="28"/>
          <w:szCs w:val="28"/>
          <w:rtl/>
        </w:rPr>
      </w:pPr>
      <w:r>
        <w:rPr>
          <w:rFonts w:ascii="FrankRuehl" w:hAnsi="FrankRuehl" w:cs="FrankRuehl"/>
          <w:sz w:val="28"/>
          <w:szCs w:val="28"/>
          <w:rtl/>
        </w:rPr>
        <w:t>6.</w:t>
      </w:r>
      <w:r>
        <w:rPr>
          <w:rFonts w:ascii="FrankRuehl" w:hAnsi="FrankRuehl" w:cs="FrankRuehl"/>
          <w:sz w:val="28"/>
          <w:szCs w:val="28"/>
          <w:rtl/>
        </w:rPr>
        <w:tab/>
        <w:t xml:space="preserve">במהלך שנת 2017, התגלע סכסוך בין משפחת הנאשם לבין משפחה אחרת. הנאשם, שהעריך כי בקרוב יתפתח אירוע אלים בין שתי המשפחות, לקח מבן משפחתו תיק עם נשק חמוש ומוכן לירי מסוג </w:t>
      </w:r>
      <w:r>
        <w:rPr>
          <w:rFonts w:ascii="FrankRuehl" w:hAnsi="FrankRuehl" w:cs="FrankRuehl"/>
          <w:sz w:val="28"/>
          <w:szCs w:val="28"/>
        </w:rPr>
        <w:t>M16</w:t>
      </w:r>
      <w:r>
        <w:rPr>
          <w:rFonts w:ascii="FrankRuehl" w:hAnsi="FrankRuehl" w:cs="FrankRuehl"/>
          <w:sz w:val="28"/>
          <w:szCs w:val="28"/>
          <w:rtl/>
        </w:rPr>
        <w:t xml:space="preserve">, והחזיק בו במשך כחצי שעה, וזאת על מנת לעשות בו שימוש במהלך הסכסוך. לבסוף, הוכרזה פגישת פיוס בין המשפחות, ולא נעשה בנשק שימוש. </w:t>
      </w:r>
    </w:p>
    <w:p w14:paraId="6DE20ADB" w14:textId="77777777" w:rsidR="002860ED" w:rsidRDefault="002860ED" w:rsidP="002860ED">
      <w:pPr>
        <w:spacing w:line="360" w:lineRule="auto"/>
        <w:jc w:val="both"/>
        <w:rPr>
          <w:rFonts w:ascii="FrankRuehl" w:hAnsi="FrankRuehl" w:cs="FrankRuehl"/>
          <w:sz w:val="28"/>
          <w:szCs w:val="28"/>
          <w:rtl/>
        </w:rPr>
      </w:pPr>
    </w:p>
    <w:p w14:paraId="13C77377" w14:textId="77777777" w:rsidR="002860ED" w:rsidRDefault="002860ED" w:rsidP="002860ED">
      <w:pPr>
        <w:spacing w:line="360" w:lineRule="auto"/>
        <w:jc w:val="both"/>
        <w:rPr>
          <w:rFonts w:ascii="FrankRuehl" w:hAnsi="FrankRuehl" w:cs="FrankRuehl"/>
          <w:sz w:val="28"/>
          <w:szCs w:val="28"/>
          <w:u w:val="single"/>
          <w:rtl/>
        </w:rPr>
      </w:pPr>
      <w:r>
        <w:rPr>
          <w:rFonts w:ascii="FrankRuehl" w:hAnsi="FrankRuehl" w:cs="FrankRuehl"/>
          <w:sz w:val="28"/>
          <w:szCs w:val="28"/>
          <w:u w:val="single"/>
          <w:rtl/>
        </w:rPr>
        <w:t>האישום השישי</w:t>
      </w:r>
    </w:p>
    <w:p w14:paraId="65A5521A" w14:textId="77777777" w:rsidR="002860ED" w:rsidRDefault="002860ED" w:rsidP="002860ED">
      <w:pPr>
        <w:spacing w:line="360" w:lineRule="auto"/>
        <w:jc w:val="both"/>
        <w:rPr>
          <w:rFonts w:ascii="FrankRuehl" w:hAnsi="FrankRuehl" w:cs="FrankRuehl"/>
          <w:sz w:val="28"/>
          <w:szCs w:val="28"/>
          <w:rtl/>
        </w:rPr>
      </w:pPr>
      <w:r>
        <w:rPr>
          <w:rFonts w:ascii="FrankRuehl" w:hAnsi="FrankRuehl" w:cs="FrankRuehl"/>
          <w:sz w:val="28"/>
          <w:szCs w:val="28"/>
          <w:rtl/>
        </w:rPr>
        <w:t>7.</w:t>
      </w:r>
      <w:r>
        <w:rPr>
          <w:rFonts w:ascii="FrankRuehl" w:hAnsi="FrankRuehl" w:cs="FrankRuehl"/>
          <w:sz w:val="28"/>
          <w:szCs w:val="28"/>
          <w:rtl/>
        </w:rPr>
        <w:tab/>
        <w:t xml:space="preserve">במהלך שנת 2017, קיבל הנאשם לידו שרשרת כדורי נשק מסוג </w:t>
      </w:r>
      <w:r>
        <w:rPr>
          <w:rFonts w:ascii="FrankRuehl" w:hAnsi="FrankRuehl" w:cs="FrankRuehl"/>
          <w:sz w:val="28"/>
          <w:szCs w:val="28"/>
        </w:rPr>
        <w:t>M16</w:t>
      </w:r>
      <w:r>
        <w:rPr>
          <w:rFonts w:ascii="FrankRuehl" w:hAnsi="FrankRuehl" w:cs="FrankRuehl"/>
          <w:sz w:val="28"/>
          <w:szCs w:val="28"/>
          <w:rtl/>
        </w:rPr>
        <w:t xml:space="preserve">, להחזקת קבע וללא תמורה. בהמשך, מסר הנאשם את שרשרת הכדורים לבן משפחתו, להחזקת קבע וללא תמורה. </w:t>
      </w:r>
    </w:p>
    <w:p w14:paraId="124BA04A" w14:textId="77777777" w:rsidR="002860ED" w:rsidRDefault="002860ED" w:rsidP="002860ED">
      <w:pPr>
        <w:spacing w:line="360" w:lineRule="auto"/>
        <w:jc w:val="both"/>
        <w:rPr>
          <w:rFonts w:ascii="FrankRuehl" w:hAnsi="FrankRuehl" w:cs="FrankRuehl"/>
          <w:b/>
          <w:bCs/>
          <w:sz w:val="28"/>
          <w:szCs w:val="28"/>
          <w:u w:val="single"/>
          <w:rtl/>
        </w:rPr>
      </w:pPr>
    </w:p>
    <w:p w14:paraId="7A50FF7C" w14:textId="77777777" w:rsidR="002860ED" w:rsidRDefault="002860ED" w:rsidP="002860ED">
      <w:pPr>
        <w:spacing w:line="360" w:lineRule="auto"/>
        <w:jc w:val="both"/>
        <w:rPr>
          <w:rFonts w:ascii="FrankRuehl" w:hAnsi="FrankRuehl" w:cs="FrankRuehl"/>
          <w:sz w:val="28"/>
          <w:szCs w:val="28"/>
          <w:rtl/>
        </w:rPr>
      </w:pPr>
      <w:r>
        <w:rPr>
          <w:rFonts w:ascii="FrankRuehl" w:hAnsi="FrankRuehl" w:cs="FrankRuehl"/>
          <w:sz w:val="28"/>
          <w:szCs w:val="28"/>
          <w:rtl/>
        </w:rPr>
        <w:t xml:space="preserve">יצוין, כי הנאשם לא היה בעל רישיון לנשק, ומעולם לא החזיק ברישיון שכזה. </w:t>
      </w:r>
    </w:p>
    <w:p w14:paraId="106638A1" w14:textId="77777777" w:rsidR="002860ED" w:rsidRDefault="002860ED" w:rsidP="002860ED">
      <w:pPr>
        <w:spacing w:line="360" w:lineRule="auto"/>
        <w:jc w:val="both"/>
        <w:rPr>
          <w:rFonts w:ascii="FrankRuehl" w:hAnsi="FrankRuehl" w:cs="FrankRuehl"/>
          <w:b/>
          <w:bCs/>
          <w:sz w:val="28"/>
          <w:szCs w:val="28"/>
          <w:u w:val="single"/>
          <w:rtl/>
        </w:rPr>
      </w:pPr>
    </w:p>
    <w:p w14:paraId="3C972047" w14:textId="77777777" w:rsidR="002860ED" w:rsidRDefault="002860ED" w:rsidP="002860ED">
      <w:pPr>
        <w:spacing w:line="360" w:lineRule="auto"/>
        <w:jc w:val="both"/>
        <w:rPr>
          <w:rFonts w:ascii="FrankRuehl" w:hAnsi="FrankRuehl" w:cs="FrankRuehl"/>
          <w:b/>
          <w:bCs/>
          <w:sz w:val="28"/>
          <w:szCs w:val="28"/>
          <w:u w:val="single"/>
          <w:rtl/>
        </w:rPr>
      </w:pPr>
      <w:r>
        <w:rPr>
          <w:rFonts w:ascii="FrankRuehl" w:hAnsi="FrankRuehl" w:cs="FrankRuehl"/>
          <w:b/>
          <w:bCs/>
          <w:sz w:val="28"/>
          <w:szCs w:val="28"/>
          <w:u w:val="single"/>
          <w:rtl/>
        </w:rPr>
        <w:t>תסקיר שירות המבחן</w:t>
      </w:r>
    </w:p>
    <w:p w14:paraId="0CBE0895" w14:textId="77777777" w:rsidR="002860ED" w:rsidRDefault="002860ED" w:rsidP="002860ED">
      <w:pPr>
        <w:spacing w:line="360" w:lineRule="auto"/>
        <w:jc w:val="both"/>
        <w:rPr>
          <w:rFonts w:ascii="FrankRuehl" w:hAnsi="FrankRuehl" w:cs="FrankRuehl"/>
          <w:sz w:val="28"/>
          <w:szCs w:val="28"/>
          <w:rtl/>
        </w:rPr>
      </w:pPr>
      <w:r>
        <w:rPr>
          <w:rFonts w:ascii="FrankRuehl" w:hAnsi="FrankRuehl" w:cs="FrankRuehl"/>
          <w:sz w:val="28"/>
          <w:szCs w:val="28"/>
          <w:rtl/>
        </w:rPr>
        <w:t>8.</w:t>
      </w:r>
      <w:r>
        <w:rPr>
          <w:rFonts w:ascii="FrankRuehl" w:hAnsi="FrankRuehl" w:cs="FrankRuehl"/>
          <w:sz w:val="28"/>
          <w:szCs w:val="28"/>
          <w:rtl/>
        </w:rPr>
        <w:tab/>
        <w:t xml:space="preserve">הוגש תסקיר שירות המבחן, ממנו נלמד אודות נסיבות חייו של הנאשם. בין היתר עלה כי הנאשם הינו בחור צעיר, נעדר הרשעות קודמות. בהיותו כבן 12, הנאשם נפגע בעינו בשעה שעבד לאחר שעות הלימודים בבית ספר, וכתוצאה מכך איבד את הראייה באחת מעיניו. קשיי ההסתגלות שהתלוו לפגיעה והרצון לעבוד ולסייע למשפחתו, הובילו לנשירתו מהלימודים והשתלבותו בעבודה בתחום הבניין. </w:t>
      </w:r>
    </w:p>
    <w:p w14:paraId="715BE5DC" w14:textId="77777777" w:rsidR="002860ED" w:rsidRDefault="002860ED" w:rsidP="002860ED">
      <w:pPr>
        <w:spacing w:line="360" w:lineRule="auto"/>
        <w:jc w:val="both"/>
        <w:rPr>
          <w:rFonts w:ascii="FrankRuehl" w:hAnsi="FrankRuehl" w:cs="FrankRuehl"/>
          <w:sz w:val="28"/>
          <w:szCs w:val="28"/>
          <w:rtl/>
        </w:rPr>
      </w:pPr>
    </w:p>
    <w:p w14:paraId="6D8E2FCA" w14:textId="77777777" w:rsidR="002860ED" w:rsidRDefault="002860ED" w:rsidP="002860ED">
      <w:pPr>
        <w:spacing w:line="360" w:lineRule="auto"/>
        <w:jc w:val="both"/>
        <w:rPr>
          <w:rFonts w:ascii="FrankRuehl" w:hAnsi="FrankRuehl" w:cs="FrankRuehl"/>
          <w:sz w:val="28"/>
          <w:szCs w:val="28"/>
          <w:rtl/>
        </w:rPr>
      </w:pPr>
      <w:r>
        <w:rPr>
          <w:rFonts w:ascii="FrankRuehl" w:hAnsi="FrankRuehl" w:cs="FrankRuehl"/>
          <w:sz w:val="28"/>
          <w:szCs w:val="28"/>
          <w:rtl/>
        </w:rPr>
        <w:t>9.</w:t>
      </w:r>
      <w:r>
        <w:rPr>
          <w:rFonts w:ascii="FrankRuehl" w:hAnsi="FrankRuehl" w:cs="FrankRuehl"/>
          <w:sz w:val="28"/>
          <w:szCs w:val="28"/>
          <w:rtl/>
        </w:rPr>
        <w:tab/>
        <w:t xml:space="preserve">באשר ליחסו של הנאשם לעבירות בהן הורשע, ציינה קצינת המבחן את התרשמותה כי הנאשם נטה להתייחס בצורה פשטנית למעשיו ולספק להם הסברים קונקרטיים. הוא התקשה להבין לעומק את רמת הסיכון הנשקפת ממעשיו ומהשלכותיהם האפשריות. עם זאת, ציינה קצינת המבחן כי התרשמה שמעצרו של הנאשם וההליך השיפוטי שעבר, מהווים גורם מרתיע ומציבים גבול להתנהגותו. הנאשם ציין בפניה כי עם סיום ההליך המשפטי, בכוונתו לחזור לעבודה מסודרת, ולהמשיך לסייע לכלכלת המשפחה תוך הימנעות מקשרים בעייתיים.  </w:t>
      </w:r>
    </w:p>
    <w:p w14:paraId="02CC56CA" w14:textId="77777777" w:rsidR="002860ED" w:rsidRDefault="002860ED" w:rsidP="002860ED">
      <w:pPr>
        <w:spacing w:line="360" w:lineRule="auto"/>
        <w:jc w:val="both"/>
        <w:rPr>
          <w:rFonts w:ascii="FrankRuehl" w:hAnsi="FrankRuehl" w:cs="FrankRuehl"/>
          <w:sz w:val="28"/>
          <w:szCs w:val="28"/>
          <w:rtl/>
        </w:rPr>
      </w:pPr>
    </w:p>
    <w:p w14:paraId="742A4757" w14:textId="77777777" w:rsidR="002860ED" w:rsidRDefault="002860ED" w:rsidP="002860ED">
      <w:pPr>
        <w:spacing w:line="360" w:lineRule="auto"/>
        <w:jc w:val="both"/>
        <w:rPr>
          <w:rFonts w:ascii="FrankRuehl" w:hAnsi="FrankRuehl" w:cs="FrankRuehl"/>
          <w:sz w:val="28"/>
          <w:szCs w:val="28"/>
          <w:rtl/>
        </w:rPr>
      </w:pPr>
      <w:r>
        <w:rPr>
          <w:rFonts w:ascii="FrankRuehl" w:hAnsi="FrankRuehl" w:cs="FrankRuehl"/>
          <w:sz w:val="28"/>
          <w:szCs w:val="28"/>
          <w:rtl/>
        </w:rPr>
        <w:t>10.</w:t>
      </w:r>
      <w:r>
        <w:rPr>
          <w:rFonts w:ascii="FrankRuehl" w:hAnsi="FrankRuehl" w:cs="FrankRuehl"/>
          <w:sz w:val="28"/>
          <w:szCs w:val="28"/>
          <w:rtl/>
        </w:rPr>
        <w:tab/>
        <w:t xml:space="preserve">בנוגע לגורמי סיכון לעבריינות וגורמי סיכוי לשיקום, ציינה קצינת המבחן כי הרקע בו גדל הנאשם הוביל לאימוץ ערכים ודפוסי התנהגות בעייתיים ותוקפניים כדרך לחוות כוח, המהווים גורמי סיכון להישנות התנהגות פוגענית בעתיד. לצד זאת, היא ציינה כי לנאשם יכולת לתפקוד תקין ויציב במישור התעסוקתי, וכי הוא מגלה רגישות ואמפתיה כלפי הגורמים המשמעותיים בחייו. </w:t>
      </w:r>
    </w:p>
    <w:p w14:paraId="14FFCB26" w14:textId="77777777" w:rsidR="002860ED" w:rsidRDefault="002860ED" w:rsidP="002860ED">
      <w:pPr>
        <w:spacing w:line="360" w:lineRule="auto"/>
        <w:jc w:val="both"/>
        <w:rPr>
          <w:rFonts w:ascii="FrankRuehl" w:hAnsi="FrankRuehl" w:cs="FrankRuehl"/>
          <w:sz w:val="28"/>
          <w:szCs w:val="28"/>
          <w:rtl/>
        </w:rPr>
      </w:pPr>
    </w:p>
    <w:p w14:paraId="342122A2" w14:textId="77777777" w:rsidR="002860ED" w:rsidRDefault="002860ED" w:rsidP="002860ED">
      <w:pPr>
        <w:spacing w:line="360" w:lineRule="auto"/>
        <w:jc w:val="both"/>
        <w:rPr>
          <w:rFonts w:ascii="FrankRuehl" w:hAnsi="FrankRuehl" w:cs="FrankRuehl"/>
          <w:sz w:val="28"/>
          <w:szCs w:val="28"/>
          <w:rtl/>
        </w:rPr>
      </w:pPr>
      <w:r>
        <w:rPr>
          <w:rFonts w:ascii="FrankRuehl" w:hAnsi="FrankRuehl" w:cs="FrankRuehl"/>
          <w:sz w:val="28"/>
          <w:szCs w:val="28"/>
          <w:rtl/>
        </w:rPr>
        <w:t>11.</w:t>
      </w:r>
      <w:r>
        <w:rPr>
          <w:rFonts w:ascii="FrankRuehl" w:hAnsi="FrankRuehl" w:cs="FrankRuehl"/>
          <w:sz w:val="28"/>
          <w:szCs w:val="28"/>
          <w:rtl/>
        </w:rPr>
        <w:tab/>
        <w:t xml:space="preserve">בשולי התסקיר ציינה קצינת המבחן, כי הנאשם גילה נכונות ראשונית לערוך שינוי בחייו ולהשתלב בטיפול, אך נכונות זאת נובעת מתוך הבנת המחירים שעתיד לשלם בגין התנהלותו, ופחות מתוך המודעות לצורך לערוך שינוי ממשי בדפוסיו. בשים לב לכך, נמנעה קצינת המבחן מהמלצה טיפולית, לצד המלצה כי בקביעת גובה העונש תילקח בחשבון תקופת מעצרו, המאפיינים האישיותיים שתוארו, והשפעה אפשרית של עונש מאסר ממושך על מצבו. </w:t>
      </w:r>
    </w:p>
    <w:p w14:paraId="763A72AC" w14:textId="77777777" w:rsidR="002860ED" w:rsidRDefault="002860ED" w:rsidP="002860ED">
      <w:pPr>
        <w:spacing w:line="360" w:lineRule="auto"/>
        <w:jc w:val="both"/>
        <w:rPr>
          <w:rFonts w:ascii="FrankRuehl" w:hAnsi="FrankRuehl" w:cs="FrankRuehl"/>
          <w:b/>
          <w:bCs/>
          <w:sz w:val="28"/>
          <w:szCs w:val="28"/>
          <w:u w:val="single"/>
          <w:rtl/>
        </w:rPr>
      </w:pPr>
    </w:p>
    <w:p w14:paraId="3B4E17D0" w14:textId="77777777" w:rsidR="002860ED" w:rsidRDefault="002860ED" w:rsidP="002860ED">
      <w:pPr>
        <w:spacing w:line="360" w:lineRule="auto"/>
        <w:jc w:val="both"/>
        <w:rPr>
          <w:rFonts w:ascii="FrankRuehl" w:hAnsi="FrankRuehl" w:cs="FrankRuehl"/>
          <w:b/>
          <w:bCs/>
          <w:sz w:val="28"/>
          <w:szCs w:val="28"/>
          <w:u w:val="single"/>
          <w:rtl/>
        </w:rPr>
      </w:pPr>
    </w:p>
    <w:p w14:paraId="3DF44C9F" w14:textId="77777777" w:rsidR="002860ED" w:rsidRDefault="002860ED" w:rsidP="002860ED">
      <w:pPr>
        <w:spacing w:line="360" w:lineRule="auto"/>
        <w:jc w:val="both"/>
        <w:rPr>
          <w:rFonts w:ascii="FrankRuehl" w:hAnsi="FrankRuehl" w:cs="FrankRuehl"/>
          <w:b/>
          <w:bCs/>
          <w:sz w:val="28"/>
          <w:szCs w:val="28"/>
          <w:u w:val="single"/>
          <w:rtl/>
        </w:rPr>
      </w:pPr>
      <w:r>
        <w:rPr>
          <w:rFonts w:ascii="FrankRuehl" w:hAnsi="FrankRuehl" w:cs="FrankRuehl"/>
          <w:b/>
          <w:bCs/>
          <w:sz w:val="28"/>
          <w:szCs w:val="28"/>
          <w:u w:val="single"/>
          <w:rtl/>
        </w:rPr>
        <w:t>טיעוני ב"כ הצדדים לעונש</w:t>
      </w:r>
    </w:p>
    <w:p w14:paraId="602C433B" w14:textId="77777777" w:rsidR="002860ED" w:rsidRDefault="002860ED" w:rsidP="002860ED">
      <w:pPr>
        <w:spacing w:line="360" w:lineRule="auto"/>
        <w:jc w:val="both"/>
        <w:rPr>
          <w:rFonts w:ascii="FrankRuehl" w:hAnsi="FrankRuehl" w:cs="FrankRuehl"/>
          <w:sz w:val="28"/>
          <w:szCs w:val="28"/>
          <w:rtl/>
        </w:rPr>
      </w:pPr>
      <w:r>
        <w:rPr>
          <w:rFonts w:ascii="FrankRuehl" w:hAnsi="FrankRuehl" w:cs="FrankRuehl"/>
          <w:sz w:val="28"/>
          <w:szCs w:val="28"/>
          <w:rtl/>
        </w:rPr>
        <w:t>12.</w:t>
      </w:r>
      <w:r>
        <w:rPr>
          <w:rFonts w:ascii="FrankRuehl" w:hAnsi="FrankRuehl" w:cs="FrankRuehl"/>
          <w:sz w:val="28"/>
          <w:szCs w:val="28"/>
          <w:rtl/>
        </w:rPr>
        <w:tab/>
        <w:t xml:space="preserve">בטיעוניו לעונש, עמד ב"כ המאשימה על כך שכל אחד מהאישומים מהווה אירוע בפני עצמו, וכי יש לקבוע מתחם עונש הולם לכל אירוע בהתייחס למעשים שביצע הנאשם בהיותו בגיר, ומתחם אחד למעשים שבוצעו על ידי הנאשם בהיותו קטין. </w:t>
      </w:r>
    </w:p>
    <w:p w14:paraId="1D1C159D" w14:textId="77777777" w:rsidR="002860ED" w:rsidRDefault="002860ED" w:rsidP="002860ED">
      <w:pPr>
        <w:spacing w:line="360" w:lineRule="auto"/>
        <w:jc w:val="both"/>
        <w:rPr>
          <w:rFonts w:ascii="FrankRuehl" w:hAnsi="FrankRuehl" w:cs="FrankRuehl"/>
          <w:sz w:val="28"/>
          <w:szCs w:val="28"/>
          <w:rtl/>
        </w:rPr>
      </w:pPr>
    </w:p>
    <w:p w14:paraId="5975E015" w14:textId="77777777" w:rsidR="002860ED" w:rsidRDefault="002860ED" w:rsidP="002860ED">
      <w:pPr>
        <w:spacing w:line="360" w:lineRule="auto"/>
        <w:jc w:val="both"/>
        <w:rPr>
          <w:rFonts w:ascii="FrankRuehl" w:hAnsi="FrankRuehl" w:cs="FrankRuehl"/>
          <w:sz w:val="28"/>
          <w:szCs w:val="28"/>
          <w:rtl/>
        </w:rPr>
      </w:pPr>
      <w:r>
        <w:rPr>
          <w:rFonts w:ascii="FrankRuehl" w:hAnsi="FrankRuehl" w:cs="FrankRuehl"/>
          <w:sz w:val="28"/>
          <w:szCs w:val="28"/>
          <w:rtl/>
        </w:rPr>
        <w:t>13.</w:t>
      </w:r>
      <w:r>
        <w:rPr>
          <w:rFonts w:ascii="FrankRuehl" w:hAnsi="FrankRuehl" w:cs="FrankRuehl"/>
          <w:sz w:val="28"/>
          <w:szCs w:val="28"/>
          <w:rtl/>
        </w:rPr>
        <w:tab/>
        <w:t xml:space="preserve">ב"כ המאשימה עמד על כך שריבוי העבירות, הגיוון שלהם ומשך הזמן בו נעשו, מלמדים על מעורבות ונגישות של הנאשם לסוגים שונים של כלי נשק ותחמושת. בנוסף, הדגיש ב"כ המאשימה, כי הייתה נכונות מצד הנאשם להשתמש בנשק לצורך מעשים אלימים, מלבד לצורך ירי של שמחה. ב"כ המאשימה הדגיש בטיעוניו את חומרת המעשים, חומרתם עבירות הנשק, ואת הצורך בהחמרת הענישה לצורך הרתעת הרבים, במיוחד בעת האחרונה, לאור העלייה בעבירות האלימות שמבוצעות בנשק חם. </w:t>
      </w:r>
    </w:p>
    <w:p w14:paraId="1A225A60" w14:textId="77777777" w:rsidR="002860ED" w:rsidRDefault="002860ED" w:rsidP="002860ED">
      <w:pPr>
        <w:spacing w:line="360" w:lineRule="auto"/>
        <w:jc w:val="both"/>
        <w:rPr>
          <w:rFonts w:ascii="FrankRuehl" w:hAnsi="FrankRuehl" w:cs="FrankRuehl"/>
          <w:sz w:val="28"/>
          <w:szCs w:val="28"/>
          <w:rtl/>
        </w:rPr>
      </w:pPr>
    </w:p>
    <w:p w14:paraId="32F1D910" w14:textId="77777777" w:rsidR="002860ED" w:rsidRDefault="002860ED" w:rsidP="002860ED">
      <w:pPr>
        <w:spacing w:line="360" w:lineRule="auto"/>
        <w:jc w:val="both"/>
        <w:rPr>
          <w:rFonts w:ascii="FrankRuehl" w:hAnsi="FrankRuehl" w:cs="FrankRuehl"/>
          <w:sz w:val="28"/>
          <w:szCs w:val="28"/>
          <w:rtl/>
        </w:rPr>
      </w:pPr>
      <w:r>
        <w:rPr>
          <w:rFonts w:ascii="FrankRuehl" w:hAnsi="FrankRuehl" w:cs="FrankRuehl"/>
          <w:sz w:val="28"/>
          <w:szCs w:val="28"/>
          <w:rtl/>
        </w:rPr>
        <w:t>14.</w:t>
      </w:r>
      <w:r>
        <w:rPr>
          <w:rFonts w:ascii="FrankRuehl" w:hAnsi="FrankRuehl" w:cs="FrankRuehl"/>
          <w:sz w:val="28"/>
          <w:szCs w:val="28"/>
          <w:rtl/>
        </w:rPr>
        <w:tab/>
        <w:t xml:space="preserve">אשר לעונש המתאים, טען ב"כ המאשימה כי בנוגע לעבירות הפחותות שעניינן רכישת תחמושת וירי מנשק חם שלא כוללות נשיאת נשק (האישום הראשון והשלישי), העונש הראוי לכל אחד מהאירועים הינו עד 12 חודשי מאסר. ביחס לעבירה שעניינה החזקת תחמושת (האישום השישי), נטען, כי המתחם נע בין 6 חודשי עבודות שירות עד ל-6 חודשי מאסר בפועל. לגבי נשיאת האקדח (האישום השני), נטען כי המתחם נע בין שנה וחצי ועד ל-4 שנים. לגבי נשיאת הנשק מסוג </w:t>
      </w:r>
      <w:r>
        <w:rPr>
          <w:rFonts w:ascii="FrankRuehl" w:hAnsi="FrankRuehl" w:cs="FrankRuehl"/>
          <w:sz w:val="28"/>
          <w:szCs w:val="28"/>
        </w:rPr>
        <w:t>M16</w:t>
      </w:r>
      <w:r>
        <w:rPr>
          <w:rFonts w:ascii="FrankRuehl" w:hAnsi="FrankRuehl" w:cs="FrankRuehl"/>
          <w:sz w:val="28"/>
          <w:szCs w:val="28"/>
          <w:rtl/>
        </w:rPr>
        <w:t xml:space="preserve"> (האישום החמישי), לנוכח חומרה יתרה בשל הנסיבות של הצטיידות לצורך סכסוך משפחתי, ביקש ב"כ המאשימה לקבוע מתחם הנע בין 2.5 ל- 4.5 שנות מאסר בפועל. </w:t>
      </w:r>
    </w:p>
    <w:p w14:paraId="0320F988" w14:textId="77777777" w:rsidR="002860ED" w:rsidRDefault="002860ED" w:rsidP="002860ED">
      <w:pPr>
        <w:spacing w:line="360" w:lineRule="auto"/>
        <w:jc w:val="both"/>
        <w:rPr>
          <w:rFonts w:ascii="FrankRuehl" w:hAnsi="FrankRuehl" w:cs="FrankRuehl"/>
          <w:sz w:val="28"/>
          <w:szCs w:val="28"/>
          <w:rtl/>
        </w:rPr>
      </w:pPr>
    </w:p>
    <w:p w14:paraId="23118B28" w14:textId="77777777" w:rsidR="002860ED" w:rsidRDefault="002860ED" w:rsidP="002860ED">
      <w:pPr>
        <w:spacing w:line="360" w:lineRule="auto"/>
        <w:jc w:val="both"/>
        <w:rPr>
          <w:rFonts w:ascii="FrankRuehl" w:hAnsi="FrankRuehl" w:cs="FrankRuehl"/>
          <w:sz w:val="28"/>
          <w:szCs w:val="28"/>
          <w:rtl/>
        </w:rPr>
      </w:pPr>
      <w:r>
        <w:rPr>
          <w:rFonts w:ascii="FrankRuehl" w:hAnsi="FrankRuehl" w:cs="FrankRuehl"/>
          <w:sz w:val="28"/>
          <w:szCs w:val="28"/>
          <w:rtl/>
        </w:rPr>
        <w:t>15.</w:t>
      </w:r>
      <w:r>
        <w:rPr>
          <w:rFonts w:ascii="FrankRuehl" w:hAnsi="FrankRuehl" w:cs="FrankRuehl"/>
          <w:sz w:val="28"/>
          <w:szCs w:val="28"/>
          <w:rtl/>
        </w:rPr>
        <w:tab/>
        <w:t>למיקומו של העונש של הנאשם בתוך המתחם, ביקש ב"כ המאשימה, נוכח גילוי הצעיר של הנאשם ולקיחת האחריות למעשיו, לגזור על מכלול המעשים עונש של 4 שנות מאסר, לצד עונש של מאסר על תנאי.</w:t>
      </w:r>
    </w:p>
    <w:p w14:paraId="73145293" w14:textId="77777777" w:rsidR="002860ED" w:rsidRDefault="002860ED" w:rsidP="002860ED">
      <w:pPr>
        <w:spacing w:line="360" w:lineRule="auto"/>
        <w:jc w:val="both"/>
        <w:rPr>
          <w:rFonts w:ascii="FrankRuehl" w:hAnsi="FrankRuehl" w:cs="FrankRuehl"/>
          <w:sz w:val="28"/>
          <w:szCs w:val="28"/>
          <w:rtl/>
        </w:rPr>
      </w:pPr>
    </w:p>
    <w:p w14:paraId="6DB0C876" w14:textId="77777777" w:rsidR="002860ED" w:rsidRDefault="002860ED" w:rsidP="002860ED">
      <w:pPr>
        <w:spacing w:line="360" w:lineRule="auto"/>
        <w:jc w:val="both"/>
        <w:rPr>
          <w:rFonts w:ascii="FrankRuehl" w:hAnsi="FrankRuehl" w:cs="FrankRuehl"/>
          <w:sz w:val="28"/>
          <w:szCs w:val="28"/>
          <w:rtl/>
        </w:rPr>
      </w:pPr>
      <w:r>
        <w:rPr>
          <w:rFonts w:ascii="FrankRuehl" w:hAnsi="FrankRuehl" w:cs="FrankRuehl"/>
          <w:sz w:val="28"/>
          <w:szCs w:val="28"/>
          <w:rtl/>
        </w:rPr>
        <w:t>16.</w:t>
      </w:r>
      <w:r>
        <w:rPr>
          <w:rFonts w:ascii="FrankRuehl" w:hAnsi="FrankRuehl" w:cs="FrankRuehl"/>
          <w:sz w:val="28"/>
          <w:szCs w:val="28"/>
          <w:rtl/>
        </w:rPr>
        <w:tab/>
        <w:t xml:space="preserve">מנגד, ב"כ הנאשם ציינה, ביחס לנסיבות ביצוע העבירות, כי באישום הראשון, הירי לא נועד לפגוע והוא בוצע רחוק מאנשים. באישום השני הנאשם היה קטין בן 17. כך גם באישום החמישי, הנאשם היה קטין כבן 16. לדבריה, בכל הנוגע לאישום זה, החמישי, הרי שבן משפחתו של הנאשם מסר לו תיק וציין בפניו שיש בו נזק מסוג </w:t>
      </w:r>
      <w:r>
        <w:rPr>
          <w:rFonts w:ascii="FrankRuehl" w:hAnsi="FrankRuehl" w:cs="FrankRuehl"/>
          <w:sz w:val="28"/>
          <w:szCs w:val="28"/>
        </w:rPr>
        <w:t>M16</w:t>
      </w:r>
      <w:r>
        <w:rPr>
          <w:rFonts w:ascii="FrankRuehl" w:hAnsi="FrankRuehl" w:cs="FrankRuehl"/>
          <w:sz w:val="28"/>
          <w:szCs w:val="28"/>
          <w:rtl/>
        </w:rPr>
        <w:t>, אך הוא כלל לא בדק זאת. כך, שלמעשה, לא ניתן לדעת מה הכיל התיק, מאחר והתיק לא נפתח, וגורמים נוספים המעורבים בפרשה לא נחקרו. ב"כ הנאשם הוסיפה כי תקופת ההחזקה בנשק הייתה קצרה, וכי לא נגרם כל נזק בגין החזקה זו. כן ציינה ב"כ הנאשם, כי בכל האישומים לא נתפס נשק ולא נתפסה תחמושת, כשהראייה היחידה הקושרת את הנאשם לעבירות היא הודאתו, ויש לתת לכך משקל משמעותי. היא הוסיפה כי הנאשם אינו מחזיק בנשק, וכי המעורבים שלא נעצרו, הם אלו שמסכנים את הציבור.</w:t>
      </w:r>
    </w:p>
    <w:p w14:paraId="320748D6" w14:textId="77777777" w:rsidR="002860ED" w:rsidRDefault="002860ED" w:rsidP="002860ED">
      <w:pPr>
        <w:spacing w:line="360" w:lineRule="auto"/>
        <w:jc w:val="both"/>
        <w:rPr>
          <w:rFonts w:ascii="FrankRuehl" w:hAnsi="FrankRuehl" w:cs="FrankRuehl"/>
          <w:sz w:val="28"/>
          <w:szCs w:val="28"/>
          <w:rtl/>
        </w:rPr>
      </w:pPr>
    </w:p>
    <w:p w14:paraId="5C81F7DB" w14:textId="77777777" w:rsidR="002860ED" w:rsidRDefault="002860ED" w:rsidP="002860ED">
      <w:pPr>
        <w:spacing w:line="360" w:lineRule="auto"/>
        <w:jc w:val="both"/>
        <w:rPr>
          <w:rFonts w:ascii="FrankRuehl" w:hAnsi="FrankRuehl" w:cs="FrankRuehl"/>
          <w:sz w:val="28"/>
          <w:szCs w:val="28"/>
          <w:rtl/>
        </w:rPr>
      </w:pPr>
      <w:r>
        <w:rPr>
          <w:rFonts w:ascii="FrankRuehl" w:hAnsi="FrankRuehl" w:cs="FrankRuehl"/>
          <w:sz w:val="28"/>
          <w:szCs w:val="28"/>
          <w:rtl/>
        </w:rPr>
        <w:t>17.</w:t>
      </w:r>
      <w:r>
        <w:rPr>
          <w:rFonts w:ascii="FrankRuehl" w:hAnsi="FrankRuehl" w:cs="FrankRuehl"/>
          <w:sz w:val="28"/>
          <w:szCs w:val="28"/>
          <w:rtl/>
        </w:rPr>
        <w:tab/>
        <w:t xml:space="preserve">בנוגע למתחם הענישה, ב"כ הנאשם טענה כי מדיניות הענישה מגוונת, ותלויה בנסיבות כל מקרה ומקרה. לשיטתה, מתחם הענישה ההולם מקרה זה בנסיבותיו נע בין 7 ל-18 חודשי מאסר בפועל, כשהיא מבקשת לקבוע מתחם אחד לכל האישומים. כן עתרה לגזירת עונש הסוטה מהמתחם לקולא, לאור אי חקירת גורמים מעורבים נוספים, חקירתו של הנאשם בשב"כ, ומניעת המפגש עם עורך הדין במשך עשרה ימים. ביחס לעבירות האמורות בכתב האישום, ציינה ב"כ הנאשם כי נשיאת נשק ללא מטרה, ועבירה של נשיאת נשק או תחמושת, מצויות ברף התחתון של עבירות הנשק, וכי לאור העדר עברו הפלילי של הנאשם והיותו קטין בזמן חלק מהאישומים, ישנה הצדקה להקלה בעונשו. </w:t>
      </w:r>
    </w:p>
    <w:p w14:paraId="010E7CA8" w14:textId="77777777" w:rsidR="002860ED" w:rsidRDefault="002860ED" w:rsidP="002860ED">
      <w:pPr>
        <w:spacing w:line="360" w:lineRule="auto"/>
        <w:jc w:val="both"/>
        <w:rPr>
          <w:rFonts w:ascii="FrankRuehl" w:hAnsi="FrankRuehl" w:cs="FrankRuehl"/>
          <w:sz w:val="28"/>
          <w:szCs w:val="28"/>
          <w:rtl/>
        </w:rPr>
      </w:pPr>
    </w:p>
    <w:p w14:paraId="23D0E252" w14:textId="77777777" w:rsidR="002860ED" w:rsidRDefault="002860ED" w:rsidP="002860ED">
      <w:pPr>
        <w:spacing w:line="360" w:lineRule="auto"/>
        <w:jc w:val="both"/>
        <w:rPr>
          <w:rFonts w:ascii="FrankRuehl" w:hAnsi="FrankRuehl" w:cs="FrankRuehl"/>
          <w:sz w:val="28"/>
          <w:szCs w:val="28"/>
          <w:rtl/>
        </w:rPr>
      </w:pPr>
      <w:r>
        <w:rPr>
          <w:rFonts w:ascii="FrankRuehl" w:hAnsi="FrankRuehl" w:cs="FrankRuehl"/>
          <w:sz w:val="28"/>
          <w:szCs w:val="28"/>
          <w:rtl/>
        </w:rPr>
        <w:t>18.</w:t>
      </w:r>
      <w:r>
        <w:rPr>
          <w:rFonts w:ascii="FrankRuehl" w:hAnsi="FrankRuehl" w:cs="FrankRuehl"/>
          <w:sz w:val="28"/>
          <w:szCs w:val="28"/>
          <w:rtl/>
        </w:rPr>
        <w:tab/>
        <w:t>בהתייחס לנאשם, הדגישה ב"כ הנאשם, כי הנאשם הפנים את חומרת מעשיו, הוא לקח אחריות מלאה עליהם, והוא הביע תחושות חרטה על הפגיעה במשפחתו והרחקתו ממנה מזה שבעה חודשים מעת מעצרו. לדבריה, ההליך הפלילי היווה גורם מרתיע והציב גבולות באופן חד משמעי לנאשם, כפי שהובא בתסקיר המבחן.</w:t>
      </w:r>
    </w:p>
    <w:p w14:paraId="1F871A7D" w14:textId="77777777" w:rsidR="002860ED" w:rsidRDefault="002860ED" w:rsidP="002860ED">
      <w:pPr>
        <w:spacing w:line="360" w:lineRule="auto"/>
        <w:jc w:val="both"/>
        <w:rPr>
          <w:rFonts w:ascii="FrankRuehl" w:hAnsi="FrankRuehl" w:cs="FrankRuehl"/>
          <w:sz w:val="28"/>
          <w:szCs w:val="28"/>
          <w:rtl/>
        </w:rPr>
      </w:pPr>
    </w:p>
    <w:p w14:paraId="1D100351" w14:textId="77777777" w:rsidR="002860ED" w:rsidRDefault="002860ED" w:rsidP="002860ED">
      <w:pPr>
        <w:spacing w:line="360" w:lineRule="auto"/>
        <w:jc w:val="both"/>
        <w:rPr>
          <w:rFonts w:ascii="FrankRuehl" w:hAnsi="FrankRuehl" w:cs="FrankRuehl"/>
          <w:sz w:val="28"/>
          <w:szCs w:val="28"/>
          <w:rtl/>
        </w:rPr>
      </w:pPr>
      <w:r>
        <w:rPr>
          <w:rFonts w:ascii="FrankRuehl" w:hAnsi="FrankRuehl" w:cs="FrankRuehl"/>
          <w:sz w:val="28"/>
          <w:szCs w:val="28"/>
          <w:rtl/>
        </w:rPr>
        <w:t>19.</w:t>
      </w:r>
      <w:r>
        <w:rPr>
          <w:rFonts w:ascii="FrankRuehl" w:hAnsi="FrankRuehl" w:cs="FrankRuehl"/>
          <w:sz w:val="28"/>
          <w:szCs w:val="28"/>
          <w:rtl/>
        </w:rPr>
        <w:tab/>
        <w:t xml:space="preserve">היא הוסיפה, כי זו פעם ראשונה בחייו של הנאשם שהוא מתמודד עם הליך פלילי, והדגישה כי הנאשם שיתף פעולה עם גורמי החקירה כבר מהמעצר וחקירתו הראשונה, לרבות מסירת הטלפון הסלולרי לידי החוקרים. לדבריה, יש בדבר כדי להעיד על אישיותו ותמימותו של הנאשם. </w:t>
      </w:r>
    </w:p>
    <w:p w14:paraId="0A5C0AB7" w14:textId="77777777" w:rsidR="002860ED" w:rsidRDefault="002860ED" w:rsidP="002860ED">
      <w:pPr>
        <w:spacing w:line="360" w:lineRule="auto"/>
        <w:jc w:val="both"/>
        <w:rPr>
          <w:rFonts w:ascii="FrankRuehl" w:hAnsi="FrankRuehl" w:cs="FrankRuehl"/>
          <w:sz w:val="28"/>
          <w:szCs w:val="28"/>
          <w:rtl/>
        </w:rPr>
      </w:pPr>
    </w:p>
    <w:p w14:paraId="0813C6DE" w14:textId="77777777" w:rsidR="002860ED" w:rsidRDefault="002860ED" w:rsidP="002860ED">
      <w:pPr>
        <w:spacing w:line="360" w:lineRule="auto"/>
        <w:jc w:val="both"/>
        <w:rPr>
          <w:rFonts w:ascii="FrankRuehl" w:hAnsi="FrankRuehl" w:cs="FrankRuehl"/>
          <w:sz w:val="28"/>
          <w:szCs w:val="28"/>
          <w:rtl/>
        </w:rPr>
      </w:pPr>
      <w:r>
        <w:rPr>
          <w:rFonts w:ascii="FrankRuehl" w:hAnsi="FrankRuehl" w:cs="FrankRuehl"/>
          <w:sz w:val="28"/>
          <w:szCs w:val="28"/>
          <w:rtl/>
        </w:rPr>
        <w:t>20.</w:t>
      </w:r>
      <w:r>
        <w:rPr>
          <w:rFonts w:ascii="FrankRuehl" w:hAnsi="FrankRuehl" w:cs="FrankRuehl"/>
          <w:sz w:val="28"/>
          <w:szCs w:val="28"/>
          <w:rtl/>
        </w:rPr>
        <w:tab/>
        <w:t>ב"כ הנאשם הזכירה את נסיבות חייו של הנאשם, הכוללות את גירושם של הוריו, איבוד הראייה בעין ימין, וסיום הלימודים בבית הספר לאחר שנות לימוד בודדות בכדי לפרנס את משפחתו, שפגעו בהתפתחותו התקינה. היא הפנתה לתסקיר שירות המבחן, בו ציינה קצינת המבחן את התרשמותה כי מעצרו וההליך שעבר היוו עבור הנאשם גורם מרתיע, וכי לנאשם כוונה לחזור לעבודה מסודרת ולכלכל את משפחתו.</w:t>
      </w:r>
    </w:p>
    <w:p w14:paraId="79C0ED34" w14:textId="77777777" w:rsidR="002860ED" w:rsidRDefault="002860ED" w:rsidP="002860ED">
      <w:pPr>
        <w:spacing w:line="360" w:lineRule="auto"/>
        <w:jc w:val="both"/>
        <w:rPr>
          <w:rFonts w:ascii="FrankRuehl" w:hAnsi="FrankRuehl" w:cs="FrankRuehl"/>
          <w:sz w:val="28"/>
          <w:szCs w:val="28"/>
          <w:rtl/>
        </w:rPr>
      </w:pPr>
    </w:p>
    <w:p w14:paraId="7958CF13" w14:textId="77777777" w:rsidR="002860ED" w:rsidRDefault="002860ED" w:rsidP="002860ED">
      <w:pPr>
        <w:spacing w:line="360" w:lineRule="auto"/>
        <w:jc w:val="both"/>
        <w:rPr>
          <w:rFonts w:ascii="FrankRuehl" w:hAnsi="FrankRuehl" w:cs="FrankRuehl"/>
          <w:sz w:val="28"/>
          <w:szCs w:val="28"/>
          <w:rtl/>
        </w:rPr>
      </w:pPr>
      <w:r>
        <w:rPr>
          <w:rFonts w:ascii="FrankRuehl" w:hAnsi="FrankRuehl" w:cs="FrankRuehl"/>
          <w:sz w:val="28"/>
          <w:szCs w:val="28"/>
          <w:rtl/>
        </w:rPr>
        <w:t>21.</w:t>
      </w:r>
      <w:r>
        <w:rPr>
          <w:rFonts w:ascii="FrankRuehl" w:hAnsi="FrankRuehl" w:cs="FrankRuehl"/>
          <w:sz w:val="28"/>
          <w:szCs w:val="28"/>
          <w:rtl/>
        </w:rPr>
        <w:tab/>
        <w:t xml:space="preserve">ב"כ הנאשם הוסיפה וטענה, כי בגזירת דינו של הנאשם יש לקחת בחשבון כי מעורבים נוספים שסיפקו את כלי הנשק והתחמושת ושזהותם ידועה למאשימה, נעצרו לזמן קצר ושוחררו ללא שהוגש כתב אישום בעניינם. לטענתה, מדובר בפגם שהיה עשוי להוביל אף לביטול כתב האישום כנגד הנאשם, ויש לתת משקל לפגם זה בגזירת הדין. </w:t>
      </w:r>
    </w:p>
    <w:p w14:paraId="5F0CF2C7" w14:textId="77777777" w:rsidR="002860ED" w:rsidRDefault="002860ED" w:rsidP="002860ED">
      <w:pPr>
        <w:spacing w:line="360" w:lineRule="auto"/>
        <w:jc w:val="both"/>
        <w:rPr>
          <w:rFonts w:ascii="FrankRuehl" w:hAnsi="FrankRuehl" w:cs="FrankRuehl"/>
          <w:sz w:val="28"/>
          <w:szCs w:val="28"/>
          <w:rtl/>
        </w:rPr>
      </w:pPr>
    </w:p>
    <w:p w14:paraId="0ECAA545" w14:textId="77777777" w:rsidR="002860ED" w:rsidRDefault="002860ED" w:rsidP="002860ED">
      <w:pPr>
        <w:spacing w:line="360" w:lineRule="auto"/>
        <w:jc w:val="both"/>
        <w:rPr>
          <w:rFonts w:ascii="FrankRuehl" w:hAnsi="FrankRuehl" w:cs="FrankRuehl"/>
          <w:sz w:val="28"/>
          <w:szCs w:val="28"/>
          <w:rtl/>
        </w:rPr>
      </w:pPr>
      <w:r>
        <w:rPr>
          <w:rFonts w:ascii="FrankRuehl" w:hAnsi="FrankRuehl" w:cs="FrankRuehl"/>
          <w:sz w:val="28"/>
          <w:szCs w:val="28"/>
          <w:rtl/>
        </w:rPr>
        <w:t>22.</w:t>
      </w:r>
      <w:r>
        <w:rPr>
          <w:rFonts w:ascii="FrankRuehl" w:hAnsi="FrankRuehl" w:cs="FrankRuehl"/>
          <w:sz w:val="28"/>
          <w:szCs w:val="28"/>
          <w:rtl/>
        </w:rPr>
        <w:tab/>
        <w:t xml:space="preserve">בנסיבות אלה, ביקשה ב"כ הנאשם כי בית המשפט יסתפק בתקופת המעצר בת שבעה חודשים ויטיל על הנאשם ענישה צופה פני עתיד. לתמיכה בטענותיה, צירפה ב"כ הנאשם פסיקה בנסיבות דומות בה הוטלו עונשים במתחם האמור. </w:t>
      </w:r>
    </w:p>
    <w:p w14:paraId="0F330DE7" w14:textId="77777777" w:rsidR="002860ED" w:rsidRDefault="002860ED" w:rsidP="002860ED">
      <w:pPr>
        <w:spacing w:line="360" w:lineRule="auto"/>
        <w:jc w:val="both"/>
        <w:rPr>
          <w:rFonts w:ascii="FrankRuehl" w:hAnsi="FrankRuehl" w:cs="FrankRuehl"/>
          <w:sz w:val="28"/>
          <w:szCs w:val="28"/>
          <w:rtl/>
        </w:rPr>
      </w:pPr>
    </w:p>
    <w:p w14:paraId="34A9157C" w14:textId="77777777" w:rsidR="002860ED" w:rsidRDefault="002860ED" w:rsidP="002860ED">
      <w:pPr>
        <w:spacing w:line="360" w:lineRule="auto"/>
        <w:jc w:val="both"/>
        <w:rPr>
          <w:rFonts w:ascii="FrankRuehl" w:hAnsi="FrankRuehl" w:cs="FrankRuehl"/>
          <w:sz w:val="28"/>
          <w:szCs w:val="28"/>
          <w:rtl/>
        </w:rPr>
      </w:pPr>
      <w:r>
        <w:rPr>
          <w:rFonts w:ascii="FrankRuehl" w:hAnsi="FrankRuehl" w:cs="FrankRuehl"/>
          <w:sz w:val="28"/>
          <w:szCs w:val="28"/>
          <w:rtl/>
        </w:rPr>
        <w:t>23.</w:t>
      </w:r>
      <w:r>
        <w:rPr>
          <w:rFonts w:ascii="FrankRuehl" w:hAnsi="FrankRuehl" w:cs="FrankRuehl"/>
          <w:sz w:val="28"/>
          <w:szCs w:val="28"/>
          <w:rtl/>
        </w:rPr>
        <w:tab/>
        <w:t>בתשובה לטענות בדבר אכיפה בררנית ציינה המאשימה כי אכן שניים שנזכרו בכתב האישום (איוב ובאסל עבאסי הנזכרים באישומים השני, השלישי החמישי והשישי כמי שמסרו ל</w:t>
      </w:r>
      <w:r>
        <w:rPr>
          <w:rFonts w:ascii="FrankRuehl" w:hAnsi="FrankRuehl" w:cs="FrankRuehl" w:hint="cs"/>
          <w:sz w:val="28"/>
          <w:szCs w:val="28"/>
          <w:rtl/>
        </w:rPr>
        <w:t>נאשם</w:t>
      </w:r>
      <w:r>
        <w:rPr>
          <w:rFonts w:ascii="FrankRuehl" w:hAnsi="FrankRuehl" w:cs="FrankRuehl"/>
          <w:sz w:val="28"/>
          <w:szCs w:val="28"/>
          <w:rtl/>
        </w:rPr>
        <w:t xml:space="preserve"> את הנשק או את התחמושת</w:t>
      </w:r>
      <w:r>
        <w:rPr>
          <w:rFonts w:ascii="FrankRuehl" w:hAnsi="FrankRuehl" w:cs="FrankRuehl" w:hint="cs"/>
          <w:sz w:val="28"/>
          <w:szCs w:val="28"/>
          <w:rtl/>
        </w:rPr>
        <w:t>,</w:t>
      </w:r>
      <w:r>
        <w:rPr>
          <w:rFonts w:ascii="FrankRuehl" w:hAnsi="FrankRuehl" w:cs="FrankRuehl"/>
          <w:sz w:val="28"/>
          <w:szCs w:val="28"/>
          <w:rtl/>
        </w:rPr>
        <w:t xml:space="preserve"> או כמי שתיווכו בינו לבין מי שס</w:t>
      </w:r>
      <w:r>
        <w:rPr>
          <w:rFonts w:ascii="FrankRuehl" w:hAnsi="FrankRuehl" w:cs="FrankRuehl" w:hint="cs"/>
          <w:sz w:val="28"/>
          <w:szCs w:val="28"/>
          <w:rtl/>
        </w:rPr>
        <w:t>י</w:t>
      </w:r>
      <w:r>
        <w:rPr>
          <w:rFonts w:ascii="FrankRuehl" w:hAnsi="FrankRuehl" w:cs="FrankRuehl"/>
          <w:sz w:val="28"/>
          <w:szCs w:val="28"/>
          <w:rtl/>
        </w:rPr>
        <w:t xml:space="preserve">פק לנאשם את התחמושת) הוכרזו כדרושים </w:t>
      </w:r>
      <w:r>
        <w:rPr>
          <w:rFonts w:ascii="FrankRuehl" w:hAnsi="FrankRuehl" w:cs="FrankRuehl" w:hint="cs"/>
          <w:sz w:val="28"/>
          <w:szCs w:val="28"/>
          <w:rtl/>
        </w:rPr>
        <w:t>ל</w:t>
      </w:r>
      <w:r>
        <w:rPr>
          <w:rFonts w:ascii="FrankRuehl" w:hAnsi="FrankRuehl" w:cs="FrankRuehl"/>
          <w:sz w:val="28"/>
          <w:szCs w:val="28"/>
          <w:rtl/>
        </w:rPr>
        <w:t xml:space="preserve">חקירה, ואולם על אף שהם נחקרו לאחר מכן בחשד לעבירות אחרות, הם לא נחקרו בקשר לחשדות שהעלה כנגדם הנאשם בחקירתו, בשל תקלה. לדבריה, בשל כך היא הסכימה לתיקון כתב האישום ואין מקום לתת לכך משקל נוסף בדמות הפחתה בעונש. מה גם, שהחשד כנגד אותם אנשים מבוסס לעת הזו רק על דברי הנאשם בחקירתו. באשר לחשוד אחד הנזכר באישום הרביעי, אליו פנה הנאשם כדי שישיג עבורו מחסניות, ציינה המאשימה כי הוא נחקר באזהרה והדיון בעניינו טרם הסתיים.  </w:t>
      </w:r>
    </w:p>
    <w:p w14:paraId="55AA0339" w14:textId="77777777" w:rsidR="002860ED" w:rsidRDefault="002860ED" w:rsidP="002860ED">
      <w:pPr>
        <w:spacing w:line="360" w:lineRule="auto"/>
        <w:jc w:val="both"/>
        <w:rPr>
          <w:rFonts w:ascii="FrankRuehl" w:hAnsi="FrankRuehl" w:cs="FrankRuehl"/>
          <w:sz w:val="28"/>
          <w:szCs w:val="28"/>
          <w:rtl/>
        </w:rPr>
      </w:pPr>
    </w:p>
    <w:p w14:paraId="764A7EFD" w14:textId="77777777" w:rsidR="002860ED" w:rsidRDefault="002860ED" w:rsidP="002860ED">
      <w:pPr>
        <w:spacing w:line="360" w:lineRule="auto"/>
        <w:jc w:val="both"/>
        <w:rPr>
          <w:rFonts w:ascii="FrankRuehl" w:hAnsi="FrankRuehl" w:cs="FrankRuehl"/>
          <w:sz w:val="28"/>
          <w:szCs w:val="28"/>
          <w:rtl/>
        </w:rPr>
      </w:pPr>
      <w:r>
        <w:rPr>
          <w:rFonts w:ascii="FrankRuehl" w:hAnsi="FrankRuehl" w:cs="FrankRuehl"/>
          <w:sz w:val="28"/>
          <w:szCs w:val="28"/>
          <w:rtl/>
        </w:rPr>
        <w:t>24.</w:t>
      </w:r>
      <w:r>
        <w:rPr>
          <w:rFonts w:ascii="FrankRuehl" w:hAnsi="FrankRuehl" w:cs="FrankRuehl"/>
          <w:sz w:val="28"/>
          <w:szCs w:val="28"/>
          <w:rtl/>
        </w:rPr>
        <w:tab/>
        <w:t>הנאשם ציין כי הוא מתנצל בפני המדינה ובפני משפחתו, וכי הוא יודע שטעה. הוא הוסיף, כי תקופת מעצרו לימדה אותו לקח, וביקש מבית המשפט ליתן לו הזדמנות להתקדם בחיים.</w:t>
      </w:r>
    </w:p>
    <w:p w14:paraId="22F6B596" w14:textId="77777777" w:rsidR="002860ED" w:rsidRDefault="002860ED" w:rsidP="002860ED">
      <w:pPr>
        <w:spacing w:line="360" w:lineRule="auto"/>
        <w:jc w:val="both"/>
        <w:rPr>
          <w:rFonts w:ascii="FrankRuehl" w:hAnsi="FrankRuehl" w:cs="FrankRuehl"/>
          <w:sz w:val="28"/>
          <w:szCs w:val="28"/>
          <w:rtl/>
        </w:rPr>
      </w:pPr>
    </w:p>
    <w:p w14:paraId="6DA0F0C4" w14:textId="77777777" w:rsidR="002860ED" w:rsidRDefault="002860ED" w:rsidP="002860ED">
      <w:pPr>
        <w:spacing w:line="360" w:lineRule="auto"/>
        <w:jc w:val="both"/>
        <w:rPr>
          <w:rFonts w:ascii="FrankRuehl" w:hAnsi="FrankRuehl" w:cs="FrankRuehl"/>
          <w:b/>
          <w:bCs/>
          <w:sz w:val="28"/>
          <w:szCs w:val="28"/>
          <w:u w:val="single"/>
          <w:rtl/>
        </w:rPr>
      </w:pPr>
      <w:r>
        <w:rPr>
          <w:rFonts w:ascii="FrankRuehl" w:hAnsi="FrankRuehl" w:cs="FrankRuehl"/>
          <w:b/>
          <w:bCs/>
          <w:sz w:val="28"/>
          <w:szCs w:val="28"/>
          <w:u w:val="single"/>
          <w:rtl/>
        </w:rPr>
        <w:t>דיון והכרעה</w:t>
      </w:r>
    </w:p>
    <w:p w14:paraId="52416EA9" w14:textId="77777777" w:rsidR="002860ED" w:rsidRPr="00DB3162" w:rsidRDefault="002860ED" w:rsidP="002860ED">
      <w:pPr>
        <w:spacing w:after="240" w:line="360" w:lineRule="auto"/>
        <w:jc w:val="both"/>
        <w:rPr>
          <w:rFonts w:ascii="FrankRuehl" w:hAnsi="FrankRuehl" w:cs="FrankRuehl"/>
          <w:color w:val="000000"/>
          <w:sz w:val="28"/>
          <w:szCs w:val="28"/>
          <w:rtl/>
        </w:rPr>
      </w:pPr>
      <w:r>
        <w:rPr>
          <w:rFonts w:ascii="FrankRuehl" w:hAnsi="FrankRuehl" w:cs="FrankRuehl"/>
          <w:sz w:val="28"/>
          <w:szCs w:val="28"/>
          <w:rtl/>
        </w:rPr>
        <w:t>25.</w:t>
      </w:r>
      <w:r>
        <w:rPr>
          <w:rFonts w:ascii="FrankRuehl" w:hAnsi="FrankRuehl" w:cs="FrankRuehl"/>
          <w:sz w:val="28"/>
          <w:szCs w:val="28"/>
          <w:rtl/>
        </w:rPr>
        <w:tab/>
      </w:r>
      <w:r>
        <w:rPr>
          <w:rFonts w:ascii="FrankRuehl" w:hAnsi="FrankRuehl" w:cs="FrankRuehl"/>
          <w:color w:val="000000"/>
          <w:sz w:val="28"/>
          <w:szCs w:val="28"/>
          <w:rtl/>
        </w:rPr>
        <w:t>הערכים המוגנים</w:t>
      </w:r>
      <w:r w:rsidR="001375F8">
        <w:rPr>
          <w:rFonts w:ascii="FrankRuehl" w:hAnsi="FrankRuehl" w:cs="FrankRuehl"/>
          <w:color w:val="000000"/>
          <w:sz w:val="28"/>
          <w:szCs w:val="28"/>
          <w:rtl/>
        </w:rPr>
        <w:t xml:space="preserve"> </w:t>
      </w:r>
      <w:r>
        <w:rPr>
          <w:rFonts w:ascii="FrankRuehl" w:hAnsi="FrankRuehl" w:cs="FrankRuehl"/>
          <w:color w:val="000000"/>
          <w:sz w:val="28"/>
          <w:szCs w:val="28"/>
          <w:rtl/>
        </w:rPr>
        <w:t xml:space="preserve">בעבירות נשק הם שלמות הגוף וחיי אדם, שלום הציבור וביטחונו. למותר להכביר מילים באשר לסכנה הנשקפת מהחזקה ונשיאה של כלי נשק על ידי מי שאינם מורשים לכך, שלא למטרות ראויות, כגון הגנה על בטחון המדינה או על שלום אזרחיה. מדובר בכלי שהשימוש העיקרי בו הוא לצורך המתת אדם, גרימת פגיעה גופנית חמורה לאדם או איום בפגיעה כזו. פסיקה עקבית עומדת </w:t>
      </w:r>
      <w:r>
        <w:rPr>
          <w:rFonts w:ascii="FrankRuehl" w:hAnsi="FrankRuehl" w:cs="FrankRuehl" w:hint="cs"/>
          <w:color w:val="000000"/>
          <w:sz w:val="28"/>
          <w:szCs w:val="28"/>
          <w:rtl/>
        </w:rPr>
        <w:t>כך ש</w:t>
      </w:r>
      <w:r w:rsidRPr="00DB3162">
        <w:rPr>
          <w:rFonts w:ascii="FrankRuehl" w:hAnsi="FrankRuehl" w:cs="FrankRuehl"/>
          <w:color w:val="000000"/>
          <w:sz w:val="28"/>
          <w:szCs w:val="28"/>
          <w:rtl/>
        </w:rPr>
        <w:t xml:space="preserve">עבירות נשק לסוגיהן הן "מכת מדינה" המשקפת סכנה חמורה ומיידית לביטחון הציבור ולשלומו </w:t>
      </w:r>
      <w:r w:rsidRPr="00DB3162">
        <w:rPr>
          <w:rFonts w:ascii="FrankRuehl" w:hAnsi="FrankRuehl" w:cs="FrankRuehl" w:hint="cs"/>
          <w:color w:val="000000"/>
          <w:sz w:val="28"/>
          <w:szCs w:val="28"/>
          <w:rtl/>
        </w:rPr>
        <w:t>ו</w:t>
      </w:r>
      <w:r>
        <w:rPr>
          <w:rFonts w:ascii="FrankRuehl" w:hAnsi="FrankRuehl" w:cs="FrankRuehl"/>
          <w:color w:val="000000"/>
          <w:sz w:val="28"/>
          <w:szCs w:val="28"/>
          <w:rtl/>
        </w:rPr>
        <w:t>על הצורך בענישה מחמירה בעבירות נשק, ובהעלאת רף הענישה בעבירות הנשק לסוגיהן (ראו אך לדוגמה:</w:t>
      </w:r>
      <w:r>
        <w:rPr>
          <w:rFonts w:ascii="FrankRuehl" w:hAnsi="FrankRuehl" w:cs="FrankRuehl" w:hint="cs"/>
          <w:color w:val="000000"/>
          <w:sz w:val="28"/>
          <w:szCs w:val="28"/>
          <w:rtl/>
        </w:rPr>
        <w:t xml:space="preserve"> </w:t>
      </w:r>
      <w:hyperlink r:id="rId18" w:history="1">
        <w:r w:rsidR="001375F8" w:rsidRPr="001375F8">
          <w:rPr>
            <w:rFonts w:ascii="FrankRuehl" w:hAnsi="FrankRuehl" w:cs="FrankRuehl"/>
            <w:color w:val="0000FF"/>
            <w:sz w:val="28"/>
            <w:szCs w:val="28"/>
            <w:u w:val="single"/>
            <w:rtl/>
          </w:rPr>
          <w:t>ע"פ 2761/21</w:t>
        </w:r>
      </w:hyperlink>
      <w:r>
        <w:rPr>
          <w:rFonts w:ascii="FrankRuehl" w:hAnsi="FrankRuehl" w:cs="FrankRuehl" w:hint="cs"/>
          <w:color w:val="000000"/>
          <w:sz w:val="28"/>
          <w:szCs w:val="28"/>
          <w:rtl/>
        </w:rPr>
        <w:t xml:space="preserve"> </w:t>
      </w:r>
      <w:r w:rsidRPr="00937B74">
        <w:rPr>
          <w:rFonts w:ascii="FrankRuehl" w:hAnsi="FrankRuehl" w:cs="FrankRuehl" w:hint="cs"/>
          <w:b/>
          <w:bCs/>
          <w:color w:val="000000"/>
          <w:sz w:val="28"/>
          <w:szCs w:val="28"/>
          <w:rtl/>
        </w:rPr>
        <w:t>עואלי נ' מדינת ישראל</w:t>
      </w:r>
      <w:r>
        <w:rPr>
          <w:rFonts w:ascii="FrankRuehl" w:hAnsi="FrankRuehl" w:cs="FrankRuehl" w:hint="cs"/>
          <w:color w:val="000000"/>
          <w:sz w:val="28"/>
          <w:szCs w:val="28"/>
          <w:rtl/>
        </w:rPr>
        <w:t xml:space="preserve"> (פורסם בנבו, 22.08.21); </w:t>
      </w:r>
      <w:hyperlink r:id="rId19" w:history="1">
        <w:r w:rsidR="001375F8" w:rsidRPr="001375F8">
          <w:rPr>
            <w:rFonts w:ascii="FrankRuehl" w:hAnsi="FrankRuehl" w:cs="FrankRuehl"/>
            <w:color w:val="0000FF"/>
            <w:sz w:val="28"/>
            <w:szCs w:val="28"/>
            <w:u w:val="single"/>
            <w:rtl/>
          </w:rPr>
          <w:t>ע"פ 4207/21</w:t>
        </w:r>
      </w:hyperlink>
      <w:r>
        <w:rPr>
          <w:rFonts w:ascii="FrankRuehl" w:hAnsi="FrankRuehl" w:cs="FrankRuehl" w:hint="cs"/>
          <w:color w:val="000000"/>
          <w:sz w:val="28"/>
          <w:szCs w:val="28"/>
          <w:rtl/>
        </w:rPr>
        <w:t xml:space="preserve"> </w:t>
      </w:r>
      <w:r w:rsidRPr="00E35F0E">
        <w:rPr>
          <w:rFonts w:ascii="FrankRuehl" w:hAnsi="FrankRuehl" w:cs="FrankRuehl" w:hint="cs"/>
          <w:b/>
          <w:bCs/>
          <w:color w:val="000000"/>
          <w:sz w:val="28"/>
          <w:szCs w:val="28"/>
          <w:rtl/>
        </w:rPr>
        <w:t>עמאר בעראני נורי נ' מדינת ישראל</w:t>
      </w:r>
      <w:r>
        <w:rPr>
          <w:rFonts w:ascii="FrankRuehl" w:hAnsi="FrankRuehl" w:cs="FrankRuehl" w:hint="cs"/>
          <w:color w:val="000000"/>
          <w:sz w:val="28"/>
          <w:szCs w:val="28"/>
          <w:rtl/>
        </w:rPr>
        <w:t xml:space="preserve"> (פורסם בנבו, 28.07.21); </w:t>
      </w:r>
      <w:hyperlink r:id="rId20" w:history="1">
        <w:r w:rsidR="001375F8" w:rsidRPr="001375F8">
          <w:rPr>
            <w:rFonts w:ascii="FrankRuehl" w:hAnsi="FrankRuehl" w:cs="FrankRuehl"/>
            <w:color w:val="0000FF"/>
            <w:sz w:val="28"/>
            <w:szCs w:val="28"/>
            <w:u w:val="single"/>
            <w:rtl/>
          </w:rPr>
          <w:t>ע"פ 3793/20</w:t>
        </w:r>
      </w:hyperlink>
      <w:r>
        <w:rPr>
          <w:rFonts w:ascii="FrankRuehl" w:hAnsi="FrankRuehl" w:cs="FrankRuehl" w:hint="cs"/>
          <w:color w:val="000000"/>
          <w:sz w:val="28"/>
          <w:szCs w:val="28"/>
          <w:rtl/>
        </w:rPr>
        <w:t xml:space="preserve"> </w:t>
      </w:r>
      <w:r w:rsidRPr="00DB3162">
        <w:rPr>
          <w:rFonts w:ascii="FrankRuehl" w:hAnsi="FrankRuehl" w:cs="FrankRuehl" w:hint="cs"/>
          <w:b/>
          <w:bCs/>
          <w:color w:val="000000"/>
          <w:sz w:val="28"/>
          <w:szCs w:val="28"/>
          <w:rtl/>
        </w:rPr>
        <w:t>מורייחי נ' מדינת ישראל</w:t>
      </w:r>
      <w:r>
        <w:rPr>
          <w:rFonts w:ascii="FrankRuehl" w:hAnsi="FrankRuehl" w:cs="FrankRuehl" w:hint="cs"/>
          <w:color w:val="000000"/>
          <w:sz w:val="28"/>
          <w:szCs w:val="28"/>
          <w:rtl/>
        </w:rPr>
        <w:t xml:space="preserve"> (פורסם בנבו, 23.11.20); </w:t>
      </w:r>
      <w:r w:rsidRPr="00DB3162">
        <w:rPr>
          <w:rFonts w:ascii="FrankRuehl" w:hAnsi="FrankRuehl" w:cs="FrankRuehl"/>
          <w:color w:val="000000"/>
          <w:sz w:val="28"/>
          <w:szCs w:val="28"/>
          <w:rtl/>
        </w:rPr>
        <w:t>הצורך בענישה מחמירה בעבירות נשק הוא חיוני גם בעבירות של החזקת נשק שלא כדין שלא לוו בעבירות נוספות</w:t>
      </w:r>
      <w:r w:rsidRPr="00937B74">
        <w:rPr>
          <w:rFonts w:ascii="FrankRuehl" w:hAnsi="FrankRuehl" w:cs="FrankRuehl"/>
          <w:color w:val="000000"/>
          <w:sz w:val="28"/>
          <w:szCs w:val="28"/>
          <w:rtl/>
        </w:rPr>
        <w:t xml:space="preserve"> (ראו</w:t>
      </w:r>
      <w:r w:rsidRPr="00937B74">
        <w:rPr>
          <w:rFonts w:ascii="FrankRuehl" w:hAnsi="FrankRuehl" w:cs="FrankRuehl" w:hint="cs"/>
          <w:color w:val="000000"/>
          <w:sz w:val="28"/>
          <w:szCs w:val="28"/>
          <w:rtl/>
        </w:rPr>
        <w:t xml:space="preserve">: </w:t>
      </w:r>
      <w:hyperlink r:id="rId21" w:history="1">
        <w:r w:rsidR="001375F8" w:rsidRPr="001375F8">
          <w:rPr>
            <w:rFonts w:ascii="FrankRuehl" w:hAnsi="FrankRuehl" w:cs="FrankRuehl"/>
            <w:color w:val="0000FF"/>
            <w:sz w:val="28"/>
            <w:szCs w:val="28"/>
            <w:u w:val="single"/>
            <w:rtl/>
          </w:rPr>
          <w:t>ע"פ 5330/20</w:t>
        </w:r>
      </w:hyperlink>
      <w:r>
        <w:rPr>
          <w:rFonts w:ascii="FrankRuehl" w:hAnsi="FrankRuehl" w:cs="FrankRuehl" w:hint="cs"/>
          <w:color w:val="000000"/>
          <w:sz w:val="28"/>
          <w:szCs w:val="28"/>
          <w:rtl/>
        </w:rPr>
        <w:t xml:space="preserve"> </w:t>
      </w:r>
      <w:r w:rsidRPr="00937B74">
        <w:rPr>
          <w:rFonts w:ascii="FrankRuehl" w:hAnsi="FrankRuehl" w:cs="FrankRuehl"/>
          <w:b/>
          <w:bCs/>
          <w:color w:val="000000"/>
          <w:sz w:val="28"/>
          <w:szCs w:val="28"/>
          <w:rtl/>
        </w:rPr>
        <w:t>ענבתאוי נ' מדינת ישראל</w:t>
      </w:r>
      <w:r w:rsidRPr="00937B74">
        <w:rPr>
          <w:rFonts w:ascii="FrankRuehl" w:hAnsi="FrankRuehl" w:cs="FrankRuehl"/>
          <w:color w:val="000000"/>
          <w:sz w:val="28"/>
          <w:szCs w:val="28"/>
          <w:rtl/>
        </w:rPr>
        <w:t xml:space="preserve"> </w:t>
      </w:r>
      <w:r>
        <w:rPr>
          <w:rFonts w:ascii="FrankRuehl" w:hAnsi="FrankRuehl" w:cs="FrankRuehl" w:hint="cs"/>
          <w:color w:val="000000"/>
          <w:sz w:val="28"/>
          <w:szCs w:val="28"/>
          <w:rtl/>
        </w:rPr>
        <w:t>(</w:t>
      </w:r>
      <w:r w:rsidRPr="00937B74">
        <w:rPr>
          <w:rFonts w:ascii="FrankRuehl" w:hAnsi="FrankRuehl" w:cs="FrankRuehl"/>
          <w:color w:val="000000"/>
          <w:sz w:val="28"/>
          <w:szCs w:val="28"/>
          <w:rtl/>
        </w:rPr>
        <w:t>פורסם בנבו</w:t>
      </w:r>
      <w:r>
        <w:rPr>
          <w:rFonts w:ascii="FrankRuehl" w:hAnsi="FrankRuehl" w:cs="FrankRuehl" w:hint="cs"/>
          <w:color w:val="000000"/>
          <w:sz w:val="28"/>
          <w:szCs w:val="28"/>
          <w:rtl/>
        </w:rPr>
        <w:t xml:space="preserve">, </w:t>
      </w:r>
      <w:r w:rsidRPr="00937B74">
        <w:rPr>
          <w:rFonts w:ascii="FrankRuehl" w:hAnsi="FrankRuehl" w:cs="FrankRuehl"/>
          <w:color w:val="000000"/>
          <w:sz w:val="28"/>
          <w:szCs w:val="28"/>
          <w:rtl/>
        </w:rPr>
        <w:t>22.11.20)</w:t>
      </w:r>
      <w:r>
        <w:rPr>
          <w:rFonts w:ascii="FrankRuehl" w:hAnsi="FrankRuehl" w:cs="FrankRuehl" w:hint="cs"/>
          <w:color w:val="000000"/>
          <w:sz w:val="28"/>
          <w:szCs w:val="28"/>
          <w:rtl/>
        </w:rPr>
        <w:t xml:space="preserve">; </w:t>
      </w:r>
      <w:hyperlink r:id="rId22" w:history="1">
        <w:r w:rsidR="001375F8" w:rsidRPr="001375F8">
          <w:rPr>
            <w:rFonts w:ascii="FrankRuehl" w:hAnsi="FrankRuehl" w:cs="FrankRuehl"/>
            <w:color w:val="0000FF"/>
            <w:sz w:val="28"/>
            <w:szCs w:val="28"/>
            <w:u w:val="single"/>
            <w:rtl/>
          </w:rPr>
          <w:t>ע"פ 4406/19</w:t>
        </w:r>
      </w:hyperlink>
      <w:r w:rsidR="001375F8">
        <w:rPr>
          <w:rFonts w:ascii="FrankRuehl" w:hAnsi="FrankRuehl" w:cs="FrankRuehl"/>
          <w:color w:val="000000"/>
          <w:sz w:val="28"/>
          <w:szCs w:val="28"/>
          <w:rtl/>
        </w:rPr>
        <w:t xml:space="preserve"> </w:t>
      </w:r>
      <w:r>
        <w:rPr>
          <w:rFonts w:ascii="FrankRuehl" w:hAnsi="FrankRuehl" w:cs="FrankRuehl"/>
          <w:b/>
          <w:bCs/>
          <w:color w:val="000000"/>
          <w:sz w:val="28"/>
          <w:szCs w:val="28"/>
          <w:rtl/>
        </w:rPr>
        <w:t>מדינת ישראל נ' סובח</w:t>
      </w:r>
      <w:r w:rsidR="001375F8">
        <w:rPr>
          <w:rFonts w:ascii="FrankRuehl" w:hAnsi="FrankRuehl" w:cs="FrankRuehl"/>
          <w:color w:val="000000"/>
          <w:sz w:val="28"/>
          <w:szCs w:val="28"/>
          <w:rtl/>
        </w:rPr>
        <w:t xml:space="preserve"> </w:t>
      </w:r>
      <w:r>
        <w:rPr>
          <w:rFonts w:ascii="FrankRuehl" w:hAnsi="FrankRuehl" w:cs="FrankRuehl"/>
          <w:color w:val="000000"/>
          <w:sz w:val="28"/>
          <w:szCs w:val="28"/>
          <w:rtl/>
        </w:rPr>
        <w:t>(פורסם בנבו, 5.11.19)).</w:t>
      </w:r>
      <w:r>
        <w:rPr>
          <w:rFonts w:hint="cs"/>
          <w:rtl/>
        </w:rPr>
        <w:t xml:space="preserve"> </w:t>
      </w:r>
      <w:r>
        <w:rPr>
          <w:rFonts w:ascii="FrankRuehl" w:hAnsi="FrankRuehl" w:cs="FrankRuehl" w:hint="cs"/>
          <w:color w:val="000000"/>
          <w:sz w:val="28"/>
          <w:szCs w:val="28"/>
          <w:rtl/>
        </w:rPr>
        <w:t xml:space="preserve">בשל חומרה זו של עבירות אלו, נקבע כי יש לתת </w:t>
      </w:r>
      <w:r w:rsidRPr="00DB3162">
        <w:rPr>
          <w:rFonts w:ascii="FrankRuehl" w:hAnsi="FrankRuehl" w:cs="FrankRuehl"/>
          <w:color w:val="000000"/>
          <w:sz w:val="28"/>
          <w:szCs w:val="28"/>
          <w:rtl/>
        </w:rPr>
        <w:t>משקל רב יותר לאינטרס הציבורי ולשיקולי ההרתעה מאשר לנסיבותיו האישיות של הנאשם</w:t>
      </w:r>
      <w:r>
        <w:rPr>
          <w:rFonts w:ascii="FrankRuehl" w:hAnsi="FrankRuehl" w:cs="FrankRuehl" w:hint="cs"/>
          <w:color w:val="000000"/>
          <w:sz w:val="28"/>
          <w:szCs w:val="28"/>
          <w:rtl/>
        </w:rPr>
        <w:t xml:space="preserve"> (ראו: </w:t>
      </w:r>
      <w:hyperlink r:id="rId23" w:history="1">
        <w:r w:rsidR="001375F8" w:rsidRPr="001375F8">
          <w:rPr>
            <w:rFonts w:ascii="FrankRuehl" w:hAnsi="FrankRuehl" w:cs="FrankRuehl"/>
            <w:color w:val="0000FF"/>
            <w:sz w:val="28"/>
            <w:szCs w:val="28"/>
            <w:u w:val="single"/>
            <w:rtl/>
          </w:rPr>
          <w:t>ע"פ 2761/21</w:t>
        </w:r>
      </w:hyperlink>
      <w:r>
        <w:rPr>
          <w:rFonts w:ascii="FrankRuehl" w:hAnsi="FrankRuehl" w:cs="FrankRuehl" w:hint="cs"/>
          <w:color w:val="000000"/>
          <w:sz w:val="28"/>
          <w:szCs w:val="28"/>
          <w:rtl/>
        </w:rPr>
        <w:t xml:space="preserve"> בעניין </w:t>
      </w:r>
      <w:r w:rsidRPr="00937B74">
        <w:rPr>
          <w:rFonts w:ascii="FrankRuehl" w:hAnsi="FrankRuehl" w:cs="FrankRuehl" w:hint="cs"/>
          <w:b/>
          <w:bCs/>
          <w:color w:val="000000"/>
          <w:sz w:val="28"/>
          <w:szCs w:val="28"/>
          <w:rtl/>
        </w:rPr>
        <w:t>עואלי</w:t>
      </w:r>
      <w:r>
        <w:rPr>
          <w:rFonts w:ascii="FrankRuehl" w:hAnsi="FrankRuehl" w:cs="FrankRuehl" w:hint="cs"/>
          <w:color w:val="000000"/>
          <w:sz w:val="28"/>
          <w:szCs w:val="28"/>
          <w:rtl/>
        </w:rPr>
        <w:t>)</w:t>
      </w:r>
      <w:r w:rsidRPr="00DB3162">
        <w:rPr>
          <w:rFonts w:ascii="FrankRuehl" w:hAnsi="FrankRuehl" w:cs="FrankRuehl"/>
          <w:color w:val="000000"/>
          <w:sz w:val="28"/>
          <w:szCs w:val="28"/>
          <w:rtl/>
        </w:rPr>
        <w:t xml:space="preserve">. </w:t>
      </w:r>
    </w:p>
    <w:p w14:paraId="333F331F" w14:textId="77777777" w:rsidR="002860ED" w:rsidRDefault="002860ED" w:rsidP="002860ED">
      <w:pPr>
        <w:spacing w:after="240" w:line="360" w:lineRule="auto"/>
        <w:jc w:val="both"/>
        <w:rPr>
          <w:rFonts w:ascii="FrankRuehl" w:hAnsi="FrankRuehl" w:cs="FrankRuehl"/>
          <w:color w:val="000000"/>
          <w:sz w:val="28"/>
          <w:szCs w:val="28"/>
          <w:rtl/>
        </w:rPr>
      </w:pPr>
      <w:r>
        <w:rPr>
          <w:rFonts w:ascii="FrankRuehl" w:hAnsi="FrankRuehl" w:cs="FrankRuehl"/>
          <w:color w:val="000000"/>
          <w:sz w:val="28"/>
          <w:szCs w:val="28"/>
          <w:rtl/>
        </w:rPr>
        <w:t>26.</w:t>
      </w:r>
      <w:r>
        <w:rPr>
          <w:rFonts w:ascii="FrankRuehl" w:hAnsi="FrankRuehl" w:cs="FrankRuehl"/>
          <w:color w:val="000000"/>
          <w:sz w:val="28"/>
          <w:szCs w:val="28"/>
          <w:rtl/>
        </w:rPr>
        <w:tab/>
        <w:t>במקרה זה, צודקת המאשימה כי נכון לקבוע מתחם נפרד לכל אחד מהאישומים המתייחסים לתקופת בגירותו של הנאשם, ומתחם אחד לאישומים המתייחסים למעשיו בתקופת היותו קטין. קביעה כי יש לראות במספר אירועים כ"אירוע" אחד לעניין קביעת המתחם, צריכה להיות מבוססת על מבחן "הקשר ההדוק". היינו, האם המעשים שבהם הורשע הנאשם היו חלק ממסכת עבריינית אחת או רצף של אירועים (</w:t>
      </w:r>
      <w:hyperlink r:id="rId24" w:history="1">
        <w:r w:rsidR="001375F8" w:rsidRPr="001375F8">
          <w:rPr>
            <w:rFonts w:ascii="FrankRuehl" w:hAnsi="FrankRuehl" w:cs="FrankRuehl"/>
            <w:color w:val="0000FF"/>
            <w:sz w:val="28"/>
            <w:szCs w:val="28"/>
            <w:u w:val="single"/>
            <w:rtl/>
          </w:rPr>
          <w:t>ע"פ 4910/13</w:t>
        </w:r>
      </w:hyperlink>
      <w:r w:rsidR="001375F8">
        <w:rPr>
          <w:rFonts w:ascii="FrankRuehl" w:hAnsi="FrankRuehl" w:cs="FrankRuehl"/>
          <w:color w:val="000000"/>
          <w:sz w:val="28"/>
          <w:szCs w:val="28"/>
          <w:rtl/>
        </w:rPr>
        <w:t xml:space="preserve"> </w:t>
      </w:r>
      <w:r>
        <w:rPr>
          <w:rFonts w:ascii="FrankRuehl" w:hAnsi="FrankRuehl" w:cs="FrankRuehl"/>
          <w:b/>
          <w:bCs/>
          <w:color w:val="000000"/>
          <w:sz w:val="28"/>
          <w:szCs w:val="28"/>
          <w:rtl/>
        </w:rPr>
        <w:t>ג'אבר נ' מדינת ישראל</w:t>
      </w:r>
      <w:r w:rsidR="001375F8">
        <w:rPr>
          <w:rFonts w:ascii="FrankRuehl" w:hAnsi="FrankRuehl" w:cs="FrankRuehl"/>
          <w:color w:val="000000"/>
          <w:sz w:val="28"/>
          <w:szCs w:val="28"/>
          <w:rtl/>
        </w:rPr>
        <w:t xml:space="preserve"> </w:t>
      </w:r>
      <w:r>
        <w:rPr>
          <w:rFonts w:ascii="FrankRuehl" w:hAnsi="FrankRuehl" w:cs="FrankRuehl"/>
          <w:color w:val="000000"/>
          <w:sz w:val="28"/>
          <w:szCs w:val="28"/>
          <w:rtl/>
        </w:rPr>
        <w:t xml:space="preserve">(פורסם בנבו, 29.10.14)). האישומים הראשון, השלישי והרביעי, שביצע הנאשם בהיותו בגיר, נעשו על רקע נסיבות שונות ובפער זמנים. האישום השלישי הוא מחודש מאי 2020, והאישומים הראשון והרביעי אמנם שניהם מחודש אוקטובר 2020, אך באחד מהם הנאשם ירה בנשק במסגרת חתונה, ובשני מדובר בהחזקת נשק לשימוש כנגד משפחה שהייתה בסכסוך עם משפחתו. </w:t>
      </w:r>
    </w:p>
    <w:p w14:paraId="1A98EB0E" w14:textId="77777777" w:rsidR="002860ED" w:rsidRDefault="002860ED" w:rsidP="002860ED">
      <w:pPr>
        <w:spacing w:after="240" w:line="360" w:lineRule="auto"/>
        <w:jc w:val="both"/>
        <w:rPr>
          <w:rFonts w:ascii="FrankRuehl" w:hAnsi="FrankRuehl" w:cs="FrankRuehl"/>
          <w:color w:val="000000"/>
          <w:sz w:val="28"/>
          <w:szCs w:val="28"/>
          <w:rtl/>
        </w:rPr>
      </w:pPr>
      <w:r>
        <w:rPr>
          <w:rFonts w:ascii="FrankRuehl" w:hAnsi="FrankRuehl" w:cs="FrankRuehl"/>
          <w:color w:val="000000"/>
          <w:sz w:val="28"/>
          <w:szCs w:val="28"/>
          <w:rtl/>
        </w:rPr>
        <w:t>27.</w:t>
      </w:r>
      <w:r>
        <w:rPr>
          <w:rFonts w:ascii="FrankRuehl" w:hAnsi="FrankRuehl" w:cs="FrankRuehl"/>
          <w:color w:val="000000"/>
          <w:sz w:val="28"/>
          <w:szCs w:val="28"/>
          <w:rtl/>
        </w:rPr>
        <w:tab/>
        <w:t xml:space="preserve">באשר לנסיבות בהן בוצעו העבירות, חלק מהאישומים מלמדים על תכנון מוקדם של הנאשם, כמו האישומים השני, השלישי והרביעי, וברוב ככול האישומים, הנאשם הוא אשר פנה לאחרים על מנת שיסייעו בידו להשיג את הנשק או את התחמושת. קשה להפריז במידת הסיכון שנשקפה מהמעשים, שעה שהנאשם שאינו בעל רישיון להחזיק בנשק אחז בנשק ותחמושת. בפרט נכון הדבר בהתייחס לאישומים הרביעי והחמישי, אז עמד בבסיס רצונו של הנאשם להשיג נשק, סכסוך בין משפחתו למשפחה אחרת. אם כי, באישום הרביעי יוחסה לנאשם עבירת ניסיון בלבד. בחלק מהאישומים ההחזקה או הנשיאה של הנשק הייתה לתקופה קצרה (כמו באישומים השני והחמישי) ובחלק האחר – לתקופה ממשוכת יותר (כמו באישום השלישי). </w:t>
      </w:r>
    </w:p>
    <w:p w14:paraId="777E33CD" w14:textId="77777777" w:rsidR="002860ED" w:rsidRDefault="002860ED" w:rsidP="002860ED">
      <w:pPr>
        <w:spacing w:after="240" w:line="360" w:lineRule="auto"/>
        <w:jc w:val="both"/>
        <w:rPr>
          <w:rFonts w:ascii="FrankRuehl" w:hAnsi="FrankRuehl" w:cs="FrankRuehl"/>
          <w:color w:val="000000"/>
          <w:sz w:val="28"/>
          <w:szCs w:val="28"/>
          <w:rtl/>
        </w:rPr>
      </w:pPr>
      <w:r>
        <w:rPr>
          <w:rFonts w:ascii="FrankRuehl" w:hAnsi="FrankRuehl" w:cs="FrankRuehl"/>
          <w:color w:val="000000"/>
          <w:sz w:val="28"/>
          <w:szCs w:val="28"/>
          <w:rtl/>
        </w:rPr>
        <w:t>28.</w:t>
      </w:r>
      <w:r>
        <w:rPr>
          <w:rFonts w:ascii="FrankRuehl" w:hAnsi="FrankRuehl" w:cs="FrankRuehl"/>
          <w:color w:val="000000"/>
          <w:sz w:val="28"/>
          <w:szCs w:val="28"/>
          <w:rtl/>
        </w:rPr>
        <w:tab/>
        <w:t>עיון בפסיקה הנוהגת מלמד על מתחמים שונים בעבירות של נשיאת נשק והחזקת נשק, בשים לב לסוג הנשק, מיקום החזקתו, ועוד.</w:t>
      </w:r>
    </w:p>
    <w:p w14:paraId="3F9636C2" w14:textId="77777777" w:rsidR="002860ED" w:rsidRDefault="002860ED" w:rsidP="002860ED">
      <w:pPr>
        <w:spacing w:after="240" w:line="360" w:lineRule="auto"/>
        <w:jc w:val="both"/>
        <w:rPr>
          <w:rFonts w:ascii="FrankRuehl" w:hAnsi="FrankRuehl" w:cs="FrankRuehl"/>
          <w:color w:val="000000"/>
          <w:sz w:val="28"/>
          <w:szCs w:val="28"/>
          <w:rtl/>
        </w:rPr>
      </w:pPr>
      <w:r>
        <w:rPr>
          <w:rFonts w:ascii="FrankRuehl" w:hAnsi="FrankRuehl" w:cs="FrankRuehl"/>
          <w:color w:val="000000"/>
          <w:sz w:val="28"/>
          <w:szCs w:val="28"/>
          <w:rtl/>
        </w:rPr>
        <w:t>29.</w:t>
      </w:r>
      <w:r>
        <w:rPr>
          <w:rFonts w:ascii="FrankRuehl" w:hAnsi="FrankRuehl" w:cs="FrankRuehl"/>
          <w:color w:val="000000"/>
          <w:sz w:val="28"/>
          <w:szCs w:val="28"/>
          <w:rtl/>
        </w:rPr>
        <w:tab/>
        <w:t xml:space="preserve">כך, במקרה של החזקת אקדח </w:t>
      </w:r>
      <w:r>
        <w:rPr>
          <w:rFonts w:ascii="FrankRuehl" w:hAnsi="FrankRuehl" w:cs="FrankRuehl" w:hint="cs"/>
          <w:color w:val="000000"/>
          <w:sz w:val="28"/>
          <w:szCs w:val="28"/>
          <w:rtl/>
        </w:rPr>
        <w:t>הנחשד</w:t>
      </w:r>
      <w:r>
        <w:rPr>
          <w:rFonts w:ascii="FrankRuehl" w:hAnsi="FrankRuehl" w:cs="FrankRuehl"/>
          <w:color w:val="000000"/>
          <w:sz w:val="28"/>
          <w:szCs w:val="28"/>
          <w:rtl/>
        </w:rPr>
        <w:t xml:space="preserve"> כגנוב, בבית, כשהוא הוחזק עם מחסנית מלאה כדורים, הושת עונש של 6 חודשי מאסר (</w:t>
      </w:r>
      <w:hyperlink r:id="rId25" w:history="1">
        <w:r w:rsidR="001375F8" w:rsidRPr="001375F8">
          <w:rPr>
            <w:rFonts w:ascii="FrankRuehl" w:hAnsi="FrankRuehl" w:cs="FrankRuehl"/>
            <w:color w:val="0000FF"/>
            <w:sz w:val="28"/>
            <w:szCs w:val="28"/>
            <w:u w:val="single"/>
            <w:rtl/>
          </w:rPr>
          <w:t>ע"פ 1505/14</w:t>
        </w:r>
      </w:hyperlink>
      <w:r>
        <w:rPr>
          <w:rFonts w:ascii="FrankRuehl" w:hAnsi="FrankRuehl" w:cs="FrankRuehl"/>
          <w:color w:val="000000"/>
          <w:sz w:val="28"/>
          <w:szCs w:val="28"/>
          <w:rtl/>
        </w:rPr>
        <w:t xml:space="preserve"> </w:t>
      </w:r>
      <w:r>
        <w:rPr>
          <w:rFonts w:ascii="FrankRuehl" w:hAnsi="FrankRuehl" w:cs="FrankRuehl"/>
          <w:b/>
          <w:bCs/>
          <w:color w:val="000000"/>
          <w:sz w:val="28"/>
          <w:szCs w:val="28"/>
          <w:rtl/>
        </w:rPr>
        <w:t>לידאוי נ' מדינת ישראל</w:t>
      </w:r>
      <w:r w:rsidR="001375F8">
        <w:rPr>
          <w:rFonts w:ascii="FrankRuehl" w:hAnsi="FrankRuehl" w:cs="FrankRuehl"/>
          <w:color w:val="000000"/>
          <w:sz w:val="28"/>
          <w:szCs w:val="28"/>
          <w:rtl/>
        </w:rPr>
        <w:t xml:space="preserve"> </w:t>
      </w:r>
      <w:r>
        <w:rPr>
          <w:rFonts w:ascii="FrankRuehl" w:hAnsi="FrankRuehl" w:cs="FrankRuehl"/>
          <w:color w:val="000000"/>
          <w:sz w:val="28"/>
          <w:szCs w:val="28"/>
          <w:rtl/>
        </w:rPr>
        <w:t>(פורסם בנבו, 4.11.14), במקרה של החזקת תת מקלע מאולתר נקבע מתחם של 7 עד 20 חודשי מאסר (</w:t>
      </w:r>
      <w:hyperlink r:id="rId26" w:history="1">
        <w:r w:rsidR="001375F8" w:rsidRPr="001375F8">
          <w:rPr>
            <w:rFonts w:ascii="FrankRuehl" w:hAnsi="FrankRuehl" w:cs="FrankRuehl"/>
            <w:color w:val="0000FF"/>
            <w:sz w:val="28"/>
            <w:szCs w:val="28"/>
            <w:u w:val="single"/>
            <w:rtl/>
          </w:rPr>
          <w:t>ת"פ (מחוזי-י-ם) 52515-03-20</w:t>
        </w:r>
      </w:hyperlink>
      <w:r>
        <w:rPr>
          <w:rFonts w:ascii="FrankRuehl" w:hAnsi="FrankRuehl" w:cs="FrankRuehl"/>
          <w:color w:val="000000"/>
          <w:sz w:val="28"/>
          <w:szCs w:val="28"/>
          <w:rtl/>
        </w:rPr>
        <w:t xml:space="preserve"> </w:t>
      </w:r>
      <w:r>
        <w:rPr>
          <w:rFonts w:ascii="FrankRuehl" w:hAnsi="FrankRuehl" w:cs="FrankRuehl"/>
          <w:b/>
          <w:bCs/>
          <w:color w:val="000000"/>
          <w:sz w:val="28"/>
          <w:szCs w:val="28"/>
          <w:rtl/>
        </w:rPr>
        <w:t>מדינת ישראל נ' סנדוקה</w:t>
      </w:r>
      <w:r>
        <w:rPr>
          <w:rFonts w:ascii="FrankRuehl" w:hAnsi="FrankRuehl" w:cs="FrankRuehl"/>
          <w:color w:val="000000"/>
          <w:sz w:val="28"/>
          <w:szCs w:val="28"/>
          <w:rtl/>
        </w:rPr>
        <w:t xml:space="preserve"> (פורסם בנבו,</w:t>
      </w:r>
      <w:r w:rsidR="001375F8">
        <w:rPr>
          <w:rFonts w:ascii="FrankRuehl" w:hAnsi="FrankRuehl" w:cs="FrankRuehl"/>
          <w:color w:val="000000"/>
          <w:sz w:val="28"/>
          <w:szCs w:val="28"/>
          <w:rtl/>
        </w:rPr>
        <w:t xml:space="preserve"> </w:t>
      </w:r>
      <w:r>
        <w:rPr>
          <w:rFonts w:ascii="FrankRuehl" w:hAnsi="FrankRuehl" w:cs="FrankRuehl"/>
          <w:color w:val="000000"/>
          <w:sz w:val="28"/>
          <w:szCs w:val="28"/>
          <w:rtl/>
        </w:rPr>
        <w:t>19.10.20). בדומה נקבע מתחם עונש של 7 עד 24 חודשי מאסר במקרה של החזקת אקדח ומחסנית תואמת (עפ"ג (מחוזי-חי')</w:t>
      </w:r>
      <w:r w:rsidR="001375F8">
        <w:rPr>
          <w:rFonts w:ascii="FrankRuehl" w:hAnsi="FrankRuehl" w:cs="FrankRuehl"/>
          <w:color w:val="000000"/>
          <w:sz w:val="28"/>
          <w:szCs w:val="28"/>
          <w:rtl/>
        </w:rPr>
        <w:t xml:space="preserve"> </w:t>
      </w:r>
      <w:r>
        <w:rPr>
          <w:rFonts w:ascii="FrankRuehl" w:hAnsi="FrankRuehl" w:cs="FrankRuehl"/>
          <w:b/>
          <w:bCs/>
          <w:color w:val="000000"/>
          <w:sz w:val="28"/>
          <w:szCs w:val="28"/>
          <w:rtl/>
        </w:rPr>
        <w:t>מדינת ישראל נ' ג'מאחנה</w:t>
      </w:r>
      <w:r w:rsidR="001375F8">
        <w:rPr>
          <w:rFonts w:ascii="FrankRuehl" w:hAnsi="FrankRuehl" w:cs="FrankRuehl"/>
          <w:color w:val="000000"/>
          <w:sz w:val="28"/>
          <w:szCs w:val="28"/>
          <w:rtl/>
        </w:rPr>
        <w:t xml:space="preserve"> </w:t>
      </w:r>
      <w:r>
        <w:rPr>
          <w:rFonts w:ascii="FrankRuehl" w:hAnsi="FrankRuehl" w:cs="FrankRuehl"/>
          <w:color w:val="000000"/>
          <w:sz w:val="28"/>
          <w:szCs w:val="28"/>
          <w:rtl/>
        </w:rPr>
        <w:t xml:space="preserve">(פורסם בנבו, 11.04.19). וראו גם: </w:t>
      </w:r>
      <w:hyperlink r:id="rId27" w:history="1">
        <w:r w:rsidR="001375F8" w:rsidRPr="001375F8">
          <w:rPr>
            <w:rFonts w:ascii="FrankRuehl" w:hAnsi="FrankRuehl" w:cs="FrankRuehl"/>
            <w:color w:val="0000FF"/>
            <w:sz w:val="28"/>
            <w:szCs w:val="28"/>
            <w:u w:val="single"/>
            <w:rtl/>
          </w:rPr>
          <w:t>עפ"ג (מחוזי-נצ') 37217-03-19</w:t>
        </w:r>
      </w:hyperlink>
      <w:r w:rsidR="001375F8">
        <w:rPr>
          <w:rFonts w:ascii="FrankRuehl" w:hAnsi="FrankRuehl" w:cs="FrankRuehl"/>
          <w:color w:val="000000"/>
          <w:sz w:val="28"/>
          <w:szCs w:val="28"/>
          <w:rtl/>
        </w:rPr>
        <w:t xml:space="preserve"> </w:t>
      </w:r>
      <w:r>
        <w:rPr>
          <w:rFonts w:ascii="FrankRuehl" w:hAnsi="FrankRuehl" w:cs="FrankRuehl"/>
          <w:b/>
          <w:bCs/>
          <w:color w:val="000000"/>
          <w:sz w:val="28"/>
          <w:szCs w:val="28"/>
          <w:rtl/>
        </w:rPr>
        <w:t>ג</w:t>
      </w:r>
      <w:r>
        <w:rPr>
          <w:rFonts w:ascii="FrankRuehl" w:hAnsi="FrankRuehl" w:cs="FrankRuehl"/>
          <w:b/>
          <w:bCs/>
          <w:color w:val="000000"/>
          <w:sz w:val="28"/>
          <w:szCs w:val="28"/>
        </w:rPr>
        <w:t>'</w:t>
      </w:r>
      <w:r>
        <w:rPr>
          <w:rFonts w:ascii="FrankRuehl" w:hAnsi="FrankRuehl" w:cs="FrankRuehl"/>
          <w:b/>
          <w:bCs/>
          <w:color w:val="000000"/>
          <w:sz w:val="28"/>
          <w:szCs w:val="28"/>
          <w:rtl/>
        </w:rPr>
        <w:t>ואברה</w:t>
      </w:r>
      <w:r w:rsidR="001375F8">
        <w:rPr>
          <w:rFonts w:ascii="FrankRuehl" w:hAnsi="FrankRuehl" w:cs="FrankRuehl"/>
          <w:b/>
          <w:bCs/>
          <w:color w:val="000000"/>
          <w:sz w:val="28"/>
          <w:szCs w:val="28"/>
        </w:rPr>
        <w:t xml:space="preserve"> </w:t>
      </w:r>
      <w:r>
        <w:rPr>
          <w:rFonts w:ascii="FrankRuehl" w:hAnsi="FrankRuehl" w:cs="FrankRuehl"/>
          <w:b/>
          <w:bCs/>
          <w:color w:val="000000"/>
          <w:sz w:val="28"/>
          <w:szCs w:val="28"/>
          <w:rtl/>
        </w:rPr>
        <w:t xml:space="preserve">נ' מדינת ישראל </w:t>
      </w:r>
      <w:r>
        <w:rPr>
          <w:rFonts w:ascii="FrankRuehl" w:hAnsi="FrankRuehl" w:cs="FrankRuehl"/>
          <w:color w:val="000000"/>
          <w:sz w:val="28"/>
          <w:szCs w:val="28"/>
          <w:rtl/>
        </w:rPr>
        <w:t xml:space="preserve">(פורסם בנבו, 25.11.19); </w:t>
      </w:r>
      <w:hyperlink r:id="rId28" w:history="1">
        <w:r w:rsidR="001375F8" w:rsidRPr="001375F8">
          <w:rPr>
            <w:rFonts w:ascii="FrankRuehl" w:hAnsi="FrankRuehl" w:cs="FrankRuehl"/>
            <w:color w:val="0000FF"/>
            <w:sz w:val="28"/>
            <w:szCs w:val="28"/>
            <w:u w:val="single"/>
            <w:rtl/>
          </w:rPr>
          <w:t>ת"פ (מחוזי-י-ם) 66542-05-20</w:t>
        </w:r>
      </w:hyperlink>
      <w:r w:rsidR="001375F8">
        <w:rPr>
          <w:rFonts w:ascii="FrankRuehl" w:hAnsi="FrankRuehl" w:cs="FrankRuehl"/>
          <w:color w:val="000000"/>
          <w:sz w:val="28"/>
          <w:szCs w:val="28"/>
          <w:rtl/>
        </w:rPr>
        <w:t xml:space="preserve"> </w:t>
      </w:r>
      <w:r>
        <w:rPr>
          <w:rFonts w:ascii="FrankRuehl" w:hAnsi="FrankRuehl" w:cs="FrankRuehl"/>
          <w:b/>
          <w:bCs/>
          <w:color w:val="000000"/>
          <w:sz w:val="28"/>
          <w:szCs w:val="28"/>
          <w:rtl/>
        </w:rPr>
        <w:t>מדינת ישראל נ' אבו נאב</w:t>
      </w:r>
      <w:r>
        <w:rPr>
          <w:rFonts w:ascii="FrankRuehl" w:hAnsi="FrankRuehl" w:cs="FrankRuehl"/>
          <w:color w:val="000000"/>
          <w:sz w:val="28"/>
          <w:szCs w:val="28"/>
          <w:rtl/>
        </w:rPr>
        <w:t xml:space="preserve"> (פרסם בנבו, 25.01.21) </w:t>
      </w:r>
    </w:p>
    <w:p w14:paraId="00BF90EA" w14:textId="77777777" w:rsidR="002860ED" w:rsidRDefault="002860ED" w:rsidP="002860ED">
      <w:pPr>
        <w:spacing w:after="240" w:line="360" w:lineRule="auto"/>
        <w:jc w:val="both"/>
        <w:rPr>
          <w:rFonts w:ascii="FrankRuehl" w:hAnsi="FrankRuehl" w:cs="FrankRuehl"/>
          <w:color w:val="000000"/>
          <w:sz w:val="28"/>
          <w:szCs w:val="28"/>
          <w:rtl/>
        </w:rPr>
      </w:pPr>
      <w:r>
        <w:rPr>
          <w:rFonts w:ascii="FrankRuehl" w:hAnsi="FrankRuehl" w:cs="FrankRuehl"/>
          <w:color w:val="000000"/>
          <w:sz w:val="28"/>
          <w:szCs w:val="28"/>
          <w:rtl/>
        </w:rPr>
        <w:t>30.</w:t>
      </w:r>
      <w:r>
        <w:rPr>
          <w:rFonts w:ascii="FrankRuehl" w:hAnsi="FrankRuehl" w:cs="FrankRuehl"/>
          <w:color w:val="000000"/>
          <w:sz w:val="28"/>
          <w:szCs w:val="28"/>
          <w:rtl/>
        </w:rPr>
        <w:tab/>
        <w:t xml:space="preserve">במקרה אחר של שתי עבירות החזקת נשק, מסוג </w:t>
      </w:r>
      <w:r>
        <w:rPr>
          <w:rFonts w:ascii="FrankRuehl" w:hAnsi="FrankRuehl" w:cs="FrankRuehl"/>
          <w:color w:val="000000"/>
          <w:sz w:val="28"/>
          <w:szCs w:val="28"/>
        </w:rPr>
        <w:t>M16</w:t>
      </w:r>
      <w:r>
        <w:rPr>
          <w:rFonts w:ascii="FrankRuehl" w:hAnsi="FrankRuehl" w:cs="FrankRuehl"/>
          <w:color w:val="000000"/>
          <w:sz w:val="28"/>
          <w:szCs w:val="28"/>
          <w:rtl/>
        </w:rPr>
        <w:t xml:space="preserve"> ואקדח חצי אוטומטי, מתחת למבנה המצוי בבית ספר, נקבע מתחם שבין 12 ל-24 חודשי מאסר (</w:t>
      </w:r>
      <w:hyperlink r:id="rId29" w:history="1">
        <w:r w:rsidR="001375F8" w:rsidRPr="001375F8">
          <w:rPr>
            <w:rFonts w:ascii="FrankRuehl" w:hAnsi="FrankRuehl" w:cs="FrankRuehl"/>
            <w:color w:val="0000FF"/>
            <w:sz w:val="28"/>
            <w:szCs w:val="28"/>
            <w:u w:val="single"/>
            <w:rtl/>
          </w:rPr>
          <w:t>ת"פ (מחוזי-י-ם) 35512-06-17</w:t>
        </w:r>
      </w:hyperlink>
      <w:r>
        <w:rPr>
          <w:rFonts w:ascii="FrankRuehl" w:hAnsi="FrankRuehl" w:cs="FrankRuehl"/>
          <w:color w:val="000000"/>
          <w:sz w:val="28"/>
          <w:szCs w:val="28"/>
          <w:rtl/>
        </w:rPr>
        <w:t xml:space="preserve"> </w:t>
      </w:r>
      <w:r>
        <w:rPr>
          <w:rFonts w:ascii="FrankRuehl" w:hAnsi="FrankRuehl" w:cs="FrankRuehl"/>
          <w:b/>
          <w:bCs/>
          <w:color w:val="000000"/>
          <w:sz w:val="28"/>
          <w:szCs w:val="28"/>
          <w:rtl/>
        </w:rPr>
        <w:t>מדינת ישראל נ' אל-קעקע בכיראת</w:t>
      </w:r>
      <w:r w:rsidR="001375F8">
        <w:rPr>
          <w:rFonts w:ascii="FrankRuehl" w:hAnsi="FrankRuehl" w:cs="FrankRuehl"/>
          <w:color w:val="000000"/>
          <w:sz w:val="28"/>
          <w:szCs w:val="28"/>
          <w:rtl/>
        </w:rPr>
        <w:t xml:space="preserve"> </w:t>
      </w:r>
      <w:r>
        <w:rPr>
          <w:rFonts w:ascii="FrankRuehl" w:hAnsi="FrankRuehl" w:cs="FrankRuehl"/>
          <w:color w:val="000000"/>
          <w:sz w:val="28"/>
          <w:szCs w:val="28"/>
          <w:rtl/>
        </w:rPr>
        <w:t xml:space="preserve">(פורסם בנבו, 7.03.19). ומתחם של 12 עד 36 חודשי מאסר נקבע במקרה של שתי עבירות רכישה והחזקת נשק מסוג </w:t>
      </w:r>
      <w:r>
        <w:rPr>
          <w:rFonts w:ascii="FrankRuehl" w:hAnsi="FrankRuehl" w:cs="FrankRuehl"/>
          <w:color w:val="000000"/>
          <w:sz w:val="28"/>
          <w:szCs w:val="28"/>
        </w:rPr>
        <w:t>M16</w:t>
      </w:r>
      <w:r>
        <w:rPr>
          <w:rFonts w:ascii="FrankRuehl" w:hAnsi="FrankRuehl" w:cs="FrankRuehl"/>
          <w:color w:val="000000"/>
          <w:sz w:val="28"/>
          <w:szCs w:val="28"/>
          <w:rtl/>
        </w:rPr>
        <w:t xml:space="preserve"> (</w:t>
      </w:r>
      <w:hyperlink r:id="rId30" w:history="1">
        <w:r w:rsidR="001375F8" w:rsidRPr="001375F8">
          <w:rPr>
            <w:rFonts w:ascii="FrankRuehl" w:hAnsi="FrankRuehl" w:cs="FrankRuehl"/>
            <w:color w:val="0000FF"/>
            <w:sz w:val="28"/>
            <w:szCs w:val="28"/>
            <w:u w:val="single"/>
            <w:rtl/>
          </w:rPr>
          <w:t>ת"פ (מחוזי-י-ם) 42291-02-16</w:t>
        </w:r>
      </w:hyperlink>
      <w:r w:rsidR="001375F8">
        <w:rPr>
          <w:rFonts w:ascii="FrankRuehl" w:hAnsi="FrankRuehl" w:cs="FrankRuehl"/>
          <w:color w:val="000000"/>
          <w:sz w:val="28"/>
          <w:szCs w:val="28"/>
          <w:rtl/>
        </w:rPr>
        <w:t xml:space="preserve"> </w:t>
      </w:r>
      <w:r>
        <w:rPr>
          <w:rFonts w:ascii="FrankRuehl" w:hAnsi="FrankRuehl" w:cs="FrankRuehl"/>
          <w:b/>
          <w:bCs/>
          <w:color w:val="000000"/>
          <w:sz w:val="28"/>
          <w:szCs w:val="28"/>
          <w:rtl/>
        </w:rPr>
        <w:t>מדינת ישראל נ' דיסי</w:t>
      </w:r>
      <w:r w:rsidR="001375F8">
        <w:rPr>
          <w:rFonts w:ascii="FrankRuehl" w:hAnsi="FrankRuehl" w:cs="FrankRuehl"/>
          <w:color w:val="000000"/>
          <w:sz w:val="28"/>
          <w:szCs w:val="28"/>
          <w:rtl/>
        </w:rPr>
        <w:t xml:space="preserve"> </w:t>
      </w:r>
      <w:r>
        <w:rPr>
          <w:rFonts w:ascii="FrankRuehl" w:hAnsi="FrankRuehl" w:cs="FrankRuehl"/>
          <w:color w:val="000000"/>
          <w:sz w:val="28"/>
          <w:szCs w:val="28"/>
          <w:rtl/>
        </w:rPr>
        <w:t xml:space="preserve">(פורסם בנבו, 2.12.18) </w:t>
      </w:r>
    </w:p>
    <w:p w14:paraId="50270BB7" w14:textId="77777777" w:rsidR="002860ED" w:rsidRDefault="002860ED" w:rsidP="002860ED">
      <w:pPr>
        <w:spacing w:after="240" w:line="360" w:lineRule="auto"/>
        <w:jc w:val="both"/>
        <w:rPr>
          <w:rFonts w:ascii="FrankRuehl" w:hAnsi="FrankRuehl" w:cs="FrankRuehl"/>
          <w:color w:val="000000"/>
          <w:sz w:val="28"/>
          <w:szCs w:val="28"/>
          <w:rtl/>
        </w:rPr>
      </w:pPr>
      <w:r>
        <w:rPr>
          <w:rFonts w:ascii="FrankRuehl" w:hAnsi="FrankRuehl" w:cs="FrankRuehl"/>
          <w:color w:val="000000"/>
          <w:sz w:val="28"/>
          <w:szCs w:val="28"/>
          <w:rtl/>
        </w:rPr>
        <w:t>31.</w:t>
      </w:r>
      <w:r>
        <w:rPr>
          <w:rFonts w:ascii="FrankRuehl" w:hAnsi="FrankRuehl" w:cs="FrankRuehl"/>
          <w:color w:val="000000"/>
          <w:sz w:val="28"/>
          <w:szCs w:val="28"/>
          <w:rtl/>
        </w:rPr>
        <w:tab/>
        <w:t>עונשים חמורים יותר נקבעו במקרה של נשיאת נשק. כך, למשל, נאשם שהורשע בעבירות של רכישת נשק ואביזר נשק, ונשיאה והובלת נשק, תת מקלע ומחסנית תואמת, נידון לתשעה חודשי מאסר, שכשנקבע מתחם הנע בין 9 ל-24 חודשים (</w:t>
      </w:r>
      <w:hyperlink r:id="rId31" w:history="1">
        <w:r w:rsidR="001375F8" w:rsidRPr="001375F8">
          <w:rPr>
            <w:rFonts w:ascii="FrankRuehl" w:hAnsi="FrankRuehl" w:cs="FrankRuehl"/>
            <w:color w:val="0000FF"/>
            <w:sz w:val="28"/>
            <w:szCs w:val="28"/>
            <w:u w:val="single"/>
            <w:rtl/>
          </w:rPr>
          <w:t>ת"פ (מחוזי-י-ם) 51523-10-17</w:t>
        </w:r>
      </w:hyperlink>
      <w:r w:rsidR="001375F8">
        <w:rPr>
          <w:rFonts w:ascii="FrankRuehl" w:hAnsi="FrankRuehl" w:cs="FrankRuehl"/>
          <w:color w:val="000000"/>
          <w:sz w:val="28"/>
          <w:szCs w:val="28"/>
          <w:rtl/>
        </w:rPr>
        <w:t xml:space="preserve"> </w:t>
      </w:r>
      <w:r>
        <w:rPr>
          <w:rFonts w:ascii="FrankRuehl" w:hAnsi="FrankRuehl" w:cs="FrankRuehl"/>
          <w:b/>
          <w:bCs/>
          <w:color w:val="000000"/>
          <w:sz w:val="28"/>
          <w:szCs w:val="28"/>
          <w:rtl/>
        </w:rPr>
        <w:t>מדינת ישראל נ' בלזמית</w:t>
      </w:r>
      <w:r w:rsidR="001375F8">
        <w:rPr>
          <w:rFonts w:ascii="FrankRuehl" w:hAnsi="FrankRuehl" w:cs="FrankRuehl"/>
          <w:color w:val="000000"/>
          <w:sz w:val="28"/>
          <w:szCs w:val="28"/>
          <w:rtl/>
        </w:rPr>
        <w:t xml:space="preserve"> </w:t>
      </w:r>
      <w:r>
        <w:rPr>
          <w:rFonts w:ascii="FrankRuehl" w:hAnsi="FrankRuehl" w:cs="FrankRuehl"/>
          <w:color w:val="000000"/>
          <w:sz w:val="28"/>
          <w:szCs w:val="28"/>
          <w:rtl/>
        </w:rPr>
        <w:t>(פורסם בנבו, 2.05.18). ונאשם שהורשע בנשיאת והובלת אקדח, מחסנית וכדורים, נידון לעונש מאסר של ששה חודשים בעבודות שירות, במסגרת מתחם הנע מ-6 ל-30 חודשי מאסר (</w:t>
      </w:r>
      <w:hyperlink r:id="rId32" w:history="1">
        <w:r w:rsidR="001375F8" w:rsidRPr="001375F8">
          <w:rPr>
            <w:rFonts w:ascii="FrankRuehl" w:hAnsi="FrankRuehl" w:cs="FrankRuehl"/>
            <w:color w:val="0000FF"/>
            <w:sz w:val="28"/>
            <w:szCs w:val="28"/>
            <w:u w:val="single"/>
            <w:rtl/>
          </w:rPr>
          <w:t>ת"פ (מחוזי-י-ם) 62597-10-17</w:t>
        </w:r>
      </w:hyperlink>
      <w:r>
        <w:rPr>
          <w:rFonts w:ascii="FrankRuehl" w:hAnsi="FrankRuehl" w:cs="FrankRuehl"/>
          <w:color w:val="000000"/>
          <w:sz w:val="28"/>
          <w:szCs w:val="28"/>
          <w:rtl/>
        </w:rPr>
        <w:t xml:space="preserve"> </w:t>
      </w:r>
      <w:r>
        <w:rPr>
          <w:rFonts w:ascii="FrankRuehl" w:hAnsi="FrankRuehl" w:cs="FrankRuehl"/>
          <w:b/>
          <w:bCs/>
          <w:color w:val="000000"/>
          <w:sz w:val="28"/>
          <w:szCs w:val="28"/>
          <w:rtl/>
        </w:rPr>
        <w:t>מדינת ישראל נ' פלוני</w:t>
      </w:r>
      <w:r w:rsidR="001375F8">
        <w:rPr>
          <w:rFonts w:ascii="FrankRuehl" w:hAnsi="FrankRuehl" w:cs="FrankRuehl"/>
          <w:color w:val="000000"/>
          <w:sz w:val="28"/>
          <w:szCs w:val="28"/>
          <w:rtl/>
        </w:rPr>
        <w:t xml:space="preserve"> </w:t>
      </w:r>
      <w:r>
        <w:rPr>
          <w:rFonts w:ascii="FrankRuehl" w:hAnsi="FrankRuehl" w:cs="FrankRuehl"/>
          <w:color w:val="000000"/>
          <w:sz w:val="28"/>
          <w:szCs w:val="28"/>
          <w:rtl/>
        </w:rPr>
        <w:t>(פורסם בנבו, 6.01.19)</w:t>
      </w:r>
    </w:p>
    <w:p w14:paraId="04F959DB" w14:textId="77777777" w:rsidR="002860ED" w:rsidRDefault="002860ED" w:rsidP="002860ED">
      <w:pPr>
        <w:spacing w:after="240" w:line="360" w:lineRule="auto"/>
        <w:jc w:val="both"/>
        <w:rPr>
          <w:rFonts w:ascii="FrankRuehl" w:hAnsi="FrankRuehl" w:cs="FrankRuehl"/>
          <w:color w:val="000000"/>
          <w:sz w:val="28"/>
          <w:szCs w:val="28"/>
          <w:rtl/>
        </w:rPr>
      </w:pPr>
      <w:r>
        <w:rPr>
          <w:rFonts w:ascii="FrankRuehl" w:hAnsi="FrankRuehl" w:cs="FrankRuehl"/>
          <w:color w:val="000000"/>
          <w:sz w:val="28"/>
          <w:szCs w:val="28"/>
          <w:rtl/>
        </w:rPr>
        <w:t>32.</w:t>
      </w:r>
      <w:r>
        <w:rPr>
          <w:rFonts w:ascii="FrankRuehl" w:hAnsi="FrankRuehl" w:cs="FrankRuehl"/>
          <w:color w:val="000000"/>
          <w:sz w:val="28"/>
          <w:szCs w:val="28"/>
          <w:rtl/>
        </w:rPr>
        <w:tab/>
        <w:t xml:space="preserve">בשים לב לאמור, אני סבור כי יש לקבוע מתחם עונש הולם לאישום הראשון הנע משבעה חודשי מאסר ועד 20 חודשים. בדומה כך הוא גם המתחם של האישומים השלישי והרביעי. באשר לאישומים השני, החמישי והשישי, אותם ביצע הנאשם בהיותו קטין מחד, אך מאידך מדובר בעבירות חמורות יותר של נשיאת נשק, ובנסיבות חמורות סביב סכסוך משפחתי במקרה אחד אקדח ובמקרה אחר רובה מסוג </w:t>
      </w:r>
      <w:r>
        <w:rPr>
          <w:rFonts w:ascii="FrankRuehl" w:hAnsi="FrankRuehl" w:cs="FrankRuehl"/>
          <w:color w:val="000000"/>
          <w:sz w:val="28"/>
          <w:szCs w:val="28"/>
        </w:rPr>
        <w:t>M16</w:t>
      </w:r>
      <w:r>
        <w:rPr>
          <w:rFonts w:ascii="FrankRuehl" w:hAnsi="FrankRuehl" w:cs="FrankRuehl"/>
          <w:color w:val="000000"/>
          <w:sz w:val="28"/>
          <w:szCs w:val="28"/>
          <w:rtl/>
        </w:rPr>
        <w:t xml:space="preserve">, מתחם העונש ההולם את שלושת אישומים אלו כאחד נע מ-15 חודשי מאסר ועד 36 חודשים. </w:t>
      </w:r>
    </w:p>
    <w:p w14:paraId="6CF8D47D" w14:textId="77777777" w:rsidR="002860ED" w:rsidRDefault="002860ED" w:rsidP="002860ED">
      <w:pPr>
        <w:spacing w:after="240" w:line="360" w:lineRule="auto"/>
        <w:jc w:val="both"/>
        <w:rPr>
          <w:rFonts w:ascii="FrankRuehl" w:hAnsi="FrankRuehl" w:cs="FrankRuehl"/>
          <w:color w:val="000000"/>
          <w:sz w:val="28"/>
          <w:szCs w:val="28"/>
          <w:rtl/>
        </w:rPr>
      </w:pPr>
      <w:r>
        <w:rPr>
          <w:rFonts w:ascii="FrankRuehl" w:hAnsi="FrankRuehl" w:cs="FrankRuehl"/>
          <w:color w:val="000000"/>
          <w:sz w:val="28"/>
          <w:szCs w:val="28"/>
          <w:rtl/>
        </w:rPr>
        <w:t>מכאן לנאשם.</w:t>
      </w:r>
    </w:p>
    <w:p w14:paraId="20FCA684" w14:textId="77777777" w:rsidR="002860ED" w:rsidRDefault="002860ED" w:rsidP="002860ED">
      <w:pPr>
        <w:spacing w:after="240" w:line="360" w:lineRule="auto"/>
        <w:jc w:val="both"/>
        <w:rPr>
          <w:rFonts w:ascii="FrankRuehl" w:hAnsi="FrankRuehl" w:cs="FrankRuehl"/>
          <w:color w:val="000000"/>
          <w:sz w:val="28"/>
          <w:szCs w:val="28"/>
          <w:rtl/>
        </w:rPr>
      </w:pPr>
      <w:r>
        <w:rPr>
          <w:rFonts w:ascii="FrankRuehl" w:hAnsi="FrankRuehl" w:cs="FrankRuehl"/>
          <w:color w:val="000000"/>
          <w:sz w:val="28"/>
          <w:szCs w:val="28"/>
          <w:rtl/>
        </w:rPr>
        <w:t>33.</w:t>
      </w:r>
      <w:r>
        <w:rPr>
          <w:rFonts w:ascii="FrankRuehl" w:hAnsi="FrankRuehl" w:cs="FrankRuehl"/>
          <w:color w:val="000000"/>
          <w:sz w:val="28"/>
          <w:szCs w:val="28"/>
          <w:rtl/>
        </w:rPr>
        <w:tab/>
        <w:t xml:space="preserve">הנאשם, יליד שנת 2001, כיום בן 20. נעדר עבר פלילי. יש לציין לקולא את גילו הצעיר, כמו גם את העובדה שאת העבירות החמורות יותר (האישומים השני והחמישי) הוא ביצע בהיותו קטין. </w:t>
      </w:r>
    </w:p>
    <w:p w14:paraId="178CC709" w14:textId="77777777" w:rsidR="002860ED" w:rsidRDefault="002860ED" w:rsidP="002860ED">
      <w:pPr>
        <w:spacing w:after="240" w:line="360" w:lineRule="auto"/>
        <w:jc w:val="both"/>
        <w:rPr>
          <w:rFonts w:ascii="FrankRuehl" w:hAnsi="FrankRuehl" w:cs="FrankRuehl"/>
          <w:color w:val="000000"/>
          <w:sz w:val="28"/>
          <w:szCs w:val="28"/>
          <w:rtl/>
        </w:rPr>
      </w:pPr>
      <w:r>
        <w:rPr>
          <w:rFonts w:ascii="FrankRuehl" w:hAnsi="FrankRuehl" w:cs="FrankRuehl"/>
          <w:color w:val="000000"/>
          <w:sz w:val="28"/>
          <w:szCs w:val="28"/>
          <w:rtl/>
        </w:rPr>
        <w:t>34.</w:t>
      </w:r>
      <w:r>
        <w:rPr>
          <w:rFonts w:ascii="FrankRuehl" w:hAnsi="FrankRuehl" w:cs="FrankRuehl"/>
          <w:color w:val="000000"/>
          <w:sz w:val="28"/>
          <w:szCs w:val="28"/>
          <w:rtl/>
        </w:rPr>
        <w:tab/>
        <w:t>הנאשם נטל אחריות על מעשיו כבר מתחילת חקירתו. הוא מסר גרסה מפורטת ושיתף פעולה עם רשויות החקירה. בכלל זה, יש להביא בחשבון את העובדה כי המשטרה לא תפסה כלי נשק שיכלו לשמש כראייה, והודאתו היוותה את המצע העיקרי להגשת כתב האישום. יש להביא בחשבון שמ</w:t>
      </w:r>
      <w:r>
        <w:rPr>
          <w:rFonts w:ascii="FrankRuehl" w:hAnsi="FrankRuehl" w:cs="FrankRuehl" w:hint="cs"/>
          <w:color w:val="000000"/>
          <w:sz w:val="28"/>
          <w:szCs w:val="28"/>
          <w:rtl/>
        </w:rPr>
        <w:t xml:space="preserve">זמן ביצוע </w:t>
      </w:r>
      <w:r>
        <w:rPr>
          <w:rFonts w:ascii="FrankRuehl" w:hAnsi="FrankRuehl" w:cs="FrankRuehl"/>
          <w:color w:val="000000"/>
          <w:sz w:val="28"/>
          <w:szCs w:val="28"/>
          <w:rtl/>
        </w:rPr>
        <w:t xml:space="preserve">חלק מהעבירות, </w:t>
      </w:r>
      <w:r>
        <w:rPr>
          <w:rFonts w:ascii="FrankRuehl" w:hAnsi="FrankRuehl" w:cs="FrankRuehl" w:hint="cs"/>
          <w:color w:val="000000"/>
          <w:sz w:val="28"/>
          <w:szCs w:val="28"/>
          <w:rtl/>
        </w:rPr>
        <w:t>ו</w:t>
      </w:r>
      <w:r>
        <w:rPr>
          <w:rFonts w:ascii="FrankRuehl" w:hAnsi="FrankRuehl" w:cs="FrankRuehl"/>
          <w:color w:val="000000"/>
          <w:sz w:val="28"/>
          <w:szCs w:val="28"/>
          <w:rtl/>
        </w:rPr>
        <w:t>דווקא החמורות יותר</w:t>
      </w:r>
      <w:r>
        <w:rPr>
          <w:rFonts w:ascii="FrankRuehl" w:hAnsi="FrankRuehl" w:cs="FrankRuehl" w:hint="cs"/>
          <w:color w:val="000000"/>
          <w:sz w:val="28"/>
          <w:szCs w:val="28"/>
          <w:rtl/>
        </w:rPr>
        <w:t xml:space="preserve"> שבהן</w:t>
      </w:r>
      <w:r>
        <w:rPr>
          <w:rFonts w:ascii="FrankRuehl" w:hAnsi="FrankRuehl" w:cs="FrankRuehl"/>
          <w:color w:val="000000"/>
          <w:sz w:val="28"/>
          <w:szCs w:val="28"/>
          <w:rtl/>
        </w:rPr>
        <w:t xml:space="preserve"> חלפו מספר שנים. יש לקחת בחשבון גם את העובדה כי הוא המפרנס העיקרי של משפחתו, ומעת מעצרו נאלץ אחיו הצעיר לעזוב את ספסל הלימודים על מנת לסייע בפרנסת המשפחה.    </w:t>
      </w:r>
    </w:p>
    <w:p w14:paraId="0EBC56C6" w14:textId="77777777" w:rsidR="002860ED" w:rsidRDefault="002860ED" w:rsidP="002860ED">
      <w:pPr>
        <w:spacing w:line="360" w:lineRule="auto"/>
        <w:jc w:val="both"/>
        <w:rPr>
          <w:rFonts w:ascii="FrankRuehl" w:hAnsi="FrankRuehl" w:cs="FrankRuehl"/>
          <w:sz w:val="28"/>
          <w:szCs w:val="28"/>
          <w:rtl/>
        </w:rPr>
      </w:pPr>
      <w:r>
        <w:rPr>
          <w:rFonts w:ascii="FrankRuehl" w:hAnsi="FrankRuehl" w:cs="FrankRuehl"/>
          <w:sz w:val="28"/>
          <w:szCs w:val="28"/>
          <w:rtl/>
        </w:rPr>
        <w:t>35.</w:t>
      </w:r>
      <w:r>
        <w:rPr>
          <w:rFonts w:ascii="FrankRuehl" w:hAnsi="FrankRuehl" w:cs="FrankRuehl"/>
          <w:sz w:val="28"/>
          <w:szCs w:val="28"/>
          <w:rtl/>
        </w:rPr>
        <w:tab/>
        <w:t xml:space="preserve">מאידך, </w:t>
      </w:r>
      <w:r>
        <w:rPr>
          <w:rFonts w:ascii="FrankRuehl" w:hAnsi="FrankRuehl" w:cs="FrankRuehl" w:hint="cs"/>
          <w:sz w:val="28"/>
          <w:szCs w:val="28"/>
          <w:rtl/>
        </w:rPr>
        <w:t xml:space="preserve">אין מדובר במעשה אחד, אף לא בשניים, כי אם בששה אירועים הפרושים על פני תקופה בהם הנאשם משיג פעם אחר פעם נשק או תחמושת. מכאן ניתן ללמוד על מעורבות משמעותית של הנאשם בעולם הנשק. גם </w:t>
      </w:r>
      <w:r>
        <w:rPr>
          <w:rFonts w:ascii="FrankRuehl" w:hAnsi="FrankRuehl" w:cs="FrankRuehl"/>
          <w:sz w:val="28"/>
          <w:szCs w:val="28"/>
          <w:rtl/>
        </w:rPr>
        <w:t>לא נעלמה ממני התרשמות קצינת המבחן כי הנאשם התייחס בצורה פשטנית למעשיו ו</w:t>
      </w:r>
      <w:r>
        <w:rPr>
          <w:rFonts w:ascii="FrankRuehl" w:hAnsi="FrankRuehl" w:cs="FrankRuehl" w:hint="cs"/>
          <w:sz w:val="28"/>
          <w:szCs w:val="28"/>
          <w:rtl/>
        </w:rPr>
        <w:t xml:space="preserve">כי הוא התקשה </w:t>
      </w:r>
      <w:r>
        <w:rPr>
          <w:rFonts w:ascii="FrankRuehl" w:hAnsi="FrankRuehl" w:cs="FrankRuehl"/>
          <w:sz w:val="28"/>
          <w:szCs w:val="28"/>
          <w:rtl/>
        </w:rPr>
        <w:t xml:space="preserve">לעמוד על הסיכון הנשקף מהם, כמו גם גורמי סיכון אחרים להישנות המעשים כאימוץ דפוסי התנהגות בעייתיים. עם זאת, אפשר שענישה מרתיעה צופה פני עתיד נוכח השפעת תקופת המעצר בעבר והמאסר בעתיד יפעלו את פעולתם להקטנת הסיכון. </w:t>
      </w:r>
    </w:p>
    <w:p w14:paraId="6A59ADBD" w14:textId="77777777" w:rsidR="002860ED" w:rsidRDefault="002860ED" w:rsidP="002860ED">
      <w:pPr>
        <w:spacing w:line="360" w:lineRule="auto"/>
        <w:jc w:val="both"/>
        <w:rPr>
          <w:rFonts w:ascii="FrankRuehl" w:hAnsi="FrankRuehl" w:cs="FrankRuehl"/>
          <w:sz w:val="28"/>
          <w:szCs w:val="28"/>
          <w:rtl/>
        </w:rPr>
      </w:pPr>
    </w:p>
    <w:p w14:paraId="0D6B1443" w14:textId="77777777" w:rsidR="002860ED" w:rsidRDefault="002860ED" w:rsidP="002860ED">
      <w:pPr>
        <w:spacing w:line="360" w:lineRule="auto"/>
        <w:jc w:val="both"/>
        <w:rPr>
          <w:rFonts w:ascii="FrankRuehl" w:hAnsi="FrankRuehl" w:cs="FrankRuehl"/>
          <w:sz w:val="28"/>
          <w:szCs w:val="28"/>
          <w:rtl/>
        </w:rPr>
      </w:pPr>
      <w:r>
        <w:rPr>
          <w:rFonts w:ascii="FrankRuehl" w:hAnsi="FrankRuehl" w:cs="FrankRuehl"/>
          <w:sz w:val="28"/>
          <w:szCs w:val="28"/>
          <w:rtl/>
        </w:rPr>
        <w:t>36.</w:t>
      </w:r>
      <w:r>
        <w:rPr>
          <w:rFonts w:ascii="FrankRuehl" w:hAnsi="FrankRuehl" w:cs="FrankRuehl"/>
          <w:sz w:val="28"/>
          <w:szCs w:val="28"/>
          <w:rtl/>
        </w:rPr>
        <w:tab/>
        <w:t>בנסיבות אלו, יש לגזור את עונשו של הנאשם ב</w:t>
      </w:r>
      <w:r>
        <w:rPr>
          <w:rFonts w:ascii="FrankRuehl" w:hAnsi="FrankRuehl" w:cs="FrankRuehl" w:hint="cs"/>
          <w:sz w:val="28"/>
          <w:szCs w:val="28"/>
          <w:rtl/>
        </w:rPr>
        <w:t xml:space="preserve">סמוך לתחתית </w:t>
      </w:r>
      <w:r>
        <w:rPr>
          <w:rFonts w:ascii="FrankRuehl" w:hAnsi="FrankRuehl" w:cs="FrankRuehl"/>
          <w:sz w:val="28"/>
          <w:szCs w:val="28"/>
          <w:rtl/>
        </w:rPr>
        <w:t>המתחמים</w:t>
      </w:r>
      <w:r>
        <w:rPr>
          <w:rFonts w:ascii="FrankRuehl" w:hAnsi="FrankRuehl" w:cs="FrankRuehl" w:hint="cs"/>
          <w:sz w:val="28"/>
          <w:szCs w:val="28"/>
          <w:rtl/>
        </w:rPr>
        <w:t xml:space="preserve"> אך לא בתחתיתם</w:t>
      </w:r>
      <w:r>
        <w:rPr>
          <w:rFonts w:ascii="FrankRuehl" w:hAnsi="FrankRuehl" w:cs="FrankRuehl"/>
          <w:sz w:val="28"/>
          <w:szCs w:val="28"/>
          <w:rtl/>
        </w:rPr>
        <w:t>, ויש אף לקבוע עונש כולל לכלל האירועים, תוך חפיפ</w:t>
      </w:r>
      <w:r>
        <w:rPr>
          <w:rFonts w:ascii="FrankRuehl" w:hAnsi="FrankRuehl" w:cs="FrankRuehl" w:hint="cs"/>
          <w:sz w:val="28"/>
          <w:szCs w:val="28"/>
          <w:rtl/>
        </w:rPr>
        <w:t xml:space="preserve">ת מה </w:t>
      </w:r>
      <w:r>
        <w:rPr>
          <w:rFonts w:ascii="FrankRuehl" w:hAnsi="FrankRuehl" w:cs="FrankRuehl"/>
          <w:sz w:val="28"/>
          <w:szCs w:val="28"/>
          <w:rtl/>
        </w:rPr>
        <w:t>ביניהם, תוך התחשבות במספר העבירות, מועדי ביצוען, והשפעת העונש הכולל על הנאשם.</w:t>
      </w:r>
    </w:p>
    <w:p w14:paraId="5FF517B1" w14:textId="77777777" w:rsidR="002860ED" w:rsidRDefault="002860ED" w:rsidP="002860ED">
      <w:pPr>
        <w:spacing w:line="360" w:lineRule="auto"/>
        <w:jc w:val="both"/>
        <w:rPr>
          <w:rFonts w:ascii="FrankRuehl" w:hAnsi="FrankRuehl" w:cs="FrankRuehl"/>
          <w:sz w:val="28"/>
          <w:szCs w:val="28"/>
          <w:rtl/>
        </w:rPr>
      </w:pPr>
    </w:p>
    <w:p w14:paraId="589ADAD5" w14:textId="77777777" w:rsidR="002860ED" w:rsidRDefault="002860ED" w:rsidP="002860ED">
      <w:pPr>
        <w:spacing w:line="360" w:lineRule="auto"/>
        <w:jc w:val="both"/>
        <w:rPr>
          <w:rFonts w:ascii="FrankRuehl" w:hAnsi="FrankRuehl" w:cs="FrankRuehl"/>
          <w:sz w:val="28"/>
          <w:szCs w:val="28"/>
          <w:rtl/>
        </w:rPr>
      </w:pPr>
      <w:r>
        <w:rPr>
          <w:rFonts w:ascii="FrankRuehl" w:hAnsi="FrankRuehl" w:cs="FrankRuehl"/>
          <w:sz w:val="28"/>
          <w:szCs w:val="28"/>
          <w:rtl/>
        </w:rPr>
        <w:t>37.</w:t>
      </w:r>
      <w:r>
        <w:rPr>
          <w:rFonts w:ascii="FrankRuehl" w:hAnsi="FrankRuehl" w:cs="FrankRuehl"/>
          <w:sz w:val="28"/>
          <w:szCs w:val="28"/>
          <w:rtl/>
        </w:rPr>
        <w:tab/>
        <w:t xml:space="preserve">לא מצאתי מקום להקל במידה משמעותית עם הנאשם בשל הטענה לאכיפה בררנית. זאת, בשים לב להסבר שנתנה לכך המאשימה, הטעות הנוגעת לאיוב ובאסל עבאסי, ובשים לב לכך שהדברים נלקחו כבר על ידה במסגרת ההסכמה על הסדר טיעון, שכלל תיקון משמעותי של כתב האישום. עם זאת, משקל כלשהו, ולו פחות, יש לתת גם לכך, שכן התוצאה של אי השוויון, גם אם מקורה בטעות, לפיה דווקא הנאשם שהודה ומסר גרסה מפורטת נענש בעוד שהאחרים שהיו שותפים למעשים בדרך זו או אחרת, כלל לא נחקרו, וודאי לא הועמדו לדין, </w:t>
      </w:r>
      <w:r>
        <w:rPr>
          <w:rFonts w:ascii="FrankRuehl" w:hAnsi="FrankRuehl" w:cs="FrankRuehl" w:hint="cs"/>
          <w:sz w:val="28"/>
          <w:szCs w:val="28"/>
          <w:rtl/>
        </w:rPr>
        <w:t>ה</w:t>
      </w:r>
      <w:r>
        <w:rPr>
          <w:rFonts w:ascii="FrankRuehl" w:hAnsi="FrankRuehl" w:cs="FrankRuehl"/>
          <w:sz w:val="28"/>
          <w:szCs w:val="28"/>
          <w:rtl/>
        </w:rPr>
        <w:t>י</w:t>
      </w:r>
      <w:r>
        <w:rPr>
          <w:rFonts w:ascii="FrankRuehl" w:hAnsi="FrankRuehl" w:cs="FrankRuehl" w:hint="cs"/>
          <w:sz w:val="28"/>
          <w:szCs w:val="28"/>
          <w:rtl/>
        </w:rPr>
        <w:t>א</w:t>
      </w:r>
      <w:r>
        <w:rPr>
          <w:rFonts w:ascii="FrankRuehl" w:hAnsi="FrankRuehl" w:cs="FrankRuehl"/>
          <w:sz w:val="28"/>
          <w:szCs w:val="28"/>
          <w:rtl/>
        </w:rPr>
        <w:t xml:space="preserve"> תוצאה קשה, שיש לתת לה ביטוי מה, בשים לב לכך שכאמור, כבר ניתנה על כך הדעת במסגרת תיקון כתב האישום בהסדר הטיעון.   </w:t>
      </w:r>
    </w:p>
    <w:p w14:paraId="47CA0F0C" w14:textId="77777777" w:rsidR="002860ED" w:rsidRDefault="002860ED" w:rsidP="002860ED">
      <w:pPr>
        <w:spacing w:line="360" w:lineRule="auto"/>
        <w:jc w:val="both"/>
        <w:rPr>
          <w:rFonts w:ascii="FrankRuehl" w:hAnsi="FrankRuehl" w:cs="FrankRuehl"/>
          <w:sz w:val="28"/>
          <w:szCs w:val="28"/>
          <w:rtl/>
        </w:rPr>
      </w:pPr>
    </w:p>
    <w:p w14:paraId="2DB007E4" w14:textId="77777777" w:rsidR="002860ED" w:rsidRDefault="002860ED" w:rsidP="002860ED">
      <w:pPr>
        <w:spacing w:line="360" w:lineRule="auto"/>
        <w:jc w:val="both"/>
        <w:rPr>
          <w:rFonts w:ascii="FrankRuehl" w:hAnsi="FrankRuehl" w:cs="FrankRuehl"/>
          <w:color w:val="000000"/>
          <w:sz w:val="28"/>
          <w:szCs w:val="28"/>
          <w:rtl/>
        </w:rPr>
      </w:pPr>
      <w:r>
        <w:rPr>
          <w:rFonts w:ascii="FrankRuehl" w:hAnsi="FrankRuehl" w:cs="FrankRuehl"/>
          <w:sz w:val="28"/>
          <w:szCs w:val="28"/>
          <w:rtl/>
        </w:rPr>
        <w:t>38.</w:t>
      </w:r>
      <w:r>
        <w:rPr>
          <w:rFonts w:ascii="FrankRuehl" w:hAnsi="FrankRuehl" w:cs="FrankRuehl"/>
          <w:sz w:val="28"/>
          <w:szCs w:val="28"/>
          <w:rtl/>
        </w:rPr>
        <w:tab/>
        <w:t xml:space="preserve">סופו של יום, ולאחר שנתתי דעתי על מכלול הנסיבות, לקולא ולחומרא, אני משית על הנאשם את העונשים הבאים:   </w:t>
      </w:r>
    </w:p>
    <w:p w14:paraId="552B8913" w14:textId="77777777" w:rsidR="002860ED" w:rsidRDefault="002860ED" w:rsidP="002860ED">
      <w:pPr>
        <w:spacing w:after="240" w:line="360" w:lineRule="auto"/>
        <w:jc w:val="both"/>
        <w:rPr>
          <w:rFonts w:ascii="FrankRuehl" w:hAnsi="FrankRuehl" w:cs="FrankRuehl"/>
          <w:color w:val="000000"/>
          <w:sz w:val="28"/>
          <w:szCs w:val="28"/>
          <w:rtl/>
        </w:rPr>
      </w:pPr>
      <w:r>
        <w:rPr>
          <w:rFonts w:ascii="FrankRuehl" w:hAnsi="FrankRuehl" w:cs="FrankRuehl"/>
          <w:color w:val="000000"/>
          <w:sz w:val="28"/>
          <w:szCs w:val="28"/>
          <w:rtl/>
        </w:rPr>
        <w:t xml:space="preserve">1. </w:t>
      </w:r>
      <w:r w:rsidR="001375F8">
        <w:rPr>
          <w:rFonts w:ascii="FrankRuehl" w:hAnsi="FrankRuehl" w:cs="FrankRuehl"/>
          <w:color w:val="000000"/>
          <w:sz w:val="28"/>
          <w:szCs w:val="28"/>
          <w:rtl/>
        </w:rPr>
        <w:t xml:space="preserve">       </w:t>
      </w:r>
      <w:r>
        <w:rPr>
          <w:rFonts w:ascii="FrankRuehl" w:hAnsi="FrankRuehl" w:cs="FrankRuehl"/>
          <w:color w:val="000000"/>
          <w:sz w:val="28"/>
          <w:szCs w:val="28"/>
          <w:rtl/>
        </w:rPr>
        <w:t xml:space="preserve"> </w:t>
      </w:r>
      <w:r>
        <w:rPr>
          <w:rFonts w:ascii="FrankRuehl" w:hAnsi="FrankRuehl" w:cs="FrankRuehl" w:hint="cs"/>
          <w:color w:val="000000"/>
          <w:sz w:val="28"/>
          <w:szCs w:val="28"/>
          <w:rtl/>
        </w:rPr>
        <w:t>30</w:t>
      </w:r>
      <w:r>
        <w:rPr>
          <w:rFonts w:ascii="FrankRuehl" w:hAnsi="FrankRuehl" w:cs="FrankRuehl"/>
          <w:color w:val="000000"/>
          <w:sz w:val="28"/>
          <w:szCs w:val="28"/>
          <w:rtl/>
        </w:rPr>
        <w:t xml:space="preserve"> חודשי מאסר בפועל בניכוי תקופת מעצרו של הנאשם, החל מיום</w:t>
      </w:r>
      <w:r>
        <w:rPr>
          <w:rFonts w:ascii="FrankRuehl" w:hAnsi="FrankRuehl" w:cs="FrankRuehl" w:hint="cs"/>
          <w:color w:val="000000"/>
          <w:sz w:val="28"/>
          <w:szCs w:val="28"/>
          <w:rtl/>
        </w:rPr>
        <w:t xml:space="preserve"> 20.12.20</w:t>
      </w:r>
      <w:r>
        <w:rPr>
          <w:rFonts w:ascii="FrankRuehl" w:hAnsi="FrankRuehl" w:cs="FrankRuehl"/>
          <w:color w:val="000000"/>
          <w:sz w:val="28"/>
          <w:szCs w:val="28"/>
          <w:rtl/>
        </w:rPr>
        <w:t>.</w:t>
      </w:r>
    </w:p>
    <w:p w14:paraId="0236702D" w14:textId="77777777" w:rsidR="002860ED" w:rsidRDefault="001375F8" w:rsidP="002860ED">
      <w:pPr>
        <w:spacing w:after="240" w:line="360" w:lineRule="auto"/>
        <w:ind w:left="720" w:hanging="720"/>
        <w:jc w:val="both"/>
        <w:rPr>
          <w:rFonts w:ascii="FrankRuehl" w:hAnsi="FrankRuehl" w:cs="FrankRuehl"/>
          <w:color w:val="000000"/>
          <w:sz w:val="28"/>
          <w:szCs w:val="28"/>
          <w:rtl/>
        </w:rPr>
      </w:pPr>
      <w:r w:rsidRPr="001375F8">
        <w:rPr>
          <w:rFonts w:ascii="FrankRuehl" w:hAnsi="FrankRuehl" w:cs="FrankRuehl"/>
          <w:color w:val="FFFFFF"/>
          <w:sz w:val="2"/>
          <w:szCs w:val="2"/>
          <w:rtl/>
        </w:rPr>
        <w:t>5129371</w:t>
      </w:r>
      <w:r w:rsidR="002860ED">
        <w:rPr>
          <w:rFonts w:ascii="FrankRuehl" w:hAnsi="FrankRuehl" w:cs="FrankRuehl"/>
          <w:color w:val="000000"/>
          <w:sz w:val="28"/>
          <w:szCs w:val="28"/>
          <w:rtl/>
        </w:rPr>
        <w:t xml:space="preserve">2. </w:t>
      </w:r>
      <w:r>
        <w:rPr>
          <w:rFonts w:ascii="FrankRuehl" w:hAnsi="FrankRuehl" w:cs="FrankRuehl"/>
          <w:color w:val="000000"/>
          <w:sz w:val="28"/>
          <w:szCs w:val="28"/>
          <w:rtl/>
        </w:rPr>
        <w:t xml:space="preserve">       </w:t>
      </w:r>
      <w:r w:rsidR="002860ED">
        <w:rPr>
          <w:rFonts w:ascii="FrankRuehl" w:hAnsi="FrankRuehl" w:cs="FrankRuehl"/>
          <w:color w:val="000000"/>
          <w:sz w:val="28"/>
          <w:szCs w:val="28"/>
          <w:rtl/>
        </w:rPr>
        <w:t xml:space="preserve"> </w:t>
      </w:r>
      <w:r w:rsidR="002860ED">
        <w:rPr>
          <w:rFonts w:ascii="FrankRuehl" w:hAnsi="FrankRuehl" w:cs="FrankRuehl" w:hint="cs"/>
          <w:color w:val="000000"/>
          <w:sz w:val="28"/>
          <w:szCs w:val="28"/>
          <w:rtl/>
        </w:rPr>
        <w:t>10</w:t>
      </w:r>
      <w:r w:rsidR="002860ED">
        <w:rPr>
          <w:rFonts w:ascii="FrankRuehl" w:hAnsi="FrankRuehl" w:cs="FrankRuehl"/>
          <w:color w:val="000000"/>
          <w:sz w:val="28"/>
          <w:szCs w:val="28"/>
          <w:rtl/>
        </w:rPr>
        <w:t xml:space="preserve"> חודשי מאסר על תנאי, שלא ירוצו אלא אם כן הנאשם יעבור עבירת נשק כלשהי בתקופה של 3 שנים ממועד שחרורו ממאסר.</w:t>
      </w:r>
    </w:p>
    <w:p w14:paraId="7D7A32C1" w14:textId="77777777" w:rsidR="002860ED" w:rsidRPr="001375F8" w:rsidRDefault="001375F8" w:rsidP="002860ED">
      <w:pPr>
        <w:spacing w:after="240" w:line="360" w:lineRule="auto"/>
        <w:ind w:left="720" w:hanging="720"/>
        <w:jc w:val="both"/>
        <w:rPr>
          <w:rFonts w:ascii="FrankRuehl" w:hAnsi="FrankRuehl" w:cs="FrankRuehl"/>
          <w:color w:val="FFFFFF"/>
          <w:sz w:val="2"/>
          <w:szCs w:val="2"/>
          <w:rtl/>
        </w:rPr>
      </w:pPr>
      <w:r w:rsidRPr="001375F8">
        <w:rPr>
          <w:rFonts w:ascii="FrankRuehl" w:hAnsi="FrankRuehl" w:cs="FrankRuehl"/>
          <w:color w:val="FFFFFF"/>
          <w:sz w:val="2"/>
          <w:szCs w:val="2"/>
          <w:rtl/>
        </w:rPr>
        <w:t>54678313</w:t>
      </w:r>
    </w:p>
    <w:p w14:paraId="53FA1019" w14:textId="77777777" w:rsidR="002860ED" w:rsidRDefault="002860ED" w:rsidP="002860ED">
      <w:pPr>
        <w:spacing w:after="240" w:line="360" w:lineRule="auto"/>
        <w:jc w:val="both"/>
        <w:rPr>
          <w:rFonts w:ascii="FrankRuehl" w:hAnsi="FrankRuehl" w:cs="FrankRuehl"/>
          <w:color w:val="000000"/>
          <w:sz w:val="28"/>
          <w:szCs w:val="28"/>
          <w:rtl/>
        </w:rPr>
      </w:pPr>
      <w:r>
        <w:rPr>
          <w:rFonts w:ascii="FrankRuehl" w:hAnsi="FrankRuehl" w:cs="FrankRuehl"/>
          <w:color w:val="000000"/>
          <w:sz w:val="28"/>
          <w:szCs w:val="28"/>
          <w:rtl/>
        </w:rPr>
        <w:t>זכות ערעור לבית המשפט העליון בתוך 45 יום מהיום.</w:t>
      </w:r>
    </w:p>
    <w:p w14:paraId="3B4874E9" w14:textId="77777777" w:rsidR="002860ED" w:rsidRPr="006E5726" w:rsidRDefault="001375F8" w:rsidP="002860ED">
      <w:pPr>
        <w:spacing w:after="240" w:line="360" w:lineRule="auto"/>
        <w:jc w:val="both"/>
        <w:rPr>
          <w:rFonts w:ascii="FrankRuehl" w:hAnsi="FrankRuehl" w:cs="FrankRuehl"/>
          <w:color w:val="000000"/>
          <w:sz w:val="28"/>
          <w:szCs w:val="28"/>
        </w:rPr>
      </w:pPr>
      <w:bookmarkStart w:id="8" w:name="Nitan"/>
      <w:r>
        <w:rPr>
          <w:rFonts w:ascii="FrankRuehl" w:hAnsi="FrankRuehl" w:cs="FrankRuehl"/>
          <w:color w:val="000000"/>
          <w:sz w:val="28"/>
          <w:szCs w:val="28"/>
          <w:rtl/>
        </w:rPr>
        <w:t xml:space="preserve">ניתן היום,  ג' תשרי תשפ"ב, 09 ספטמבר 2021, במעמד המתייצבים. </w:t>
      </w:r>
      <w:bookmarkEnd w:id="8"/>
    </w:p>
    <w:p w14:paraId="65B9E2B6" w14:textId="77777777" w:rsidR="001375F8" w:rsidRDefault="001375F8" w:rsidP="001375F8">
      <w:pPr>
        <w:rPr>
          <w:rtl/>
        </w:rPr>
      </w:pPr>
    </w:p>
    <w:p w14:paraId="273B58AE" w14:textId="77777777" w:rsidR="001375F8" w:rsidRDefault="001375F8" w:rsidP="001375F8">
      <w:pPr>
        <w:jc w:val="center"/>
        <w:rPr>
          <w:color w:val="0000FF"/>
          <w:u w:val="single"/>
        </w:rPr>
      </w:pPr>
      <w:hyperlink r:id="rId33" w:history="1">
        <w:r>
          <w:rPr>
            <w:color w:val="0000FF"/>
            <w:u w:val="single"/>
            <w:rtl/>
          </w:rPr>
          <w:t>בעניין עריכה ושינויים במסמכי פסיקה, חקיקה ועוד באתר נבו – הקש כאן</w:t>
        </w:r>
      </w:hyperlink>
    </w:p>
    <w:p w14:paraId="2AC5C8A7" w14:textId="77777777" w:rsidR="009F779B" w:rsidRPr="009F779B" w:rsidRDefault="009F779B" w:rsidP="009F779B">
      <w:pPr>
        <w:keepNext/>
        <w:rPr>
          <w:rFonts w:ascii="David" w:hAnsi="David"/>
          <w:color w:val="000000"/>
          <w:sz w:val="22"/>
          <w:szCs w:val="22"/>
          <w:rtl/>
        </w:rPr>
      </w:pPr>
    </w:p>
    <w:p w14:paraId="00AF866A" w14:textId="77777777" w:rsidR="009F779B" w:rsidRPr="009F779B" w:rsidRDefault="009F779B" w:rsidP="009F779B">
      <w:pPr>
        <w:keepNext/>
        <w:rPr>
          <w:rFonts w:ascii="David" w:hAnsi="David"/>
          <w:color w:val="000000"/>
          <w:sz w:val="22"/>
          <w:szCs w:val="22"/>
          <w:rtl/>
        </w:rPr>
      </w:pPr>
      <w:r w:rsidRPr="009F779B">
        <w:rPr>
          <w:rFonts w:ascii="David" w:hAnsi="David"/>
          <w:color w:val="000000"/>
          <w:sz w:val="22"/>
          <w:szCs w:val="22"/>
          <w:rtl/>
        </w:rPr>
        <w:t>אילן סלע 54678313-/</w:t>
      </w:r>
    </w:p>
    <w:p w14:paraId="68C43884" w14:textId="77777777" w:rsidR="001375F8" w:rsidRPr="001375F8" w:rsidRDefault="009F779B" w:rsidP="009F779B">
      <w:pPr>
        <w:rPr>
          <w:rFonts w:hint="cs"/>
          <w:color w:val="0000FF"/>
          <w:u w:val="single"/>
        </w:rPr>
      </w:pPr>
      <w:r w:rsidRPr="009F779B">
        <w:rPr>
          <w:color w:val="000000"/>
          <w:u w:val="single"/>
          <w:rtl/>
        </w:rPr>
        <w:t>נוסח מסמך זה כפוף לשינויי ניסוח ועריכה</w:t>
      </w:r>
      <w:r w:rsidR="000850BB">
        <w:rPr>
          <w:rFonts w:hint="cs"/>
          <w:color w:val="0000FF"/>
          <w:u w:val="single"/>
          <w:rtl/>
        </w:rPr>
        <w:t xml:space="preserve">  </w:t>
      </w:r>
    </w:p>
    <w:sectPr w:rsidR="001375F8" w:rsidRPr="001375F8" w:rsidSect="009F779B">
      <w:headerReference w:type="even" r:id="rId34"/>
      <w:headerReference w:type="default" r:id="rId35"/>
      <w:footerReference w:type="even" r:id="rId36"/>
      <w:footerReference w:type="default" r:id="rId3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E04BAD" w14:textId="77777777" w:rsidR="00433C07" w:rsidRDefault="00433C07" w:rsidP="00124FA2">
      <w:r>
        <w:separator/>
      </w:r>
    </w:p>
  </w:endnote>
  <w:endnote w:type="continuationSeparator" w:id="0">
    <w:p w14:paraId="1153A67A" w14:textId="77777777" w:rsidR="00433C07" w:rsidRDefault="00433C07" w:rsidP="00124F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3F0E3C" w14:textId="77777777" w:rsidR="009F779B" w:rsidRDefault="009F779B" w:rsidP="009F779B">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E11FFD8" w14:textId="77777777" w:rsidR="00ED5D35" w:rsidRPr="009F779B" w:rsidRDefault="009F779B" w:rsidP="009F779B">
    <w:pPr>
      <w:pStyle w:val="a5"/>
      <w:pBdr>
        <w:top w:val="single" w:sz="4" w:space="1" w:color="auto"/>
        <w:between w:val="single" w:sz="4" w:space="0" w:color="auto"/>
      </w:pBdr>
      <w:spacing w:after="60"/>
      <w:jc w:val="center"/>
      <w:rPr>
        <w:rFonts w:ascii="FrankRuehl" w:hAnsi="FrankRuehl" w:cs="FrankRuehl"/>
        <w:color w:val="000000"/>
      </w:rPr>
    </w:pPr>
    <w:r w:rsidRPr="009F779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D2BC06" w14:textId="77777777" w:rsidR="009F779B" w:rsidRDefault="009F779B" w:rsidP="009F779B">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6196A">
      <w:rPr>
        <w:rFonts w:ascii="FrankRuehl" w:hAnsi="FrankRuehl" w:cs="FrankRuehl"/>
        <w:noProof/>
        <w:rtl/>
      </w:rPr>
      <w:t>1</w:t>
    </w:r>
    <w:r>
      <w:rPr>
        <w:rFonts w:ascii="FrankRuehl" w:hAnsi="FrankRuehl" w:cs="FrankRuehl"/>
        <w:rtl/>
      </w:rPr>
      <w:fldChar w:fldCharType="end"/>
    </w:r>
  </w:p>
  <w:p w14:paraId="0D842CD7" w14:textId="77777777" w:rsidR="00ED5D35" w:rsidRPr="009F779B" w:rsidRDefault="009F779B" w:rsidP="009F779B">
    <w:pPr>
      <w:pStyle w:val="a5"/>
      <w:pBdr>
        <w:top w:val="single" w:sz="4" w:space="1" w:color="auto"/>
        <w:between w:val="single" w:sz="4" w:space="0" w:color="auto"/>
      </w:pBdr>
      <w:spacing w:after="60"/>
      <w:jc w:val="center"/>
      <w:rPr>
        <w:rFonts w:ascii="FrankRuehl" w:hAnsi="FrankRuehl" w:cs="FrankRuehl"/>
        <w:color w:val="000000"/>
      </w:rPr>
    </w:pPr>
    <w:r w:rsidRPr="009F779B">
      <w:rPr>
        <w:rFonts w:ascii="FrankRuehl" w:hAnsi="FrankRuehl" w:cs="FrankRuehl"/>
        <w:color w:val="000000"/>
      </w:rPr>
      <w:pict w14:anchorId="7A1C02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0DBBED" w14:textId="77777777" w:rsidR="00433C07" w:rsidRDefault="00433C07" w:rsidP="00124FA2">
      <w:r>
        <w:separator/>
      </w:r>
    </w:p>
  </w:footnote>
  <w:footnote w:type="continuationSeparator" w:id="0">
    <w:p w14:paraId="2F5EC540" w14:textId="77777777" w:rsidR="00433C07" w:rsidRDefault="00433C07" w:rsidP="00124F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208653" w14:textId="77777777" w:rsidR="001375F8" w:rsidRPr="009F779B" w:rsidRDefault="009F779B" w:rsidP="009F779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24822-01-21</w:t>
    </w:r>
    <w:r>
      <w:rPr>
        <w:rFonts w:ascii="David" w:hAnsi="David"/>
        <w:color w:val="000000"/>
        <w:sz w:val="22"/>
        <w:szCs w:val="22"/>
        <w:rtl/>
      </w:rPr>
      <w:tab/>
      <w:t xml:space="preserve"> מדינת ישראל נ' מוסא עבאסי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62006F" w14:textId="77777777" w:rsidR="001375F8" w:rsidRPr="009F779B" w:rsidRDefault="009F779B" w:rsidP="009F779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24822-01-21</w:t>
    </w:r>
    <w:r>
      <w:rPr>
        <w:rFonts w:ascii="David" w:hAnsi="David"/>
        <w:color w:val="000000"/>
        <w:sz w:val="22"/>
        <w:szCs w:val="22"/>
        <w:rtl/>
      </w:rPr>
      <w:tab/>
      <w:t xml:space="preserve"> מדינת ישראל נ' מוסא עבאסי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860ED"/>
    <w:rsid w:val="000850BB"/>
    <w:rsid w:val="00124FA2"/>
    <w:rsid w:val="001375F8"/>
    <w:rsid w:val="0014580B"/>
    <w:rsid w:val="001B5A3B"/>
    <w:rsid w:val="002860ED"/>
    <w:rsid w:val="003F4833"/>
    <w:rsid w:val="00433C07"/>
    <w:rsid w:val="004E2D13"/>
    <w:rsid w:val="00515EAE"/>
    <w:rsid w:val="006313EA"/>
    <w:rsid w:val="00785E8D"/>
    <w:rsid w:val="008F6365"/>
    <w:rsid w:val="009F225D"/>
    <w:rsid w:val="009F779B"/>
    <w:rsid w:val="00BB3A63"/>
    <w:rsid w:val="00D373F0"/>
    <w:rsid w:val="00D6196A"/>
    <w:rsid w:val="00ED5D3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F6C122D"/>
  <w15:chartTrackingRefBased/>
  <w15:docId w15:val="{517E8F18-B643-4825-B5E7-D99D6B11D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860ED"/>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2860ED"/>
    <w:pPr>
      <w:tabs>
        <w:tab w:val="center" w:pos="4153"/>
        <w:tab w:val="right" w:pos="8306"/>
      </w:tabs>
    </w:pPr>
  </w:style>
  <w:style w:type="character" w:customStyle="1" w:styleId="a4">
    <w:name w:val="כותרת עליונה תו"/>
    <w:link w:val="a3"/>
    <w:rsid w:val="002860ED"/>
    <w:rPr>
      <w:rFonts w:ascii="Times New Roman" w:eastAsia="Times New Roman" w:hAnsi="Times New Roman" w:cs="David"/>
      <w:sz w:val="24"/>
      <w:szCs w:val="24"/>
    </w:rPr>
  </w:style>
  <w:style w:type="paragraph" w:styleId="a5">
    <w:name w:val="footer"/>
    <w:basedOn w:val="a"/>
    <w:link w:val="a6"/>
    <w:rsid w:val="002860ED"/>
    <w:pPr>
      <w:tabs>
        <w:tab w:val="center" w:pos="4153"/>
        <w:tab w:val="right" w:pos="8306"/>
      </w:tabs>
    </w:pPr>
  </w:style>
  <w:style w:type="character" w:customStyle="1" w:styleId="a6">
    <w:name w:val="כותרת תחתונה תו"/>
    <w:link w:val="a5"/>
    <w:rsid w:val="002860ED"/>
    <w:rPr>
      <w:rFonts w:ascii="Times New Roman" w:eastAsia="Times New Roman" w:hAnsi="Times New Roman" w:cs="David"/>
      <w:sz w:val="24"/>
      <w:szCs w:val="24"/>
    </w:rPr>
  </w:style>
  <w:style w:type="table" w:styleId="a7">
    <w:name w:val="Table Grid"/>
    <w:basedOn w:val="a1"/>
    <w:rsid w:val="002860ED"/>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2860ED"/>
  </w:style>
  <w:style w:type="character" w:styleId="Hyperlink">
    <w:name w:val="Hyperlink"/>
    <w:rsid w:val="001375F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b" TargetMode="External"/><Relationship Id="rId18" Type="http://schemas.openxmlformats.org/officeDocument/2006/relationships/hyperlink" Target="http://www.nevo.co.il/case/27567095" TargetMode="External"/><Relationship Id="rId26" Type="http://schemas.openxmlformats.org/officeDocument/2006/relationships/hyperlink" Target="http://www.nevo.co.il/case/26568495" TargetMode="External"/><Relationship Id="rId39" Type="http://schemas.openxmlformats.org/officeDocument/2006/relationships/theme" Target="theme/theme1.xml"/><Relationship Id="rId21" Type="http://schemas.openxmlformats.org/officeDocument/2006/relationships/hyperlink" Target="http://www.nevo.co.il/case/26888657" TargetMode="External"/><Relationship Id="rId34" Type="http://schemas.openxmlformats.org/officeDocument/2006/relationships/header" Target="header1.xml"/><Relationship Id="rId7" Type="http://schemas.openxmlformats.org/officeDocument/2006/relationships/hyperlink" Target="http://www.nevo.co.il/law/70301/25" TargetMode="External"/><Relationship Id="rId12" Type="http://schemas.openxmlformats.org/officeDocument/2006/relationships/hyperlink" Target="http://www.nevo.co.il/law/70301" TargetMode="External"/><Relationship Id="rId17" Type="http://schemas.openxmlformats.org/officeDocument/2006/relationships/hyperlink" Target="http://www.nevo.co.il/law/70301/25" TargetMode="External"/><Relationship Id="rId25" Type="http://schemas.openxmlformats.org/officeDocument/2006/relationships/hyperlink" Target="http://www.nevo.co.il/case/13015506" TargetMode="External"/><Relationship Id="rId33" Type="http://schemas.openxmlformats.org/officeDocument/2006/relationships/hyperlink" Target="http://www.nevo.co.il/advertisements/nevo-100.doc" TargetMode="External"/><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nevo.co.il/law/70301/144.a" TargetMode="External"/><Relationship Id="rId20" Type="http://schemas.openxmlformats.org/officeDocument/2006/relationships/hyperlink" Target="http://www.nevo.co.il/case/26747892" TargetMode="External"/><Relationship Id="rId29" Type="http://schemas.openxmlformats.org/officeDocument/2006/relationships/hyperlink" Target="http://www.nevo.co.il/case/22739459"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340a.a" TargetMode="External"/><Relationship Id="rId24" Type="http://schemas.openxmlformats.org/officeDocument/2006/relationships/hyperlink" Target="http://www.nevo.co.il/case/13093721" TargetMode="External"/><Relationship Id="rId32" Type="http://schemas.openxmlformats.org/officeDocument/2006/relationships/hyperlink" Target="http://www.nevo.co.il/case/23177651" TargetMode="External"/><Relationship Id="rId37"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yperlink" Target="http://www.nevo.co.il/law/70301/144.a" TargetMode="External"/><Relationship Id="rId23" Type="http://schemas.openxmlformats.org/officeDocument/2006/relationships/hyperlink" Target="http://www.nevo.co.il/case/27567095" TargetMode="External"/><Relationship Id="rId28" Type="http://schemas.openxmlformats.org/officeDocument/2006/relationships/hyperlink" Target="http://www.nevo.co.il/case/26714559" TargetMode="External"/><Relationship Id="rId36" Type="http://schemas.openxmlformats.org/officeDocument/2006/relationships/footer" Target="footer1.xml"/><Relationship Id="rId10" Type="http://schemas.openxmlformats.org/officeDocument/2006/relationships/hyperlink" Target="http://www.nevo.co.il/law/70301/340a.a" TargetMode="External"/><Relationship Id="rId19" Type="http://schemas.openxmlformats.org/officeDocument/2006/relationships/hyperlink" Target="http://www.nevo.co.il/case/27708542" TargetMode="External"/><Relationship Id="rId31" Type="http://schemas.openxmlformats.org/officeDocument/2006/relationships/hyperlink" Target="http://www.nevo.co.il/case/23169485" TargetMode="External"/><Relationship Id="rId4" Type="http://schemas.openxmlformats.org/officeDocument/2006/relationships/footnotes" Target="footnotes.xml"/><Relationship Id="rId9" Type="http://schemas.openxmlformats.org/officeDocument/2006/relationships/hyperlink" Target="http://www.nevo.co.il/law/70301/144.b" TargetMode="External"/><Relationship Id="rId14" Type="http://schemas.openxmlformats.org/officeDocument/2006/relationships/hyperlink" Target="http://www.nevo.co.il/law/70301/144.b" TargetMode="External"/><Relationship Id="rId22" Type="http://schemas.openxmlformats.org/officeDocument/2006/relationships/hyperlink" Target="http://www.nevo.co.il/case/25824863" TargetMode="External"/><Relationship Id="rId27" Type="http://schemas.openxmlformats.org/officeDocument/2006/relationships/hyperlink" Target="http://www.nevo.co.il/case/25543800" TargetMode="External"/><Relationship Id="rId30" Type="http://schemas.openxmlformats.org/officeDocument/2006/relationships/hyperlink" Target="http://www.nevo.co.il/case/20978035" TargetMode="External"/><Relationship Id="rId35" Type="http://schemas.openxmlformats.org/officeDocument/2006/relationships/header" Target="header2.xml"/><Relationship Id="rId8" Type="http://schemas.openxmlformats.org/officeDocument/2006/relationships/hyperlink" Target="http://www.nevo.co.il/law/70301/144.a" TargetMode="External"/><Relationship Id="rId3"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2897</Words>
  <Characters>14485</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17348</CharactersWithSpaces>
  <SharedDoc>false</SharedDoc>
  <HLinks>
    <vt:vector size="168" baseType="variant">
      <vt:variant>
        <vt:i4>393283</vt:i4>
      </vt:variant>
      <vt:variant>
        <vt:i4>81</vt:i4>
      </vt:variant>
      <vt:variant>
        <vt:i4>0</vt:i4>
      </vt:variant>
      <vt:variant>
        <vt:i4>5</vt:i4>
      </vt:variant>
      <vt:variant>
        <vt:lpwstr>http://www.nevo.co.il/advertisements/nevo-100.doc</vt:lpwstr>
      </vt:variant>
      <vt:variant>
        <vt:lpwstr/>
      </vt:variant>
      <vt:variant>
        <vt:i4>3211382</vt:i4>
      </vt:variant>
      <vt:variant>
        <vt:i4>78</vt:i4>
      </vt:variant>
      <vt:variant>
        <vt:i4>0</vt:i4>
      </vt:variant>
      <vt:variant>
        <vt:i4>5</vt:i4>
      </vt:variant>
      <vt:variant>
        <vt:lpwstr>http://www.nevo.co.il/case/23177651</vt:lpwstr>
      </vt:variant>
      <vt:variant>
        <vt:lpwstr/>
      </vt:variant>
      <vt:variant>
        <vt:i4>3276917</vt:i4>
      </vt:variant>
      <vt:variant>
        <vt:i4>75</vt:i4>
      </vt:variant>
      <vt:variant>
        <vt:i4>0</vt:i4>
      </vt:variant>
      <vt:variant>
        <vt:i4>5</vt:i4>
      </vt:variant>
      <vt:variant>
        <vt:lpwstr>http://www.nevo.co.il/case/23169485</vt:lpwstr>
      </vt:variant>
      <vt:variant>
        <vt:lpwstr/>
      </vt:variant>
      <vt:variant>
        <vt:i4>3145843</vt:i4>
      </vt:variant>
      <vt:variant>
        <vt:i4>72</vt:i4>
      </vt:variant>
      <vt:variant>
        <vt:i4>0</vt:i4>
      </vt:variant>
      <vt:variant>
        <vt:i4>5</vt:i4>
      </vt:variant>
      <vt:variant>
        <vt:lpwstr>http://www.nevo.co.il/case/20978035</vt:lpwstr>
      </vt:variant>
      <vt:variant>
        <vt:lpwstr/>
      </vt:variant>
      <vt:variant>
        <vt:i4>3735665</vt:i4>
      </vt:variant>
      <vt:variant>
        <vt:i4>69</vt:i4>
      </vt:variant>
      <vt:variant>
        <vt:i4>0</vt:i4>
      </vt:variant>
      <vt:variant>
        <vt:i4>5</vt:i4>
      </vt:variant>
      <vt:variant>
        <vt:lpwstr>http://www.nevo.co.il/case/22739459</vt:lpwstr>
      </vt:variant>
      <vt:variant>
        <vt:lpwstr/>
      </vt:variant>
      <vt:variant>
        <vt:i4>3407990</vt:i4>
      </vt:variant>
      <vt:variant>
        <vt:i4>66</vt:i4>
      </vt:variant>
      <vt:variant>
        <vt:i4>0</vt:i4>
      </vt:variant>
      <vt:variant>
        <vt:i4>5</vt:i4>
      </vt:variant>
      <vt:variant>
        <vt:lpwstr>http://www.nevo.co.il/case/26714559</vt:lpwstr>
      </vt:variant>
      <vt:variant>
        <vt:lpwstr/>
      </vt:variant>
      <vt:variant>
        <vt:i4>3407997</vt:i4>
      </vt:variant>
      <vt:variant>
        <vt:i4>63</vt:i4>
      </vt:variant>
      <vt:variant>
        <vt:i4>0</vt:i4>
      </vt:variant>
      <vt:variant>
        <vt:i4>5</vt:i4>
      </vt:variant>
      <vt:variant>
        <vt:lpwstr>http://www.nevo.co.il/case/25543800</vt:lpwstr>
      </vt:variant>
      <vt:variant>
        <vt:lpwstr/>
      </vt:variant>
      <vt:variant>
        <vt:i4>3539056</vt:i4>
      </vt:variant>
      <vt:variant>
        <vt:i4>60</vt:i4>
      </vt:variant>
      <vt:variant>
        <vt:i4>0</vt:i4>
      </vt:variant>
      <vt:variant>
        <vt:i4>5</vt:i4>
      </vt:variant>
      <vt:variant>
        <vt:lpwstr>http://www.nevo.co.il/case/26568495</vt:lpwstr>
      </vt:variant>
      <vt:variant>
        <vt:lpwstr/>
      </vt:variant>
      <vt:variant>
        <vt:i4>3407987</vt:i4>
      </vt:variant>
      <vt:variant>
        <vt:i4>57</vt:i4>
      </vt:variant>
      <vt:variant>
        <vt:i4>0</vt:i4>
      </vt:variant>
      <vt:variant>
        <vt:i4>5</vt:i4>
      </vt:variant>
      <vt:variant>
        <vt:lpwstr>http://www.nevo.co.il/case/13015506</vt:lpwstr>
      </vt:variant>
      <vt:variant>
        <vt:lpwstr/>
      </vt:variant>
      <vt:variant>
        <vt:i4>3145849</vt:i4>
      </vt:variant>
      <vt:variant>
        <vt:i4>54</vt:i4>
      </vt:variant>
      <vt:variant>
        <vt:i4>0</vt:i4>
      </vt:variant>
      <vt:variant>
        <vt:i4>5</vt:i4>
      </vt:variant>
      <vt:variant>
        <vt:lpwstr>http://www.nevo.co.il/case/13093721</vt:lpwstr>
      </vt:variant>
      <vt:variant>
        <vt:lpwstr/>
      </vt:variant>
      <vt:variant>
        <vt:i4>3735669</vt:i4>
      </vt:variant>
      <vt:variant>
        <vt:i4>51</vt:i4>
      </vt:variant>
      <vt:variant>
        <vt:i4>0</vt:i4>
      </vt:variant>
      <vt:variant>
        <vt:i4>5</vt:i4>
      </vt:variant>
      <vt:variant>
        <vt:lpwstr>http://www.nevo.co.il/case/27567095</vt:lpwstr>
      </vt:variant>
      <vt:variant>
        <vt:lpwstr/>
      </vt:variant>
      <vt:variant>
        <vt:i4>3670139</vt:i4>
      </vt:variant>
      <vt:variant>
        <vt:i4>48</vt:i4>
      </vt:variant>
      <vt:variant>
        <vt:i4>0</vt:i4>
      </vt:variant>
      <vt:variant>
        <vt:i4>5</vt:i4>
      </vt:variant>
      <vt:variant>
        <vt:lpwstr>http://www.nevo.co.il/case/25824863</vt:lpwstr>
      </vt:variant>
      <vt:variant>
        <vt:lpwstr/>
      </vt:variant>
      <vt:variant>
        <vt:i4>3604604</vt:i4>
      </vt:variant>
      <vt:variant>
        <vt:i4>45</vt:i4>
      </vt:variant>
      <vt:variant>
        <vt:i4>0</vt:i4>
      </vt:variant>
      <vt:variant>
        <vt:i4>5</vt:i4>
      </vt:variant>
      <vt:variant>
        <vt:lpwstr>http://www.nevo.co.il/case/26888657</vt:lpwstr>
      </vt:variant>
      <vt:variant>
        <vt:lpwstr/>
      </vt:variant>
      <vt:variant>
        <vt:i4>3866750</vt:i4>
      </vt:variant>
      <vt:variant>
        <vt:i4>42</vt:i4>
      </vt:variant>
      <vt:variant>
        <vt:i4>0</vt:i4>
      </vt:variant>
      <vt:variant>
        <vt:i4>5</vt:i4>
      </vt:variant>
      <vt:variant>
        <vt:lpwstr>http://www.nevo.co.il/case/26747892</vt:lpwstr>
      </vt:variant>
      <vt:variant>
        <vt:lpwstr/>
      </vt:variant>
      <vt:variant>
        <vt:i4>3735670</vt:i4>
      </vt:variant>
      <vt:variant>
        <vt:i4>39</vt:i4>
      </vt:variant>
      <vt:variant>
        <vt:i4>0</vt:i4>
      </vt:variant>
      <vt:variant>
        <vt:i4>5</vt:i4>
      </vt:variant>
      <vt:variant>
        <vt:lpwstr>http://www.nevo.co.il/case/27708542</vt:lpwstr>
      </vt:variant>
      <vt:variant>
        <vt:lpwstr/>
      </vt:variant>
      <vt:variant>
        <vt:i4>3735669</vt:i4>
      </vt:variant>
      <vt:variant>
        <vt:i4>36</vt:i4>
      </vt:variant>
      <vt:variant>
        <vt:i4>0</vt:i4>
      </vt:variant>
      <vt:variant>
        <vt:i4>5</vt:i4>
      </vt:variant>
      <vt:variant>
        <vt:lpwstr>http://www.nevo.co.il/case/27567095</vt:lpwstr>
      </vt:variant>
      <vt:variant>
        <vt:lpwstr/>
      </vt:variant>
      <vt:variant>
        <vt:i4>6291559</vt:i4>
      </vt:variant>
      <vt:variant>
        <vt:i4>33</vt:i4>
      </vt:variant>
      <vt:variant>
        <vt:i4>0</vt:i4>
      </vt:variant>
      <vt:variant>
        <vt:i4>5</vt:i4>
      </vt:variant>
      <vt:variant>
        <vt:lpwstr>http://www.nevo.co.il/law/70301/25</vt:lpwstr>
      </vt:variant>
      <vt:variant>
        <vt:lpwstr/>
      </vt:variant>
      <vt:variant>
        <vt:i4>5177424</vt:i4>
      </vt:variant>
      <vt:variant>
        <vt:i4>30</vt:i4>
      </vt:variant>
      <vt:variant>
        <vt:i4>0</vt:i4>
      </vt:variant>
      <vt:variant>
        <vt:i4>5</vt:i4>
      </vt:variant>
      <vt:variant>
        <vt:lpwstr>http://www.nevo.co.il/law/70301/144.a</vt:lpwstr>
      </vt:variant>
      <vt:variant>
        <vt:lpwstr/>
      </vt:variant>
      <vt:variant>
        <vt:i4>5177424</vt:i4>
      </vt:variant>
      <vt:variant>
        <vt:i4>27</vt:i4>
      </vt:variant>
      <vt:variant>
        <vt:i4>0</vt:i4>
      </vt:variant>
      <vt:variant>
        <vt:i4>5</vt:i4>
      </vt:variant>
      <vt:variant>
        <vt:lpwstr>http://www.nevo.co.il/law/70301/144.a</vt:lpwstr>
      </vt:variant>
      <vt:variant>
        <vt:lpwstr/>
      </vt:variant>
      <vt:variant>
        <vt:i4>5177424</vt:i4>
      </vt:variant>
      <vt:variant>
        <vt:i4>24</vt:i4>
      </vt:variant>
      <vt:variant>
        <vt:i4>0</vt:i4>
      </vt:variant>
      <vt:variant>
        <vt:i4>5</vt:i4>
      </vt:variant>
      <vt:variant>
        <vt:lpwstr>http://www.nevo.co.il/law/70301/144.b</vt:lpwstr>
      </vt:variant>
      <vt:variant>
        <vt:lpwstr/>
      </vt:variant>
      <vt:variant>
        <vt:i4>5177424</vt:i4>
      </vt:variant>
      <vt:variant>
        <vt:i4>21</vt:i4>
      </vt:variant>
      <vt:variant>
        <vt:i4>0</vt:i4>
      </vt:variant>
      <vt:variant>
        <vt:i4>5</vt:i4>
      </vt:variant>
      <vt:variant>
        <vt:lpwstr>http://www.nevo.co.il/law/70301/144.b</vt:lpwstr>
      </vt:variant>
      <vt:variant>
        <vt:lpwstr/>
      </vt:variant>
      <vt:variant>
        <vt:i4>7995492</vt:i4>
      </vt:variant>
      <vt:variant>
        <vt:i4>18</vt:i4>
      </vt:variant>
      <vt:variant>
        <vt:i4>0</vt:i4>
      </vt:variant>
      <vt:variant>
        <vt:i4>5</vt:i4>
      </vt:variant>
      <vt:variant>
        <vt:lpwstr>http://www.nevo.co.il/law/70301</vt:lpwstr>
      </vt:variant>
      <vt:variant>
        <vt:lpwstr/>
      </vt:variant>
      <vt:variant>
        <vt:i4>6357112</vt:i4>
      </vt:variant>
      <vt:variant>
        <vt:i4>15</vt:i4>
      </vt:variant>
      <vt:variant>
        <vt:i4>0</vt:i4>
      </vt:variant>
      <vt:variant>
        <vt:i4>5</vt:i4>
      </vt:variant>
      <vt:variant>
        <vt:lpwstr>http://www.nevo.co.il/law/70301/340a.a</vt:lpwstr>
      </vt:variant>
      <vt:variant>
        <vt:lpwstr/>
      </vt:variant>
      <vt:variant>
        <vt:i4>6357112</vt:i4>
      </vt:variant>
      <vt:variant>
        <vt:i4>12</vt:i4>
      </vt:variant>
      <vt:variant>
        <vt:i4>0</vt:i4>
      </vt:variant>
      <vt:variant>
        <vt:i4>5</vt:i4>
      </vt:variant>
      <vt:variant>
        <vt:lpwstr>http://www.nevo.co.il/law/70301/340a.a</vt:lpwstr>
      </vt:variant>
      <vt:variant>
        <vt:lpwstr/>
      </vt:variant>
      <vt:variant>
        <vt:i4>5177424</vt:i4>
      </vt:variant>
      <vt:variant>
        <vt:i4>9</vt:i4>
      </vt:variant>
      <vt:variant>
        <vt:i4>0</vt:i4>
      </vt:variant>
      <vt:variant>
        <vt:i4>5</vt:i4>
      </vt:variant>
      <vt:variant>
        <vt:lpwstr>http://www.nevo.co.il/law/70301/144.b</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2025-01-19T16:39:00Z</dcterms:created>
  <dcterms:modified xsi:type="dcterms:W3CDTF">2025-01-19T16:39:00Z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24822</vt:lpwstr>
  </property>
  <property fmtid="{D5CDD505-2E9C-101B-9397-08002B2CF9AE}" pid="6" name="NEWPARTB">
    <vt:lpwstr>01</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מוסא עבאסי</vt:lpwstr>
  </property>
  <property fmtid="{D5CDD505-2E9C-101B-9397-08002B2CF9AE}" pid="10" name="LAWYER">
    <vt:lpwstr>מרים בן גל;בדריה עותמאן</vt:lpwstr>
  </property>
  <property fmtid="{D5CDD505-2E9C-101B-9397-08002B2CF9AE}" pid="11" name="JUDGE">
    <vt:lpwstr>אילן סלע</vt:lpwstr>
  </property>
  <property fmtid="{D5CDD505-2E9C-101B-9397-08002B2CF9AE}" pid="12" name="CITY">
    <vt:lpwstr>י-ם</vt:lpwstr>
  </property>
  <property fmtid="{D5CDD505-2E9C-101B-9397-08002B2CF9AE}" pid="13" name="DATE">
    <vt:lpwstr>20210909</vt:lpwstr>
  </property>
  <property fmtid="{D5CDD505-2E9C-101B-9397-08002B2CF9AE}" pid="14" name="TYPE_N_DATE">
    <vt:lpwstr>39020210909</vt:lpwstr>
  </property>
  <property fmtid="{D5CDD505-2E9C-101B-9397-08002B2CF9AE}" pid="15" name="WORDNUMPAGES">
    <vt:lpwstr>10</vt:lpwstr>
  </property>
  <property fmtid="{D5CDD505-2E9C-101B-9397-08002B2CF9AE}" pid="16" name="TYPE_ABS_DATE">
    <vt:lpwstr>390020210909</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27567095:2;27708542;26747892;26888657;25824863;13093721;13015506;26568495;25543800;26714559;22739459;20978035;23169485;23177651</vt:lpwstr>
  </property>
  <property fmtid="{D5CDD505-2E9C-101B-9397-08002B2CF9AE}" pid="36" name="LAWLISTTMP1">
    <vt:lpwstr>70301/340a.a;144.b:2;144.a:2;025</vt:lpwstr>
  </property>
</Properties>
</file>