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810"/>
        <w:gridCol w:w="2695"/>
      </w:tblGrid>
      <w:tr w:rsidR="007B0FCC" w:rsidRPr="00766A9A" w14:paraId="0CDB2328" w14:textId="77777777" w:rsidTr="00C136FB">
        <w:trPr>
          <w:trHeight w:hRule="exact" w:val="418"/>
          <w:jc w:val="center"/>
        </w:trPr>
        <w:tc>
          <w:tcPr>
            <w:tcW w:w="8505" w:type="dxa"/>
            <w:gridSpan w:val="2"/>
          </w:tcPr>
          <w:p w14:paraId="1883A199" w14:textId="77777777" w:rsidR="007B0FCC" w:rsidRPr="00766A9A" w:rsidRDefault="007B0FCC" w:rsidP="00C136FB">
            <w:pPr>
              <w:pStyle w:val="a3"/>
              <w:jc w:val="center"/>
              <w:rPr>
                <w:rFonts w:ascii="Tahoma" w:hAnsi="Tahoma" w:cs="Tahoma"/>
                <w:color w:val="000080"/>
                <w:rtl/>
              </w:rPr>
            </w:pPr>
            <w:bookmarkStart w:id="0" w:name="LastJudge"/>
            <w:r w:rsidRPr="00766A9A">
              <w:rPr>
                <w:rFonts w:ascii="Tahoma" w:hAnsi="Tahoma" w:cs="Tahoma"/>
                <w:b/>
                <w:bCs/>
                <w:color w:val="000080"/>
                <w:rtl/>
              </w:rPr>
              <w:t>בית המשפט המחוזי בחיפה</w:t>
            </w:r>
          </w:p>
        </w:tc>
      </w:tr>
      <w:tr w:rsidR="007B0FCC" w:rsidRPr="00766A9A" w14:paraId="2092D7AF" w14:textId="77777777" w:rsidTr="00C136FB">
        <w:trPr>
          <w:trHeight w:val="337"/>
          <w:jc w:val="center"/>
        </w:trPr>
        <w:tc>
          <w:tcPr>
            <w:tcW w:w="5810" w:type="dxa"/>
          </w:tcPr>
          <w:p w14:paraId="4DE06E54" w14:textId="77777777" w:rsidR="007B0FCC" w:rsidRPr="00766A9A" w:rsidRDefault="007B0FCC" w:rsidP="00C136FB">
            <w:pPr>
              <w:rPr>
                <w:rFonts w:cs="FrankRuehl"/>
                <w:sz w:val="28"/>
                <w:szCs w:val="28"/>
                <w:rtl/>
              </w:rPr>
            </w:pPr>
            <w:r w:rsidRPr="00766A9A">
              <w:rPr>
                <w:b/>
                <w:bCs/>
                <w:sz w:val="26"/>
                <w:szCs w:val="26"/>
                <w:rtl/>
              </w:rPr>
              <w:t>ת"פ</w:t>
            </w:r>
            <w:r w:rsidRPr="00766A9A">
              <w:rPr>
                <w:rFonts w:hint="cs"/>
                <w:b/>
                <w:bCs/>
                <w:sz w:val="30"/>
                <w:szCs w:val="30"/>
                <w:rtl/>
              </w:rPr>
              <w:t xml:space="preserve"> </w:t>
            </w:r>
            <w:r w:rsidRPr="00766A9A">
              <w:rPr>
                <w:b/>
                <w:bCs/>
                <w:sz w:val="26"/>
                <w:szCs w:val="26"/>
                <w:rtl/>
              </w:rPr>
              <w:t>41600-02-21</w:t>
            </w:r>
            <w:r w:rsidRPr="00766A9A">
              <w:rPr>
                <w:rFonts w:hint="cs"/>
                <w:b/>
                <w:bCs/>
                <w:sz w:val="30"/>
                <w:szCs w:val="30"/>
                <w:rtl/>
              </w:rPr>
              <w:t xml:space="preserve"> </w:t>
            </w:r>
            <w:r w:rsidRPr="00766A9A">
              <w:rPr>
                <w:b/>
                <w:bCs/>
                <w:sz w:val="26"/>
                <w:szCs w:val="26"/>
                <w:rtl/>
              </w:rPr>
              <w:t>מדינת ישראל נ' מחאמיד</w:t>
            </w:r>
            <w:r w:rsidRPr="00766A9A">
              <w:rPr>
                <w:rFonts w:hint="cs"/>
                <w:b/>
                <w:bCs/>
                <w:sz w:val="26"/>
                <w:szCs w:val="26"/>
                <w:rtl/>
              </w:rPr>
              <w:t xml:space="preserve"> </w:t>
            </w:r>
            <w:r w:rsidRPr="00766A9A">
              <w:rPr>
                <w:b/>
                <w:bCs/>
                <w:sz w:val="26"/>
                <w:szCs w:val="26"/>
                <w:rtl/>
              </w:rPr>
              <w:t>(עציר)</w:t>
            </w:r>
          </w:p>
        </w:tc>
        <w:tc>
          <w:tcPr>
            <w:tcW w:w="2695" w:type="dxa"/>
          </w:tcPr>
          <w:p w14:paraId="35F55A38" w14:textId="77777777" w:rsidR="007B0FCC" w:rsidRPr="00766A9A" w:rsidRDefault="007B0FCC" w:rsidP="00C136FB">
            <w:pPr>
              <w:pStyle w:val="a3"/>
              <w:jc w:val="right"/>
              <w:rPr>
                <w:rFonts w:cs="FrankRuehl"/>
                <w:sz w:val="28"/>
                <w:szCs w:val="28"/>
                <w:rtl/>
              </w:rPr>
            </w:pPr>
          </w:p>
        </w:tc>
      </w:tr>
    </w:tbl>
    <w:p w14:paraId="3C691709" w14:textId="77777777" w:rsidR="007B0FCC" w:rsidRPr="00766A9A" w:rsidRDefault="007B0FCC" w:rsidP="007B0FCC">
      <w:pPr>
        <w:pStyle w:val="a3"/>
        <w:rPr>
          <w:rtl/>
        </w:rPr>
      </w:pPr>
      <w:r w:rsidRPr="00766A9A">
        <w:rPr>
          <w:rFonts w:hint="cs"/>
          <w:rtl/>
        </w:rPr>
        <w:t xml:space="preserve"> </w:t>
      </w:r>
    </w:p>
    <w:p w14:paraId="26A59288" w14:textId="77777777" w:rsidR="007B0FCC" w:rsidRPr="00766A9A" w:rsidRDefault="007B0FCC" w:rsidP="007B0FCC">
      <w:pPr>
        <w:rPr>
          <w:sz w:val="26"/>
          <w:szCs w:val="26"/>
          <w:rtl/>
        </w:rPr>
      </w:pPr>
    </w:p>
    <w:p w14:paraId="38F33237" w14:textId="77777777" w:rsidR="007B0FCC" w:rsidRPr="00766A9A" w:rsidRDefault="007B0FCC" w:rsidP="007B0FCC">
      <w:pPr>
        <w:rPr>
          <w:sz w:val="26"/>
          <w:szCs w:val="26"/>
          <w:rtl/>
        </w:rPr>
      </w:pPr>
    </w:p>
    <w:tbl>
      <w:tblPr>
        <w:bidiVisual/>
        <w:tblW w:w="8802" w:type="dxa"/>
        <w:tblInd w:w="-28" w:type="dxa"/>
        <w:tblLook w:val="01E0" w:firstRow="1" w:lastRow="1" w:firstColumn="1" w:lastColumn="1" w:noHBand="0" w:noVBand="0"/>
      </w:tblPr>
      <w:tblGrid>
        <w:gridCol w:w="2880"/>
        <w:gridCol w:w="5838"/>
        <w:gridCol w:w="84"/>
      </w:tblGrid>
      <w:tr w:rsidR="007B0FCC" w:rsidRPr="00766A9A" w14:paraId="22195E1D" w14:textId="77777777" w:rsidTr="007B0FCC">
        <w:trPr>
          <w:gridAfter w:val="1"/>
          <w:wAfter w:w="56" w:type="dxa"/>
        </w:trPr>
        <w:tc>
          <w:tcPr>
            <w:tcW w:w="8718" w:type="dxa"/>
            <w:gridSpan w:val="2"/>
            <w:shd w:val="clear" w:color="auto" w:fill="auto"/>
          </w:tcPr>
          <w:p w14:paraId="64DA3468" w14:textId="77777777" w:rsidR="007B0FCC" w:rsidRPr="00766A9A" w:rsidRDefault="007B0FCC" w:rsidP="00C136FB">
            <w:pPr>
              <w:rPr>
                <w:b/>
                <w:bCs/>
                <w:sz w:val="26"/>
                <w:szCs w:val="26"/>
                <w:rtl/>
              </w:rPr>
            </w:pPr>
            <w:r w:rsidRPr="00766A9A">
              <w:rPr>
                <w:rFonts w:hint="cs"/>
                <w:b/>
                <w:bCs/>
                <w:sz w:val="26"/>
                <w:szCs w:val="26"/>
                <w:rtl/>
              </w:rPr>
              <w:t>לפני כבוד ה</w:t>
            </w:r>
            <w:r w:rsidRPr="00766A9A">
              <w:rPr>
                <w:b/>
                <w:bCs/>
                <w:sz w:val="26"/>
                <w:szCs w:val="26"/>
                <w:rtl/>
              </w:rPr>
              <w:t>שופט אבי לוי</w:t>
            </w:r>
            <w:r w:rsidRPr="00766A9A">
              <w:rPr>
                <w:rStyle w:val="TimesNewRomanTimesNewRoman"/>
                <w:rtl/>
              </w:rPr>
              <w:t xml:space="preserve"> </w:t>
            </w:r>
          </w:p>
        </w:tc>
      </w:tr>
      <w:tr w:rsidR="007B0FCC" w:rsidRPr="00766A9A" w14:paraId="5535BA2E" w14:textId="77777777" w:rsidTr="007B0FCC">
        <w:trPr>
          <w:cantSplit/>
          <w:trHeight w:val="110"/>
        </w:trPr>
        <w:tc>
          <w:tcPr>
            <w:tcW w:w="2880" w:type="dxa"/>
            <w:shd w:val="clear" w:color="auto" w:fill="auto"/>
          </w:tcPr>
          <w:p w14:paraId="423C3A54" w14:textId="77777777" w:rsidR="007B0FCC" w:rsidRPr="00766A9A" w:rsidRDefault="007B0FCC" w:rsidP="007B0FCC">
            <w:pPr>
              <w:ind w:left="26"/>
              <w:rPr>
                <w:b/>
                <w:bCs/>
                <w:sz w:val="26"/>
                <w:szCs w:val="26"/>
                <w:rtl/>
              </w:rPr>
            </w:pPr>
            <w:bookmarkStart w:id="1" w:name="FirstAppellant"/>
          </w:p>
          <w:p w14:paraId="1B968069" w14:textId="77777777" w:rsidR="007B0FCC" w:rsidRPr="00766A9A" w:rsidRDefault="007B0FCC" w:rsidP="007B0FCC">
            <w:pPr>
              <w:ind w:left="26"/>
              <w:rPr>
                <w:b/>
                <w:bCs/>
                <w:sz w:val="26"/>
                <w:szCs w:val="26"/>
                <w:rtl/>
              </w:rPr>
            </w:pPr>
            <w:r w:rsidRPr="00766A9A">
              <w:rPr>
                <w:rFonts w:hint="cs"/>
                <w:b/>
                <w:bCs/>
                <w:sz w:val="26"/>
                <w:szCs w:val="26"/>
                <w:rtl/>
              </w:rPr>
              <w:t>ה</w:t>
            </w:r>
            <w:r w:rsidRPr="00766A9A">
              <w:rPr>
                <w:b/>
                <w:bCs/>
                <w:sz w:val="26"/>
                <w:szCs w:val="26"/>
                <w:rtl/>
              </w:rPr>
              <w:t>מאשימה</w:t>
            </w:r>
          </w:p>
        </w:tc>
        <w:tc>
          <w:tcPr>
            <w:tcW w:w="5922" w:type="dxa"/>
            <w:gridSpan w:val="2"/>
            <w:shd w:val="clear" w:color="auto" w:fill="auto"/>
          </w:tcPr>
          <w:p w14:paraId="77C8F217" w14:textId="77777777" w:rsidR="007B0FCC" w:rsidRPr="00766A9A" w:rsidRDefault="007B0FCC" w:rsidP="00C136FB">
            <w:pPr>
              <w:rPr>
                <w:rFonts w:cs="Times New Roman"/>
                <w:rtl/>
              </w:rPr>
            </w:pPr>
          </w:p>
          <w:p w14:paraId="72FC542A" w14:textId="77777777" w:rsidR="007B0FCC" w:rsidRPr="00766A9A" w:rsidRDefault="007B0FCC" w:rsidP="00C136FB">
            <w:pPr>
              <w:rPr>
                <w:b/>
                <w:bCs/>
                <w:sz w:val="26"/>
                <w:szCs w:val="26"/>
                <w:rtl/>
              </w:rPr>
            </w:pPr>
            <w:r w:rsidRPr="00766A9A">
              <w:rPr>
                <w:b/>
                <w:bCs/>
                <w:sz w:val="26"/>
                <w:szCs w:val="26"/>
                <w:rtl/>
              </w:rPr>
              <w:t>מדינ</w:t>
            </w:r>
            <w:r w:rsidRPr="00766A9A">
              <w:rPr>
                <w:rFonts w:hint="cs"/>
                <w:b/>
                <w:bCs/>
                <w:sz w:val="26"/>
                <w:szCs w:val="26"/>
                <w:rtl/>
              </w:rPr>
              <w:t>ת</w:t>
            </w:r>
            <w:r w:rsidRPr="00766A9A">
              <w:rPr>
                <w:b/>
                <w:bCs/>
                <w:sz w:val="26"/>
                <w:szCs w:val="26"/>
                <w:rtl/>
              </w:rPr>
              <w:t xml:space="preserve"> ישראל</w:t>
            </w:r>
          </w:p>
        </w:tc>
      </w:tr>
      <w:bookmarkEnd w:id="1"/>
      <w:tr w:rsidR="007B0FCC" w:rsidRPr="00766A9A" w14:paraId="3A588B71" w14:textId="77777777" w:rsidTr="007B0FCC">
        <w:tc>
          <w:tcPr>
            <w:tcW w:w="8802" w:type="dxa"/>
            <w:gridSpan w:val="3"/>
            <w:shd w:val="clear" w:color="auto" w:fill="auto"/>
            <w:vAlign w:val="center"/>
          </w:tcPr>
          <w:p w14:paraId="09345859" w14:textId="77777777" w:rsidR="007B0FCC" w:rsidRPr="00766A9A" w:rsidRDefault="007B0FCC" w:rsidP="007B0FCC">
            <w:pPr>
              <w:jc w:val="center"/>
              <w:rPr>
                <w:rFonts w:ascii="Arial" w:hAnsi="Arial"/>
                <w:b/>
                <w:bCs/>
                <w:sz w:val="26"/>
                <w:szCs w:val="26"/>
                <w:rtl/>
              </w:rPr>
            </w:pPr>
          </w:p>
          <w:p w14:paraId="382DF572" w14:textId="77777777" w:rsidR="007B0FCC" w:rsidRPr="00766A9A" w:rsidRDefault="007B0FCC" w:rsidP="007B0FCC">
            <w:pPr>
              <w:jc w:val="center"/>
              <w:rPr>
                <w:rFonts w:ascii="Arial" w:hAnsi="Arial"/>
                <w:b/>
                <w:bCs/>
                <w:sz w:val="26"/>
                <w:szCs w:val="26"/>
                <w:rtl/>
              </w:rPr>
            </w:pPr>
            <w:r w:rsidRPr="00766A9A">
              <w:rPr>
                <w:rFonts w:ascii="Arial" w:hAnsi="Arial" w:hint="cs"/>
                <w:b/>
                <w:bCs/>
                <w:sz w:val="26"/>
                <w:szCs w:val="26"/>
                <w:rtl/>
              </w:rPr>
              <w:t>נגד</w:t>
            </w:r>
          </w:p>
          <w:p w14:paraId="562DE935" w14:textId="77777777" w:rsidR="007B0FCC" w:rsidRPr="00766A9A" w:rsidRDefault="007B0FCC" w:rsidP="00C136FB">
            <w:pPr>
              <w:rPr>
                <w:rFonts w:ascii="Arial" w:hAnsi="Arial"/>
                <w:b/>
                <w:bCs/>
                <w:sz w:val="26"/>
                <w:szCs w:val="26"/>
                <w:rtl/>
              </w:rPr>
            </w:pPr>
          </w:p>
        </w:tc>
      </w:tr>
      <w:tr w:rsidR="007B0FCC" w:rsidRPr="00766A9A" w14:paraId="4910863A" w14:textId="77777777" w:rsidTr="007B0FCC">
        <w:tc>
          <w:tcPr>
            <w:tcW w:w="2880" w:type="dxa"/>
            <w:shd w:val="clear" w:color="auto" w:fill="auto"/>
          </w:tcPr>
          <w:p w14:paraId="71EA4B2F" w14:textId="77777777" w:rsidR="007B0FCC" w:rsidRPr="00766A9A" w:rsidRDefault="007B0FCC" w:rsidP="007B0FCC">
            <w:pPr>
              <w:ind w:left="26"/>
              <w:rPr>
                <w:b/>
                <w:bCs/>
                <w:sz w:val="26"/>
                <w:szCs w:val="26"/>
              </w:rPr>
            </w:pPr>
            <w:r w:rsidRPr="00766A9A">
              <w:rPr>
                <w:rFonts w:hint="cs"/>
                <w:b/>
                <w:bCs/>
                <w:sz w:val="26"/>
                <w:szCs w:val="26"/>
                <w:rtl/>
              </w:rPr>
              <w:t>ה</w:t>
            </w:r>
            <w:r w:rsidRPr="00766A9A">
              <w:rPr>
                <w:b/>
                <w:bCs/>
                <w:sz w:val="26"/>
                <w:szCs w:val="26"/>
                <w:rtl/>
              </w:rPr>
              <w:t>נאשם</w:t>
            </w:r>
          </w:p>
        </w:tc>
        <w:tc>
          <w:tcPr>
            <w:tcW w:w="5922" w:type="dxa"/>
            <w:gridSpan w:val="2"/>
            <w:shd w:val="clear" w:color="auto" w:fill="auto"/>
          </w:tcPr>
          <w:p w14:paraId="445341CF" w14:textId="77777777" w:rsidR="007B0FCC" w:rsidRPr="00766A9A" w:rsidRDefault="007B0FCC" w:rsidP="00C136FB">
            <w:pPr>
              <w:rPr>
                <w:b/>
                <w:bCs/>
                <w:sz w:val="26"/>
                <w:szCs w:val="26"/>
                <w:rtl/>
              </w:rPr>
            </w:pPr>
            <w:r w:rsidRPr="00766A9A">
              <w:rPr>
                <w:rtl/>
              </w:rPr>
              <w:t xml:space="preserve"> </w:t>
            </w:r>
            <w:r w:rsidRPr="00766A9A">
              <w:rPr>
                <w:b/>
                <w:bCs/>
                <w:sz w:val="26"/>
                <w:szCs w:val="26"/>
                <w:rtl/>
              </w:rPr>
              <w:t>קוסאי מחאמיד</w:t>
            </w:r>
            <w:r w:rsidRPr="00766A9A">
              <w:rPr>
                <w:rFonts w:hint="cs"/>
                <w:b/>
                <w:bCs/>
                <w:sz w:val="26"/>
                <w:szCs w:val="26"/>
                <w:rtl/>
              </w:rPr>
              <w:t xml:space="preserve">, </w:t>
            </w:r>
            <w:r w:rsidRPr="00766A9A">
              <w:rPr>
                <w:b/>
                <w:bCs/>
                <w:sz w:val="26"/>
                <w:szCs w:val="26"/>
                <w:rtl/>
              </w:rPr>
              <w:t>ת"ז</w:t>
            </w:r>
            <w:r w:rsidRPr="00766A9A">
              <w:rPr>
                <w:rFonts w:hint="cs"/>
                <w:b/>
                <w:bCs/>
                <w:sz w:val="26"/>
                <w:szCs w:val="26"/>
                <w:rtl/>
              </w:rPr>
              <w:t xml:space="preserve"> </w:t>
            </w:r>
            <w:r w:rsidR="00766A9A">
              <w:rPr>
                <w:b/>
                <w:bCs/>
                <w:sz w:val="26"/>
                <w:szCs w:val="26"/>
              </w:rPr>
              <w:t>xxxxxxxxxx</w:t>
            </w:r>
            <w:r w:rsidRPr="00766A9A">
              <w:rPr>
                <w:rFonts w:hint="cs"/>
                <w:b/>
                <w:bCs/>
                <w:sz w:val="26"/>
                <w:szCs w:val="26"/>
                <w:rtl/>
              </w:rPr>
              <w:t>(עציר)</w:t>
            </w:r>
          </w:p>
        </w:tc>
      </w:tr>
    </w:tbl>
    <w:p w14:paraId="19FA4BB8" w14:textId="77777777" w:rsidR="005F4DE5" w:rsidRDefault="005F4DE5" w:rsidP="007B0FCC">
      <w:pPr>
        <w:rPr>
          <w:sz w:val="26"/>
          <w:szCs w:val="26"/>
          <w:rtl/>
        </w:rPr>
      </w:pPr>
    </w:p>
    <w:p w14:paraId="323793DB" w14:textId="77777777" w:rsidR="005F4DE5" w:rsidRPr="005F4DE5" w:rsidRDefault="005F4DE5" w:rsidP="005F4DE5">
      <w:pPr>
        <w:spacing w:after="120" w:line="240" w:lineRule="exact"/>
        <w:ind w:left="283" w:hanging="283"/>
        <w:jc w:val="both"/>
        <w:rPr>
          <w:rFonts w:ascii="FrankRuehl" w:hAnsi="FrankRuehl" w:cs="FrankRuehl"/>
          <w:rtl/>
        </w:rPr>
      </w:pPr>
    </w:p>
    <w:p w14:paraId="19301360" w14:textId="77777777" w:rsidR="00B20A62" w:rsidRDefault="00B20A62" w:rsidP="00B20A62">
      <w:pPr>
        <w:rPr>
          <w:rFonts w:ascii="David" w:hAnsi="David"/>
          <w:sz w:val="26"/>
          <w:szCs w:val="26"/>
          <w:rtl/>
        </w:rPr>
      </w:pPr>
      <w:bookmarkStart w:id="2" w:name="LawTable"/>
      <w:bookmarkEnd w:id="2"/>
    </w:p>
    <w:p w14:paraId="6464030B" w14:textId="77777777" w:rsidR="00B20A62" w:rsidRPr="00B20A62" w:rsidRDefault="00B20A62" w:rsidP="00B20A62">
      <w:pPr>
        <w:spacing w:before="120" w:after="120" w:line="240" w:lineRule="exact"/>
        <w:ind w:left="283" w:hanging="283"/>
        <w:jc w:val="both"/>
        <w:rPr>
          <w:rFonts w:ascii="FrankRuehl" w:hAnsi="FrankRuehl" w:cs="FrankRuehl"/>
          <w:rtl/>
        </w:rPr>
      </w:pPr>
    </w:p>
    <w:p w14:paraId="6BD5AD89" w14:textId="77777777" w:rsidR="00B20A62" w:rsidRPr="00B20A62" w:rsidRDefault="00B20A62" w:rsidP="00B20A62">
      <w:pPr>
        <w:spacing w:before="120" w:after="120" w:line="240" w:lineRule="exact"/>
        <w:ind w:left="283" w:hanging="283"/>
        <w:jc w:val="both"/>
        <w:rPr>
          <w:rFonts w:ascii="FrankRuehl" w:hAnsi="FrankRuehl" w:cs="FrankRuehl"/>
          <w:rtl/>
        </w:rPr>
      </w:pPr>
    </w:p>
    <w:p w14:paraId="7F6F5A3A" w14:textId="77777777" w:rsidR="00B20A62" w:rsidRPr="00B20A62" w:rsidRDefault="00B20A62" w:rsidP="00B20A62">
      <w:pPr>
        <w:spacing w:before="120" w:after="120" w:line="240" w:lineRule="exact"/>
        <w:ind w:left="283" w:hanging="283"/>
        <w:jc w:val="both"/>
        <w:rPr>
          <w:rFonts w:ascii="FrankRuehl" w:hAnsi="FrankRuehl" w:cs="FrankRuehl"/>
          <w:rtl/>
        </w:rPr>
      </w:pPr>
      <w:r w:rsidRPr="00B20A62">
        <w:rPr>
          <w:rFonts w:ascii="FrankRuehl" w:hAnsi="FrankRuehl" w:cs="FrankRuehl"/>
          <w:rtl/>
        </w:rPr>
        <w:t xml:space="preserve">חקיקה שאוזכרה: </w:t>
      </w:r>
    </w:p>
    <w:p w14:paraId="6DE54DD7" w14:textId="77777777" w:rsidR="00B20A62" w:rsidRPr="00B20A62" w:rsidRDefault="00B20A62" w:rsidP="00B20A62">
      <w:pPr>
        <w:spacing w:before="120" w:after="120" w:line="240" w:lineRule="exact"/>
        <w:ind w:left="283" w:hanging="283"/>
        <w:jc w:val="both"/>
        <w:rPr>
          <w:rFonts w:ascii="FrankRuehl" w:hAnsi="FrankRuehl" w:cs="FrankRuehl"/>
          <w:rtl/>
        </w:rPr>
      </w:pPr>
      <w:hyperlink r:id="rId6" w:history="1">
        <w:r w:rsidRPr="00B20A62">
          <w:rPr>
            <w:rFonts w:ascii="FrankRuehl" w:hAnsi="FrankRuehl" w:cs="FrankRuehl"/>
            <w:color w:val="0000FF"/>
            <w:rtl/>
          </w:rPr>
          <w:t>חוק העונשין, תשל"ז-1977</w:t>
        </w:r>
      </w:hyperlink>
      <w:r w:rsidRPr="00B20A62">
        <w:rPr>
          <w:rFonts w:ascii="FrankRuehl" w:hAnsi="FrankRuehl" w:cs="FrankRuehl"/>
          <w:rtl/>
        </w:rPr>
        <w:t xml:space="preserve">: סע'  </w:t>
      </w:r>
      <w:hyperlink r:id="rId7" w:history="1">
        <w:r w:rsidRPr="00B20A62">
          <w:rPr>
            <w:rFonts w:ascii="FrankRuehl" w:hAnsi="FrankRuehl" w:cs="FrankRuehl"/>
            <w:color w:val="0000FF"/>
            <w:rtl/>
          </w:rPr>
          <w:t>25</w:t>
        </w:r>
      </w:hyperlink>
      <w:r w:rsidRPr="00B20A62">
        <w:rPr>
          <w:rFonts w:ascii="FrankRuehl" w:hAnsi="FrankRuehl" w:cs="FrankRuehl"/>
          <w:rtl/>
        </w:rPr>
        <w:t xml:space="preserve">, </w:t>
      </w:r>
      <w:hyperlink r:id="rId8" w:history="1">
        <w:r w:rsidRPr="00B20A62">
          <w:rPr>
            <w:rFonts w:ascii="FrankRuehl" w:hAnsi="FrankRuehl" w:cs="FrankRuehl"/>
            <w:color w:val="0000FF"/>
            <w:rtl/>
          </w:rPr>
          <w:t>40ט</w:t>
        </w:r>
      </w:hyperlink>
      <w:r w:rsidRPr="00B20A62">
        <w:rPr>
          <w:rFonts w:ascii="FrankRuehl" w:hAnsi="FrankRuehl" w:cs="FrankRuehl"/>
          <w:rtl/>
        </w:rPr>
        <w:t xml:space="preserve">, </w:t>
      </w:r>
      <w:hyperlink r:id="rId9" w:history="1">
        <w:r w:rsidRPr="00B20A62">
          <w:rPr>
            <w:rFonts w:ascii="FrankRuehl" w:hAnsi="FrankRuehl" w:cs="FrankRuehl"/>
            <w:color w:val="0000FF"/>
            <w:rtl/>
          </w:rPr>
          <w:t>144(א)</w:t>
        </w:r>
      </w:hyperlink>
      <w:r w:rsidRPr="00B20A62">
        <w:rPr>
          <w:rFonts w:ascii="FrankRuehl" w:hAnsi="FrankRuehl" w:cs="FrankRuehl"/>
          <w:rtl/>
        </w:rPr>
        <w:t xml:space="preserve">, </w:t>
      </w:r>
      <w:hyperlink r:id="rId10" w:history="1">
        <w:r w:rsidRPr="00B20A62">
          <w:rPr>
            <w:rFonts w:ascii="FrankRuehl" w:hAnsi="FrankRuehl" w:cs="FrankRuehl"/>
            <w:color w:val="0000FF"/>
            <w:rtl/>
          </w:rPr>
          <w:t>144(ב)</w:t>
        </w:r>
      </w:hyperlink>
      <w:r w:rsidRPr="00B20A62">
        <w:rPr>
          <w:rFonts w:ascii="FrankRuehl" w:hAnsi="FrankRuehl" w:cs="FrankRuehl"/>
          <w:rtl/>
        </w:rPr>
        <w:t xml:space="preserve">, </w:t>
      </w:r>
      <w:hyperlink r:id="rId11" w:history="1">
        <w:r w:rsidRPr="00B20A62">
          <w:rPr>
            <w:rFonts w:ascii="FrankRuehl" w:hAnsi="FrankRuehl" w:cs="FrankRuehl"/>
            <w:color w:val="0000FF"/>
            <w:rtl/>
          </w:rPr>
          <w:t>192</w:t>
        </w:r>
      </w:hyperlink>
      <w:r w:rsidRPr="00B20A62">
        <w:rPr>
          <w:rFonts w:ascii="FrankRuehl" w:hAnsi="FrankRuehl" w:cs="FrankRuehl"/>
          <w:rtl/>
        </w:rPr>
        <w:t xml:space="preserve">, </w:t>
      </w:r>
      <w:hyperlink r:id="rId12" w:history="1">
        <w:r w:rsidRPr="00B20A62">
          <w:rPr>
            <w:rFonts w:ascii="FrankRuehl" w:hAnsi="FrankRuehl" w:cs="FrankRuehl"/>
            <w:color w:val="0000FF"/>
            <w:rtl/>
          </w:rPr>
          <w:t>333</w:t>
        </w:r>
      </w:hyperlink>
      <w:r w:rsidRPr="00B20A62">
        <w:rPr>
          <w:rFonts w:ascii="FrankRuehl" w:hAnsi="FrankRuehl" w:cs="FrankRuehl"/>
          <w:rtl/>
        </w:rPr>
        <w:t xml:space="preserve">, </w:t>
      </w:r>
      <w:hyperlink r:id="rId13" w:history="1">
        <w:r w:rsidRPr="00B20A62">
          <w:rPr>
            <w:rFonts w:ascii="FrankRuehl" w:hAnsi="FrankRuehl" w:cs="FrankRuehl"/>
            <w:color w:val="0000FF"/>
            <w:rtl/>
          </w:rPr>
          <w:t>335(א)(1)</w:t>
        </w:r>
      </w:hyperlink>
      <w:r w:rsidRPr="00B20A62">
        <w:rPr>
          <w:rFonts w:ascii="FrankRuehl" w:hAnsi="FrankRuehl" w:cs="FrankRuehl"/>
          <w:rtl/>
        </w:rPr>
        <w:t xml:space="preserve">, </w:t>
      </w:r>
      <w:hyperlink r:id="rId14" w:history="1">
        <w:r w:rsidRPr="00B20A62">
          <w:rPr>
            <w:rFonts w:ascii="FrankRuehl" w:hAnsi="FrankRuehl" w:cs="FrankRuehl"/>
            <w:color w:val="0000FF"/>
            <w:rtl/>
          </w:rPr>
          <w:t>40יא</w:t>
        </w:r>
      </w:hyperlink>
      <w:r w:rsidRPr="00B20A62">
        <w:rPr>
          <w:rFonts w:ascii="FrankRuehl" w:hAnsi="FrankRuehl" w:cs="FrankRuehl"/>
          <w:rtl/>
        </w:rPr>
        <w:t xml:space="preserve">, </w:t>
      </w:r>
      <w:hyperlink r:id="rId15" w:history="1">
        <w:r w:rsidRPr="00B20A62">
          <w:rPr>
            <w:rFonts w:ascii="FrankRuehl" w:hAnsi="FrankRuehl" w:cs="FrankRuehl"/>
            <w:color w:val="0000FF"/>
            <w:rtl/>
          </w:rPr>
          <w:t>40יג(א)</w:t>
        </w:r>
      </w:hyperlink>
      <w:r w:rsidRPr="00B20A62">
        <w:rPr>
          <w:rFonts w:ascii="FrankRuehl" w:hAnsi="FrankRuehl" w:cs="FrankRuehl"/>
          <w:rtl/>
        </w:rPr>
        <w:t xml:space="preserve">, </w:t>
      </w:r>
      <w:hyperlink r:id="rId16" w:history="1">
        <w:r w:rsidRPr="00B20A62">
          <w:rPr>
            <w:rFonts w:ascii="FrankRuehl" w:hAnsi="FrankRuehl" w:cs="FrankRuehl"/>
            <w:color w:val="0000FF"/>
            <w:rtl/>
          </w:rPr>
          <w:t>413ה</w:t>
        </w:r>
      </w:hyperlink>
      <w:r w:rsidRPr="00B20A62">
        <w:rPr>
          <w:rFonts w:ascii="FrankRuehl" w:hAnsi="FrankRuehl" w:cs="FrankRuehl"/>
          <w:rtl/>
        </w:rPr>
        <w:t xml:space="preserve">, </w:t>
      </w:r>
      <w:hyperlink r:id="rId17" w:history="1">
        <w:r w:rsidRPr="00B20A62">
          <w:rPr>
            <w:rFonts w:ascii="FrankRuehl" w:hAnsi="FrankRuehl" w:cs="FrankRuehl"/>
            <w:color w:val="0000FF"/>
            <w:rtl/>
          </w:rPr>
          <w:t>א'1 בפרק ו'</w:t>
        </w:r>
      </w:hyperlink>
    </w:p>
    <w:p w14:paraId="10E82B2B" w14:textId="77777777" w:rsidR="00B20A62" w:rsidRPr="00B20A62" w:rsidRDefault="00B20A62" w:rsidP="00B20A62">
      <w:pPr>
        <w:spacing w:before="120" w:after="120" w:line="240" w:lineRule="exact"/>
        <w:ind w:left="283" w:hanging="283"/>
        <w:jc w:val="both"/>
        <w:rPr>
          <w:rFonts w:ascii="FrankRuehl" w:hAnsi="FrankRuehl" w:cs="FrankRuehl"/>
          <w:rtl/>
        </w:rPr>
      </w:pPr>
      <w:hyperlink r:id="rId18" w:history="1">
        <w:r w:rsidRPr="00B20A62">
          <w:rPr>
            <w:rFonts w:ascii="FrankRuehl" w:hAnsi="FrankRuehl" w:cs="FrankRuehl"/>
            <w:color w:val="0000FF"/>
            <w:rtl/>
          </w:rPr>
          <w:t>פקודת התעבורה [נוסח חדש]</w:t>
        </w:r>
      </w:hyperlink>
      <w:r w:rsidRPr="00B20A62">
        <w:rPr>
          <w:rFonts w:ascii="FrankRuehl" w:hAnsi="FrankRuehl" w:cs="FrankRuehl"/>
          <w:rtl/>
        </w:rPr>
        <w:t xml:space="preserve">: סע'  </w:t>
      </w:r>
      <w:hyperlink r:id="rId19" w:history="1">
        <w:r w:rsidRPr="00B20A62">
          <w:rPr>
            <w:rFonts w:ascii="FrankRuehl" w:hAnsi="FrankRuehl" w:cs="FrankRuehl"/>
            <w:color w:val="0000FF"/>
            <w:rtl/>
          </w:rPr>
          <w:t>43</w:t>
        </w:r>
      </w:hyperlink>
    </w:p>
    <w:p w14:paraId="35CCC00D" w14:textId="77777777" w:rsidR="00B20A62" w:rsidRPr="00B20A62" w:rsidRDefault="00B20A62" w:rsidP="00B20A62">
      <w:pPr>
        <w:rPr>
          <w:rFonts w:ascii="David" w:hAnsi="David"/>
          <w:sz w:val="26"/>
          <w:szCs w:val="26"/>
          <w:rtl/>
        </w:rPr>
      </w:pPr>
      <w:bookmarkStart w:id="3" w:name="LawTable_End"/>
      <w:bookmarkEnd w:id="3"/>
    </w:p>
    <w:p w14:paraId="0AF08BBE" w14:textId="77777777" w:rsidR="007B0FCC" w:rsidRPr="00766A9A" w:rsidRDefault="007B0FCC" w:rsidP="007B0FCC">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B0FCC" w14:paraId="7119082E" w14:textId="77777777" w:rsidTr="007B0FCC">
        <w:trPr>
          <w:trHeight w:val="355"/>
          <w:jc w:val="center"/>
        </w:trPr>
        <w:tc>
          <w:tcPr>
            <w:tcW w:w="8820" w:type="dxa"/>
            <w:tcBorders>
              <w:top w:val="nil"/>
              <w:left w:val="nil"/>
              <w:bottom w:val="nil"/>
              <w:right w:val="nil"/>
            </w:tcBorders>
            <w:shd w:val="clear" w:color="auto" w:fill="auto"/>
          </w:tcPr>
          <w:p w14:paraId="492DA368" w14:textId="77777777" w:rsidR="00766A9A" w:rsidRPr="00766A9A" w:rsidRDefault="00766A9A" w:rsidP="00766A9A">
            <w:pPr>
              <w:jc w:val="center"/>
              <w:rPr>
                <w:rFonts w:ascii="David" w:hAnsi="David"/>
                <w:b/>
                <w:bCs/>
                <w:sz w:val="28"/>
                <w:szCs w:val="28"/>
                <w:u w:val="single"/>
                <w:rtl/>
              </w:rPr>
            </w:pPr>
            <w:bookmarkStart w:id="4" w:name="PsakDin" w:colFirst="0" w:colLast="0"/>
            <w:bookmarkEnd w:id="0"/>
            <w:r w:rsidRPr="00766A9A">
              <w:rPr>
                <w:rFonts w:ascii="David" w:hAnsi="David"/>
                <w:b/>
                <w:bCs/>
                <w:sz w:val="28"/>
                <w:szCs w:val="28"/>
                <w:u w:val="single"/>
                <w:rtl/>
              </w:rPr>
              <w:t>גזר דין</w:t>
            </w:r>
          </w:p>
          <w:p w14:paraId="76E2AD23" w14:textId="77777777" w:rsidR="007B0FCC" w:rsidRPr="00766A9A" w:rsidRDefault="007B0FCC" w:rsidP="00766A9A">
            <w:pPr>
              <w:jc w:val="center"/>
              <w:rPr>
                <w:rFonts w:ascii="David" w:hAnsi="David"/>
                <w:bCs/>
                <w:sz w:val="28"/>
                <w:szCs w:val="28"/>
                <w:u w:val="single"/>
                <w:rtl/>
              </w:rPr>
            </w:pPr>
          </w:p>
        </w:tc>
      </w:tr>
      <w:bookmarkEnd w:id="4"/>
    </w:tbl>
    <w:p w14:paraId="685BBF46" w14:textId="77777777" w:rsidR="007B0FCC" w:rsidRPr="002B7D23" w:rsidRDefault="007B0FCC" w:rsidP="007B0FCC">
      <w:pPr>
        <w:rPr>
          <w:rFonts w:ascii="David" w:hAnsi="David"/>
          <w:sz w:val="26"/>
          <w:szCs w:val="26"/>
          <w:rtl/>
        </w:rPr>
      </w:pPr>
    </w:p>
    <w:p w14:paraId="22C5D64B" w14:textId="77777777" w:rsidR="007B0FCC" w:rsidRDefault="007B0FCC" w:rsidP="007B0FCC">
      <w:pPr>
        <w:spacing w:line="360" w:lineRule="auto"/>
        <w:jc w:val="both"/>
        <w:rPr>
          <w:rFonts w:ascii="David" w:hAnsi="David"/>
          <w:b/>
          <w:bCs/>
          <w:u w:val="single"/>
        </w:rPr>
      </w:pPr>
      <w:r>
        <w:rPr>
          <w:rFonts w:ascii="David" w:hAnsi="David"/>
          <w:b/>
          <w:bCs/>
          <w:u w:val="single"/>
          <w:rtl/>
        </w:rPr>
        <w:t>כללי</w:t>
      </w:r>
    </w:p>
    <w:p w14:paraId="1ABACA5F" w14:textId="77777777" w:rsidR="007B0FCC" w:rsidRDefault="007B0FCC" w:rsidP="007B0FCC">
      <w:pPr>
        <w:spacing w:line="360" w:lineRule="auto"/>
        <w:jc w:val="both"/>
        <w:rPr>
          <w:rFonts w:ascii="David" w:hAnsi="David"/>
          <w:rtl/>
        </w:rPr>
      </w:pPr>
      <w:bookmarkStart w:id="5" w:name="ABSTRACT_START"/>
      <w:bookmarkEnd w:id="5"/>
      <w:r>
        <w:rPr>
          <w:rFonts w:ascii="David" w:hAnsi="David"/>
          <w:rtl/>
        </w:rPr>
        <w:t xml:space="preserve">הנאשם, </w:t>
      </w:r>
      <w:r>
        <w:rPr>
          <w:rFonts w:ascii="David" w:hAnsi="David"/>
          <w:b/>
          <w:bCs/>
          <w:rtl/>
        </w:rPr>
        <w:t>קוסאי מחאמיד</w:t>
      </w:r>
      <w:r>
        <w:rPr>
          <w:rFonts w:ascii="David" w:hAnsi="David"/>
          <w:rtl/>
        </w:rPr>
        <w:t>, יליד ספט' 2002, הורשע, על-סמך הודאתו, במסגרת הסדר-טיעון, בביצוע שורה של עבירות, אשר נכללו בכתב-אישום מתוקן אשר הוגש נגדו:</w:t>
      </w:r>
    </w:p>
    <w:p w14:paraId="0AF27129" w14:textId="77777777" w:rsidR="007B0FCC" w:rsidRDefault="007B0FCC" w:rsidP="007B0FCC">
      <w:pPr>
        <w:spacing w:line="360" w:lineRule="auto"/>
        <w:jc w:val="both"/>
        <w:rPr>
          <w:rFonts w:ascii="David" w:hAnsi="David"/>
          <w:rtl/>
        </w:rPr>
      </w:pPr>
    </w:p>
    <w:p w14:paraId="11EBF2C9" w14:textId="77777777" w:rsidR="007B0FCC" w:rsidRDefault="007B0FCC" w:rsidP="007B0FCC">
      <w:pPr>
        <w:spacing w:line="360" w:lineRule="auto"/>
        <w:ind w:left="720" w:hanging="720"/>
        <w:jc w:val="both"/>
        <w:rPr>
          <w:rFonts w:ascii="David" w:hAnsi="David"/>
          <w:rtl/>
        </w:rPr>
      </w:pPr>
      <w:r>
        <w:rPr>
          <w:rFonts w:ascii="David" w:hAnsi="David"/>
          <w:rtl/>
        </w:rPr>
        <w:t>1.</w:t>
      </w:r>
      <w:r>
        <w:rPr>
          <w:rFonts w:ascii="David" w:hAnsi="David"/>
          <w:rtl/>
        </w:rPr>
        <w:tab/>
      </w:r>
      <w:r>
        <w:rPr>
          <w:rFonts w:ascii="David" w:hAnsi="David"/>
          <w:b/>
          <w:bCs/>
          <w:rtl/>
        </w:rPr>
        <w:t>ניסיון לחבלה חמורה בנסיבות מחמירות</w:t>
      </w:r>
      <w:r>
        <w:rPr>
          <w:rFonts w:ascii="David" w:hAnsi="David"/>
          <w:rtl/>
        </w:rPr>
        <w:t xml:space="preserve">, לפי </w:t>
      </w:r>
      <w:hyperlink r:id="rId20" w:history="1">
        <w:r w:rsidR="005F4DE5" w:rsidRPr="005F4DE5">
          <w:rPr>
            <w:rStyle w:val="Hyperlink"/>
            <w:rFonts w:ascii="David" w:hAnsi="David"/>
            <w:rtl/>
          </w:rPr>
          <w:t>סעיף 335(א)(1)</w:t>
        </w:r>
      </w:hyperlink>
      <w:r>
        <w:rPr>
          <w:rFonts w:ascii="David" w:hAnsi="David"/>
          <w:rtl/>
        </w:rPr>
        <w:t xml:space="preserve"> ו-</w:t>
      </w:r>
      <w:hyperlink r:id="rId21" w:history="1">
        <w:r w:rsidR="005F4DE5" w:rsidRPr="005F4DE5">
          <w:rPr>
            <w:rStyle w:val="Hyperlink"/>
            <w:rFonts w:ascii="David" w:hAnsi="David"/>
            <w:rtl/>
          </w:rPr>
          <w:t>25</w:t>
        </w:r>
      </w:hyperlink>
      <w:r>
        <w:rPr>
          <w:rFonts w:ascii="David" w:hAnsi="David"/>
          <w:rtl/>
        </w:rPr>
        <w:t xml:space="preserve"> ל</w:t>
      </w:r>
      <w:hyperlink r:id="rId22" w:history="1">
        <w:r w:rsidR="00766A9A" w:rsidRPr="00766A9A">
          <w:rPr>
            <w:rFonts w:ascii="David" w:hAnsi="David"/>
            <w:color w:val="0000FF"/>
            <w:u w:val="single"/>
            <w:rtl/>
          </w:rPr>
          <w:t>חוק העונשין</w:t>
        </w:r>
      </w:hyperlink>
      <w:r>
        <w:rPr>
          <w:rFonts w:ascii="David" w:hAnsi="David"/>
          <w:rtl/>
        </w:rPr>
        <w:t>, התשל"ז-1977 ( להלן: "</w:t>
      </w:r>
      <w:r>
        <w:rPr>
          <w:rFonts w:ascii="David" w:hAnsi="David"/>
          <w:b/>
          <w:bCs/>
          <w:rtl/>
        </w:rPr>
        <w:t>חוק העונשין</w:t>
      </w:r>
      <w:r>
        <w:rPr>
          <w:rFonts w:ascii="David" w:hAnsi="David"/>
          <w:rtl/>
        </w:rPr>
        <w:t>" או "</w:t>
      </w:r>
      <w:r>
        <w:rPr>
          <w:rFonts w:ascii="David" w:hAnsi="David"/>
          <w:b/>
          <w:bCs/>
          <w:rtl/>
        </w:rPr>
        <w:t>החוק</w:t>
      </w:r>
      <w:r>
        <w:rPr>
          <w:rFonts w:ascii="David" w:hAnsi="David"/>
          <w:rtl/>
        </w:rPr>
        <w:t>");</w:t>
      </w:r>
    </w:p>
    <w:p w14:paraId="23CDC809" w14:textId="77777777" w:rsidR="007B0FCC" w:rsidRDefault="007B0FCC" w:rsidP="007B0FCC">
      <w:pPr>
        <w:spacing w:line="360" w:lineRule="auto"/>
        <w:ind w:left="720" w:hanging="720"/>
        <w:jc w:val="both"/>
        <w:rPr>
          <w:rFonts w:ascii="David" w:hAnsi="David"/>
          <w:rtl/>
        </w:rPr>
      </w:pPr>
      <w:r>
        <w:rPr>
          <w:rFonts w:ascii="David" w:hAnsi="David"/>
          <w:rtl/>
        </w:rPr>
        <w:t>2.</w:t>
      </w:r>
      <w:r>
        <w:rPr>
          <w:rFonts w:ascii="David" w:hAnsi="David"/>
          <w:rtl/>
        </w:rPr>
        <w:tab/>
      </w:r>
      <w:r>
        <w:rPr>
          <w:rFonts w:ascii="David" w:hAnsi="David"/>
          <w:b/>
          <w:bCs/>
          <w:rtl/>
        </w:rPr>
        <w:t>נשיאת נשק והובלתו</w:t>
      </w:r>
      <w:r>
        <w:rPr>
          <w:rFonts w:ascii="David" w:hAnsi="David"/>
          <w:rtl/>
        </w:rPr>
        <w:t xml:space="preserve">, בניגוד </w:t>
      </w:r>
      <w:hyperlink r:id="rId23" w:history="1">
        <w:r w:rsidR="005F4DE5" w:rsidRPr="005F4DE5">
          <w:rPr>
            <w:rStyle w:val="Hyperlink"/>
            <w:rFonts w:ascii="David" w:hAnsi="David"/>
            <w:rtl/>
          </w:rPr>
          <w:t>לסעיף 144(ב)</w:t>
        </w:r>
      </w:hyperlink>
      <w:r>
        <w:rPr>
          <w:rFonts w:ascii="David" w:hAnsi="David"/>
          <w:rtl/>
        </w:rPr>
        <w:t xml:space="preserve"> רישא וסיפא ל</w:t>
      </w:r>
      <w:hyperlink r:id="rId24" w:history="1">
        <w:r w:rsidR="00766A9A" w:rsidRPr="00766A9A">
          <w:rPr>
            <w:rFonts w:ascii="David" w:hAnsi="David"/>
            <w:color w:val="0000FF"/>
            <w:u w:val="single"/>
            <w:rtl/>
          </w:rPr>
          <w:t>חוק העונשין</w:t>
        </w:r>
      </w:hyperlink>
      <w:r>
        <w:rPr>
          <w:rFonts w:ascii="David" w:hAnsi="David"/>
          <w:rtl/>
        </w:rPr>
        <w:t xml:space="preserve">; </w:t>
      </w:r>
    </w:p>
    <w:p w14:paraId="287FD1E5" w14:textId="77777777" w:rsidR="007B0FCC" w:rsidRDefault="007B0FCC" w:rsidP="007B0FCC">
      <w:pPr>
        <w:spacing w:line="360" w:lineRule="auto"/>
        <w:ind w:left="720" w:hanging="720"/>
        <w:jc w:val="both"/>
        <w:rPr>
          <w:rFonts w:ascii="David" w:hAnsi="David"/>
          <w:rtl/>
        </w:rPr>
      </w:pPr>
      <w:r>
        <w:rPr>
          <w:rFonts w:ascii="David" w:hAnsi="David"/>
          <w:rtl/>
        </w:rPr>
        <w:t>3.</w:t>
      </w:r>
      <w:r>
        <w:rPr>
          <w:rFonts w:ascii="David" w:hAnsi="David"/>
          <w:rtl/>
        </w:rPr>
        <w:tab/>
      </w:r>
      <w:r>
        <w:rPr>
          <w:rFonts w:ascii="David" w:hAnsi="David"/>
          <w:b/>
          <w:bCs/>
          <w:rtl/>
        </w:rPr>
        <w:t>איומים,</w:t>
      </w:r>
      <w:r>
        <w:rPr>
          <w:rFonts w:ascii="David" w:hAnsi="David"/>
          <w:rtl/>
        </w:rPr>
        <w:t xml:space="preserve"> לפי </w:t>
      </w:r>
      <w:hyperlink r:id="rId25" w:history="1">
        <w:r w:rsidR="005F4DE5" w:rsidRPr="005F4DE5">
          <w:rPr>
            <w:rStyle w:val="Hyperlink"/>
            <w:rFonts w:ascii="David" w:hAnsi="David"/>
            <w:rtl/>
          </w:rPr>
          <w:t>סעיף 192</w:t>
        </w:r>
      </w:hyperlink>
      <w:r>
        <w:rPr>
          <w:rFonts w:ascii="David" w:hAnsi="David"/>
          <w:rtl/>
        </w:rPr>
        <w:t xml:space="preserve"> לחוק;</w:t>
      </w:r>
    </w:p>
    <w:p w14:paraId="4AA402C0" w14:textId="77777777" w:rsidR="007B0FCC" w:rsidRDefault="007B0FCC" w:rsidP="007B0FCC">
      <w:pPr>
        <w:spacing w:line="360" w:lineRule="auto"/>
        <w:jc w:val="both"/>
        <w:rPr>
          <w:rFonts w:ascii="David" w:hAnsi="David"/>
          <w:rtl/>
        </w:rPr>
      </w:pPr>
      <w:r>
        <w:rPr>
          <w:rFonts w:ascii="David" w:hAnsi="David"/>
          <w:rtl/>
        </w:rPr>
        <w:t>4.</w:t>
      </w:r>
      <w:r>
        <w:rPr>
          <w:rFonts w:ascii="David" w:hAnsi="David"/>
          <w:rtl/>
        </w:rPr>
        <w:tab/>
      </w:r>
      <w:r>
        <w:rPr>
          <w:rFonts w:ascii="David" w:hAnsi="David"/>
          <w:b/>
          <w:bCs/>
          <w:rtl/>
        </w:rPr>
        <w:t>חבלה במזיד</w:t>
      </w:r>
      <w:r>
        <w:rPr>
          <w:rFonts w:ascii="David" w:hAnsi="David"/>
          <w:rtl/>
        </w:rPr>
        <w:t xml:space="preserve">, בניגוד </w:t>
      </w:r>
      <w:hyperlink r:id="rId26" w:history="1">
        <w:r w:rsidR="005F4DE5" w:rsidRPr="005F4DE5">
          <w:rPr>
            <w:rStyle w:val="Hyperlink"/>
            <w:rFonts w:ascii="David" w:hAnsi="David"/>
            <w:rtl/>
          </w:rPr>
          <w:t>לסעיף 413ה</w:t>
        </w:r>
      </w:hyperlink>
      <w:r>
        <w:rPr>
          <w:rFonts w:ascii="David" w:hAnsi="David"/>
          <w:rtl/>
        </w:rPr>
        <w:t xml:space="preserve"> לחוק. </w:t>
      </w:r>
    </w:p>
    <w:p w14:paraId="110A614F" w14:textId="77777777" w:rsidR="007B0FCC" w:rsidRDefault="007B0FCC" w:rsidP="007B0FCC">
      <w:pPr>
        <w:spacing w:line="360" w:lineRule="auto"/>
        <w:ind w:left="720" w:hanging="720"/>
        <w:jc w:val="both"/>
        <w:rPr>
          <w:rFonts w:ascii="David" w:hAnsi="David"/>
          <w:rtl/>
        </w:rPr>
      </w:pPr>
      <w:bookmarkStart w:id="6" w:name="ABSTRACT_END"/>
      <w:bookmarkEnd w:id="6"/>
      <w:r>
        <w:rPr>
          <w:rFonts w:ascii="David" w:hAnsi="David"/>
          <w:rtl/>
        </w:rPr>
        <w:t xml:space="preserve"> </w:t>
      </w:r>
    </w:p>
    <w:p w14:paraId="5643DA35" w14:textId="77777777" w:rsidR="007B0FCC" w:rsidRDefault="007B0FCC" w:rsidP="007B0FCC">
      <w:pPr>
        <w:spacing w:line="360" w:lineRule="auto"/>
        <w:jc w:val="both"/>
        <w:rPr>
          <w:rtl/>
        </w:rPr>
      </w:pPr>
      <w:r>
        <w:rPr>
          <w:rtl/>
        </w:rPr>
        <w:t xml:space="preserve">לצדם של סעיפי אישום אלו צוין </w:t>
      </w:r>
      <w:hyperlink r:id="rId27" w:history="1">
        <w:r w:rsidR="005F4DE5" w:rsidRPr="005F4DE5">
          <w:rPr>
            <w:rStyle w:val="Hyperlink"/>
            <w:b/>
            <w:bCs/>
            <w:rtl/>
          </w:rPr>
          <w:t>סעיף 43</w:t>
        </w:r>
      </w:hyperlink>
      <w:r>
        <w:rPr>
          <w:b/>
          <w:bCs/>
          <w:rtl/>
        </w:rPr>
        <w:t xml:space="preserve"> ל</w:t>
      </w:r>
      <w:hyperlink r:id="rId28" w:history="1">
        <w:r w:rsidR="00766A9A" w:rsidRPr="00766A9A">
          <w:rPr>
            <w:b/>
            <w:bCs/>
            <w:color w:val="0000FF"/>
            <w:u w:val="single"/>
            <w:rtl/>
          </w:rPr>
          <w:t>פקודת התעבורה</w:t>
        </w:r>
      </w:hyperlink>
      <w:r>
        <w:rPr>
          <w:rtl/>
        </w:rPr>
        <w:t xml:space="preserve"> [נוסח חדש] שעניינו באפשרות לפסול לנהיגה מי שמסתייע ברכב לצורך ביצוע עבירות מסוג פשע או עוון. </w:t>
      </w:r>
    </w:p>
    <w:p w14:paraId="0416FA2D" w14:textId="77777777" w:rsidR="007B0FCC" w:rsidRDefault="007B0FCC" w:rsidP="007B0FCC">
      <w:pPr>
        <w:spacing w:line="360" w:lineRule="auto"/>
        <w:jc w:val="both"/>
        <w:rPr>
          <w:rFonts w:ascii="David" w:hAnsi="David"/>
          <w:rtl/>
        </w:rPr>
      </w:pPr>
      <w:r>
        <w:rPr>
          <w:rFonts w:ascii="David" w:hAnsi="David"/>
          <w:rtl/>
        </w:rPr>
        <w:t xml:space="preserve"> </w:t>
      </w:r>
    </w:p>
    <w:p w14:paraId="00883870" w14:textId="77777777" w:rsidR="007B0FCC" w:rsidRDefault="007B0FCC" w:rsidP="007B0FCC">
      <w:pPr>
        <w:spacing w:line="360" w:lineRule="auto"/>
        <w:jc w:val="both"/>
        <w:rPr>
          <w:rFonts w:ascii="David" w:hAnsi="David"/>
          <w:b/>
          <w:bCs/>
          <w:u w:val="single"/>
          <w:rtl/>
        </w:rPr>
      </w:pPr>
      <w:r>
        <w:rPr>
          <w:rFonts w:ascii="David" w:hAnsi="David"/>
          <w:b/>
          <w:bCs/>
          <w:u w:val="single"/>
          <w:rtl/>
        </w:rPr>
        <w:t>עובדות ההרשעה</w:t>
      </w:r>
    </w:p>
    <w:p w14:paraId="04E9DAFC" w14:textId="77777777" w:rsidR="007B0FCC" w:rsidRDefault="007B0FCC" w:rsidP="007B0FCC">
      <w:pPr>
        <w:spacing w:line="360" w:lineRule="auto"/>
        <w:jc w:val="both"/>
        <w:rPr>
          <w:rFonts w:ascii="David" w:hAnsi="David"/>
          <w:b/>
          <w:bCs/>
          <w:u w:val="single"/>
          <w:rtl/>
        </w:rPr>
      </w:pPr>
    </w:p>
    <w:p w14:paraId="1A82B52A" w14:textId="77777777" w:rsidR="007B0FCC" w:rsidRDefault="007B0FCC" w:rsidP="007B0FCC">
      <w:pPr>
        <w:spacing w:line="360" w:lineRule="auto"/>
        <w:jc w:val="both"/>
        <w:rPr>
          <w:rFonts w:ascii="David" w:hAnsi="David"/>
          <w:rtl/>
        </w:rPr>
      </w:pPr>
      <w:r>
        <w:rPr>
          <w:rFonts w:ascii="David" w:hAnsi="David"/>
          <w:rtl/>
        </w:rPr>
        <w:t xml:space="preserve">עובדות ההרשעה היו אלו - </w:t>
      </w:r>
    </w:p>
    <w:p w14:paraId="236CD366" w14:textId="77777777" w:rsidR="007B0FCC" w:rsidRDefault="007B0FCC" w:rsidP="007B0FCC">
      <w:pPr>
        <w:spacing w:line="360" w:lineRule="auto"/>
        <w:jc w:val="both"/>
        <w:rPr>
          <w:rFonts w:ascii="David" w:hAnsi="David"/>
          <w:rtl/>
        </w:rPr>
      </w:pPr>
    </w:p>
    <w:p w14:paraId="20F6C109" w14:textId="77777777" w:rsidR="007B0FCC" w:rsidRDefault="007B0FCC" w:rsidP="007B0FCC">
      <w:pPr>
        <w:spacing w:line="360" w:lineRule="auto"/>
        <w:jc w:val="both"/>
        <w:rPr>
          <w:rFonts w:ascii="David" w:hAnsi="David"/>
          <w:rtl/>
        </w:rPr>
      </w:pPr>
      <w:r>
        <w:rPr>
          <w:rFonts w:ascii="David" w:hAnsi="David"/>
          <w:rtl/>
        </w:rPr>
        <w:lastRenderedPageBreak/>
        <w:t>ביום 4.2.21, בשעת ערב, התגלע עימות מילולי בין המתלונן, באהר מחאמיד</w:t>
      </w:r>
      <w:r>
        <w:rPr>
          <w:rFonts w:ascii="David" w:hAnsi="David" w:hint="cs"/>
          <w:rtl/>
        </w:rPr>
        <w:t xml:space="preserve"> </w:t>
      </w:r>
      <w:r>
        <w:rPr>
          <w:rFonts w:ascii="David" w:hAnsi="David"/>
          <w:rtl/>
        </w:rPr>
        <w:t xml:space="preserve">לבין הנאשם, על רקע העובדה שהמתלונן וחברו, אשר נסעו ברכב מאחורי רכבו של הנאשם באום-אל-פאחם (בה הם מתגוררים), ניסו לעקוף אותו. במהלך העימות איים הנאשם על המתלונן באומרו "חכה, הלילה אירה בך". </w:t>
      </w:r>
    </w:p>
    <w:p w14:paraId="35583F2D" w14:textId="77777777" w:rsidR="007B0FCC" w:rsidRDefault="007B0FCC" w:rsidP="007B0FCC">
      <w:pPr>
        <w:spacing w:line="360" w:lineRule="auto"/>
        <w:jc w:val="both"/>
        <w:rPr>
          <w:rFonts w:ascii="David" w:hAnsi="David"/>
          <w:rtl/>
        </w:rPr>
      </w:pPr>
    </w:p>
    <w:p w14:paraId="157C7113" w14:textId="77777777" w:rsidR="007B0FCC" w:rsidRDefault="007B0FCC" w:rsidP="007B0FCC">
      <w:pPr>
        <w:spacing w:line="360" w:lineRule="auto"/>
        <w:jc w:val="both"/>
        <w:rPr>
          <w:rFonts w:ascii="David" w:hAnsi="David"/>
          <w:rtl/>
        </w:rPr>
      </w:pPr>
      <w:r>
        <w:rPr>
          <w:rFonts w:ascii="David" w:hAnsi="David"/>
          <w:rtl/>
        </w:rPr>
        <w:t xml:space="preserve">על רקע עימות זה, כ-3 שעות מאוחר יותר, נסע הנאשם לכיוון בית המתלונן ברכב מסוג "טויוטה" שבבעלותו כשהוא </w:t>
      </w:r>
      <w:r>
        <w:rPr>
          <w:rFonts w:ascii="David" w:hAnsi="David"/>
          <w:b/>
          <w:bCs/>
          <w:rtl/>
        </w:rPr>
        <w:t>מצויד בכלי נשק ארוך מסוג קלצ'ניקוב</w:t>
      </w:r>
      <w:r>
        <w:rPr>
          <w:rFonts w:ascii="David" w:hAnsi="David"/>
          <w:rtl/>
        </w:rPr>
        <w:t xml:space="preserve"> וכן בתחמושת, </w:t>
      </w:r>
      <w:r>
        <w:rPr>
          <w:rFonts w:ascii="David" w:hAnsi="David"/>
          <w:b/>
          <w:bCs/>
          <w:rtl/>
        </w:rPr>
        <w:t>בכוונה לירות לעבר המתלונן ולפגוע בו.</w:t>
      </w:r>
      <w:r>
        <w:rPr>
          <w:rFonts w:ascii="David" w:hAnsi="David"/>
          <w:rtl/>
        </w:rPr>
        <w:t xml:space="preserve"> בדרך לבית המתלונן ובסמוך אליו, בשעה 22:00, עצר הנאשם את הרכב, התקשר אל המתלונן וביקש ממנו לצאת מביתו כדי לשוחח עמו, כשבפועל תכנן לבצע ירי לעברו. המתלונן, ששהה אותה עת בבית סבתו, הסמוך לביתו שלו, יצא לכיוון הכביש במטרה לפגוש את הנאשם בהאמינו כי הנאשם מתכוון באמת לשוחח איתו. הנאשם המשיך בנסיעה לעבר בית המתלונן, וכשהבחין בו צועד לעברו עצר את הרכב, יצא ממנה, </w:t>
      </w:r>
      <w:r>
        <w:rPr>
          <w:rFonts w:ascii="David" w:hAnsi="David"/>
          <w:b/>
          <w:bCs/>
          <w:rtl/>
        </w:rPr>
        <w:t>וכשהוא עומד מרחק מטרים בודדים מהמתלונן, ירה לעברו לפחות 8 כדורים בניסיון לגרום לו לחבלה חמורה</w:t>
      </w:r>
      <w:r>
        <w:rPr>
          <w:rFonts w:ascii="David" w:hAnsi="David"/>
          <w:rtl/>
        </w:rPr>
        <w:t>. בתגובה לירי זה, נמלט המתלונן מפני הנאשם והסתתר מאחורי כלי-רכב שחנו לידו. הנאשם נכנס לרכבו בתום הירי ונמלט מהמקום.</w:t>
      </w:r>
    </w:p>
    <w:p w14:paraId="620AA391" w14:textId="77777777" w:rsidR="007B0FCC" w:rsidRDefault="007B0FCC" w:rsidP="007B0FCC">
      <w:pPr>
        <w:spacing w:line="360" w:lineRule="auto"/>
        <w:jc w:val="both"/>
        <w:rPr>
          <w:rFonts w:ascii="David" w:hAnsi="David"/>
          <w:rtl/>
        </w:rPr>
      </w:pPr>
    </w:p>
    <w:p w14:paraId="4D31DE52" w14:textId="77777777" w:rsidR="007B0FCC" w:rsidRPr="0030089A" w:rsidRDefault="007B0FCC" w:rsidP="007B0FCC">
      <w:pPr>
        <w:spacing w:line="360" w:lineRule="auto"/>
        <w:jc w:val="both"/>
        <w:rPr>
          <w:rFonts w:ascii="David" w:hAnsi="David"/>
          <w:rtl/>
        </w:rPr>
      </w:pPr>
      <w:r>
        <w:rPr>
          <w:rFonts w:ascii="David" w:hAnsi="David"/>
          <w:rtl/>
        </w:rPr>
        <w:t>כתוצאה מהירי נפגעו שני כלי-רכב, אשר חנו במקום ונגרמו להם נזקים בערך כולל של אלפי שקלים.</w:t>
      </w:r>
    </w:p>
    <w:p w14:paraId="0D2AD82B" w14:textId="77777777" w:rsidR="007B0FCC" w:rsidRDefault="007B0FCC" w:rsidP="007B0FCC">
      <w:pPr>
        <w:spacing w:line="360" w:lineRule="auto"/>
        <w:jc w:val="both"/>
        <w:rPr>
          <w:rFonts w:ascii="David" w:hAnsi="David"/>
          <w:b/>
          <w:bCs/>
          <w:u w:val="single"/>
          <w:rtl/>
        </w:rPr>
      </w:pPr>
    </w:p>
    <w:p w14:paraId="3FB39E12" w14:textId="77777777" w:rsidR="007B0FCC" w:rsidRDefault="007B0FCC" w:rsidP="007B0FCC">
      <w:pPr>
        <w:spacing w:line="360" w:lineRule="auto"/>
        <w:jc w:val="both"/>
        <w:rPr>
          <w:rFonts w:ascii="David" w:hAnsi="David"/>
          <w:b/>
          <w:bCs/>
          <w:u w:val="single"/>
          <w:rtl/>
        </w:rPr>
      </w:pPr>
      <w:r>
        <w:rPr>
          <w:rFonts w:ascii="David" w:hAnsi="David"/>
          <w:b/>
          <w:bCs/>
          <w:u w:val="single"/>
          <w:rtl/>
        </w:rPr>
        <w:t>תסקיר שירות המבחן</w:t>
      </w:r>
    </w:p>
    <w:p w14:paraId="68C3F812" w14:textId="77777777" w:rsidR="007B0FCC" w:rsidRDefault="007B0FCC" w:rsidP="007B0FCC">
      <w:pPr>
        <w:spacing w:line="360" w:lineRule="auto"/>
        <w:jc w:val="both"/>
        <w:rPr>
          <w:rFonts w:ascii="David" w:hAnsi="David"/>
          <w:rtl/>
        </w:rPr>
      </w:pPr>
      <w:r>
        <w:rPr>
          <w:rFonts w:ascii="David" w:hAnsi="David"/>
          <w:rtl/>
        </w:rPr>
        <w:t>ביום 17.8.21 הפיק שירות המבחן תסקיר לעניין עונשו של הנאשם. התסקיר לימד, שהנאשם הוא כבן 19 שנים, תושב אום-אל-פאחם, אשר עבד לאחרונה בתחום הזפת וריצוף המדרכות. הוא השלים 9 שנות-לימוד בלבד שכן עזב את ספסל הלימודים כדי לסייע בפרנסת הבית. עברו הפלילי נקי.</w:t>
      </w:r>
    </w:p>
    <w:p w14:paraId="4110BB15" w14:textId="77777777" w:rsidR="007B0FCC" w:rsidRDefault="007B0FCC" w:rsidP="007B0FCC">
      <w:pPr>
        <w:spacing w:line="360" w:lineRule="auto"/>
        <w:jc w:val="both"/>
        <w:rPr>
          <w:rFonts w:ascii="David" w:hAnsi="David"/>
          <w:rtl/>
        </w:rPr>
      </w:pPr>
    </w:p>
    <w:p w14:paraId="39E5E7BA" w14:textId="77777777" w:rsidR="007B0FCC" w:rsidRDefault="007B0FCC" w:rsidP="007B0FCC">
      <w:pPr>
        <w:spacing w:line="360" w:lineRule="auto"/>
        <w:jc w:val="both"/>
        <w:rPr>
          <w:rFonts w:ascii="David" w:hAnsi="David"/>
          <w:rtl/>
        </w:rPr>
      </w:pPr>
      <w:r>
        <w:rPr>
          <w:rFonts w:ascii="David" w:hAnsi="David"/>
          <w:rtl/>
        </w:rPr>
        <w:t>שירות המבחן התרשם שהנאשם מקבל אחריות מלאה על מעשיו, כאשר הרקע לביצועם - איומים של המתלונן כלפיו וחשש להיפגע מידיו. בשל תחושות אלה, הצטייד, לדבריו, בנשק וביקש לאיים על המתלונן ולהפחידו. הוא ביטא חרטה עמוקה על מעשיו, הסביר שאין האמור בהתנהלות אופיינית שלו, וכי הוא מבין היום שהיה עליו לפנות לעזרה ולא להגיב כפי שהגיב.</w:t>
      </w:r>
    </w:p>
    <w:p w14:paraId="43F78EE8" w14:textId="77777777" w:rsidR="007B0FCC" w:rsidRDefault="007B0FCC" w:rsidP="007B0FCC">
      <w:pPr>
        <w:spacing w:line="360" w:lineRule="auto"/>
        <w:jc w:val="both"/>
        <w:rPr>
          <w:rFonts w:ascii="David" w:hAnsi="David"/>
          <w:rtl/>
        </w:rPr>
      </w:pPr>
    </w:p>
    <w:p w14:paraId="0B3226F0" w14:textId="77777777" w:rsidR="007B0FCC" w:rsidRDefault="007B0FCC" w:rsidP="007B0FCC">
      <w:pPr>
        <w:spacing w:line="360" w:lineRule="auto"/>
        <w:jc w:val="both"/>
        <w:rPr>
          <w:rFonts w:ascii="David" w:hAnsi="David"/>
          <w:rtl/>
        </w:rPr>
      </w:pPr>
      <w:r>
        <w:rPr>
          <w:rFonts w:ascii="David" w:hAnsi="David"/>
          <w:rtl/>
        </w:rPr>
        <w:t>השירות מנה את גורמי הסיכון להישנות עבירות דומות ע"י הנאשם: מחד גיסא, צוינו העובדה שהוא בחור צעיר שעדיין לא גיבש זהותו כבוגר, בחור דל בעל יכולות אישיות נמוכות, בעל דימוי עצמי נמוך והמתמודד עם קושי בוויסות דחפים ורגשות וקושי להתאים עצמו לסיטואציות. כן צוינה ההתרשמות, שהוא בעל מוקד שליטה חיצוני, הפועל באימפולסיבית וללא חשיבה על השלכות מעשיו. השירות ציין, שאין ביכולתו לשלול המשך של סכסוך בין המשפחות של הנאשם והמתלונן.</w:t>
      </w:r>
    </w:p>
    <w:p w14:paraId="1E0C71B3" w14:textId="77777777" w:rsidR="007B0FCC" w:rsidRDefault="007B0FCC" w:rsidP="007B0FCC">
      <w:pPr>
        <w:spacing w:line="360" w:lineRule="auto"/>
        <w:jc w:val="both"/>
        <w:rPr>
          <w:rFonts w:ascii="David" w:hAnsi="David"/>
          <w:rtl/>
        </w:rPr>
      </w:pPr>
      <w:r>
        <w:rPr>
          <w:rFonts w:ascii="David" w:hAnsi="David"/>
          <w:rtl/>
        </w:rPr>
        <w:t xml:space="preserve">מאידך גיסא, צוין, כי הנאשם הוא מחוסר עבר פלילי, בעל מערכות תמיכה, הנוטל אחריות על מעשיו, מגלה חרטה על בחירותיו ותובנה לנזק שגרם. כן צוינה מוטיבציה להשתלב בטיפול, שיאפשר בחינה של התנהלותו ורכישת כלים להתמודדות טובה יותר עם סיטואציות בעייתיות בעתיד. ההליך המשפטי מהווה עבורו גורם הרתעה משמעותי, ולפיכך, מעריך השירות קיומו של </w:t>
      </w:r>
      <w:r>
        <w:rPr>
          <w:rFonts w:ascii="David" w:hAnsi="David"/>
          <w:b/>
          <w:bCs/>
          <w:rtl/>
        </w:rPr>
        <w:t>סיכון בינוני וברמת חומרה בינונית לחזרה על התנהגות אלימה מצדו בעתיד.</w:t>
      </w:r>
      <w:r>
        <w:rPr>
          <w:rFonts w:ascii="David" w:hAnsi="David"/>
          <w:rtl/>
        </w:rPr>
        <w:t xml:space="preserve"> עוד העריך השירות כי שילובו בטיפול עשוי להפחית סיכון זה.</w:t>
      </w:r>
    </w:p>
    <w:p w14:paraId="5E728F75" w14:textId="77777777" w:rsidR="007B0FCC" w:rsidRDefault="007B0FCC" w:rsidP="007B0FCC">
      <w:pPr>
        <w:spacing w:line="360" w:lineRule="auto"/>
        <w:jc w:val="both"/>
        <w:rPr>
          <w:rFonts w:ascii="David" w:hAnsi="David"/>
          <w:rtl/>
        </w:rPr>
      </w:pPr>
      <w:r>
        <w:rPr>
          <w:rFonts w:ascii="David" w:hAnsi="David"/>
          <w:rtl/>
        </w:rPr>
        <w:lastRenderedPageBreak/>
        <w:t xml:space="preserve">השירות רואה חשיבות בשילובו של הנאשם בתהליך טיפולי לחיזוק יכולותיו וכוחותיו במטרה לצמצם הסיכון לחזרה על התנהגות פורצת-גבולות מצדו בעתיד. </w:t>
      </w:r>
    </w:p>
    <w:p w14:paraId="6BF65484" w14:textId="77777777" w:rsidR="007B0FCC" w:rsidRDefault="007B0FCC" w:rsidP="007B0FCC">
      <w:pPr>
        <w:spacing w:line="360" w:lineRule="auto"/>
        <w:jc w:val="both"/>
        <w:rPr>
          <w:rFonts w:ascii="David" w:hAnsi="David"/>
          <w:rtl/>
        </w:rPr>
      </w:pPr>
      <w:r>
        <w:rPr>
          <w:rFonts w:ascii="David" w:hAnsi="David"/>
          <w:rtl/>
        </w:rPr>
        <w:t>לפיכך, לא בא השירות בהמלצה טיפולית במסגרת הקהילה, אך המליץ שנבקש משב"ס לשבצו בתכנית טיפולית במסגרת מאסרו.</w:t>
      </w:r>
    </w:p>
    <w:p w14:paraId="64154410" w14:textId="77777777" w:rsidR="007B0FCC" w:rsidRDefault="007B0FCC" w:rsidP="007B0FCC">
      <w:pPr>
        <w:spacing w:line="360" w:lineRule="auto"/>
        <w:jc w:val="both"/>
        <w:rPr>
          <w:rFonts w:ascii="David" w:hAnsi="David"/>
          <w:rtl/>
        </w:rPr>
      </w:pPr>
    </w:p>
    <w:p w14:paraId="1EE0FA3F" w14:textId="77777777" w:rsidR="007B0FCC" w:rsidRDefault="007B0FCC" w:rsidP="007B0FCC">
      <w:pPr>
        <w:spacing w:line="360" w:lineRule="auto"/>
        <w:jc w:val="both"/>
        <w:rPr>
          <w:rFonts w:ascii="David" w:hAnsi="David"/>
          <w:b/>
          <w:bCs/>
          <w:u w:val="single"/>
          <w:rtl/>
        </w:rPr>
      </w:pPr>
      <w:r>
        <w:rPr>
          <w:rFonts w:ascii="David" w:hAnsi="David"/>
          <w:b/>
          <w:bCs/>
          <w:u w:val="single"/>
          <w:rtl/>
        </w:rPr>
        <w:t>טיעוני הצדדים</w:t>
      </w:r>
    </w:p>
    <w:p w14:paraId="37ED13F6" w14:textId="77777777" w:rsidR="007B0FCC" w:rsidRDefault="007B0FCC" w:rsidP="007B0FCC">
      <w:pPr>
        <w:spacing w:line="360" w:lineRule="auto"/>
        <w:jc w:val="both"/>
        <w:rPr>
          <w:rFonts w:ascii="David" w:hAnsi="David"/>
          <w:rtl/>
        </w:rPr>
      </w:pPr>
      <w:r>
        <w:rPr>
          <w:rFonts w:ascii="David" w:hAnsi="David"/>
          <w:b/>
          <w:bCs/>
          <w:rtl/>
        </w:rPr>
        <w:t>ב"כ המאשימה</w:t>
      </w:r>
    </w:p>
    <w:p w14:paraId="1D238C60" w14:textId="77777777" w:rsidR="007B0FCC" w:rsidRDefault="007B0FCC" w:rsidP="007B0FCC">
      <w:pPr>
        <w:spacing w:line="360" w:lineRule="auto"/>
        <w:jc w:val="both"/>
        <w:rPr>
          <w:rFonts w:ascii="David" w:hAnsi="David"/>
          <w:rtl/>
        </w:rPr>
      </w:pPr>
      <w:r>
        <w:rPr>
          <w:rFonts w:ascii="David" w:hAnsi="David"/>
          <w:rtl/>
        </w:rPr>
        <w:t xml:space="preserve">ב"כ המלומד של המאשימה, עו"ד אדם סרי, עמד על העונשים המרביים הקבועים בחוק לצד העבירות שבעשייתן הורשע הנאשם (14 שנות מאסר; 10 שנות מאסר; 3 שנות מאסר ו-5 שנות מאסר בהתאמה). </w:t>
      </w:r>
    </w:p>
    <w:p w14:paraId="77CD07B4" w14:textId="77777777" w:rsidR="007B0FCC" w:rsidRDefault="007B0FCC" w:rsidP="007B0FCC">
      <w:pPr>
        <w:spacing w:line="360" w:lineRule="auto"/>
        <w:jc w:val="both"/>
        <w:rPr>
          <w:rFonts w:ascii="David" w:hAnsi="David"/>
          <w:rtl/>
        </w:rPr>
      </w:pPr>
      <w:r>
        <w:rPr>
          <w:rFonts w:ascii="David" w:hAnsi="David"/>
          <w:rtl/>
        </w:rPr>
        <w:t>הוא טען ל</w:t>
      </w:r>
      <w:r>
        <w:rPr>
          <w:rFonts w:ascii="David" w:hAnsi="David"/>
          <w:b/>
          <w:bCs/>
          <w:rtl/>
        </w:rPr>
        <w:t>מתחם עונשי כולל של 6.5-3.5 שנות מאסר בפועל</w:t>
      </w:r>
      <w:r>
        <w:rPr>
          <w:rFonts w:ascii="David" w:hAnsi="David"/>
          <w:rtl/>
        </w:rPr>
        <w:t xml:space="preserve"> לצד עונש מאסר מותנה, פיצוי לנפגעי העבירה, פסילת רישיון הנהיגה בפועל ועל תנאי, וכן לחילוט רכב ה"טויוטה" שבאמצעותו בוצעה העבירה.</w:t>
      </w:r>
    </w:p>
    <w:p w14:paraId="0FAD7383" w14:textId="77777777" w:rsidR="007B0FCC" w:rsidRDefault="007B0FCC" w:rsidP="007B0FCC">
      <w:pPr>
        <w:spacing w:line="360" w:lineRule="auto"/>
        <w:jc w:val="both"/>
        <w:rPr>
          <w:rFonts w:ascii="David" w:hAnsi="David"/>
          <w:rtl/>
        </w:rPr>
      </w:pPr>
      <w:r>
        <w:rPr>
          <w:rFonts w:ascii="David" w:hAnsi="David"/>
          <w:rtl/>
        </w:rPr>
        <w:t>צוין, כי הערכים החברתיים שנפגעו הם חיי-אדם, שלטון החוק והזכות לשלמות הגוף. צוין, כי יש להתחשב בגזירת העונש בהתגברות אירועי הירי והאלימות המבוצעים באמצעות נשק חם באחרונה (אלפי אירועי ירי שבהם מאבדים עשרות אנשים את חייהם). צוין, כי ראוי להרתיע באמצעות ענישה שיהא בה כדי לבלום את התופעה.</w:t>
      </w:r>
    </w:p>
    <w:p w14:paraId="0C352A75" w14:textId="77777777" w:rsidR="007B0FCC" w:rsidRDefault="007B0FCC" w:rsidP="007B0FCC">
      <w:pPr>
        <w:spacing w:line="360" w:lineRule="auto"/>
        <w:jc w:val="both"/>
        <w:rPr>
          <w:rFonts w:ascii="David" w:hAnsi="David"/>
          <w:rtl/>
        </w:rPr>
      </w:pPr>
      <w:r>
        <w:rPr>
          <w:rFonts w:ascii="David" w:hAnsi="David"/>
          <w:rtl/>
        </w:rPr>
        <w:t>ב"כ המאשימה עמד על הנתונים המחמירים שלהלן - ביצוע הירי על רקע ריב של מה בכך; הירי בוצע מספר שעות לאחר הריב ולא כש"הברזל חם"; ביצוע הירי באמצעות נשק מסוג "קלצ'ניקוב", שהוא כלי קטלני עם פוטנציאל הרס רב; השימוש ברכב לביצוע המעשה; הניצול לרעה באמון שנתן בו המתלונן, אשר יצא מביתו כדי לשוחח עם הנאשם ונורה; כמות ממשית (8) של יריות, אשר העמידה את המתלונן בסכנת חיים ממש - הפחד; הנזק הפוטנציאלי הגבוה הנובע מכך; היסוד הנפשי שעניינו ניסיון לחבול חבלה חמורה; הנזק שנגרם לרכוש חפים מפשע ובלתי-מעורבים; אי-תפיסת הנשק או האמל"ח, מה שמותיר מסוכנות, הנשקפת מהנאשם.</w:t>
      </w:r>
    </w:p>
    <w:p w14:paraId="6EAA7104" w14:textId="77777777" w:rsidR="007B0FCC" w:rsidRDefault="007B0FCC" w:rsidP="007B0FCC">
      <w:pPr>
        <w:spacing w:line="360" w:lineRule="auto"/>
        <w:jc w:val="both"/>
        <w:rPr>
          <w:rFonts w:ascii="David" w:hAnsi="David"/>
          <w:rtl/>
        </w:rPr>
      </w:pPr>
      <w:r>
        <w:rPr>
          <w:rFonts w:ascii="David" w:hAnsi="David"/>
          <w:rtl/>
        </w:rPr>
        <w:t>ב"כ המאשימה הפנה אל פסיקה, התומכת במתחם העונש שעליו הצביע, כמפורט לעיל. בתוככי המתחם, עתר ב"כ המאשימה לעונש המצוי ברף בינוני-נמוך. הוא עמד על כך שתסקיר השירות מלמד על מסוכנות, על כך שנטילת האחריות, כעולה מהתסקיר, איננה מלאה, אך גם על המוטיבציה לטיפול, ההירתעות מהמעצר ומההליך הפלילי, הגיל הצעיר והעבר הנקי, כמו גם ההודאה באשמה.</w:t>
      </w:r>
    </w:p>
    <w:p w14:paraId="1BBE8E3B" w14:textId="77777777" w:rsidR="007B0FCC" w:rsidRDefault="007B0FCC" w:rsidP="007B0FCC">
      <w:pPr>
        <w:spacing w:line="360" w:lineRule="auto"/>
        <w:jc w:val="both"/>
        <w:rPr>
          <w:rFonts w:ascii="David" w:hAnsi="David"/>
          <w:rtl/>
        </w:rPr>
      </w:pPr>
      <w:r>
        <w:rPr>
          <w:rFonts w:ascii="David" w:hAnsi="David"/>
          <w:rtl/>
        </w:rPr>
        <w:t>בשולי סיכומיו, הבהיר ב"כ המאשימה טעמיו בעתירה לחילוט הרכב - האמור ברכב ששימש לנשיאת הנשק, להגעה לזירה ולהימלטות ממנה ושהזיקה בינו לבין ביצוע העבירה הדוקה. הרציונל המצדיק חילוט הרכב לדבריו הוא הרתעתי ומניעתי כאחד. את בקשתו גיבה בפסיקת בית-המשפט העליון. משהנאשם השתמש ברכב לצורך ביצוע העבירות, ראוי, לטעמו של ב"כ המאשימה, גם להטיל עליו עונש של פסילת רישיון נהיגה.</w:t>
      </w:r>
    </w:p>
    <w:p w14:paraId="786336EF" w14:textId="77777777" w:rsidR="007B0FCC" w:rsidRDefault="007B0FCC" w:rsidP="007B0FCC">
      <w:pPr>
        <w:spacing w:line="360" w:lineRule="auto"/>
        <w:jc w:val="both"/>
        <w:rPr>
          <w:rFonts w:ascii="David" w:hAnsi="David"/>
          <w:rtl/>
        </w:rPr>
      </w:pPr>
    </w:p>
    <w:p w14:paraId="113F764C" w14:textId="77777777" w:rsidR="007B0FCC" w:rsidRDefault="007B0FCC" w:rsidP="007B0FCC">
      <w:pPr>
        <w:spacing w:line="360" w:lineRule="auto"/>
        <w:jc w:val="both"/>
        <w:rPr>
          <w:rFonts w:ascii="David" w:hAnsi="David"/>
          <w:rtl/>
        </w:rPr>
      </w:pPr>
      <w:r>
        <w:rPr>
          <w:rFonts w:ascii="David" w:hAnsi="David"/>
          <w:b/>
          <w:bCs/>
          <w:u w:val="single"/>
          <w:rtl/>
        </w:rPr>
        <w:t>ב"כ הנאשם</w:t>
      </w:r>
    </w:p>
    <w:p w14:paraId="4AAA04AB" w14:textId="77777777" w:rsidR="007B0FCC" w:rsidRDefault="007B0FCC" w:rsidP="007B0FCC">
      <w:pPr>
        <w:spacing w:line="360" w:lineRule="auto"/>
        <w:jc w:val="both"/>
        <w:rPr>
          <w:rFonts w:ascii="David" w:hAnsi="David"/>
          <w:rtl/>
        </w:rPr>
      </w:pPr>
      <w:r>
        <w:rPr>
          <w:rFonts w:ascii="David" w:hAnsi="David"/>
          <w:rtl/>
        </w:rPr>
        <w:t xml:space="preserve">בא-כוחו המלומד של הנאשם, עו"ד עלי סעדי, טען כל שניתן היה למען מרשו. הוא טען, שמתחם העונש ההולם, אשר הוצע על ידי התביעה, לא הלם כלל ועיקר את רמת הענישה המקובלת בכגון דא. הוא הצביע על כך שפסקי-הדין, אשר עליהם הסתמך ב"כ המאשימה עסקו באירועים חמורים הרבה יותר, שבהם נגרמה פציעה למתלוננים וכי הנאשמים באותם מקרים היו בעלי עבר פלילי עשיר. לדעתו, </w:t>
      </w:r>
      <w:r>
        <w:rPr>
          <w:rFonts w:ascii="David" w:hAnsi="David"/>
          <w:b/>
          <w:bCs/>
          <w:rtl/>
        </w:rPr>
        <w:t>מתחם הענישה הראוי לאירוע הנדון כאן נע בין 20 ל-32 חודשי מאסר לריצוי בפועל</w:t>
      </w:r>
      <w:r>
        <w:rPr>
          <w:rFonts w:ascii="David" w:hAnsi="David"/>
          <w:rtl/>
        </w:rPr>
        <w:t xml:space="preserve">. </w:t>
      </w:r>
    </w:p>
    <w:p w14:paraId="778203C3" w14:textId="77777777" w:rsidR="007B0FCC" w:rsidRDefault="007B0FCC" w:rsidP="007B0FCC">
      <w:pPr>
        <w:spacing w:line="360" w:lineRule="auto"/>
        <w:jc w:val="both"/>
        <w:rPr>
          <w:rFonts w:ascii="David" w:hAnsi="David"/>
          <w:rtl/>
        </w:rPr>
      </w:pPr>
      <w:r>
        <w:rPr>
          <w:rFonts w:ascii="David" w:hAnsi="David"/>
          <w:rtl/>
        </w:rPr>
        <w:t>עוד הפנה הסנגור המלומד לתסקיר שירות המבחן, אשר בראייתו הוא חיובי מאוד. הוא עמד על כך, שבשים לב לכך שהנאשם נתון במעצר בכליאה, המלצתו החיובית של שירות המבחן היא יוצאת דופן. כן עמד על כך, שלחובת מרשו אין ניצב רישום פלילי; כי זו הסתבכותו הראשונה עם החוק; כי טרם מעצרו עבד הנאשם בצורה מסודרת ברצף. הוא עמד על כך שמרשו הוא בחור צעיר, המצוי בשלבים ראשונים של גיבוש זהותו כבוגר, בעל יכולת אישית נמוכה, בעל דימוי עצמי נמוך ותחושת חוסר מסוגלות. הסנגור הצביע על כך, ששירות המבחן רואה לנאשם אופק שיקומי, מה שבא לידי ביטוי בהמלצתו להמשך תהליך שיקומי במסגרת שב"ס. בכל הנוגע לכלי-הרכב, שאותו ביקשה המאשימה לחלט, טען הסנגור שזה משמש את כל בני המשפחה ולא את הנאשם לבדו, וכי לפיכך, חילוטו יהווה ענישה כלפי משפחתו קשת-היום כולה.</w:t>
      </w:r>
    </w:p>
    <w:p w14:paraId="51D74268" w14:textId="77777777" w:rsidR="007B0FCC" w:rsidRDefault="007B0FCC" w:rsidP="007B0FCC">
      <w:pPr>
        <w:spacing w:line="360" w:lineRule="auto"/>
        <w:jc w:val="both"/>
        <w:rPr>
          <w:rFonts w:ascii="David" w:hAnsi="David"/>
          <w:rtl/>
        </w:rPr>
      </w:pPr>
    </w:p>
    <w:p w14:paraId="4A1B5F48" w14:textId="77777777" w:rsidR="007B0FCC" w:rsidRDefault="007B0FCC" w:rsidP="007B0FCC">
      <w:pPr>
        <w:spacing w:line="360" w:lineRule="auto"/>
        <w:jc w:val="both"/>
        <w:rPr>
          <w:rFonts w:ascii="David" w:hAnsi="David"/>
          <w:b/>
          <w:bCs/>
          <w:u w:val="single"/>
          <w:rtl/>
        </w:rPr>
      </w:pPr>
      <w:r>
        <w:rPr>
          <w:rFonts w:ascii="David" w:hAnsi="David"/>
          <w:b/>
          <w:bCs/>
          <w:u w:val="single"/>
          <w:rtl/>
        </w:rPr>
        <w:t>דברו האחרון של הנאשם</w:t>
      </w:r>
    </w:p>
    <w:p w14:paraId="17231C49" w14:textId="77777777" w:rsidR="007B0FCC" w:rsidRDefault="007B0FCC" w:rsidP="007B0FCC">
      <w:pPr>
        <w:spacing w:line="360" w:lineRule="auto"/>
        <w:jc w:val="both"/>
        <w:rPr>
          <w:rFonts w:ascii="David" w:hAnsi="David"/>
          <w:rtl/>
        </w:rPr>
      </w:pPr>
      <w:r>
        <w:rPr>
          <w:rFonts w:ascii="David" w:hAnsi="David"/>
          <w:rtl/>
        </w:rPr>
        <w:t xml:space="preserve">הנאשם הביע צער על מעשיו, ציין שהבין את טעותו וכי הוא מתנצל עליה וביקש שאקל בעונשו. הוא קיבל על עצמו, שעבירות נשק הן מעשה שגוי והתחייב להמשיך ולעבוד לאחר שחרורו מכלאו. </w:t>
      </w:r>
    </w:p>
    <w:p w14:paraId="3900C8CE" w14:textId="77777777" w:rsidR="007B0FCC" w:rsidRDefault="007B0FCC" w:rsidP="007B0FCC">
      <w:pPr>
        <w:spacing w:line="360" w:lineRule="auto"/>
        <w:jc w:val="both"/>
        <w:rPr>
          <w:rFonts w:ascii="David" w:hAnsi="David"/>
          <w:rtl/>
        </w:rPr>
      </w:pPr>
    </w:p>
    <w:p w14:paraId="6E2447B9" w14:textId="77777777" w:rsidR="007B0FCC" w:rsidRDefault="007B0FCC" w:rsidP="007B0FCC">
      <w:pPr>
        <w:spacing w:line="360" w:lineRule="auto"/>
        <w:jc w:val="both"/>
        <w:rPr>
          <w:rFonts w:ascii="David" w:hAnsi="David"/>
          <w:b/>
          <w:bCs/>
          <w:u w:val="single"/>
          <w:rtl/>
        </w:rPr>
      </w:pPr>
    </w:p>
    <w:p w14:paraId="00E06997" w14:textId="77777777" w:rsidR="007B0FCC" w:rsidRDefault="007B0FCC" w:rsidP="007B0FCC">
      <w:pPr>
        <w:spacing w:line="360" w:lineRule="auto"/>
        <w:jc w:val="both"/>
        <w:rPr>
          <w:rFonts w:ascii="David" w:hAnsi="David"/>
          <w:b/>
          <w:bCs/>
          <w:u w:val="single"/>
          <w:rtl/>
        </w:rPr>
      </w:pPr>
    </w:p>
    <w:p w14:paraId="3C3F7031" w14:textId="77777777" w:rsidR="007B0FCC" w:rsidRDefault="007B0FCC" w:rsidP="007B0FCC">
      <w:pPr>
        <w:spacing w:line="360" w:lineRule="auto"/>
        <w:jc w:val="both"/>
        <w:rPr>
          <w:rFonts w:ascii="David" w:hAnsi="David"/>
          <w:b/>
          <w:bCs/>
          <w:u w:val="single"/>
          <w:rtl/>
        </w:rPr>
      </w:pPr>
      <w:r>
        <w:rPr>
          <w:rFonts w:ascii="David" w:hAnsi="David"/>
          <w:b/>
          <w:bCs/>
          <w:u w:val="single"/>
          <w:rtl/>
        </w:rPr>
        <w:t>דיון והכרעה</w:t>
      </w:r>
    </w:p>
    <w:p w14:paraId="68BFD354" w14:textId="77777777" w:rsidR="007B0FCC" w:rsidRDefault="007B0FCC" w:rsidP="007B0FCC">
      <w:pPr>
        <w:spacing w:line="360" w:lineRule="auto"/>
        <w:jc w:val="both"/>
        <w:rPr>
          <w:rFonts w:ascii="David" w:hAnsi="David"/>
          <w:b/>
          <w:bCs/>
          <w:rtl/>
        </w:rPr>
      </w:pPr>
      <w:r>
        <w:rPr>
          <w:rFonts w:ascii="David" w:hAnsi="David"/>
          <w:rtl/>
        </w:rPr>
        <w:t xml:space="preserve">בפתח פרק זה בגזר-הדין, אין ניתן להתעלם מכך </w:t>
      </w:r>
      <w:r>
        <w:rPr>
          <w:rFonts w:ascii="David" w:hAnsi="David"/>
          <w:b/>
          <w:bCs/>
          <w:rtl/>
        </w:rPr>
        <w:t>שתופעת החזקת הנשק והשימוש בו</w:t>
      </w:r>
      <w:r>
        <w:rPr>
          <w:rFonts w:ascii="David" w:hAnsi="David"/>
          <w:rtl/>
        </w:rPr>
        <w:t xml:space="preserve">, בפרט בקרב שכבות מסוימות באוכלוסייה, הפכה </w:t>
      </w:r>
      <w:r>
        <w:rPr>
          <w:rFonts w:ascii="David" w:hAnsi="David"/>
          <w:b/>
          <w:bCs/>
          <w:rtl/>
        </w:rPr>
        <w:t>לרעה חולה ומסוכנת הגובה קורבנות רבים והמשפיעה לרעה על הביטחון האישי של כל אחד ואחד מתושבי המדינה.</w:t>
      </w:r>
      <w:r>
        <w:rPr>
          <w:rFonts w:ascii="David" w:hAnsi="David"/>
          <w:rtl/>
        </w:rPr>
        <w:t xml:space="preserve"> נשק חם, המוחזק שלא כדין ואשר נעשה בו שימוש לצרכים פליליים כאלה או אחרים, ראוי לגינוי, </w:t>
      </w:r>
      <w:r>
        <w:rPr>
          <w:rFonts w:ascii="David" w:hAnsi="David"/>
          <w:b/>
          <w:bCs/>
          <w:rtl/>
        </w:rPr>
        <w:t>ומבצעי המעשים ראויים לענישה קשה, מרתיעה והולמת, כזו אשר יהא בה כדי לשדר מסר ברור וחד - מערכת המשפט לא תשקוט ולא תשלים עם תופעה שכזו, הפושה בתוככי המדינה.</w:t>
      </w:r>
    </w:p>
    <w:p w14:paraId="221B266B" w14:textId="77777777" w:rsidR="007B0FCC" w:rsidRDefault="007B0FCC" w:rsidP="007B0FCC">
      <w:pPr>
        <w:spacing w:line="360" w:lineRule="auto"/>
        <w:jc w:val="both"/>
        <w:rPr>
          <w:rFonts w:ascii="David" w:hAnsi="David"/>
          <w:rtl/>
        </w:rPr>
      </w:pPr>
    </w:p>
    <w:p w14:paraId="069D95BD" w14:textId="77777777" w:rsidR="007B0FCC" w:rsidRDefault="007B0FCC" w:rsidP="007B0FCC">
      <w:pPr>
        <w:spacing w:line="360" w:lineRule="auto"/>
        <w:jc w:val="both"/>
        <w:rPr>
          <w:rFonts w:ascii="David" w:hAnsi="David"/>
          <w:rtl/>
        </w:rPr>
      </w:pPr>
      <w:r>
        <w:rPr>
          <w:rFonts w:ascii="David" w:hAnsi="David"/>
          <w:rtl/>
        </w:rPr>
        <w:t xml:space="preserve">אמירה זו גוררת אחריה קביעה ברורה, שלפיה, </w:t>
      </w:r>
      <w:r>
        <w:rPr>
          <w:rFonts w:ascii="David" w:hAnsi="David"/>
          <w:b/>
          <w:bCs/>
          <w:rtl/>
        </w:rPr>
        <w:t>מה שהיה אינו עוד מה שיהיה בהקשר של הטלת ענישה בגין עבירות שכאלה.</w:t>
      </w:r>
      <w:r>
        <w:rPr>
          <w:rFonts w:ascii="David" w:hAnsi="David"/>
          <w:rtl/>
        </w:rPr>
        <w:t xml:space="preserve"> גם אם עד כה נהגו ערכאות השיפוט סלחנות באנשים צעירים, אשר החזיקו ברשותם נשק שלא כחוק ואף עשו בו שימוש, </w:t>
      </w:r>
      <w:r>
        <w:rPr>
          <w:rFonts w:ascii="David" w:hAnsi="David"/>
          <w:b/>
          <w:bCs/>
          <w:rtl/>
        </w:rPr>
        <w:t>כעת ראוי שייצא קול זעקה מקצה הארץ ועד קצהה - לא עוד! המחזיק בנשק, הנושא אותו, המשתמש בו; המסכן חיים ורכוש באמצעותו צפוי לענישה כואבת שתהפוך את ביצוע המעשה לבלתי-כדאי.</w:t>
      </w:r>
      <w:r>
        <w:rPr>
          <w:rFonts w:ascii="David" w:hAnsi="David"/>
          <w:rtl/>
        </w:rPr>
        <w:t xml:space="preserve"> </w:t>
      </w:r>
    </w:p>
    <w:p w14:paraId="66863658" w14:textId="77777777" w:rsidR="007B0FCC" w:rsidRDefault="007B0FCC" w:rsidP="007B0FCC">
      <w:pPr>
        <w:spacing w:line="360" w:lineRule="auto"/>
        <w:jc w:val="both"/>
        <w:rPr>
          <w:rFonts w:ascii="David" w:hAnsi="David"/>
          <w:rtl/>
        </w:rPr>
      </w:pPr>
    </w:p>
    <w:p w14:paraId="45DFC122" w14:textId="77777777" w:rsidR="007B0FCC" w:rsidRDefault="007B0FCC" w:rsidP="007B0FCC">
      <w:pPr>
        <w:spacing w:line="360" w:lineRule="auto"/>
        <w:jc w:val="both"/>
        <w:rPr>
          <w:rFonts w:ascii="David" w:hAnsi="David"/>
          <w:rtl/>
        </w:rPr>
      </w:pPr>
      <w:r>
        <w:rPr>
          <w:rFonts w:ascii="David" w:hAnsi="David"/>
          <w:rtl/>
        </w:rPr>
        <w:t xml:space="preserve">גזירת עונשו של הנאשם שלפניי תיעשה, בהתאם לעקרונות והכללים המותווים בסימן </w:t>
      </w:r>
      <w:hyperlink r:id="rId29" w:history="1">
        <w:r w:rsidR="005F4DE5" w:rsidRPr="005F4DE5">
          <w:rPr>
            <w:rStyle w:val="Hyperlink"/>
            <w:rFonts w:ascii="David" w:hAnsi="David"/>
            <w:rtl/>
          </w:rPr>
          <w:t>א'1 בפרק ו'</w:t>
        </w:r>
      </w:hyperlink>
      <w:r>
        <w:rPr>
          <w:rFonts w:ascii="David" w:hAnsi="David"/>
          <w:rtl/>
        </w:rPr>
        <w:t xml:space="preserve"> ב</w:t>
      </w:r>
      <w:hyperlink r:id="rId30" w:history="1">
        <w:r w:rsidR="00766A9A" w:rsidRPr="00766A9A">
          <w:rPr>
            <w:rFonts w:ascii="David" w:hAnsi="David"/>
            <w:color w:val="0000FF"/>
            <w:u w:val="single"/>
            <w:rtl/>
          </w:rPr>
          <w:t>חוק העונשין</w:t>
        </w:r>
      </w:hyperlink>
      <w:r>
        <w:rPr>
          <w:rFonts w:ascii="David" w:hAnsi="David"/>
          <w:rtl/>
        </w:rPr>
        <w:t xml:space="preserve"> שכותרתו - הבניית שיקול-הדעת השיפוטי בענישה.</w:t>
      </w:r>
    </w:p>
    <w:p w14:paraId="34011629" w14:textId="77777777" w:rsidR="007B0FCC" w:rsidRDefault="007B0FCC" w:rsidP="007B0FCC">
      <w:pPr>
        <w:spacing w:line="360" w:lineRule="auto"/>
        <w:jc w:val="both"/>
        <w:rPr>
          <w:rFonts w:ascii="David" w:hAnsi="David"/>
          <w:rtl/>
        </w:rPr>
      </w:pPr>
    </w:p>
    <w:p w14:paraId="28BBF072" w14:textId="77777777" w:rsidR="007B0FCC" w:rsidRDefault="007B0FCC" w:rsidP="007B0FCC">
      <w:pPr>
        <w:spacing w:line="360" w:lineRule="auto"/>
        <w:jc w:val="both"/>
        <w:rPr>
          <w:rFonts w:ascii="David" w:hAnsi="David"/>
          <w:rtl/>
        </w:rPr>
      </w:pPr>
      <w:r>
        <w:rPr>
          <w:rFonts w:ascii="David" w:hAnsi="David"/>
          <w:rtl/>
        </w:rPr>
        <w:t>תחילת הדרך בהתאם לאבני-הדרך הקבועות בסימן האמור עוברת בקביעת מתחם עונש הולם, כזה המקיים יחס הולם בין חומרת מעשה העבירה בנסיבותיו ומידת אשמו של הנאשם ובין סוג ומידת העונש המוטל עליו.</w:t>
      </w:r>
    </w:p>
    <w:p w14:paraId="4D041F2D" w14:textId="77777777" w:rsidR="007B0FCC" w:rsidRDefault="007B0FCC" w:rsidP="007B0FCC">
      <w:pPr>
        <w:spacing w:line="360" w:lineRule="auto"/>
        <w:jc w:val="both"/>
        <w:rPr>
          <w:rFonts w:ascii="David" w:hAnsi="David"/>
          <w:rtl/>
        </w:rPr>
      </w:pPr>
    </w:p>
    <w:p w14:paraId="322CF26A" w14:textId="77777777" w:rsidR="007B0FCC" w:rsidRDefault="007B0FCC" w:rsidP="007B0FCC">
      <w:pPr>
        <w:spacing w:line="360" w:lineRule="auto"/>
        <w:jc w:val="both"/>
        <w:rPr>
          <w:rtl/>
        </w:rPr>
      </w:pPr>
      <w:r>
        <w:rPr>
          <w:rtl/>
        </w:rPr>
        <w:t xml:space="preserve">העבירות המגלמות את המסכת העובדתית, המתוארת בהרחבה לעיל בכתב האישום, מהוות </w:t>
      </w:r>
      <w:r>
        <w:rPr>
          <w:b/>
          <w:bCs/>
          <w:rtl/>
        </w:rPr>
        <w:t xml:space="preserve">אירוע אחד. </w:t>
      </w:r>
      <w:r>
        <w:rPr>
          <w:rtl/>
        </w:rPr>
        <w:t xml:space="preserve">לשיטתי </w:t>
      </w:r>
      <w:r>
        <w:rPr>
          <w:b/>
          <w:bCs/>
          <w:rtl/>
        </w:rPr>
        <w:t>קיים קשר הדוק</w:t>
      </w:r>
      <w:r>
        <w:rPr>
          <w:rtl/>
        </w:rPr>
        <w:t xml:space="preserve"> - ראו לעניין זה: </w:t>
      </w:r>
      <w:hyperlink r:id="rId31" w:history="1">
        <w:r w:rsidR="00766A9A" w:rsidRPr="00766A9A">
          <w:rPr>
            <w:color w:val="0000FF"/>
            <w:u w:val="single"/>
            <w:rtl/>
          </w:rPr>
          <w:t>ע"פ 4910/13</w:t>
        </w:r>
      </w:hyperlink>
      <w:r>
        <w:rPr>
          <w:rtl/>
        </w:rPr>
        <w:t xml:space="preserve"> </w:t>
      </w:r>
      <w:r>
        <w:rPr>
          <w:b/>
          <w:bCs/>
          <w:rtl/>
        </w:rPr>
        <w:t xml:space="preserve">ג'אבר נ' מדינת ישראל, </w:t>
      </w:r>
      <w:r>
        <w:rPr>
          <w:rtl/>
        </w:rPr>
        <w:t>מפי כב' השופטת ברק-ארז</w:t>
      </w:r>
      <w:r>
        <w:rPr>
          <w:b/>
          <w:bCs/>
          <w:rtl/>
        </w:rPr>
        <w:t xml:space="preserve">, </w:t>
      </w:r>
      <w:r>
        <w:rPr>
          <w:rtl/>
        </w:rPr>
        <w:t xml:space="preserve">ניתן ביום 29.10.14; </w:t>
      </w:r>
      <w:hyperlink r:id="rId32" w:history="1">
        <w:r w:rsidR="00766A9A" w:rsidRPr="00766A9A">
          <w:rPr>
            <w:color w:val="0000FF"/>
            <w:u w:val="single"/>
            <w:rtl/>
          </w:rPr>
          <w:t>ע"פ 9308/12</w:t>
        </w:r>
      </w:hyperlink>
      <w:r>
        <w:rPr>
          <w:rtl/>
        </w:rPr>
        <w:t xml:space="preserve"> </w:t>
      </w:r>
      <w:r>
        <w:rPr>
          <w:b/>
          <w:bCs/>
          <w:rtl/>
        </w:rPr>
        <w:t>עיסא נ' מדינת ישראל,</w:t>
      </w:r>
      <w:r>
        <w:rPr>
          <w:rtl/>
        </w:rPr>
        <w:t xml:space="preserve"> ניתן ביום 30.7.15 - -</w:t>
      </w:r>
      <w:r>
        <w:rPr>
          <w:b/>
          <w:bCs/>
          <w:rtl/>
        </w:rPr>
        <w:t xml:space="preserve"> בין איומי הנאשם (שהופנו כלפי המתלונן) לבין המעשים החמורים שביצע הנאשם (ירי לעבר המתלונן), כשלוש שעות מאוחר יותר. </w:t>
      </w:r>
      <w:r>
        <w:rPr>
          <w:rtl/>
        </w:rPr>
        <w:t xml:space="preserve">לפיכך, וכמצוות </w:t>
      </w:r>
      <w:hyperlink r:id="rId33" w:history="1">
        <w:r w:rsidR="005F4DE5" w:rsidRPr="005F4DE5">
          <w:rPr>
            <w:rStyle w:val="Hyperlink"/>
            <w:rtl/>
          </w:rPr>
          <w:t>סעיף 40יג(א)</w:t>
        </w:r>
      </w:hyperlink>
      <w:r>
        <w:rPr>
          <w:rtl/>
        </w:rPr>
        <w:t xml:space="preserve"> ל</w:t>
      </w:r>
      <w:hyperlink r:id="rId34" w:history="1">
        <w:r w:rsidR="00766A9A" w:rsidRPr="00766A9A">
          <w:rPr>
            <w:color w:val="0000FF"/>
            <w:u w:val="single"/>
            <w:rtl/>
          </w:rPr>
          <w:t>חוק העונשין</w:t>
        </w:r>
      </w:hyperlink>
      <w:r>
        <w:rPr>
          <w:rtl/>
        </w:rPr>
        <w:t xml:space="preserve"> ייקבע להלן </w:t>
      </w:r>
      <w:r>
        <w:rPr>
          <w:b/>
          <w:bCs/>
          <w:rtl/>
        </w:rPr>
        <w:t>מתחם עונש הולם יחיד לאירוע כולו וייגזר עונש כולל לכל העבירות בשל אותו אירוע.</w:t>
      </w:r>
      <w:r>
        <w:rPr>
          <w:rtl/>
        </w:rPr>
        <w:t xml:space="preserve">  </w:t>
      </w:r>
    </w:p>
    <w:p w14:paraId="015CAA06" w14:textId="77777777" w:rsidR="007B0FCC" w:rsidRDefault="007B0FCC" w:rsidP="007B0FCC">
      <w:pPr>
        <w:spacing w:line="360" w:lineRule="auto"/>
        <w:jc w:val="both"/>
        <w:rPr>
          <w:rFonts w:ascii="David" w:hAnsi="David"/>
        </w:rPr>
      </w:pPr>
    </w:p>
    <w:p w14:paraId="5AF34FAA" w14:textId="77777777" w:rsidR="007B0FCC" w:rsidRDefault="007B0FCC" w:rsidP="007B0FCC">
      <w:pPr>
        <w:spacing w:line="360" w:lineRule="auto"/>
        <w:jc w:val="both"/>
        <w:rPr>
          <w:rFonts w:ascii="David" w:hAnsi="David"/>
          <w:b/>
          <w:bCs/>
          <w:rtl/>
        </w:rPr>
      </w:pPr>
      <w:r>
        <w:rPr>
          <w:rFonts w:ascii="David" w:hAnsi="David"/>
          <w:rtl/>
        </w:rPr>
        <w:t xml:space="preserve">בבואי לקבוע את מתחם העונש ההולם את מעשיו של הנאשם, ראוי למפות את הערכים החברתיים שבהם פגעו מעשיו: </w:t>
      </w:r>
      <w:r>
        <w:rPr>
          <w:rFonts w:ascii="David" w:hAnsi="David"/>
          <w:b/>
          <w:bCs/>
          <w:rtl/>
        </w:rPr>
        <w:t>קדושת החיים</w:t>
      </w:r>
      <w:r>
        <w:rPr>
          <w:rFonts w:ascii="David" w:hAnsi="David"/>
          <w:rtl/>
        </w:rPr>
        <w:t xml:space="preserve"> (שאותה סיכן במעשיו), </w:t>
      </w:r>
      <w:r>
        <w:rPr>
          <w:rFonts w:ascii="David" w:hAnsi="David"/>
          <w:b/>
          <w:bCs/>
          <w:rtl/>
        </w:rPr>
        <w:t>שלטון החוק,</w:t>
      </w:r>
      <w:r>
        <w:rPr>
          <w:rFonts w:ascii="David" w:hAnsi="David"/>
          <w:rtl/>
        </w:rPr>
        <w:t xml:space="preserve"> ז</w:t>
      </w:r>
      <w:r>
        <w:rPr>
          <w:rFonts w:ascii="David" w:hAnsi="David"/>
          <w:b/>
          <w:bCs/>
          <w:rtl/>
        </w:rPr>
        <w:t xml:space="preserve">כותם של בני-אדם להגנה על קניינם וזכותם לחיות בשלווה באזור מגוריהם. מידת פגיעת מעשיו של הנאשם בערכים אלו מהותית.  </w:t>
      </w:r>
    </w:p>
    <w:p w14:paraId="43442266" w14:textId="77777777" w:rsidR="007B0FCC" w:rsidRDefault="007B0FCC" w:rsidP="007B0FCC">
      <w:pPr>
        <w:spacing w:line="360" w:lineRule="auto"/>
        <w:jc w:val="both"/>
        <w:rPr>
          <w:rFonts w:ascii="David" w:hAnsi="David"/>
          <w:b/>
          <w:bCs/>
          <w:rtl/>
        </w:rPr>
      </w:pPr>
    </w:p>
    <w:p w14:paraId="27E868BD" w14:textId="77777777" w:rsidR="007B0FCC" w:rsidRDefault="007B0FCC" w:rsidP="007B0FCC">
      <w:pPr>
        <w:spacing w:line="360" w:lineRule="auto"/>
        <w:jc w:val="both"/>
        <w:rPr>
          <w:rtl/>
        </w:rPr>
      </w:pPr>
      <w:r>
        <w:rPr>
          <w:b/>
          <w:bCs/>
          <w:rtl/>
        </w:rPr>
        <w:t>מדיניות הענישה בכגון דא מחמירה</w:t>
      </w:r>
      <w:r>
        <w:rPr>
          <w:rtl/>
        </w:rPr>
        <w:t xml:space="preserve">. בתי-המשפט ובראשם בית-המשפט העליון עמדו לא פעם על החשיבות במיגור תת-התרבות האלימה, הפושה בחברה בישראל, בפרט </w:t>
      </w:r>
      <w:r>
        <w:rPr>
          <w:rFonts w:ascii="David" w:hAnsi="David"/>
          <w:rtl/>
        </w:rPr>
        <w:t xml:space="preserve">על רקע הגל הגואה של החזקת נשק שלא כחוק (ראו למשל, לאחרונה: </w:t>
      </w:r>
      <w:hyperlink r:id="rId35" w:history="1">
        <w:r w:rsidR="00766A9A" w:rsidRPr="00766A9A">
          <w:rPr>
            <w:rFonts w:ascii="David" w:hAnsi="David"/>
            <w:color w:val="0000FF"/>
            <w:u w:val="single"/>
            <w:rtl/>
          </w:rPr>
          <w:t>ע"פ 5522/20</w:t>
        </w:r>
      </w:hyperlink>
      <w:r>
        <w:rPr>
          <w:rFonts w:ascii="David" w:hAnsi="David"/>
          <w:rtl/>
        </w:rPr>
        <w:t xml:space="preserve"> </w:t>
      </w:r>
      <w:r>
        <w:rPr>
          <w:rFonts w:ascii="David" w:hAnsi="David"/>
          <w:b/>
          <w:bCs/>
          <w:rtl/>
        </w:rPr>
        <w:t>חלייחל נ' מדינת ישראל,</w:t>
      </w:r>
      <w:r>
        <w:rPr>
          <w:rFonts w:ascii="David" w:hAnsi="David"/>
          <w:rtl/>
        </w:rPr>
        <w:t xml:space="preserve"> ניתן ביום 24.2.21). </w:t>
      </w:r>
      <w:r>
        <w:rPr>
          <w:rtl/>
        </w:rPr>
        <w:t xml:space="preserve"> הדרך למגר תופעה זו היא, ככלל, על-ידי הטלת ענישה מחמירה המתבטאת בעונשי מאסר מאחורי סורג ובריח על-מנת להרתיע. עמד על כך כב' השופט י' דנציגר, במסגרתו של  </w:t>
      </w:r>
      <w:hyperlink r:id="rId36" w:history="1">
        <w:r w:rsidR="00766A9A" w:rsidRPr="00766A9A">
          <w:rPr>
            <w:color w:val="0000FF"/>
            <w:u w:val="single"/>
            <w:rtl/>
          </w:rPr>
          <w:t>ע"פ 3863/09</w:t>
        </w:r>
      </w:hyperlink>
      <w:r>
        <w:rPr>
          <w:rtl/>
        </w:rPr>
        <w:t xml:space="preserve"> </w:t>
      </w:r>
      <w:r>
        <w:rPr>
          <w:b/>
          <w:bCs/>
          <w:rtl/>
        </w:rPr>
        <w:t>מדינת ישראל נ' חסן</w:t>
      </w:r>
      <w:r>
        <w:rPr>
          <w:rtl/>
        </w:rPr>
        <w:t xml:space="preserve"> (ניתן ביום 10.11.09), בציינו כדלהלן: </w:t>
      </w:r>
    </w:p>
    <w:p w14:paraId="1A06F1A8" w14:textId="77777777" w:rsidR="007B0FCC" w:rsidRDefault="007B0FCC" w:rsidP="007B0FCC">
      <w:pPr>
        <w:spacing w:line="276" w:lineRule="auto"/>
        <w:ind w:left="1218" w:right="1134"/>
        <w:jc w:val="both"/>
        <w:rPr>
          <w:rFonts w:cs="Miriam"/>
          <w:rtl/>
        </w:rPr>
      </w:pPr>
      <w:r>
        <w:rPr>
          <w:rFonts w:cs="Miriam"/>
          <w:rtl/>
        </w:rPr>
        <w:t xml:space="preserve">"..קיים אינטרס ציבורי מובהק וחד משמעי בהרתעת היחיד והרתעת הרבים מפני נקיטה בדרך של כוח ואלימות ליישוב מחלוקות וסכסוכים ...יש לשוב ולהדגיש כי זכותו של כל אדם לחיים ולשלמות הגוף היא זכות יסוד מקודשת ואין להתיר לאיש לפגוע בזכות זו. יש להלחם באלימות שפשטה בחברה הישראלית על כל צורותיה וגווניה, אם בתוך המשפחה ואם מחוצה לה, אם בקרב בני נוער ואם בקרב מבוגרים. נגע האלימות הינו רעה חולה שיש לבערה מן היסוד, ומן הראוי שידע כל איש ותדע כל אישה כי אם יבחרו בדרך האלימות ייטו בתי המשפט להשית עליהם עונשי מאסר משמעותיים ומרתיעים מאחורי סורג ובריח".  </w:t>
      </w:r>
    </w:p>
    <w:p w14:paraId="17716917" w14:textId="77777777" w:rsidR="007B0FCC" w:rsidRDefault="007B0FCC" w:rsidP="007B0FCC">
      <w:pPr>
        <w:spacing w:line="360" w:lineRule="auto"/>
        <w:jc w:val="both"/>
        <w:rPr>
          <w:rFonts w:ascii="David" w:hAnsi="David"/>
        </w:rPr>
      </w:pPr>
    </w:p>
    <w:p w14:paraId="74D94D87" w14:textId="77777777" w:rsidR="007B0FCC" w:rsidRDefault="007B0FCC" w:rsidP="007B0FCC">
      <w:pPr>
        <w:spacing w:line="360" w:lineRule="auto"/>
        <w:jc w:val="both"/>
        <w:rPr>
          <w:rtl/>
        </w:rPr>
      </w:pPr>
      <w:r>
        <w:rPr>
          <w:rtl/>
        </w:rPr>
        <w:t xml:space="preserve">על מנת לשרטט כדבעי את מתחם העונש ההולם בעניינו של הנאשם, עיינתי בפסיקה רחבה העוסקת בעבירות שבגינן הורשע במקרה דנן, </w:t>
      </w:r>
      <w:r>
        <w:rPr>
          <w:b/>
          <w:bCs/>
          <w:rtl/>
        </w:rPr>
        <w:t xml:space="preserve">בדגש על העבירות שעניינן </w:t>
      </w:r>
      <w:r>
        <w:rPr>
          <w:rtl/>
        </w:rPr>
        <w:t>(ניסיון ל-)</w:t>
      </w:r>
      <w:r>
        <w:rPr>
          <w:b/>
          <w:bCs/>
          <w:rtl/>
        </w:rPr>
        <w:t xml:space="preserve"> חבלה חמורה בנסיבות מחמירות</w:t>
      </w:r>
      <w:r>
        <w:rPr>
          <w:rtl/>
        </w:rPr>
        <w:t xml:space="preserve"> </w:t>
      </w:r>
      <w:r>
        <w:rPr>
          <w:b/>
          <w:bCs/>
          <w:rtl/>
        </w:rPr>
        <w:t>ונשיאת נשק שלא כדין</w:t>
      </w:r>
      <w:r>
        <w:rPr>
          <w:rtl/>
        </w:rPr>
        <w:t xml:space="preserve">. כאן המקום לציין, כי </w:t>
      </w:r>
      <w:r>
        <w:rPr>
          <w:u w:val="single"/>
          <w:rtl/>
        </w:rPr>
        <w:t xml:space="preserve">מדיניות הענישה הנהוגה במקרים אלו הינה מגוונת ותלויה </w:t>
      </w:r>
      <w:r>
        <w:rPr>
          <w:b/>
          <w:bCs/>
          <w:u w:val="single"/>
          <w:rtl/>
        </w:rPr>
        <w:t xml:space="preserve">בנסיבותיו </w:t>
      </w:r>
      <w:r>
        <w:rPr>
          <w:u w:val="single"/>
          <w:rtl/>
        </w:rPr>
        <w:t>של כל מקרה ומקרה</w:t>
      </w:r>
      <w:r>
        <w:rPr>
          <w:rtl/>
        </w:rPr>
        <w:t xml:space="preserve"> (ראו לעניין זה: </w:t>
      </w:r>
      <w:hyperlink r:id="rId37" w:history="1">
        <w:r w:rsidR="00766A9A" w:rsidRPr="00766A9A">
          <w:rPr>
            <w:color w:val="0000FF"/>
            <w:u w:val="single"/>
            <w:rtl/>
          </w:rPr>
          <w:t>ע"פ 9168/18</w:t>
        </w:r>
      </w:hyperlink>
      <w:r>
        <w:rPr>
          <w:rtl/>
        </w:rPr>
        <w:t xml:space="preserve"> </w:t>
      </w:r>
      <w:r>
        <w:rPr>
          <w:b/>
          <w:bCs/>
          <w:rtl/>
        </w:rPr>
        <w:t>קשור נ' מדינת ישראל</w:t>
      </w:r>
      <w:r>
        <w:rPr>
          <w:rtl/>
        </w:rPr>
        <w:t xml:space="preserve">, פסקה 11, ניתן ביום 26.2.19).  </w:t>
      </w:r>
    </w:p>
    <w:p w14:paraId="4F801A65" w14:textId="77777777" w:rsidR="007B0FCC" w:rsidRDefault="007B0FCC" w:rsidP="007B0FCC">
      <w:pPr>
        <w:spacing w:line="360" w:lineRule="auto"/>
        <w:jc w:val="both"/>
        <w:rPr>
          <w:rFonts w:ascii="David" w:hAnsi="David"/>
        </w:rPr>
      </w:pPr>
    </w:p>
    <w:p w14:paraId="00817354" w14:textId="77777777" w:rsidR="007B0FCC" w:rsidRDefault="007B0FCC" w:rsidP="007B0FCC">
      <w:pPr>
        <w:spacing w:line="360" w:lineRule="auto"/>
        <w:jc w:val="both"/>
        <w:rPr>
          <w:rtl/>
        </w:rPr>
      </w:pPr>
      <w:r>
        <w:rPr>
          <w:rtl/>
        </w:rPr>
        <w:t xml:space="preserve">ככלל, מתאימים לענייננו הדברים שכתב כב' השופט י' דנציגר, במסגרתו של </w:t>
      </w:r>
      <w:hyperlink r:id="rId38" w:history="1">
        <w:r w:rsidR="00766A9A" w:rsidRPr="00766A9A">
          <w:rPr>
            <w:color w:val="0000FF"/>
            <w:u w:val="single"/>
            <w:rtl/>
          </w:rPr>
          <w:t>ע"פ 7475/14</w:t>
        </w:r>
      </w:hyperlink>
      <w:r>
        <w:rPr>
          <w:rtl/>
        </w:rPr>
        <w:t xml:space="preserve"> </w:t>
      </w:r>
      <w:r>
        <w:rPr>
          <w:b/>
          <w:bCs/>
          <w:rtl/>
        </w:rPr>
        <w:t>מהדי נ' מדינת ישראל</w:t>
      </w:r>
      <w:r>
        <w:rPr>
          <w:rtl/>
        </w:rPr>
        <w:t xml:space="preserve"> (ניתן ביום 25.12.14), הנוגעים לעבירה שעניינה חבלה חמורה בנסיבות מחמירות : </w:t>
      </w:r>
    </w:p>
    <w:p w14:paraId="013220CE" w14:textId="77777777" w:rsidR="007B0FCC" w:rsidRDefault="007B0FCC" w:rsidP="007B0FCC">
      <w:pPr>
        <w:spacing w:line="360" w:lineRule="auto"/>
        <w:jc w:val="both"/>
        <w:rPr>
          <w:rtl/>
        </w:rPr>
      </w:pPr>
    </w:p>
    <w:p w14:paraId="7B2136A8" w14:textId="77777777" w:rsidR="007B0FCC" w:rsidRDefault="007B0FCC" w:rsidP="007B0FCC">
      <w:pPr>
        <w:spacing w:line="276" w:lineRule="auto"/>
        <w:ind w:left="1076" w:right="1134" w:hanging="142"/>
        <w:jc w:val="both"/>
        <w:rPr>
          <w:rtl/>
        </w:rPr>
      </w:pPr>
      <w:r>
        <w:rPr>
          <w:rFonts w:cs="Miriam"/>
          <w:rtl/>
        </w:rPr>
        <w:t>" כנקודת מוצא לדיון יש לשוב ולהדגיש כי העבירה שבה הורשע המערער - חבלה חמורה בנסיבות מחמירות, לפי סעיף 333 ל</w:t>
      </w:r>
      <w:hyperlink r:id="rId39" w:history="1">
        <w:r w:rsidR="00766A9A" w:rsidRPr="00766A9A">
          <w:rPr>
            <w:rFonts w:cs="Miriam"/>
            <w:color w:val="0000FF"/>
            <w:u w:val="single"/>
            <w:rtl/>
          </w:rPr>
          <w:t>חוק העונשין</w:t>
        </w:r>
      </w:hyperlink>
      <w:r>
        <w:rPr>
          <w:rFonts w:cs="Miriam"/>
          <w:rtl/>
        </w:rPr>
        <w:t xml:space="preserve"> ביחד עם סעיף 335(א)(1) לחוק - הינה עבירת אלימות חמורה שהעונש המירבי הקבוע בצידה הינו 14 שנות מאסר בפועל. בפסיקת בית משפט זה ניכרת בשנים האחרונות מגמה ברורה של החמרה בענישה בעבירות אלימות באופן כללי ובעבירת החבלה החמורה בנסיבות מחמירות באופן ספציפי. בית משפט זה ציין לא אחת כי יש להילחם בנגע האלימות שפשט בארצנו וכי תרומתו של בית המשפט למלחמה זו הינה בהטלת עונשים מרתיעים ומשמעותיים שישקפו מסר מרתיע לעבריינים ולחברה כולה. לפיכך נקבע כי ככלל ענישה זו צריכה לכלול רכיב משמעותי של מאסר בפועל מאחורי סורג ובריח..." </w:t>
      </w:r>
    </w:p>
    <w:p w14:paraId="443ABCBC" w14:textId="77777777" w:rsidR="007B0FCC" w:rsidRDefault="007B0FCC" w:rsidP="007B0FCC">
      <w:pPr>
        <w:spacing w:line="276" w:lineRule="auto"/>
        <w:ind w:left="1076" w:right="1134" w:hanging="142"/>
        <w:jc w:val="both"/>
        <w:rPr>
          <w:rtl/>
        </w:rPr>
      </w:pPr>
    </w:p>
    <w:p w14:paraId="1C67409B" w14:textId="77777777" w:rsidR="007B0FCC" w:rsidRDefault="007B0FCC" w:rsidP="007B0FCC">
      <w:pPr>
        <w:spacing w:line="276" w:lineRule="auto"/>
        <w:ind w:left="1371" w:right="1418" w:hanging="142"/>
        <w:jc w:val="both"/>
        <w:rPr>
          <w:highlight w:val="yellow"/>
          <w:rtl/>
        </w:rPr>
      </w:pPr>
    </w:p>
    <w:p w14:paraId="402638A6" w14:textId="77777777" w:rsidR="007B0FCC" w:rsidRDefault="007B0FCC" w:rsidP="007B0FCC">
      <w:pPr>
        <w:spacing w:line="360" w:lineRule="auto"/>
        <w:jc w:val="both"/>
        <w:rPr>
          <w:rtl/>
        </w:rPr>
      </w:pPr>
      <w:r>
        <w:rPr>
          <w:rtl/>
        </w:rPr>
        <w:t xml:space="preserve">כך למשל, בפרשה שנדונה במסגרת </w:t>
      </w:r>
      <w:hyperlink r:id="rId40" w:history="1">
        <w:r w:rsidR="00766A9A" w:rsidRPr="00766A9A">
          <w:rPr>
            <w:color w:val="0000FF"/>
            <w:u w:val="single"/>
            <w:rtl/>
          </w:rPr>
          <w:t>ע"פ 6383/12</w:t>
        </w:r>
      </w:hyperlink>
      <w:r>
        <w:rPr>
          <w:rtl/>
        </w:rPr>
        <w:t xml:space="preserve"> </w:t>
      </w:r>
      <w:r>
        <w:rPr>
          <w:b/>
          <w:bCs/>
          <w:rtl/>
        </w:rPr>
        <w:t xml:space="preserve">חאלד נ' מדינת ישראל </w:t>
      </w:r>
      <w:r>
        <w:rPr>
          <w:rtl/>
        </w:rPr>
        <w:t xml:space="preserve">(ניתן ביום 29.9.14) קיבל בית המשפט העליון ערעור על גזר דינו של בית המשפט המחוזי בחיפה, שבמסגרתו הושת על המערער עונש מאסר </w:t>
      </w:r>
      <w:r>
        <w:rPr>
          <w:rtl/>
          <w:lang w:eastAsia="he-IL"/>
        </w:rPr>
        <w:t xml:space="preserve">בן 8 שנות מאסר לריצוי בפועל. </w:t>
      </w:r>
      <w:r>
        <w:rPr>
          <w:rtl/>
        </w:rPr>
        <w:t xml:space="preserve">עונש זה הוטל על המערער בגין ביצוען של עבירות </w:t>
      </w:r>
      <w:r>
        <w:rPr>
          <w:rtl/>
          <w:lang w:eastAsia="he-IL"/>
        </w:rPr>
        <w:t xml:space="preserve">שעניינן </w:t>
      </w:r>
      <w:r>
        <w:rPr>
          <w:b/>
          <w:bCs/>
          <w:rtl/>
        </w:rPr>
        <w:t>חבלה חמורה בנסיבות מחמירות</w:t>
      </w:r>
      <w:r>
        <w:rPr>
          <w:rtl/>
        </w:rPr>
        <w:t xml:space="preserve"> לפי </w:t>
      </w:r>
      <w:hyperlink r:id="rId41" w:history="1">
        <w:r w:rsidR="005F4DE5" w:rsidRPr="005F4DE5">
          <w:rPr>
            <w:rStyle w:val="Hyperlink"/>
            <w:rFonts w:ascii="Arial" w:hAnsi="Arial"/>
            <w:rtl/>
          </w:rPr>
          <w:t>סעיפים 333</w:t>
        </w:r>
      </w:hyperlink>
      <w:r>
        <w:rPr>
          <w:rFonts w:ascii="Arial" w:hAnsi="Arial"/>
          <w:rtl/>
        </w:rPr>
        <w:t xml:space="preserve"> ו- </w:t>
      </w:r>
      <w:hyperlink r:id="rId42" w:history="1">
        <w:r w:rsidR="005F4DE5" w:rsidRPr="005F4DE5">
          <w:rPr>
            <w:rStyle w:val="Hyperlink"/>
            <w:rFonts w:ascii="Arial" w:hAnsi="Arial"/>
            <w:rtl/>
          </w:rPr>
          <w:t>335(א)(1)</w:t>
        </w:r>
      </w:hyperlink>
      <w:r>
        <w:rPr>
          <w:rFonts w:ascii="Arial" w:hAnsi="Arial"/>
          <w:rtl/>
        </w:rPr>
        <w:t xml:space="preserve"> ל</w:t>
      </w:r>
      <w:hyperlink r:id="rId43" w:history="1">
        <w:r w:rsidR="00766A9A" w:rsidRPr="00766A9A">
          <w:rPr>
            <w:rFonts w:ascii="Arial" w:hAnsi="Arial"/>
            <w:color w:val="0000FF"/>
            <w:u w:val="single"/>
            <w:rtl/>
          </w:rPr>
          <w:t>חוק העונשין</w:t>
        </w:r>
      </w:hyperlink>
      <w:r>
        <w:rPr>
          <w:rFonts w:ascii="Arial" w:hAnsi="Arial"/>
          <w:rtl/>
        </w:rPr>
        <w:t xml:space="preserve">; </w:t>
      </w:r>
      <w:r>
        <w:rPr>
          <w:b/>
          <w:bCs/>
          <w:rtl/>
        </w:rPr>
        <w:t>ונשיאת נשק והובלתו</w:t>
      </w:r>
      <w:r>
        <w:rPr>
          <w:rtl/>
        </w:rPr>
        <w:t xml:space="preserve">, על פי סעיף </w:t>
      </w:r>
      <w:hyperlink r:id="rId44" w:history="1">
        <w:r w:rsidR="005F4DE5" w:rsidRPr="005F4DE5">
          <w:rPr>
            <w:rStyle w:val="Hyperlink"/>
            <w:rtl/>
          </w:rPr>
          <w:t>144(ב)</w:t>
        </w:r>
      </w:hyperlink>
      <w:r>
        <w:rPr>
          <w:rtl/>
        </w:rPr>
        <w:t xml:space="preserve"> לחוק העונשין</w:t>
      </w:r>
      <w:r>
        <w:rPr>
          <w:rFonts w:ascii="Arial" w:hAnsi="Arial"/>
          <w:rtl/>
        </w:rPr>
        <w:t>.</w:t>
      </w:r>
      <w:r>
        <w:rPr>
          <w:rtl/>
        </w:rPr>
        <w:t xml:space="preserve"> עובדות מקרה זה לימדו, כי בעקבות סכסוך שהתגלע בין המערער לבין המתלונן, הגיע המערער, כשהוא נוהג ברכב ולצדו נוסע נוסף (אחר) לקרבת מוסך המצוי בכפר כאבול. המערער החזיק ברכבו, ללא היתר כדין, אקדח הטעון בתחמושת. משהגיע המערער למוסך, הוא הבחין במתלונן כשהוא יושב ברכבו. בשלב זה, חסם המערער באמצעות רכבו את דרכו של רכב המתלונן. המתלונן, אשר הבחין במעשה, יצא מרכבו והחל לברוח לתוך המוסך. או אז, ירדו המערער והאחר מרכבם, כאשר המערער מחזיק בידו אקדח ואילו האחר מחזיק בכלי נשק קר. המערער החל לרדוף אחר המתלונן, תוך שהוא יורה לעברו מאקדחו. המערער ירה לעבר המתלונן לפחות 4 כדורים ופגע ברגלו הימנית. לאחר שהמתלונן נפגע ונפל לרצפה, הגיע למקום אדם שזהותו אינה ידועה למאשימה, ודחף את המערער הצידה. לאחר מכן, עזב המערער את המקום. כתוצאה ממעשיו של המערער, נגרם למתלונן פצע ירי בעצם הירך הימנית והוא נזקק לניתוח. בית המשפט העליון כאמור קיבל את הערעור והעמיד את עונשו של המערער על </w:t>
      </w:r>
      <w:r>
        <w:rPr>
          <w:b/>
          <w:bCs/>
          <w:rtl/>
        </w:rPr>
        <w:t xml:space="preserve">6 שנות מאסר לריצוי בפועל. </w:t>
      </w:r>
      <w:r>
        <w:rPr>
          <w:rtl/>
        </w:rPr>
        <w:t xml:space="preserve">צוין, כי בית המשפט קמא החמיר יתר על המידה עם המערער, מבלי שניתן משקל ראוי לעובדה כי זוהי הסתבכותו הראשונה והיחידה עם החוק; להודאתו של המערער באשמה והבעת חרטתו של מעשיו; לגילו הצעיר של המערער במועד ביצוע העבירה; ולפוטנציאל שיקומו. </w:t>
      </w:r>
    </w:p>
    <w:p w14:paraId="155816F1" w14:textId="77777777" w:rsidR="007B0FCC" w:rsidRDefault="007B0FCC" w:rsidP="007B0FCC">
      <w:pPr>
        <w:spacing w:line="276" w:lineRule="auto"/>
        <w:ind w:left="1371" w:right="1418" w:hanging="142"/>
        <w:jc w:val="both"/>
        <w:rPr>
          <w:rtl/>
        </w:rPr>
      </w:pPr>
    </w:p>
    <w:p w14:paraId="6F74DED5" w14:textId="77777777" w:rsidR="007B0FCC" w:rsidRDefault="007B0FCC" w:rsidP="007B0FCC">
      <w:pPr>
        <w:spacing w:line="360" w:lineRule="auto"/>
        <w:jc w:val="both"/>
        <w:rPr>
          <w:rtl/>
        </w:rPr>
      </w:pPr>
      <w:r>
        <w:rPr>
          <w:rtl/>
        </w:rPr>
        <w:t xml:space="preserve">בפרשה נוספת שנדונה במסגרת </w:t>
      </w:r>
      <w:hyperlink r:id="rId45" w:history="1">
        <w:r w:rsidR="00766A9A" w:rsidRPr="00766A9A">
          <w:rPr>
            <w:color w:val="0000FF"/>
            <w:u w:val="single"/>
            <w:rtl/>
          </w:rPr>
          <w:t>ע"פ 1244/15</w:t>
        </w:r>
      </w:hyperlink>
      <w:r>
        <w:rPr>
          <w:rtl/>
        </w:rPr>
        <w:t xml:space="preserve"> </w:t>
      </w:r>
      <w:r>
        <w:rPr>
          <w:b/>
          <w:bCs/>
          <w:rtl/>
        </w:rPr>
        <w:t xml:space="preserve">אבו אעמר נ' מדינת ישראל </w:t>
      </w:r>
      <w:r>
        <w:rPr>
          <w:rtl/>
        </w:rPr>
        <w:t xml:space="preserve">(ניתן ביום 18.4.16) קיבל בית המשפט העליון ערעור על פסק דינו של בית המשפט המחוזי בחיפה, שבמסגרתו הושת על המערער עונש מאסר </w:t>
      </w:r>
      <w:r>
        <w:rPr>
          <w:rtl/>
          <w:lang w:eastAsia="he-IL"/>
        </w:rPr>
        <w:t xml:space="preserve">בן 4 שנות מאסר לריצוי בפועל. </w:t>
      </w:r>
      <w:r>
        <w:rPr>
          <w:rtl/>
        </w:rPr>
        <w:t xml:space="preserve">עונש זה הוטל על המערער בגין ביצוען של עבירות </w:t>
      </w:r>
      <w:r>
        <w:rPr>
          <w:rtl/>
          <w:lang w:eastAsia="he-IL"/>
        </w:rPr>
        <w:t xml:space="preserve">שעניינן </w:t>
      </w:r>
      <w:r>
        <w:rPr>
          <w:b/>
          <w:bCs/>
          <w:rtl/>
        </w:rPr>
        <w:t>ניסיון לחבלה חמורה בנסיבות מחמירות</w:t>
      </w:r>
      <w:r>
        <w:rPr>
          <w:rtl/>
        </w:rPr>
        <w:t xml:space="preserve"> לפי </w:t>
      </w:r>
      <w:hyperlink r:id="rId46" w:history="1">
        <w:r w:rsidR="005F4DE5" w:rsidRPr="005F4DE5">
          <w:rPr>
            <w:rStyle w:val="Hyperlink"/>
            <w:rFonts w:ascii="Arial" w:hAnsi="Arial"/>
            <w:rtl/>
          </w:rPr>
          <w:t>סעיפים 333</w:t>
        </w:r>
      </w:hyperlink>
      <w:r>
        <w:rPr>
          <w:rFonts w:ascii="Arial" w:hAnsi="Arial"/>
          <w:rtl/>
        </w:rPr>
        <w:t xml:space="preserve">, </w:t>
      </w:r>
      <w:hyperlink r:id="rId47" w:history="1">
        <w:r w:rsidR="005F4DE5" w:rsidRPr="005F4DE5">
          <w:rPr>
            <w:rStyle w:val="Hyperlink"/>
            <w:rFonts w:ascii="Arial" w:hAnsi="Arial"/>
            <w:rtl/>
          </w:rPr>
          <w:t>335(א)(1)</w:t>
        </w:r>
      </w:hyperlink>
      <w:r>
        <w:rPr>
          <w:rFonts w:ascii="Arial" w:hAnsi="Arial"/>
          <w:rtl/>
        </w:rPr>
        <w:t xml:space="preserve"> ו- </w:t>
      </w:r>
      <w:hyperlink r:id="rId48" w:history="1">
        <w:r w:rsidR="005F4DE5" w:rsidRPr="005F4DE5">
          <w:rPr>
            <w:rStyle w:val="Hyperlink"/>
            <w:rFonts w:ascii="Arial" w:hAnsi="Arial"/>
            <w:rtl/>
          </w:rPr>
          <w:t>25</w:t>
        </w:r>
      </w:hyperlink>
      <w:r>
        <w:rPr>
          <w:rFonts w:ascii="Arial" w:hAnsi="Arial"/>
          <w:rtl/>
        </w:rPr>
        <w:t xml:space="preserve"> ל</w:t>
      </w:r>
      <w:hyperlink r:id="rId49" w:history="1">
        <w:r w:rsidR="00766A9A" w:rsidRPr="00766A9A">
          <w:rPr>
            <w:rFonts w:ascii="Arial" w:hAnsi="Arial"/>
            <w:color w:val="0000FF"/>
            <w:u w:val="single"/>
            <w:rtl/>
          </w:rPr>
          <w:t>חוק העונשין</w:t>
        </w:r>
      </w:hyperlink>
      <w:r>
        <w:rPr>
          <w:rFonts w:ascii="Arial" w:hAnsi="Arial"/>
          <w:rtl/>
        </w:rPr>
        <w:t xml:space="preserve">; </w:t>
      </w:r>
      <w:r>
        <w:rPr>
          <w:b/>
          <w:bCs/>
          <w:rtl/>
        </w:rPr>
        <w:t>החזקת נשק</w:t>
      </w:r>
      <w:r>
        <w:rPr>
          <w:rtl/>
        </w:rPr>
        <w:t xml:space="preserve">, על פי </w:t>
      </w:r>
      <w:hyperlink r:id="rId50" w:history="1">
        <w:r w:rsidR="005F4DE5" w:rsidRPr="005F4DE5">
          <w:rPr>
            <w:rStyle w:val="Hyperlink"/>
            <w:rtl/>
          </w:rPr>
          <w:t>סעיף 144(א)</w:t>
        </w:r>
      </w:hyperlink>
      <w:r>
        <w:rPr>
          <w:rtl/>
        </w:rPr>
        <w:t xml:space="preserve"> לחוק העונשין</w:t>
      </w:r>
      <w:r>
        <w:rPr>
          <w:rFonts w:ascii="Arial" w:hAnsi="Arial"/>
          <w:rtl/>
        </w:rPr>
        <w:t>.</w:t>
      </w:r>
      <w:r>
        <w:rPr>
          <w:rtl/>
        </w:rPr>
        <w:t xml:space="preserve"> עובדות מקרה זה לימדו, כי המתלונן והנאשם הם שכנים בעיר רהט. בסמוך לבית המתלונן מוצב ספסל בטון. עובר לאירוע התגלעו מחלוקות, בין המתלונן ובני משפחתו לבין הנאשם וחבריו, באשר לאופן השימוש באותו ספסל. על מנת למנוע מהנאשם וחבריו לשבת על הספסל, משח המתלונן את הספסל בשמן. מאוחר יותר באותו יום, ישב המתלונן ברכבו, והמתין לפתיחת השער החשמלי של החנייה בביתו. במושב שלידו ישב בנו, כבן 18. באותה העת, ניגש הנאשם אל רכבו של המתלונן, כשהוא אוחז בידו אקדח, נקש על חלון הנהג ואמר למתלונן :"אם תעשה את זה עוד פעם אני אראה לך". המתלונן אמר לנאשם לחזור הביתה. הנאשם בתגובה התרחק מעט מהרכב וירה מספר יריות לעבר דלת הנהג, כאשר הוא מנסה לחבול ביושבי הרכב, ונמלט מהמקום. כתוצאה ממעשיו של הנאשם שלושה מהקליעים פגעו בדלת הנהג ברכב, וחלקם חדרו. המתלונן והקטין לא נפגעו. בית המשפט העליון כאמור קיבל את הערעור והעמיד את עונשו של המערער על </w:t>
      </w:r>
      <w:r>
        <w:rPr>
          <w:b/>
          <w:bCs/>
          <w:rtl/>
        </w:rPr>
        <w:t xml:space="preserve">44 חודשי מאסר לריצוי בפועל. </w:t>
      </w:r>
      <w:r>
        <w:rPr>
          <w:rtl/>
        </w:rPr>
        <w:t xml:space="preserve"> צוין, כי בשל מספר טעמים (גילו הצעיר של המערער; תסקיר שירות המבחן בעניינו; העבודה שנערכה סולחה ושולם הפיצוי במלואו) נמצא לנכון להקל בעונש.  </w:t>
      </w:r>
    </w:p>
    <w:p w14:paraId="719595ED" w14:textId="77777777" w:rsidR="007B0FCC" w:rsidRDefault="007B0FCC" w:rsidP="007B0FCC">
      <w:pPr>
        <w:spacing w:line="360" w:lineRule="auto"/>
        <w:jc w:val="both"/>
        <w:rPr>
          <w:rtl/>
        </w:rPr>
      </w:pPr>
    </w:p>
    <w:p w14:paraId="12A58B61" w14:textId="77777777" w:rsidR="007B0FCC" w:rsidRDefault="007B0FCC" w:rsidP="007B0FCC">
      <w:pPr>
        <w:spacing w:line="360" w:lineRule="auto"/>
        <w:jc w:val="both"/>
        <w:rPr>
          <w:rtl/>
        </w:rPr>
      </w:pPr>
      <w:r>
        <w:rPr>
          <w:rtl/>
        </w:rPr>
        <w:t xml:space="preserve">ראו בנוסף: ע"פ 1120/12 </w:t>
      </w:r>
      <w:r>
        <w:rPr>
          <w:b/>
          <w:bCs/>
          <w:rtl/>
        </w:rPr>
        <w:t>מדינת ישראל נ' תיתי</w:t>
      </w:r>
      <w:r>
        <w:rPr>
          <w:rtl/>
        </w:rPr>
        <w:t xml:space="preserve">, ניתן ביום 16.11.15; </w:t>
      </w:r>
      <w:hyperlink r:id="rId51" w:history="1">
        <w:r w:rsidR="00766A9A" w:rsidRPr="00766A9A">
          <w:rPr>
            <w:color w:val="0000FF"/>
            <w:u w:val="single"/>
            <w:rtl/>
          </w:rPr>
          <w:t>ע"פ 4406/19</w:t>
        </w:r>
      </w:hyperlink>
      <w:r>
        <w:rPr>
          <w:rtl/>
        </w:rPr>
        <w:t xml:space="preserve"> </w:t>
      </w:r>
      <w:r>
        <w:rPr>
          <w:b/>
          <w:bCs/>
          <w:rtl/>
        </w:rPr>
        <w:t>מדינת ישראל נ' סובח</w:t>
      </w:r>
      <w:r>
        <w:rPr>
          <w:rtl/>
        </w:rPr>
        <w:t xml:space="preserve">, ניתן ביום 5.11.19.  </w:t>
      </w:r>
    </w:p>
    <w:p w14:paraId="73E0B977" w14:textId="77777777" w:rsidR="007B0FCC" w:rsidRDefault="007B0FCC" w:rsidP="007B0FCC">
      <w:pPr>
        <w:spacing w:line="360" w:lineRule="auto"/>
        <w:jc w:val="both"/>
        <w:rPr>
          <w:rFonts w:ascii="David" w:hAnsi="David"/>
          <w:rtl/>
        </w:rPr>
      </w:pPr>
    </w:p>
    <w:p w14:paraId="0F37F109" w14:textId="77777777" w:rsidR="007B0FCC" w:rsidRDefault="007B0FCC" w:rsidP="007B0FCC">
      <w:pPr>
        <w:spacing w:line="360" w:lineRule="auto"/>
        <w:jc w:val="both"/>
        <w:rPr>
          <w:rtl/>
        </w:rPr>
      </w:pPr>
      <w:r>
        <w:rPr>
          <w:rtl/>
        </w:rPr>
        <w:t>לפסיקה נוספת שעניינה</w:t>
      </w:r>
      <w:r>
        <w:rPr>
          <w:rtl/>
          <w:lang w:eastAsia="he-IL"/>
        </w:rPr>
        <w:t xml:space="preserve"> </w:t>
      </w:r>
      <w:r>
        <w:rPr>
          <w:b/>
          <w:bCs/>
          <w:rtl/>
        </w:rPr>
        <w:t>חבלה חמורה בנסיבות מחמירות</w:t>
      </w:r>
      <w:r>
        <w:rPr>
          <w:rtl/>
        </w:rPr>
        <w:t xml:space="preserve"> לפי </w:t>
      </w:r>
      <w:hyperlink r:id="rId52" w:history="1">
        <w:r w:rsidR="005F4DE5" w:rsidRPr="005F4DE5">
          <w:rPr>
            <w:rStyle w:val="Hyperlink"/>
            <w:rFonts w:ascii="Arial" w:hAnsi="Arial"/>
            <w:rtl/>
          </w:rPr>
          <w:t>סעיפים 333</w:t>
        </w:r>
      </w:hyperlink>
      <w:r>
        <w:rPr>
          <w:rFonts w:ascii="Arial" w:hAnsi="Arial"/>
          <w:rtl/>
        </w:rPr>
        <w:t xml:space="preserve"> ו- </w:t>
      </w:r>
      <w:hyperlink r:id="rId53" w:history="1">
        <w:r w:rsidR="005F4DE5" w:rsidRPr="005F4DE5">
          <w:rPr>
            <w:rStyle w:val="Hyperlink"/>
            <w:rFonts w:ascii="Arial" w:hAnsi="Arial"/>
            <w:rtl/>
          </w:rPr>
          <w:t>335(א)(1)</w:t>
        </w:r>
      </w:hyperlink>
      <w:r>
        <w:rPr>
          <w:rFonts w:ascii="Arial" w:hAnsi="Arial"/>
          <w:rtl/>
        </w:rPr>
        <w:t xml:space="preserve"> ל</w:t>
      </w:r>
      <w:hyperlink r:id="rId54" w:history="1">
        <w:r w:rsidR="00766A9A" w:rsidRPr="00766A9A">
          <w:rPr>
            <w:rFonts w:ascii="Arial" w:hAnsi="Arial"/>
            <w:color w:val="0000FF"/>
            <w:u w:val="single"/>
            <w:rtl/>
          </w:rPr>
          <w:t>חוק העונשין</w:t>
        </w:r>
      </w:hyperlink>
      <w:r>
        <w:rPr>
          <w:rFonts w:ascii="Arial" w:hAnsi="Arial"/>
          <w:rtl/>
        </w:rPr>
        <w:t xml:space="preserve"> (שלא באמצעות נשק חם, אלא "קר");</w:t>
      </w:r>
      <w:r>
        <w:rPr>
          <w:rFonts w:ascii="Arial" w:hAnsi="Arial"/>
        </w:rPr>
        <w:t xml:space="preserve"> </w:t>
      </w:r>
      <w:r>
        <w:rPr>
          <w:rFonts w:ascii="Arial" w:hAnsi="Arial"/>
          <w:b/>
          <w:bCs/>
          <w:rtl/>
        </w:rPr>
        <w:t xml:space="preserve">איומים </w:t>
      </w:r>
      <w:r>
        <w:rPr>
          <w:rFonts w:ascii="Arial" w:hAnsi="Arial"/>
          <w:rtl/>
        </w:rPr>
        <w:t>לפי סעיף 192 לחוק</w:t>
      </w:r>
      <w:r>
        <w:rPr>
          <w:rFonts w:ascii="Arial" w:hAnsi="Arial"/>
          <w:b/>
          <w:bCs/>
          <w:rtl/>
        </w:rPr>
        <w:t>;</w:t>
      </w:r>
      <w:r>
        <w:rPr>
          <w:rFonts w:ascii="David" w:hAnsi="David"/>
          <w:b/>
          <w:bCs/>
          <w:rtl/>
        </w:rPr>
        <w:t xml:space="preserve"> חבלה במזיד</w:t>
      </w:r>
      <w:r>
        <w:rPr>
          <w:rFonts w:ascii="David" w:hAnsi="David"/>
          <w:b/>
          <w:bCs/>
        </w:rPr>
        <w:t xml:space="preserve"> </w:t>
      </w:r>
      <w:r>
        <w:rPr>
          <w:rFonts w:ascii="David" w:hAnsi="David"/>
          <w:b/>
          <w:bCs/>
          <w:rtl/>
        </w:rPr>
        <w:t xml:space="preserve">ברכב </w:t>
      </w:r>
      <w:r>
        <w:rPr>
          <w:rFonts w:ascii="David" w:hAnsi="David"/>
          <w:rtl/>
        </w:rPr>
        <w:t xml:space="preserve">, בניגוד </w:t>
      </w:r>
      <w:hyperlink r:id="rId55" w:history="1">
        <w:r w:rsidR="005F4DE5" w:rsidRPr="005F4DE5">
          <w:rPr>
            <w:rStyle w:val="Hyperlink"/>
            <w:rFonts w:ascii="David" w:hAnsi="David"/>
            <w:rtl/>
          </w:rPr>
          <w:t>לסעיף 413ה</w:t>
        </w:r>
      </w:hyperlink>
      <w:r>
        <w:rPr>
          <w:rFonts w:ascii="David" w:hAnsi="David"/>
          <w:rtl/>
        </w:rPr>
        <w:t xml:space="preserve"> לחוק </w:t>
      </w:r>
      <w:r>
        <w:rPr>
          <w:rFonts w:ascii="David" w:hAnsi="David"/>
          <w:b/>
          <w:bCs/>
          <w:rtl/>
        </w:rPr>
        <w:t>ונשיאת נשק והובלתו</w:t>
      </w:r>
      <w:r>
        <w:rPr>
          <w:rFonts w:ascii="David" w:hAnsi="David"/>
          <w:rtl/>
        </w:rPr>
        <w:t xml:space="preserve">, לפי </w:t>
      </w:r>
      <w:hyperlink r:id="rId56" w:history="1">
        <w:r w:rsidR="005F4DE5" w:rsidRPr="005F4DE5">
          <w:rPr>
            <w:rStyle w:val="Hyperlink"/>
            <w:rFonts w:ascii="David" w:hAnsi="David"/>
            <w:rtl/>
          </w:rPr>
          <w:t>סעיף 144(ב)</w:t>
        </w:r>
      </w:hyperlink>
      <w:r>
        <w:rPr>
          <w:rFonts w:ascii="David" w:hAnsi="David"/>
          <w:rtl/>
        </w:rPr>
        <w:t xml:space="preserve"> לחוק, </w:t>
      </w:r>
      <w:r>
        <w:rPr>
          <w:rFonts w:ascii="Arial" w:hAnsi="Arial"/>
          <w:rtl/>
        </w:rPr>
        <w:t xml:space="preserve">ראו למשל  - </w:t>
      </w:r>
      <w:hyperlink r:id="rId57" w:history="1">
        <w:r w:rsidR="00766A9A" w:rsidRPr="00766A9A">
          <w:rPr>
            <w:color w:val="0000FF"/>
            <w:u w:val="single"/>
            <w:rtl/>
            <w:lang w:eastAsia="he-IL"/>
          </w:rPr>
          <w:t>ע"פ 8991/10</w:t>
        </w:r>
      </w:hyperlink>
      <w:r>
        <w:rPr>
          <w:rtl/>
          <w:lang w:eastAsia="he-IL"/>
        </w:rPr>
        <w:t xml:space="preserve"> </w:t>
      </w:r>
      <w:r>
        <w:rPr>
          <w:b/>
          <w:bCs/>
          <w:rtl/>
          <w:lang w:eastAsia="he-IL"/>
        </w:rPr>
        <w:t>מכבי נ' מדינת ישראל</w:t>
      </w:r>
      <w:r>
        <w:rPr>
          <w:rtl/>
          <w:lang w:eastAsia="he-IL"/>
        </w:rPr>
        <w:t xml:space="preserve"> (ניתן ביום 17.5.15); </w:t>
      </w:r>
      <w:hyperlink r:id="rId58" w:history="1">
        <w:r w:rsidR="00766A9A" w:rsidRPr="00766A9A">
          <w:rPr>
            <w:color w:val="0000FF"/>
            <w:u w:val="single"/>
            <w:rtl/>
          </w:rPr>
          <w:t>ע"פ 8711/09</w:t>
        </w:r>
      </w:hyperlink>
      <w:r>
        <w:rPr>
          <w:rtl/>
        </w:rPr>
        <w:t xml:space="preserve"> </w:t>
      </w:r>
      <w:r>
        <w:rPr>
          <w:b/>
          <w:bCs/>
          <w:rtl/>
        </w:rPr>
        <w:t>יאסין נ' מדינת ישראל</w:t>
      </w:r>
      <w:r>
        <w:rPr>
          <w:rtl/>
        </w:rPr>
        <w:t xml:space="preserve"> (ניתן ביום 28.6.10); </w:t>
      </w:r>
      <w:hyperlink r:id="rId59" w:history="1">
        <w:r w:rsidR="00766A9A" w:rsidRPr="00766A9A">
          <w:rPr>
            <w:color w:val="0000FF"/>
            <w:u w:val="single"/>
            <w:rtl/>
          </w:rPr>
          <w:t>ע"פ 379/15</w:t>
        </w:r>
      </w:hyperlink>
      <w:r>
        <w:rPr>
          <w:rtl/>
        </w:rPr>
        <w:t xml:space="preserve"> </w:t>
      </w:r>
      <w:r>
        <w:rPr>
          <w:b/>
          <w:bCs/>
          <w:rtl/>
        </w:rPr>
        <w:t>לוי נ' מדינת ישראל</w:t>
      </w:r>
      <w:r>
        <w:rPr>
          <w:rtl/>
        </w:rPr>
        <w:t xml:space="preserve"> (ניתן ביום 26.7.15)</w:t>
      </w:r>
      <w:r>
        <w:rPr>
          <w:rtl/>
          <w:lang w:eastAsia="he-IL"/>
        </w:rPr>
        <w:t xml:space="preserve">, </w:t>
      </w:r>
      <w:hyperlink r:id="rId60" w:history="1">
        <w:r w:rsidR="00766A9A" w:rsidRPr="00766A9A">
          <w:rPr>
            <w:color w:val="0000FF"/>
            <w:u w:val="single"/>
            <w:rtl/>
          </w:rPr>
          <w:t>ע"פ 935/14</w:t>
        </w:r>
      </w:hyperlink>
      <w:r>
        <w:rPr>
          <w:rtl/>
        </w:rPr>
        <w:t xml:space="preserve"> </w:t>
      </w:r>
      <w:r>
        <w:rPr>
          <w:b/>
          <w:bCs/>
          <w:rtl/>
        </w:rPr>
        <w:t>אוסטרחוביץ נ' מדינת ישראל</w:t>
      </w:r>
      <w:r>
        <w:rPr>
          <w:rtl/>
        </w:rPr>
        <w:t xml:space="preserve"> (ניתן ביום 30.11.14);</w:t>
      </w:r>
      <w:r>
        <w:rPr>
          <w:rFonts w:hint="cs"/>
        </w:rPr>
        <w:t xml:space="preserve"> </w:t>
      </w:r>
      <w:hyperlink r:id="rId61" w:history="1">
        <w:r w:rsidR="00766A9A" w:rsidRPr="00766A9A">
          <w:rPr>
            <w:color w:val="0000FF"/>
            <w:u w:val="single"/>
            <w:rtl/>
          </w:rPr>
          <w:t>רע"פ 1293/08</w:t>
        </w:r>
      </w:hyperlink>
      <w:r>
        <w:rPr>
          <w:rtl/>
        </w:rPr>
        <w:t xml:space="preserve"> </w:t>
      </w:r>
      <w:r>
        <w:rPr>
          <w:b/>
          <w:bCs/>
          <w:rtl/>
        </w:rPr>
        <w:t>אלכסנדר קורניק נ' מדינת ישראל</w:t>
      </w:r>
      <w:r>
        <w:rPr>
          <w:rtl/>
        </w:rPr>
        <w:t xml:space="preserve"> (ניתן ביום 25.6.08); </w:t>
      </w:r>
      <w:hyperlink r:id="rId62" w:history="1">
        <w:r w:rsidR="00766A9A" w:rsidRPr="00766A9A">
          <w:rPr>
            <w:color w:val="0000FF"/>
            <w:u w:val="single"/>
            <w:rtl/>
          </w:rPr>
          <w:t>ע"פ 1357/12</w:t>
        </w:r>
      </w:hyperlink>
      <w:r>
        <w:rPr>
          <w:rtl/>
        </w:rPr>
        <w:t xml:space="preserve"> </w:t>
      </w:r>
      <w:r>
        <w:rPr>
          <w:b/>
          <w:bCs/>
          <w:rtl/>
        </w:rPr>
        <w:t>סאלח נ' מדינת ישראל</w:t>
      </w:r>
      <w:r>
        <w:rPr>
          <w:rtl/>
        </w:rPr>
        <w:t xml:space="preserve"> (ניתן ביום 7.3.13); </w:t>
      </w:r>
      <w:hyperlink r:id="rId63" w:history="1">
        <w:r w:rsidR="00766A9A" w:rsidRPr="00766A9A">
          <w:rPr>
            <w:color w:val="0000FF"/>
            <w:u w:val="single"/>
            <w:rtl/>
          </w:rPr>
          <w:t>ע"פ 2892/13</w:t>
        </w:r>
      </w:hyperlink>
      <w:r>
        <w:rPr>
          <w:rtl/>
        </w:rPr>
        <w:t xml:space="preserve"> </w:t>
      </w:r>
      <w:r>
        <w:rPr>
          <w:b/>
          <w:bCs/>
          <w:rtl/>
        </w:rPr>
        <w:t xml:space="preserve">עודתאללה  נ' מדינת ישראל  </w:t>
      </w:r>
      <w:r>
        <w:rPr>
          <w:rtl/>
        </w:rPr>
        <w:t>(ניתן ביום 29.9.13 );</w:t>
      </w:r>
      <w:r>
        <w:rPr>
          <w:rFonts w:hint="cs"/>
        </w:rPr>
        <w:t xml:space="preserve"> </w:t>
      </w:r>
      <w:hyperlink r:id="rId64" w:history="1">
        <w:r w:rsidR="00766A9A" w:rsidRPr="00766A9A">
          <w:rPr>
            <w:color w:val="0000FF"/>
            <w:u w:val="single"/>
            <w:rtl/>
          </w:rPr>
          <w:t>ע"פ 3156/11</w:t>
        </w:r>
      </w:hyperlink>
      <w:r>
        <w:rPr>
          <w:rtl/>
        </w:rPr>
        <w:t xml:space="preserve"> </w:t>
      </w:r>
      <w:r>
        <w:rPr>
          <w:b/>
          <w:bCs/>
          <w:rtl/>
        </w:rPr>
        <w:t>זראיעה נ' מדינת ישראל</w:t>
      </w:r>
      <w:r>
        <w:rPr>
          <w:rtl/>
        </w:rPr>
        <w:t xml:space="preserve"> (ניתן ביום 21.02.12). </w:t>
      </w:r>
    </w:p>
    <w:p w14:paraId="7026A1D6" w14:textId="77777777" w:rsidR="007B0FCC" w:rsidRDefault="007B0FCC" w:rsidP="007B0FCC">
      <w:pPr>
        <w:spacing w:line="360" w:lineRule="auto"/>
        <w:jc w:val="both"/>
        <w:rPr>
          <w:rFonts w:ascii="David" w:hAnsi="David"/>
          <w:rtl/>
        </w:rPr>
      </w:pPr>
    </w:p>
    <w:p w14:paraId="151B7818" w14:textId="77777777" w:rsidR="007B0FCC" w:rsidRDefault="007B0FCC" w:rsidP="007B0FCC">
      <w:pPr>
        <w:spacing w:line="360" w:lineRule="auto"/>
        <w:jc w:val="both"/>
        <w:rPr>
          <w:rFonts w:ascii="David" w:hAnsi="David"/>
          <w:rtl/>
        </w:rPr>
      </w:pPr>
      <w:r>
        <w:rPr>
          <w:rFonts w:ascii="David" w:hAnsi="David"/>
          <w:rtl/>
        </w:rPr>
        <w:t>לשם קביעת המתחם יש להתחשב</w:t>
      </w:r>
      <w:r>
        <w:rPr>
          <w:rFonts w:ascii="David" w:hAnsi="David"/>
          <w:b/>
          <w:bCs/>
          <w:rtl/>
        </w:rPr>
        <w:t xml:space="preserve"> בנסיבות ביצוע העבירה</w:t>
      </w:r>
      <w:r>
        <w:rPr>
          <w:rFonts w:ascii="David" w:hAnsi="David"/>
          <w:rtl/>
        </w:rPr>
        <w:t xml:space="preserve"> (מאלו המצוינות </w:t>
      </w:r>
      <w:hyperlink r:id="rId65" w:history="1">
        <w:r w:rsidR="005F4DE5" w:rsidRPr="005F4DE5">
          <w:rPr>
            <w:rStyle w:val="Hyperlink"/>
            <w:rFonts w:ascii="David" w:hAnsi="David"/>
            <w:rtl/>
          </w:rPr>
          <w:t>בסעיף 40ט</w:t>
        </w:r>
      </w:hyperlink>
      <w:r>
        <w:rPr>
          <w:rFonts w:ascii="David" w:hAnsi="David"/>
          <w:rtl/>
        </w:rPr>
        <w:t xml:space="preserve"> לחוק). הנאשם, שבתחילתו של האירוע איים על המתלונן, אחז בסיומו בנשקו, פתח באמצעותו באש, וירה כמות בלתי-מבוטלת של יריות אשר </w:t>
      </w:r>
      <w:r>
        <w:rPr>
          <w:rFonts w:ascii="David" w:hAnsi="David"/>
          <w:b/>
          <w:bCs/>
          <w:rtl/>
        </w:rPr>
        <w:t>סיכנו את חייו של המתלונן</w:t>
      </w:r>
      <w:r>
        <w:rPr>
          <w:rFonts w:ascii="David" w:hAnsi="David"/>
          <w:rtl/>
        </w:rPr>
        <w:t xml:space="preserve">. </w:t>
      </w:r>
      <w:r>
        <w:rPr>
          <w:rFonts w:ascii="David" w:hAnsi="David"/>
          <w:b/>
          <w:bCs/>
          <w:rtl/>
        </w:rPr>
        <w:t>ירי זה גרם בפועל נזק בלתי-מבוטל לכלי-רכבם של שני שכנים בלתי-מעורבים</w:t>
      </w:r>
      <w:r>
        <w:rPr>
          <w:rFonts w:ascii="David" w:hAnsi="David"/>
          <w:rtl/>
        </w:rPr>
        <w:t xml:space="preserve">. האמור </w:t>
      </w:r>
      <w:r>
        <w:rPr>
          <w:rFonts w:ascii="David" w:hAnsi="David"/>
          <w:b/>
          <w:bCs/>
          <w:rtl/>
        </w:rPr>
        <w:t>במעשה מתוכנן</w:t>
      </w:r>
      <w:r>
        <w:rPr>
          <w:rFonts w:ascii="David" w:hAnsi="David"/>
          <w:rtl/>
        </w:rPr>
        <w:t xml:space="preserve"> (שהרי הנאשם הבטיח למתלונן לירות בו ואף קרא לו לצאת אליו על-מנת לבצע את זממו); </w:t>
      </w:r>
      <w:r>
        <w:rPr>
          <w:rFonts w:ascii="David" w:hAnsi="David"/>
          <w:b/>
          <w:bCs/>
          <w:rtl/>
        </w:rPr>
        <w:t>הוא עשה את המעשה בעצמו ואחראי לתוצאותיו בלעדית</w:t>
      </w:r>
      <w:r>
        <w:rPr>
          <w:rFonts w:ascii="David" w:hAnsi="David"/>
          <w:rtl/>
        </w:rPr>
        <w:t xml:space="preserve">; הנזק העלול היה להיגרם היה רב מאד עד כדי סיכון חיי אדם; בפועל, נגרם נזק מהותי לרכוש. הנאשם עשה את שעשה מפאת סכסוך של מה בכך; </w:t>
      </w:r>
      <w:r>
        <w:rPr>
          <w:rFonts w:ascii="David" w:hAnsi="David"/>
          <w:b/>
          <w:bCs/>
          <w:rtl/>
        </w:rPr>
        <w:t>הוא הבין היטב את הפסול שבמעשה, יכול היה וצריך היה להימנע מלבצעו. המעשה הוא מעשה אלים ויש שיראוהו אף כאכזרי כלפי אותו מתלונ</w:t>
      </w:r>
      <w:r>
        <w:rPr>
          <w:rFonts w:ascii="David" w:hAnsi="David"/>
          <w:rtl/>
        </w:rPr>
        <w:t>ן.</w:t>
      </w:r>
    </w:p>
    <w:p w14:paraId="59DAF32E" w14:textId="77777777" w:rsidR="007B0FCC" w:rsidRDefault="007B0FCC" w:rsidP="007B0FCC">
      <w:pPr>
        <w:spacing w:line="360" w:lineRule="auto"/>
        <w:jc w:val="both"/>
        <w:rPr>
          <w:rFonts w:ascii="David" w:hAnsi="David"/>
          <w:rtl/>
        </w:rPr>
      </w:pPr>
    </w:p>
    <w:p w14:paraId="3FB009F9" w14:textId="77777777" w:rsidR="007B0FCC" w:rsidRDefault="007B0FCC" w:rsidP="007B0FCC">
      <w:pPr>
        <w:spacing w:line="360" w:lineRule="auto"/>
        <w:jc w:val="both"/>
        <w:rPr>
          <w:rFonts w:ascii="David" w:hAnsi="David"/>
          <w:rtl/>
        </w:rPr>
      </w:pPr>
      <w:r>
        <w:rPr>
          <w:rFonts w:ascii="David" w:hAnsi="David"/>
          <w:rtl/>
        </w:rPr>
        <w:t xml:space="preserve">לאור כל אלה, </w:t>
      </w:r>
      <w:r>
        <w:rPr>
          <w:rFonts w:ascii="David" w:hAnsi="David"/>
          <w:b/>
          <w:bCs/>
          <w:rtl/>
        </w:rPr>
        <w:t>מצאתי לנכון לאמץ את מתחם העונש ההולם אשר הוצע על-ידי התביעה, 6.5-3.5 שנות מאסר, לצד עונש מאסר על-תנאי ופסילת רישיון.</w:t>
      </w:r>
      <w:r>
        <w:rPr>
          <w:rFonts w:ascii="David" w:hAnsi="David"/>
          <w:rtl/>
        </w:rPr>
        <w:t xml:space="preserve"> אציין, כי בנסיבות העניין, האמור במתחם מתון אשר יכול וצריך היה להיות מחמיר עוד יותר, בשים לב לצורך להחמיר עוד יותר את מדיניות הענישה הנוהגת בכגון דא (אך בית המשפט לא ישים עצמו יותר קטגור מהקטגור).</w:t>
      </w:r>
    </w:p>
    <w:p w14:paraId="5F7B5C43" w14:textId="77777777" w:rsidR="007B0FCC" w:rsidRDefault="007B0FCC" w:rsidP="007B0FCC">
      <w:pPr>
        <w:spacing w:line="360" w:lineRule="auto"/>
        <w:jc w:val="both"/>
        <w:rPr>
          <w:rFonts w:ascii="David" w:hAnsi="David"/>
          <w:rtl/>
        </w:rPr>
      </w:pPr>
    </w:p>
    <w:p w14:paraId="1A8F6922" w14:textId="77777777" w:rsidR="007B0FCC" w:rsidRDefault="007B0FCC" w:rsidP="007B0FCC">
      <w:pPr>
        <w:spacing w:line="360" w:lineRule="auto"/>
        <w:jc w:val="both"/>
        <w:rPr>
          <w:rFonts w:ascii="David" w:hAnsi="David"/>
          <w:rtl/>
        </w:rPr>
      </w:pPr>
      <w:r>
        <w:rPr>
          <w:rFonts w:ascii="David" w:hAnsi="David"/>
          <w:rtl/>
        </w:rPr>
        <w:t xml:space="preserve">מכאן, ראוי לבחון מהו העונש המתאים לנאשם בשים לב </w:t>
      </w:r>
      <w:r>
        <w:rPr>
          <w:rFonts w:ascii="David" w:hAnsi="David"/>
          <w:b/>
          <w:bCs/>
          <w:rtl/>
        </w:rPr>
        <w:t>לנסיבות שאינן קשורות בביצוע העבירה</w:t>
      </w:r>
      <w:r>
        <w:rPr>
          <w:rFonts w:ascii="David" w:hAnsi="David"/>
          <w:rtl/>
        </w:rPr>
        <w:t xml:space="preserve"> - נסיבותיו האישיות של הנאשם (</w:t>
      </w:r>
      <w:hyperlink r:id="rId66" w:history="1">
        <w:r w:rsidR="005F4DE5" w:rsidRPr="005F4DE5">
          <w:rPr>
            <w:rStyle w:val="Hyperlink"/>
            <w:rFonts w:ascii="David" w:hAnsi="David"/>
            <w:rtl/>
          </w:rPr>
          <w:t>סעיף 40יא</w:t>
        </w:r>
      </w:hyperlink>
      <w:r>
        <w:rPr>
          <w:rFonts w:ascii="David" w:hAnsi="David"/>
          <w:rtl/>
        </w:rPr>
        <w:t xml:space="preserve"> לחוק ). הנאשם הוא אדם צעיר; לפיכך, עונש מאסר ממשי ממושך יפגע בו בהכרח. פועל יוצא של ביצוע העבירה וההרשעה בדין, נקטע מהלך חייו הרגיל של הנאשם. הנאשם נטל אחריות על מעשיו, ועל-פי האמור בתסקיר שירות המבחן, הוא מלא מוטיבציה לחזור למוטב ולהשתקם. לא שמענו על ניסיונות מצדו לתקן את תוצאות העבירה או לפצות בגין הנזק שגרם. הנאשם הודה באשמה לאחר שכתב-האישום תוקן. </w:t>
      </w:r>
      <w:r>
        <w:rPr>
          <w:rFonts w:ascii="David" w:hAnsi="David"/>
          <w:b/>
          <w:bCs/>
          <w:rtl/>
        </w:rPr>
        <w:t>עברו נקי</w:t>
      </w:r>
      <w:r>
        <w:rPr>
          <w:rFonts w:ascii="David" w:hAnsi="David"/>
          <w:rtl/>
        </w:rPr>
        <w:t>. נסיבות חייו, כפי שהללו מתוארות בתסקיר שירות המבחן, אינן פשוטות. יש להניח שהללו השפיעו על דרך התנהלותו באירוע הנדון כאן.</w:t>
      </w:r>
    </w:p>
    <w:p w14:paraId="0AC0FB52" w14:textId="77777777" w:rsidR="007B0FCC" w:rsidRDefault="007B0FCC" w:rsidP="007B0FCC">
      <w:pPr>
        <w:spacing w:line="360" w:lineRule="auto"/>
        <w:jc w:val="both"/>
        <w:rPr>
          <w:rFonts w:ascii="David" w:hAnsi="David"/>
          <w:rtl/>
        </w:rPr>
      </w:pPr>
    </w:p>
    <w:p w14:paraId="28763495" w14:textId="77777777" w:rsidR="007B0FCC" w:rsidRDefault="007B0FCC" w:rsidP="007B0FCC">
      <w:pPr>
        <w:spacing w:line="360" w:lineRule="auto"/>
        <w:jc w:val="both"/>
        <w:rPr>
          <w:rFonts w:ascii="David" w:hAnsi="David"/>
          <w:rtl/>
        </w:rPr>
      </w:pPr>
      <w:r>
        <w:rPr>
          <w:rFonts w:ascii="David" w:hAnsi="David"/>
          <w:b/>
          <w:bCs/>
          <w:rtl/>
        </w:rPr>
        <w:t>מצאתי לנכון להיענות לעתירת המאשימה לחלט רכבו של הנאשם</w:t>
      </w:r>
      <w:r>
        <w:rPr>
          <w:rFonts w:ascii="David" w:hAnsi="David"/>
          <w:rtl/>
        </w:rPr>
        <w:t xml:space="preserve">, חרף טענת סנגורו כי רכב זה אינו בבעלותו או בשימושו הבלעדיים, וכי בני-משפחתו צפויים להיפגע כתוצאה מכך. </w:t>
      </w:r>
      <w:r>
        <w:rPr>
          <w:rFonts w:ascii="David" w:hAnsi="David"/>
          <w:b/>
          <w:bCs/>
          <w:rtl/>
        </w:rPr>
        <w:t>זיקת-הרכב לאירוע ברורה וחד-משמעית; הנאשם הובל באמצעות הרכב; הרכב שימש לנאשם</w:t>
      </w:r>
      <w:r>
        <w:rPr>
          <w:rFonts w:ascii="David" w:hAnsi="David" w:hint="cs"/>
          <w:b/>
          <w:bCs/>
          <w:rtl/>
        </w:rPr>
        <w:t xml:space="preserve"> </w:t>
      </w:r>
      <w:r>
        <w:rPr>
          <w:rFonts w:ascii="David" w:hAnsi="David"/>
          <w:b/>
          <w:bCs/>
          <w:rtl/>
        </w:rPr>
        <w:t xml:space="preserve">כאמצעי-מילוט. בנסיבות אלו, סבורני שהשיקולים המחייבים חילוטו גוברים על אלו השוללים זאת. </w:t>
      </w:r>
      <w:r>
        <w:rPr>
          <w:rFonts w:ascii="David" w:hAnsi="David"/>
          <w:rtl/>
        </w:rPr>
        <w:t xml:space="preserve">מצאתי לנכון להיענות </w:t>
      </w:r>
      <w:r>
        <w:rPr>
          <w:rFonts w:ascii="David" w:hAnsi="David"/>
          <w:b/>
          <w:bCs/>
          <w:rtl/>
        </w:rPr>
        <w:t xml:space="preserve">חלקית </w:t>
      </w:r>
      <w:r>
        <w:rPr>
          <w:rFonts w:ascii="David" w:hAnsi="David"/>
          <w:rtl/>
        </w:rPr>
        <w:t xml:space="preserve">לעתירה לפסול את רישיון הנהיגה של הנאשם ולהטיל עליו תקופת פסילה קצרה, מטעמים שיקומיים. </w:t>
      </w:r>
    </w:p>
    <w:p w14:paraId="59CC1005" w14:textId="77777777" w:rsidR="007B0FCC" w:rsidRDefault="007B0FCC" w:rsidP="007B0FCC">
      <w:pPr>
        <w:spacing w:line="360" w:lineRule="auto"/>
        <w:jc w:val="both"/>
        <w:rPr>
          <w:rFonts w:ascii="David" w:hAnsi="David"/>
          <w:rtl/>
        </w:rPr>
      </w:pPr>
    </w:p>
    <w:p w14:paraId="048F6C22" w14:textId="77777777" w:rsidR="007B0FCC" w:rsidRDefault="007B0FCC" w:rsidP="007B0FCC">
      <w:pPr>
        <w:spacing w:line="360" w:lineRule="auto"/>
        <w:jc w:val="both"/>
        <w:rPr>
          <w:rFonts w:ascii="David" w:hAnsi="David"/>
          <w:b/>
          <w:bCs/>
          <w:u w:val="single"/>
          <w:rtl/>
        </w:rPr>
      </w:pPr>
      <w:r>
        <w:rPr>
          <w:rFonts w:ascii="David" w:hAnsi="David"/>
          <w:b/>
          <w:bCs/>
          <w:u w:val="single"/>
          <w:rtl/>
        </w:rPr>
        <w:t>סוף דבר</w:t>
      </w:r>
    </w:p>
    <w:p w14:paraId="0D33FF70" w14:textId="77777777" w:rsidR="007B0FCC" w:rsidRDefault="007B0FCC" w:rsidP="007B0FCC">
      <w:pPr>
        <w:spacing w:line="360" w:lineRule="auto"/>
        <w:jc w:val="both"/>
        <w:rPr>
          <w:rFonts w:ascii="David" w:hAnsi="David"/>
          <w:rtl/>
        </w:rPr>
      </w:pPr>
      <w:r>
        <w:rPr>
          <w:rFonts w:ascii="David" w:hAnsi="David"/>
          <w:rtl/>
        </w:rPr>
        <w:t>מוטלים, אפוא, על הנאשם עונשים כדלקמן:</w:t>
      </w:r>
    </w:p>
    <w:p w14:paraId="1EDB302D" w14:textId="77777777" w:rsidR="007B0FCC" w:rsidRDefault="007B0FCC" w:rsidP="007B0FCC">
      <w:pPr>
        <w:spacing w:line="360" w:lineRule="auto"/>
        <w:jc w:val="both"/>
        <w:rPr>
          <w:rFonts w:ascii="David" w:hAnsi="David"/>
          <w:b/>
          <w:bCs/>
          <w:rtl/>
        </w:rPr>
      </w:pPr>
    </w:p>
    <w:p w14:paraId="59D3E292" w14:textId="77777777" w:rsidR="007B0FCC" w:rsidRDefault="007B0FCC" w:rsidP="007B0FCC">
      <w:pPr>
        <w:spacing w:line="360" w:lineRule="auto"/>
        <w:jc w:val="both"/>
        <w:rPr>
          <w:rFonts w:ascii="David" w:hAnsi="David"/>
          <w:rtl/>
        </w:rPr>
      </w:pPr>
      <w:r>
        <w:rPr>
          <w:rFonts w:ascii="David" w:hAnsi="David"/>
          <w:b/>
          <w:bCs/>
          <w:rtl/>
        </w:rPr>
        <w:t>א.</w:t>
      </w:r>
      <w:r>
        <w:rPr>
          <w:rFonts w:ascii="David" w:hAnsi="David"/>
          <w:b/>
          <w:bCs/>
          <w:rtl/>
        </w:rPr>
        <w:tab/>
        <w:t>48</w:t>
      </w:r>
      <w:r>
        <w:rPr>
          <w:rFonts w:ascii="David" w:hAnsi="David"/>
          <w:rtl/>
        </w:rPr>
        <w:t xml:space="preserve"> חודשי מאסר לריצוי בפועל מיום מעצרו. </w:t>
      </w:r>
    </w:p>
    <w:p w14:paraId="30A7EC08" w14:textId="77777777" w:rsidR="007B0FCC" w:rsidRDefault="007B0FCC" w:rsidP="007B0FCC">
      <w:pPr>
        <w:spacing w:line="360" w:lineRule="auto"/>
        <w:jc w:val="both"/>
        <w:rPr>
          <w:rFonts w:ascii="David" w:hAnsi="David"/>
          <w:rtl/>
        </w:rPr>
      </w:pPr>
    </w:p>
    <w:p w14:paraId="3516C573" w14:textId="77777777" w:rsidR="007B0FCC" w:rsidRDefault="007B0FCC" w:rsidP="007B0FCC">
      <w:pPr>
        <w:spacing w:line="360" w:lineRule="auto"/>
        <w:ind w:left="720" w:hanging="720"/>
        <w:jc w:val="both"/>
        <w:rPr>
          <w:rFonts w:ascii="David" w:hAnsi="David"/>
          <w:rtl/>
        </w:rPr>
      </w:pPr>
      <w:r>
        <w:rPr>
          <w:rFonts w:ascii="David" w:hAnsi="David"/>
          <w:rtl/>
        </w:rPr>
        <w:t>ב.</w:t>
      </w:r>
      <w:r>
        <w:rPr>
          <w:rFonts w:ascii="David" w:hAnsi="David"/>
          <w:rtl/>
        </w:rPr>
        <w:tab/>
      </w:r>
      <w:r>
        <w:rPr>
          <w:rFonts w:ascii="David" w:hAnsi="David"/>
          <w:b/>
          <w:bCs/>
          <w:rtl/>
        </w:rPr>
        <w:t>18 חודשי מאסר על תנאי שלא יעבור במשך שלוש שנים</w:t>
      </w:r>
      <w:r>
        <w:rPr>
          <w:rFonts w:ascii="David" w:hAnsi="David"/>
          <w:rtl/>
        </w:rPr>
        <w:t xml:space="preserve">  עבירה של סחר בנשק שלא כדין,  החזקת נשק שלא כדין, נשיאתו או הובלתו שלא כדין, או עבירה מסוג פשע שיש בה יסוד אלים. </w:t>
      </w:r>
    </w:p>
    <w:p w14:paraId="45A19EC0" w14:textId="77777777" w:rsidR="007B0FCC" w:rsidRDefault="007B0FCC" w:rsidP="007B0FCC">
      <w:pPr>
        <w:spacing w:line="360" w:lineRule="auto"/>
        <w:ind w:left="720" w:hanging="720"/>
        <w:jc w:val="both"/>
        <w:rPr>
          <w:rFonts w:ascii="David" w:hAnsi="David"/>
        </w:rPr>
      </w:pPr>
      <w:r>
        <w:rPr>
          <w:rFonts w:ascii="David" w:hAnsi="David"/>
          <w:rtl/>
        </w:rPr>
        <w:t xml:space="preserve">ג. </w:t>
      </w:r>
      <w:r>
        <w:rPr>
          <w:rFonts w:ascii="David" w:hAnsi="David"/>
          <w:rtl/>
        </w:rPr>
        <w:tab/>
      </w:r>
      <w:r>
        <w:rPr>
          <w:rFonts w:ascii="David" w:hAnsi="David"/>
          <w:b/>
          <w:bCs/>
          <w:rtl/>
        </w:rPr>
        <w:t>6 חודשי מאסר על תנאי שלא יעבור במשך שלוש שנים</w:t>
      </w:r>
      <w:r>
        <w:rPr>
          <w:rFonts w:ascii="David" w:hAnsi="David"/>
          <w:rtl/>
        </w:rPr>
        <w:t xml:space="preserve"> עבירת איומים, לפי </w:t>
      </w:r>
      <w:hyperlink r:id="rId67" w:history="1">
        <w:r w:rsidR="005F4DE5" w:rsidRPr="005F4DE5">
          <w:rPr>
            <w:rStyle w:val="Hyperlink"/>
            <w:rFonts w:ascii="David" w:hAnsi="David"/>
            <w:rtl/>
          </w:rPr>
          <w:t>סעיף 192</w:t>
        </w:r>
      </w:hyperlink>
      <w:r>
        <w:rPr>
          <w:rFonts w:ascii="David" w:hAnsi="David"/>
          <w:rtl/>
        </w:rPr>
        <w:t xml:space="preserve"> לחוק; או עבירה שעניינה חבלה במזיד, בניגוד </w:t>
      </w:r>
      <w:hyperlink r:id="rId68" w:history="1">
        <w:r w:rsidR="005F4DE5" w:rsidRPr="005F4DE5">
          <w:rPr>
            <w:rStyle w:val="Hyperlink"/>
            <w:rFonts w:ascii="David" w:hAnsi="David"/>
            <w:rtl/>
          </w:rPr>
          <w:t>לסעיף 413ה</w:t>
        </w:r>
      </w:hyperlink>
      <w:r>
        <w:rPr>
          <w:rFonts w:ascii="David" w:hAnsi="David"/>
          <w:rtl/>
        </w:rPr>
        <w:t xml:space="preserve"> לחוק.  </w:t>
      </w:r>
    </w:p>
    <w:p w14:paraId="6453FAA6" w14:textId="77777777" w:rsidR="007B0FCC" w:rsidRDefault="007B0FCC" w:rsidP="007B0FCC">
      <w:pPr>
        <w:spacing w:line="360" w:lineRule="auto"/>
        <w:jc w:val="both"/>
        <w:rPr>
          <w:rFonts w:ascii="David" w:hAnsi="David"/>
          <w:rtl/>
        </w:rPr>
      </w:pPr>
    </w:p>
    <w:p w14:paraId="04C3966A" w14:textId="77777777" w:rsidR="007B0FCC" w:rsidRDefault="007B0FCC" w:rsidP="007B0FCC">
      <w:pPr>
        <w:spacing w:line="360" w:lineRule="auto"/>
        <w:ind w:left="720" w:hanging="720"/>
        <w:jc w:val="both"/>
        <w:rPr>
          <w:rFonts w:ascii="David" w:hAnsi="David"/>
          <w:rtl/>
        </w:rPr>
      </w:pPr>
      <w:r>
        <w:rPr>
          <w:rFonts w:ascii="David" w:hAnsi="David"/>
          <w:rtl/>
        </w:rPr>
        <w:t>ד.</w:t>
      </w:r>
      <w:r>
        <w:rPr>
          <w:rFonts w:ascii="David" w:hAnsi="David"/>
          <w:rtl/>
        </w:rPr>
        <w:tab/>
        <w:t>רכב ה"טויוטה" אשר שימש את הנאשם בביצוע מעשי העבירה יחולט לטובת המדינה.</w:t>
      </w:r>
    </w:p>
    <w:p w14:paraId="5E6E0765" w14:textId="77777777" w:rsidR="007B0FCC" w:rsidRDefault="007B0FCC" w:rsidP="007B0FCC">
      <w:pPr>
        <w:spacing w:line="360" w:lineRule="auto"/>
        <w:ind w:left="720" w:hanging="720"/>
        <w:jc w:val="both"/>
        <w:rPr>
          <w:rFonts w:ascii="David" w:hAnsi="David"/>
          <w:rtl/>
        </w:rPr>
      </w:pPr>
    </w:p>
    <w:p w14:paraId="3E1E91F2" w14:textId="77777777" w:rsidR="007B0FCC" w:rsidRDefault="007B0FCC" w:rsidP="007B0FCC">
      <w:pPr>
        <w:spacing w:line="360" w:lineRule="auto"/>
        <w:ind w:left="720" w:hanging="720"/>
        <w:jc w:val="both"/>
        <w:rPr>
          <w:rFonts w:ascii="David" w:hAnsi="David"/>
          <w:rtl/>
        </w:rPr>
      </w:pPr>
      <w:r>
        <w:rPr>
          <w:rFonts w:ascii="David" w:hAnsi="David"/>
          <w:rtl/>
        </w:rPr>
        <w:t>ה.</w:t>
      </w:r>
      <w:r>
        <w:rPr>
          <w:rFonts w:ascii="David" w:hAnsi="David"/>
          <w:rtl/>
        </w:rPr>
        <w:tab/>
        <w:t>מוטלים על הנאשם 4 חודשי פסילת רישיון נהיגה בפועל, שירוצו לאחר שישוחרר ממאסרו.</w:t>
      </w:r>
    </w:p>
    <w:p w14:paraId="35D1CC1A" w14:textId="77777777" w:rsidR="007B0FCC" w:rsidRDefault="007B0FCC" w:rsidP="007B0FCC">
      <w:pPr>
        <w:spacing w:line="360" w:lineRule="auto"/>
        <w:ind w:left="720" w:hanging="720"/>
        <w:jc w:val="both"/>
        <w:rPr>
          <w:rFonts w:ascii="David" w:hAnsi="David"/>
          <w:rtl/>
        </w:rPr>
      </w:pPr>
    </w:p>
    <w:p w14:paraId="4C8FDD75" w14:textId="77777777" w:rsidR="007B0FCC" w:rsidRDefault="007B0FCC" w:rsidP="007B0FCC">
      <w:pPr>
        <w:spacing w:line="360" w:lineRule="auto"/>
        <w:ind w:left="720" w:hanging="720"/>
        <w:jc w:val="both"/>
        <w:rPr>
          <w:rFonts w:ascii="David" w:hAnsi="David"/>
          <w:rtl/>
        </w:rPr>
      </w:pPr>
      <w:r>
        <w:rPr>
          <w:rFonts w:ascii="David" w:hAnsi="David"/>
          <w:rtl/>
        </w:rPr>
        <w:t>ו.</w:t>
      </w:r>
      <w:r>
        <w:rPr>
          <w:rFonts w:ascii="David" w:hAnsi="David"/>
          <w:rtl/>
        </w:rPr>
        <w:tab/>
        <w:t xml:space="preserve">פיצויים בסך של 1,000 ש"ח לכל אחד מבעלי כלי-הרכב הבאים: </w:t>
      </w:r>
    </w:p>
    <w:p w14:paraId="462FAD71" w14:textId="77777777" w:rsidR="007B0FCC" w:rsidRDefault="007B0FCC" w:rsidP="007B0FCC">
      <w:pPr>
        <w:spacing w:line="360" w:lineRule="auto"/>
        <w:ind w:left="720" w:hanging="720"/>
        <w:jc w:val="both"/>
        <w:rPr>
          <w:rFonts w:ascii="David" w:hAnsi="David"/>
          <w:rtl/>
        </w:rPr>
      </w:pPr>
      <w:r>
        <w:rPr>
          <w:rFonts w:ascii="David" w:hAnsi="David"/>
          <w:rtl/>
        </w:rPr>
        <w:tab/>
        <w:t>מחמוד מחאמיד - רכב "מזדה" מ"ר 1806261;</w:t>
      </w:r>
    </w:p>
    <w:p w14:paraId="2E1D9D05" w14:textId="77777777" w:rsidR="007B0FCC" w:rsidRDefault="007B0FCC" w:rsidP="007B0FCC">
      <w:pPr>
        <w:spacing w:line="360" w:lineRule="auto"/>
        <w:ind w:left="720" w:hanging="720"/>
        <w:jc w:val="both"/>
        <w:rPr>
          <w:rFonts w:ascii="David" w:hAnsi="David"/>
          <w:rtl/>
        </w:rPr>
      </w:pPr>
      <w:r>
        <w:rPr>
          <w:rFonts w:ascii="David" w:hAnsi="David"/>
          <w:rtl/>
        </w:rPr>
        <w:tab/>
        <w:t>אשרף ג'בארין - רכב "אופל" מ"ר 8201753.</w:t>
      </w:r>
    </w:p>
    <w:p w14:paraId="411DA1E8" w14:textId="77777777" w:rsidR="007B0FCC" w:rsidRDefault="007B0FCC" w:rsidP="007B0FCC">
      <w:pPr>
        <w:spacing w:line="360" w:lineRule="auto"/>
        <w:ind w:left="720" w:hanging="720"/>
        <w:jc w:val="both"/>
        <w:rPr>
          <w:rFonts w:ascii="David" w:hAnsi="David"/>
          <w:rtl/>
        </w:rPr>
      </w:pPr>
    </w:p>
    <w:p w14:paraId="28D91A00" w14:textId="77777777" w:rsidR="007B0FCC" w:rsidRDefault="007B0FCC" w:rsidP="007B0FCC">
      <w:pPr>
        <w:spacing w:line="360" w:lineRule="auto"/>
        <w:ind w:left="720" w:hanging="720"/>
        <w:jc w:val="both"/>
        <w:rPr>
          <w:rFonts w:ascii="David" w:hAnsi="David"/>
          <w:rtl/>
        </w:rPr>
      </w:pPr>
      <w:r>
        <w:rPr>
          <w:rFonts w:ascii="David" w:hAnsi="David"/>
          <w:rtl/>
        </w:rPr>
        <w:tab/>
        <w:t>כן ישלם הנאשם פיצויים בסך של 10,000 ש"ח למתלונן, באהר מחאמיד.</w:t>
      </w:r>
    </w:p>
    <w:p w14:paraId="2BC727E0" w14:textId="77777777" w:rsidR="007B0FCC" w:rsidRDefault="007B0FCC" w:rsidP="007B0FCC">
      <w:pPr>
        <w:spacing w:line="360" w:lineRule="auto"/>
        <w:ind w:left="720" w:hanging="720"/>
        <w:jc w:val="both"/>
        <w:rPr>
          <w:rFonts w:ascii="David" w:hAnsi="David"/>
          <w:rtl/>
        </w:rPr>
      </w:pPr>
    </w:p>
    <w:p w14:paraId="125186DB" w14:textId="77777777" w:rsidR="007B0FCC" w:rsidRDefault="007B0FCC" w:rsidP="007B0FCC">
      <w:pPr>
        <w:spacing w:line="360" w:lineRule="auto"/>
        <w:jc w:val="both"/>
        <w:rPr>
          <w:rFonts w:ascii="David" w:hAnsi="David"/>
        </w:rPr>
      </w:pPr>
      <w:r>
        <w:rPr>
          <w:rFonts w:ascii="David" w:hAnsi="David"/>
          <w:rtl/>
        </w:rPr>
        <w:t xml:space="preserve">סכומי הפיצויים ישולמו כולם ב-20 תשלומים חודשיים ושווים החל ביום 1.7.22 ויועברו לנפגעי העבירה לפי פרטים עדכניים שיימסרו בידי המאשימה. אי תשלום אחד התשלומים במועד יעמיד את יתרת הפיצוי לפירעון מידי. למען הסר ספק, לא יהיה בוויתור על הפיצוי כדי לאיין את חובת הנאשם לשלמו. </w:t>
      </w:r>
    </w:p>
    <w:p w14:paraId="5CAF482A" w14:textId="77777777" w:rsidR="007B0FCC" w:rsidRDefault="007B0FCC" w:rsidP="007B0FCC">
      <w:pPr>
        <w:spacing w:line="360" w:lineRule="auto"/>
        <w:jc w:val="both"/>
        <w:rPr>
          <w:rFonts w:ascii="David" w:hAnsi="David"/>
          <w:rtl/>
        </w:rPr>
      </w:pPr>
    </w:p>
    <w:p w14:paraId="4B704D79" w14:textId="77777777" w:rsidR="007B0FCC" w:rsidRDefault="007B0FCC" w:rsidP="007B0FCC">
      <w:pPr>
        <w:spacing w:line="360" w:lineRule="auto"/>
        <w:jc w:val="both"/>
        <w:rPr>
          <w:rFonts w:ascii="David" w:hAnsi="David"/>
          <w:rtl/>
        </w:rPr>
      </w:pPr>
      <w:r>
        <w:rPr>
          <w:rFonts w:ascii="David" w:hAnsi="David"/>
          <w:rtl/>
        </w:rPr>
        <w:t xml:space="preserve">נאסר על הנאשם ליצור קשר עם נפגעי העבירה בכול הנוגע לפיצוי. </w:t>
      </w:r>
    </w:p>
    <w:p w14:paraId="2E58E91C" w14:textId="77777777" w:rsidR="007B0FCC" w:rsidRDefault="007B0FCC" w:rsidP="007B0FCC">
      <w:pPr>
        <w:spacing w:line="360" w:lineRule="auto"/>
        <w:ind w:left="720" w:hanging="720"/>
        <w:jc w:val="both"/>
        <w:rPr>
          <w:rFonts w:ascii="David" w:hAnsi="David"/>
          <w:highlight w:val="red"/>
          <w:rtl/>
        </w:rPr>
      </w:pPr>
      <w:r>
        <w:rPr>
          <w:rFonts w:ascii="David" w:hAnsi="David"/>
          <w:rtl/>
        </w:rPr>
        <w:tab/>
      </w:r>
    </w:p>
    <w:p w14:paraId="23F39BF5" w14:textId="77777777" w:rsidR="007B0FCC" w:rsidRDefault="007B0FCC" w:rsidP="007B0FCC">
      <w:pPr>
        <w:spacing w:line="360" w:lineRule="auto"/>
        <w:jc w:val="both"/>
        <w:rPr>
          <w:rFonts w:ascii="David" w:hAnsi="David"/>
          <w:sz w:val="26"/>
          <w:szCs w:val="26"/>
          <w:rtl/>
        </w:rPr>
      </w:pPr>
      <w:r>
        <w:rPr>
          <w:rFonts w:ascii="David" w:hAnsi="David"/>
          <w:rtl/>
        </w:rPr>
        <w:t>אני ממליץ לגורמי שב"ס, בהתאם להמלצת שירות המבחן, לשלב את הנאשם בתהליך טיפולי במטרה לשקמו ולהשיבו לדרך המלך.</w:t>
      </w:r>
    </w:p>
    <w:p w14:paraId="53B2D61A" w14:textId="77777777" w:rsidR="007B0FCC" w:rsidRDefault="007B0FCC" w:rsidP="007B0FCC">
      <w:pPr>
        <w:rPr>
          <w:rFonts w:ascii="David" w:hAnsi="David"/>
          <w:sz w:val="26"/>
          <w:szCs w:val="26"/>
          <w:rtl/>
        </w:rPr>
      </w:pPr>
    </w:p>
    <w:p w14:paraId="0ECC83F5" w14:textId="77777777" w:rsidR="007B0FCC" w:rsidRPr="0030089A" w:rsidRDefault="00766A9A" w:rsidP="007B0FCC">
      <w:pPr>
        <w:rPr>
          <w:b/>
          <w:bCs/>
          <w:rtl/>
        </w:rPr>
      </w:pPr>
      <w:r w:rsidRPr="00766A9A">
        <w:rPr>
          <w:b/>
          <w:bCs/>
          <w:color w:val="FFFFFF"/>
          <w:sz w:val="2"/>
          <w:szCs w:val="2"/>
          <w:u w:val="single"/>
          <w:rtl/>
        </w:rPr>
        <w:t>5129371</w:t>
      </w:r>
      <w:r w:rsidR="007B0FCC">
        <w:rPr>
          <w:b/>
          <w:bCs/>
          <w:u w:val="single"/>
          <w:rtl/>
        </w:rPr>
        <w:t>זכות ערעור כחוק</w:t>
      </w:r>
      <w:r w:rsidR="007B0FCC">
        <w:rPr>
          <w:rFonts w:hint="cs"/>
          <w:b/>
          <w:bCs/>
          <w:rtl/>
        </w:rPr>
        <w:t>.</w:t>
      </w:r>
    </w:p>
    <w:p w14:paraId="56EEFFAE" w14:textId="77777777" w:rsidR="007B0FCC" w:rsidRPr="00766A9A" w:rsidRDefault="00766A9A" w:rsidP="007B0FCC">
      <w:pPr>
        <w:rPr>
          <w:rFonts w:ascii="David" w:hAnsi="David"/>
          <w:color w:val="FFFFFF"/>
          <w:sz w:val="2"/>
          <w:szCs w:val="2"/>
          <w:rtl/>
        </w:rPr>
      </w:pPr>
      <w:r w:rsidRPr="00766A9A">
        <w:rPr>
          <w:rFonts w:ascii="David" w:hAnsi="David"/>
          <w:color w:val="FFFFFF"/>
          <w:sz w:val="2"/>
          <w:szCs w:val="2"/>
          <w:rtl/>
        </w:rPr>
        <w:t>54678313</w:t>
      </w:r>
    </w:p>
    <w:p w14:paraId="29D3A076" w14:textId="77777777" w:rsidR="007B0FCC" w:rsidRPr="002B7D23" w:rsidRDefault="007B0FCC" w:rsidP="007B0FCC">
      <w:pPr>
        <w:rPr>
          <w:rFonts w:ascii="David" w:hAnsi="David"/>
          <w:sz w:val="26"/>
          <w:szCs w:val="26"/>
          <w:rtl/>
        </w:rPr>
      </w:pPr>
    </w:p>
    <w:p w14:paraId="36BF9813" w14:textId="77777777" w:rsidR="007B0FCC" w:rsidRPr="002B7D23" w:rsidRDefault="00766A9A" w:rsidP="007B0FCC">
      <w:pPr>
        <w:rPr>
          <w:rFonts w:ascii="David" w:hAnsi="David"/>
          <w:sz w:val="26"/>
          <w:szCs w:val="26"/>
          <w:rtl/>
        </w:rPr>
      </w:pPr>
      <w:bookmarkStart w:id="7" w:name="Nitan"/>
      <w:r>
        <w:rPr>
          <w:rFonts w:ascii="David" w:hAnsi="David"/>
          <w:sz w:val="26"/>
          <w:szCs w:val="26"/>
          <w:rtl/>
        </w:rPr>
        <w:t xml:space="preserve">ניתן היום, ג' כסלו, תשפ"ב, 07 נובמבר 2021, בנוכחות הצדדים. </w:t>
      </w:r>
      <w:bookmarkEnd w:id="7"/>
    </w:p>
    <w:p w14:paraId="6F39D622" w14:textId="77777777" w:rsidR="007B0FCC" w:rsidRPr="002B7D23" w:rsidRDefault="007B0FCC" w:rsidP="00766A9A">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18D8D043" w14:textId="77777777" w:rsidR="007B0FCC" w:rsidRPr="005F4DE5" w:rsidRDefault="005F4DE5" w:rsidP="007B0FCC">
      <w:pPr>
        <w:jc w:val="center"/>
        <w:rPr>
          <w:rFonts w:ascii="David" w:hAnsi="David"/>
          <w:color w:val="FFFFFF"/>
          <w:sz w:val="2"/>
          <w:szCs w:val="2"/>
          <w:rtl/>
        </w:rPr>
      </w:pPr>
      <w:r w:rsidRPr="005F4DE5">
        <w:rPr>
          <w:rFonts w:ascii="David" w:hAnsi="David"/>
          <w:color w:val="FFFFFF"/>
          <w:sz w:val="2"/>
          <w:szCs w:val="2"/>
          <w:rtl/>
        </w:rPr>
        <w:t>5129371</w:t>
      </w:r>
    </w:p>
    <w:p w14:paraId="50BA6232" w14:textId="77777777" w:rsidR="00766A9A" w:rsidRDefault="005F4DE5" w:rsidP="00766A9A">
      <w:r w:rsidRPr="005F4DE5">
        <w:rPr>
          <w:rFonts w:ascii="David" w:hAnsi="David"/>
          <w:color w:val="FFFFFF"/>
          <w:sz w:val="2"/>
          <w:szCs w:val="2"/>
          <w:rtl/>
        </w:rPr>
        <w:t>54678313</w:t>
      </w:r>
    </w:p>
    <w:p w14:paraId="1955F96C" w14:textId="77777777" w:rsidR="00766A9A" w:rsidRDefault="00766A9A" w:rsidP="00766A9A">
      <w:pPr>
        <w:rPr>
          <w:rtl/>
        </w:rPr>
      </w:pPr>
    </w:p>
    <w:p w14:paraId="124E753C" w14:textId="77777777" w:rsidR="00766A9A" w:rsidRDefault="00766A9A" w:rsidP="00766A9A">
      <w:pPr>
        <w:jc w:val="center"/>
        <w:rPr>
          <w:color w:val="0000FF"/>
          <w:u w:val="single"/>
        </w:rPr>
      </w:pPr>
      <w:hyperlink r:id="rId69" w:history="1">
        <w:r>
          <w:rPr>
            <w:color w:val="0000FF"/>
            <w:u w:val="single"/>
            <w:rtl/>
          </w:rPr>
          <w:t>בעניין עריכה ושינויים במסמכי פסיקה, חקיקה ועוד באתר נבו – הקש כאן</w:t>
        </w:r>
      </w:hyperlink>
    </w:p>
    <w:p w14:paraId="66F43FD5" w14:textId="77777777" w:rsidR="005F4DE5" w:rsidRPr="005F4DE5" w:rsidRDefault="005F4DE5" w:rsidP="005F4DE5">
      <w:pPr>
        <w:keepNext/>
        <w:rPr>
          <w:rFonts w:ascii="David" w:hAnsi="David"/>
          <w:color w:val="000000"/>
          <w:sz w:val="22"/>
          <w:szCs w:val="22"/>
          <w:rtl/>
        </w:rPr>
      </w:pPr>
    </w:p>
    <w:p w14:paraId="4341C1B2" w14:textId="77777777" w:rsidR="005F4DE5" w:rsidRPr="005F4DE5" w:rsidRDefault="005F4DE5" w:rsidP="005F4DE5">
      <w:pPr>
        <w:keepNext/>
        <w:rPr>
          <w:rFonts w:ascii="David" w:hAnsi="David"/>
          <w:color w:val="000000"/>
          <w:sz w:val="22"/>
          <w:szCs w:val="22"/>
          <w:rtl/>
        </w:rPr>
      </w:pPr>
      <w:r w:rsidRPr="005F4DE5">
        <w:rPr>
          <w:rFonts w:ascii="David" w:hAnsi="David"/>
          <w:color w:val="000000"/>
          <w:sz w:val="22"/>
          <w:szCs w:val="22"/>
          <w:rtl/>
        </w:rPr>
        <w:t>אבי לוי 54678313-/</w:t>
      </w:r>
    </w:p>
    <w:p w14:paraId="4CB0920B" w14:textId="77777777" w:rsidR="00766A9A" w:rsidRPr="00766A9A" w:rsidRDefault="005F4DE5" w:rsidP="005F4DE5">
      <w:pPr>
        <w:rPr>
          <w:rFonts w:hint="cs"/>
          <w:color w:val="0000FF"/>
          <w:u w:val="single"/>
        </w:rPr>
      </w:pPr>
      <w:r w:rsidRPr="005F4DE5">
        <w:rPr>
          <w:color w:val="000000"/>
          <w:u w:val="single"/>
          <w:rtl/>
        </w:rPr>
        <w:t>נוסח מסמך זה כפוף לשינויי ניסוח ועריכה</w:t>
      </w:r>
      <w:r w:rsidR="004C53E1">
        <w:rPr>
          <w:rFonts w:hint="cs"/>
          <w:color w:val="0000FF"/>
          <w:u w:val="single"/>
          <w:rtl/>
        </w:rPr>
        <w:t xml:space="preserve"> </w:t>
      </w:r>
    </w:p>
    <w:sectPr w:rsidR="00766A9A" w:rsidRPr="00766A9A" w:rsidSect="005F4DE5">
      <w:headerReference w:type="even" r:id="rId70"/>
      <w:headerReference w:type="default" r:id="rId71"/>
      <w:footerReference w:type="even" r:id="rId72"/>
      <w:footerReference w:type="default" r:id="rId73"/>
      <w:pgSz w:w="11907" w:h="16840" w:code="9"/>
      <w:pgMar w:top="1701" w:right="1701" w:bottom="851"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0DEBDA" w14:textId="77777777" w:rsidR="00A54869" w:rsidRDefault="00A54869" w:rsidP="003866D9">
      <w:r>
        <w:separator/>
      </w:r>
    </w:p>
  </w:endnote>
  <w:endnote w:type="continuationSeparator" w:id="0">
    <w:p w14:paraId="7D6249A8" w14:textId="77777777" w:rsidR="00A54869" w:rsidRDefault="00A54869" w:rsidP="00386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DCCFC" w14:textId="77777777" w:rsidR="005F4DE5" w:rsidRDefault="005F4DE5" w:rsidP="005F4D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4D9D70" w14:textId="77777777" w:rsidR="005F4DE5" w:rsidRPr="005F4DE5" w:rsidRDefault="005F4DE5" w:rsidP="005F4DE5">
    <w:pPr>
      <w:pStyle w:val="a5"/>
      <w:pBdr>
        <w:top w:val="single" w:sz="4" w:space="1" w:color="auto"/>
        <w:between w:val="single" w:sz="4" w:space="0" w:color="auto"/>
      </w:pBdr>
      <w:spacing w:after="60"/>
      <w:jc w:val="center"/>
      <w:rPr>
        <w:rFonts w:ascii="FrankRuehl" w:hAnsi="FrankRuehl" w:cs="FrankRuehl"/>
        <w:color w:val="000000"/>
      </w:rPr>
    </w:pPr>
    <w:r w:rsidRPr="005F4DE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DE963" w14:textId="77777777" w:rsidR="005F4DE5" w:rsidRDefault="005F4DE5" w:rsidP="005F4DE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2110">
      <w:rPr>
        <w:rFonts w:ascii="FrankRuehl" w:hAnsi="FrankRuehl" w:cs="FrankRuehl"/>
        <w:noProof/>
        <w:rtl/>
      </w:rPr>
      <w:t>1</w:t>
    </w:r>
    <w:r>
      <w:rPr>
        <w:rFonts w:ascii="FrankRuehl" w:hAnsi="FrankRuehl" w:cs="FrankRuehl"/>
        <w:rtl/>
      </w:rPr>
      <w:fldChar w:fldCharType="end"/>
    </w:r>
  </w:p>
  <w:p w14:paraId="36EF56E7" w14:textId="77777777" w:rsidR="005F4DE5" w:rsidRPr="005F4DE5" w:rsidRDefault="005F4DE5" w:rsidP="005F4DE5">
    <w:pPr>
      <w:pStyle w:val="a5"/>
      <w:pBdr>
        <w:top w:val="single" w:sz="4" w:space="1" w:color="auto"/>
        <w:between w:val="single" w:sz="4" w:space="0" w:color="auto"/>
      </w:pBdr>
      <w:spacing w:after="60"/>
      <w:jc w:val="center"/>
      <w:rPr>
        <w:rFonts w:ascii="FrankRuehl" w:hAnsi="FrankRuehl" w:cs="FrankRuehl"/>
        <w:color w:val="000000"/>
      </w:rPr>
    </w:pPr>
    <w:r w:rsidRPr="005F4DE5">
      <w:rPr>
        <w:rFonts w:ascii="FrankRuehl" w:hAnsi="FrankRuehl" w:cs="FrankRuehl"/>
        <w:color w:val="000000"/>
      </w:rPr>
      <w:pict w14:anchorId="4D3D99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63C9A3" w14:textId="77777777" w:rsidR="00A54869" w:rsidRDefault="00A54869" w:rsidP="003866D9">
      <w:r>
        <w:separator/>
      </w:r>
    </w:p>
  </w:footnote>
  <w:footnote w:type="continuationSeparator" w:id="0">
    <w:p w14:paraId="0E8EAD0B" w14:textId="77777777" w:rsidR="00A54869" w:rsidRDefault="00A54869" w:rsidP="003866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5CB65" w14:textId="77777777" w:rsidR="005F4DE5" w:rsidRPr="005F4DE5" w:rsidRDefault="005F4DE5" w:rsidP="005F4D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41600-02-21</w:t>
    </w:r>
    <w:r>
      <w:rPr>
        <w:rFonts w:ascii="David" w:hAnsi="David"/>
        <w:color w:val="000000"/>
        <w:sz w:val="22"/>
        <w:szCs w:val="22"/>
        <w:rtl/>
      </w:rPr>
      <w:tab/>
      <w:t xml:space="preserve"> מדינת ישראל נ' קוסאי מחאמיד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6C4AD" w14:textId="77777777" w:rsidR="005F4DE5" w:rsidRPr="005F4DE5" w:rsidRDefault="005F4DE5" w:rsidP="005F4DE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41600-02-21</w:t>
    </w:r>
    <w:r>
      <w:rPr>
        <w:rFonts w:ascii="David" w:hAnsi="David"/>
        <w:color w:val="000000"/>
        <w:sz w:val="22"/>
        <w:szCs w:val="22"/>
        <w:rtl/>
      </w:rPr>
      <w:tab/>
      <w:t xml:space="preserve"> מדינת ישראל נ' קוסאי מחאמיד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B0FCC"/>
    <w:rsid w:val="001B5A3B"/>
    <w:rsid w:val="002F6E8A"/>
    <w:rsid w:val="003866D9"/>
    <w:rsid w:val="004C53E1"/>
    <w:rsid w:val="00520D5D"/>
    <w:rsid w:val="00544C33"/>
    <w:rsid w:val="005F4DE5"/>
    <w:rsid w:val="00766A9A"/>
    <w:rsid w:val="007A5FDA"/>
    <w:rsid w:val="007B0FCC"/>
    <w:rsid w:val="008B6FF7"/>
    <w:rsid w:val="008D4268"/>
    <w:rsid w:val="009374AA"/>
    <w:rsid w:val="00A54869"/>
    <w:rsid w:val="00B20A62"/>
    <w:rsid w:val="00BF2110"/>
    <w:rsid w:val="00C136FB"/>
    <w:rsid w:val="00C249A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681118"/>
  <w15:chartTrackingRefBased/>
  <w15:docId w15:val="{D02602A7-F0B6-4FB3-894A-98EBC1EED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B0FC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0FCC"/>
    <w:pPr>
      <w:tabs>
        <w:tab w:val="center" w:pos="4153"/>
        <w:tab w:val="right" w:pos="8306"/>
      </w:tabs>
    </w:pPr>
  </w:style>
  <w:style w:type="character" w:customStyle="1" w:styleId="a4">
    <w:name w:val="כותרת עליונה תו"/>
    <w:link w:val="a3"/>
    <w:rsid w:val="007B0FCC"/>
    <w:rPr>
      <w:rFonts w:ascii="Times New Roman" w:eastAsia="Times New Roman" w:hAnsi="Times New Roman" w:cs="David"/>
      <w:sz w:val="24"/>
      <w:szCs w:val="24"/>
    </w:rPr>
  </w:style>
  <w:style w:type="paragraph" w:styleId="a5">
    <w:name w:val="footer"/>
    <w:basedOn w:val="a"/>
    <w:link w:val="a6"/>
    <w:rsid w:val="007B0FCC"/>
    <w:pPr>
      <w:tabs>
        <w:tab w:val="center" w:pos="4153"/>
        <w:tab w:val="right" w:pos="8306"/>
      </w:tabs>
    </w:pPr>
  </w:style>
  <w:style w:type="character" w:customStyle="1" w:styleId="a6">
    <w:name w:val="כותרת תחתונה תו"/>
    <w:link w:val="a5"/>
    <w:rsid w:val="007B0FCC"/>
    <w:rPr>
      <w:rFonts w:ascii="Times New Roman" w:eastAsia="Times New Roman" w:hAnsi="Times New Roman" w:cs="David"/>
      <w:sz w:val="24"/>
      <w:szCs w:val="24"/>
    </w:rPr>
  </w:style>
  <w:style w:type="table" w:styleId="a7">
    <w:name w:val="Table Grid"/>
    <w:basedOn w:val="a1"/>
    <w:rsid w:val="007B0FC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B0FCC"/>
  </w:style>
  <w:style w:type="character" w:customStyle="1" w:styleId="TimesNewRomanTimesNewRoman">
    <w:name w:val="סגנון (לטיני) Times New Roman (עברית ושפות אחרות) Times New Roman..."/>
    <w:rsid w:val="007B0FCC"/>
    <w:rPr>
      <w:rFonts w:ascii="Times New Roman" w:hAnsi="Times New Roman" w:cs="David" w:hint="default"/>
      <w:b/>
      <w:bCs/>
      <w:sz w:val="26"/>
      <w:szCs w:val="26"/>
    </w:rPr>
  </w:style>
  <w:style w:type="character" w:styleId="Hyperlink">
    <w:name w:val="Hyperlink"/>
    <w:rsid w:val="00766A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413e" TargetMode="External"/><Relationship Id="rId21" Type="http://schemas.openxmlformats.org/officeDocument/2006/relationships/hyperlink" Target="http://www.nevo.co.il/law/70301/25" TargetMode="External"/><Relationship Id="rId42" Type="http://schemas.openxmlformats.org/officeDocument/2006/relationships/hyperlink" Target="http://www.nevo.co.il/law/70301/335.a.1" TargetMode="External"/><Relationship Id="rId47" Type="http://schemas.openxmlformats.org/officeDocument/2006/relationships/hyperlink" Target="http://www.nevo.co.il/law/70301/335.a.1" TargetMode="External"/><Relationship Id="rId63" Type="http://schemas.openxmlformats.org/officeDocument/2006/relationships/hyperlink" Target="http://www.nevo.co.il/case/6949290" TargetMode="External"/><Relationship Id="rId68" Type="http://schemas.openxmlformats.org/officeDocument/2006/relationships/hyperlink" Target="http://www.nevo.co.il/law/70301/413e" TargetMode="External"/><Relationship Id="rId2" Type="http://schemas.openxmlformats.org/officeDocument/2006/relationships/settings" Target="settings.xml"/><Relationship Id="rId16" Type="http://schemas.openxmlformats.org/officeDocument/2006/relationships/hyperlink" Target="http://www.nevo.co.il/law/70301/413e" TargetMode="External"/><Relationship Id="rId29" Type="http://schemas.openxmlformats.org/officeDocument/2006/relationships/hyperlink" Target="http://www.nevo.co.il/law/70301/fCa(1)S"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5576587" TargetMode="External"/><Relationship Id="rId37" Type="http://schemas.openxmlformats.org/officeDocument/2006/relationships/hyperlink" Target="http://www.nevo.co.il/case/24140838" TargetMode="External"/><Relationship Id="rId40" Type="http://schemas.openxmlformats.org/officeDocument/2006/relationships/hyperlink" Target="http://www.nevo.co.il/case/5590183" TargetMode="External"/><Relationship Id="rId45" Type="http://schemas.openxmlformats.org/officeDocument/2006/relationships/hyperlink" Target="http://www.nevo.co.il/case/20033653" TargetMode="External"/><Relationship Id="rId53" Type="http://schemas.openxmlformats.org/officeDocument/2006/relationships/hyperlink" Target="http://www.nevo.co.il/law/70301/335.a.1" TargetMode="External"/><Relationship Id="rId58" Type="http://schemas.openxmlformats.org/officeDocument/2006/relationships/hyperlink" Target="http://www.nevo.co.il/case/6136007" TargetMode="External"/><Relationship Id="rId66" Type="http://schemas.openxmlformats.org/officeDocument/2006/relationships/hyperlink" Target="http://www.nevo.co.il/law/70301/40ja" TargetMode="External"/><Relationship Id="rId74" Type="http://schemas.openxmlformats.org/officeDocument/2006/relationships/fontTable" Target="fontTable.xml"/><Relationship Id="rId5" Type="http://schemas.openxmlformats.org/officeDocument/2006/relationships/endnotes" Target="endnotes.xml"/><Relationship Id="rId61" Type="http://schemas.openxmlformats.org/officeDocument/2006/relationships/hyperlink" Target="http://www.nevo.co.il/case/5760067" TargetMode="External"/><Relationship Id="rId19" Type="http://schemas.openxmlformats.org/officeDocument/2006/relationships/hyperlink" Target="http://www.nevo.co.il/law/5227/43"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law/70301" TargetMode="External"/><Relationship Id="rId27" Type="http://schemas.openxmlformats.org/officeDocument/2006/relationships/hyperlink" Target="http://www.nevo.co.il/law/5227/43"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6905927"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25" TargetMode="External"/><Relationship Id="rId56" Type="http://schemas.openxmlformats.org/officeDocument/2006/relationships/hyperlink" Target="http://www.nevo.co.il/law/70301/144.b" TargetMode="External"/><Relationship Id="rId64" Type="http://schemas.openxmlformats.org/officeDocument/2006/relationships/hyperlink" Target="http://www.nevo.co.il/case/5878682" TargetMode="External"/><Relationship Id="rId69" Type="http://schemas.openxmlformats.org/officeDocument/2006/relationships/hyperlink" Target="http://www.nevo.co.il/advertisements/nevo-100.doc" TargetMode="External"/><Relationship Id="rId8" Type="http://schemas.openxmlformats.org/officeDocument/2006/relationships/hyperlink" Target="http://www.nevo.co.il/law/70301/40i" TargetMode="External"/><Relationship Id="rId51" Type="http://schemas.openxmlformats.org/officeDocument/2006/relationships/hyperlink" Target="http://www.nevo.co.il/case/25824863" TargetMode="External"/><Relationship Id="rId72"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www.nevo.co.il/law/70301/333" TargetMode="External"/><Relationship Id="rId17" Type="http://schemas.openxmlformats.org/officeDocument/2006/relationships/hyperlink" Target="http://www.nevo.co.il/law/70301/fCa(1)S" TargetMode="External"/><Relationship Id="rId25" Type="http://schemas.openxmlformats.org/officeDocument/2006/relationships/hyperlink" Target="http://www.nevo.co.il/law/70301/192" TargetMode="External"/><Relationship Id="rId33" Type="http://schemas.openxmlformats.org/officeDocument/2006/relationships/hyperlink" Target="http://www.nevo.co.il/law/70301/40jc.a" TargetMode="External"/><Relationship Id="rId38" Type="http://schemas.openxmlformats.org/officeDocument/2006/relationships/hyperlink" Target="http://www.nevo.co.il/case/18653755" TargetMode="External"/><Relationship Id="rId46" Type="http://schemas.openxmlformats.org/officeDocument/2006/relationships/hyperlink" Target="http://www.nevo.co.il/law/70301/333" TargetMode="External"/><Relationship Id="rId59" Type="http://schemas.openxmlformats.org/officeDocument/2006/relationships/hyperlink" Target="http://www.nevo.co.il/case/20000175" TargetMode="External"/><Relationship Id="rId67" Type="http://schemas.openxmlformats.org/officeDocument/2006/relationships/hyperlink" Target="http://www.nevo.co.il/law/70301/192" TargetMode="External"/><Relationship Id="rId20" Type="http://schemas.openxmlformats.org/officeDocument/2006/relationships/hyperlink" Target="http://www.nevo.co.il/law/70301/335.a.1" TargetMode="External"/><Relationship Id="rId41" Type="http://schemas.openxmlformats.org/officeDocument/2006/relationships/hyperlink" Target="http://www.nevo.co.il/law/70301/333"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5575978" TargetMode="External"/><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jc.a" TargetMode="External"/><Relationship Id="rId23" Type="http://schemas.openxmlformats.org/officeDocument/2006/relationships/hyperlink" Target="http://www.nevo.co.il/law/70301/144.b" TargetMode="External"/><Relationship Id="rId28" Type="http://schemas.openxmlformats.org/officeDocument/2006/relationships/hyperlink" Target="http://www.nevo.co.il/law/5227" TargetMode="External"/><Relationship Id="rId36" Type="http://schemas.openxmlformats.org/officeDocument/2006/relationships/hyperlink" Target="http://www.nevo.co.il/case/5920165"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6142512"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case/13093721" TargetMode="External"/><Relationship Id="rId44" Type="http://schemas.openxmlformats.org/officeDocument/2006/relationships/hyperlink" Target="http://www.nevo.co.il/law/70301/144.b" TargetMode="External"/><Relationship Id="rId52" Type="http://schemas.openxmlformats.org/officeDocument/2006/relationships/hyperlink" Target="http://www.nevo.co.il/law/70301/333" TargetMode="External"/><Relationship Id="rId60" Type="http://schemas.openxmlformats.org/officeDocument/2006/relationships/hyperlink" Target="http://www.nevo.co.il/case/18653821" TargetMode="External"/><Relationship Id="rId65" Type="http://schemas.openxmlformats.org/officeDocument/2006/relationships/hyperlink" Target="http://www.nevo.co.il/law/70301/40i" TargetMode="External"/><Relationship Id="rId73"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a" TargetMode="External"/><Relationship Id="rId13" Type="http://schemas.openxmlformats.org/officeDocument/2006/relationships/hyperlink" Target="http://www.nevo.co.il/law/70301/335.a.1" TargetMode="External"/><Relationship Id="rId18" Type="http://schemas.openxmlformats.org/officeDocument/2006/relationships/hyperlink" Target="http://www.nevo.co.il/law/5227"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144.a" TargetMode="External"/><Relationship Id="rId55" Type="http://schemas.openxmlformats.org/officeDocument/2006/relationships/hyperlink" Target="http://www.nevo.co.il/law/70301/413e" TargetMode="External"/><Relationship Id="rId7" Type="http://schemas.openxmlformats.org/officeDocument/2006/relationships/hyperlink" Target="http://www.nevo.co.il/law/70301/25" TargetMode="External"/><Relationship Id="rId7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3612</Words>
  <Characters>18065</Characters>
  <Application>Microsoft Office Word</Application>
  <DocSecurity>0</DocSecurity>
  <Lines>150</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21634</CharactersWithSpaces>
  <SharedDoc>false</SharedDoc>
  <HLinks>
    <vt:vector size="384" baseType="variant">
      <vt:variant>
        <vt:i4>393283</vt:i4>
      </vt:variant>
      <vt:variant>
        <vt:i4>189</vt:i4>
      </vt:variant>
      <vt:variant>
        <vt:i4>0</vt:i4>
      </vt:variant>
      <vt:variant>
        <vt:i4>5</vt:i4>
      </vt:variant>
      <vt:variant>
        <vt:lpwstr>http://www.nevo.co.il/advertisements/nevo-100.doc</vt:lpwstr>
      </vt:variant>
      <vt:variant>
        <vt:lpwstr/>
      </vt:variant>
      <vt:variant>
        <vt:i4>65618</vt:i4>
      </vt:variant>
      <vt:variant>
        <vt:i4>186</vt:i4>
      </vt:variant>
      <vt:variant>
        <vt:i4>0</vt:i4>
      </vt:variant>
      <vt:variant>
        <vt:i4>5</vt:i4>
      </vt:variant>
      <vt:variant>
        <vt:lpwstr>http://www.nevo.co.il/law/70301/413e</vt:lpwstr>
      </vt:variant>
      <vt:variant>
        <vt:lpwstr/>
      </vt:variant>
      <vt:variant>
        <vt:i4>7077988</vt:i4>
      </vt:variant>
      <vt:variant>
        <vt:i4>183</vt:i4>
      </vt:variant>
      <vt:variant>
        <vt:i4>0</vt:i4>
      </vt:variant>
      <vt:variant>
        <vt:i4>5</vt:i4>
      </vt:variant>
      <vt:variant>
        <vt:lpwstr>http://www.nevo.co.il/law/70301/192</vt:lpwstr>
      </vt:variant>
      <vt:variant>
        <vt:lpwstr/>
      </vt:variant>
      <vt:variant>
        <vt:i4>262155</vt:i4>
      </vt:variant>
      <vt:variant>
        <vt:i4>180</vt:i4>
      </vt:variant>
      <vt:variant>
        <vt:i4>0</vt:i4>
      </vt:variant>
      <vt:variant>
        <vt:i4>5</vt:i4>
      </vt:variant>
      <vt:variant>
        <vt:lpwstr>http://www.nevo.co.il/law/70301/40ja</vt:lpwstr>
      </vt:variant>
      <vt:variant>
        <vt:lpwstr/>
      </vt:variant>
      <vt:variant>
        <vt:i4>6619233</vt:i4>
      </vt:variant>
      <vt:variant>
        <vt:i4>177</vt:i4>
      </vt:variant>
      <vt:variant>
        <vt:i4>0</vt:i4>
      </vt:variant>
      <vt:variant>
        <vt:i4>5</vt:i4>
      </vt:variant>
      <vt:variant>
        <vt:lpwstr>http://www.nevo.co.il/law/70301/40i</vt:lpwstr>
      </vt:variant>
      <vt:variant>
        <vt:lpwstr/>
      </vt:variant>
      <vt:variant>
        <vt:i4>3539068</vt:i4>
      </vt:variant>
      <vt:variant>
        <vt:i4>174</vt:i4>
      </vt:variant>
      <vt:variant>
        <vt:i4>0</vt:i4>
      </vt:variant>
      <vt:variant>
        <vt:i4>5</vt:i4>
      </vt:variant>
      <vt:variant>
        <vt:lpwstr>http://www.nevo.co.il/case/5878682</vt:lpwstr>
      </vt:variant>
      <vt:variant>
        <vt:lpwstr/>
      </vt:variant>
      <vt:variant>
        <vt:i4>3145853</vt:i4>
      </vt:variant>
      <vt:variant>
        <vt:i4>171</vt:i4>
      </vt:variant>
      <vt:variant>
        <vt:i4>0</vt:i4>
      </vt:variant>
      <vt:variant>
        <vt:i4>5</vt:i4>
      </vt:variant>
      <vt:variant>
        <vt:lpwstr>http://www.nevo.co.il/case/6949290</vt:lpwstr>
      </vt:variant>
      <vt:variant>
        <vt:lpwstr/>
      </vt:variant>
      <vt:variant>
        <vt:i4>3342451</vt:i4>
      </vt:variant>
      <vt:variant>
        <vt:i4>168</vt:i4>
      </vt:variant>
      <vt:variant>
        <vt:i4>0</vt:i4>
      </vt:variant>
      <vt:variant>
        <vt:i4>5</vt:i4>
      </vt:variant>
      <vt:variant>
        <vt:lpwstr>http://www.nevo.co.il/case/5575978</vt:lpwstr>
      </vt:variant>
      <vt:variant>
        <vt:lpwstr/>
      </vt:variant>
      <vt:variant>
        <vt:i4>3407989</vt:i4>
      </vt:variant>
      <vt:variant>
        <vt:i4>165</vt:i4>
      </vt:variant>
      <vt:variant>
        <vt:i4>0</vt:i4>
      </vt:variant>
      <vt:variant>
        <vt:i4>5</vt:i4>
      </vt:variant>
      <vt:variant>
        <vt:lpwstr>http://www.nevo.co.il/case/5760067</vt:lpwstr>
      </vt:variant>
      <vt:variant>
        <vt:lpwstr/>
      </vt:variant>
      <vt:variant>
        <vt:i4>3539057</vt:i4>
      </vt:variant>
      <vt:variant>
        <vt:i4>162</vt:i4>
      </vt:variant>
      <vt:variant>
        <vt:i4>0</vt:i4>
      </vt:variant>
      <vt:variant>
        <vt:i4>5</vt:i4>
      </vt:variant>
      <vt:variant>
        <vt:lpwstr>http://www.nevo.co.il/case/18653821</vt:lpwstr>
      </vt:variant>
      <vt:variant>
        <vt:lpwstr/>
      </vt:variant>
      <vt:variant>
        <vt:i4>3473525</vt:i4>
      </vt:variant>
      <vt:variant>
        <vt:i4>159</vt:i4>
      </vt:variant>
      <vt:variant>
        <vt:i4>0</vt:i4>
      </vt:variant>
      <vt:variant>
        <vt:i4>5</vt:i4>
      </vt:variant>
      <vt:variant>
        <vt:lpwstr>http://www.nevo.co.il/case/20000175</vt:lpwstr>
      </vt:variant>
      <vt:variant>
        <vt:lpwstr/>
      </vt:variant>
      <vt:variant>
        <vt:i4>3276915</vt:i4>
      </vt:variant>
      <vt:variant>
        <vt:i4>156</vt:i4>
      </vt:variant>
      <vt:variant>
        <vt:i4>0</vt:i4>
      </vt:variant>
      <vt:variant>
        <vt:i4>5</vt:i4>
      </vt:variant>
      <vt:variant>
        <vt:lpwstr>http://www.nevo.co.il/case/6136007</vt:lpwstr>
      </vt:variant>
      <vt:variant>
        <vt:lpwstr/>
      </vt:variant>
      <vt:variant>
        <vt:i4>3473526</vt:i4>
      </vt:variant>
      <vt:variant>
        <vt:i4>153</vt:i4>
      </vt:variant>
      <vt:variant>
        <vt:i4>0</vt:i4>
      </vt:variant>
      <vt:variant>
        <vt:i4>5</vt:i4>
      </vt:variant>
      <vt:variant>
        <vt:lpwstr>http://www.nevo.co.il/case/6142512</vt:lpwstr>
      </vt:variant>
      <vt:variant>
        <vt:lpwstr/>
      </vt:variant>
      <vt:variant>
        <vt:i4>5177424</vt:i4>
      </vt:variant>
      <vt:variant>
        <vt:i4>150</vt:i4>
      </vt:variant>
      <vt:variant>
        <vt:i4>0</vt:i4>
      </vt:variant>
      <vt:variant>
        <vt:i4>5</vt:i4>
      </vt:variant>
      <vt:variant>
        <vt:lpwstr>http://www.nevo.co.il/law/70301/144.b</vt:lpwstr>
      </vt:variant>
      <vt:variant>
        <vt:lpwstr/>
      </vt:variant>
      <vt:variant>
        <vt:i4>65618</vt:i4>
      </vt:variant>
      <vt:variant>
        <vt:i4>147</vt:i4>
      </vt:variant>
      <vt:variant>
        <vt:i4>0</vt:i4>
      </vt:variant>
      <vt:variant>
        <vt:i4>5</vt:i4>
      </vt:variant>
      <vt:variant>
        <vt:lpwstr>http://www.nevo.co.il/law/70301/413e</vt:lpwstr>
      </vt:variant>
      <vt:variant>
        <vt:lpwstr/>
      </vt:variant>
      <vt:variant>
        <vt:i4>7995492</vt:i4>
      </vt:variant>
      <vt:variant>
        <vt:i4>144</vt:i4>
      </vt:variant>
      <vt:variant>
        <vt:i4>0</vt:i4>
      </vt:variant>
      <vt:variant>
        <vt:i4>5</vt:i4>
      </vt:variant>
      <vt:variant>
        <vt:lpwstr>http://www.nevo.co.il/law/70301</vt:lpwstr>
      </vt:variant>
      <vt:variant>
        <vt:lpwstr/>
      </vt:variant>
      <vt:variant>
        <vt:i4>6684722</vt:i4>
      </vt:variant>
      <vt:variant>
        <vt:i4>141</vt:i4>
      </vt:variant>
      <vt:variant>
        <vt:i4>0</vt:i4>
      </vt:variant>
      <vt:variant>
        <vt:i4>5</vt:i4>
      </vt:variant>
      <vt:variant>
        <vt:lpwstr>http://www.nevo.co.il/law/70301/335.a.1</vt:lpwstr>
      </vt:variant>
      <vt:variant>
        <vt:lpwstr/>
      </vt:variant>
      <vt:variant>
        <vt:i4>6684774</vt:i4>
      </vt:variant>
      <vt:variant>
        <vt:i4>138</vt:i4>
      </vt:variant>
      <vt:variant>
        <vt:i4>0</vt:i4>
      </vt:variant>
      <vt:variant>
        <vt:i4>5</vt:i4>
      </vt:variant>
      <vt:variant>
        <vt:lpwstr>http://www.nevo.co.il/law/70301/333</vt:lpwstr>
      </vt:variant>
      <vt:variant>
        <vt:lpwstr/>
      </vt:variant>
      <vt:variant>
        <vt:i4>3670139</vt:i4>
      </vt:variant>
      <vt:variant>
        <vt:i4>135</vt:i4>
      </vt:variant>
      <vt:variant>
        <vt:i4>0</vt:i4>
      </vt:variant>
      <vt:variant>
        <vt:i4>5</vt:i4>
      </vt:variant>
      <vt:variant>
        <vt:lpwstr>http://www.nevo.co.il/case/25824863</vt:lpwstr>
      </vt:variant>
      <vt:variant>
        <vt:lpwstr/>
      </vt:variant>
      <vt:variant>
        <vt:i4>5177424</vt:i4>
      </vt:variant>
      <vt:variant>
        <vt:i4>132</vt:i4>
      </vt:variant>
      <vt:variant>
        <vt:i4>0</vt:i4>
      </vt:variant>
      <vt:variant>
        <vt:i4>5</vt:i4>
      </vt:variant>
      <vt:variant>
        <vt:lpwstr>http://www.nevo.co.il/law/70301/144.a</vt:lpwstr>
      </vt:variant>
      <vt:variant>
        <vt:lpwstr/>
      </vt:variant>
      <vt:variant>
        <vt:i4>7995492</vt:i4>
      </vt:variant>
      <vt:variant>
        <vt:i4>129</vt:i4>
      </vt:variant>
      <vt:variant>
        <vt:i4>0</vt:i4>
      </vt:variant>
      <vt:variant>
        <vt:i4>5</vt:i4>
      </vt:variant>
      <vt:variant>
        <vt:lpwstr>http://www.nevo.co.il/law/70301</vt:lpwstr>
      </vt:variant>
      <vt:variant>
        <vt:lpwstr/>
      </vt:variant>
      <vt:variant>
        <vt:i4>6291559</vt:i4>
      </vt:variant>
      <vt:variant>
        <vt:i4>126</vt:i4>
      </vt:variant>
      <vt:variant>
        <vt:i4>0</vt:i4>
      </vt:variant>
      <vt:variant>
        <vt:i4>5</vt:i4>
      </vt:variant>
      <vt:variant>
        <vt:lpwstr>http://www.nevo.co.il/law/70301/25</vt:lpwstr>
      </vt:variant>
      <vt:variant>
        <vt:lpwstr/>
      </vt:variant>
      <vt:variant>
        <vt:i4>6684722</vt:i4>
      </vt:variant>
      <vt:variant>
        <vt:i4>123</vt:i4>
      </vt:variant>
      <vt:variant>
        <vt:i4>0</vt:i4>
      </vt:variant>
      <vt:variant>
        <vt:i4>5</vt:i4>
      </vt:variant>
      <vt:variant>
        <vt:lpwstr>http://www.nevo.co.il/law/70301/335.a.1</vt:lpwstr>
      </vt:variant>
      <vt:variant>
        <vt:lpwstr/>
      </vt:variant>
      <vt:variant>
        <vt:i4>6684774</vt:i4>
      </vt:variant>
      <vt:variant>
        <vt:i4>120</vt:i4>
      </vt:variant>
      <vt:variant>
        <vt:i4>0</vt:i4>
      </vt:variant>
      <vt:variant>
        <vt:i4>5</vt:i4>
      </vt:variant>
      <vt:variant>
        <vt:lpwstr>http://www.nevo.co.il/law/70301/333</vt:lpwstr>
      </vt:variant>
      <vt:variant>
        <vt:lpwstr/>
      </vt:variant>
      <vt:variant>
        <vt:i4>3407985</vt:i4>
      </vt:variant>
      <vt:variant>
        <vt:i4>117</vt:i4>
      </vt:variant>
      <vt:variant>
        <vt:i4>0</vt:i4>
      </vt:variant>
      <vt:variant>
        <vt:i4>5</vt:i4>
      </vt:variant>
      <vt:variant>
        <vt:lpwstr>http://www.nevo.co.il/case/20033653</vt:lpwstr>
      </vt:variant>
      <vt:variant>
        <vt:lpwstr/>
      </vt:variant>
      <vt:variant>
        <vt:i4>5177424</vt:i4>
      </vt:variant>
      <vt:variant>
        <vt:i4>114</vt:i4>
      </vt:variant>
      <vt:variant>
        <vt:i4>0</vt:i4>
      </vt:variant>
      <vt:variant>
        <vt:i4>5</vt:i4>
      </vt:variant>
      <vt:variant>
        <vt:lpwstr>http://www.nevo.co.il/law/70301/144.b</vt:lpwstr>
      </vt:variant>
      <vt:variant>
        <vt:lpwstr/>
      </vt:variant>
      <vt:variant>
        <vt:i4>7995492</vt:i4>
      </vt:variant>
      <vt:variant>
        <vt:i4>111</vt:i4>
      </vt:variant>
      <vt:variant>
        <vt:i4>0</vt:i4>
      </vt:variant>
      <vt:variant>
        <vt:i4>5</vt:i4>
      </vt:variant>
      <vt:variant>
        <vt:lpwstr>http://www.nevo.co.il/law/70301</vt:lpwstr>
      </vt:variant>
      <vt:variant>
        <vt:lpwstr/>
      </vt:variant>
      <vt:variant>
        <vt:i4>6684722</vt:i4>
      </vt:variant>
      <vt:variant>
        <vt:i4>108</vt:i4>
      </vt:variant>
      <vt:variant>
        <vt:i4>0</vt:i4>
      </vt:variant>
      <vt:variant>
        <vt:i4>5</vt:i4>
      </vt:variant>
      <vt:variant>
        <vt:lpwstr>http://www.nevo.co.il/law/70301/335.a.1</vt:lpwstr>
      </vt:variant>
      <vt:variant>
        <vt:lpwstr/>
      </vt:variant>
      <vt:variant>
        <vt:i4>6684774</vt:i4>
      </vt:variant>
      <vt:variant>
        <vt:i4>105</vt:i4>
      </vt:variant>
      <vt:variant>
        <vt:i4>0</vt:i4>
      </vt:variant>
      <vt:variant>
        <vt:i4>5</vt:i4>
      </vt:variant>
      <vt:variant>
        <vt:lpwstr>http://www.nevo.co.il/law/70301/333</vt:lpwstr>
      </vt:variant>
      <vt:variant>
        <vt:lpwstr/>
      </vt:variant>
      <vt:variant>
        <vt:i4>4063353</vt:i4>
      </vt:variant>
      <vt:variant>
        <vt:i4>102</vt:i4>
      </vt:variant>
      <vt:variant>
        <vt:i4>0</vt:i4>
      </vt:variant>
      <vt:variant>
        <vt:i4>5</vt:i4>
      </vt:variant>
      <vt:variant>
        <vt:lpwstr>http://www.nevo.co.il/case/5590183</vt:lpwstr>
      </vt:variant>
      <vt:variant>
        <vt:lpwstr/>
      </vt:variant>
      <vt:variant>
        <vt:i4>7995492</vt:i4>
      </vt:variant>
      <vt:variant>
        <vt:i4>99</vt:i4>
      </vt:variant>
      <vt:variant>
        <vt:i4>0</vt:i4>
      </vt:variant>
      <vt:variant>
        <vt:i4>5</vt:i4>
      </vt:variant>
      <vt:variant>
        <vt:lpwstr>http://www.nevo.co.il/law/70301</vt:lpwstr>
      </vt:variant>
      <vt:variant>
        <vt:lpwstr/>
      </vt:variant>
      <vt:variant>
        <vt:i4>3211390</vt:i4>
      </vt:variant>
      <vt:variant>
        <vt:i4>96</vt:i4>
      </vt:variant>
      <vt:variant>
        <vt:i4>0</vt:i4>
      </vt:variant>
      <vt:variant>
        <vt:i4>5</vt:i4>
      </vt:variant>
      <vt:variant>
        <vt:lpwstr>http://www.nevo.co.il/case/18653755</vt:lpwstr>
      </vt:variant>
      <vt:variant>
        <vt:lpwstr/>
      </vt:variant>
      <vt:variant>
        <vt:i4>3145852</vt:i4>
      </vt:variant>
      <vt:variant>
        <vt:i4>93</vt:i4>
      </vt:variant>
      <vt:variant>
        <vt:i4>0</vt:i4>
      </vt:variant>
      <vt:variant>
        <vt:i4>5</vt:i4>
      </vt:variant>
      <vt:variant>
        <vt:lpwstr>http://www.nevo.co.il/case/24140838</vt:lpwstr>
      </vt:variant>
      <vt:variant>
        <vt:lpwstr/>
      </vt:variant>
      <vt:variant>
        <vt:i4>3342459</vt:i4>
      </vt:variant>
      <vt:variant>
        <vt:i4>90</vt:i4>
      </vt:variant>
      <vt:variant>
        <vt:i4>0</vt:i4>
      </vt:variant>
      <vt:variant>
        <vt:i4>5</vt:i4>
      </vt:variant>
      <vt:variant>
        <vt:lpwstr>http://www.nevo.co.il/case/5920165</vt:lpwstr>
      </vt:variant>
      <vt:variant>
        <vt:lpwstr/>
      </vt:variant>
      <vt:variant>
        <vt:i4>3932283</vt:i4>
      </vt:variant>
      <vt:variant>
        <vt:i4>87</vt:i4>
      </vt:variant>
      <vt:variant>
        <vt:i4>0</vt:i4>
      </vt:variant>
      <vt:variant>
        <vt:i4>5</vt:i4>
      </vt:variant>
      <vt:variant>
        <vt:lpwstr>http://www.nevo.co.il/case/26905927</vt:lpwstr>
      </vt:variant>
      <vt:variant>
        <vt:lpwstr/>
      </vt:variant>
      <vt:variant>
        <vt:i4>7995492</vt:i4>
      </vt:variant>
      <vt:variant>
        <vt:i4>84</vt:i4>
      </vt:variant>
      <vt:variant>
        <vt:i4>0</vt:i4>
      </vt:variant>
      <vt:variant>
        <vt:i4>5</vt:i4>
      </vt:variant>
      <vt:variant>
        <vt:lpwstr>http://www.nevo.co.il/law/70301</vt:lpwstr>
      </vt:variant>
      <vt:variant>
        <vt:lpwstr/>
      </vt:variant>
      <vt:variant>
        <vt:i4>6750245</vt:i4>
      </vt:variant>
      <vt:variant>
        <vt:i4>81</vt:i4>
      </vt:variant>
      <vt:variant>
        <vt:i4>0</vt:i4>
      </vt:variant>
      <vt:variant>
        <vt:i4>5</vt:i4>
      </vt:variant>
      <vt:variant>
        <vt:lpwstr>http://www.nevo.co.il/law/70301/40jc.a</vt:lpwstr>
      </vt:variant>
      <vt:variant>
        <vt:lpwstr/>
      </vt:variant>
      <vt:variant>
        <vt:i4>3145855</vt:i4>
      </vt:variant>
      <vt:variant>
        <vt:i4>78</vt:i4>
      </vt:variant>
      <vt:variant>
        <vt:i4>0</vt:i4>
      </vt:variant>
      <vt:variant>
        <vt:i4>5</vt:i4>
      </vt:variant>
      <vt:variant>
        <vt:lpwstr>http://www.nevo.co.il/case/5576587</vt:lpwstr>
      </vt:variant>
      <vt:variant>
        <vt:lpwstr/>
      </vt:variant>
      <vt:variant>
        <vt:i4>3145849</vt:i4>
      </vt:variant>
      <vt:variant>
        <vt:i4>75</vt:i4>
      </vt:variant>
      <vt:variant>
        <vt:i4>0</vt:i4>
      </vt:variant>
      <vt:variant>
        <vt:i4>5</vt:i4>
      </vt:variant>
      <vt:variant>
        <vt:lpwstr>http://www.nevo.co.il/case/13093721</vt:lpwstr>
      </vt:variant>
      <vt:variant>
        <vt:lpwstr/>
      </vt:variant>
      <vt:variant>
        <vt:i4>7995492</vt:i4>
      </vt:variant>
      <vt:variant>
        <vt:i4>72</vt:i4>
      </vt:variant>
      <vt:variant>
        <vt:i4>0</vt:i4>
      </vt:variant>
      <vt:variant>
        <vt:i4>5</vt:i4>
      </vt:variant>
      <vt:variant>
        <vt:lpwstr>http://www.nevo.co.il/law/70301</vt:lpwstr>
      </vt:variant>
      <vt:variant>
        <vt:lpwstr/>
      </vt:variant>
      <vt:variant>
        <vt:i4>3604579</vt:i4>
      </vt:variant>
      <vt:variant>
        <vt:i4>69</vt:i4>
      </vt:variant>
      <vt:variant>
        <vt:i4>0</vt:i4>
      </vt:variant>
      <vt:variant>
        <vt:i4>5</vt:i4>
      </vt:variant>
      <vt:variant>
        <vt:lpwstr>http://www.nevo.co.il/law/70301/fCa(1)S</vt:lpwstr>
      </vt:variant>
      <vt:variant>
        <vt:lpwstr/>
      </vt:variant>
      <vt:variant>
        <vt:i4>8323175</vt:i4>
      </vt:variant>
      <vt:variant>
        <vt:i4>66</vt:i4>
      </vt:variant>
      <vt:variant>
        <vt:i4>0</vt:i4>
      </vt:variant>
      <vt:variant>
        <vt:i4>5</vt:i4>
      </vt:variant>
      <vt:variant>
        <vt:lpwstr>http://www.nevo.co.il/law/5227</vt:lpwstr>
      </vt:variant>
      <vt:variant>
        <vt:lpwstr/>
      </vt:variant>
      <vt:variant>
        <vt:i4>4915272</vt:i4>
      </vt:variant>
      <vt:variant>
        <vt:i4>63</vt:i4>
      </vt:variant>
      <vt:variant>
        <vt:i4>0</vt:i4>
      </vt:variant>
      <vt:variant>
        <vt:i4>5</vt:i4>
      </vt:variant>
      <vt:variant>
        <vt:lpwstr>http://www.nevo.co.il/law/5227/43</vt:lpwstr>
      </vt:variant>
      <vt:variant>
        <vt:lpwstr/>
      </vt:variant>
      <vt:variant>
        <vt:i4>65618</vt:i4>
      </vt:variant>
      <vt:variant>
        <vt:i4>60</vt:i4>
      </vt:variant>
      <vt:variant>
        <vt:i4>0</vt:i4>
      </vt:variant>
      <vt:variant>
        <vt:i4>5</vt:i4>
      </vt:variant>
      <vt:variant>
        <vt:lpwstr>http://www.nevo.co.il/law/70301/413e</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7995492</vt:i4>
      </vt:variant>
      <vt:variant>
        <vt:i4>48</vt:i4>
      </vt:variant>
      <vt:variant>
        <vt:i4>0</vt:i4>
      </vt:variant>
      <vt:variant>
        <vt:i4>5</vt:i4>
      </vt:variant>
      <vt:variant>
        <vt:lpwstr>http://www.nevo.co.il/law/70301</vt:lpwstr>
      </vt:variant>
      <vt:variant>
        <vt:lpwstr/>
      </vt:variant>
      <vt:variant>
        <vt:i4>6291559</vt:i4>
      </vt:variant>
      <vt:variant>
        <vt:i4>45</vt:i4>
      </vt:variant>
      <vt:variant>
        <vt:i4>0</vt:i4>
      </vt:variant>
      <vt:variant>
        <vt:i4>5</vt:i4>
      </vt:variant>
      <vt:variant>
        <vt:lpwstr>http://www.nevo.co.il/law/70301/25</vt:lpwstr>
      </vt:variant>
      <vt:variant>
        <vt:lpwstr/>
      </vt:variant>
      <vt:variant>
        <vt:i4>6684722</vt:i4>
      </vt:variant>
      <vt:variant>
        <vt:i4>42</vt:i4>
      </vt:variant>
      <vt:variant>
        <vt:i4>0</vt:i4>
      </vt:variant>
      <vt:variant>
        <vt:i4>5</vt:i4>
      </vt:variant>
      <vt:variant>
        <vt:lpwstr>http://www.nevo.co.il/law/70301/335.a.1</vt:lpwstr>
      </vt:variant>
      <vt:variant>
        <vt:lpwstr/>
      </vt:variant>
      <vt:variant>
        <vt:i4>4915272</vt:i4>
      </vt:variant>
      <vt:variant>
        <vt:i4>39</vt:i4>
      </vt:variant>
      <vt:variant>
        <vt:i4>0</vt:i4>
      </vt:variant>
      <vt:variant>
        <vt:i4>5</vt:i4>
      </vt:variant>
      <vt:variant>
        <vt:lpwstr>http://www.nevo.co.il/law/5227/43</vt:lpwstr>
      </vt:variant>
      <vt:variant>
        <vt:lpwstr/>
      </vt:variant>
      <vt:variant>
        <vt:i4>8323175</vt:i4>
      </vt:variant>
      <vt:variant>
        <vt:i4>36</vt:i4>
      </vt:variant>
      <vt:variant>
        <vt:i4>0</vt:i4>
      </vt:variant>
      <vt:variant>
        <vt:i4>5</vt:i4>
      </vt:variant>
      <vt:variant>
        <vt:lpwstr>http://www.nevo.co.il/law/5227</vt:lpwstr>
      </vt:variant>
      <vt:variant>
        <vt:lpwstr/>
      </vt:variant>
      <vt:variant>
        <vt:i4>3604579</vt:i4>
      </vt:variant>
      <vt:variant>
        <vt:i4>33</vt:i4>
      </vt:variant>
      <vt:variant>
        <vt:i4>0</vt:i4>
      </vt:variant>
      <vt:variant>
        <vt:i4>5</vt:i4>
      </vt:variant>
      <vt:variant>
        <vt:lpwstr>http://www.nevo.co.il/law/70301/fCa(1)S</vt:lpwstr>
      </vt:variant>
      <vt:variant>
        <vt:lpwstr/>
      </vt:variant>
      <vt:variant>
        <vt:i4>65618</vt:i4>
      </vt:variant>
      <vt:variant>
        <vt:i4>30</vt:i4>
      </vt:variant>
      <vt:variant>
        <vt:i4>0</vt:i4>
      </vt:variant>
      <vt:variant>
        <vt:i4>5</vt:i4>
      </vt:variant>
      <vt:variant>
        <vt:lpwstr>http://www.nevo.co.il/law/70301/413e</vt:lpwstr>
      </vt:variant>
      <vt:variant>
        <vt:lpwstr/>
      </vt:variant>
      <vt:variant>
        <vt:i4>6750245</vt:i4>
      </vt:variant>
      <vt:variant>
        <vt:i4>27</vt:i4>
      </vt:variant>
      <vt:variant>
        <vt:i4>0</vt:i4>
      </vt:variant>
      <vt:variant>
        <vt:i4>5</vt:i4>
      </vt:variant>
      <vt:variant>
        <vt:lpwstr>http://www.nevo.co.il/law/70301/40jc.a</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6684722</vt:i4>
      </vt:variant>
      <vt:variant>
        <vt:i4>21</vt:i4>
      </vt:variant>
      <vt:variant>
        <vt:i4>0</vt:i4>
      </vt:variant>
      <vt:variant>
        <vt:i4>5</vt:i4>
      </vt:variant>
      <vt:variant>
        <vt:lpwstr>http://www.nevo.co.il/law/70301/335.a.1</vt:lpwstr>
      </vt:variant>
      <vt:variant>
        <vt:lpwstr/>
      </vt:variant>
      <vt:variant>
        <vt:i4>6684774</vt:i4>
      </vt:variant>
      <vt:variant>
        <vt:i4>18</vt:i4>
      </vt:variant>
      <vt:variant>
        <vt:i4>0</vt:i4>
      </vt:variant>
      <vt:variant>
        <vt:i4>5</vt:i4>
      </vt:variant>
      <vt:variant>
        <vt:lpwstr>http://www.nevo.co.il/law/70301/333</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6619233</vt:i4>
      </vt:variant>
      <vt:variant>
        <vt:i4>6</vt:i4>
      </vt:variant>
      <vt:variant>
        <vt:i4>0</vt:i4>
      </vt:variant>
      <vt:variant>
        <vt:i4>5</vt:i4>
      </vt:variant>
      <vt:variant>
        <vt:lpwstr>http://www.nevo.co.il/law/70301/40i</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2025-01-19T16:40:00Z</dcterms:created>
  <dcterms:modified xsi:type="dcterms:W3CDTF">2025-01-19T16:40:00Z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41600</vt:lpwstr>
  </property>
  <property fmtid="{D5CDD505-2E9C-101B-9397-08002B2CF9AE}" pid="6" name="NEWPARTB">
    <vt:lpwstr>02</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קוסאי מחאמיד</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20211107</vt:lpwstr>
  </property>
  <property fmtid="{D5CDD505-2E9C-101B-9397-08002B2CF9AE}" pid="13" name="TYPE_N_DATE">
    <vt:lpwstr>39020211107</vt:lpwstr>
  </property>
  <property fmtid="{D5CDD505-2E9C-101B-9397-08002B2CF9AE}" pid="14" name="WORDNUMPAGES">
    <vt:lpwstr>9</vt:lpwstr>
  </property>
  <property fmtid="{D5CDD505-2E9C-101B-9397-08002B2CF9AE}" pid="15" name="TYPE_ABS_DATE">
    <vt:lpwstr>390020211107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13093721;5576587;26905927;5920165;24140838;18653755;5590183;20033653;25824863;6142512;6136007;20000175;18653821;5760067;5575978;6949290;5878682</vt:lpwstr>
  </property>
  <property fmtid="{D5CDD505-2E9C-101B-9397-08002B2CF9AE}" pid="36" name="LAWLISTTMP1">
    <vt:lpwstr>70301/335.a.1:4;025:2;144.b:3;192:2;413e:3;fCa(1)S;40jc.a;333:3;144.a;040i;40ja</vt:lpwstr>
  </property>
  <property fmtid="{D5CDD505-2E9C-101B-9397-08002B2CF9AE}" pid="37" name="LAWLISTTMP2">
    <vt:lpwstr>5227/043</vt:lpwstr>
  </property>
</Properties>
</file>