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AA4D92" w:rsidRPr="00C03507" w14:paraId="55CA9B5C" w14:textId="77777777" w:rsidTr="008429B1">
        <w:trPr>
          <w:gridAfter w:val="1"/>
          <w:wAfter w:w="99" w:type="dxa"/>
          <w:trHeight w:hRule="exact" w:val="418"/>
          <w:jc w:val="center"/>
        </w:trPr>
        <w:tc>
          <w:tcPr>
            <w:tcW w:w="8721" w:type="dxa"/>
            <w:gridSpan w:val="4"/>
          </w:tcPr>
          <w:p w14:paraId="3EFEF35A" w14:textId="77777777" w:rsidR="00AA4D92" w:rsidRPr="00C03507" w:rsidRDefault="00AA4D92" w:rsidP="00BE6FEB">
            <w:pPr>
              <w:pStyle w:val="a3"/>
              <w:jc w:val="center"/>
              <w:rPr>
                <w:rFonts w:ascii="Tahoma" w:hAnsi="Tahoma" w:cs="Tahoma"/>
                <w:color w:val="000080"/>
                <w:rtl/>
              </w:rPr>
            </w:pPr>
            <w:bookmarkStart w:id="0" w:name="LastJudge"/>
            <w:r w:rsidRPr="00C03507">
              <w:rPr>
                <w:rFonts w:ascii="Tahoma" w:hAnsi="Tahoma" w:cs="Tahoma"/>
                <w:b/>
                <w:bCs/>
                <w:color w:val="000080"/>
                <w:rtl/>
              </w:rPr>
              <w:t>בית המשפט המחוזי מרכז-לוד</w:t>
            </w:r>
          </w:p>
        </w:tc>
      </w:tr>
      <w:tr w:rsidR="00AA4D92" w:rsidRPr="00C03507" w14:paraId="3D88A4D9" w14:textId="77777777" w:rsidTr="008429B1">
        <w:trPr>
          <w:gridAfter w:val="1"/>
          <w:wAfter w:w="99" w:type="dxa"/>
          <w:trHeight w:val="337"/>
          <w:jc w:val="center"/>
        </w:trPr>
        <w:tc>
          <w:tcPr>
            <w:tcW w:w="5057" w:type="dxa"/>
            <w:gridSpan w:val="3"/>
          </w:tcPr>
          <w:p w14:paraId="58B70631" w14:textId="77777777" w:rsidR="00AA4D92" w:rsidRPr="00C03507" w:rsidRDefault="00AA4D92" w:rsidP="00BE6FEB">
            <w:pPr>
              <w:rPr>
                <w:rFonts w:cs="FrankRuehl"/>
                <w:sz w:val="28"/>
                <w:szCs w:val="28"/>
                <w:rtl/>
              </w:rPr>
            </w:pPr>
            <w:r w:rsidRPr="00C03507">
              <w:rPr>
                <w:rFonts w:cs="FrankRuehl"/>
                <w:sz w:val="28"/>
                <w:szCs w:val="28"/>
                <w:rtl/>
              </w:rPr>
              <w:t>ת"פ</w:t>
            </w:r>
            <w:r w:rsidRPr="00C03507">
              <w:rPr>
                <w:rFonts w:cs="FrankRuehl" w:hint="cs"/>
                <w:sz w:val="28"/>
                <w:szCs w:val="28"/>
                <w:rtl/>
              </w:rPr>
              <w:t xml:space="preserve"> </w:t>
            </w:r>
            <w:r w:rsidRPr="00C03507">
              <w:rPr>
                <w:rFonts w:cs="FrankRuehl"/>
                <w:sz w:val="28"/>
                <w:szCs w:val="28"/>
                <w:rtl/>
              </w:rPr>
              <w:t>46379-02-21</w:t>
            </w:r>
            <w:r w:rsidRPr="00C03507">
              <w:rPr>
                <w:rFonts w:cs="FrankRuehl" w:hint="cs"/>
                <w:sz w:val="28"/>
                <w:szCs w:val="28"/>
                <w:rtl/>
              </w:rPr>
              <w:t xml:space="preserve"> </w:t>
            </w:r>
            <w:r w:rsidRPr="00C03507">
              <w:rPr>
                <w:rFonts w:cs="FrankRuehl"/>
                <w:sz w:val="28"/>
                <w:szCs w:val="28"/>
                <w:rtl/>
              </w:rPr>
              <w:t>מדינת ישראל נ' ואכד(עציר) ואח'</w:t>
            </w:r>
          </w:p>
          <w:p w14:paraId="0075639D" w14:textId="77777777" w:rsidR="00AA4D92" w:rsidRPr="00C03507" w:rsidRDefault="00AA4D92" w:rsidP="00BE6FEB">
            <w:pPr>
              <w:pStyle w:val="a3"/>
              <w:rPr>
                <w:rFonts w:cs="FrankRuehl"/>
                <w:sz w:val="28"/>
                <w:szCs w:val="28"/>
                <w:rtl/>
              </w:rPr>
            </w:pPr>
          </w:p>
        </w:tc>
        <w:tc>
          <w:tcPr>
            <w:tcW w:w="3664" w:type="dxa"/>
          </w:tcPr>
          <w:p w14:paraId="327B4166" w14:textId="77777777" w:rsidR="00AA4D92" w:rsidRPr="00C03507" w:rsidRDefault="00AA4D92" w:rsidP="00BE6FEB">
            <w:pPr>
              <w:pStyle w:val="a3"/>
              <w:jc w:val="right"/>
              <w:rPr>
                <w:rFonts w:cs="FrankRuehl"/>
                <w:sz w:val="28"/>
                <w:szCs w:val="28"/>
                <w:rtl/>
              </w:rPr>
            </w:pPr>
          </w:p>
        </w:tc>
      </w:tr>
      <w:tr w:rsidR="00AA4D92" w:rsidRPr="00C03507" w14:paraId="776ABA06" w14:textId="77777777" w:rsidTr="008429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E28E00D" w14:textId="77777777" w:rsidR="00AA4D92" w:rsidRPr="00C03507" w:rsidRDefault="00AA4D92" w:rsidP="00AA4D92">
            <w:pPr>
              <w:jc w:val="both"/>
              <w:rPr>
                <w:rFonts w:ascii="David" w:hAnsi="David"/>
                <w:sz w:val="26"/>
                <w:szCs w:val="26"/>
              </w:rPr>
            </w:pPr>
            <w:r w:rsidRPr="00C03507">
              <w:rPr>
                <w:rFonts w:hint="cs"/>
                <w:rtl/>
              </w:rPr>
              <w:t xml:space="preserve"> </w:t>
            </w:r>
            <w:r w:rsidRPr="00C03507">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41283255" w14:textId="77777777" w:rsidR="00AA4D92" w:rsidRPr="00C03507" w:rsidRDefault="00AA4D92" w:rsidP="00BE6FEB">
            <w:pPr>
              <w:rPr>
                <w:rFonts w:ascii="David" w:hAnsi="David"/>
                <w:b/>
                <w:bCs/>
                <w:sz w:val="26"/>
                <w:szCs w:val="26"/>
                <w:rtl/>
              </w:rPr>
            </w:pPr>
            <w:r w:rsidRPr="00C03507">
              <w:rPr>
                <w:rFonts w:ascii="David" w:hAnsi="David"/>
                <w:b/>
                <w:bCs/>
                <w:sz w:val="26"/>
                <w:szCs w:val="26"/>
                <w:rtl/>
              </w:rPr>
              <w:t>כבוד השופטת  דנה מרשק מרום</w:t>
            </w:r>
          </w:p>
          <w:p w14:paraId="3E1FB807" w14:textId="77777777" w:rsidR="00AA4D92" w:rsidRPr="00C03507" w:rsidRDefault="00AA4D92" w:rsidP="00BE6FEB">
            <w:pPr>
              <w:rPr>
                <w:rFonts w:ascii="David" w:hAnsi="David"/>
                <w:sz w:val="26"/>
                <w:szCs w:val="26"/>
                <w:rtl/>
              </w:rPr>
            </w:pPr>
          </w:p>
          <w:p w14:paraId="61E3B384" w14:textId="77777777" w:rsidR="00AA4D92" w:rsidRPr="00C03507" w:rsidRDefault="00AA4D92" w:rsidP="00AA4D92">
            <w:pPr>
              <w:jc w:val="both"/>
              <w:rPr>
                <w:rFonts w:ascii="David" w:hAnsi="David"/>
                <w:sz w:val="26"/>
                <w:szCs w:val="26"/>
              </w:rPr>
            </w:pPr>
          </w:p>
        </w:tc>
      </w:tr>
      <w:tr w:rsidR="00AA4D92" w:rsidRPr="00C03507" w14:paraId="087E1799" w14:textId="77777777" w:rsidTr="008429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46F67AC" w14:textId="77777777" w:rsidR="00AA4D92" w:rsidRPr="00C03507" w:rsidRDefault="00AA4D92" w:rsidP="00AA4D92">
            <w:pPr>
              <w:jc w:val="both"/>
              <w:rPr>
                <w:rFonts w:ascii="David" w:hAnsi="David"/>
                <w:sz w:val="26"/>
                <w:szCs w:val="26"/>
              </w:rPr>
            </w:pPr>
            <w:bookmarkStart w:id="1" w:name="FirstAppellant"/>
            <w:bookmarkStart w:id="2" w:name="FirstLawyer"/>
            <w:r w:rsidRPr="00C03507">
              <w:rPr>
                <w:rFonts w:ascii="David" w:hAnsi="David"/>
                <w:sz w:val="26"/>
                <w:szCs w:val="26"/>
                <w:rtl/>
              </w:rPr>
              <w:t>בעניין:</w:t>
            </w:r>
          </w:p>
        </w:tc>
        <w:tc>
          <w:tcPr>
            <w:tcW w:w="3219" w:type="dxa"/>
            <w:tcBorders>
              <w:top w:val="nil"/>
              <w:left w:val="nil"/>
              <w:bottom w:val="nil"/>
              <w:right w:val="nil"/>
            </w:tcBorders>
            <w:shd w:val="clear" w:color="auto" w:fill="auto"/>
          </w:tcPr>
          <w:p w14:paraId="50E9161D" w14:textId="77777777" w:rsidR="00AA4D92" w:rsidRPr="00C03507" w:rsidRDefault="00AA4D92" w:rsidP="00AA4D92">
            <w:pPr>
              <w:suppressLineNumbers/>
            </w:pPr>
            <w:r w:rsidRPr="00C03507">
              <w:rPr>
                <w:rFonts w:ascii="Arial" w:hAnsi="Arial" w:hint="cs"/>
                <w:b/>
                <w:bCs/>
                <w:sz w:val="26"/>
                <w:szCs w:val="26"/>
                <w:rtl/>
              </w:rPr>
              <w:t>ה</w:t>
            </w:r>
            <w:r w:rsidRPr="00C03507">
              <w:rPr>
                <w:rFonts w:ascii="Arial" w:hAnsi="Arial"/>
                <w:b/>
                <w:bCs/>
                <w:sz w:val="26"/>
                <w:szCs w:val="26"/>
                <w:rtl/>
              </w:rPr>
              <w:t>מאשימה</w:t>
            </w:r>
          </w:p>
          <w:p w14:paraId="19022E34" w14:textId="77777777" w:rsidR="00AA4D92" w:rsidRPr="00C03507" w:rsidRDefault="00AA4D92" w:rsidP="00BE6FEB">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3B3484D" w14:textId="77777777" w:rsidR="00AA4D92" w:rsidRPr="00C03507" w:rsidRDefault="00AA4D92" w:rsidP="00AA4D92">
            <w:pPr>
              <w:suppressLineNumbers/>
            </w:pPr>
            <w:r w:rsidRPr="00C03507">
              <w:rPr>
                <w:rFonts w:ascii="Arial" w:hAnsi="Arial"/>
                <w:b/>
                <w:bCs/>
                <w:sz w:val="26"/>
                <w:szCs w:val="26"/>
                <w:rtl/>
              </w:rPr>
              <w:t xml:space="preserve">מדינת ישראל – באמצעות </w:t>
            </w:r>
            <w:r w:rsidRPr="00C03507">
              <w:rPr>
                <w:rFonts w:ascii="Arial" w:hAnsi="Arial" w:hint="cs"/>
                <w:b/>
                <w:bCs/>
                <w:sz w:val="26"/>
                <w:szCs w:val="26"/>
                <w:rtl/>
              </w:rPr>
              <w:t>פמ"מ וע"י עו"ד רוזנצוייג</w:t>
            </w:r>
          </w:p>
          <w:p w14:paraId="0FE9696C" w14:textId="77777777" w:rsidR="00AA4D92" w:rsidRPr="00C03507" w:rsidRDefault="00AA4D92" w:rsidP="00BE6FEB">
            <w:pPr>
              <w:rPr>
                <w:rFonts w:ascii="David" w:hAnsi="David"/>
                <w:sz w:val="26"/>
                <w:szCs w:val="26"/>
              </w:rPr>
            </w:pPr>
          </w:p>
        </w:tc>
      </w:tr>
      <w:bookmarkEnd w:id="1"/>
      <w:bookmarkEnd w:id="2"/>
      <w:tr w:rsidR="00AA4D92" w:rsidRPr="00C03507" w14:paraId="301628AA" w14:textId="77777777" w:rsidTr="008429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85C075F" w14:textId="77777777" w:rsidR="00AA4D92" w:rsidRPr="00C03507" w:rsidRDefault="00AA4D92" w:rsidP="00AA4D92">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D93A998" w14:textId="77777777" w:rsidR="00AA4D92" w:rsidRPr="00C03507" w:rsidRDefault="00AA4D92" w:rsidP="00AA4D92">
            <w:pPr>
              <w:jc w:val="center"/>
              <w:rPr>
                <w:rFonts w:ascii="David" w:hAnsi="David"/>
                <w:b/>
                <w:bCs/>
                <w:sz w:val="26"/>
                <w:szCs w:val="26"/>
                <w:rtl/>
              </w:rPr>
            </w:pPr>
          </w:p>
          <w:p w14:paraId="14DDFD25" w14:textId="77777777" w:rsidR="00AA4D92" w:rsidRPr="00C03507" w:rsidRDefault="00AA4D92" w:rsidP="00AA4D92">
            <w:pPr>
              <w:jc w:val="center"/>
              <w:rPr>
                <w:rFonts w:ascii="David" w:hAnsi="David"/>
                <w:b/>
                <w:bCs/>
                <w:sz w:val="26"/>
                <w:szCs w:val="26"/>
                <w:rtl/>
              </w:rPr>
            </w:pPr>
            <w:r w:rsidRPr="00C03507">
              <w:rPr>
                <w:rFonts w:ascii="David" w:hAnsi="David"/>
                <w:b/>
                <w:bCs/>
                <w:sz w:val="26"/>
                <w:szCs w:val="26"/>
                <w:rtl/>
              </w:rPr>
              <w:t>נגד</w:t>
            </w:r>
          </w:p>
          <w:p w14:paraId="23452E83" w14:textId="77777777" w:rsidR="00AA4D92" w:rsidRPr="00C03507" w:rsidRDefault="00AA4D92" w:rsidP="00AA4D92">
            <w:pPr>
              <w:jc w:val="both"/>
              <w:rPr>
                <w:rFonts w:ascii="David" w:hAnsi="David"/>
                <w:sz w:val="26"/>
                <w:szCs w:val="26"/>
              </w:rPr>
            </w:pPr>
          </w:p>
        </w:tc>
      </w:tr>
      <w:tr w:rsidR="00AA4D92" w:rsidRPr="00C03507" w14:paraId="091FC177" w14:textId="77777777" w:rsidTr="008429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D22C9C3" w14:textId="77777777" w:rsidR="00AA4D92" w:rsidRPr="00C03507" w:rsidRDefault="00AA4D92" w:rsidP="00BE6FEB">
            <w:pPr>
              <w:rPr>
                <w:rFonts w:ascii="David" w:hAnsi="David"/>
                <w:sz w:val="26"/>
                <w:szCs w:val="26"/>
                <w:rtl/>
              </w:rPr>
            </w:pPr>
          </w:p>
        </w:tc>
        <w:tc>
          <w:tcPr>
            <w:tcW w:w="3219" w:type="dxa"/>
            <w:tcBorders>
              <w:top w:val="nil"/>
              <w:left w:val="nil"/>
              <w:bottom w:val="nil"/>
              <w:right w:val="nil"/>
            </w:tcBorders>
            <w:shd w:val="clear" w:color="auto" w:fill="auto"/>
          </w:tcPr>
          <w:p w14:paraId="1AA32D09" w14:textId="77777777" w:rsidR="00AA4D92" w:rsidRPr="00C03507" w:rsidRDefault="00AA4D92" w:rsidP="00BE6FEB">
            <w:pPr>
              <w:rPr>
                <w:rFonts w:ascii="Arial" w:hAnsi="Arial"/>
                <w:b/>
                <w:bCs/>
                <w:sz w:val="26"/>
                <w:szCs w:val="26"/>
                <w:rtl/>
              </w:rPr>
            </w:pPr>
            <w:r w:rsidRPr="00C03507">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01037B07" w14:textId="77777777" w:rsidR="00AA4D92" w:rsidRPr="00C03507" w:rsidRDefault="00AA4D92" w:rsidP="00BE6FEB">
            <w:pPr>
              <w:rPr>
                <w:rFonts w:ascii="David" w:hAnsi="David"/>
                <w:sz w:val="26"/>
                <w:szCs w:val="26"/>
              </w:rPr>
            </w:pPr>
          </w:p>
          <w:p w14:paraId="7D937D54" w14:textId="77777777" w:rsidR="00AA4D92" w:rsidRPr="00C03507" w:rsidRDefault="00AA4D92" w:rsidP="00AA4D92">
            <w:pPr>
              <w:suppressLineNumbers/>
            </w:pPr>
            <w:r w:rsidRPr="00C03507">
              <w:rPr>
                <w:rFonts w:ascii="Arial" w:hAnsi="Arial"/>
                <w:b/>
                <w:bCs/>
                <w:sz w:val="26"/>
                <w:szCs w:val="26"/>
                <w:rtl/>
              </w:rPr>
              <w:t>1. עלא ואכד (עציר) – ע"</w:t>
            </w:r>
            <w:r w:rsidRPr="00C03507">
              <w:rPr>
                <w:rFonts w:ascii="Arial" w:hAnsi="Arial" w:hint="cs"/>
                <w:b/>
                <w:bCs/>
                <w:sz w:val="26"/>
                <w:szCs w:val="26"/>
                <w:rtl/>
              </w:rPr>
              <w:t>י עו"ד איתי כהן</w:t>
            </w:r>
          </w:p>
          <w:p w14:paraId="1E3BEBCA" w14:textId="77777777" w:rsidR="00AA4D92" w:rsidRPr="00C03507" w:rsidRDefault="00AA4D92" w:rsidP="00AA4D92">
            <w:pPr>
              <w:suppressLineNumbers/>
            </w:pPr>
            <w:r w:rsidRPr="00C03507">
              <w:rPr>
                <w:rFonts w:ascii="Arial" w:hAnsi="Arial"/>
                <w:b/>
                <w:bCs/>
                <w:sz w:val="26"/>
                <w:szCs w:val="26"/>
                <w:rtl/>
              </w:rPr>
              <w:t>2. פיראס נעימי (עציר) – ע"</w:t>
            </w:r>
            <w:r w:rsidRPr="00C03507">
              <w:rPr>
                <w:rFonts w:ascii="Arial" w:hAnsi="Arial" w:hint="cs"/>
                <w:b/>
                <w:bCs/>
                <w:sz w:val="26"/>
                <w:szCs w:val="26"/>
                <w:rtl/>
              </w:rPr>
              <w:t>י עו"ד שורר</w:t>
            </w:r>
          </w:p>
          <w:p w14:paraId="7BD17587" w14:textId="77777777" w:rsidR="00AA4D92" w:rsidRPr="00C03507" w:rsidRDefault="00AA4D92" w:rsidP="00AA4D92">
            <w:pPr>
              <w:suppressLineNumbers/>
            </w:pPr>
            <w:r w:rsidRPr="00C03507">
              <w:rPr>
                <w:rFonts w:ascii="Arial" w:hAnsi="Arial"/>
                <w:b/>
                <w:bCs/>
                <w:sz w:val="26"/>
                <w:szCs w:val="26"/>
                <w:rtl/>
              </w:rPr>
              <w:t>3. סאקר ניג'ם (עציר) – ע"</w:t>
            </w:r>
            <w:r w:rsidRPr="00C03507">
              <w:rPr>
                <w:rFonts w:ascii="Arial" w:hAnsi="Arial" w:hint="cs"/>
                <w:b/>
                <w:bCs/>
                <w:sz w:val="26"/>
                <w:szCs w:val="26"/>
                <w:rtl/>
              </w:rPr>
              <w:t>י עו"ד ארבל</w:t>
            </w:r>
          </w:p>
          <w:p w14:paraId="2D96B162" w14:textId="77777777" w:rsidR="00AA4D92" w:rsidRPr="00C03507" w:rsidRDefault="00AA4D92" w:rsidP="00AA4D92">
            <w:pPr>
              <w:suppressLineNumbers/>
            </w:pPr>
            <w:r w:rsidRPr="00C03507">
              <w:rPr>
                <w:rFonts w:ascii="Arial" w:hAnsi="Arial"/>
                <w:b/>
                <w:bCs/>
                <w:sz w:val="26"/>
                <w:szCs w:val="26"/>
                <w:rtl/>
              </w:rPr>
              <w:t>4. שוקרי דבאח (עציר) – ע"</w:t>
            </w:r>
            <w:r w:rsidRPr="00C03507">
              <w:rPr>
                <w:rFonts w:ascii="Arial" w:hAnsi="Arial" w:hint="cs"/>
                <w:b/>
                <w:bCs/>
                <w:sz w:val="26"/>
                <w:szCs w:val="26"/>
                <w:rtl/>
              </w:rPr>
              <w:t>י עו"ד דבאח</w:t>
            </w:r>
          </w:p>
        </w:tc>
      </w:tr>
    </w:tbl>
    <w:p w14:paraId="224DA2F0" w14:textId="77777777" w:rsidR="008429B1" w:rsidRDefault="008429B1" w:rsidP="00AA4D92">
      <w:pPr>
        <w:spacing w:line="360" w:lineRule="auto"/>
        <w:ind w:left="720" w:hanging="720"/>
        <w:jc w:val="both"/>
        <w:rPr>
          <w:rFonts w:ascii="David" w:hAnsi="David"/>
          <w:rtl/>
        </w:rPr>
      </w:pPr>
    </w:p>
    <w:p w14:paraId="17708737" w14:textId="77777777" w:rsidR="008429B1" w:rsidRPr="008429B1" w:rsidRDefault="008429B1" w:rsidP="008429B1">
      <w:pPr>
        <w:spacing w:after="120" w:line="240" w:lineRule="exact"/>
        <w:ind w:left="283" w:hanging="283"/>
        <w:jc w:val="both"/>
        <w:rPr>
          <w:rFonts w:ascii="FrankRuehl" w:hAnsi="FrankRuehl" w:cs="FrankRuehl"/>
          <w:rtl/>
        </w:rPr>
      </w:pPr>
    </w:p>
    <w:p w14:paraId="52FFFB08" w14:textId="77777777" w:rsidR="00C1061A" w:rsidRPr="00C1061A" w:rsidRDefault="00C1061A" w:rsidP="00C1061A">
      <w:pPr>
        <w:spacing w:before="120" w:after="120" w:line="240" w:lineRule="exact"/>
        <w:ind w:left="283" w:hanging="283"/>
        <w:jc w:val="both"/>
        <w:rPr>
          <w:rFonts w:ascii="FrankRuehl" w:hAnsi="FrankRuehl" w:cs="FrankRuehl"/>
          <w:rtl/>
        </w:rPr>
      </w:pPr>
    </w:p>
    <w:p w14:paraId="414E48A2" w14:textId="77777777" w:rsidR="00C1061A" w:rsidRPr="00C1061A" w:rsidRDefault="00C1061A" w:rsidP="00C1061A">
      <w:pPr>
        <w:spacing w:before="120" w:after="120" w:line="240" w:lineRule="exact"/>
        <w:ind w:left="283" w:hanging="283"/>
        <w:jc w:val="both"/>
        <w:rPr>
          <w:rFonts w:ascii="FrankRuehl" w:hAnsi="FrankRuehl" w:cs="FrankRuehl"/>
          <w:rtl/>
        </w:rPr>
      </w:pPr>
    </w:p>
    <w:p w14:paraId="734549D0" w14:textId="77777777" w:rsidR="0096522A" w:rsidRDefault="0096522A" w:rsidP="0096522A">
      <w:pPr>
        <w:spacing w:line="360" w:lineRule="auto"/>
        <w:ind w:left="720" w:hanging="720"/>
        <w:jc w:val="center"/>
        <w:rPr>
          <w:rFonts w:ascii="David" w:hAnsi="David"/>
          <w:sz w:val="32"/>
          <w:szCs w:val="32"/>
          <w:rtl/>
        </w:rPr>
      </w:pPr>
      <w:bookmarkStart w:id="3" w:name="LawTable"/>
      <w:bookmarkEnd w:id="3"/>
    </w:p>
    <w:p w14:paraId="442D9E08" w14:textId="77777777" w:rsidR="0096522A" w:rsidRPr="0096522A" w:rsidRDefault="0096522A" w:rsidP="0096522A">
      <w:pPr>
        <w:spacing w:before="120" w:after="120" w:line="240" w:lineRule="exact"/>
        <w:ind w:left="283" w:hanging="283"/>
        <w:jc w:val="both"/>
        <w:rPr>
          <w:rFonts w:ascii="FrankRuehl" w:hAnsi="FrankRuehl" w:cs="FrankRuehl"/>
          <w:rtl/>
        </w:rPr>
      </w:pPr>
    </w:p>
    <w:p w14:paraId="25148149" w14:textId="77777777" w:rsidR="0096522A" w:rsidRPr="0096522A" w:rsidRDefault="0096522A" w:rsidP="0096522A">
      <w:pPr>
        <w:spacing w:before="120" w:after="120" w:line="240" w:lineRule="exact"/>
        <w:ind w:left="283" w:hanging="283"/>
        <w:jc w:val="both"/>
        <w:rPr>
          <w:rFonts w:ascii="FrankRuehl" w:hAnsi="FrankRuehl" w:cs="FrankRuehl"/>
          <w:rtl/>
        </w:rPr>
      </w:pPr>
    </w:p>
    <w:p w14:paraId="1EB081F9" w14:textId="77777777" w:rsidR="0096522A" w:rsidRPr="0096522A" w:rsidRDefault="0096522A" w:rsidP="0096522A">
      <w:pPr>
        <w:spacing w:before="120" w:after="120" w:line="240" w:lineRule="exact"/>
        <w:ind w:left="283" w:hanging="283"/>
        <w:jc w:val="both"/>
        <w:rPr>
          <w:rFonts w:ascii="FrankRuehl" w:hAnsi="FrankRuehl" w:cs="FrankRuehl"/>
          <w:rtl/>
        </w:rPr>
      </w:pPr>
      <w:r w:rsidRPr="0096522A">
        <w:rPr>
          <w:rFonts w:ascii="FrankRuehl" w:hAnsi="FrankRuehl" w:cs="FrankRuehl"/>
          <w:rtl/>
        </w:rPr>
        <w:t xml:space="preserve">חקיקה שאוזכרה: </w:t>
      </w:r>
    </w:p>
    <w:p w14:paraId="7476E6A0" w14:textId="77777777" w:rsidR="0096522A" w:rsidRPr="0096522A" w:rsidRDefault="0096522A" w:rsidP="0096522A">
      <w:pPr>
        <w:spacing w:before="120" w:after="120" w:line="240" w:lineRule="exact"/>
        <w:ind w:left="283" w:hanging="283"/>
        <w:jc w:val="both"/>
        <w:rPr>
          <w:rFonts w:ascii="FrankRuehl" w:hAnsi="FrankRuehl" w:cs="FrankRuehl"/>
          <w:rtl/>
        </w:rPr>
      </w:pPr>
      <w:hyperlink r:id="rId7" w:history="1">
        <w:r w:rsidRPr="0096522A">
          <w:rPr>
            <w:rFonts w:ascii="FrankRuehl" w:hAnsi="FrankRuehl" w:cs="FrankRuehl"/>
            <w:color w:val="0000FF"/>
            <w:rtl/>
          </w:rPr>
          <w:t>חוק העונשין, תשל"ז-1977</w:t>
        </w:r>
      </w:hyperlink>
      <w:r w:rsidRPr="0096522A">
        <w:rPr>
          <w:rFonts w:ascii="FrankRuehl" w:hAnsi="FrankRuehl" w:cs="FrankRuehl"/>
          <w:rtl/>
        </w:rPr>
        <w:t xml:space="preserve">: סע'  </w:t>
      </w:r>
      <w:hyperlink r:id="rId8" w:history="1">
        <w:r w:rsidRPr="0096522A">
          <w:rPr>
            <w:rFonts w:ascii="FrankRuehl" w:hAnsi="FrankRuehl" w:cs="FrankRuehl"/>
            <w:color w:val="0000FF"/>
            <w:rtl/>
          </w:rPr>
          <w:t>25</w:t>
        </w:r>
      </w:hyperlink>
      <w:r w:rsidRPr="0096522A">
        <w:rPr>
          <w:rFonts w:ascii="FrankRuehl" w:hAnsi="FrankRuehl" w:cs="FrankRuehl"/>
          <w:rtl/>
        </w:rPr>
        <w:t xml:space="preserve">, </w:t>
      </w:r>
      <w:hyperlink r:id="rId9" w:history="1">
        <w:r w:rsidRPr="0096522A">
          <w:rPr>
            <w:rFonts w:ascii="FrankRuehl" w:hAnsi="FrankRuehl" w:cs="FrankRuehl"/>
            <w:color w:val="0000FF"/>
            <w:rtl/>
          </w:rPr>
          <w:t>29</w:t>
        </w:r>
      </w:hyperlink>
      <w:r w:rsidRPr="0096522A">
        <w:rPr>
          <w:rFonts w:ascii="FrankRuehl" w:hAnsi="FrankRuehl" w:cs="FrankRuehl"/>
          <w:rtl/>
        </w:rPr>
        <w:t xml:space="preserve">, </w:t>
      </w:r>
      <w:hyperlink r:id="rId10" w:history="1">
        <w:r w:rsidRPr="0096522A">
          <w:rPr>
            <w:rFonts w:ascii="FrankRuehl" w:hAnsi="FrankRuehl" w:cs="FrankRuehl"/>
            <w:color w:val="0000FF"/>
            <w:rtl/>
          </w:rPr>
          <w:t>31</w:t>
        </w:r>
      </w:hyperlink>
      <w:r w:rsidRPr="0096522A">
        <w:rPr>
          <w:rFonts w:ascii="FrankRuehl" w:hAnsi="FrankRuehl" w:cs="FrankRuehl"/>
          <w:rtl/>
        </w:rPr>
        <w:t xml:space="preserve">, </w:t>
      </w:r>
      <w:hyperlink r:id="rId11" w:history="1">
        <w:r w:rsidRPr="0096522A">
          <w:rPr>
            <w:rFonts w:ascii="FrankRuehl" w:hAnsi="FrankRuehl" w:cs="FrankRuehl"/>
            <w:color w:val="0000FF"/>
            <w:rtl/>
          </w:rPr>
          <w:t>40ג(א)</w:t>
        </w:r>
      </w:hyperlink>
      <w:r w:rsidRPr="0096522A">
        <w:rPr>
          <w:rFonts w:ascii="FrankRuehl" w:hAnsi="FrankRuehl" w:cs="FrankRuehl"/>
          <w:rtl/>
        </w:rPr>
        <w:t xml:space="preserve">, </w:t>
      </w:r>
      <w:hyperlink r:id="rId12" w:history="1">
        <w:r w:rsidRPr="0096522A">
          <w:rPr>
            <w:rFonts w:ascii="FrankRuehl" w:hAnsi="FrankRuehl" w:cs="FrankRuehl"/>
            <w:color w:val="0000FF"/>
            <w:rtl/>
          </w:rPr>
          <w:t>40ט(א)</w:t>
        </w:r>
      </w:hyperlink>
      <w:r w:rsidRPr="0096522A">
        <w:rPr>
          <w:rFonts w:ascii="FrankRuehl" w:hAnsi="FrankRuehl" w:cs="FrankRuehl"/>
          <w:rtl/>
        </w:rPr>
        <w:t xml:space="preserve">, </w:t>
      </w:r>
      <w:hyperlink r:id="rId13" w:history="1">
        <w:r w:rsidRPr="0096522A">
          <w:rPr>
            <w:rFonts w:ascii="FrankRuehl" w:hAnsi="FrankRuehl" w:cs="FrankRuehl"/>
            <w:color w:val="0000FF"/>
            <w:rtl/>
          </w:rPr>
          <w:t>144</w:t>
        </w:r>
      </w:hyperlink>
      <w:r w:rsidRPr="0096522A">
        <w:rPr>
          <w:rFonts w:ascii="FrankRuehl" w:hAnsi="FrankRuehl" w:cs="FrankRuehl"/>
          <w:rtl/>
        </w:rPr>
        <w:t xml:space="preserve">, </w:t>
      </w:r>
      <w:hyperlink r:id="rId14" w:history="1">
        <w:r w:rsidRPr="0096522A">
          <w:rPr>
            <w:rFonts w:ascii="FrankRuehl" w:hAnsi="FrankRuehl" w:cs="FrankRuehl"/>
            <w:color w:val="0000FF"/>
            <w:rtl/>
          </w:rPr>
          <w:t>144(א)</w:t>
        </w:r>
      </w:hyperlink>
      <w:r w:rsidRPr="0096522A">
        <w:rPr>
          <w:rFonts w:ascii="FrankRuehl" w:hAnsi="FrankRuehl" w:cs="FrankRuehl"/>
          <w:rtl/>
        </w:rPr>
        <w:t xml:space="preserve">, </w:t>
      </w:r>
      <w:hyperlink r:id="rId15" w:history="1">
        <w:r w:rsidRPr="0096522A">
          <w:rPr>
            <w:rFonts w:ascii="FrankRuehl" w:hAnsi="FrankRuehl" w:cs="FrankRuehl"/>
            <w:color w:val="0000FF"/>
            <w:rtl/>
          </w:rPr>
          <w:t>144(ב)</w:t>
        </w:r>
      </w:hyperlink>
      <w:r w:rsidRPr="0096522A">
        <w:rPr>
          <w:rFonts w:ascii="FrankRuehl" w:hAnsi="FrankRuehl" w:cs="FrankRuehl"/>
          <w:rtl/>
        </w:rPr>
        <w:t xml:space="preserve">, </w:t>
      </w:r>
      <w:hyperlink r:id="rId16" w:history="1">
        <w:r w:rsidRPr="0096522A">
          <w:rPr>
            <w:rFonts w:ascii="FrankRuehl" w:hAnsi="FrankRuehl" w:cs="FrankRuehl"/>
            <w:color w:val="0000FF"/>
            <w:rtl/>
          </w:rPr>
          <w:t>144(ב2)</w:t>
        </w:r>
      </w:hyperlink>
      <w:r w:rsidRPr="0096522A">
        <w:rPr>
          <w:rFonts w:ascii="FrankRuehl" w:hAnsi="FrankRuehl" w:cs="FrankRuehl"/>
          <w:rtl/>
        </w:rPr>
        <w:t xml:space="preserve">, </w:t>
      </w:r>
      <w:hyperlink r:id="rId17" w:history="1">
        <w:r w:rsidRPr="0096522A">
          <w:rPr>
            <w:rFonts w:ascii="FrankRuehl" w:hAnsi="FrankRuehl" w:cs="FrankRuehl"/>
            <w:color w:val="0000FF"/>
            <w:rtl/>
          </w:rPr>
          <w:t>40יא'</w:t>
        </w:r>
      </w:hyperlink>
      <w:r w:rsidRPr="0096522A">
        <w:rPr>
          <w:rFonts w:ascii="FrankRuehl" w:hAnsi="FrankRuehl" w:cs="FrankRuehl"/>
          <w:rtl/>
        </w:rPr>
        <w:t xml:space="preserve">, </w:t>
      </w:r>
      <w:hyperlink r:id="rId18" w:history="1">
        <w:r w:rsidRPr="0096522A">
          <w:rPr>
            <w:rFonts w:ascii="FrankRuehl" w:hAnsi="FrankRuehl" w:cs="FrankRuehl"/>
            <w:color w:val="0000FF"/>
            <w:rtl/>
          </w:rPr>
          <w:t>499(א)(1)</w:t>
        </w:r>
      </w:hyperlink>
    </w:p>
    <w:p w14:paraId="107A78AC" w14:textId="77777777" w:rsidR="0096522A" w:rsidRPr="0096522A" w:rsidRDefault="0096522A" w:rsidP="0096522A">
      <w:pPr>
        <w:spacing w:line="360" w:lineRule="auto"/>
        <w:ind w:left="720" w:hanging="720"/>
        <w:jc w:val="center"/>
        <w:rPr>
          <w:rFonts w:ascii="David" w:hAnsi="David"/>
          <w:sz w:val="32"/>
          <w:szCs w:val="32"/>
          <w:rtl/>
        </w:rPr>
      </w:pPr>
      <w:bookmarkStart w:id="4" w:name="LawTable_End"/>
      <w:bookmarkEnd w:id="4"/>
    </w:p>
    <w:p w14:paraId="45740B5E" w14:textId="77777777" w:rsidR="00C03507" w:rsidRPr="00C1061A" w:rsidRDefault="00C03507" w:rsidP="00C1061A">
      <w:pPr>
        <w:spacing w:line="360" w:lineRule="auto"/>
        <w:ind w:left="720" w:hanging="720"/>
        <w:jc w:val="center"/>
        <w:rPr>
          <w:rFonts w:ascii="David" w:hAnsi="David"/>
          <w:sz w:val="32"/>
          <w:szCs w:val="32"/>
          <w:rtl/>
        </w:rPr>
      </w:pPr>
    </w:p>
    <w:p w14:paraId="0FE4E76C" w14:textId="77777777" w:rsidR="00C03507" w:rsidRPr="00C03507" w:rsidRDefault="00C03507" w:rsidP="00C03507">
      <w:pPr>
        <w:spacing w:line="360" w:lineRule="auto"/>
        <w:ind w:left="720" w:hanging="720"/>
        <w:jc w:val="center"/>
        <w:rPr>
          <w:rFonts w:ascii="David" w:hAnsi="David"/>
          <w:b/>
          <w:bCs/>
          <w:sz w:val="32"/>
          <w:szCs w:val="32"/>
          <w:u w:val="single"/>
          <w:rtl/>
        </w:rPr>
      </w:pPr>
      <w:bookmarkStart w:id="5" w:name="PsakDin"/>
      <w:bookmarkEnd w:id="0"/>
      <w:r w:rsidRPr="00C03507">
        <w:rPr>
          <w:rFonts w:ascii="David" w:hAnsi="David"/>
          <w:b/>
          <w:bCs/>
          <w:sz w:val="32"/>
          <w:szCs w:val="32"/>
          <w:u w:val="single"/>
          <w:rtl/>
        </w:rPr>
        <w:t>גזר דין</w:t>
      </w:r>
    </w:p>
    <w:bookmarkEnd w:id="5"/>
    <w:p w14:paraId="5B8EDEA4" w14:textId="77777777" w:rsidR="00AA4D92" w:rsidRDefault="00AA4D92" w:rsidP="00AA4D92">
      <w:pPr>
        <w:spacing w:line="360" w:lineRule="auto"/>
        <w:ind w:left="720" w:hanging="720"/>
        <w:jc w:val="both"/>
        <w:rPr>
          <w:rFonts w:ascii="David" w:hAnsi="David"/>
          <w:b/>
          <w:bCs/>
          <w:u w:val="single"/>
          <w:rtl/>
        </w:rPr>
      </w:pPr>
    </w:p>
    <w:p w14:paraId="13003390" w14:textId="77777777" w:rsidR="00AA4D92" w:rsidRPr="00BA5951" w:rsidRDefault="00AA4D92" w:rsidP="00AA4D92">
      <w:pPr>
        <w:spacing w:line="360" w:lineRule="auto"/>
        <w:ind w:left="720" w:hanging="720"/>
        <w:jc w:val="both"/>
        <w:rPr>
          <w:rFonts w:ascii="David" w:hAnsi="David"/>
          <w:b/>
          <w:bCs/>
          <w:u w:val="single"/>
        </w:rPr>
      </w:pPr>
      <w:r w:rsidRPr="00BA5951">
        <w:rPr>
          <w:rFonts w:ascii="David" w:hAnsi="David" w:hint="cs"/>
          <w:b/>
          <w:bCs/>
          <w:u w:val="single"/>
          <w:rtl/>
        </w:rPr>
        <w:t>כתב-האישום</w:t>
      </w:r>
    </w:p>
    <w:p w14:paraId="09C6EA11" w14:textId="77777777" w:rsidR="00AA4D92" w:rsidRPr="00BA5951" w:rsidRDefault="00AA4D92" w:rsidP="00AA4D92">
      <w:pPr>
        <w:spacing w:line="360" w:lineRule="auto"/>
        <w:ind w:left="720" w:hanging="720"/>
        <w:jc w:val="both"/>
        <w:rPr>
          <w:rFonts w:ascii="David" w:hAnsi="David"/>
        </w:rPr>
      </w:pPr>
    </w:p>
    <w:p w14:paraId="2F0E3DFB" w14:textId="77777777" w:rsidR="00AA4D92" w:rsidRPr="00BA5951" w:rsidRDefault="00AA4D92" w:rsidP="00AA4D92">
      <w:pPr>
        <w:numPr>
          <w:ilvl w:val="0"/>
          <w:numId w:val="1"/>
        </w:numPr>
        <w:spacing w:line="360" w:lineRule="auto"/>
        <w:contextualSpacing/>
        <w:jc w:val="both"/>
        <w:rPr>
          <w:rFonts w:ascii="David" w:hAnsi="David"/>
          <w:rtl/>
        </w:rPr>
      </w:pPr>
      <w:bookmarkStart w:id="6" w:name="ABSTRACT_START"/>
      <w:bookmarkEnd w:id="6"/>
      <w:r w:rsidRPr="00BA5951">
        <w:rPr>
          <w:rFonts w:ascii="David" w:hAnsi="David" w:hint="cs"/>
          <w:rtl/>
        </w:rPr>
        <w:t xml:space="preserve">הנאשמים הודו בעובדות כתב אישום מתוקן (במ/2) במסגרת הסדר דיוני, והורשעו בעבירות כדלקמן: </w:t>
      </w:r>
    </w:p>
    <w:p w14:paraId="506C9BAD" w14:textId="77777777" w:rsidR="00AA4D92" w:rsidRPr="00BA5951" w:rsidRDefault="00AA4D92" w:rsidP="00AA4D92">
      <w:pPr>
        <w:spacing w:line="360" w:lineRule="auto"/>
        <w:ind w:left="720"/>
        <w:contextualSpacing/>
        <w:jc w:val="both"/>
        <w:rPr>
          <w:rFonts w:ascii="David" w:hAnsi="David"/>
        </w:rPr>
      </w:pPr>
    </w:p>
    <w:p w14:paraId="719D1F5A" w14:textId="77777777" w:rsidR="00AA4D92" w:rsidRPr="00BA5951" w:rsidRDefault="00AA4D92" w:rsidP="00AA4D92">
      <w:pPr>
        <w:spacing w:line="360" w:lineRule="auto"/>
        <w:ind w:left="720"/>
        <w:contextualSpacing/>
        <w:jc w:val="both"/>
        <w:rPr>
          <w:rFonts w:ascii="David" w:hAnsi="David"/>
        </w:rPr>
      </w:pPr>
      <w:r w:rsidRPr="00BA5951">
        <w:rPr>
          <w:rFonts w:ascii="David" w:hAnsi="David" w:hint="cs"/>
          <w:b/>
          <w:bCs/>
          <w:u w:val="single"/>
          <w:rtl/>
        </w:rPr>
        <w:t>נאשם 1</w:t>
      </w:r>
      <w:r w:rsidRPr="00BA5951">
        <w:rPr>
          <w:rFonts w:ascii="David" w:hAnsi="David" w:hint="cs"/>
          <w:rtl/>
        </w:rPr>
        <w:t>:</w:t>
      </w:r>
    </w:p>
    <w:p w14:paraId="33C8A1ED" w14:textId="77777777" w:rsidR="00AA4D92" w:rsidRPr="00BA5951" w:rsidRDefault="00AA4D92" w:rsidP="00AA4D92">
      <w:pPr>
        <w:spacing w:line="360" w:lineRule="auto"/>
        <w:ind w:left="720"/>
        <w:contextualSpacing/>
        <w:jc w:val="both"/>
        <w:rPr>
          <w:rFonts w:ascii="David" w:hAnsi="David"/>
        </w:rPr>
      </w:pPr>
      <w:r w:rsidRPr="00BA5951">
        <w:rPr>
          <w:rFonts w:ascii="David" w:hAnsi="David" w:hint="cs"/>
          <w:b/>
          <w:bCs/>
          <w:rtl/>
        </w:rPr>
        <w:lastRenderedPageBreak/>
        <w:t>ניסיון לעסקה אחרת בנשק</w:t>
      </w:r>
      <w:r w:rsidRPr="00BA5951">
        <w:rPr>
          <w:rFonts w:ascii="David" w:hAnsi="David" w:hint="cs"/>
          <w:rtl/>
        </w:rPr>
        <w:t xml:space="preserve"> לפי </w:t>
      </w:r>
      <w:hyperlink r:id="rId19" w:history="1">
        <w:r w:rsidR="008429B1" w:rsidRPr="008429B1">
          <w:rPr>
            <w:rStyle w:val="Hyperlink"/>
            <w:rFonts w:ascii="David" w:hAnsi="David" w:hint="eastAsia"/>
            <w:rtl/>
          </w:rPr>
          <w:t>סעיף</w:t>
        </w:r>
        <w:r w:rsidR="008429B1" w:rsidRPr="008429B1">
          <w:rPr>
            <w:rStyle w:val="Hyperlink"/>
            <w:rFonts w:ascii="David" w:hAnsi="David"/>
            <w:rtl/>
          </w:rPr>
          <w:t xml:space="preserve"> 144(ב2)</w:t>
        </w:r>
      </w:hyperlink>
      <w:r w:rsidRPr="00BA5951">
        <w:rPr>
          <w:rFonts w:ascii="David" w:hAnsi="David" w:hint="cs"/>
          <w:rtl/>
        </w:rPr>
        <w:t xml:space="preserve"> ל</w:t>
      </w:r>
      <w:hyperlink r:id="rId20" w:history="1">
        <w:r w:rsidR="00C03507" w:rsidRPr="00C03507">
          <w:rPr>
            <w:rFonts w:ascii="David" w:hAnsi="David"/>
            <w:color w:val="0000FF"/>
            <w:u w:val="single"/>
            <w:rtl/>
          </w:rPr>
          <w:t>חוק העונשין</w:t>
        </w:r>
      </w:hyperlink>
      <w:r w:rsidRPr="00BA5951">
        <w:rPr>
          <w:rFonts w:ascii="David" w:hAnsi="David" w:hint="cs"/>
          <w:rtl/>
        </w:rPr>
        <w:t xml:space="preserve">, התשל"ז – 1977 (להלן: "החוק") יחד עם </w:t>
      </w:r>
      <w:hyperlink r:id="rId21" w:history="1">
        <w:r w:rsidR="008429B1" w:rsidRPr="008429B1">
          <w:rPr>
            <w:rStyle w:val="Hyperlink"/>
            <w:rFonts w:ascii="David" w:hAnsi="David" w:hint="eastAsia"/>
            <w:rtl/>
          </w:rPr>
          <w:t>סעיף</w:t>
        </w:r>
        <w:r w:rsidR="008429B1" w:rsidRPr="008429B1">
          <w:rPr>
            <w:rStyle w:val="Hyperlink"/>
            <w:rFonts w:ascii="David" w:hAnsi="David"/>
            <w:rtl/>
          </w:rPr>
          <w:t xml:space="preserve"> 25</w:t>
        </w:r>
      </w:hyperlink>
      <w:r w:rsidRPr="00BA5951">
        <w:rPr>
          <w:rFonts w:ascii="David" w:hAnsi="David" w:hint="cs"/>
          <w:rtl/>
        </w:rPr>
        <w:t xml:space="preserve"> לחוק, </w:t>
      </w:r>
      <w:r w:rsidRPr="00BA5951">
        <w:rPr>
          <w:rFonts w:ascii="David" w:hAnsi="David" w:hint="cs"/>
          <w:b/>
          <w:bCs/>
          <w:rtl/>
        </w:rPr>
        <w:t xml:space="preserve">נשיאה והובלת נשק </w:t>
      </w:r>
      <w:r w:rsidRPr="00BA5951">
        <w:rPr>
          <w:rFonts w:ascii="David" w:hAnsi="David" w:hint="cs"/>
          <w:rtl/>
        </w:rPr>
        <w:t xml:space="preserve">לפי </w:t>
      </w:r>
      <w:hyperlink r:id="rId22" w:history="1">
        <w:r w:rsidR="008429B1" w:rsidRPr="008429B1">
          <w:rPr>
            <w:rStyle w:val="Hyperlink"/>
            <w:rFonts w:ascii="David" w:hAnsi="David" w:hint="eastAsia"/>
            <w:rtl/>
          </w:rPr>
          <w:t>סעיף</w:t>
        </w:r>
        <w:r w:rsidR="008429B1" w:rsidRPr="008429B1">
          <w:rPr>
            <w:rStyle w:val="Hyperlink"/>
            <w:rFonts w:ascii="David" w:hAnsi="David"/>
            <w:rtl/>
          </w:rPr>
          <w:t xml:space="preserve"> 144(ב)</w:t>
        </w:r>
      </w:hyperlink>
      <w:r w:rsidRPr="00BA5951">
        <w:rPr>
          <w:rFonts w:ascii="David" w:hAnsi="David" w:hint="cs"/>
          <w:rtl/>
        </w:rPr>
        <w:t xml:space="preserve"> רישא לחוק, </w:t>
      </w:r>
      <w:r w:rsidRPr="00BA5951">
        <w:rPr>
          <w:rFonts w:ascii="David" w:hAnsi="David" w:hint="cs"/>
          <w:b/>
          <w:bCs/>
          <w:rtl/>
        </w:rPr>
        <w:t>קשירת קשר לביצוע פשע</w:t>
      </w:r>
      <w:r w:rsidRPr="00BA5951">
        <w:rPr>
          <w:rFonts w:ascii="David" w:hAnsi="David" w:hint="cs"/>
          <w:rtl/>
        </w:rPr>
        <w:t xml:space="preserve"> לפי </w:t>
      </w:r>
      <w:hyperlink r:id="rId23" w:history="1">
        <w:r w:rsidR="008429B1" w:rsidRPr="008429B1">
          <w:rPr>
            <w:rStyle w:val="Hyperlink"/>
            <w:rFonts w:ascii="David" w:hAnsi="David" w:hint="eastAsia"/>
            <w:rtl/>
          </w:rPr>
          <w:t>סעיף</w:t>
        </w:r>
        <w:r w:rsidR="008429B1" w:rsidRPr="008429B1">
          <w:rPr>
            <w:rStyle w:val="Hyperlink"/>
            <w:rFonts w:ascii="David" w:hAnsi="David"/>
            <w:rtl/>
          </w:rPr>
          <w:t xml:space="preserve"> 499(א)(1)</w:t>
        </w:r>
      </w:hyperlink>
      <w:r w:rsidRPr="00BA5951">
        <w:rPr>
          <w:rFonts w:ascii="David" w:hAnsi="David" w:hint="cs"/>
          <w:rtl/>
        </w:rPr>
        <w:t xml:space="preserve"> לחוק, כמפורט </w:t>
      </w:r>
      <w:r w:rsidRPr="00BA5951">
        <w:rPr>
          <w:rFonts w:ascii="David" w:hAnsi="David" w:hint="cs"/>
          <w:u w:val="single"/>
          <w:rtl/>
        </w:rPr>
        <w:t>באישום הראשון</w:t>
      </w:r>
      <w:r w:rsidRPr="00BA5951">
        <w:rPr>
          <w:rFonts w:ascii="David" w:hAnsi="David" w:hint="cs"/>
          <w:rtl/>
        </w:rPr>
        <w:t xml:space="preserve">; </w:t>
      </w:r>
    </w:p>
    <w:p w14:paraId="32F8E008" w14:textId="77777777" w:rsidR="00AA4D92" w:rsidRPr="00BA5951" w:rsidRDefault="00AA4D92" w:rsidP="00AA4D92">
      <w:pPr>
        <w:spacing w:line="360" w:lineRule="auto"/>
        <w:ind w:left="720"/>
        <w:contextualSpacing/>
        <w:jc w:val="both"/>
        <w:rPr>
          <w:rFonts w:ascii="David" w:hAnsi="David"/>
          <w:rtl/>
        </w:rPr>
      </w:pPr>
      <w:bookmarkStart w:id="7" w:name="ABSTRACT_END"/>
      <w:bookmarkEnd w:id="7"/>
      <w:r w:rsidRPr="00BA5951">
        <w:rPr>
          <w:rFonts w:ascii="David" w:hAnsi="David" w:hint="cs"/>
          <w:b/>
          <w:bCs/>
          <w:rtl/>
        </w:rPr>
        <w:t>החזקת נשק, אביזר ותחמושת בצוותא חדא</w:t>
      </w:r>
      <w:r w:rsidRPr="00BA5951">
        <w:rPr>
          <w:rFonts w:ascii="David" w:hAnsi="David" w:hint="cs"/>
          <w:rtl/>
        </w:rPr>
        <w:t xml:space="preserve"> לפי </w:t>
      </w:r>
      <w:hyperlink r:id="rId24" w:history="1">
        <w:r w:rsidR="008429B1" w:rsidRPr="008429B1">
          <w:rPr>
            <w:rStyle w:val="Hyperlink"/>
            <w:rFonts w:ascii="David" w:hAnsi="David" w:hint="eastAsia"/>
            <w:rtl/>
          </w:rPr>
          <w:t>סעיף</w:t>
        </w:r>
        <w:r w:rsidR="008429B1" w:rsidRPr="008429B1">
          <w:rPr>
            <w:rStyle w:val="Hyperlink"/>
            <w:rFonts w:ascii="David" w:hAnsi="David"/>
            <w:rtl/>
          </w:rPr>
          <w:t xml:space="preserve"> 144(א)</w:t>
        </w:r>
      </w:hyperlink>
      <w:r w:rsidRPr="00BA5951">
        <w:rPr>
          <w:rFonts w:ascii="David" w:hAnsi="David" w:hint="cs"/>
          <w:rtl/>
        </w:rPr>
        <w:t xml:space="preserve"> רישא וסיפא לחוק יחד עם </w:t>
      </w:r>
      <w:hyperlink r:id="rId25" w:history="1">
        <w:r w:rsidR="008429B1" w:rsidRPr="008429B1">
          <w:rPr>
            <w:rStyle w:val="Hyperlink"/>
            <w:rFonts w:ascii="David" w:hAnsi="David" w:hint="eastAsia"/>
            <w:rtl/>
          </w:rPr>
          <w:t>סעיף</w:t>
        </w:r>
        <w:r w:rsidR="008429B1" w:rsidRPr="008429B1">
          <w:rPr>
            <w:rStyle w:val="Hyperlink"/>
            <w:rFonts w:ascii="David" w:hAnsi="David"/>
            <w:rtl/>
          </w:rPr>
          <w:t xml:space="preserve"> 29</w:t>
        </w:r>
      </w:hyperlink>
      <w:r w:rsidRPr="00BA5951">
        <w:rPr>
          <w:rFonts w:ascii="David" w:hAnsi="David" w:hint="cs"/>
          <w:rtl/>
        </w:rPr>
        <w:t xml:space="preserve"> לחוק, כמפורט</w:t>
      </w:r>
      <w:r w:rsidRPr="00BA5951">
        <w:rPr>
          <w:rFonts w:ascii="David" w:hAnsi="David" w:hint="cs"/>
          <w:u w:val="single"/>
          <w:rtl/>
        </w:rPr>
        <w:t xml:space="preserve"> באישום השני</w:t>
      </w:r>
      <w:r w:rsidRPr="00BA5951">
        <w:rPr>
          <w:rFonts w:ascii="David" w:hAnsi="David" w:hint="cs"/>
          <w:rtl/>
        </w:rPr>
        <w:t xml:space="preserve">; </w:t>
      </w:r>
    </w:p>
    <w:p w14:paraId="10B77212" w14:textId="77777777" w:rsidR="00AA4D92" w:rsidRPr="00BA5951" w:rsidRDefault="00AA4D92" w:rsidP="00AA4D92">
      <w:pPr>
        <w:spacing w:line="360" w:lineRule="auto"/>
        <w:ind w:left="720"/>
        <w:contextualSpacing/>
        <w:jc w:val="both"/>
        <w:rPr>
          <w:rFonts w:ascii="David" w:hAnsi="David"/>
          <w:rtl/>
        </w:rPr>
      </w:pPr>
      <w:r w:rsidRPr="00BA5951">
        <w:rPr>
          <w:rFonts w:ascii="David" w:hAnsi="David" w:hint="cs"/>
          <w:b/>
          <w:bCs/>
          <w:rtl/>
        </w:rPr>
        <w:t>קשירת קשר לפשע (רכישת חלקי נשק)</w:t>
      </w:r>
      <w:r w:rsidRPr="00BA5951">
        <w:rPr>
          <w:rFonts w:ascii="David" w:hAnsi="David" w:hint="cs"/>
          <w:rtl/>
        </w:rPr>
        <w:t xml:space="preserve"> לפי </w:t>
      </w:r>
      <w:hyperlink r:id="rId26" w:history="1">
        <w:r w:rsidR="008429B1" w:rsidRPr="008429B1">
          <w:rPr>
            <w:rStyle w:val="Hyperlink"/>
            <w:rFonts w:ascii="David" w:hAnsi="David" w:hint="eastAsia"/>
            <w:rtl/>
          </w:rPr>
          <w:t>סעיף</w:t>
        </w:r>
        <w:r w:rsidR="008429B1" w:rsidRPr="008429B1">
          <w:rPr>
            <w:rStyle w:val="Hyperlink"/>
            <w:rFonts w:ascii="David" w:hAnsi="David"/>
            <w:rtl/>
          </w:rPr>
          <w:t xml:space="preserve"> 499(א)(1)</w:t>
        </w:r>
      </w:hyperlink>
      <w:r w:rsidRPr="00BA5951">
        <w:rPr>
          <w:rFonts w:ascii="David" w:hAnsi="David" w:hint="cs"/>
          <w:rtl/>
        </w:rPr>
        <w:t xml:space="preserve"> לחוק, כמפורט </w:t>
      </w:r>
      <w:r w:rsidRPr="00BA5951">
        <w:rPr>
          <w:rFonts w:ascii="David" w:hAnsi="David" w:hint="cs"/>
          <w:u w:val="single"/>
          <w:rtl/>
        </w:rPr>
        <w:t>באישום השלישי</w:t>
      </w:r>
      <w:r w:rsidRPr="00BA5951">
        <w:rPr>
          <w:rFonts w:ascii="David" w:hAnsi="David" w:hint="cs"/>
          <w:rtl/>
        </w:rPr>
        <w:t xml:space="preserve">; </w:t>
      </w:r>
    </w:p>
    <w:p w14:paraId="689FC3E0" w14:textId="77777777" w:rsidR="00AA4D92" w:rsidRPr="00BA5951" w:rsidRDefault="00AA4D92" w:rsidP="00AA4D92">
      <w:pPr>
        <w:spacing w:line="360" w:lineRule="auto"/>
        <w:ind w:left="720"/>
        <w:contextualSpacing/>
        <w:jc w:val="both"/>
        <w:rPr>
          <w:rFonts w:ascii="David" w:hAnsi="David"/>
          <w:rtl/>
        </w:rPr>
      </w:pPr>
      <w:r w:rsidRPr="00BA5951">
        <w:rPr>
          <w:rFonts w:ascii="David" w:hAnsi="David" w:hint="cs"/>
          <w:b/>
          <w:bCs/>
          <w:rtl/>
        </w:rPr>
        <w:t>רכישת נשק בצוותא חדא</w:t>
      </w:r>
      <w:r w:rsidRPr="00BA5951">
        <w:rPr>
          <w:rFonts w:ascii="David" w:hAnsi="David" w:hint="cs"/>
          <w:rtl/>
        </w:rPr>
        <w:t xml:space="preserve"> לפי </w:t>
      </w:r>
      <w:hyperlink r:id="rId27" w:history="1">
        <w:r w:rsidR="008429B1" w:rsidRPr="008429B1">
          <w:rPr>
            <w:rStyle w:val="Hyperlink"/>
            <w:rFonts w:ascii="David" w:hAnsi="David" w:hint="eastAsia"/>
            <w:rtl/>
          </w:rPr>
          <w:t>סעיף</w:t>
        </w:r>
        <w:r w:rsidR="008429B1" w:rsidRPr="008429B1">
          <w:rPr>
            <w:rStyle w:val="Hyperlink"/>
            <w:rFonts w:ascii="David" w:hAnsi="David"/>
            <w:rtl/>
          </w:rPr>
          <w:t xml:space="preserve"> 144(א)</w:t>
        </w:r>
      </w:hyperlink>
      <w:r w:rsidRPr="00BA5951">
        <w:rPr>
          <w:rFonts w:ascii="David" w:hAnsi="David" w:hint="cs"/>
          <w:rtl/>
        </w:rPr>
        <w:t xml:space="preserve"> רישא לחוק יחד עם </w:t>
      </w:r>
      <w:hyperlink r:id="rId28" w:history="1">
        <w:r w:rsidR="008429B1" w:rsidRPr="008429B1">
          <w:rPr>
            <w:rStyle w:val="Hyperlink"/>
            <w:rFonts w:ascii="David" w:hAnsi="David" w:hint="eastAsia"/>
            <w:rtl/>
          </w:rPr>
          <w:t>סעיף</w:t>
        </w:r>
        <w:r w:rsidR="008429B1" w:rsidRPr="008429B1">
          <w:rPr>
            <w:rStyle w:val="Hyperlink"/>
            <w:rFonts w:ascii="David" w:hAnsi="David"/>
            <w:rtl/>
          </w:rPr>
          <w:t xml:space="preserve"> 29</w:t>
        </w:r>
      </w:hyperlink>
      <w:r w:rsidRPr="00BA5951">
        <w:rPr>
          <w:rFonts w:ascii="David" w:hAnsi="David" w:hint="cs"/>
          <w:rtl/>
        </w:rPr>
        <w:t xml:space="preserve"> לחוק, כמפורט </w:t>
      </w:r>
      <w:r w:rsidRPr="00BA5951">
        <w:rPr>
          <w:rFonts w:ascii="David" w:hAnsi="David" w:hint="cs"/>
          <w:u w:val="single"/>
          <w:rtl/>
        </w:rPr>
        <w:t>באישום הרביעי</w:t>
      </w:r>
      <w:r w:rsidRPr="00BA5951">
        <w:rPr>
          <w:rFonts w:ascii="David" w:hAnsi="David" w:hint="cs"/>
          <w:rtl/>
        </w:rPr>
        <w:t xml:space="preserve">. </w:t>
      </w:r>
    </w:p>
    <w:p w14:paraId="542A5013" w14:textId="77777777" w:rsidR="00AA4D92" w:rsidRPr="00BA5951" w:rsidRDefault="00AA4D92" w:rsidP="00AA4D92">
      <w:pPr>
        <w:spacing w:line="360" w:lineRule="auto"/>
        <w:ind w:left="720"/>
        <w:contextualSpacing/>
        <w:jc w:val="both"/>
        <w:rPr>
          <w:rFonts w:ascii="David" w:hAnsi="David"/>
          <w:rtl/>
        </w:rPr>
      </w:pPr>
    </w:p>
    <w:p w14:paraId="764ED1B9" w14:textId="77777777" w:rsidR="00AA4D92" w:rsidRPr="00BA5951" w:rsidRDefault="00AA4D92" w:rsidP="00AA4D92">
      <w:pPr>
        <w:spacing w:line="360" w:lineRule="auto"/>
        <w:ind w:left="720"/>
        <w:contextualSpacing/>
        <w:jc w:val="both"/>
        <w:rPr>
          <w:rFonts w:ascii="David" w:hAnsi="David"/>
          <w:rtl/>
        </w:rPr>
      </w:pPr>
      <w:r w:rsidRPr="00BA5951">
        <w:rPr>
          <w:rFonts w:ascii="David" w:hAnsi="David" w:hint="cs"/>
          <w:b/>
          <w:bCs/>
          <w:u w:val="single"/>
          <w:rtl/>
        </w:rPr>
        <w:t>נאשם 2</w:t>
      </w:r>
      <w:r w:rsidRPr="00BA5951">
        <w:rPr>
          <w:rFonts w:ascii="David" w:hAnsi="David" w:hint="cs"/>
          <w:rtl/>
        </w:rPr>
        <w:t xml:space="preserve">: </w:t>
      </w:r>
    </w:p>
    <w:p w14:paraId="48D0AAD4" w14:textId="77777777" w:rsidR="00AA4D92" w:rsidRPr="00BA5951" w:rsidRDefault="00AA4D92" w:rsidP="00AA4D92">
      <w:pPr>
        <w:spacing w:line="360" w:lineRule="auto"/>
        <w:ind w:left="720"/>
        <w:contextualSpacing/>
        <w:jc w:val="both"/>
        <w:rPr>
          <w:rFonts w:ascii="David" w:hAnsi="David"/>
          <w:rtl/>
        </w:rPr>
      </w:pPr>
      <w:r w:rsidRPr="00BA5951">
        <w:rPr>
          <w:rFonts w:ascii="David" w:hAnsi="David" w:hint="cs"/>
          <w:b/>
          <w:bCs/>
          <w:rtl/>
        </w:rPr>
        <w:t>סיוע לנשיאה והובלת נשק</w:t>
      </w:r>
      <w:r w:rsidRPr="00BA5951">
        <w:rPr>
          <w:rFonts w:ascii="David" w:hAnsi="David" w:hint="cs"/>
          <w:rtl/>
        </w:rPr>
        <w:t xml:space="preserve"> לפי </w:t>
      </w:r>
      <w:hyperlink r:id="rId29" w:history="1">
        <w:r w:rsidR="008429B1" w:rsidRPr="008429B1">
          <w:rPr>
            <w:rStyle w:val="Hyperlink"/>
            <w:rFonts w:ascii="David" w:hAnsi="David" w:hint="eastAsia"/>
            <w:rtl/>
          </w:rPr>
          <w:t>סעיף</w:t>
        </w:r>
        <w:r w:rsidR="008429B1" w:rsidRPr="008429B1">
          <w:rPr>
            <w:rStyle w:val="Hyperlink"/>
            <w:rFonts w:ascii="David" w:hAnsi="David"/>
            <w:rtl/>
          </w:rPr>
          <w:t xml:space="preserve"> 144(ב)</w:t>
        </w:r>
      </w:hyperlink>
      <w:r w:rsidRPr="00BA5951">
        <w:rPr>
          <w:rFonts w:ascii="David" w:hAnsi="David" w:hint="cs"/>
          <w:rtl/>
        </w:rPr>
        <w:t xml:space="preserve"> לחוק + </w:t>
      </w:r>
      <w:hyperlink r:id="rId30" w:history="1">
        <w:r w:rsidR="008429B1" w:rsidRPr="008429B1">
          <w:rPr>
            <w:rStyle w:val="Hyperlink"/>
            <w:rFonts w:ascii="David" w:hAnsi="David"/>
            <w:rtl/>
          </w:rPr>
          <w:t>31</w:t>
        </w:r>
      </w:hyperlink>
      <w:r w:rsidRPr="00BA5951">
        <w:rPr>
          <w:rFonts w:ascii="David" w:hAnsi="David" w:hint="cs"/>
          <w:rtl/>
        </w:rPr>
        <w:t xml:space="preserve"> לחוק , כמפורט </w:t>
      </w:r>
      <w:r w:rsidRPr="00BA5951">
        <w:rPr>
          <w:rFonts w:ascii="David" w:hAnsi="David" w:hint="cs"/>
          <w:u w:val="single"/>
          <w:rtl/>
        </w:rPr>
        <w:t>באישום הראשון</w:t>
      </w:r>
      <w:r w:rsidRPr="00BA5951">
        <w:rPr>
          <w:rFonts w:ascii="David" w:hAnsi="David" w:hint="cs"/>
          <w:rtl/>
        </w:rPr>
        <w:t>;</w:t>
      </w:r>
    </w:p>
    <w:p w14:paraId="08367457" w14:textId="77777777" w:rsidR="00AA4D92" w:rsidRPr="00BA5951" w:rsidRDefault="00AA4D92" w:rsidP="00AA4D92">
      <w:pPr>
        <w:spacing w:line="360" w:lineRule="auto"/>
        <w:ind w:left="720"/>
        <w:contextualSpacing/>
        <w:jc w:val="both"/>
        <w:rPr>
          <w:rFonts w:ascii="David" w:hAnsi="David"/>
          <w:rtl/>
        </w:rPr>
      </w:pPr>
      <w:r w:rsidRPr="00BA5951">
        <w:rPr>
          <w:rFonts w:ascii="David" w:hAnsi="David" w:hint="cs"/>
          <w:b/>
          <w:bCs/>
          <w:rtl/>
        </w:rPr>
        <w:t xml:space="preserve">קשירת קשר לפשע (רכישת חלקי נשק) </w:t>
      </w:r>
      <w:r w:rsidRPr="00BA5951">
        <w:rPr>
          <w:rFonts w:ascii="David" w:hAnsi="David" w:hint="cs"/>
          <w:rtl/>
        </w:rPr>
        <w:t xml:space="preserve">לפי סעיף </w:t>
      </w:r>
      <w:hyperlink r:id="rId31" w:history="1">
        <w:r w:rsidR="008429B1" w:rsidRPr="008429B1">
          <w:rPr>
            <w:rStyle w:val="Hyperlink"/>
            <w:rFonts w:ascii="David" w:hAnsi="David"/>
            <w:rtl/>
          </w:rPr>
          <w:t>499(א)(1)</w:t>
        </w:r>
      </w:hyperlink>
      <w:r w:rsidRPr="00BA5951">
        <w:rPr>
          <w:rFonts w:ascii="David" w:hAnsi="David" w:hint="cs"/>
          <w:rtl/>
        </w:rPr>
        <w:t xml:space="preserve"> לחוק, כמפורט </w:t>
      </w:r>
      <w:r w:rsidRPr="00BA5951">
        <w:rPr>
          <w:rFonts w:ascii="David" w:hAnsi="David" w:hint="cs"/>
          <w:u w:val="single"/>
          <w:rtl/>
        </w:rPr>
        <w:t>באישום השלישי</w:t>
      </w:r>
      <w:r w:rsidRPr="00BA5951">
        <w:rPr>
          <w:rFonts w:ascii="David" w:hAnsi="David" w:hint="cs"/>
          <w:rtl/>
        </w:rPr>
        <w:t xml:space="preserve">. </w:t>
      </w:r>
    </w:p>
    <w:p w14:paraId="2C19E19B" w14:textId="77777777" w:rsidR="00AA4D92" w:rsidRPr="00BA5951" w:rsidRDefault="00AA4D92" w:rsidP="00AA4D92">
      <w:pPr>
        <w:spacing w:line="360" w:lineRule="auto"/>
        <w:ind w:left="720"/>
        <w:contextualSpacing/>
        <w:jc w:val="both"/>
        <w:rPr>
          <w:rFonts w:ascii="David" w:hAnsi="David"/>
          <w:rtl/>
        </w:rPr>
      </w:pPr>
    </w:p>
    <w:p w14:paraId="77F0D364" w14:textId="77777777" w:rsidR="00AA4D92" w:rsidRPr="00BA5951" w:rsidRDefault="00AA4D92" w:rsidP="00AA4D92">
      <w:pPr>
        <w:spacing w:line="360" w:lineRule="auto"/>
        <w:ind w:left="720"/>
        <w:contextualSpacing/>
        <w:jc w:val="both"/>
        <w:rPr>
          <w:rFonts w:ascii="David" w:hAnsi="David"/>
          <w:rtl/>
        </w:rPr>
      </w:pPr>
      <w:r w:rsidRPr="00BA5951">
        <w:rPr>
          <w:rFonts w:ascii="David" w:hAnsi="David" w:hint="cs"/>
          <w:b/>
          <w:bCs/>
          <w:u w:val="single"/>
          <w:rtl/>
        </w:rPr>
        <w:t>נאשם 3</w:t>
      </w:r>
      <w:r w:rsidRPr="00BA5951">
        <w:rPr>
          <w:rFonts w:ascii="David" w:hAnsi="David" w:hint="cs"/>
          <w:rtl/>
        </w:rPr>
        <w:t>:</w:t>
      </w:r>
    </w:p>
    <w:p w14:paraId="6CEAAC98" w14:textId="77777777" w:rsidR="00AA4D92" w:rsidRPr="00BA5951" w:rsidRDefault="00AA4D92" w:rsidP="00AA4D92">
      <w:pPr>
        <w:spacing w:line="360" w:lineRule="auto"/>
        <w:ind w:left="720"/>
        <w:contextualSpacing/>
        <w:jc w:val="both"/>
        <w:rPr>
          <w:rFonts w:ascii="David" w:hAnsi="David"/>
          <w:rtl/>
        </w:rPr>
      </w:pPr>
      <w:r w:rsidRPr="00BA5951">
        <w:rPr>
          <w:rFonts w:ascii="David" w:hAnsi="David" w:hint="cs"/>
          <w:b/>
          <w:bCs/>
          <w:rtl/>
        </w:rPr>
        <w:t>סיוע לנשיאה והובלת נשק</w:t>
      </w:r>
      <w:r w:rsidRPr="00BA5951">
        <w:rPr>
          <w:rFonts w:ascii="David" w:hAnsi="David" w:hint="cs"/>
          <w:rtl/>
        </w:rPr>
        <w:t xml:space="preserve"> לפי </w:t>
      </w:r>
      <w:hyperlink r:id="rId32" w:history="1">
        <w:r w:rsidR="008429B1" w:rsidRPr="008429B1">
          <w:rPr>
            <w:rStyle w:val="Hyperlink"/>
            <w:rFonts w:ascii="David" w:hAnsi="David" w:hint="eastAsia"/>
            <w:rtl/>
          </w:rPr>
          <w:t>סעיף</w:t>
        </w:r>
        <w:r w:rsidR="008429B1" w:rsidRPr="008429B1">
          <w:rPr>
            <w:rStyle w:val="Hyperlink"/>
            <w:rFonts w:ascii="David" w:hAnsi="David"/>
            <w:rtl/>
          </w:rPr>
          <w:t xml:space="preserve"> 144(ב)</w:t>
        </w:r>
      </w:hyperlink>
      <w:r w:rsidRPr="00BA5951">
        <w:rPr>
          <w:rFonts w:ascii="David" w:hAnsi="David" w:hint="cs"/>
          <w:rtl/>
        </w:rPr>
        <w:t xml:space="preserve"> לחוק+ </w:t>
      </w:r>
      <w:hyperlink r:id="rId33" w:history="1">
        <w:r w:rsidR="008429B1" w:rsidRPr="008429B1">
          <w:rPr>
            <w:rStyle w:val="Hyperlink"/>
            <w:rFonts w:ascii="David" w:hAnsi="David"/>
            <w:rtl/>
          </w:rPr>
          <w:t>31</w:t>
        </w:r>
      </w:hyperlink>
      <w:r w:rsidRPr="00BA5951">
        <w:rPr>
          <w:rFonts w:ascii="David" w:hAnsi="David" w:hint="cs"/>
          <w:rtl/>
        </w:rPr>
        <w:t xml:space="preserve"> לחוק, כמפורט </w:t>
      </w:r>
      <w:r w:rsidRPr="00BA5951">
        <w:rPr>
          <w:rFonts w:ascii="David" w:hAnsi="David" w:hint="cs"/>
          <w:u w:val="single"/>
          <w:rtl/>
        </w:rPr>
        <w:t>באישום הראשון</w:t>
      </w:r>
      <w:r w:rsidRPr="00BA5951">
        <w:rPr>
          <w:rFonts w:ascii="David" w:hAnsi="David" w:hint="cs"/>
          <w:rtl/>
        </w:rPr>
        <w:t>;</w:t>
      </w:r>
    </w:p>
    <w:p w14:paraId="01EC3A6F" w14:textId="77777777" w:rsidR="00AA4D92" w:rsidRPr="00BA5951" w:rsidRDefault="00AA4D92" w:rsidP="00AA4D92">
      <w:pPr>
        <w:spacing w:line="360" w:lineRule="auto"/>
        <w:ind w:left="720"/>
        <w:contextualSpacing/>
        <w:jc w:val="both"/>
        <w:rPr>
          <w:rFonts w:ascii="David" w:hAnsi="David"/>
          <w:rtl/>
        </w:rPr>
      </w:pPr>
      <w:r w:rsidRPr="00BA5951">
        <w:rPr>
          <w:rFonts w:ascii="David" w:hAnsi="David" w:hint="cs"/>
          <w:b/>
          <w:bCs/>
          <w:rtl/>
        </w:rPr>
        <w:t>החזקת נשק, אביזר ותחמושת בצוותא חדא</w:t>
      </w:r>
      <w:r w:rsidRPr="00BA5951">
        <w:rPr>
          <w:rFonts w:ascii="David" w:hAnsi="David" w:hint="cs"/>
          <w:rtl/>
        </w:rPr>
        <w:t xml:space="preserve"> לפי </w:t>
      </w:r>
      <w:hyperlink r:id="rId34" w:history="1">
        <w:r w:rsidR="008429B1" w:rsidRPr="008429B1">
          <w:rPr>
            <w:rStyle w:val="Hyperlink"/>
            <w:rFonts w:ascii="David" w:hAnsi="David" w:hint="eastAsia"/>
            <w:rtl/>
          </w:rPr>
          <w:t>סעיף</w:t>
        </w:r>
        <w:r w:rsidR="008429B1" w:rsidRPr="008429B1">
          <w:rPr>
            <w:rStyle w:val="Hyperlink"/>
            <w:rFonts w:ascii="David" w:hAnsi="David"/>
            <w:rtl/>
          </w:rPr>
          <w:t xml:space="preserve"> 144(א)</w:t>
        </w:r>
      </w:hyperlink>
      <w:r w:rsidRPr="00BA5951">
        <w:rPr>
          <w:rFonts w:ascii="David" w:hAnsi="David" w:hint="cs"/>
          <w:rtl/>
        </w:rPr>
        <w:t xml:space="preserve"> רישא וסיפא לחוק יחד עם </w:t>
      </w:r>
      <w:hyperlink r:id="rId35" w:history="1">
        <w:r w:rsidR="008429B1" w:rsidRPr="008429B1">
          <w:rPr>
            <w:rStyle w:val="Hyperlink"/>
            <w:rFonts w:ascii="David" w:hAnsi="David" w:hint="eastAsia"/>
            <w:rtl/>
          </w:rPr>
          <w:t>סעיף</w:t>
        </w:r>
        <w:r w:rsidR="008429B1" w:rsidRPr="008429B1">
          <w:rPr>
            <w:rStyle w:val="Hyperlink"/>
            <w:rFonts w:ascii="David" w:hAnsi="David"/>
            <w:rtl/>
          </w:rPr>
          <w:t xml:space="preserve"> 29</w:t>
        </w:r>
      </w:hyperlink>
      <w:r w:rsidRPr="00BA5951">
        <w:rPr>
          <w:rFonts w:ascii="David" w:hAnsi="David" w:hint="cs"/>
          <w:rtl/>
        </w:rPr>
        <w:t xml:space="preserve"> לחוק, כמפורט </w:t>
      </w:r>
      <w:r w:rsidRPr="00BA5951">
        <w:rPr>
          <w:rFonts w:ascii="David" w:hAnsi="David" w:hint="cs"/>
          <w:u w:val="single"/>
          <w:rtl/>
        </w:rPr>
        <w:t>באישום השני</w:t>
      </w:r>
      <w:r w:rsidRPr="00BA5951">
        <w:rPr>
          <w:rFonts w:ascii="David" w:hAnsi="David" w:hint="cs"/>
          <w:rtl/>
        </w:rPr>
        <w:t xml:space="preserve">. </w:t>
      </w:r>
    </w:p>
    <w:p w14:paraId="5E8A6780" w14:textId="77777777" w:rsidR="00AA4D92" w:rsidRPr="00BA5951" w:rsidRDefault="00AA4D92" w:rsidP="00AA4D92">
      <w:pPr>
        <w:spacing w:line="360" w:lineRule="auto"/>
        <w:ind w:left="720"/>
        <w:contextualSpacing/>
        <w:jc w:val="both"/>
        <w:rPr>
          <w:rFonts w:ascii="David" w:hAnsi="David"/>
          <w:rtl/>
        </w:rPr>
      </w:pPr>
      <w:r w:rsidRPr="00BA5951">
        <w:rPr>
          <w:rFonts w:ascii="David" w:hAnsi="David" w:hint="cs"/>
          <w:b/>
          <w:bCs/>
          <w:rtl/>
        </w:rPr>
        <w:t xml:space="preserve">קשירת קשר לפשע (רכישת חלקי נשק) </w:t>
      </w:r>
      <w:r w:rsidRPr="00BA5951">
        <w:rPr>
          <w:rFonts w:ascii="David" w:hAnsi="David" w:hint="cs"/>
          <w:rtl/>
        </w:rPr>
        <w:t xml:space="preserve">לפי </w:t>
      </w:r>
      <w:hyperlink r:id="rId36" w:history="1">
        <w:r w:rsidR="008429B1" w:rsidRPr="008429B1">
          <w:rPr>
            <w:rStyle w:val="Hyperlink"/>
            <w:rFonts w:ascii="David" w:hAnsi="David" w:hint="eastAsia"/>
            <w:rtl/>
          </w:rPr>
          <w:t>סעיף</w:t>
        </w:r>
        <w:r w:rsidR="008429B1" w:rsidRPr="008429B1">
          <w:rPr>
            <w:rStyle w:val="Hyperlink"/>
            <w:rFonts w:ascii="David" w:hAnsi="David"/>
            <w:rtl/>
          </w:rPr>
          <w:t xml:space="preserve"> 499(א)(1)</w:t>
        </w:r>
      </w:hyperlink>
      <w:r w:rsidRPr="00BA5951">
        <w:rPr>
          <w:rFonts w:ascii="David" w:hAnsi="David" w:hint="cs"/>
          <w:rtl/>
        </w:rPr>
        <w:t xml:space="preserve"> לחוק, כמפורט </w:t>
      </w:r>
      <w:r w:rsidRPr="00BA5951">
        <w:rPr>
          <w:rFonts w:ascii="David" w:hAnsi="David" w:hint="cs"/>
          <w:u w:val="single"/>
          <w:rtl/>
        </w:rPr>
        <w:t>באישום השלישי</w:t>
      </w:r>
      <w:r w:rsidRPr="00BA5951">
        <w:rPr>
          <w:rFonts w:ascii="David" w:hAnsi="David" w:hint="cs"/>
          <w:rtl/>
        </w:rPr>
        <w:t xml:space="preserve">. </w:t>
      </w:r>
    </w:p>
    <w:p w14:paraId="7EB175A9" w14:textId="77777777" w:rsidR="00AA4D92" w:rsidRPr="00BA5951" w:rsidRDefault="00AA4D92" w:rsidP="00AA4D92">
      <w:pPr>
        <w:spacing w:line="360" w:lineRule="auto"/>
        <w:ind w:left="720"/>
        <w:contextualSpacing/>
        <w:jc w:val="both"/>
        <w:rPr>
          <w:rFonts w:ascii="David" w:hAnsi="David"/>
          <w:rtl/>
        </w:rPr>
      </w:pPr>
      <w:r w:rsidRPr="00BA5951">
        <w:rPr>
          <w:rFonts w:ascii="David" w:hAnsi="David" w:hint="cs"/>
          <w:b/>
          <w:bCs/>
          <w:rtl/>
        </w:rPr>
        <w:t>רכישת נשק בצוותא חדא</w:t>
      </w:r>
      <w:r w:rsidRPr="00BA5951">
        <w:rPr>
          <w:rFonts w:ascii="David" w:hAnsi="David" w:hint="cs"/>
          <w:rtl/>
        </w:rPr>
        <w:t xml:space="preserve"> לפי </w:t>
      </w:r>
      <w:hyperlink r:id="rId37" w:history="1">
        <w:r w:rsidR="008429B1" w:rsidRPr="008429B1">
          <w:rPr>
            <w:rStyle w:val="Hyperlink"/>
            <w:rFonts w:ascii="David" w:hAnsi="David" w:hint="eastAsia"/>
            <w:rtl/>
          </w:rPr>
          <w:t>סעיף</w:t>
        </w:r>
        <w:r w:rsidR="008429B1" w:rsidRPr="008429B1">
          <w:rPr>
            <w:rStyle w:val="Hyperlink"/>
            <w:rFonts w:ascii="David" w:hAnsi="David"/>
            <w:rtl/>
          </w:rPr>
          <w:t xml:space="preserve"> 144(א)</w:t>
        </w:r>
      </w:hyperlink>
      <w:r w:rsidRPr="00BA5951">
        <w:rPr>
          <w:rFonts w:ascii="David" w:hAnsi="David" w:hint="cs"/>
          <w:rtl/>
        </w:rPr>
        <w:t xml:space="preserve"> רישא לחוק יחד עם סעיף </w:t>
      </w:r>
      <w:hyperlink r:id="rId38" w:history="1">
        <w:r w:rsidR="008429B1" w:rsidRPr="008429B1">
          <w:rPr>
            <w:rStyle w:val="Hyperlink"/>
            <w:rFonts w:ascii="David" w:hAnsi="David"/>
            <w:rtl/>
          </w:rPr>
          <w:t>29</w:t>
        </w:r>
      </w:hyperlink>
      <w:r w:rsidRPr="00BA5951">
        <w:rPr>
          <w:rFonts w:ascii="David" w:hAnsi="David" w:hint="cs"/>
          <w:rtl/>
        </w:rPr>
        <w:t xml:space="preserve"> לחוק, כמפורט </w:t>
      </w:r>
      <w:r w:rsidRPr="00BA5951">
        <w:rPr>
          <w:rFonts w:ascii="David" w:hAnsi="David" w:hint="cs"/>
          <w:u w:val="single"/>
          <w:rtl/>
        </w:rPr>
        <w:t>באישום הרביעי</w:t>
      </w:r>
      <w:r w:rsidRPr="00BA5951">
        <w:rPr>
          <w:rFonts w:ascii="David" w:hAnsi="David" w:hint="cs"/>
          <w:rtl/>
        </w:rPr>
        <w:t xml:space="preserve">. </w:t>
      </w:r>
    </w:p>
    <w:p w14:paraId="78FBD545" w14:textId="77777777" w:rsidR="00AA4D92" w:rsidRPr="00BA5951" w:rsidRDefault="00AA4D92" w:rsidP="00AA4D92">
      <w:pPr>
        <w:spacing w:line="360" w:lineRule="auto"/>
        <w:jc w:val="both"/>
        <w:rPr>
          <w:rFonts w:ascii="David" w:hAnsi="David"/>
          <w:rtl/>
        </w:rPr>
      </w:pPr>
    </w:p>
    <w:p w14:paraId="7031A216" w14:textId="77777777" w:rsidR="00AA4D92" w:rsidRPr="00BA5951" w:rsidRDefault="00AA4D92" w:rsidP="00AA4D92">
      <w:pPr>
        <w:spacing w:line="360" w:lineRule="auto"/>
        <w:ind w:left="720"/>
        <w:contextualSpacing/>
        <w:jc w:val="both"/>
        <w:rPr>
          <w:rFonts w:ascii="David" w:hAnsi="David"/>
          <w:b/>
          <w:bCs/>
          <w:rtl/>
        </w:rPr>
      </w:pPr>
      <w:r w:rsidRPr="00BA5951">
        <w:rPr>
          <w:rFonts w:ascii="David" w:hAnsi="David" w:hint="cs"/>
          <w:b/>
          <w:bCs/>
          <w:u w:val="single"/>
          <w:rtl/>
        </w:rPr>
        <w:t>נאשם 4</w:t>
      </w:r>
      <w:r w:rsidRPr="00BA5951">
        <w:rPr>
          <w:rFonts w:ascii="David" w:hAnsi="David" w:hint="cs"/>
          <w:b/>
          <w:bCs/>
          <w:rtl/>
        </w:rPr>
        <w:t>:</w:t>
      </w:r>
    </w:p>
    <w:p w14:paraId="3B242718" w14:textId="77777777" w:rsidR="00AA4D92" w:rsidRPr="00BA5951" w:rsidRDefault="00AA4D92" w:rsidP="00AA4D92">
      <w:pPr>
        <w:spacing w:line="360" w:lineRule="auto"/>
        <w:ind w:left="720"/>
        <w:contextualSpacing/>
        <w:jc w:val="both"/>
        <w:rPr>
          <w:rFonts w:ascii="David" w:hAnsi="David"/>
          <w:rtl/>
        </w:rPr>
      </w:pPr>
      <w:r w:rsidRPr="00BA5951">
        <w:rPr>
          <w:rFonts w:ascii="David" w:hAnsi="David" w:hint="cs"/>
          <w:b/>
          <w:bCs/>
          <w:rtl/>
        </w:rPr>
        <w:t>ניסיון רכישת נשק</w:t>
      </w:r>
      <w:r w:rsidRPr="00BA5951">
        <w:rPr>
          <w:rFonts w:ascii="David" w:hAnsi="David" w:hint="cs"/>
          <w:rtl/>
        </w:rPr>
        <w:t xml:space="preserve"> לפי </w:t>
      </w:r>
      <w:hyperlink r:id="rId39" w:history="1">
        <w:r w:rsidR="008429B1" w:rsidRPr="008429B1">
          <w:rPr>
            <w:rStyle w:val="Hyperlink"/>
            <w:rFonts w:ascii="David" w:hAnsi="David" w:hint="eastAsia"/>
            <w:rtl/>
          </w:rPr>
          <w:t>סעיף</w:t>
        </w:r>
        <w:r w:rsidR="008429B1" w:rsidRPr="008429B1">
          <w:rPr>
            <w:rStyle w:val="Hyperlink"/>
            <w:rFonts w:ascii="David" w:hAnsi="David"/>
            <w:rtl/>
          </w:rPr>
          <w:t xml:space="preserve"> 144(א)</w:t>
        </w:r>
      </w:hyperlink>
      <w:r w:rsidRPr="00BA5951">
        <w:rPr>
          <w:rFonts w:ascii="David" w:hAnsi="David" w:hint="cs"/>
          <w:rtl/>
        </w:rPr>
        <w:t xml:space="preserve"> רישא לחוק + </w:t>
      </w:r>
      <w:hyperlink r:id="rId40" w:history="1">
        <w:r w:rsidR="008429B1" w:rsidRPr="008429B1">
          <w:rPr>
            <w:rStyle w:val="Hyperlink"/>
            <w:rFonts w:ascii="David" w:hAnsi="David"/>
            <w:rtl/>
          </w:rPr>
          <w:t>25</w:t>
        </w:r>
      </w:hyperlink>
      <w:r w:rsidRPr="00BA5951">
        <w:rPr>
          <w:rFonts w:ascii="David" w:hAnsi="David" w:hint="cs"/>
          <w:rtl/>
        </w:rPr>
        <w:t xml:space="preserve"> לחוק ו</w:t>
      </w:r>
      <w:r w:rsidRPr="00BA5951">
        <w:rPr>
          <w:rFonts w:ascii="David" w:hAnsi="David" w:hint="cs"/>
          <w:b/>
          <w:bCs/>
          <w:rtl/>
        </w:rPr>
        <w:t xml:space="preserve">קשירת קשר לביצוע פשע </w:t>
      </w:r>
      <w:r w:rsidRPr="00BA5951">
        <w:rPr>
          <w:rFonts w:ascii="David" w:hAnsi="David" w:hint="cs"/>
          <w:rtl/>
        </w:rPr>
        <w:t xml:space="preserve">לפי </w:t>
      </w:r>
      <w:hyperlink r:id="rId41" w:history="1">
        <w:r w:rsidR="008429B1" w:rsidRPr="008429B1">
          <w:rPr>
            <w:rStyle w:val="Hyperlink"/>
            <w:rFonts w:ascii="David" w:hAnsi="David" w:hint="eastAsia"/>
            <w:rtl/>
          </w:rPr>
          <w:t>סעיף</w:t>
        </w:r>
        <w:r w:rsidR="008429B1" w:rsidRPr="008429B1">
          <w:rPr>
            <w:rStyle w:val="Hyperlink"/>
            <w:rFonts w:ascii="David" w:hAnsi="David"/>
            <w:rtl/>
          </w:rPr>
          <w:t xml:space="preserve"> 499(א)(1)</w:t>
        </w:r>
      </w:hyperlink>
      <w:r w:rsidRPr="00BA5951">
        <w:rPr>
          <w:rFonts w:ascii="David" w:hAnsi="David" w:hint="cs"/>
          <w:rtl/>
        </w:rPr>
        <w:t xml:space="preserve"> לחוק - כמפורט </w:t>
      </w:r>
      <w:r w:rsidRPr="00BA5951">
        <w:rPr>
          <w:rFonts w:ascii="David" w:hAnsi="David" w:hint="cs"/>
          <w:u w:val="single"/>
          <w:rtl/>
        </w:rPr>
        <w:t>באישום בראשון</w:t>
      </w:r>
      <w:r w:rsidRPr="00BA5951">
        <w:rPr>
          <w:rFonts w:ascii="David" w:hAnsi="David" w:hint="cs"/>
          <w:rtl/>
        </w:rPr>
        <w:t xml:space="preserve">. </w:t>
      </w:r>
    </w:p>
    <w:p w14:paraId="74FC9C5B" w14:textId="77777777" w:rsidR="00AA4D92" w:rsidRPr="00BA5951" w:rsidRDefault="00AA4D92" w:rsidP="00AA4D92">
      <w:pPr>
        <w:spacing w:line="360" w:lineRule="auto"/>
        <w:ind w:left="720"/>
        <w:contextualSpacing/>
        <w:jc w:val="both"/>
        <w:rPr>
          <w:rFonts w:ascii="David" w:hAnsi="David"/>
        </w:rPr>
      </w:pPr>
    </w:p>
    <w:p w14:paraId="1A074AB1" w14:textId="77777777" w:rsidR="00AA4D92" w:rsidRPr="00BA5951" w:rsidRDefault="00AA4D92" w:rsidP="00AA4D92">
      <w:pPr>
        <w:numPr>
          <w:ilvl w:val="0"/>
          <w:numId w:val="1"/>
        </w:numPr>
        <w:spacing w:line="360" w:lineRule="auto"/>
        <w:contextualSpacing/>
        <w:jc w:val="both"/>
        <w:rPr>
          <w:rFonts w:ascii="Calibri" w:eastAsia="Calibri" w:hAnsi="Calibri"/>
        </w:rPr>
      </w:pPr>
      <w:r w:rsidRPr="00BA5951">
        <w:rPr>
          <w:rFonts w:ascii="Calibri" w:eastAsia="Calibri" w:hAnsi="Calibri" w:hint="cs"/>
          <w:u w:val="single"/>
          <w:rtl/>
        </w:rPr>
        <w:t>האישום הראשון</w:t>
      </w:r>
      <w:r w:rsidRPr="00BA5951">
        <w:rPr>
          <w:rFonts w:ascii="Calibri" w:eastAsia="Calibri" w:hAnsi="Calibri" w:hint="cs"/>
          <w:rtl/>
        </w:rPr>
        <w:t xml:space="preserve">, המיוחס לכל הנאשמים, מעלה כי עובר ליום 19.1.21, במועד שאינו ידוע במדויק, פנה נאשם 4 אל נאשם 1 בבקשה לרכוש ממנו נשק, במטרה למכרו לאחר מכן לאדם אחר. בהמשך לכך, במהלך התקופה בין 19.1.21 לבין 25.1.21, קשרו נאשם 1 ונאשם 4 קשר לביצוע עסקה בנשק, בין היתר באמצעות שליחת הודעות כתובות וקוליות בוואטסאפ וטלגרם. </w:t>
      </w:r>
    </w:p>
    <w:p w14:paraId="24C9370D" w14:textId="77777777" w:rsidR="00AA4D92" w:rsidRPr="00BA5951" w:rsidRDefault="00AA4D92" w:rsidP="00AA4D92">
      <w:pPr>
        <w:spacing w:line="360" w:lineRule="auto"/>
        <w:ind w:left="720"/>
        <w:contextualSpacing/>
        <w:jc w:val="both"/>
        <w:rPr>
          <w:rFonts w:ascii="Calibri" w:eastAsia="Calibri" w:hAnsi="Calibri"/>
        </w:rPr>
      </w:pPr>
      <w:r w:rsidRPr="00BA5951">
        <w:rPr>
          <w:rFonts w:ascii="Calibri" w:eastAsia="Calibri" w:hAnsi="Calibri" w:hint="cs"/>
          <w:rtl/>
        </w:rPr>
        <w:t>במסגרת הקשר, ניהלו הנאשמים 1 ו- 4 משא ומתן בנוגע לכמות הנשקים, סוגם, וגובה התמורה שתינתן בגינם על פי המפורט להלן:</w:t>
      </w:r>
    </w:p>
    <w:p w14:paraId="5651C3E4" w14:textId="77777777" w:rsidR="00AA4D92" w:rsidRPr="00BA5951" w:rsidRDefault="00AA4D92" w:rsidP="00AA4D92">
      <w:pPr>
        <w:spacing w:line="360" w:lineRule="auto"/>
        <w:ind w:left="720"/>
        <w:contextualSpacing/>
        <w:jc w:val="both"/>
        <w:rPr>
          <w:rFonts w:ascii="Calibri" w:eastAsia="Calibri" w:hAnsi="Calibri"/>
          <w:rtl/>
        </w:rPr>
      </w:pPr>
    </w:p>
    <w:p w14:paraId="19D4D753" w14:textId="77777777" w:rsidR="00AA4D92" w:rsidRPr="00BA5951" w:rsidRDefault="00AA4D92" w:rsidP="00AA4D92">
      <w:pPr>
        <w:spacing w:line="360" w:lineRule="auto"/>
        <w:ind w:left="720"/>
        <w:contextualSpacing/>
        <w:jc w:val="both"/>
        <w:rPr>
          <w:rFonts w:ascii="Calibri" w:eastAsia="Calibri" w:hAnsi="Calibri"/>
          <w:rtl/>
        </w:rPr>
      </w:pPr>
      <w:r w:rsidRPr="00BA5951">
        <w:rPr>
          <w:rFonts w:ascii="Calibri" w:eastAsia="Calibri" w:hAnsi="Calibri" w:hint="cs"/>
          <w:rtl/>
        </w:rPr>
        <w:t>ביום 24.1.21 בשעה 17:03, הציע נאשם 1 לנאשם 4, למכור לו רובה ציד וציין את גובה התמורה המבוקשת (להלן: "רובה הציד"). בתגובה, ביקש נאשם 4 לברר האם מדובר בנשק חדש, ונאשם 1 השיב בחיוב. בנוסף, דרש נאשם 4 מנאשם 1 לוודא שהנשק תקין, וביקש לקבל תמונה של הנשק. בהמשך אותו היום, בשעה 17:34, הורה נאשם 1 לנאשם 4 להתקין בטלפון הנייד שלו את יישומון הטלגרם. בשעת ערב, משהנאשם 4 ביצע זאת, שלח לו נאשם 1 ביישומון הטלגרם תמונה של רובה הציד, ובה נראה המספר הסידורי של הרובה טבוע על גבי הנשק. בתגובה לכך כתב לו הנאשם 4 "תביא אותו"</w:t>
      </w:r>
    </w:p>
    <w:p w14:paraId="1555484C" w14:textId="77777777" w:rsidR="00AA4D92" w:rsidRPr="00BA5951" w:rsidRDefault="00AA4D92" w:rsidP="00AA4D92">
      <w:pPr>
        <w:spacing w:line="360" w:lineRule="auto"/>
        <w:ind w:left="720"/>
        <w:contextualSpacing/>
        <w:jc w:val="both"/>
        <w:rPr>
          <w:rFonts w:ascii="Calibri" w:eastAsia="Calibri" w:hAnsi="Calibri"/>
          <w:rtl/>
        </w:rPr>
      </w:pPr>
    </w:p>
    <w:p w14:paraId="03C3477B" w14:textId="77777777" w:rsidR="00AA4D92" w:rsidRPr="00BA5951" w:rsidRDefault="00AA4D92" w:rsidP="00AA4D92">
      <w:pPr>
        <w:spacing w:line="360" w:lineRule="auto"/>
        <w:ind w:left="720"/>
        <w:contextualSpacing/>
        <w:jc w:val="both"/>
        <w:rPr>
          <w:rFonts w:ascii="Calibri" w:eastAsia="Calibri" w:hAnsi="Calibri"/>
          <w:rtl/>
        </w:rPr>
      </w:pPr>
      <w:r w:rsidRPr="00BA5951">
        <w:rPr>
          <w:rFonts w:ascii="Calibri" w:eastAsia="Calibri" w:hAnsi="Calibri" w:hint="cs"/>
          <w:rtl/>
        </w:rPr>
        <w:t>למחרת, ב- 25.1.21 בשעה 19:37 אישר נאשם 4, כי יש בידיו את התמורה בגין העסקה. במסגרת השיחה שלח נאשם 1 הודעה קולית לנאשם 4 ובה אמר לו כי למחרת יספק לו נשק שהנאשם 4 יוכל להרוויח ממנו. כמה דקות לאחר מכן, בשעה 19:46 שלח נאשם 1 לנאשם 4 הודעה קולית נוספת בה אמר לו שיספק לו שני נשקים שיוכל למכרם ברווח.</w:t>
      </w:r>
    </w:p>
    <w:p w14:paraId="7599F22D" w14:textId="77777777" w:rsidR="00AA4D92" w:rsidRPr="00BA5951" w:rsidRDefault="00AA4D92" w:rsidP="00AA4D92">
      <w:pPr>
        <w:spacing w:line="360" w:lineRule="auto"/>
        <w:ind w:left="720"/>
        <w:contextualSpacing/>
        <w:jc w:val="both"/>
        <w:rPr>
          <w:rFonts w:ascii="Calibri" w:eastAsia="Calibri" w:hAnsi="Calibri"/>
          <w:rtl/>
        </w:rPr>
      </w:pPr>
      <w:r w:rsidRPr="00BA5951">
        <w:rPr>
          <w:rFonts w:ascii="Calibri" w:eastAsia="Calibri" w:hAnsi="Calibri" w:hint="cs"/>
          <w:rtl/>
        </w:rPr>
        <w:t xml:space="preserve"> </w:t>
      </w:r>
    </w:p>
    <w:p w14:paraId="2DECA6E7" w14:textId="77777777" w:rsidR="00AA4D92" w:rsidRPr="00BA5951" w:rsidRDefault="00AA4D92" w:rsidP="00AA4D92">
      <w:pPr>
        <w:spacing w:line="360" w:lineRule="auto"/>
        <w:ind w:left="720"/>
        <w:contextualSpacing/>
        <w:jc w:val="both"/>
        <w:rPr>
          <w:rFonts w:ascii="Calibri" w:eastAsia="Calibri" w:hAnsi="Calibri"/>
          <w:rtl/>
        </w:rPr>
      </w:pPr>
      <w:r w:rsidRPr="00BA5951">
        <w:rPr>
          <w:rFonts w:ascii="Calibri" w:eastAsia="Calibri" w:hAnsi="Calibri" w:hint="cs"/>
          <w:rtl/>
        </w:rPr>
        <w:t xml:space="preserve">למחרת, ביום 26.1.21, בשעה 14:37 לערך, במסגרת העסקה ולצורך הוצאתה אל הפועל, נסע נאשם 1 יחד עם הנאשמים 2 ו- 3 מג'דיידה מכר אל שטחי הרשות הפלסטינאית. נאשם 1 ו- 2 נסעו ברכב </w:t>
      </w:r>
      <w:r w:rsidRPr="00BA5951">
        <w:rPr>
          <w:rFonts w:ascii="Calibri" w:eastAsia="Calibri" w:hAnsi="Calibri"/>
        </w:rPr>
        <w:t>B.M.W</w:t>
      </w:r>
      <w:r w:rsidRPr="00BA5951">
        <w:rPr>
          <w:rFonts w:ascii="Calibri" w:eastAsia="Calibri" w:hAnsi="Calibri" w:hint="cs"/>
          <w:rtl/>
        </w:rPr>
        <w:t xml:space="preserve"> שבבעלות נאשם 1,  ואילו נאשם 3 נסע ברכב פורד שבבעלות בן דודו של נאשם 1. </w:t>
      </w:r>
    </w:p>
    <w:p w14:paraId="6ACBBDD0" w14:textId="77777777" w:rsidR="00AA4D92" w:rsidRPr="00BA5951" w:rsidRDefault="00AA4D92" w:rsidP="00AA4D92">
      <w:pPr>
        <w:spacing w:line="360" w:lineRule="auto"/>
        <w:ind w:left="720"/>
        <w:contextualSpacing/>
        <w:jc w:val="both"/>
        <w:rPr>
          <w:rFonts w:ascii="Calibri" w:eastAsia="Calibri" w:hAnsi="Calibri"/>
          <w:rtl/>
        </w:rPr>
      </w:pPr>
      <w:r w:rsidRPr="00BA5951">
        <w:rPr>
          <w:rFonts w:ascii="Calibri" w:eastAsia="Calibri" w:hAnsi="Calibri" w:hint="cs"/>
          <w:rtl/>
        </w:rPr>
        <w:t xml:space="preserve">הנאשמים 1-3 נסעו ברכבים האמורים אחד אחר השני עד הגיעם בשעה 16:21 למחסום תאנים, שם חצו את המחסום לתוך שטחי הרשות. </w:t>
      </w:r>
    </w:p>
    <w:p w14:paraId="253DC2DC" w14:textId="77777777" w:rsidR="00AA4D92" w:rsidRPr="00BA5951" w:rsidRDefault="00AA4D92" w:rsidP="00AA4D92">
      <w:pPr>
        <w:spacing w:line="360" w:lineRule="auto"/>
        <w:ind w:left="720"/>
        <w:contextualSpacing/>
        <w:jc w:val="both"/>
        <w:rPr>
          <w:rFonts w:ascii="Calibri" w:eastAsia="Calibri" w:hAnsi="Calibri"/>
          <w:rtl/>
        </w:rPr>
      </w:pPr>
    </w:p>
    <w:p w14:paraId="4D6933C9" w14:textId="77777777" w:rsidR="00AA4D92" w:rsidRPr="00BA5951" w:rsidRDefault="00AA4D92" w:rsidP="00AA4D92">
      <w:pPr>
        <w:spacing w:line="360" w:lineRule="auto"/>
        <w:ind w:left="720"/>
        <w:contextualSpacing/>
        <w:jc w:val="both"/>
        <w:rPr>
          <w:rFonts w:ascii="Calibri" w:eastAsia="Calibri" w:hAnsi="Calibri"/>
          <w:rtl/>
        </w:rPr>
      </w:pPr>
      <w:r w:rsidRPr="00BA5951">
        <w:rPr>
          <w:rFonts w:ascii="Calibri" w:eastAsia="Calibri" w:hAnsi="Calibri" w:hint="cs"/>
          <w:rtl/>
        </w:rPr>
        <w:t xml:space="preserve">בהמשך אותו היום, במועד שאינו ידוע, התפצלו הנאשמים, כך שנאשם 2 הצטרף לנאשם 3 ברכב הפורד והשניים נסעו לטול כרם, בעוד נאשם 1 נסע ברכבו לשכם. בהמשך, החליפו הנאשמים כלי רכב, כך שנאשמים  2 ו- 3 נהגו ברכב ה- </w:t>
      </w:r>
      <w:r w:rsidRPr="00BA5951">
        <w:rPr>
          <w:rFonts w:ascii="Calibri" w:eastAsia="Calibri" w:hAnsi="Calibri"/>
        </w:rPr>
        <w:t>B.M.W</w:t>
      </w:r>
      <w:r w:rsidRPr="00BA5951">
        <w:rPr>
          <w:rFonts w:ascii="Calibri" w:eastAsia="Calibri" w:hAnsi="Calibri" w:hint="cs"/>
          <w:rtl/>
        </w:rPr>
        <w:t xml:space="preserve">, ונאשם 1 נהג ברכב הפורד. </w:t>
      </w:r>
    </w:p>
    <w:p w14:paraId="57F472E5" w14:textId="77777777" w:rsidR="00AA4D92" w:rsidRPr="00BA5951" w:rsidRDefault="00AA4D92" w:rsidP="00AA4D92">
      <w:pPr>
        <w:spacing w:line="360" w:lineRule="auto"/>
        <w:ind w:left="720"/>
        <w:contextualSpacing/>
        <w:jc w:val="both"/>
        <w:rPr>
          <w:rFonts w:ascii="Calibri" w:eastAsia="Calibri" w:hAnsi="Calibri"/>
          <w:rtl/>
        </w:rPr>
      </w:pPr>
      <w:r w:rsidRPr="00BA5951">
        <w:rPr>
          <w:rFonts w:ascii="Calibri" w:eastAsia="Calibri" w:hAnsi="Calibri" w:hint="cs"/>
          <w:rtl/>
        </w:rPr>
        <w:t xml:space="preserve">בשלב מסוים, רובה הציד הועבר לרכב הפורד בו נהג נאשם 1, כאשר גוף הרובה מופרד מהקנה ומחלקים נוספים השייכים לו, וכן אקדח חצי אוטומטי מסוג ברטה. </w:t>
      </w:r>
    </w:p>
    <w:p w14:paraId="57E8A2F7" w14:textId="77777777" w:rsidR="00AA4D92" w:rsidRPr="00BA5951" w:rsidRDefault="00AA4D92" w:rsidP="00AA4D92">
      <w:pPr>
        <w:spacing w:line="360" w:lineRule="auto"/>
        <w:ind w:left="720"/>
        <w:contextualSpacing/>
        <w:jc w:val="both"/>
        <w:rPr>
          <w:rFonts w:ascii="Calibri" w:eastAsia="Calibri" w:hAnsi="Calibri"/>
          <w:rtl/>
        </w:rPr>
      </w:pPr>
      <w:r w:rsidRPr="00BA5951">
        <w:rPr>
          <w:rFonts w:ascii="Calibri" w:eastAsia="Calibri" w:hAnsi="Calibri" w:hint="cs"/>
          <w:rtl/>
        </w:rPr>
        <w:t xml:space="preserve">בהמשך, ובעודם בשטחי הרשות, חברו נאשמים 2 ו- 3 לנאשם 1, תוך שהם מודעים רק לרובה הציד שברשותו, ובמטרה לסייע לו להעביר את רובה הציד לשטחי ישראל, נסעו יחד איתו במטרה להקל עליו את המעבר לישראל עם רובה הציד. </w:t>
      </w:r>
    </w:p>
    <w:p w14:paraId="12C0CD87" w14:textId="77777777" w:rsidR="00AA4D92" w:rsidRPr="00BA5951" w:rsidRDefault="00AA4D92" w:rsidP="00AA4D92">
      <w:pPr>
        <w:spacing w:line="360" w:lineRule="auto"/>
        <w:ind w:left="720"/>
        <w:contextualSpacing/>
        <w:jc w:val="both"/>
        <w:rPr>
          <w:rFonts w:ascii="Calibri" w:eastAsia="Calibri" w:hAnsi="Calibri"/>
          <w:rtl/>
        </w:rPr>
      </w:pPr>
      <w:r w:rsidRPr="00BA5951">
        <w:rPr>
          <w:rFonts w:ascii="Calibri" w:eastAsia="Calibri" w:hAnsi="Calibri" w:hint="cs"/>
          <w:rtl/>
        </w:rPr>
        <w:t xml:space="preserve">עוד בהמשך, בשעה 20:27 חצו נאשמים 2 ו- 3 את מחסום חוצה שומרון ברכב ה- </w:t>
      </w:r>
      <w:r w:rsidRPr="00BA5951">
        <w:rPr>
          <w:rFonts w:ascii="Calibri" w:eastAsia="Calibri" w:hAnsi="Calibri"/>
        </w:rPr>
        <w:t>B.M.W</w:t>
      </w:r>
      <w:r w:rsidRPr="00BA5951">
        <w:rPr>
          <w:rFonts w:ascii="Calibri" w:eastAsia="Calibri" w:hAnsi="Calibri" w:hint="cs"/>
          <w:rtl/>
        </w:rPr>
        <w:t xml:space="preserve">, ובשעה 20:31 חצה נאשם 1 את מחסום שילה-רנתיס ברכב הפורד, זאת כשהנאשם 1 נושא ברכב את רובה הציד והאקדח. </w:t>
      </w:r>
    </w:p>
    <w:p w14:paraId="099967D2" w14:textId="77777777" w:rsidR="00AA4D92" w:rsidRPr="00BA5951" w:rsidRDefault="00AA4D92" w:rsidP="00AA4D92">
      <w:pPr>
        <w:spacing w:line="360" w:lineRule="auto"/>
        <w:ind w:left="720"/>
        <w:contextualSpacing/>
        <w:jc w:val="both"/>
        <w:rPr>
          <w:rFonts w:ascii="Calibri" w:eastAsia="Calibri" w:hAnsi="Calibri"/>
          <w:rtl/>
        </w:rPr>
      </w:pPr>
      <w:r w:rsidRPr="00BA5951">
        <w:rPr>
          <w:rFonts w:ascii="Calibri" w:eastAsia="Calibri" w:hAnsi="Calibri" w:hint="cs"/>
          <w:rtl/>
        </w:rPr>
        <w:t xml:space="preserve"> </w:t>
      </w:r>
    </w:p>
    <w:p w14:paraId="5D30AA78" w14:textId="77777777" w:rsidR="00AA4D92" w:rsidRPr="00BA5951" w:rsidRDefault="00AA4D92" w:rsidP="00AA4D92">
      <w:pPr>
        <w:spacing w:line="360" w:lineRule="auto"/>
        <w:ind w:left="720"/>
        <w:contextualSpacing/>
        <w:jc w:val="both"/>
        <w:rPr>
          <w:rFonts w:ascii="Calibri" w:eastAsia="Calibri" w:hAnsi="Calibri"/>
          <w:rtl/>
        </w:rPr>
      </w:pPr>
      <w:r w:rsidRPr="00BA5951">
        <w:rPr>
          <w:rFonts w:ascii="Calibri" w:eastAsia="Calibri" w:hAnsi="Calibri" w:hint="cs"/>
          <w:u w:val="single"/>
          <w:rtl/>
        </w:rPr>
        <w:t>מהאישום השני</w:t>
      </w:r>
      <w:r w:rsidRPr="00BA5951">
        <w:rPr>
          <w:rFonts w:ascii="Calibri" w:eastAsia="Calibri" w:hAnsi="Calibri" w:hint="cs"/>
          <w:rtl/>
        </w:rPr>
        <w:t>, המיוחס לנאשמים 1 ו- 3 עולה, כי ביום 24.1.21 בשעה 16:18, ביישוב ג'דיידה-מכר, החזיקו נאשמים 1 ו- 3 רובה מסוג</w:t>
      </w:r>
      <w:r w:rsidRPr="00BA5951">
        <w:rPr>
          <w:rFonts w:ascii="Calibri" w:eastAsia="Calibri" w:hAnsi="Calibri"/>
        </w:rPr>
        <w:t xml:space="preserve"> </w:t>
      </w:r>
      <w:r w:rsidRPr="00BA5951">
        <w:rPr>
          <w:rFonts w:ascii="Calibri" w:eastAsia="Calibri" w:hAnsi="Calibri" w:hint="cs"/>
          <w:rtl/>
        </w:rPr>
        <w:t xml:space="preserve"> </w:t>
      </w:r>
      <w:r w:rsidRPr="00BA5951">
        <w:rPr>
          <w:rFonts w:ascii="Calibri" w:eastAsia="Calibri" w:hAnsi="Calibri"/>
        </w:rPr>
        <w:t>Carbin M-14</w:t>
      </w:r>
      <w:r w:rsidRPr="00BA5951">
        <w:rPr>
          <w:rFonts w:ascii="Calibri" w:eastAsia="Calibri" w:hAnsi="Calibri" w:hint="cs"/>
          <w:rtl/>
        </w:rPr>
        <w:t xml:space="preserve">, טעון במחסנית ובתוכה תחמושת. </w:t>
      </w:r>
    </w:p>
    <w:p w14:paraId="2F08ACDD" w14:textId="77777777" w:rsidR="00AA4D92" w:rsidRPr="00BA5951" w:rsidRDefault="00AA4D92" w:rsidP="00AA4D92">
      <w:pPr>
        <w:spacing w:line="360" w:lineRule="auto"/>
        <w:ind w:left="720"/>
        <w:contextualSpacing/>
        <w:jc w:val="both"/>
        <w:rPr>
          <w:rFonts w:ascii="Calibri" w:eastAsia="Calibri" w:hAnsi="Calibri"/>
          <w:rtl/>
        </w:rPr>
      </w:pPr>
    </w:p>
    <w:p w14:paraId="7ADC6A01" w14:textId="77777777" w:rsidR="00AA4D92" w:rsidRPr="00BA5951" w:rsidRDefault="00AA4D92" w:rsidP="00AA4D92">
      <w:pPr>
        <w:spacing w:line="360" w:lineRule="auto"/>
        <w:ind w:left="720"/>
        <w:contextualSpacing/>
        <w:jc w:val="both"/>
        <w:rPr>
          <w:rFonts w:ascii="Calibri" w:eastAsia="Calibri" w:hAnsi="Calibri"/>
          <w:rtl/>
        </w:rPr>
      </w:pPr>
      <w:r w:rsidRPr="00BA5951">
        <w:rPr>
          <w:rFonts w:ascii="Calibri" w:eastAsia="Calibri" w:hAnsi="Calibri" w:hint="cs"/>
          <w:u w:val="single"/>
          <w:rtl/>
        </w:rPr>
        <w:t>מהאישום השלישי</w:t>
      </w:r>
      <w:r w:rsidRPr="00BA5951">
        <w:rPr>
          <w:rFonts w:ascii="Calibri" w:eastAsia="Calibri" w:hAnsi="Calibri" w:hint="cs"/>
          <w:rtl/>
        </w:rPr>
        <w:t xml:space="preserve">, המיוחס לנאשמים 1, 2 ו- 3 עולה, כי ביום 9.9.20, קשרו הנאשמים  קשר לביצוע עסקה אחרת בחלקי נשק, ובמסגרת הקשר התכתבו ושוחחו הנאשמים זה עם זה, במטרה לרכוש חלקי נשק שונים שכללו: כוונת נשק, ידית אחיזה והסתערות לנשק, וכן מתפסים לנשק. </w:t>
      </w:r>
    </w:p>
    <w:p w14:paraId="74DBB2C1" w14:textId="77777777" w:rsidR="00AA4D92" w:rsidRPr="00BA5951" w:rsidRDefault="00AA4D92" w:rsidP="00AA4D92">
      <w:pPr>
        <w:spacing w:line="360" w:lineRule="auto"/>
        <w:ind w:left="720"/>
        <w:contextualSpacing/>
        <w:jc w:val="both"/>
        <w:rPr>
          <w:rFonts w:ascii="Calibri" w:eastAsia="Calibri" w:hAnsi="Calibri"/>
          <w:u w:val="single"/>
          <w:rtl/>
        </w:rPr>
      </w:pPr>
    </w:p>
    <w:p w14:paraId="2B6582D6" w14:textId="77777777" w:rsidR="00AA4D92" w:rsidRPr="00BA5951" w:rsidRDefault="00AA4D92" w:rsidP="00AA4D92">
      <w:pPr>
        <w:spacing w:line="360" w:lineRule="auto"/>
        <w:ind w:left="720"/>
        <w:contextualSpacing/>
        <w:jc w:val="both"/>
        <w:rPr>
          <w:rFonts w:ascii="Calibri" w:eastAsia="Calibri" w:hAnsi="Calibri"/>
          <w:rtl/>
        </w:rPr>
      </w:pPr>
      <w:r w:rsidRPr="00BA5951">
        <w:rPr>
          <w:rFonts w:ascii="Calibri" w:eastAsia="Calibri" w:hAnsi="Calibri" w:hint="cs"/>
          <w:u w:val="single"/>
          <w:rtl/>
        </w:rPr>
        <w:t>מהאישום הרביעי</w:t>
      </w:r>
      <w:r w:rsidRPr="00BA5951">
        <w:rPr>
          <w:rFonts w:ascii="Calibri" w:eastAsia="Calibri" w:hAnsi="Calibri" w:hint="cs"/>
          <w:rtl/>
        </w:rPr>
        <w:t xml:space="preserve">, המיוחס לנאשמים 1 ו- 3 עולה, כי ביום 22.9.20, בשעה 18:36 לערך, במקום שאינו ידוע במדויק, רכשו הנאשמים 1 ו- 3 מאחר, שזהותו אינה ידועה, שני אקדחים מסוג בלתי ידוע, ושילמו תמורתם 35 אלף ₪, והכל במטרה למכרם במחיר גבוה יותר מהתמורה ששילמו. </w:t>
      </w:r>
    </w:p>
    <w:p w14:paraId="705914CB" w14:textId="77777777" w:rsidR="00AA4D92" w:rsidRPr="00BA5951" w:rsidRDefault="00AA4D92" w:rsidP="00AA4D92">
      <w:pPr>
        <w:spacing w:line="360" w:lineRule="auto"/>
        <w:ind w:left="720"/>
        <w:contextualSpacing/>
        <w:jc w:val="both"/>
        <w:rPr>
          <w:rFonts w:ascii="Calibri" w:eastAsia="Calibri" w:hAnsi="Calibri"/>
          <w:rtl/>
        </w:rPr>
      </w:pPr>
      <w:r w:rsidRPr="00BA5951">
        <w:rPr>
          <w:rFonts w:ascii="Calibri" w:eastAsia="Calibri" w:hAnsi="Calibri" w:hint="cs"/>
          <w:rtl/>
        </w:rPr>
        <w:t xml:space="preserve"> </w:t>
      </w:r>
    </w:p>
    <w:p w14:paraId="247FB3C6" w14:textId="77777777" w:rsidR="00AA4D92" w:rsidRPr="00BA5951" w:rsidRDefault="00AA4D92" w:rsidP="00AA4D92">
      <w:pPr>
        <w:numPr>
          <w:ilvl w:val="0"/>
          <w:numId w:val="1"/>
        </w:numPr>
        <w:spacing w:line="360" w:lineRule="auto"/>
        <w:contextualSpacing/>
        <w:jc w:val="both"/>
        <w:rPr>
          <w:rFonts w:ascii="Calibri" w:eastAsia="Calibri" w:hAnsi="Calibri"/>
          <w:rtl/>
        </w:rPr>
      </w:pPr>
      <w:r w:rsidRPr="00BA5951">
        <w:rPr>
          <w:rFonts w:ascii="Calibri" w:eastAsia="Calibri" w:hAnsi="Calibri" w:hint="cs"/>
          <w:rtl/>
        </w:rPr>
        <w:t xml:space="preserve">אציין, כי בתחילה עניינו של נאשם 4 הופרד לאחר שהודה במיוחס לו, נשמעו טיעונים לעונש ואף נקבע מועד לשימוע גזר-דין; בהמשך, משגובש הסדר דיוני עם שאר הנאשמים, נשמעו טיעונים לעונש בנוכחות נאשם 4 ובא-כוחו וניתנה לו הזדמנות להשלים דבריו, ולבקשת ב"כ הצדדים נקבע מועד לשימוע גזר-הדין במאוחד לגבי כולם. </w:t>
      </w:r>
    </w:p>
    <w:p w14:paraId="52206881" w14:textId="77777777" w:rsidR="00AA4D92" w:rsidRPr="00BA5951" w:rsidRDefault="00AA4D92" w:rsidP="00AA4D92">
      <w:pPr>
        <w:spacing w:line="360" w:lineRule="auto"/>
        <w:jc w:val="both"/>
        <w:rPr>
          <w:rFonts w:ascii="Calibri" w:eastAsia="Calibri" w:hAnsi="Calibri"/>
          <w:rtl/>
        </w:rPr>
      </w:pPr>
    </w:p>
    <w:p w14:paraId="4055F1D5" w14:textId="77777777" w:rsidR="00AA4D92" w:rsidRPr="00BA5951" w:rsidRDefault="00AA4D92" w:rsidP="00AA4D92">
      <w:pPr>
        <w:spacing w:line="360" w:lineRule="auto"/>
        <w:ind w:left="720" w:hanging="720"/>
        <w:jc w:val="both"/>
        <w:rPr>
          <w:rFonts w:ascii="David" w:hAnsi="David"/>
          <w:rtl/>
        </w:rPr>
      </w:pPr>
      <w:r w:rsidRPr="00BA5951">
        <w:rPr>
          <w:rFonts w:ascii="David" w:hAnsi="David" w:hint="cs"/>
          <w:b/>
          <w:bCs/>
          <w:u w:val="single"/>
          <w:rtl/>
        </w:rPr>
        <w:t>ראיות לעונש</w:t>
      </w:r>
    </w:p>
    <w:p w14:paraId="3C2B5178" w14:textId="77777777" w:rsidR="00AA4D92" w:rsidRPr="00BA5951" w:rsidRDefault="00AA4D92" w:rsidP="00AA4D92">
      <w:pPr>
        <w:spacing w:line="360" w:lineRule="auto"/>
        <w:ind w:left="720" w:hanging="720"/>
        <w:jc w:val="both"/>
        <w:rPr>
          <w:rFonts w:ascii="David" w:hAnsi="David"/>
          <w:u w:val="single"/>
          <w:rtl/>
        </w:rPr>
      </w:pPr>
    </w:p>
    <w:p w14:paraId="64E1414F" w14:textId="77777777" w:rsidR="00AA4D92" w:rsidRPr="00BA5951" w:rsidRDefault="00AA4D92" w:rsidP="00AA4D92">
      <w:pPr>
        <w:spacing w:line="360" w:lineRule="auto"/>
        <w:ind w:left="720" w:hanging="720"/>
        <w:jc w:val="both"/>
        <w:rPr>
          <w:rFonts w:ascii="David" w:hAnsi="David"/>
          <w:u w:val="single"/>
          <w:rtl/>
        </w:rPr>
      </w:pPr>
      <w:r w:rsidRPr="00BA5951">
        <w:rPr>
          <w:rFonts w:ascii="David" w:hAnsi="David" w:hint="cs"/>
          <w:u w:val="single"/>
          <w:rtl/>
        </w:rPr>
        <w:t>ראיות מטעם התביעה</w:t>
      </w:r>
    </w:p>
    <w:p w14:paraId="30934FF0" w14:textId="77777777" w:rsidR="00AA4D92" w:rsidRPr="00BA5951" w:rsidRDefault="00AA4D92" w:rsidP="00AA4D92">
      <w:pPr>
        <w:spacing w:line="360" w:lineRule="auto"/>
        <w:ind w:left="720" w:hanging="720"/>
        <w:jc w:val="both"/>
        <w:rPr>
          <w:rFonts w:ascii="David" w:hAnsi="David"/>
          <w:u w:val="single"/>
          <w:rtl/>
        </w:rPr>
      </w:pPr>
    </w:p>
    <w:p w14:paraId="1E6E74AB" w14:textId="77777777" w:rsidR="00AA4D92" w:rsidRPr="00BA5951" w:rsidRDefault="00AA4D92" w:rsidP="00AA4D92">
      <w:pPr>
        <w:numPr>
          <w:ilvl w:val="0"/>
          <w:numId w:val="1"/>
        </w:numPr>
        <w:spacing w:line="360" w:lineRule="auto"/>
        <w:contextualSpacing/>
        <w:jc w:val="both"/>
        <w:rPr>
          <w:rFonts w:ascii="David" w:hAnsi="David"/>
          <w:rtl/>
        </w:rPr>
      </w:pPr>
      <w:r w:rsidRPr="00BA5951">
        <w:rPr>
          <w:rFonts w:ascii="David" w:hAnsi="David" w:hint="cs"/>
          <w:rtl/>
        </w:rPr>
        <w:t xml:space="preserve">הוגש </w:t>
      </w:r>
      <w:r w:rsidRPr="00BA5951">
        <w:rPr>
          <w:rFonts w:ascii="Calibri" w:eastAsia="Calibri" w:hAnsi="Calibri" w:hint="cs"/>
          <w:u w:val="single"/>
          <w:rtl/>
        </w:rPr>
        <w:t>גיליון</w:t>
      </w:r>
      <w:r w:rsidRPr="00BA5951">
        <w:rPr>
          <w:rFonts w:ascii="David" w:hAnsi="David" w:hint="cs"/>
          <w:u w:val="single"/>
          <w:rtl/>
        </w:rPr>
        <w:t xml:space="preserve"> רישום פלילי</w:t>
      </w:r>
      <w:r w:rsidRPr="00BA5951">
        <w:rPr>
          <w:rFonts w:ascii="David" w:hAnsi="David" w:hint="cs"/>
          <w:rtl/>
        </w:rPr>
        <w:t xml:space="preserve"> של </w:t>
      </w:r>
      <w:r w:rsidRPr="00BA5951">
        <w:rPr>
          <w:rFonts w:ascii="David" w:hAnsi="David" w:hint="cs"/>
          <w:u w:val="single"/>
          <w:rtl/>
        </w:rPr>
        <w:t xml:space="preserve">נאשם 2 </w:t>
      </w:r>
      <w:r w:rsidRPr="00BA5951">
        <w:rPr>
          <w:rFonts w:ascii="David" w:hAnsi="David" w:hint="cs"/>
          <w:rtl/>
        </w:rPr>
        <w:t xml:space="preserve">(ע/2), ממנו עולה כי לחובתו ארבע הרשעות: </w:t>
      </w:r>
    </w:p>
    <w:p w14:paraId="0E7E8CBB"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הרשעה משנת 2020 מבית-המשפט המחוזי בחיפה, בגין עבירות של רכישת/החזקת נשק והוטל עליו עונש של 7 חודשי מאסר בפועל וכן מאסר על תנאי של 7 חודשים, שהפעלתו מתבקשת עתה (גזר-הדין הוגש וסומן ע/2א');</w:t>
      </w:r>
    </w:p>
    <w:p w14:paraId="27E995C9"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הרשעה משנת 2018 מבית-משפט השלום באילת בגין עבירה של תקיפת סתם - בן זוג, והושת עליו עונש מאסר של 3 חודשים;</w:t>
      </w:r>
    </w:p>
    <w:p w14:paraId="47240E2B"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 xml:space="preserve">הרשעה משנת 2016 מבית-משפט השלום בקריות בגין עבירות אלימות של פציעה כשהעבריין מזויין, פציעה על ידי שניים או יותר, ותקיפה סתם על ידי שניים או יותר, והושת עליו עונש מאסר של 9 חודשים; </w:t>
      </w:r>
    </w:p>
    <w:p w14:paraId="4D4072C5"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הרשעה משנת 2011 מבית המשפט המחוזי בנצרת, בגין ביצוע עבירות של סיוע להחזקת/שימוש בסמים שלא לצריכה עצמית, קשירת קשר לעשות פשע, ושיבוש מהלכי משפט, והושת עליו עונש מאסר של 15 חודשים.</w:t>
      </w:r>
    </w:p>
    <w:p w14:paraId="3C7FBFAA" w14:textId="77777777" w:rsidR="00AA4D92" w:rsidRPr="00BA5951" w:rsidRDefault="00AA4D92" w:rsidP="00AA4D92">
      <w:pPr>
        <w:spacing w:line="360" w:lineRule="auto"/>
        <w:jc w:val="both"/>
        <w:rPr>
          <w:rFonts w:ascii="David" w:hAnsi="David"/>
          <w:rtl/>
        </w:rPr>
      </w:pPr>
    </w:p>
    <w:p w14:paraId="0BE8BD45" w14:textId="77777777" w:rsidR="00AA4D92" w:rsidRPr="00BA5951" w:rsidRDefault="00AA4D92" w:rsidP="00AA4D92">
      <w:pPr>
        <w:spacing w:line="360" w:lineRule="auto"/>
        <w:ind w:left="720" w:hanging="720"/>
        <w:jc w:val="both"/>
        <w:rPr>
          <w:rFonts w:ascii="David" w:hAnsi="David"/>
          <w:u w:val="single"/>
          <w:rtl/>
        </w:rPr>
      </w:pPr>
      <w:r w:rsidRPr="00BA5951">
        <w:rPr>
          <w:rFonts w:ascii="David" w:hAnsi="David" w:hint="cs"/>
          <w:u w:val="single"/>
          <w:rtl/>
        </w:rPr>
        <w:t>ראיות מטעם ההגנה</w:t>
      </w:r>
    </w:p>
    <w:p w14:paraId="7AB1B1BE" w14:textId="77777777" w:rsidR="00AA4D92" w:rsidRPr="00BA5951" w:rsidRDefault="00AA4D92" w:rsidP="00AA4D92">
      <w:pPr>
        <w:spacing w:line="360" w:lineRule="auto"/>
        <w:ind w:left="720" w:hanging="720"/>
        <w:jc w:val="both"/>
        <w:rPr>
          <w:rFonts w:ascii="David" w:hAnsi="David"/>
          <w:u w:val="single"/>
          <w:rtl/>
        </w:rPr>
      </w:pPr>
    </w:p>
    <w:p w14:paraId="0DFCB046" w14:textId="77777777" w:rsidR="00AA4D92" w:rsidRPr="00BA5951" w:rsidRDefault="00AA4D92" w:rsidP="00AA4D92">
      <w:pPr>
        <w:numPr>
          <w:ilvl w:val="0"/>
          <w:numId w:val="1"/>
        </w:numPr>
        <w:spacing w:line="360" w:lineRule="auto"/>
        <w:contextualSpacing/>
        <w:jc w:val="both"/>
        <w:rPr>
          <w:rFonts w:ascii="David" w:hAnsi="David"/>
          <w:rtl/>
        </w:rPr>
      </w:pPr>
      <w:r w:rsidRPr="00BA5951">
        <w:rPr>
          <w:rFonts w:ascii="Calibri" w:eastAsia="Calibri" w:hAnsi="Calibri" w:hint="cs"/>
          <w:rtl/>
        </w:rPr>
        <w:t>בעניינו</w:t>
      </w:r>
      <w:r w:rsidRPr="00BA5951">
        <w:rPr>
          <w:rFonts w:ascii="Calibri" w:hAnsi="Calibri" w:hint="cs"/>
          <w:rtl/>
        </w:rPr>
        <w:t xml:space="preserve"> של </w:t>
      </w:r>
      <w:r w:rsidRPr="00BA5951">
        <w:rPr>
          <w:rFonts w:ascii="Calibri" w:hAnsi="Calibri" w:hint="cs"/>
          <w:u w:val="single"/>
          <w:rtl/>
        </w:rPr>
        <w:t>נאשם 4</w:t>
      </w:r>
      <w:r w:rsidRPr="00BA5951">
        <w:rPr>
          <w:rFonts w:ascii="Calibri" w:hAnsi="Calibri" w:hint="cs"/>
          <w:rtl/>
        </w:rPr>
        <w:t xml:space="preserve">, הסניגור הגיש דו"ח סוציאלי מאת המועצה המקומית בה מתגורר על אודות  משפחת הנאשם (נ/4), ממנו עולה, שהוא נשוי ואב לשני ילדים, טרם מעצרו עבד כשכיר, וכיום המשפחה מתפרנסת מקצבת הכנסה. אשת הנאשם מתקשה בגידול הילדים לבדה ולשכת הרווחה ממליצה לסייע בכל דרך אפשרית. </w:t>
      </w:r>
    </w:p>
    <w:p w14:paraId="320336C9" w14:textId="77777777" w:rsidR="00AA4D92" w:rsidRPr="00BA5951" w:rsidRDefault="00AA4D92" w:rsidP="00AA4D92">
      <w:pPr>
        <w:spacing w:line="360" w:lineRule="auto"/>
        <w:ind w:left="720"/>
        <w:contextualSpacing/>
        <w:jc w:val="both"/>
        <w:rPr>
          <w:rFonts w:ascii="David" w:hAnsi="David"/>
          <w:rtl/>
        </w:rPr>
      </w:pPr>
    </w:p>
    <w:p w14:paraId="40599031" w14:textId="77777777" w:rsidR="00AA4D92" w:rsidRPr="00BA5951" w:rsidRDefault="00AA4D92" w:rsidP="00AA4D92">
      <w:pPr>
        <w:spacing w:line="360" w:lineRule="auto"/>
        <w:jc w:val="both"/>
        <w:rPr>
          <w:rFonts w:ascii="David" w:hAnsi="David"/>
          <w:rtl/>
        </w:rPr>
      </w:pPr>
      <w:r w:rsidRPr="00BA5951">
        <w:rPr>
          <w:rFonts w:ascii="David" w:hAnsi="David" w:hint="cs"/>
          <w:b/>
          <w:bCs/>
          <w:u w:val="single"/>
          <w:rtl/>
        </w:rPr>
        <w:t>טיעוני הצדדים</w:t>
      </w:r>
    </w:p>
    <w:p w14:paraId="46FD731B" w14:textId="77777777" w:rsidR="00AA4D92" w:rsidRPr="00BA5951" w:rsidRDefault="00AA4D92" w:rsidP="00AA4D92">
      <w:pPr>
        <w:spacing w:line="360" w:lineRule="auto"/>
        <w:jc w:val="both"/>
        <w:rPr>
          <w:rFonts w:ascii="David" w:hAnsi="David"/>
          <w:rtl/>
        </w:rPr>
      </w:pPr>
    </w:p>
    <w:p w14:paraId="04359B58" w14:textId="77777777" w:rsidR="00AA4D92" w:rsidRPr="00BA5951" w:rsidRDefault="00AA4D92" w:rsidP="00AA4D92">
      <w:pPr>
        <w:numPr>
          <w:ilvl w:val="0"/>
          <w:numId w:val="1"/>
        </w:numPr>
        <w:spacing w:line="360" w:lineRule="auto"/>
        <w:contextualSpacing/>
        <w:jc w:val="both"/>
        <w:rPr>
          <w:rFonts w:ascii="David" w:hAnsi="David"/>
          <w:rtl/>
        </w:rPr>
      </w:pPr>
      <w:r w:rsidRPr="00BA5951">
        <w:rPr>
          <w:rFonts w:ascii="David" w:hAnsi="David" w:hint="cs"/>
          <w:rtl/>
        </w:rPr>
        <w:t xml:space="preserve">ב"כ המאשימה הסביר, כי ברקע ההסדר הדיוני קשיים ראייתיים ותקלות בהליכי החסיון אליהם נחשפתי, הודאות הנאשמים, והעדר עבר פלילי של כל הנאשמים למעט נאשם 2, שלחובתו הרשעות רלבנטיות והוא אף נשא בעונשי מאסר. </w:t>
      </w:r>
    </w:p>
    <w:p w14:paraId="17952BDB" w14:textId="77777777" w:rsidR="00AA4D92" w:rsidRPr="00BA5951" w:rsidRDefault="00AA4D92" w:rsidP="00AA4D92">
      <w:pPr>
        <w:spacing w:line="360" w:lineRule="auto"/>
        <w:ind w:left="720"/>
        <w:contextualSpacing/>
        <w:jc w:val="both"/>
        <w:rPr>
          <w:rFonts w:ascii="David" w:hAnsi="David"/>
          <w:rtl/>
        </w:rPr>
      </w:pPr>
      <w:r w:rsidRPr="00BA5951">
        <w:rPr>
          <w:rFonts w:ascii="David" w:hAnsi="David" w:hint="cs"/>
          <w:rtl/>
        </w:rPr>
        <w:t xml:space="preserve">ב"כ המאשימה טען, כי העבירות בהן הורשעו הנאשמים חמורות ויוצרות סיכון ממשי לחיי אדם, היפנה לפסיקת בית-המשפט העליון הקוראת להטיל עונשי מאסר משמעותיים על מבצעי עבירות מסוג זה, וכן להנחיות פרקליט המדינה בנושא עבירות הנשק. הזכיר, כי לאחרונה גם נקבעו עונשי מינימום לעבירות נשק, וגם אם התיקון אינו חל על המקרה דנן, יש בכך כדי ללמד על חומרת התופעה והיקפיה.  </w:t>
      </w:r>
    </w:p>
    <w:p w14:paraId="50C01C77" w14:textId="77777777" w:rsidR="00AA4D92" w:rsidRPr="00BA5951" w:rsidRDefault="00AA4D92" w:rsidP="00AA4D92">
      <w:pPr>
        <w:spacing w:line="360" w:lineRule="auto"/>
        <w:ind w:left="720"/>
        <w:contextualSpacing/>
        <w:jc w:val="both"/>
        <w:rPr>
          <w:rFonts w:ascii="David" w:hAnsi="David"/>
          <w:rtl/>
        </w:rPr>
      </w:pPr>
      <w:r w:rsidRPr="00BA5951">
        <w:rPr>
          <w:rFonts w:ascii="David" w:hAnsi="David" w:hint="cs"/>
          <w:rtl/>
        </w:rPr>
        <w:t xml:space="preserve">ב"כ המאשימה עתר להשית על כל הנאשמים מאסרים בפועל בהתאם למתחמים שפירט, מאסר על תנאי, קנס משמעותי, חילוט רכבו של הנאשם 1 ופסילת רישיון. </w:t>
      </w:r>
    </w:p>
    <w:p w14:paraId="7510EC00" w14:textId="77777777" w:rsidR="00AA4D92" w:rsidRPr="00BA5951" w:rsidRDefault="00AA4D92" w:rsidP="00AA4D92">
      <w:pPr>
        <w:spacing w:line="360" w:lineRule="auto"/>
        <w:ind w:left="720"/>
        <w:contextualSpacing/>
        <w:jc w:val="both"/>
        <w:rPr>
          <w:rFonts w:ascii="David" w:hAnsi="David"/>
          <w:rtl/>
        </w:rPr>
      </w:pPr>
    </w:p>
    <w:p w14:paraId="253AB5FC" w14:textId="77777777" w:rsidR="00AA4D92" w:rsidRPr="00BA5951" w:rsidRDefault="00AA4D92" w:rsidP="00AA4D92">
      <w:pPr>
        <w:spacing w:line="360" w:lineRule="auto"/>
        <w:ind w:left="720"/>
        <w:contextualSpacing/>
        <w:jc w:val="both"/>
        <w:rPr>
          <w:rFonts w:ascii="David" w:hAnsi="David"/>
          <w:rtl/>
        </w:rPr>
      </w:pPr>
      <w:r w:rsidRPr="00BA5951">
        <w:rPr>
          <w:rFonts w:ascii="David" w:hAnsi="David" w:hint="cs"/>
          <w:rtl/>
        </w:rPr>
        <w:t xml:space="preserve">בעניינו של </w:t>
      </w:r>
      <w:r w:rsidRPr="00BA5951">
        <w:rPr>
          <w:rFonts w:ascii="David" w:hAnsi="David" w:hint="cs"/>
          <w:u w:val="single"/>
          <w:rtl/>
        </w:rPr>
        <w:t>נאשם 1</w:t>
      </w:r>
      <w:r w:rsidRPr="00BA5951">
        <w:rPr>
          <w:rFonts w:ascii="David" w:hAnsi="David" w:hint="cs"/>
          <w:rtl/>
        </w:rPr>
        <w:t xml:space="preserve">, עתר באישום הראשון למתחם עונש הולם של 48 עד 60 חודשי מאסר; </w:t>
      </w:r>
    </w:p>
    <w:p w14:paraId="5864534C" w14:textId="77777777" w:rsidR="00AA4D92" w:rsidRPr="00BA5951" w:rsidRDefault="00AA4D92" w:rsidP="00AA4D92">
      <w:pPr>
        <w:spacing w:line="360" w:lineRule="auto"/>
        <w:ind w:left="720"/>
        <w:contextualSpacing/>
        <w:jc w:val="both"/>
        <w:rPr>
          <w:rFonts w:ascii="David" w:hAnsi="David"/>
          <w:u w:val="single"/>
          <w:rtl/>
        </w:rPr>
      </w:pPr>
      <w:r w:rsidRPr="00BA5951">
        <w:rPr>
          <w:rFonts w:ascii="David" w:hAnsi="David" w:hint="cs"/>
          <w:rtl/>
        </w:rPr>
        <w:t xml:space="preserve">באשר לאישומים 2 ו-4 עתר למתחם של 24 עד 48 חודשי מאסר, לגבי כל אחד מהאישומים; באשר לאישום 3, עתר למתחם של 6 חודשי עבודות שירות ועד שנת מאסר. טען, שכל אישום מחייב קביעת מתחם נפרד, ובמצרף האישומים, </w:t>
      </w:r>
      <w:r w:rsidRPr="00BA5951">
        <w:rPr>
          <w:rFonts w:ascii="David" w:hAnsi="David" w:hint="cs"/>
          <w:u w:val="single"/>
          <w:rtl/>
        </w:rPr>
        <w:t>עתר לקבוע מתחם עונש כולל של 60 עד 96 חודשי מאסר בפועל ולגזור את דינו בשליש התחתון של המתחם שייקבע.</w:t>
      </w:r>
    </w:p>
    <w:p w14:paraId="1BDC60C8" w14:textId="77777777" w:rsidR="00AA4D92" w:rsidRPr="00BA5951" w:rsidRDefault="00AA4D92" w:rsidP="00AA4D92">
      <w:pPr>
        <w:spacing w:line="360" w:lineRule="auto"/>
        <w:ind w:left="720"/>
        <w:contextualSpacing/>
        <w:jc w:val="both"/>
        <w:rPr>
          <w:rFonts w:ascii="David" w:hAnsi="David"/>
          <w:rtl/>
        </w:rPr>
      </w:pPr>
    </w:p>
    <w:p w14:paraId="707987C9" w14:textId="77777777" w:rsidR="00AA4D92" w:rsidRPr="00BA5951" w:rsidRDefault="00AA4D92" w:rsidP="00AA4D92">
      <w:pPr>
        <w:spacing w:line="360" w:lineRule="auto"/>
        <w:ind w:left="720"/>
        <w:contextualSpacing/>
        <w:jc w:val="both"/>
        <w:rPr>
          <w:rFonts w:ascii="David" w:hAnsi="David"/>
          <w:u w:val="single"/>
          <w:rtl/>
        </w:rPr>
      </w:pPr>
      <w:r w:rsidRPr="00BA5951">
        <w:rPr>
          <w:rFonts w:ascii="David" w:hAnsi="David" w:hint="cs"/>
          <w:rtl/>
        </w:rPr>
        <w:t xml:space="preserve">בעניינו של </w:t>
      </w:r>
      <w:r w:rsidRPr="00BA5951">
        <w:rPr>
          <w:rFonts w:ascii="David" w:hAnsi="David" w:hint="cs"/>
          <w:u w:val="single"/>
          <w:rtl/>
        </w:rPr>
        <w:t>נאשם 2,</w:t>
      </w:r>
      <w:r w:rsidRPr="00BA5951">
        <w:rPr>
          <w:rFonts w:ascii="David" w:hAnsi="David" w:hint="cs"/>
          <w:rtl/>
        </w:rPr>
        <w:t xml:space="preserve">  באישום הראשון, טען ב"כ המאשימה למתחם של 15 עד 30 חודשים, ובאשר לאישום 3 טען למתחם שנע בין 6 חודשי עבודות שירות עד שנה. טען, כי יש למקם את עונשו מעל אמצע המתחם על רקע עברו הפלילי והרלבנטי, וכן עתר להפעלת המאסר על תנאי בן 7 חודשים באופן מצטבר במלואו. בעניינו </w:t>
      </w:r>
      <w:r w:rsidRPr="00BA5951">
        <w:rPr>
          <w:rFonts w:ascii="David" w:hAnsi="David" w:hint="cs"/>
          <w:u w:val="single"/>
          <w:rtl/>
        </w:rPr>
        <w:t xml:space="preserve">עתר לעונש ראוי של 36 חודשי מאסר בפועל הכוללים את הפעלת התנאי. </w:t>
      </w:r>
    </w:p>
    <w:p w14:paraId="015B0D87" w14:textId="77777777" w:rsidR="00AA4D92" w:rsidRPr="00BA5951" w:rsidRDefault="00AA4D92" w:rsidP="00AA4D92">
      <w:pPr>
        <w:spacing w:line="360" w:lineRule="auto"/>
        <w:ind w:left="720"/>
        <w:contextualSpacing/>
        <w:jc w:val="both"/>
        <w:rPr>
          <w:rFonts w:ascii="David" w:hAnsi="David"/>
          <w:rtl/>
        </w:rPr>
      </w:pPr>
    </w:p>
    <w:p w14:paraId="1D22AFEA" w14:textId="77777777" w:rsidR="00AA4D92" w:rsidRPr="00BA5951" w:rsidRDefault="00AA4D92" w:rsidP="00AA4D92">
      <w:pPr>
        <w:spacing w:line="360" w:lineRule="auto"/>
        <w:ind w:left="720"/>
        <w:contextualSpacing/>
        <w:jc w:val="both"/>
        <w:rPr>
          <w:rFonts w:ascii="David" w:hAnsi="David"/>
          <w:rtl/>
        </w:rPr>
      </w:pPr>
      <w:r w:rsidRPr="00BA5951">
        <w:rPr>
          <w:rFonts w:ascii="David" w:hAnsi="David" w:hint="cs"/>
          <w:rtl/>
        </w:rPr>
        <w:t>אשר ל</w:t>
      </w:r>
      <w:r w:rsidRPr="00BA5951">
        <w:rPr>
          <w:rFonts w:ascii="David" w:hAnsi="David" w:hint="cs"/>
          <w:u w:val="single"/>
          <w:rtl/>
        </w:rPr>
        <w:t>נאשם 3</w:t>
      </w:r>
      <w:r w:rsidRPr="00BA5951">
        <w:rPr>
          <w:rFonts w:ascii="David" w:hAnsi="David" w:hint="cs"/>
          <w:rtl/>
        </w:rPr>
        <w:t xml:space="preserve">, עתר באישום הראשון למתחם של 15 עד 30 חודשים; באשר לאישומים 2 ו-4 עתר למתחם של 24 עד 48 חודשי מאסר, לגבי כל אחד מהאישומים; באשר לאישום 3, עתר למתחם של 6 חודשי עבודות שירות ועד שנת מאסר. במצרף האישומים, </w:t>
      </w:r>
      <w:r w:rsidRPr="00BA5951">
        <w:rPr>
          <w:rFonts w:ascii="David" w:hAnsi="David" w:hint="cs"/>
          <w:u w:val="single"/>
          <w:rtl/>
        </w:rPr>
        <w:t>עתר למתחם עונש כולל של 40 עד 60 חודשי מאסר בפועל ולגזור את דינו בשליש התחתון של המתחם שייקבע</w:t>
      </w:r>
      <w:r w:rsidRPr="00BA5951">
        <w:rPr>
          <w:rFonts w:ascii="David" w:hAnsi="David" w:hint="cs"/>
          <w:rtl/>
        </w:rPr>
        <w:t xml:space="preserve">. </w:t>
      </w:r>
    </w:p>
    <w:p w14:paraId="56C35C81" w14:textId="77777777" w:rsidR="00AA4D92" w:rsidRPr="00BA5951" w:rsidRDefault="00AA4D92" w:rsidP="00AA4D92">
      <w:pPr>
        <w:spacing w:line="360" w:lineRule="auto"/>
        <w:ind w:left="720"/>
        <w:contextualSpacing/>
        <w:rPr>
          <w:rFonts w:ascii="David" w:hAnsi="David"/>
          <w:rtl/>
        </w:rPr>
      </w:pPr>
    </w:p>
    <w:p w14:paraId="1FC0A48F" w14:textId="77777777" w:rsidR="00AA4D92" w:rsidRPr="00BA5951" w:rsidRDefault="00AA4D92" w:rsidP="00AA4D92">
      <w:pPr>
        <w:spacing w:line="360" w:lineRule="auto"/>
        <w:ind w:left="720"/>
        <w:contextualSpacing/>
        <w:jc w:val="both"/>
        <w:rPr>
          <w:rFonts w:ascii="David" w:hAnsi="David"/>
          <w:rtl/>
        </w:rPr>
      </w:pPr>
      <w:r w:rsidRPr="00BA5951">
        <w:rPr>
          <w:rFonts w:ascii="David" w:hAnsi="David" w:hint="cs"/>
          <w:rtl/>
        </w:rPr>
        <w:t xml:space="preserve">בעניינו של </w:t>
      </w:r>
      <w:r w:rsidRPr="00BA5951">
        <w:rPr>
          <w:rFonts w:ascii="David" w:hAnsi="David" w:hint="cs"/>
          <w:u w:val="single"/>
          <w:rtl/>
        </w:rPr>
        <w:t>נאשם 4</w:t>
      </w:r>
      <w:r w:rsidRPr="00BA5951">
        <w:rPr>
          <w:rFonts w:ascii="David" w:hAnsi="David" w:hint="cs"/>
          <w:rtl/>
        </w:rPr>
        <w:t xml:space="preserve">, עתר ב"כ המאשימה לקבוע </w:t>
      </w:r>
      <w:r w:rsidRPr="00BA5951">
        <w:rPr>
          <w:rFonts w:ascii="David" w:hAnsi="David" w:hint="cs"/>
          <w:u w:val="single"/>
          <w:rtl/>
        </w:rPr>
        <w:t>מתחם עונש הולם שנע בין 32 ל – 54 חודשי מאסר בפועל, ולגזור את דינו מעט מעל הרף התחתון שייקבע</w:t>
      </w:r>
      <w:r w:rsidRPr="00BA5951">
        <w:rPr>
          <w:rFonts w:ascii="David" w:hAnsi="David" w:hint="cs"/>
          <w:rtl/>
        </w:rPr>
        <w:t xml:space="preserve">. </w:t>
      </w:r>
    </w:p>
    <w:p w14:paraId="3C75BC18" w14:textId="77777777" w:rsidR="00AA4D92" w:rsidRPr="00BA5951" w:rsidRDefault="00AA4D92" w:rsidP="00AA4D92">
      <w:pPr>
        <w:spacing w:line="360" w:lineRule="auto"/>
        <w:jc w:val="both"/>
        <w:rPr>
          <w:rFonts w:ascii="David" w:hAnsi="David"/>
          <w:rtl/>
        </w:rPr>
      </w:pPr>
    </w:p>
    <w:p w14:paraId="0BBDBCC3" w14:textId="77777777" w:rsidR="00AA4D92" w:rsidRPr="00BA5951" w:rsidRDefault="00AA4D92" w:rsidP="00AA4D92">
      <w:pPr>
        <w:numPr>
          <w:ilvl w:val="0"/>
          <w:numId w:val="1"/>
        </w:numPr>
        <w:spacing w:line="360" w:lineRule="auto"/>
        <w:contextualSpacing/>
        <w:jc w:val="both"/>
        <w:rPr>
          <w:rFonts w:ascii="David" w:hAnsi="David"/>
          <w:rtl/>
        </w:rPr>
      </w:pPr>
      <w:r w:rsidRPr="00BA5951">
        <w:rPr>
          <w:rFonts w:ascii="David" w:hAnsi="David" w:hint="cs"/>
          <w:u w:val="single"/>
          <w:rtl/>
        </w:rPr>
        <w:t>ב"כ נאשם 1</w:t>
      </w:r>
      <w:r w:rsidRPr="00BA5951">
        <w:rPr>
          <w:rFonts w:ascii="David" w:hAnsi="David" w:hint="cs"/>
          <w:rtl/>
        </w:rPr>
        <w:t xml:space="preserve"> הגיש טיעונים בכתב וכן טען בהרחבה בדיון, וביקש להדגיש כי הנאשם בחר לקחת אחריות חרף קיומם של מחדלי חקירה חמורים ומשמעותיים אשר התגלו באמצעות בקשות לקבלת חומר חקירה ועתירה לגילוי ראיה. כתב-האישום תוקן לקולה בהתאם למצב הראייתי שנוצר. </w:t>
      </w:r>
    </w:p>
    <w:p w14:paraId="08FF48BB" w14:textId="77777777" w:rsidR="00AA4D92" w:rsidRPr="00BA5951" w:rsidRDefault="00AA4D92" w:rsidP="00AA4D92">
      <w:pPr>
        <w:spacing w:line="360" w:lineRule="auto"/>
        <w:ind w:left="720" w:hanging="720"/>
        <w:jc w:val="both"/>
        <w:rPr>
          <w:rFonts w:ascii="David" w:hAnsi="David"/>
          <w:rtl/>
        </w:rPr>
      </w:pPr>
      <w:r w:rsidRPr="00BA5951">
        <w:rPr>
          <w:rFonts w:ascii="David" w:hAnsi="David" w:hint="cs"/>
          <w:rtl/>
        </w:rPr>
        <w:tab/>
        <w:t xml:space="preserve">באשר לאישום הראשון, ביקש לשכנע כי לא היה בכוחו של רובה הציד כדי להמית וכי המדובר ברובה מפורק, נתון שיש בו כדי להפחית מחומרת העבירות; באשר לאישום 2 המדובר בעבירה שהתגלתה מתוך תמונה בטלפון הנייד של נאשם 1, שם נצפה נאשם 3; אישום 3 עניינו במסרונים בלבד ללא כל נסיון לממש את תכני השיחות;  אישום 4 מבוסס על תכתובת בין נאשם 1 לנאשם 3 ותמונה. </w:t>
      </w:r>
    </w:p>
    <w:p w14:paraId="4495D0C6" w14:textId="77777777" w:rsidR="00AA4D92" w:rsidRPr="00BA5951" w:rsidRDefault="00AA4D92" w:rsidP="00AA4D92">
      <w:pPr>
        <w:spacing w:line="360" w:lineRule="auto"/>
        <w:ind w:left="720" w:hanging="720"/>
        <w:jc w:val="both"/>
        <w:rPr>
          <w:rFonts w:ascii="David" w:hAnsi="David"/>
          <w:rtl/>
        </w:rPr>
      </w:pPr>
      <w:r w:rsidRPr="00BA5951">
        <w:rPr>
          <w:rFonts w:ascii="David" w:hAnsi="David" w:hint="cs"/>
          <w:rtl/>
        </w:rPr>
        <w:tab/>
        <w:t>טען, כי אמנם, נאשם 1 הורשע בכל האישומים, אך הוא לא היה הדומיננטי באירועים.</w:t>
      </w:r>
    </w:p>
    <w:p w14:paraId="42772787" w14:textId="77777777" w:rsidR="00AA4D92" w:rsidRPr="00BA5951" w:rsidRDefault="00AA4D92" w:rsidP="00AA4D92">
      <w:pPr>
        <w:spacing w:line="360" w:lineRule="auto"/>
        <w:ind w:left="720" w:hanging="720"/>
        <w:jc w:val="both"/>
        <w:rPr>
          <w:rFonts w:ascii="David" w:hAnsi="David"/>
          <w:rtl/>
        </w:rPr>
      </w:pPr>
      <w:r w:rsidRPr="00BA5951">
        <w:rPr>
          <w:rFonts w:ascii="David" w:hAnsi="David" w:hint="cs"/>
          <w:rtl/>
        </w:rPr>
        <w:tab/>
        <w:t>לגישתו, יש לקבוע מתחם אחד לכל האירועים, אין כל אחיזה בפסיקה למתחם לו עתר ב"כ המאשימה, ולעומתו ביקש הוא לקבוע מתחם עונש הולם שנע בין 12 ל – 24 חודשי מאסר בפועל.</w:t>
      </w:r>
    </w:p>
    <w:p w14:paraId="70343996" w14:textId="77777777" w:rsidR="00AA4D92" w:rsidRPr="00BA5951" w:rsidRDefault="00AA4D92" w:rsidP="00AA4D92">
      <w:pPr>
        <w:spacing w:line="360" w:lineRule="auto"/>
        <w:ind w:left="720" w:hanging="720"/>
        <w:jc w:val="both"/>
        <w:rPr>
          <w:rFonts w:ascii="David" w:hAnsi="David"/>
          <w:rtl/>
        </w:rPr>
      </w:pPr>
      <w:r w:rsidRPr="00BA5951">
        <w:rPr>
          <w:rFonts w:ascii="David" w:hAnsi="David" w:hint="cs"/>
          <w:rtl/>
        </w:rPr>
        <w:tab/>
        <w:t xml:space="preserve">נאשם 1 כבן 32, נישא בנובמבר 2020, נעדר עבר פלילי, עבד שנים רבות באופן מסודר כמכונאי ובתקופת הקורונה פוטר. בספטמבר 2021 נולדה בתו הבכורה בעת ששהה במעצר, וטרם זכה לראות אותה. בבית המעצר חווה מצוקה נפשית, אך מתפקד היטב ומשמש כאסיר חוליה – אסיר עבודה. הנאשם 1 לוקח אחריות מלאה על מעשיו ומביע עליהם חרטה – נתון שיש לו משמעות רבה על רקע הכשלים שהתגלו בחקירה. לאור העומס בשירות המבחן נשללה ממנו זכותו לקבלת תסקיר, עליו נאלץ לוותר תוך פגיעה ביכולת להוכיח את סיכויי שיקומו. גם אם יוחלט שלא לחרוג מהמתחם מטעמי שיקום, הרי שיש למקם את עונשו ברף התחתון של המתחם, והיות שהוא כבר מצוי במעצר למעלה מ – 14 חודשים, הרי שיש להסתפק בתקופת מעצרו. </w:t>
      </w:r>
    </w:p>
    <w:p w14:paraId="1E921DA4" w14:textId="77777777" w:rsidR="00AA4D92" w:rsidRPr="00BA5951" w:rsidRDefault="00AA4D92" w:rsidP="00AA4D92">
      <w:pPr>
        <w:spacing w:line="360" w:lineRule="auto"/>
        <w:ind w:left="720"/>
        <w:jc w:val="both"/>
        <w:rPr>
          <w:rFonts w:ascii="David" w:hAnsi="David"/>
          <w:rtl/>
        </w:rPr>
      </w:pPr>
    </w:p>
    <w:p w14:paraId="6687D0A7" w14:textId="77777777" w:rsidR="00AA4D92" w:rsidRPr="00BA5951" w:rsidRDefault="00AA4D92" w:rsidP="00AA4D92">
      <w:pPr>
        <w:numPr>
          <w:ilvl w:val="0"/>
          <w:numId w:val="1"/>
        </w:numPr>
        <w:spacing w:line="360" w:lineRule="auto"/>
        <w:contextualSpacing/>
        <w:jc w:val="both"/>
        <w:rPr>
          <w:rFonts w:ascii="David" w:hAnsi="David"/>
          <w:rtl/>
        </w:rPr>
      </w:pPr>
      <w:r w:rsidRPr="00BA5951">
        <w:rPr>
          <w:rFonts w:ascii="David" w:hAnsi="David" w:hint="cs"/>
          <w:u w:val="single"/>
          <w:rtl/>
        </w:rPr>
        <w:t>ב"כ נאשם 2</w:t>
      </w:r>
      <w:r w:rsidRPr="00BA5951">
        <w:rPr>
          <w:rFonts w:ascii="David" w:hAnsi="David" w:hint="cs"/>
          <w:rtl/>
        </w:rPr>
        <w:t xml:space="preserve"> ביקש להדגיש, כי הוסכם שנאשמים 2 ו – 3 לא היו באף שלב עם נשק ברכבם, ושלמרשו מיוחס החלק המינורי ביותר באירועים. באישום הראשון, לא היה לו כל חלק בתכנון, ובהמשך לא היתה לו כל מודעות לאקדח – אלא לרובה ציד בלבד, שהיה מפורק,  לא תקין ולא שמיש. כל חלקו מתמצה בכך שסייע לנאשם 1 להעביר את רובה הציד לתוך ישראל. </w:t>
      </w:r>
    </w:p>
    <w:p w14:paraId="035C79BA"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 xml:space="preserve">אשר לאישום השלישי טען, שיש להבחין בין חלקי הנשק שביקשו לרכוש. </w:t>
      </w:r>
    </w:p>
    <w:p w14:paraId="0DB68CFF"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גם ב"כ נאשם 2 חזר והדגיש את הכשלים הרבים שהתגלו במהלך ההליכים, כשחרף הפגיעה בהגנה הנאשם החליט לקבל אחריות על חלקו ולהודות בכתב-האישום המתוקן.</w:t>
      </w:r>
    </w:p>
    <w:p w14:paraId="2F4BBD7F"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 xml:space="preserve">עתר לקבוע מתחם עונש אחד לכל האישומים שנע בין 6 חודשי עבודות שירות ל- 15 חודשי מאסר בפועל. </w:t>
      </w:r>
    </w:p>
    <w:p w14:paraId="07B18715"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אשר לנסיבותיו האישיות של נאשם 2, המדובר במקרה חריג של מי ששירת בצבא וגם אביו שירת את בטחון המדינה (הגיש ספר שנכתב על אביו המנוח). הנאשם 2 נמנה על המגזר הבדואי, נשוי עם ארבעה ילדים, שירת כחייל חי"ר קרבי, מפקד מחלקה, בעל אותות וצל"שים ממלחמת לבנון השנייה. מעצרו הביא לפירוק המשפחה, כשאשתו הגישה תביעת גירושין, ועד למעצרו עבד בעבודה מסודרת בחברת בניה. אביו של הנאשם נפטר במהלך מעצרו והוא לא הצליח להיפרד ממנו.</w:t>
      </w:r>
    </w:p>
    <w:p w14:paraId="4097F138"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 xml:space="preserve">ב"כ הנאשם 2 טען, כי אין להפעיל את המאסר על תנאי הרלבנטי, שכן הוא מנוסח באופן עמום ולא מובן, וכל ספק פועל בעניין זה לטובת הנאשם. </w:t>
      </w:r>
    </w:p>
    <w:p w14:paraId="200DBADA"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 xml:space="preserve">לאור מכלול הנסיבות, עתר להסתפק בתקופת מעצרו. </w:t>
      </w:r>
    </w:p>
    <w:p w14:paraId="49C5F7F0" w14:textId="77777777" w:rsidR="00AA4D92" w:rsidRPr="00BA5951" w:rsidRDefault="00AA4D92" w:rsidP="00AA4D92">
      <w:pPr>
        <w:spacing w:line="360" w:lineRule="auto"/>
        <w:jc w:val="both"/>
        <w:rPr>
          <w:rFonts w:ascii="David" w:hAnsi="David"/>
          <w:color w:val="FF0000"/>
          <w:rtl/>
        </w:rPr>
      </w:pPr>
    </w:p>
    <w:p w14:paraId="4AC59B9C" w14:textId="77777777" w:rsidR="00AA4D92" w:rsidRPr="00BA5951" w:rsidRDefault="00AA4D92" w:rsidP="00AA4D92">
      <w:pPr>
        <w:numPr>
          <w:ilvl w:val="0"/>
          <w:numId w:val="1"/>
        </w:numPr>
        <w:spacing w:line="360" w:lineRule="auto"/>
        <w:contextualSpacing/>
        <w:jc w:val="both"/>
        <w:rPr>
          <w:rFonts w:ascii="David" w:hAnsi="David"/>
          <w:rtl/>
        </w:rPr>
      </w:pPr>
      <w:r w:rsidRPr="00BA5951">
        <w:rPr>
          <w:rFonts w:ascii="David" w:hAnsi="David" w:hint="cs"/>
          <w:u w:val="single"/>
          <w:rtl/>
        </w:rPr>
        <w:t>ב"כ נאשם 3</w:t>
      </w:r>
      <w:r w:rsidRPr="00BA5951">
        <w:rPr>
          <w:rFonts w:ascii="David" w:hAnsi="David" w:hint="cs"/>
          <w:rtl/>
        </w:rPr>
        <w:t xml:space="preserve"> הגיש טיעונים בכתב והוסיף דברים בבית-המשפט. טען שאמנם, לנאשם 3 מיוחסים כל האישומים, אך כשבוחנים את נסיבות ביצוע העבירות עולה, כי אינו דמות דומיננטית. עוד טען, כי אין המדובר בעבירות נשק המצויות ברף חומרה גבוה – כאשר חלקו של נאשם 3 הוא כמסייע לנשיאת רובה ציד והחזקת שני אקדחים מסוג שאינו ידוע, ומעשיו לא גרמו לנזק בפועל. </w:t>
      </w:r>
    </w:p>
    <w:p w14:paraId="19EF9F51" w14:textId="77777777" w:rsidR="00AA4D92" w:rsidRPr="00BA5951" w:rsidRDefault="00AA4D92" w:rsidP="00AA4D92">
      <w:pPr>
        <w:spacing w:line="360" w:lineRule="auto"/>
        <w:ind w:left="720"/>
        <w:contextualSpacing/>
        <w:jc w:val="both"/>
        <w:rPr>
          <w:rFonts w:ascii="David" w:hAnsi="David"/>
        </w:rPr>
      </w:pPr>
      <w:r w:rsidRPr="00BA5951">
        <w:rPr>
          <w:rFonts w:ascii="David" w:hAnsi="David" w:hint="cs"/>
          <w:rtl/>
        </w:rPr>
        <w:t xml:space="preserve">לכך יש להוסיף את נסיבותיו האישיות, כאשר עסקינן בנאשם צעיר בן 21, ללא עבר פלילי, אשר התייתם מהוריו בילדות (על-פי דו"ח ממחלקת הרווחה שהגיש הסניגור יומיים לפני מתן גזר הדין עולה, שהאב נפטר כשהיה כבן 7 שנים, ואמו נפטרה כשהיה בן 12). לנאשם אח הסובל מבעיות נפשיות, אח אחר אשר התמכר לאלכוהול, והם כולם גדלו ללא דמות מכוונת – נסיבות המסבירות מדוע חבר הנאשם 3 למבוגרים ממנו. ביקש לשכנע, כי מעורבותו נבעה מהפעלת שיקול-דעת מוטעה, ולאו דווקא בשל קיומם של דפוסים עברייניים. </w:t>
      </w:r>
    </w:p>
    <w:p w14:paraId="18BFB2A1" w14:textId="77777777" w:rsidR="00AA4D92" w:rsidRPr="00BA5951" w:rsidRDefault="00AA4D92" w:rsidP="00AA4D92">
      <w:pPr>
        <w:spacing w:line="360" w:lineRule="auto"/>
        <w:ind w:left="720"/>
        <w:contextualSpacing/>
        <w:jc w:val="both"/>
        <w:rPr>
          <w:rFonts w:ascii="David" w:hAnsi="David"/>
        </w:rPr>
      </w:pPr>
      <w:r w:rsidRPr="00BA5951">
        <w:rPr>
          <w:rFonts w:ascii="David" w:hAnsi="David" w:hint="cs"/>
          <w:rtl/>
        </w:rPr>
        <w:t xml:space="preserve">ב"כ הנאשם 3 עתר לקביעת מתחם עונש הולם אחד לכל האישומים, אשר נע בין 14 עד 36 חודשי מאסר בפועל. לשיטתו, בשל כל נתוניו האישיים של הנאשם אשר פורטו, ובהתחשב בגילו, בהעדר עבר פלילי ובהודאתו, יש להעמיד את עונשו בתחתית המתחם שייקבע. </w:t>
      </w:r>
    </w:p>
    <w:p w14:paraId="0D3499EA" w14:textId="77777777" w:rsidR="00AA4D92" w:rsidRPr="00BA5951" w:rsidRDefault="00AA4D92" w:rsidP="00AA4D92">
      <w:pPr>
        <w:spacing w:line="360" w:lineRule="auto"/>
        <w:ind w:left="720" w:hanging="720"/>
        <w:jc w:val="both"/>
        <w:rPr>
          <w:rFonts w:ascii="David" w:hAnsi="David"/>
        </w:rPr>
      </w:pPr>
      <w:r w:rsidRPr="00BA5951">
        <w:rPr>
          <w:rFonts w:ascii="David" w:hAnsi="David" w:hint="cs"/>
          <w:rtl/>
        </w:rPr>
        <w:tab/>
      </w:r>
    </w:p>
    <w:p w14:paraId="36016E2A" w14:textId="77777777" w:rsidR="00AA4D92" w:rsidRPr="00BA5951" w:rsidRDefault="00AA4D92" w:rsidP="00AA4D92">
      <w:pPr>
        <w:numPr>
          <w:ilvl w:val="0"/>
          <w:numId w:val="1"/>
        </w:numPr>
        <w:spacing w:line="360" w:lineRule="auto"/>
        <w:contextualSpacing/>
        <w:jc w:val="both"/>
        <w:rPr>
          <w:rFonts w:ascii="David" w:hAnsi="David"/>
          <w:rtl/>
        </w:rPr>
      </w:pPr>
      <w:r w:rsidRPr="00BA5951">
        <w:rPr>
          <w:rFonts w:ascii="David" w:eastAsia="David" w:hAnsi="David" w:hint="cs"/>
          <w:u w:val="single"/>
          <w:rtl/>
        </w:rPr>
        <w:t>ב"כ הנאשם 4</w:t>
      </w:r>
      <w:r w:rsidRPr="00BA5951">
        <w:rPr>
          <w:rFonts w:ascii="David" w:eastAsia="David" w:hAnsi="David" w:hint="cs"/>
          <w:rtl/>
        </w:rPr>
        <w:t xml:space="preserve"> הגיש טיעונים בכתב וכן טען בבית-המשפט. הדגיש, כי מרשו ביקש להודות בכתב-האישום כבר בתחילת ההליך, נתון אשר מדגיש את לקיחת האחריות המלאה שלו והבעת החרטה. </w:t>
      </w:r>
    </w:p>
    <w:p w14:paraId="6FEC1806" w14:textId="77777777" w:rsidR="00AA4D92" w:rsidRPr="00BA5951" w:rsidRDefault="00AA4D92" w:rsidP="00AA4D92">
      <w:pPr>
        <w:spacing w:line="360" w:lineRule="auto"/>
        <w:ind w:left="720"/>
        <w:contextualSpacing/>
        <w:jc w:val="both"/>
      </w:pPr>
      <w:r w:rsidRPr="00BA5951">
        <w:rPr>
          <w:rFonts w:hint="cs"/>
          <w:rtl/>
        </w:rPr>
        <w:t>אשר לנסיבות ביצוע העבירות טען, שלא נגרם כל נזק ממעשיו של הנאשם 4, אלו לא כללו מימד של תכנון או תחכום, ומידת הפגיעה בערכים המוגנים היא ברמה בינונית-נמוכה. ב"כ נאשם 4 טען שהמתחם ההולם של הנאשם מתחיל מרף של 7 חודשי מאסר.</w:t>
      </w:r>
    </w:p>
    <w:p w14:paraId="4F62850E" w14:textId="77777777" w:rsidR="00AA4D92" w:rsidRPr="00BA5951" w:rsidRDefault="00AA4D92" w:rsidP="00AA4D92">
      <w:pPr>
        <w:spacing w:line="360" w:lineRule="auto"/>
        <w:ind w:left="720"/>
        <w:jc w:val="both"/>
        <w:rPr>
          <w:rtl/>
        </w:rPr>
      </w:pPr>
      <w:r w:rsidRPr="00BA5951">
        <w:rPr>
          <w:rFonts w:hint="cs"/>
          <w:rtl/>
        </w:rPr>
        <w:t xml:space="preserve">באשר לנסיבותיו האישיות תיאר, כי לנאשם 4 היתה מספרה משגשגת, אשר סגורה מזה כשנה. הנאשם גרם נזק לא רק לעצמו אלא גם לשני ילדיו, להוריו ולתדמיתם בכפר, כאשר אביו ידוע בכפר וחבר מועצה. אשתו אף שקלה להתגרש ממנו. </w:t>
      </w:r>
    </w:p>
    <w:p w14:paraId="11975310" w14:textId="77777777" w:rsidR="00AA4D92" w:rsidRPr="00BA5951" w:rsidRDefault="00AA4D92" w:rsidP="00AA4D92">
      <w:pPr>
        <w:spacing w:line="360" w:lineRule="auto"/>
        <w:ind w:left="720"/>
        <w:jc w:val="both"/>
        <w:rPr>
          <w:rtl/>
        </w:rPr>
      </w:pPr>
      <w:r w:rsidRPr="00BA5951">
        <w:rPr>
          <w:rFonts w:hint="cs"/>
          <w:rtl/>
        </w:rPr>
        <w:t>ב"כ נאשם 4 ביקש ליתן מעמד בכורה לאינטרס השיקום של הנאשם, ולהסתפק בתקופת מעצרו (אשר עמדה בתקופת הטיעונים לעונש על 13 חודשים). ככל שייקבע מתחם עונש הולם גבוה מזה לו עתרה ההגנה, ביקש לסטות לקולה מהמתחם בשל שיקולי שיקום ושיקולי צדק ורחמים.</w:t>
      </w:r>
    </w:p>
    <w:p w14:paraId="755A52A5" w14:textId="77777777" w:rsidR="00AA4D92" w:rsidRPr="00BA5951" w:rsidRDefault="00AA4D92" w:rsidP="00AA4D92">
      <w:pPr>
        <w:spacing w:line="360" w:lineRule="auto"/>
        <w:jc w:val="both"/>
        <w:rPr>
          <w:rtl/>
        </w:rPr>
      </w:pPr>
    </w:p>
    <w:p w14:paraId="252168DF" w14:textId="77777777" w:rsidR="00AA4D92" w:rsidRPr="00BA5951" w:rsidRDefault="00AA4D92" w:rsidP="00AA4D92">
      <w:pPr>
        <w:numPr>
          <w:ilvl w:val="0"/>
          <w:numId w:val="1"/>
        </w:numPr>
        <w:spacing w:line="360" w:lineRule="auto"/>
        <w:contextualSpacing/>
        <w:jc w:val="both"/>
        <w:rPr>
          <w:rFonts w:ascii="David" w:hAnsi="David"/>
          <w:rtl/>
        </w:rPr>
      </w:pPr>
      <w:r w:rsidRPr="00BA5951">
        <w:rPr>
          <w:rFonts w:ascii="David" w:eastAsia="David" w:hAnsi="David" w:hint="cs"/>
          <w:rtl/>
        </w:rPr>
        <w:t>בדברו</w:t>
      </w:r>
      <w:r w:rsidRPr="00BA5951">
        <w:rPr>
          <w:rFonts w:ascii="David" w:hAnsi="David" w:hint="cs"/>
          <w:rtl/>
        </w:rPr>
        <w:t xml:space="preserve"> לבית-המשפט מסר </w:t>
      </w:r>
      <w:r w:rsidRPr="00BA5951">
        <w:rPr>
          <w:rFonts w:ascii="David" w:hAnsi="David" w:hint="cs"/>
          <w:u w:val="single"/>
          <w:rtl/>
        </w:rPr>
        <w:t>נאשם 1</w:t>
      </w:r>
      <w:r w:rsidRPr="00BA5951">
        <w:rPr>
          <w:rFonts w:ascii="David" w:hAnsi="David"/>
        </w:rPr>
        <w:t>:</w:t>
      </w:r>
      <w:r w:rsidRPr="00BA5951">
        <w:rPr>
          <w:rFonts w:ascii="David" w:hAnsi="David" w:hint="cs"/>
          <w:rtl/>
        </w:rPr>
        <w:t xml:space="preserve"> "</w:t>
      </w:r>
      <w:r w:rsidRPr="00BA5951">
        <w:rPr>
          <w:rFonts w:ascii="David" w:hAnsi="David" w:hint="cs"/>
          <w:b/>
          <w:bCs/>
          <w:rtl/>
        </w:rPr>
        <w:t>אני מבקש סליחה ומתחרט על המעשים שלי. אני מבקש שבית המשפט יתחשב בי. נולדה לי ילדה עוד לא ראיתי אותה</w:t>
      </w:r>
      <w:r w:rsidRPr="00BA5951">
        <w:rPr>
          <w:rFonts w:ascii="David" w:hAnsi="David" w:hint="cs"/>
          <w:rtl/>
        </w:rPr>
        <w:t xml:space="preserve">" (עמ' 29 לפרוטוקול). </w:t>
      </w:r>
    </w:p>
    <w:p w14:paraId="0DC10044" w14:textId="77777777" w:rsidR="00AA4D92" w:rsidRPr="00BA5951" w:rsidRDefault="00AA4D92" w:rsidP="00AA4D92">
      <w:pPr>
        <w:spacing w:line="360" w:lineRule="auto"/>
        <w:jc w:val="both"/>
        <w:rPr>
          <w:rFonts w:ascii="David" w:hAnsi="David"/>
          <w:rtl/>
        </w:rPr>
      </w:pPr>
    </w:p>
    <w:p w14:paraId="4033EE98"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 xml:space="preserve">בדברו לבית-המשפט מסר </w:t>
      </w:r>
      <w:r w:rsidRPr="00BA5951">
        <w:rPr>
          <w:rFonts w:ascii="David" w:hAnsi="David" w:hint="cs"/>
          <w:u w:val="single"/>
          <w:rtl/>
        </w:rPr>
        <w:t>נאשם 2</w:t>
      </w:r>
      <w:r w:rsidRPr="00BA5951">
        <w:rPr>
          <w:rFonts w:ascii="David" w:hAnsi="David" w:hint="cs"/>
          <w:rtl/>
        </w:rPr>
        <w:t>: "</w:t>
      </w:r>
      <w:r w:rsidRPr="00BA5951">
        <w:rPr>
          <w:rFonts w:ascii="David" w:hAnsi="David" w:hint="cs"/>
          <w:b/>
          <w:bCs/>
          <w:rtl/>
        </w:rPr>
        <w:t xml:space="preserve">אני לא רוצה לחזור לעולם הזה, אני מתחייב בפני המשפחה שלי גן </w:t>
      </w:r>
      <w:r w:rsidRPr="00BA5951">
        <w:rPr>
          <w:rFonts w:ascii="David" w:hAnsi="David" w:hint="cs"/>
          <w:rtl/>
        </w:rPr>
        <w:t>(טעות במקור).</w:t>
      </w:r>
      <w:r w:rsidRPr="00BA5951">
        <w:rPr>
          <w:rFonts w:ascii="David" w:hAnsi="David" w:hint="cs"/>
          <w:b/>
          <w:bCs/>
          <w:rtl/>
        </w:rPr>
        <w:t xml:space="preserve"> אני איבדתי את אבא שלי לא הספקתי לראות אותו ואיבדתי גם את אישתי, על מה? אני מבקש שתתחשבי בי</w:t>
      </w:r>
      <w:r w:rsidRPr="00BA5951">
        <w:rPr>
          <w:rFonts w:ascii="David" w:hAnsi="David" w:hint="cs"/>
          <w:rtl/>
        </w:rPr>
        <w:t xml:space="preserve">" (עמ' 35- 36 לפרוטוקול). </w:t>
      </w:r>
    </w:p>
    <w:p w14:paraId="23551869" w14:textId="77777777" w:rsidR="00AA4D92" w:rsidRPr="00BA5951" w:rsidRDefault="00AA4D92" w:rsidP="00AA4D92">
      <w:pPr>
        <w:spacing w:line="360" w:lineRule="auto"/>
        <w:jc w:val="both"/>
        <w:rPr>
          <w:rFonts w:ascii="David" w:hAnsi="David"/>
          <w:rtl/>
        </w:rPr>
      </w:pPr>
    </w:p>
    <w:p w14:paraId="129629CC"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 xml:space="preserve">בדברו לבית-המשפט מסר </w:t>
      </w:r>
      <w:r w:rsidRPr="00BA5951">
        <w:rPr>
          <w:rFonts w:ascii="David" w:hAnsi="David" w:hint="cs"/>
          <w:u w:val="single"/>
          <w:rtl/>
        </w:rPr>
        <w:t>נאשם 3</w:t>
      </w:r>
      <w:r w:rsidRPr="00BA5951">
        <w:rPr>
          <w:rFonts w:ascii="David" w:hAnsi="David" w:hint="cs"/>
          <w:rtl/>
        </w:rPr>
        <w:t>: "</w:t>
      </w:r>
      <w:r w:rsidRPr="00BA5951">
        <w:rPr>
          <w:rFonts w:ascii="David" w:hAnsi="David" w:hint="cs"/>
          <w:b/>
          <w:bCs/>
          <w:rtl/>
        </w:rPr>
        <w:t>אני מצטער על מה שעשיתי. הוריי נפטרו, אני יתום. אני רוצה לצאת כדי לטפל באח שלי. זה פעם ראשונה ופעם אחרונה</w:t>
      </w:r>
      <w:r w:rsidRPr="00BA5951">
        <w:rPr>
          <w:rFonts w:ascii="David" w:hAnsi="David" w:hint="cs"/>
          <w:rtl/>
        </w:rPr>
        <w:t xml:space="preserve">" (עמ' 29 לפרוטוקול). </w:t>
      </w:r>
    </w:p>
    <w:p w14:paraId="25CE2CAF" w14:textId="77777777" w:rsidR="00AA4D92" w:rsidRPr="00BA5951" w:rsidRDefault="00AA4D92" w:rsidP="00AA4D92">
      <w:pPr>
        <w:spacing w:line="360" w:lineRule="auto"/>
        <w:jc w:val="both"/>
        <w:rPr>
          <w:rFonts w:ascii="David" w:hAnsi="David"/>
          <w:rtl/>
        </w:rPr>
      </w:pPr>
    </w:p>
    <w:p w14:paraId="71950A8A" w14:textId="77777777" w:rsidR="00AA4D92" w:rsidRPr="00BA5951" w:rsidRDefault="00AA4D92" w:rsidP="00AA4D92">
      <w:pPr>
        <w:spacing w:line="360" w:lineRule="auto"/>
        <w:ind w:left="720"/>
        <w:jc w:val="both"/>
        <w:rPr>
          <w:rtl/>
        </w:rPr>
      </w:pPr>
      <w:r w:rsidRPr="00BA5951">
        <w:rPr>
          <w:rFonts w:ascii="David" w:hAnsi="David" w:hint="cs"/>
          <w:rtl/>
        </w:rPr>
        <w:t xml:space="preserve">בדברו לבית-המשפט מסר </w:t>
      </w:r>
      <w:r w:rsidRPr="00BA5951">
        <w:rPr>
          <w:rFonts w:ascii="David" w:hAnsi="David" w:hint="cs"/>
          <w:u w:val="single"/>
          <w:rtl/>
        </w:rPr>
        <w:t>הנאשם 4</w:t>
      </w:r>
      <w:r w:rsidRPr="00BA5951">
        <w:rPr>
          <w:rFonts w:ascii="David" w:hAnsi="David" w:hint="cs"/>
          <w:rtl/>
        </w:rPr>
        <w:t>: "</w:t>
      </w:r>
      <w:r w:rsidRPr="00BA5951">
        <w:rPr>
          <w:rFonts w:ascii="David" w:hAnsi="David" w:hint="cs"/>
          <w:b/>
          <w:bCs/>
          <w:rtl/>
        </w:rPr>
        <w:t>אני מצטער על מה שעשיתי, אני מקבל אחריות ואני רוצה לחזור למשפחה ולילדים</w:t>
      </w:r>
      <w:r w:rsidRPr="00BA5951">
        <w:rPr>
          <w:rFonts w:ascii="David" w:hAnsi="David" w:hint="cs"/>
          <w:rtl/>
        </w:rPr>
        <w:t xml:space="preserve">" (עמ' 15 לפרוטוקול). </w:t>
      </w:r>
    </w:p>
    <w:p w14:paraId="7DC24F95" w14:textId="77777777" w:rsidR="00AA4D92" w:rsidRPr="00BA5951" w:rsidRDefault="00AA4D92" w:rsidP="00AA4D92">
      <w:pPr>
        <w:spacing w:line="360" w:lineRule="auto"/>
        <w:jc w:val="both"/>
        <w:rPr>
          <w:rFonts w:ascii="David" w:hAnsi="David"/>
          <w:rtl/>
        </w:rPr>
      </w:pPr>
    </w:p>
    <w:p w14:paraId="22740649" w14:textId="77777777" w:rsidR="00AA4D92" w:rsidRPr="00BA5951" w:rsidRDefault="00AA4D92" w:rsidP="00AA4D92">
      <w:pPr>
        <w:spacing w:line="360" w:lineRule="auto"/>
        <w:jc w:val="both"/>
        <w:rPr>
          <w:rFonts w:ascii="David" w:hAnsi="David"/>
        </w:rPr>
      </w:pPr>
    </w:p>
    <w:p w14:paraId="5821DB6F" w14:textId="77777777" w:rsidR="00AA4D92" w:rsidRPr="00BA5951" w:rsidRDefault="00AA4D92" w:rsidP="00AA4D92">
      <w:pPr>
        <w:spacing w:line="360" w:lineRule="auto"/>
        <w:ind w:left="720" w:hanging="720"/>
        <w:jc w:val="both"/>
        <w:rPr>
          <w:rFonts w:ascii="David" w:hAnsi="David"/>
          <w:b/>
          <w:bCs/>
          <w:u w:val="single"/>
        </w:rPr>
      </w:pPr>
      <w:r w:rsidRPr="00BA5951">
        <w:rPr>
          <w:rFonts w:ascii="David" w:hAnsi="David" w:hint="cs"/>
          <w:b/>
          <w:bCs/>
          <w:u w:val="single"/>
          <w:rtl/>
        </w:rPr>
        <w:t>דיון והכרעה</w:t>
      </w:r>
    </w:p>
    <w:p w14:paraId="25EC2504" w14:textId="77777777" w:rsidR="00AA4D92" w:rsidRPr="00BA5951" w:rsidRDefault="00AA4D92" w:rsidP="00AA4D92">
      <w:pPr>
        <w:spacing w:line="360" w:lineRule="auto"/>
        <w:ind w:left="720" w:hanging="720"/>
        <w:jc w:val="both"/>
        <w:rPr>
          <w:rFonts w:ascii="David" w:hAnsi="David"/>
          <w:b/>
          <w:bCs/>
          <w:u w:val="single"/>
        </w:rPr>
      </w:pPr>
    </w:p>
    <w:p w14:paraId="6F54CF4F" w14:textId="77777777" w:rsidR="00AA4D92" w:rsidRPr="00BA5951" w:rsidRDefault="00AA4D92" w:rsidP="00AA4D92">
      <w:pPr>
        <w:numPr>
          <w:ilvl w:val="0"/>
          <w:numId w:val="1"/>
        </w:numPr>
        <w:spacing w:line="360" w:lineRule="auto"/>
        <w:contextualSpacing/>
        <w:jc w:val="both"/>
        <w:rPr>
          <w:rFonts w:ascii="Calibri" w:eastAsia="Calibri" w:hAnsi="Calibri"/>
          <w:rtl/>
        </w:rPr>
      </w:pPr>
      <w:r w:rsidRPr="00BA5951">
        <w:rPr>
          <w:rFonts w:ascii="David" w:hAnsi="David" w:hint="cs"/>
          <w:rtl/>
        </w:rPr>
        <w:t>בהתאם</w:t>
      </w:r>
      <w:r w:rsidRPr="00BA5951">
        <w:rPr>
          <w:rFonts w:ascii="Calibri" w:eastAsia="Calibri" w:hAnsi="Calibri" w:hint="cs"/>
          <w:rtl/>
        </w:rPr>
        <w:t xml:space="preserve"> להוראות תיקון 113 ל</w:t>
      </w:r>
      <w:hyperlink r:id="rId42" w:history="1">
        <w:r w:rsidR="00C03507" w:rsidRPr="00C03507">
          <w:rPr>
            <w:rFonts w:ascii="Calibri" w:eastAsia="Calibri" w:hAnsi="Calibri" w:hint="cs"/>
            <w:color w:val="0000FF"/>
            <w:u w:val="single"/>
            <w:rtl/>
          </w:rPr>
          <w:t>חוק</w:t>
        </w:r>
        <w:r w:rsidR="00C03507" w:rsidRPr="00C03507">
          <w:rPr>
            <w:rFonts w:ascii="Calibri" w:eastAsia="Calibri" w:hAnsi="Calibri"/>
            <w:color w:val="0000FF"/>
            <w:u w:val="single"/>
            <w:rtl/>
          </w:rPr>
          <w:t xml:space="preserve"> </w:t>
        </w:r>
        <w:r w:rsidR="00C03507" w:rsidRPr="00C03507">
          <w:rPr>
            <w:rFonts w:ascii="Calibri" w:eastAsia="Calibri" w:hAnsi="Calibri" w:hint="cs"/>
            <w:color w:val="0000FF"/>
            <w:u w:val="single"/>
            <w:rtl/>
          </w:rPr>
          <w:t>העונשין</w:t>
        </w:r>
      </w:hyperlink>
      <w:r w:rsidRPr="00BA5951">
        <w:rPr>
          <w:rFonts w:ascii="Calibri" w:eastAsia="Calibri" w:hAnsi="Calibri" w:hint="cs"/>
          <w:rtl/>
        </w:rPr>
        <w:t xml:space="preserve"> </w:t>
      </w:r>
      <w:hyperlink r:id="rId43" w:history="1">
        <w:r w:rsidR="008429B1" w:rsidRPr="008429B1">
          <w:rPr>
            <w:rStyle w:val="Hyperlink"/>
            <w:rFonts w:ascii="Calibri" w:eastAsia="Calibri" w:hAnsi="Calibri" w:hint="cs"/>
            <w:rtl/>
          </w:rPr>
          <w:t>בסעיף</w:t>
        </w:r>
        <w:r w:rsidR="008429B1" w:rsidRPr="008429B1">
          <w:rPr>
            <w:rStyle w:val="Hyperlink"/>
            <w:rFonts w:ascii="Calibri" w:eastAsia="Calibri" w:hAnsi="Calibri"/>
            <w:rtl/>
          </w:rPr>
          <w:t xml:space="preserve"> 40</w:t>
        </w:r>
        <w:r w:rsidR="008429B1" w:rsidRPr="008429B1">
          <w:rPr>
            <w:rStyle w:val="Hyperlink"/>
            <w:rFonts w:ascii="Calibri" w:eastAsia="Calibri" w:hAnsi="Calibri" w:hint="cs"/>
            <w:rtl/>
          </w:rPr>
          <w:t>ג</w:t>
        </w:r>
        <w:r w:rsidR="008429B1" w:rsidRPr="008429B1">
          <w:rPr>
            <w:rStyle w:val="Hyperlink"/>
            <w:rFonts w:ascii="Calibri" w:eastAsia="Calibri" w:hAnsi="Calibri"/>
            <w:rtl/>
          </w:rPr>
          <w:t>(</w:t>
        </w:r>
        <w:r w:rsidR="008429B1" w:rsidRPr="008429B1">
          <w:rPr>
            <w:rStyle w:val="Hyperlink"/>
            <w:rFonts w:ascii="Calibri" w:eastAsia="Calibri" w:hAnsi="Calibri" w:hint="cs"/>
            <w:rtl/>
          </w:rPr>
          <w:t>א</w:t>
        </w:r>
        <w:r w:rsidR="008429B1" w:rsidRPr="008429B1">
          <w:rPr>
            <w:rStyle w:val="Hyperlink"/>
            <w:rFonts w:ascii="Calibri" w:eastAsia="Calibri" w:hAnsi="Calibri"/>
            <w:rtl/>
          </w:rPr>
          <w:t>)</w:t>
        </w:r>
      </w:hyperlink>
      <w:r w:rsidRPr="00BA5951">
        <w:rPr>
          <w:rFonts w:ascii="Calibri" w:eastAsia="Calibri" w:hAnsi="Calibri" w:hint="cs"/>
          <w:rtl/>
        </w:rPr>
        <w:t xml:space="preserve">, לצורך קביעת מתחם העונש ההולם יש להתחשב בערך החברתי שנפגע, במידת הפגיעה בו, במדיניות הענישה הנוהגת ובנסיבות הקשורות בביצוע העבירה. </w:t>
      </w:r>
    </w:p>
    <w:p w14:paraId="23A20722" w14:textId="77777777" w:rsidR="00AA4D92" w:rsidRPr="00BA5951" w:rsidRDefault="00AA4D92" w:rsidP="00AA4D92">
      <w:pPr>
        <w:spacing w:line="360" w:lineRule="auto"/>
        <w:ind w:left="720" w:hanging="720"/>
        <w:jc w:val="both"/>
        <w:rPr>
          <w:rFonts w:ascii="Calibri" w:eastAsia="Calibri" w:hAnsi="Calibri"/>
          <w:rtl/>
        </w:rPr>
      </w:pPr>
    </w:p>
    <w:p w14:paraId="19F85987" w14:textId="77777777" w:rsidR="00AA4D92" w:rsidRPr="00BA5951" w:rsidRDefault="00AA4D92" w:rsidP="00AA4D92">
      <w:pPr>
        <w:numPr>
          <w:ilvl w:val="0"/>
          <w:numId w:val="1"/>
        </w:numPr>
        <w:spacing w:line="360" w:lineRule="auto"/>
        <w:contextualSpacing/>
        <w:jc w:val="both"/>
        <w:rPr>
          <w:rFonts w:ascii="Calibri" w:eastAsia="Calibri" w:hAnsi="Calibri"/>
          <w:rtl/>
        </w:rPr>
      </w:pPr>
      <w:r w:rsidRPr="00BA5951">
        <w:rPr>
          <w:rFonts w:ascii="David" w:hAnsi="David" w:hint="cs"/>
          <w:rtl/>
        </w:rPr>
        <w:t>טרם</w:t>
      </w:r>
      <w:r w:rsidRPr="00BA5951">
        <w:rPr>
          <w:rFonts w:ascii="Calibri" w:eastAsia="Calibri" w:hAnsi="Calibri" w:hint="cs"/>
          <w:rtl/>
        </w:rPr>
        <w:t xml:space="preserve"> </w:t>
      </w:r>
      <w:r w:rsidRPr="00BA5951">
        <w:rPr>
          <w:rFonts w:ascii="David" w:eastAsia="David" w:hAnsi="David" w:hint="cs"/>
          <w:rtl/>
        </w:rPr>
        <w:t>קביעת</w:t>
      </w:r>
      <w:r w:rsidRPr="00BA5951">
        <w:rPr>
          <w:rFonts w:ascii="Calibri" w:eastAsia="Calibri" w:hAnsi="Calibri" w:hint="cs"/>
          <w:rtl/>
        </w:rPr>
        <w:t xml:space="preserve"> מתחם העונש ההולם, יש לקבוע האם המעשים המיוחסים לנאשמים המפורטים על-פני מספר אישומים, מהווים אירוע אחד או מספר אירועים שונים. המבחן הנוהג בשאלה האמורה הוא "מבחן הקשר ההדוק" אשר אומץ בדעת הרוב ב</w:t>
      </w:r>
      <w:hyperlink r:id="rId44" w:history="1">
        <w:r w:rsidR="00C03507" w:rsidRPr="00C03507">
          <w:rPr>
            <w:rFonts w:ascii="Calibri" w:eastAsia="Calibri" w:hAnsi="Calibri" w:hint="cs"/>
            <w:color w:val="0000FF"/>
            <w:u w:val="single"/>
            <w:rtl/>
          </w:rPr>
          <w:t>ע</w:t>
        </w:r>
        <w:r w:rsidR="00C03507" w:rsidRPr="00C03507">
          <w:rPr>
            <w:rFonts w:ascii="Calibri" w:eastAsia="Calibri" w:hAnsi="Calibri"/>
            <w:color w:val="0000FF"/>
            <w:u w:val="single"/>
            <w:rtl/>
          </w:rPr>
          <w:t>"</w:t>
        </w:r>
        <w:r w:rsidR="00C03507" w:rsidRPr="00C03507">
          <w:rPr>
            <w:rFonts w:ascii="Calibri" w:eastAsia="Calibri" w:hAnsi="Calibri" w:hint="cs"/>
            <w:color w:val="0000FF"/>
            <w:u w:val="single"/>
            <w:rtl/>
          </w:rPr>
          <w:t>פ</w:t>
        </w:r>
        <w:r w:rsidR="00C03507" w:rsidRPr="00C03507">
          <w:rPr>
            <w:rFonts w:ascii="Calibri" w:eastAsia="Calibri" w:hAnsi="Calibri"/>
            <w:color w:val="0000FF"/>
            <w:u w:val="single"/>
            <w:rtl/>
          </w:rPr>
          <w:t xml:space="preserve"> 4910/13</w:t>
        </w:r>
      </w:hyperlink>
      <w:r w:rsidRPr="00BA5951">
        <w:rPr>
          <w:rFonts w:ascii="Calibri" w:eastAsia="Calibri" w:hAnsi="Calibri" w:hint="cs"/>
          <w:rtl/>
        </w:rPr>
        <w:t xml:space="preserve"> </w:t>
      </w:r>
      <w:r w:rsidRPr="00BA5951">
        <w:rPr>
          <w:rFonts w:ascii="Calibri" w:eastAsia="Calibri" w:hAnsi="Calibri" w:hint="cs"/>
          <w:b/>
          <w:bCs/>
          <w:rtl/>
        </w:rPr>
        <w:t>ג'אבר נ' מדינת ישראל</w:t>
      </w:r>
      <w:r w:rsidRPr="00BA5951">
        <w:rPr>
          <w:rFonts w:ascii="Calibri" w:eastAsia="Calibri" w:hAnsi="Calibri" w:hint="cs"/>
          <w:rtl/>
        </w:rPr>
        <w:t xml:space="preserve"> [29.10.2014] ובפסיקה שניתנה בעקבותיו (ראו, למשל: </w:t>
      </w:r>
      <w:hyperlink r:id="rId45" w:history="1">
        <w:r w:rsidR="00C03507" w:rsidRPr="00C03507">
          <w:rPr>
            <w:rFonts w:ascii="Calibri" w:eastAsia="Calibri" w:hAnsi="Calibri" w:hint="cs"/>
            <w:color w:val="0000FF"/>
            <w:u w:val="single"/>
            <w:rtl/>
          </w:rPr>
          <w:t>ע</w:t>
        </w:r>
        <w:r w:rsidR="00C03507" w:rsidRPr="00C03507">
          <w:rPr>
            <w:rFonts w:ascii="Calibri" w:eastAsia="Calibri" w:hAnsi="Calibri"/>
            <w:color w:val="0000FF"/>
            <w:u w:val="single"/>
            <w:rtl/>
          </w:rPr>
          <w:t>"</w:t>
        </w:r>
        <w:r w:rsidR="00C03507" w:rsidRPr="00C03507">
          <w:rPr>
            <w:rFonts w:ascii="Calibri" w:eastAsia="Calibri" w:hAnsi="Calibri" w:hint="cs"/>
            <w:color w:val="0000FF"/>
            <w:u w:val="single"/>
            <w:rtl/>
          </w:rPr>
          <w:t>פ</w:t>
        </w:r>
        <w:r w:rsidR="00C03507" w:rsidRPr="00C03507">
          <w:rPr>
            <w:rFonts w:ascii="Calibri" w:eastAsia="Calibri" w:hAnsi="Calibri"/>
            <w:color w:val="0000FF"/>
            <w:u w:val="single"/>
            <w:rtl/>
          </w:rPr>
          <w:t xml:space="preserve"> 2519/14</w:t>
        </w:r>
      </w:hyperlink>
      <w:r w:rsidRPr="00BA5951">
        <w:rPr>
          <w:rFonts w:ascii="Calibri" w:eastAsia="Calibri" w:hAnsi="Calibri" w:hint="cs"/>
          <w:rtl/>
        </w:rPr>
        <w:t xml:space="preserve"> </w:t>
      </w:r>
      <w:r w:rsidRPr="00BA5951">
        <w:rPr>
          <w:rFonts w:ascii="Calibri" w:eastAsia="Calibri" w:hAnsi="Calibri" w:hint="cs"/>
          <w:b/>
          <w:bCs/>
          <w:rtl/>
        </w:rPr>
        <w:t>אבו קיעאן נ' מדינת ישראל</w:t>
      </w:r>
      <w:r w:rsidRPr="00BA5951">
        <w:rPr>
          <w:rFonts w:ascii="Calibri" w:eastAsia="Calibri" w:hAnsi="Calibri" w:hint="cs"/>
          <w:rtl/>
        </w:rPr>
        <w:t xml:space="preserve"> [29.12.14], </w:t>
      </w:r>
      <w:hyperlink r:id="rId46" w:history="1">
        <w:r w:rsidR="00C03507" w:rsidRPr="00C03507">
          <w:rPr>
            <w:rFonts w:ascii="Calibri" w:eastAsia="Calibri" w:hAnsi="Calibri" w:hint="cs"/>
            <w:color w:val="0000FF"/>
            <w:u w:val="single"/>
            <w:rtl/>
          </w:rPr>
          <w:t>ע</w:t>
        </w:r>
        <w:r w:rsidR="00C03507" w:rsidRPr="00C03507">
          <w:rPr>
            <w:rFonts w:ascii="Calibri" w:eastAsia="Calibri" w:hAnsi="Calibri"/>
            <w:color w:val="0000FF"/>
            <w:u w:val="single"/>
            <w:rtl/>
          </w:rPr>
          <w:t>"</w:t>
        </w:r>
        <w:r w:rsidR="00C03507" w:rsidRPr="00C03507">
          <w:rPr>
            <w:rFonts w:ascii="Calibri" w:eastAsia="Calibri" w:hAnsi="Calibri" w:hint="cs"/>
            <w:color w:val="0000FF"/>
            <w:u w:val="single"/>
            <w:rtl/>
          </w:rPr>
          <w:t>פ</w:t>
        </w:r>
        <w:r w:rsidR="00C03507" w:rsidRPr="00C03507">
          <w:rPr>
            <w:rFonts w:ascii="Calibri" w:eastAsia="Calibri" w:hAnsi="Calibri"/>
            <w:color w:val="0000FF"/>
            <w:u w:val="single"/>
            <w:rtl/>
          </w:rPr>
          <w:t xml:space="preserve"> 1261/15</w:t>
        </w:r>
      </w:hyperlink>
      <w:r w:rsidRPr="00BA5951">
        <w:rPr>
          <w:rFonts w:ascii="Calibri" w:eastAsia="Calibri" w:hAnsi="Calibri" w:hint="cs"/>
          <w:rtl/>
        </w:rPr>
        <w:t xml:space="preserve"> </w:t>
      </w:r>
      <w:r w:rsidRPr="00BA5951">
        <w:rPr>
          <w:rFonts w:ascii="Calibri" w:eastAsia="Calibri" w:hAnsi="Calibri" w:hint="cs"/>
          <w:b/>
          <w:bCs/>
          <w:rtl/>
        </w:rPr>
        <w:t xml:space="preserve">מדינת ישראל נ' דלאל </w:t>
      </w:r>
      <w:r w:rsidRPr="00BA5951">
        <w:rPr>
          <w:rFonts w:ascii="Calibri" w:eastAsia="Calibri" w:hAnsi="Calibri" w:hint="cs"/>
          <w:rtl/>
        </w:rPr>
        <w:t>[3.9.2015]). בפסיקה זו נקבעו מבחני עזר לבחינת הקשר ההדוק, במסגרתם ניתן לבחון אפיון של תכנון, שיטתיות, האם העבירות התרחשו בסמיכות זמן או מקום, האם ביצועה של עבירה אחת נועדה לאפשר ביצועה של אחרת, כאשר קיומה של נסיבה אחת או יותר עשויה להעיד על קשר הדוק בין העבירות וללמד כי עסקינן באירוע אחד.</w:t>
      </w:r>
    </w:p>
    <w:p w14:paraId="678F5008" w14:textId="77777777" w:rsidR="00AA4D92" w:rsidRPr="00BA5951" w:rsidRDefault="00AA4D92" w:rsidP="00AA4D92">
      <w:pPr>
        <w:spacing w:line="360" w:lineRule="auto"/>
        <w:ind w:left="720"/>
        <w:jc w:val="both"/>
        <w:rPr>
          <w:rFonts w:ascii="Calibri" w:eastAsia="Calibri" w:hAnsi="Calibri"/>
          <w:rtl/>
        </w:rPr>
      </w:pPr>
      <w:r w:rsidRPr="00BA5951">
        <w:rPr>
          <w:rFonts w:ascii="Calibri" w:eastAsia="Calibri" w:hAnsi="Calibri" w:hint="cs"/>
          <w:rtl/>
        </w:rPr>
        <w:t xml:space="preserve">עיון בפסיקת בתי-המשפט מלמד כי כאשר מדובר במספר עבירות נשק שבוצעו באופן רציף או על פני תקופת זמן שאינה ארוכה, והעבירות בוצעו באופן שיטתי על-ידי אותם המעורבים – אכן נקבע מתחם ענישה אחד לכלל המעשים שבוצעו (ראו למשל: </w:t>
      </w:r>
      <w:hyperlink r:id="rId47" w:history="1">
        <w:r w:rsidR="00C03507" w:rsidRPr="00C03507">
          <w:rPr>
            <w:rFonts w:ascii="Calibri" w:eastAsia="Calibri" w:hAnsi="Calibri" w:hint="cs"/>
            <w:color w:val="0000FF"/>
            <w:u w:val="single"/>
            <w:rtl/>
          </w:rPr>
          <w:t>ת</w:t>
        </w:r>
        <w:r w:rsidR="00C03507" w:rsidRPr="00C03507">
          <w:rPr>
            <w:rFonts w:ascii="Calibri" w:eastAsia="Calibri" w:hAnsi="Calibri"/>
            <w:color w:val="0000FF"/>
            <w:u w:val="single"/>
            <w:rtl/>
          </w:rPr>
          <w:t>"</w:t>
        </w:r>
        <w:r w:rsidR="00C03507" w:rsidRPr="00C03507">
          <w:rPr>
            <w:rFonts w:ascii="Calibri" w:eastAsia="Calibri" w:hAnsi="Calibri" w:hint="cs"/>
            <w:color w:val="0000FF"/>
            <w:u w:val="single"/>
            <w:rtl/>
          </w:rPr>
          <w:t>פ</w:t>
        </w:r>
        <w:r w:rsidR="00C03507" w:rsidRPr="00C03507">
          <w:rPr>
            <w:rFonts w:ascii="Calibri" w:eastAsia="Calibri" w:hAnsi="Calibri"/>
            <w:color w:val="0000FF"/>
            <w:u w:val="single"/>
            <w:rtl/>
          </w:rPr>
          <w:t xml:space="preserve"> (</w:t>
        </w:r>
        <w:r w:rsidR="00C03507" w:rsidRPr="00C03507">
          <w:rPr>
            <w:rFonts w:ascii="Calibri" w:eastAsia="Calibri" w:hAnsi="Calibri" w:hint="cs"/>
            <w:color w:val="0000FF"/>
            <w:u w:val="single"/>
            <w:rtl/>
          </w:rPr>
          <w:t>מחוזי</w:t>
        </w:r>
        <w:r w:rsidR="00C03507" w:rsidRPr="00C03507">
          <w:rPr>
            <w:rFonts w:ascii="Calibri" w:eastAsia="Calibri" w:hAnsi="Calibri"/>
            <w:color w:val="0000FF"/>
            <w:u w:val="single"/>
            <w:rtl/>
          </w:rPr>
          <w:t xml:space="preserve"> </w:t>
        </w:r>
        <w:r w:rsidR="00C03507" w:rsidRPr="00C03507">
          <w:rPr>
            <w:rFonts w:ascii="Calibri" w:eastAsia="Calibri" w:hAnsi="Calibri" w:hint="cs"/>
            <w:color w:val="0000FF"/>
            <w:u w:val="single"/>
            <w:rtl/>
          </w:rPr>
          <w:t>ירושלים</w:t>
        </w:r>
        <w:r w:rsidR="00C03507" w:rsidRPr="00C03507">
          <w:rPr>
            <w:rFonts w:ascii="Calibri" w:eastAsia="Calibri" w:hAnsi="Calibri"/>
            <w:color w:val="0000FF"/>
            <w:u w:val="single"/>
            <w:rtl/>
          </w:rPr>
          <w:t>) 40256-11-14</w:t>
        </w:r>
      </w:hyperlink>
      <w:r w:rsidRPr="00BA5951">
        <w:rPr>
          <w:rFonts w:ascii="Calibri" w:eastAsia="Calibri" w:hAnsi="Calibri" w:hint="cs"/>
          <w:rtl/>
        </w:rPr>
        <w:t xml:space="preserve"> </w:t>
      </w:r>
      <w:r w:rsidRPr="00BA5951">
        <w:rPr>
          <w:rFonts w:ascii="Calibri" w:eastAsia="Calibri" w:hAnsi="Calibri" w:hint="cs"/>
          <w:b/>
          <w:bCs/>
          <w:rtl/>
        </w:rPr>
        <w:t>מדינת ישראל נ' יגמור</w:t>
      </w:r>
      <w:r w:rsidRPr="00BA5951">
        <w:rPr>
          <w:rFonts w:ascii="Calibri" w:eastAsia="Calibri" w:hAnsi="Calibri" w:hint="cs"/>
          <w:rtl/>
        </w:rPr>
        <w:t xml:space="preserve"> [6.1.2016]; </w:t>
      </w:r>
      <w:hyperlink r:id="rId48" w:history="1">
        <w:r w:rsidR="00C03507" w:rsidRPr="00C03507">
          <w:rPr>
            <w:rFonts w:ascii="Calibri" w:eastAsia="Calibri" w:hAnsi="Calibri" w:hint="cs"/>
            <w:color w:val="0000FF"/>
            <w:u w:val="single"/>
            <w:rtl/>
          </w:rPr>
          <w:t>ת</w:t>
        </w:r>
        <w:r w:rsidR="00C03507" w:rsidRPr="00C03507">
          <w:rPr>
            <w:rFonts w:ascii="Calibri" w:eastAsia="Calibri" w:hAnsi="Calibri"/>
            <w:color w:val="0000FF"/>
            <w:u w:val="single"/>
            <w:rtl/>
          </w:rPr>
          <w:t>"</w:t>
        </w:r>
        <w:r w:rsidR="00C03507" w:rsidRPr="00C03507">
          <w:rPr>
            <w:rFonts w:ascii="Calibri" w:eastAsia="Calibri" w:hAnsi="Calibri" w:hint="cs"/>
            <w:color w:val="0000FF"/>
            <w:u w:val="single"/>
            <w:rtl/>
          </w:rPr>
          <w:t>פ</w:t>
        </w:r>
        <w:r w:rsidR="00C03507" w:rsidRPr="00C03507">
          <w:rPr>
            <w:rFonts w:ascii="Calibri" w:eastAsia="Calibri" w:hAnsi="Calibri"/>
            <w:color w:val="0000FF"/>
            <w:u w:val="single"/>
            <w:rtl/>
          </w:rPr>
          <w:t xml:space="preserve"> (</w:t>
        </w:r>
        <w:r w:rsidR="00C03507" w:rsidRPr="00C03507">
          <w:rPr>
            <w:rFonts w:ascii="Calibri" w:eastAsia="Calibri" w:hAnsi="Calibri" w:hint="cs"/>
            <w:color w:val="0000FF"/>
            <w:u w:val="single"/>
            <w:rtl/>
          </w:rPr>
          <w:t>מחוזי</w:t>
        </w:r>
        <w:r w:rsidR="00C03507" w:rsidRPr="00C03507">
          <w:rPr>
            <w:rFonts w:ascii="Calibri" w:eastAsia="Calibri" w:hAnsi="Calibri"/>
            <w:color w:val="0000FF"/>
            <w:u w:val="single"/>
            <w:rtl/>
          </w:rPr>
          <w:t xml:space="preserve"> </w:t>
        </w:r>
        <w:r w:rsidR="00C03507" w:rsidRPr="00C03507">
          <w:rPr>
            <w:rFonts w:ascii="Calibri" w:eastAsia="Calibri" w:hAnsi="Calibri" w:hint="cs"/>
            <w:color w:val="0000FF"/>
            <w:u w:val="single"/>
            <w:rtl/>
          </w:rPr>
          <w:t>חיפה</w:t>
        </w:r>
        <w:r w:rsidR="00C03507" w:rsidRPr="00C03507">
          <w:rPr>
            <w:rFonts w:ascii="Calibri" w:eastAsia="Calibri" w:hAnsi="Calibri"/>
            <w:color w:val="0000FF"/>
            <w:u w:val="single"/>
            <w:rtl/>
          </w:rPr>
          <w:t>) 46183-11-15</w:t>
        </w:r>
      </w:hyperlink>
      <w:r w:rsidRPr="00BA5951">
        <w:rPr>
          <w:rFonts w:ascii="Calibri" w:eastAsia="Calibri" w:hAnsi="Calibri" w:hint="cs"/>
          <w:rtl/>
        </w:rPr>
        <w:t xml:space="preserve"> </w:t>
      </w:r>
      <w:r w:rsidRPr="00BA5951">
        <w:rPr>
          <w:rFonts w:ascii="Calibri" w:eastAsia="Calibri" w:hAnsi="Calibri" w:hint="cs"/>
          <w:b/>
          <w:bCs/>
          <w:rtl/>
        </w:rPr>
        <w:t>מדינת ישראל נ' מחאמיד</w:t>
      </w:r>
      <w:r w:rsidRPr="00BA5951">
        <w:rPr>
          <w:rFonts w:ascii="Calibri" w:eastAsia="Calibri" w:hAnsi="Calibri" w:hint="cs"/>
          <w:rtl/>
        </w:rPr>
        <w:t xml:space="preserve"> [27.9.2016]). לעומת זאת, בענייננו, האישום הראשון בלבד משותף לכל הנאשמים יחדיו, והאישומים האחרים בוצעו כל פעם על-ידי נאשמים אחרים, לא בסמיכות זמנים ובנסיבות שונות לחלוטין – כך שבמקרה זה יש מקום אכן לקבוע מתחם עונש הולם נפרד לגבי כל אחד מהאישומים.</w:t>
      </w:r>
    </w:p>
    <w:p w14:paraId="7FFE2163" w14:textId="77777777" w:rsidR="00AA4D92" w:rsidRPr="00BA5951" w:rsidRDefault="00AA4D92" w:rsidP="00AA4D92">
      <w:pPr>
        <w:spacing w:line="360" w:lineRule="auto"/>
        <w:ind w:left="720"/>
        <w:jc w:val="both"/>
        <w:rPr>
          <w:rFonts w:ascii="Calibri" w:eastAsia="Calibri" w:hAnsi="Calibri"/>
          <w:rtl/>
        </w:rPr>
      </w:pPr>
      <w:r w:rsidRPr="00BA5951">
        <w:rPr>
          <w:rFonts w:ascii="Calibri" w:eastAsia="Calibri" w:hAnsi="Calibri" w:hint="cs"/>
          <w:rtl/>
        </w:rPr>
        <w:t xml:space="preserve">מעבר לצורך יצוין, שגם אם הייתי מאמצת את גישת ההגנה לפיה יש לקבוע מתחם עונשי אחד, הרי שהיה נקבע מתחם הכולל בתוכו מסכת של ביצוע עבירות, כך שבאופן מעשי אין באימוץ גישה כזו או אחרת כדי לשנות מהתוצאה הסופית. לדידי, במקרה זה קביעת מתחם לכל אישום (המהווה אירוע אחד) תשקף בצורה ברורה יותר את שיקולי הענישה, ובכל מקרה בסופו של יום ייגזר עונש כולל. </w:t>
      </w:r>
    </w:p>
    <w:p w14:paraId="5353D50A" w14:textId="77777777" w:rsidR="00AA4D92" w:rsidRPr="00BA5951" w:rsidRDefault="00AA4D92" w:rsidP="00AA4D92">
      <w:pPr>
        <w:spacing w:line="360" w:lineRule="auto"/>
        <w:ind w:left="720"/>
        <w:jc w:val="both"/>
        <w:rPr>
          <w:rFonts w:ascii="Calibri" w:eastAsia="Calibri" w:hAnsi="Calibri"/>
          <w:rtl/>
        </w:rPr>
      </w:pPr>
    </w:p>
    <w:p w14:paraId="5220C70F" w14:textId="77777777" w:rsidR="00AA4D92" w:rsidRPr="00BA5951" w:rsidRDefault="00AA4D92" w:rsidP="00AA4D92">
      <w:pPr>
        <w:numPr>
          <w:ilvl w:val="0"/>
          <w:numId w:val="1"/>
        </w:numPr>
        <w:spacing w:line="360" w:lineRule="auto"/>
        <w:contextualSpacing/>
        <w:jc w:val="both"/>
        <w:rPr>
          <w:rtl/>
        </w:rPr>
      </w:pPr>
      <w:r w:rsidRPr="00BA5951">
        <w:rPr>
          <w:rFonts w:ascii="David" w:hAnsi="David" w:hint="cs"/>
          <w:rtl/>
        </w:rPr>
        <w:t>הנאשמים</w:t>
      </w:r>
      <w:r w:rsidRPr="00BA5951">
        <w:rPr>
          <w:rFonts w:ascii="Calibri" w:eastAsia="Calibri" w:hAnsi="Calibri" w:hint="cs"/>
          <w:rtl/>
        </w:rPr>
        <w:t xml:space="preserve"> </w:t>
      </w:r>
      <w:r w:rsidRPr="00BA5951">
        <w:rPr>
          <w:rFonts w:ascii="David" w:eastAsia="David" w:hAnsi="David" w:hint="cs"/>
          <w:rtl/>
        </w:rPr>
        <w:t>במעשיהם</w:t>
      </w:r>
      <w:r w:rsidRPr="00BA5951">
        <w:rPr>
          <w:rFonts w:ascii="Calibri" w:eastAsia="Calibri" w:hAnsi="Calibri" w:hint="cs"/>
          <w:rtl/>
        </w:rPr>
        <w:t xml:space="preserve"> פגעו במספר </w:t>
      </w:r>
      <w:r w:rsidRPr="00BA5951">
        <w:rPr>
          <w:rFonts w:ascii="Calibri" w:eastAsia="Calibri" w:hAnsi="Calibri" w:hint="cs"/>
          <w:u w:val="single"/>
          <w:rtl/>
        </w:rPr>
        <w:t>ערכים חברתיים מוגנים</w:t>
      </w:r>
      <w:r w:rsidRPr="00BA5951">
        <w:rPr>
          <w:rFonts w:ascii="Calibri" w:eastAsia="Calibri" w:hAnsi="Calibri" w:hint="cs"/>
          <w:rtl/>
        </w:rPr>
        <w:t xml:space="preserve">, שבמרכזם שמירה על שלום הציבור ובטחונו ותחושת הביטחון האישית של כל אזרח: </w:t>
      </w:r>
    </w:p>
    <w:p w14:paraId="4E816FE7" w14:textId="77777777" w:rsidR="00AA4D92" w:rsidRPr="00BA5951" w:rsidRDefault="00AA4D92" w:rsidP="00AA4D92">
      <w:pPr>
        <w:spacing w:line="360" w:lineRule="auto"/>
        <w:ind w:left="720" w:hanging="720"/>
        <w:jc w:val="both"/>
        <w:rPr>
          <w:rtl/>
        </w:rPr>
      </w:pPr>
    </w:p>
    <w:p w14:paraId="56AEC882" w14:textId="77777777" w:rsidR="00AA4D92" w:rsidRPr="00BA5951" w:rsidRDefault="00AA4D92" w:rsidP="00AA4D92">
      <w:pPr>
        <w:overflowPunct w:val="0"/>
        <w:autoSpaceDE w:val="0"/>
        <w:autoSpaceDN w:val="0"/>
        <w:adjustRightInd w:val="0"/>
        <w:ind w:left="1440" w:right="1418"/>
        <w:jc w:val="both"/>
        <w:rPr>
          <w:rtl/>
        </w:rPr>
      </w:pPr>
      <w:r w:rsidRPr="00BA5951">
        <w:rPr>
          <w:rFonts w:hint="cs"/>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על מעשי הכנה כאלה נענשים בחומרה, ואין זה מקרי שעצם הרכישה או ההחזקה של כלי נשק בלא רשות על פי דין להחזקתו גוררת אחריה עונש מרבי של שבע שנות מאסר...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w:t>
      </w:r>
      <w:r w:rsidRPr="00BA5951">
        <w:rPr>
          <w:rFonts w:hint="cs"/>
          <w:rtl/>
        </w:rPr>
        <w:t>(ראו ב</w:t>
      </w:r>
      <w:hyperlink r:id="rId49" w:history="1">
        <w:r w:rsidR="00C03507" w:rsidRPr="00C03507">
          <w:rPr>
            <w:color w:val="0000FF"/>
            <w:u w:val="single"/>
            <w:rtl/>
          </w:rPr>
          <w:t>ע"פ 147/21</w:t>
        </w:r>
      </w:hyperlink>
      <w:r w:rsidRPr="00BA5951">
        <w:rPr>
          <w:rFonts w:hint="cs"/>
          <w:b/>
          <w:bCs/>
          <w:rtl/>
        </w:rPr>
        <w:t xml:space="preserve"> מדינת ישראל נגד ביטון, </w:t>
      </w:r>
      <w:r w:rsidRPr="00BA5951">
        <w:rPr>
          <w:rFonts w:hint="cs"/>
          <w:rtl/>
        </w:rPr>
        <w:t>[14.2.21], פסקה 7, להלן:</w:t>
      </w:r>
      <w:r w:rsidRPr="00BA5951">
        <w:rPr>
          <w:rFonts w:hint="cs"/>
          <w:b/>
          <w:bCs/>
          <w:rtl/>
        </w:rPr>
        <w:t xml:space="preserve"> "ע"פ ביטון").</w:t>
      </w:r>
    </w:p>
    <w:p w14:paraId="0A4F0A08" w14:textId="77777777" w:rsidR="00AA4D92" w:rsidRPr="00BA5951" w:rsidRDefault="00AA4D92" w:rsidP="00AA4D92">
      <w:pPr>
        <w:spacing w:line="360" w:lineRule="auto"/>
        <w:ind w:left="1440"/>
        <w:jc w:val="both"/>
        <w:rPr>
          <w:rtl/>
        </w:rPr>
      </w:pPr>
    </w:p>
    <w:p w14:paraId="1540907A" w14:textId="77777777" w:rsidR="00AA4D92" w:rsidRPr="00BA5951" w:rsidRDefault="00AA4D92" w:rsidP="00AA4D92">
      <w:pPr>
        <w:spacing w:line="360" w:lineRule="auto"/>
        <w:ind w:firstLine="720"/>
        <w:jc w:val="both"/>
        <w:rPr>
          <w:rtl/>
        </w:rPr>
      </w:pPr>
      <w:r w:rsidRPr="00BA5951">
        <w:rPr>
          <w:rFonts w:hint="cs"/>
          <w:rtl/>
        </w:rPr>
        <w:t>ועוד:</w:t>
      </w:r>
    </w:p>
    <w:p w14:paraId="68F35B4E" w14:textId="77777777" w:rsidR="00AA4D92" w:rsidRPr="00BA5951" w:rsidRDefault="00AA4D92" w:rsidP="00AA4D92">
      <w:pPr>
        <w:overflowPunct w:val="0"/>
        <w:autoSpaceDE w:val="0"/>
        <w:autoSpaceDN w:val="0"/>
        <w:adjustRightInd w:val="0"/>
        <w:ind w:left="1440" w:right="1418"/>
        <w:jc w:val="both"/>
        <w:rPr>
          <w:rtl/>
        </w:rPr>
      </w:pPr>
      <w:r w:rsidRPr="00BA5951">
        <w:rPr>
          <w:rFonts w:hint="cs"/>
          <w:b/>
          <w:bCs/>
          <w:rtl/>
        </w:rPr>
        <w:t xml:space="preserve">"להעברתם של כלי נשק מיד ליד באופן בלתי חוקי, ללא פיקוח או בקרה, עלולות להיות השלכות הרות אסון. פעילות עבריינית כזו יכולה להוליד תוצאות קשות ועל כן היא מהווה סיכון ממשי לשלומו של הציבור..." </w:t>
      </w:r>
      <w:r w:rsidRPr="00BA5951">
        <w:rPr>
          <w:rFonts w:hint="cs"/>
          <w:rtl/>
        </w:rPr>
        <w:t>(</w:t>
      </w:r>
      <w:hyperlink r:id="rId50" w:history="1">
        <w:r w:rsidR="00C03507" w:rsidRPr="00C03507">
          <w:rPr>
            <w:color w:val="0000FF"/>
            <w:u w:val="single"/>
            <w:rtl/>
          </w:rPr>
          <w:t>ע"פ 1903/13</w:t>
        </w:r>
      </w:hyperlink>
      <w:r w:rsidRPr="00BA5951">
        <w:rPr>
          <w:rFonts w:hint="cs"/>
          <w:b/>
          <w:bCs/>
          <w:rtl/>
        </w:rPr>
        <w:t xml:space="preserve"> עאישה נגד מדינת ישראל </w:t>
      </w:r>
      <w:r w:rsidRPr="00BA5951">
        <w:rPr>
          <w:rFonts w:hint="cs"/>
          <w:rtl/>
        </w:rPr>
        <w:t>[14.7.13]).</w:t>
      </w:r>
    </w:p>
    <w:p w14:paraId="5B02A802" w14:textId="77777777" w:rsidR="00AA4D92" w:rsidRPr="00BA5951" w:rsidRDefault="00AA4D92" w:rsidP="00AA4D92">
      <w:pPr>
        <w:spacing w:line="360" w:lineRule="auto"/>
        <w:ind w:left="1440"/>
        <w:jc w:val="both"/>
      </w:pPr>
    </w:p>
    <w:p w14:paraId="0FF44B6B" w14:textId="77777777" w:rsidR="00AA4D92" w:rsidRPr="00BA5951" w:rsidRDefault="00AA4D92" w:rsidP="00AA4D92">
      <w:pPr>
        <w:numPr>
          <w:ilvl w:val="0"/>
          <w:numId w:val="1"/>
        </w:numPr>
        <w:spacing w:line="360" w:lineRule="auto"/>
        <w:contextualSpacing/>
        <w:jc w:val="both"/>
        <w:rPr>
          <w:rtl/>
        </w:rPr>
      </w:pPr>
      <w:r w:rsidRPr="00BA5951">
        <w:rPr>
          <w:rFonts w:ascii="David" w:hAnsi="David" w:hint="cs"/>
          <w:rtl/>
        </w:rPr>
        <w:t>בחינת</w:t>
      </w:r>
      <w:r w:rsidRPr="00BA5951">
        <w:rPr>
          <w:rFonts w:hint="cs"/>
          <w:rtl/>
        </w:rPr>
        <w:t xml:space="preserve"> </w:t>
      </w:r>
      <w:r w:rsidRPr="00BA5951">
        <w:rPr>
          <w:rFonts w:hint="cs"/>
          <w:u w:val="single"/>
          <w:rtl/>
        </w:rPr>
        <w:t>הנסיבות הקשורות בביצוע העבירות</w:t>
      </w:r>
      <w:r w:rsidRPr="00BA5951">
        <w:rPr>
          <w:rFonts w:hint="cs"/>
          <w:rtl/>
        </w:rPr>
        <w:t xml:space="preserve">, לפי </w:t>
      </w:r>
      <w:hyperlink r:id="rId51" w:history="1">
        <w:r w:rsidR="008429B1" w:rsidRPr="008429B1">
          <w:rPr>
            <w:rStyle w:val="Hyperlink"/>
            <w:rFonts w:hint="eastAsia"/>
            <w:rtl/>
          </w:rPr>
          <w:t>סעיף</w:t>
        </w:r>
        <w:r w:rsidR="008429B1" w:rsidRPr="008429B1">
          <w:rPr>
            <w:rStyle w:val="Hyperlink"/>
            <w:rtl/>
          </w:rPr>
          <w:t xml:space="preserve"> 40ט(א)</w:t>
        </w:r>
      </w:hyperlink>
      <w:r w:rsidRPr="00BA5951">
        <w:rPr>
          <w:rFonts w:hint="cs"/>
          <w:rtl/>
        </w:rPr>
        <w:t xml:space="preserve"> ל</w:t>
      </w:r>
      <w:hyperlink r:id="rId52" w:history="1">
        <w:r w:rsidR="00C03507" w:rsidRPr="00C03507">
          <w:rPr>
            <w:color w:val="0000FF"/>
            <w:u w:val="single"/>
            <w:rtl/>
          </w:rPr>
          <w:t>חוק העונשין</w:t>
        </w:r>
      </w:hyperlink>
      <w:r w:rsidRPr="00BA5951">
        <w:rPr>
          <w:rFonts w:hint="cs"/>
          <w:rtl/>
        </w:rPr>
        <w:t>, תיעשה לגבי כל נאשם בנפרד בהתאם לחלקו בכל אישום, אך אציין, ראשית, מספר הערות כלליות לעניין אופן קביעת המתחם.</w:t>
      </w:r>
    </w:p>
    <w:p w14:paraId="29FDF08F" w14:textId="77777777" w:rsidR="00AA4D92" w:rsidRPr="00BA5951" w:rsidRDefault="00AA4D92" w:rsidP="00AA4D92">
      <w:pPr>
        <w:tabs>
          <w:tab w:val="left" w:pos="288"/>
          <w:tab w:val="left" w:pos="1008"/>
          <w:tab w:val="left" w:pos="1296"/>
          <w:tab w:val="left" w:pos="4896"/>
        </w:tabs>
        <w:overflowPunct w:val="0"/>
        <w:autoSpaceDE w:val="0"/>
        <w:autoSpaceDN w:val="0"/>
        <w:adjustRightInd w:val="0"/>
        <w:spacing w:line="360" w:lineRule="auto"/>
        <w:ind w:left="720" w:hanging="720"/>
        <w:jc w:val="both"/>
        <w:rPr>
          <w:rtl/>
        </w:rPr>
      </w:pPr>
    </w:p>
    <w:p w14:paraId="0E0269A1" w14:textId="77777777" w:rsidR="00AA4D92" w:rsidRPr="00BA5951" w:rsidRDefault="00AA4D92" w:rsidP="00AA4D92">
      <w:pPr>
        <w:numPr>
          <w:ilvl w:val="0"/>
          <w:numId w:val="1"/>
        </w:numPr>
        <w:spacing w:line="360" w:lineRule="auto"/>
        <w:contextualSpacing/>
        <w:jc w:val="both"/>
        <w:rPr>
          <w:rFonts w:ascii="Calibri" w:hAnsi="Calibri"/>
          <w:rtl/>
        </w:rPr>
      </w:pPr>
      <w:r w:rsidRPr="00BA5951">
        <w:rPr>
          <w:rFonts w:ascii="David" w:hAnsi="David" w:hint="cs"/>
          <w:rtl/>
        </w:rPr>
        <w:t xml:space="preserve">לצורך קביעת מתחם העונש ההולם בעבירות נשק, יש לדרג את סוגי הנשקים השונים על רקע מידת הסיכון הנשקף לציבור מהם, מהקל אל הכבד: </w:t>
      </w:r>
      <w:r w:rsidRPr="00BA5951">
        <w:rPr>
          <w:rFonts w:ascii="Calibri" w:hAnsi="Calibri" w:hint="cs"/>
          <w:rtl/>
        </w:rPr>
        <w:t xml:space="preserve">תחמושת ללא נשק נלווה; בקבוק תבערה; אקדח; תת מקלע או רובה; מטען חבלה (ראו גם בהנחיית פרקליט המדינה 9.16 - מדיניות ענישה בעבירות נשק ומטעני חבלה מיום 7.8.16). </w:t>
      </w:r>
    </w:p>
    <w:p w14:paraId="0D9B0A80" w14:textId="77777777" w:rsidR="00AA4D92" w:rsidRPr="00BA5951" w:rsidRDefault="00AA4D92" w:rsidP="00AA4D92">
      <w:pPr>
        <w:spacing w:line="360" w:lineRule="auto"/>
        <w:ind w:left="720"/>
        <w:jc w:val="both"/>
        <w:rPr>
          <w:rFonts w:ascii="David" w:hAnsi="David"/>
          <w:rtl/>
        </w:rPr>
      </w:pPr>
    </w:p>
    <w:p w14:paraId="0FEE8F25"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 xml:space="preserve">באשר לעבירה של החזקת נשק, עד היום מקובל הסיווג שנקבע על-ידי כב' השופט בך בבש"פ </w:t>
      </w:r>
      <w:hyperlink r:id="rId53" w:history="1">
        <w:r w:rsidR="00C1061A" w:rsidRPr="00C1061A">
          <w:rPr>
            <w:rStyle w:val="Hyperlink"/>
            <w:rFonts w:ascii="David" w:hAnsi="David"/>
            <w:rtl/>
          </w:rPr>
          <w:t>625/82</w:t>
        </w:r>
      </w:hyperlink>
      <w:r w:rsidRPr="00BA5951">
        <w:rPr>
          <w:rFonts w:ascii="David" w:hAnsi="David" w:hint="cs"/>
          <w:rtl/>
        </w:rPr>
        <w:t xml:space="preserve"> </w:t>
      </w:r>
      <w:r w:rsidRPr="00BA5951">
        <w:rPr>
          <w:rFonts w:ascii="David" w:hAnsi="David" w:hint="cs"/>
          <w:b/>
          <w:bCs/>
          <w:rtl/>
        </w:rPr>
        <w:t>אבו-מוך נגד מדינת ישראל</w:t>
      </w:r>
      <w:r w:rsidRPr="00BA5951">
        <w:rPr>
          <w:rFonts w:ascii="David" w:hAnsi="David" w:hint="cs"/>
          <w:rtl/>
        </w:rPr>
        <w:t xml:space="preserve">, פ"ד לז(3) 668 (1982), אשר קבע קטיגוריות לבחינת חומרת העבירה מהכבד לקל: החזקת נשק לצורך פגיעה בביטחון המדינה; החזקת נשק לשם ביצוע עבירות פליליות; החזקת נשק לעת מצוא כדי לאפשר פעילות פלילית לעתיד; צבירת נשק על רקע אידאולוגי; החזקת נשק לצורך הגנה עצמית או הגנת המשפחה; החזקת נשק לצורך ציד או ספורט; החזקת נשק כמזכרת או לאוסף; החזקת נשק למי שפג רשיונו (לאישור סיווג זה, ראו למשל: </w:t>
      </w:r>
      <w:hyperlink r:id="rId54" w:history="1">
        <w:r w:rsidR="00C03507" w:rsidRPr="00C03507">
          <w:rPr>
            <w:rFonts w:ascii="David" w:hAnsi="David"/>
            <w:color w:val="0000FF"/>
            <w:u w:val="single"/>
            <w:rtl/>
          </w:rPr>
          <w:t>ע"פ 8473/13</w:t>
        </w:r>
      </w:hyperlink>
      <w:r w:rsidRPr="00BA5951">
        <w:rPr>
          <w:rFonts w:ascii="David" w:hAnsi="David" w:hint="cs"/>
          <w:rtl/>
        </w:rPr>
        <w:t xml:space="preserve"> </w:t>
      </w:r>
      <w:r w:rsidRPr="00BA5951">
        <w:rPr>
          <w:rFonts w:ascii="David" w:hAnsi="David" w:hint="cs"/>
          <w:b/>
          <w:bCs/>
          <w:rtl/>
        </w:rPr>
        <w:t xml:space="preserve">חוסיין נגד מדינת ישראל </w:t>
      </w:r>
      <w:r w:rsidRPr="00BA5951">
        <w:rPr>
          <w:rFonts w:ascii="David" w:hAnsi="David" w:hint="cs"/>
          <w:rtl/>
        </w:rPr>
        <w:t>[22.7.14], פסקה 3; וסיווג זה נכון הוא, בשינויים המחויבים, לבחינת כל עבירות הנשק).</w:t>
      </w:r>
    </w:p>
    <w:p w14:paraId="4DF62C39" w14:textId="77777777" w:rsidR="00AA4D92" w:rsidRPr="00BA5951" w:rsidRDefault="00AA4D92" w:rsidP="00AA4D92">
      <w:pPr>
        <w:spacing w:line="360" w:lineRule="auto"/>
        <w:ind w:left="720" w:hanging="720"/>
        <w:jc w:val="both"/>
        <w:rPr>
          <w:rtl/>
        </w:rPr>
      </w:pPr>
      <w:r w:rsidRPr="00BA5951">
        <w:rPr>
          <w:rFonts w:ascii="David" w:hAnsi="David" w:hint="cs"/>
          <w:rtl/>
        </w:rPr>
        <w:tab/>
        <w:t xml:space="preserve"> </w:t>
      </w:r>
    </w:p>
    <w:p w14:paraId="780B5FDE" w14:textId="77777777" w:rsidR="00AA4D92" w:rsidRPr="00BA5951" w:rsidRDefault="00AA4D92" w:rsidP="00AA4D92">
      <w:pPr>
        <w:numPr>
          <w:ilvl w:val="0"/>
          <w:numId w:val="1"/>
        </w:numPr>
        <w:spacing w:line="360" w:lineRule="auto"/>
        <w:contextualSpacing/>
        <w:jc w:val="both"/>
        <w:rPr>
          <w:rtl/>
        </w:rPr>
      </w:pPr>
      <w:r w:rsidRPr="00BA5951">
        <w:rPr>
          <w:rFonts w:ascii="David" w:hAnsi="David" w:hint="cs"/>
          <w:u w:val="single"/>
          <w:rtl/>
        </w:rPr>
        <w:t>אישום</w:t>
      </w:r>
      <w:r w:rsidRPr="00BA5951">
        <w:rPr>
          <w:rFonts w:hint="cs"/>
          <w:u w:val="single"/>
          <w:rtl/>
        </w:rPr>
        <w:t xml:space="preserve"> 1:</w:t>
      </w:r>
      <w:r w:rsidRPr="00BA5951">
        <w:rPr>
          <w:rFonts w:hint="cs"/>
          <w:rtl/>
        </w:rPr>
        <w:t xml:space="preserve"> </w:t>
      </w:r>
    </w:p>
    <w:p w14:paraId="6769CDB1" w14:textId="77777777" w:rsidR="00AA4D92" w:rsidRPr="00BA5951" w:rsidRDefault="00AA4D92" w:rsidP="00AA4D92">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tl/>
        </w:rPr>
      </w:pPr>
      <w:r w:rsidRPr="00BA5951">
        <w:rPr>
          <w:rFonts w:hint="cs"/>
          <w:rtl/>
        </w:rPr>
        <w:tab/>
      </w:r>
      <w:r w:rsidRPr="00BA5951">
        <w:rPr>
          <w:rFonts w:hint="cs"/>
          <w:rtl/>
        </w:rPr>
        <w:tab/>
      </w:r>
      <w:r w:rsidRPr="00BA5951">
        <w:rPr>
          <w:rFonts w:ascii="David" w:hAnsi="David" w:hint="cs"/>
          <w:rtl/>
        </w:rPr>
        <w:t xml:space="preserve">מעורבותו המרכזית של </w:t>
      </w:r>
      <w:r w:rsidRPr="00BA5951">
        <w:rPr>
          <w:rFonts w:ascii="David" w:hAnsi="David" w:hint="cs"/>
          <w:b/>
          <w:bCs/>
          <w:rtl/>
        </w:rPr>
        <w:t>נאשם 1</w:t>
      </w:r>
      <w:r w:rsidRPr="00BA5951">
        <w:rPr>
          <w:rFonts w:ascii="David" w:hAnsi="David" w:hint="cs"/>
          <w:rtl/>
        </w:rPr>
        <w:t xml:space="preserve"> מתחילה לאחר שנאשם 4 פונה אליו בבקשה לרכוש ממנו נשק. הנאשם 1 הוא שהציע למכור לו רובה ציד, שלח לו תמונה של הרובה עם מספר סידורי, ניהל את המו"מ מול הנאשם 4, היה אחראי על התכנון במובן של מתן הוראות להתקנת יישומונים, ובהמשך הוא זה שיזם המשך עסקה מול נאשם 4 והציע לו כלי נשק נוסף.  </w:t>
      </w:r>
    </w:p>
    <w:p w14:paraId="6104FDDA"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לצורך ביצוע העסקה, נסע הנאשם 1 יחד עם שני הנאשמים הנוספים אל תוך שטחי רשות בשני רכבים נפרדים, בוצעו חילופי רכבים ובסופו של יום הוא היחיד שהיה מודע לקיומם של רובה הציד ואקדח ברטה, כפי שסיכם עם נאשם 4,  אשר נמצאו ברכב בו נהג עם הכניסה לישראל.</w:t>
      </w:r>
    </w:p>
    <w:p w14:paraId="178B8C62"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 xml:space="preserve">באשר לנזק שהיה עלול להיגרם מביצוע העבירות אציין, כי רובה הציד – שממילא פוטנציאל הקטלניות שבו נמוך יותר – היה מפורק, אך אקדח הברטה הוא כלי נשק מסוכן וקטלני, אותו הביא הנאשם 1 מיוזמתו למען נאשם 4. עוד יצוין, כי האירוע הסתיים מבלי שנעשה שימוש בנשקים בשל פעילות משטרתית מוצלחת ולא בשל התנהלותו של הנאשם 1. </w:t>
      </w:r>
    </w:p>
    <w:p w14:paraId="5F954C90" w14:textId="77777777" w:rsidR="00AA4D92" w:rsidRPr="00BA5951" w:rsidRDefault="00AA4D92" w:rsidP="00AA4D92">
      <w:pPr>
        <w:spacing w:line="360" w:lineRule="auto"/>
        <w:ind w:left="720"/>
        <w:jc w:val="both"/>
        <w:rPr>
          <w:rtl/>
        </w:rPr>
      </w:pPr>
      <w:r w:rsidRPr="00BA5951">
        <w:rPr>
          <w:rFonts w:ascii="David" w:hAnsi="David" w:hint="cs"/>
          <w:rtl/>
        </w:rPr>
        <w:t>באישום זה, מיוחס לנאשם 1 ניסיון לעסקה אחרת בנשק, ועבירה מוגמרת של נשיאת והובלת נשק</w:t>
      </w:r>
      <w:r w:rsidRPr="00BA5951">
        <w:rPr>
          <w:rFonts w:hint="cs"/>
          <w:rtl/>
        </w:rPr>
        <w:t xml:space="preserve"> לצד קשירת קשר, כשהפגיעה בערכים המוגנים היא מוחשית.</w:t>
      </w:r>
    </w:p>
    <w:p w14:paraId="7DA71CA8" w14:textId="77777777" w:rsidR="00AA4D92" w:rsidRPr="00BA5951" w:rsidRDefault="00AA4D92" w:rsidP="00AA4D92">
      <w:pPr>
        <w:tabs>
          <w:tab w:val="left" w:pos="288"/>
          <w:tab w:val="left" w:pos="1008"/>
          <w:tab w:val="left" w:pos="1296"/>
          <w:tab w:val="left" w:pos="4896"/>
        </w:tabs>
        <w:overflowPunct w:val="0"/>
        <w:autoSpaceDE w:val="0"/>
        <w:autoSpaceDN w:val="0"/>
        <w:adjustRightInd w:val="0"/>
        <w:spacing w:line="360" w:lineRule="auto"/>
        <w:ind w:left="720" w:hanging="720"/>
        <w:jc w:val="both"/>
        <w:rPr>
          <w:rtl/>
        </w:rPr>
      </w:pPr>
      <w:r w:rsidRPr="00BA5951">
        <w:rPr>
          <w:rFonts w:hint="cs"/>
          <w:rtl/>
        </w:rPr>
        <w:tab/>
      </w:r>
      <w:r w:rsidRPr="00BA5951">
        <w:rPr>
          <w:rFonts w:hint="cs"/>
          <w:rtl/>
        </w:rPr>
        <w:tab/>
      </w:r>
    </w:p>
    <w:p w14:paraId="0F034BE6" w14:textId="77777777" w:rsidR="00AA4D92" w:rsidRPr="00BA5951" w:rsidRDefault="00AA4D92" w:rsidP="00AA4D92">
      <w:pPr>
        <w:spacing w:line="360" w:lineRule="auto"/>
        <w:ind w:left="720"/>
        <w:jc w:val="both"/>
        <w:rPr>
          <w:rFonts w:ascii="David" w:hAnsi="David"/>
          <w:rtl/>
        </w:rPr>
      </w:pPr>
      <w:r w:rsidRPr="00BA5951">
        <w:rPr>
          <w:rFonts w:ascii="David" w:hAnsi="David" w:hint="cs"/>
          <w:b/>
          <w:bCs/>
          <w:rtl/>
        </w:rPr>
        <w:t>נאשמים 2 ו- 3</w:t>
      </w:r>
      <w:r w:rsidRPr="00BA5951">
        <w:rPr>
          <w:rFonts w:ascii="David" w:hAnsi="David" w:hint="cs"/>
          <w:rtl/>
        </w:rPr>
        <w:t xml:space="preserve">, לא היו שותפים לחלק המקדים של תכנון העסקה, אלא הצטרפו לנאשם 1 החל מהנסיעה לתוך שטחי הרשות, כשהם היו שותפים לחילופי הרכבים במטרה להקל על הנאשם 1 את המעבר חזרה לישראל, אך היו מודעים להימצאותו של רובה הציד המפורק בלבד ולא לאקדח, אותו נשא הנאשם 1 ברכבו. </w:t>
      </w:r>
    </w:p>
    <w:p w14:paraId="0C837B91"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 xml:space="preserve">נאשמים 2 ו- 3 הורשעו באישום זה בסיוע לנשיאה והובלת נשק ברף חומרה בינוני, שכן סיוע זה כלל נסיעה לשטחים וחזרה לישראל, אך מן העבר השני הם היו מועדים לכך שהדבר כרוך בנשיאת רובה ציד מפורק בלבד. </w:t>
      </w:r>
    </w:p>
    <w:p w14:paraId="2B282851" w14:textId="77777777" w:rsidR="00AA4D92" w:rsidRPr="00BA5951" w:rsidRDefault="00AA4D92" w:rsidP="00AA4D92">
      <w:pPr>
        <w:spacing w:line="360" w:lineRule="auto"/>
        <w:ind w:left="720"/>
        <w:jc w:val="both"/>
        <w:rPr>
          <w:rFonts w:ascii="David" w:hAnsi="David"/>
          <w:rtl/>
        </w:rPr>
      </w:pPr>
    </w:p>
    <w:p w14:paraId="3E9F7F92" w14:textId="77777777" w:rsidR="00AA4D92" w:rsidRPr="00BA5951" w:rsidRDefault="00AA4D92" w:rsidP="00AA4D92">
      <w:pPr>
        <w:spacing w:line="360" w:lineRule="auto"/>
        <w:ind w:left="720"/>
        <w:jc w:val="both"/>
        <w:rPr>
          <w:rFonts w:ascii="David" w:hAnsi="David"/>
          <w:rtl/>
        </w:rPr>
      </w:pPr>
      <w:r w:rsidRPr="00BA5951">
        <w:rPr>
          <w:rFonts w:ascii="David" w:hAnsi="David" w:hint="cs"/>
          <w:b/>
          <w:bCs/>
          <w:rtl/>
        </w:rPr>
        <w:t>נאשם 4</w:t>
      </w:r>
      <w:r w:rsidRPr="00BA5951">
        <w:rPr>
          <w:rFonts w:ascii="David" w:hAnsi="David" w:hint="cs"/>
          <w:rtl/>
        </w:rPr>
        <w:t xml:space="preserve"> הוא למעשה מחולל האירוע, וחלקו הוא המרכזי מבחינת היוזמה ותכנון העסקה. הוא זה אשר הזמין נשק – רובה ציד בתחילה, והכל במטרה למכרו לאחר. הנאשם 4 בדק את תקינות הנשק באמצעות תמונה, ניהל מו"מ מול הנאשם 1, ולבסוף אף הסכים להצעת נאשם 1 לקבל לידיו כלי נשק נוסף לצורך הפקת רווח. אמנם, הוא לא היה מעורב בחלק הביצועי להשגת הנשקים, אך כאמור הוא שחולל את האירוע והזמין נשקים לצורך מכירתם לאחר לצורך הפקת רווח.</w:t>
      </w:r>
    </w:p>
    <w:p w14:paraId="07EDDD35"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נאשם 4 הורשע בעבירה של ניסיון לרכישת נשק, וכמי שהזמין את הנשקים, פגע פגיעה מוחשית בערכים המוגנים.</w:t>
      </w:r>
    </w:p>
    <w:p w14:paraId="4B4BF393" w14:textId="77777777" w:rsidR="00AA4D92" w:rsidRPr="00BA5951" w:rsidRDefault="00AA4D92" w:rsidP="00AA4D92">
      <w:pPr>
        <w:tabs>
          <w:tab w:val="left" w:pos="288"/>
          <w:tab w:val="left" w:pos="1008"/>
          <w:tab w:val="left" w:pos="1296"/>
          <w:tab w:val="left" w:pos="4896"/>
        </w:tabs>
        <w:overflowPunct w:val="0"/>
        <w:autoSpaceDE w:val="0"/>
        <w:autoSpaceDN w:val="0"/>
        <w:adjustRightInd w:val="0"/>
        <w:spacing w:line="360" w:lineRule="auto"/>
        <w:ind w:left="720" w:hanging="720"/>
        <w:jc w:val="both"/>
        <w:rPr>
          <w:rtl/>
        </w:rPr>
      </w:pPr>
      <w:r w:rsidRPr="00BA5951">
        <w:rPr>
          <w:rFonts w:hint="cs"/>
          <w:rtl/>
        </w:rPr>
        <w:tab/>
      </w:r>
    </w:p>
    <w:p w14:paraId="3BCC2685" w14:textId="77777777" w:rsidR="00AA4D92" w:rsidRPr="00BA5951" w:rsidRDefault="00AA4D92" w:rsidP="00AA4D92">
      <w:pPr>
        <w:numPr>
          <w:ilvl w:val="0"/>
          <w:numId w:val="1"/>
        </w:numPr>
        <w:spacing w:line="360" w:lineRule="auto"/>
        <w:contextualSpacing/>
        <w:jc w:val="both"/>
        <w:rPr>
          <w:rtl/>
        </w:rPr>
      </w:pPr>
      <w:r w:rsidRPr="00BA5951">
        <w:rPr>
          <w:rFonts w:ascii="David" w:eastAsia="David" w:hAnsi="David" w:hint="cs"/>
          <w:u w:val="single"/>
          <w:rtl/>
        </w:rPr>
        <w:t>אישום</w:t>
      </w:r>
      <w:r w:rsidRPr="00BA5951">
        <w:rPr>
          <w:rFonts w:hint="cs"/>
          <w:u w:val="single"/>
          <w:rtl/>
        </w:rPr>
        <w:t xml:space="preserve"> 2</w:t>
      </w:r>
      <w:r w:rsidRPr="00BA5951">
        <w:rPr>
          <w:rFonts w:hint="cs"/>
          <w:rtl/>
        </w:rPr>
        <w:t xml:space="preserve">: </w:t>
      </w:r>
    </w:p>
    <w:p w14:paraId="21EE872C"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 xml:space="preserve">יומיים לפני האירוע המרכזי המתואר באישום הראשון, החזיקו </w:t>
      </w:r>
      <w:r w:rsidRPr="00BA5951">
        <w:rPr>
          <w:rFonts w:ascii="David" w:hAnsi="David" w:hint="cs"/>
          <w:b/>
          <w:bCs/>
          <w:rtl/>
        </w:rPr>
        <w:t>נאשמים 1 ו – 3</w:t>
      </w:r>
      <w:r w:rsidRPr="00BA5951">
        <w:rPr>
          <w:rFonts w:ascii="David" w:hAnsi="David" w:hint="cs"/>
          <w:rtl/>
        </w:rPr>
        <w:t xml:space="preserve"> בישוב המגורים שלהם רובה מסוג קרבין </w:t>
      </w:r>
      <w:r w:rsidRPr="00BA5951">
        <w:rPr>
          <w:rFonts w:ascii="David" w:hAnsi="David"/>
        </w:rPr>
        <w:t>M-14</w:t>
      </w:r>
      <w:r w:rsidRPr="00BA5951">
        <w:rPr>
          <w:rFonts w:ascii="David" w:hAnsi="David" w:hint="cs"/>
          <w:rtl/>
        </w:rPr>
        <w:t>, טעון במחסנית ובתוכה תחמושת.  משך ההחזקה אינו ידוע, אך עצם החזקת כלי נשק קטלני וטעון בעיתוי האמור מוכיח נגישות לכלי נשק ומבסס פגיעה מוחשית בערכים המוגנים.</w:t>
      </w:r>
    </w:p>
    <w:p w14:paraId="56C46811" w14:textId="77777777" w:rsidR="00AA4D92" w:rsidRPr="00BA5951" w:rsidRDefault="00AA4D92" w:rsidP="00AA4D92">
      <w:pPr>
        <w:tabs>
          <w:tab w:val="left" w:pos="288"/>
          <w:tab w:val="left" w:pos="1008"/>
          <w:tab w:val="left" w:pos="1296"/>
          <w:tab w:val="left" w:pos="4896"/>
        </w:tabs>
        <w:overflowPunct w:val="0"/>
        <w:autoSpaceDE w:val="0"/>
        <w:autoSpaceDN w:val="0"/>
        <w:adjustRightInd w:val="0"/>
        <w:spacing w:line="360" w:lineRule="auto"/>
        <w:ind w:left="720" w:hanging="720"/>
        <w:jc w:val="both"/>
        <w:rPr>
          <w:rtl/>
        </w:rPr>
      </w:pPr>
    </w:p>
    <w:p w14:paraId="47D94026" w14:textId="77777777" w:rsidR="00AA4D92" w:rsidRPr="00BA5951" w:rsidRDefault="00AA4D92" w:rsidP="00AA4D92">
      <w:pPr>
        <w:numPr>
          <w:ilvl w:val="0"/>
          <w:numId w:val="1"/>
        </w:numPr>
        <w:spacing w:line="360" w:lineRule="auto"/>
        <w:contextualSpacing/>
        <w:jc w:val="both"/>
        <w:rPr>
          <w:rFonts w:ascii="David" w:hAnsi="David"/>
          <w:u w:val="single"/>
          <w:rtl/>
        </w:rPr>
      </w:pPr>
      <w:r w:rsidRPr="00BA5951">
        <w:rPr>
          <w:rFonts w:ascii="David" w:hAnsi="David" w:hint="cs"/>
          <w:u w:val="single"/>
          <w:rtl/>
        </w:rPr>
        <w:t xml:space="preserve">אישום 3: </w:t>
      </w:r>
    </w:p>
    <w:p w14:paraId="747EC1D3"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 xml:space="preserve">4 חודשים עובר לאירוע המרכזי, ביום 9.9.20, </w:t>
      </w:r>
      <w:r w:rsidRPr="00BA5951">
        <w:rPr>
          <w:rFonts w:ascii="David" w:hAnsi="David" w:hint="cs"/>
          <w:b/>
          <w:bCs/>
          <w:rtl/>
        </w:rPr>
        <w:t xml:space="preserve">נאשמים 1, 2 ו – 3 </w:t>
      </w:r>
      <w:r w:rsidRPr="00BA5951">
        <w:rPr>
          <w:rFonts w:ascii="David" w:hAnsi="David" w:hint="cs"/>
          <w:rtl/>
        </w:rPr>
        <w:t>התכתבו ביניהם במטרה לרכוש חלקי כלי נשק: כוונת נשק, ידית אחיזה והסתערות ומתפסים לנשק. אירוע זה, הקודם בזמן, ממחיש את מעורבותם של שלושת הנאשמים בעולם הנשק, אשר הסלימה עד למעורבות באישום המרכזי, אם כי אישום זה מתמצה בקשירת קשר בלבד.</w:t>
      </w:r>
    </w:p>
    <w:p w14:paraId="3DDEBB8E"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ab/>
      </w:r>
      <w:r w:rsidRPr="00BA5951">
        <w:rPr>
          <w:rFonts w:ascii="David" w:hAnsi="David" w:hint="cs"/>
          <w:rtl/>
        </w:rPr>
        <w:tab/>
      </w:r>
    </w:p>
    <w:p w14:paraId="24CE12D3" w14:textId="77777777" w:rsidR="00AA4D92" w:rsidRPr="00BA5951" w:rsidRDefault="00AA4D92" w:rsidP="00AA4D92">
      <w:pPr>
        <w:numPr>
          <w:ilvl w:val="0"/>
          <w:numId w:val="1"/>
        </w:numPr>
        <w:spacing w:line="360" w:lineRule="auto"/>
        <w:contextualSpacing/>
        <w:jc w:val="both"/>
        <w:rPr>
          <w:rFonts w:ascii="David" w:hAnsi="David"/>
          <w:u w:val="single"/>
          <w:rtl/>
        </w:rPr>
      </w:pPr>
      <w:r w:rsidRPr="00BA5951">
        <w:rPr>
          <w:rFonts w:ascii="David" w:hAnsi="David" w:hint="cs"/>
          <w:u w:val="single"/>
          <w:rtl/>
        </w:rPr>
        <w:t xml:space="preserve">אישום 4: </w:t>
      </w:r>
    </w:p>
    <w:p w14:paraId="10B4F322"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בסוף ספטמבר 2020,</w:t>
      </w:r>
      <w:r w:rsidRPr="00BA5951">
        <w:rPr>
          <w:rFonts w:ascii="David" w:hAnsi="David" w:hint="cs"/>
          <w:b/>
          <w:bCs/>
          <w:rtl/>
        </w:rPr>
        <w:t xml:space="preserve"> נאשמים 1 ו - 3</w:t>
      </w:r>
      <w:r w:rsidRPr="00BA5951">
        <w:rPr>
          <w:rFonts w:ascii="David" w:hAnsi="David" w:hint="cs"/>
          <w:rtl/>
        </w:rPr>
        <w:t xml:space="preserve"> (שהיו גם שותפים באישום השני של החזקת ה- </w:t>
      </w:r>
      <w:r w:rsidRPr="00BA5951">
        <w:rPr>
          <w:rFonts w:ascii="David" w:hAnsi="David"/>
        </w:rPr>
        <w:t>M-14</w:t>
      </w:r>
      <w:r w:rsidRPr="00BA5951">
        <w:rPr>
          <w:rFonts w:ascii="David" w:hAnsi="David" w:hint="cs"/>
          <w:rtl/>
        </w:rPr>
        <w:t xml:space="preserve"> כשהוא  טעון) רכשו מאחר שני אקדחים מסוג בלתי ידוע, ושילמו תמורתם סכום של 35 אלף ₪, במטרה למכור את שני האקדחים במחיר גבוה יותר. הנאשמים הורשעו בביצוע עבירה של רכישת נשק בצוותא, כאשר פוטנציאל הנזק ברור, והאירוע מדגים שוב את העובדה, שהעיסוק בעולם הנשק לא היה אירוע חד-פעמי עבור נאשמים אלו.</w:t>
      </w:r>
    </w:p>
    <w:p w14:paraId="08E027F6" w14:textId="77777777" w:rsidR="00AA4D92" w:rsidRPr="00BA5951" w:rsidRDefault="00AA4D92" w:rsidP="00AA4D92">
      <w:pPr>
        <w:tabs>
          <w:tab w:val="left" w:pos="288"/>
          <w:tab w:val="left" w:pos="1008"/>
          <w:tab w:val="left" w:pos="1296"/>
          <w:tab w:val="left" w:pos="4896"/>
        </w:tabs>
        <w:overflowPunct w:val="0"/>
        <w:autoSpaceDE w:val="0"/>
        <w:autoSpaceDN w:val="0"/>
        <w:adjustRightInd w:val="0"/>
        <w:spacing w:line="360" w:lineRule="auto"/>
        <w:ind w:left="720" w:hanging="720"/>
        <w:jc w:val="both"/>
        <w:rPr>
          <w:b/>
          <w:bCs/>
          <w:rtl/>
        </w:rPr>
      </w:pPr>
    </w:p>
    <w:p w14:paraId="1A69BC38" w14:textId="77777777" w:rsidR="00AA4D92" w:rsidRPr="00BA5951" w:rsidRDefault="00AA4D92" w:rsidP="00AA4D92">
      <w:pPr>
        <w:numPr>
          <w:ilvl w:val="0"/>
          <w:numId w:val="1"/>
        </w:numPr>
        <w:spacing w:line="360" w:lineRule="auto"/>
        <w:contextualSpacing/>
        <w:jc w:val="both"/>
        <w:rPr>
          <w:rtl/>
        </w:rPr>
      </w:pPr>
      <w:r w:rsidRPr="00BA5951">
        <w:rPr>
          <w:rFonts w:ascii="David" w:hAnsi="David" w:hint="cs"/>
          <w:rtl/>
        </w:rPr>
        <w:t>באשר</w:t>
      </w:r>
      <w:r w:rsidRPr="00BA5951">
        <w:rPr>
          <w:rFonts w:ascii="Calibri" w:hAnsi="Calibri" w:hint="cs"/>
          <w:rtl/>
        </w:rPr>
        <w:t xml:space="preserve"> </w:t>
      </w:r>
      <w:r w:rsidRPr="00BA5951">
        <w:rPr>
          <w:rFonts w:ascii="David" w:hAnsi="David" w:hint="cs"/>
          <w:rtl/>
        </w:rPr>
        <w:t>למדיניות</w:t>
      </w:r>
      <w:r w:rsidRPr="00BA5951">
        <w:rPr>
          <w:rFonts w:ascii="Calibri" w:hAnsi="Calibri" w:hint="cs"/>
          <w:rtl/>
        </w:rPr>
        <w:t xml:space="preserve"> ענישה באופן כללי, בית-המשפט העליון קורא להחמרה בענישה של כל המעורבים בפעילות פלילית בנשק</w:t>
      </w:r>
      <w:r w:rsidRPr="00BA5951">
        <w:rPr>
          <w:rFonts w:hint="cs"/>
          <w:rtl/>
        </w:rPr>
        <w:t>, וראו ב</w:t>
      </w:r>
      <w:r w:rsidRPr="00BA5951">
        <w:rPr>
          <w:rFonts w:hint="cs"/>
          <w:b/>
          <w:bCs/>
          <w:rtl/>
        </w:rPr>
        <w:t xml:space="preserve">ע"פ ביטון </w:t>
      </w:r>
      <w:r w:rsidRPr="00BA5951">
        <w:rPr>
          <w:rFonts w:hint="cs"/>
          <w:rtl/>
        </w:rPr>
        <w:t xml:space="preserve">מן העת האחרונה: </w:t>
      </w:r>
    </w:p>
    <w:p w14:paraId="65667E7E" w14:textId="77777777" w:rsidR="00AA4D92" w:rsidRPr="00BA5951" w:rsidRDefault="00AA4D92" w:rsidP="00AA4D92">
      <w:pPr>
        <w:overflowPunct w:val="0"/>
        <w:autoSpaceDE w:val="0"/>
        <w:autoSpaceDN w:val="0"/>
        <w:adjustRightInd w:val="0"/>
        <w:ind w:left="1440" w:right="1418"/>
        <w:jc w:val="both"/>
        <w:rPr>
          <w:rtl/>
        </w:rPr>
      </w:pPr>
      <w:r w:rsidRPr="00BA5951">
        <w:rPr>
          <w:rFonts w:hint="cs"/>
          <w:b/>
          <w:bCs/>
          <w:rtl/>
        </w:rPr>
        <w:t xml:space="preserve">"גזר הדין קמא אף עומד בסתירה למדיניות ההחמרה עם עברייני נשק לסוגיהם, אשר נקוטה בידינו. הטלת עונשים חמורים ומרתיעים על עברייני נשק היא עיקר תרומתם של בתי המשפט למיגור התופעה ולהרחקת העבריין עם האקדח משגרת חייהם של אזרחי מדינה שומרי חוק. מדיניות זו באה לידי ביטוי בשורה ארוכה של פסקי דין" </w:t>
      </w:r>
      <w:r w:rsidRPr="00BA5951">
        <w:rPr>
          <w:rFonts w:hint="cs"/>
          <w:rtl/>
        </w:rPr>
        <w:t xml:space="preserve">(פסקה 10). </w:t>
      </w:r>
    </w:p>
    <w:p w14:paraId="280F92EC" w14:textId="77777777" w:rsidR="00AA4D92" w:rsidRPr="00BA5951" w:rsidRDefault="00AA4D92" w:rsidP="00AA4D92">
      <w:pPr>
        <w:tabs>
          <w:tab w:val="left" w:pos="288"/>
          <w:tab w:val="left" w:pos="1008"/>
          <w:tab w:val="left" w:pos="1296"/>
          <w:tab w:val="left" w:pos="4896"/>
        </w:tabs>
        <w:overflowPunct w:val="0"/>
        <w:autoSpaceDE w:val="0"/>
        <w:autoSpaceDN w:val="0"/>
        <w:adjustRightInd w:val="0"/>
        <w:spacing w:line="360" w:lineRule="auto"/>
        <w:jc w:val="both"/>
        <w:rPr>
          <w:rtl/>
        </w:rPr>
      </w:pPr>
    </w:p>
    <w:p w14:paraId="788437D4" w14:textId="77777777" w:rsidR="00AA4D92" w:rsidRPr="00BA5951" w:rsidRDefault="00AA4D92" w:rsidP="00AA4D92">
      <w:pPr>
        <w:tabs>
          <w:tab w:val="left" w:pos="288"/>
          <w:tab w:val="left" w:pos="1008"/>
          <w:tab w:val="left" w:pos="1296"/>
          <w:tab w:val="left" w:pos="4896"/>
        </w:tabs>
        <w:overflowPunct w:val="0"/>
        <w:autoSpaceDE w:val="0"/>
        <w:autoSpaceDN w:val="0"/>
        <w:adjustRightInd w:val="0"/>
        <w:spacing w:line="360" w:lineRule="auto"/>
        <w:ind w:left="680" w:hanging="680"/>
        <w:jc w:val="both"/>
        <w:rPr>
          <w:rtl/>
        </w:rPr>
      </w:pPr>
      <w:r w:rsidRPr="00BA5951">
        <w:rPr>
          <w:rFonts w:hint="cs"/>
          <w:b/>
          <w:bCs/>
          <w:rtl/>
        </w:rPr>
        <w:tab/>
      </w:r>
      <w:r w:rsidRPr="00BA5951">
        <w:rPr>
          <w:rFonts w:hint="cs"/>
          <w:b/>
          <w:bCs/>
          <w:rtl/>
        </w:rPr>
        <w:tab/>
      </w:r>
      <w:r w:rsidRPr="00BA5951">
        <w:rPr>
          <w:rFonts w:hint="cs"/>
          <w:rtl/>
        </w:rPr>
        <w:t>ועוד, באשר למגמה זו בנוגע לכל עבירות הנשק:</w:t>
      </w:r>
    </w:p>
    <w:p w14:paraId="035EC6E4" w14:textId="77777777" w:rsidR="00AA4D92" w:rsidRPr="00BA5951" w:rsidRDefault="00AA4D92" w:rsidP="00AA4D92">
      <w:pPr>
        <w:overflowPunct w:val="0"/>
        <w:autoSpaceDE w:val="0"/>
        <w:autoSpaceDN w:val="0"/>
        <w:adjustRightInd w:val="0"/>
        <w:ind w:left="1440" w:right="1418"/>
        <w:jc w:val="both"/>
        <w:rPr>
          <w:b/>
          <w:bCs/>
          <w:rtl/>
        </w:rPr>
      </w:pPr>
      <w:r w:rsidRPr="00BA5951">
        <w:rPr>
          <w:rFonts w:hint="cs"/>
          <w:b/>
          <w:bCs/>
          <w:rtl/>
        </w:rPr>
        <w:t>"התופעה של החזקת נשק שלא כדין על ידי אזרחים מהווה איום על שלום הציבור ועל הסדר הציבורי. היא התשתית ו"הגורם בלעדו איין" (</w:t>
      </w:r>
      <w:r w:rsidRPr="00BA5951">
        <w:rPr>
          <w:b/>
          <w:bCs/>
        </w:rPr>
        <w:t>causa sine qua non</w:t>
      </w:r>
      <w:r w:rsidRPr="00BA5951">
        <w:rPr>
          <w:rFonts w:hint="cs"/>
          <w:b/>
          <w:bCs/>
          <w:rtl/>
        </w:rPr>
        <w:t xml:space="preserve">) 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ולחרפת תוצאותיהן. </w:t>
      </w:r>
    </w:p>
    <w:p w14:paraId="6600CA81" w14:textId="77777777" w:rsidR="00AA4D92" w:rsidRPr="00BA5951" w:rsidRDefault="00AA4D92" w:rsidP="00AA4D92">
      <w:pPr>
        <w:overflowPunct w:val="0"/>
        <w:autoSpaceDE w:val="0"/>
        <w:autoSpaceDN w:val="0"/>
        <w:adjustRightInd w:val="0"/>
        <w:ind w:left="1440" w:right="1418"/>
        <w:jc w:val="both"/>
        <w:rPr>
          <w:b/>
          <w:bCs/>
          <w:rtl/>
        </w:rPr>
      </w:pPr>
      <w:r w:rsidRPr="00BA5951">
        <w:rPr>
          <w:rFonts w:hint="cs"/>
          <w:b/>
          <w:bCs/>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אזכיר כי המחוקק ביטא את גישתו המחמירה לתופעה זו כאשר קבע עונשים מחמירים של 7 שנות מאסר על רכישה או החזקה של נשק בלא רשות על פי דין, 10 שנות מאסר על נשיאה או הובלה של נשק בלא רשות על פי דין, ו- 15 שנות מאסר על ייצור, יבוא או סחר בנשק בלא רשות על פי דין (סעיף 144 ל</w:t>
      </w:r>
      <w:hyperlink r:id="rId55" w:history="1">
        <w:r w:rsidR="00C03507" w:rsidRPr="00C03507">
          <w:rPr>
            <w:b/>
            <w:bCs/>
            <w:color w:val="0000FF"/>
            <w:u w:val="single"/>
            <w:rtl/>
          </w:rPr>
          <w:t>חוק העונשין</w:t>
        </w:r>
      </w:hyperlink>
      <w:r w:rsidRPr="00BA5951">
        <w:rPr>
          <w:rFonts w:hint="cs"/>
          <w:b/>
          <w:bCs/>
          <w:rtl/>
        </w:rPr>
        <w:t xml:space="preserve">, התשל"ז-1977); זאת אף בלא שנעשה בנשק שימוש לביצוע עבירה נוספת. </w:t>
      </w:r>
    </w:p>
    <w:p w14:paraId="4765A11D" w14:textId="77777777" w:rsidR="00AA4D92" w:rsidRPr="00BA5951" w:rsidRDefault="00AA4D92" w:rsidP="00AA4D92">
      <w:pPr>
        <w:overflowPunct w:val="0"/>
        <w:autoSpaceDE w:val="0"/>
        <w:autoSpaceDN w:val="0"/>
        <w:adjustRightInd w:val="0"/>
        <w:ind w:left="1440" w:right="1418"/>
        <w:jc w:val="both"/>
        <w:rPr>
          <w:rtl/>
        </w:rPr>
      </w:pPr>
      <w:r w:rsidRPr="00BA5951">
        <w:rPr>
          <w:rFonts w:hint="cs"/>
          <w:b/>
          <w:bCs/>
          <w:rtl/>
        </w:rPr>
        <w:t xml:space="preserve">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 </w:t>
      </w:r>
      <w:r w:rsidRPr="00BA5951">
        <w:rPr>
          <w:rFonts w:hint="cs"/>
          <w:rtl/>
        </w:rPr>
        <w:t>(ראו ב</w:t>
      </w:r>
      <w:hyperlink r:id="rId56" w:history="1">
        <w:r w:rsidR="00C03507" w:rsidRPr="00C03507">
          <w:rPr>
            <w:color w:val="0000FF"/>
            <w:u w:val="single"/>
            <w:rtl/>
          </w:rPr>
          <w:t>ע"פ 4406/19</w:t>
        </w:r>
      </w:hyperlink>
      <w:r w:rsidRPr="00BA5951">
        <w:rPr>
          <w:rFonts w:hint="cs"/>
          <w:b/>
          <w:bCs/>
          <w:rtl/>
        </w:rPr>
        <w:t xml:space="preserve"> מדינת ישראל נגד סובח </w:t>
      </w:r>
      <w:r w:rsidRPr="00BA5951">
        <w:rPr>
          <w:rFonts w:hint="cs"/>
          <w:rtl/>
        </w:rPr>
        <w:t xml:space="preserve">[5.11.19]). </w:t>
      </w:r>
    </w:p>
    <w:p w14:paraId="20E29EBE" w14:textId="77777777" w:rsidR="00AA4D92" w:rsidRPr="00BA5951" w:rsidRDefault="00AA4D92" w:rsidP="00AA4D92">
      <w:pPr>
        <w:tabs>
          <w:tab w:val="left" w:pos="288"/>
          <w:tab w:val="left" w:pos="1008"/>
          <w:tab w:val="left" w:pos="1296"/>
          <w:tab w:val="left" w:pos="4896"/>
        </w:tabs>
        <w:overflowPunct w:val="0"/>
        <w:autoSpaceDE w:val="0"/>
        <w:autoSpaceDN w:val="0"/>
        <w:adjustRightInd w:val="0"/>
        <w:spacing w:line="360" w:lineRule="auto"/>
        <w:jc w:val="both"/>
        <w:rPr>
          <w:b/>
          <w:bCs/>
          <w:rtl/>
        </w:rPr>
      </w:pPr>
      <w:r w:rsidRPr="00BA5951">
        <w:rPr>
          <w:rFonts w:hint="cs"/>
          <w:b/>
          <w:bCs/>
          <w:rtl/>
        </w:rPr>
        <w:tab/>
      </w:r>
      <w:r w:rsidRPr="00BA5951">
        <w:rPr>
          <w:rFonts w:hint="cs"/>
          <w:b/>
          <w:bCs/>
          <w:rtl/>
        </w:rPr>
        <w:tab/>
      </w:r>
    </w:p>
    <w:p w14:paraId="30F0A442" w14:textId="77777777" w:rsidR="00AA4D92" w:rsidRPr="00BA5951" w:rsidRDefault="00AA4D92" w:rsidP="00AA4D92">
      <w:pPr>
        <w:tabs>
          <w:tab w:val="left" w:pos="288"/>
          <w:tab w:val="left" w:pos="1008"/>
          <w:tab w:val="left" w:pos="1296"/>
          <w:tab w:val="left" w:pos="4896"/>
        </w:tabs>
        <w:overflowPunct w:val="0"/>
        <w:autoSpaceDE w:val="0"/>
        <w:autoSpaceDN w:val="0"/>
        <w:adjustRightInd w:val="0"/>
        <w:spacing w:line="360" w:lineRule="auto"/>
        <w:ind w:left="680" w:hanging="680"/>
        <w:jc w:val="both"/>
        <w:rPr>
          <w:b/>
          <w:bCs/>
          <w:rtl/>
        </w:rPr>
      </w:pPr>
      <w:r w:rsidRPr="00BA5951">
        <w:rPr>
          <w:rFonts w:hint="cs"/>
          <w:b/>
          <w:bCs/>
          <w:rtl/>
        </w:rPr>
        <w:tab/>
      </w:r>
      <w:r w:rsidRPr="00BA5951">
        <w:rPr>
          <w:rFonts w:hint="cs"/>
          <w:b/>
          <w:bCs/>
          <w:rtl/>
        </w:rPr>
        <w:tab/>
      </w:r>
    </w:p>
    <w:p w14:paraId="1ADA4B86" w14:textId="77777777" w:rsidR="00AA4D92" w:rsidRPr="00BA5951" w:rsidRDefault="00AA4D92" w:rsidP="00AA4D92">
      <w:pPr>
        <w:numPr>
          <w:ilvl w:val="0"/>
          <w:numId w:val="1"/>
        </w:numPr>
        <w:spacing w:line="360" w:lineRule="auto"/>
        <w:contextualSpacing/>
        <w:jc w:val="both"/>
        <w:rPr>
          <w:rFonts w:ascii="Calibri" w:eastAsia="Calibri" w:hAnsi="Calibri"/>
          <w:rtl/>
        </w:rPr>
      </w:pPr>
      <w:r w:rsidRPr="00BA5951">
        <w:rPr>
          <w:rFonts w:ascii="David" w:hAnsi="David" w:hint="cs"/>
          <w:rtl/>
        </w:rPr>
        <w:t>אמנם</w:t>
      </w:r>
      <w:r w:rsidRPr="00BA5951">
        <w:rPr>
          <w:rFonts w:ascii="Calibri" w:eastAsia="Calibri" w:hAnsi="Calibri" w:hint="cs"/>
          <w:rtl/>
        </w:rPr>
        <w:t xml:space="preserve"> </w:t>
      </w:r>
      <w:r w:rsidRPr="00BA5951">
        <w:rPr>
          <w:rFonts w:hint="cs"/>
          <w:rtl/>
        </w:rPr>
        <w:t>תיקון</w:t>
      </w:r>
      <w:r w:rsidRPr="00BA5951">
        <w:rPr>
          <w:rFonts w:ascii="Calibri" w:eastAsia="Calibri" w:hAnsi="Calibri" w:hint="cs"/>
          <w:rtl/>
        </w:rPr>
        <w:t xml:space="preserve"> 140 ל</w:t>
      </w:r>
      <w:hyperlink r:id="rId57" w:history="1">
        <w:r w:rsidR="00C03507" w:rsidRPr="00C03507">
          <w:rPr>
            <w:rFonts w:ascii="Calibri" w:eastAsia="Calibri" w:hAnsi="Calibri" w:hint="cs"/>
            <w:color w:val="0000FF"/>
            <w:u w:val="single"/>
            <w:rtl/>
          </w:rPr>
          <w:t>חוק</w:t>
        </w:r>
        <w:r w:rsidR="00C03507" w:rsidRPr="00C03507">
          <w:rPr>
            <w:rFonts w:ascii="Calibri" w:eastAsia="Calibri" w:hAnsi="Calibri"/>
            <w:color w:val="0000FF"/>
            <w:u w:val="single"/>
            <w:rtl/>
          </w:rPr>
          <w:t xml:space="preserve"> </w:t>
        </w:r>
        <w:r w:rsidR="00C03507" w:rsidRPr="00C03507">
          <w:rPr>
            <w:rFonts w:ascii="Calibri" w:eastAsia="Calibri" w:hAnsi="Calibri" w:hint="cs"/>
            <w:color w:val="0000FF"/>
            <w:u w:val="single"/>
            <w:rtl/>
          </w:rPr>
          <w:t>העונשין</w:t>
        </w:r>
      </w:hyperlink>
      <w:r w:rsidRPr="00BA5951">
        <w:rPr>
          <w:rFonts w:ascii="Calibri" w:eastAsia="Calibri" w:hAnsi="Calibri" w:hint="cs"/>
          <w:rtl/>
        </w:rPr>
        <w:t>, שעניינו עונשי מינימום בעבירות נשק, אינו חל במקרה דנן, אך חשוב לזכור את הרקע לחקיקתו, שיש בו כדי להשפיע על שיקולי הענישה השונים:</w:t>
      </w:r>
    </w:p>
    <w:p w14:paraId="43901B76" w14:textId="77777777" w:rsidR="00AA4D92" w:rsidRPr="00BA5951" w:rsidRDefault="00AA4D92" w:rsidP="00AA4D92">
      <w:pPr>
        <w:overflowPunct w:val="0"/>
        <w:autoSpaceDE w:val="0"/>
        <w:autoSpaceDN w:val="0"/>
        <w:adjustRightInd w:val="0"/>
        <w:ind w:left="720" w:right="1418"/>
        <w:jc w:val="both"/>
        <w:rPr>
          <w:rtl/>
        </w:rPr>
      </w:pPr>
    </w:p>
    <w:p w14:paraId="0A7A5829" w14:textId="77777777" w:rsidR="00AA4D92" w:rsidRPr="00BA5951" w:rsidRDefault="00AA4D92" w:rsidP="00AA4D92">
      <w:pPr>
        <w:overflowPunct w:val="0"/>
        <w:autoSpaceDE w:val="0"/>
        <w:autoSpaceDN w:val="0"/>
        <w:adjustRightInd w:val="0"/>
        <w:ind w:left="1440" w:right="1418"/>
        <w:jc w:val="both"/>
        <w:rPr>
          <w:b/>
          <w:bCs/>
          <w:rtl/>
        </w:rPr>
      </w:pPr>
      <w:r w:rsidRPr="00BA5951">
        <w:rPr>
          <w:rFonts w:hint="cs"/>
          <w:rtl/>
        </w:rPr>
        <w:t>"</w:t>
      </w:r>
      <w:r w:rsidRPr="00BA5951">
        <w:rPr>
          <w:rFonts w:hint="cs"/>
          <w:b/>
          <w:bCs/>
          <w:rtl/>
        </w:rPr>
        <w:t xml:space="preserve">יש לציין כי 'מגיפה' זו לא חמקה מעינו של המחוקק, אשר בחר להחמיר עם עונשיהם של אלה הבוחרים לקחת חלק בעבירות נשק. כך, למשל, במסגרת </w:t>
      </w:r>
      <w:hyperlink r:id="rId58" w:history="1">
        <w:r w:rsidR="00C03507" w:rsidRPr="00C03507">
          <w:rPr>
            <w:b/>
            <w:bCs/>
            <w:color w:val="0000FF"/>
            <w:u w:val="single"/>
            <w:rtl/>
          </w:rPr>
          <w:t>חוק העונשין</w:t>
        </w:r>
      </w:hyperlink>
      <w:r w:rsidRPr="00BA5951">
        <w:rPr>
          <w:rFonts w:hint="cs"/>
          <w:b/>
          <w:bCs/>
          <w:rtl/>
        </w:rPr>
        <w:t xml:space="preserve"> (תיקון מס' 140 – הוראת שעה), התשפ"ב-2021 (להלן: תיקון מס' 140), שהתקבל בכנסת ביום 7.12.2021, ומשכך אינו חל על עניינם של המערערים, הוחלט כי עונשו של מי שהורשע בעבירה לפי סעיף 144 לחוק העונשין לא יפחת מרבע העונש המרבי שנקבע לצדה, אלא אם קיימים טעמים מיוחדים שלא לעשות כן. בדברי ההסבר להצעת החוק שקדמה לתיקון מס' 140 הודגש, כי זאת נדרשת 'נוכח התפשטות ההתחמשות של קבוצות גדולות באוכלוסייה בנשק בלתי חוקי, ייחודיות התופעה והשלכותיה החמורות, ובפרט המחיר שהיא גובה בחיי אדם</w:t>
      </w:r>
      <w:r w:rsidRPr="00BA5951">
        <w:rPr>
          <w:rFonts w:hint="cs"/>
          <w:rtl/>
        </w:rPr>
        <w:t>'" (ראו ב</w:t>
      </w:r>
      <w:hyperlink r:id="rId59" w:history="1">
        <w:r w:rsidR="00C03507" w:rsidRPr="00C03507">
          <w:rPr>
            <w:color w:val="0000FF"/>
            <w:u w:val="single"/>
            <w:rtl/>
          </w:rPr>
          <w:t>ע"פ 6496/21</w:t>
        </w:r>
      </w:hyperlink>
      <w:r w:rsidRPr="00BA5951">
        <w:rPr>
          <w:rFonts w:hint="cs"/>
          <w:rtl/>
        </w:rPr>
        <w:t xml:space="preserve"> </w:t>
      </w:r>
      <w:r w:rsidRPr="00BA5951">
        <w:rPr>
          <w:rFonts w:hint="cs"/>
          <w:b/>
          <w:bCs/>
          <w:rtl/>
        </w:rPr>
        <w:t>ריאן נגד מדינת ישראל</w:t>
      </w:r>
      <w:r w:rsidRPr="00BA5951">
        <w:rPr>
          <w:rFonts w:hint="cs"/>
          <w:rtl/>
        </w:rPr>
        <w:t xml:space="preserve"> [20.12.21], בפסקה 9).  </w:t>
      </w:r>
    </w:p>
    <w:p w14:paraId="1294CBA7" w14:textId="77777777" w:rsidR="00AA4D92" w:rsidRPr="00BA5951" w:rsidRDefault="00AA4D92" w:rsidP="00AA4D92">
      <w:pPr>
        <w:rPr>
          <w:rFonts w:ascii="David" w:hAnsi="David"/>
          <w:rtl/>
        </w:rPr>
      </w:pPr>
    </w:p>
    <w:p w14:paraId="71558654" w14:textId="77777777" w:rsidR="00AA4D92" w:rsidRPr="00BA5951" w:rsidRDefault="00AA4D92" w:rsidP="00AA4D92">
      <w:pPr>
        <w:rPr>
          <w:rFonts w:ascii="David" w:hAnsi="David"/>
          <w:rtl/>
        </w:rPr>
      </w:pPr>
    </w:p>
    <w:p w14:paraId="790F3B59" w14:textId="77777777" w:rsidR="00AA4D92" w:rsidRPr="00BA5951" w:rsidRDefault="00AA4D92" w:rsidP="00AA4D92">
      <w:pPr>
        <w:numPr>
          <w:ilvl w:val="0"/>
          <w:numId w:val="1"/>
        </w:numPr>
        <w:overflowPunct w:val="0"/>
        <w:autoSpaceDE w:val="0"/>
        <w:autoSpaceDN w:val="0"/>
        <w:adjustRightInd w:val="0"/>
        <w:spacing w:line="360" w:lineRule="auto"/>
        <w:ind w:left="713" w:hanging="713"/>
        <w:contextualSpacing/>
        <w:jc w:val="both"/>
        <w:rPr>
          <w:rFonts w:ascii="Calibri" w:eastAsia="Calibri" w:hAnsi="Calibri"/>
          <w:rtl/>
        </w:rPr>
      </w:pPr>
      <w:r w:rsidRPr="00BA5951">
        <w:rPr>
          <w:rFonts w:hint="cs"/>
          <w:rtl/>
        </w:rPr>
        <w:t>עיינתי</w:t>
      </w:r>
      <w:r w:rsidRPr="00BA5951">
        <w:rPr>
          <w:rFonts w:ascii="Calibri" w:eastAsia="Calibri" w:hAnsi="Calibri" w:hint="cs"/>
          <w:rtl/>
        </w:rPr>
        <w:t xml:space="preserve"> בפסיקה שהוצגה על-ידי ב"כ הצדדים ובפסיקה נוספת, ולצורך קביעת מתחם העונש ההולם אפרט את פסקי-הדין וגזרי-הדין המרכזיים במגוון עבירות נשק הרלבנטיות לענייננו, אשר יילקחו בחשבון בשינויים המחויבים.</w:t>
      </w:r>
    </w:p>
    <w:p w14:paraId="5864C8D4" w14:textId="77777777" w:rsidR="00AA4D92" w:rsidRPr="00BA5951" w:rsidRDefault="00AA4D92" w:rsidP="00AA4D92">
      <w:pPr>
        <w:overflowPunct w:val="0"/>
        <w:autoSpaceDE w:val="0"/>
        <w:autoSpaceDN w:val="0"/>
        <w:adjustRightInd w:val="0"/>
        <w:spacing w:line="360" w:lineRule="auto"/>
        <w:ind w:left="713"/>
        <w:contextualSpacing/>
        <w:jc w:val="both"/>
        <w:rPr>
          <w:rFonts w:ascii="Calibri" w:eastAsia="Calibri" w:hAnsi="Calibri"/>
        </w:rPr>
      </w:pPr>
    </w:p>
    <w:p w14:paraId="2D7964D4" w14:textId="77777777" w:rsidR="00AA4D92" w:rsidRPr="00BA5951" w:rsidRDefault="00AA4D92" w:rsidP="00AA4D92">
      <w:pPr>
        <w:numPr>
          <w:ilvl w:val="0"/>
          <w:numId w:val="1"/>
        </w:numPr>
        <w:spacing w:line="360" w:lineRule="auto"/>
        <w:contextualSpacing/>
        <w:jc w:val="both"/>
        <w:rPr>
          <w:rFonts w:ascii="Calibri" w:eastAsia="Calibri" w:hAnsi="Calibri"/>
          <w:u w:val="single"/>
          <w:rtl/>
        </w:rPr>
      </w:pPr>
      <w:r w:rsidRPr="00BA5951">
        <w:rPr>
          <w:rFonts w:ascii="Calibri" w:eastAsia="Calibri" w:hAnsi="Calibri" w:hint="cs"/>
          <w:u w:val="single"/>
          <w:rtl/>
        </w:rPr>
        <w:t xml:space="preserve">באשר </w:t>
      </w:r>
      <w:r w:rsidRPr="00BA5951">
        <w:rPr>
          <w:rFonts w:hint="cs"/>
          <w:u w:val="single"/>
          <w:rtl/>
        </w:rPr>
        <w:t>לעבירות</w:t>
      </w:r>
      <w:r w:rsidRPr="00BA5951">
        <w:rPr>
          <w:rFonts w:ascii="Calibri" w:eastAsia="Calibri" w:hAnsi="Calibri" w:hint="cs"/>
          <w:u w:val="single"/>
          <w:rtl/>
        </w:rPr>
        <w:t xml:space="preserve"> נשק המפורטות באישום הראשון: </w:t>
      </w:r>
    </w:p>
    <w:p w14:paraId="251DDD81" w14:textId="77777777" w:rsidR="00AA4D92" w:rsidRPr="00BA5951" w:rsidRDefault="00AA4D92" w:rsidP="00AA4D92">
      <w:pPr>
        <w:overflowPunct w:val="0"/>
        <w:autoSpaceDE w:val="0"/>
        <w:autoSpaceDN w:val="0"/>
        <w:adjustRightInd w:val="0"/>
        <w:spacing w:line="360" w:lineRule="auto"/>
        <w:ind w:left="713" w:hanging="713"/>
        <w:jc w:val="both"/>
        <w:rPr>
          <w:rFonts w:ascii="Calibri" w:eastAsia="Calibri" w:hAnsi="Calibri"/>
          <w:rtl/>
        </w:rPr>
      </w:pPr>
    </w:p>
    <w:p w14:paraId="05C75218" w14:textId="77777777" w:rsidR="00AA4D92" w:rsidRPr="00BA5951" w:rsidRDefault="00AA4D92" w:rsidP="00AA4D92">
      <w:pPr>
        <w:overflowPunct w:val="0"/>
        <w:autoSpaceDE w:val="0"/>
        <w:autoSpaceDN w:val="0"/>
        <w:adjustRightInd w:val="0"/>
        <w:spacing w:line="360" w:lineRule="auto"/>
        <w:ind w:left="713" w:hanging="713"/>
        <w:jc w:val="both"/>
        <w:rPr>
          <w:rFonts w:ascii="Calibri" w:eastAsia="Calibri" w:hAnsi="Calibri"/>
          <w:rtl/>
        </w:rPr>
      </w:pPr>
      <w:r w:rsidRPr="00BA5951">
        <w:rPr>
          <w:rFonts w:ascii="Calibri" w:eastAsia="Calibri" w:hAnsi="Calibri" w:hint="cs"/>
          <w:rtl/>
        </w:rPr>
        <w:tab/>
        <w:t xml:space="preserve">ב"כ נאשם 1 הגיש את </w:t>
      </w:r>
      <w:hyperlink r:id="rId60" w:history="1">
        <w:r w:rsidR="00C03507" w:rsidRPr="00C03507">
          <w:rPr>
            <w:rFonts w:ascii="Calibri" w:eastAsia="Calibri" w:hAnsi="Calibri" w:hint="cs"/>
            <w:color w:val="0000FF"/>
            <w:u w:val="single"/>
            <w:rtl/>
          </w:rPr>
          <w:t>ת</w:t>
        </w:r>
        <w:r w:rsidR="00C03507" w:rsidRPr="00C03507">
          <w:rPr>
            <w:rFonts w:ascii="Calibri" w:eastAsia="Calibri" w:hAnsi="Calibri"/>
            <w:color w:val="0000FF"/>
            <w:u w:val="single"/>
            <w:rtl/>
          </w:rPr>
          <w:t>"</w:t>
        </w:r>
        <w:r w:rsidR="00C03507" w:rsidRPr="00C03507">
          <w:rPr>
            <w:rFonts w:ascii="Calibri" w:eastAsia="Calibri" w:hAnsi="Calibri" w:hint="cs"/>
            <w:color w:val="0000FF"/>
            <w:u w:val="single"/>
            <w:rtl/>
          </w:rPr>
          <w:t>פ</w:t>
        </w:r>
        <w:r w:rsidR="00C03507" w:rsidRPr="00C03507">
          <w:rPr>
            <w:rFonts w:ascii="Calibri" w:eastAsia="Calibri" w:hAnsi="Calibri"/>
            <w:color w:val="0000FF"/>
            <w:u w:val="single"/>
            <w:rtl/>
          </w:rPr>
          <w:t xml:space="preserve"> (</w:t>
        </w:r>
        <w:r w:rsidR="00C03507" w:rsidRPr="00C03507">
          <w:rPr>
            <w:rFonts w:ascii="Calibri" w:eastAsia="Calibri" w:hAnsi="Calibri" w:hint="cs"/>
            <w:color w:val="0000FF"/>
            <w:u w:val="single"/>
            <w:rtl/>
          </w:rPr>
          <w:t>מחוזי</w:t>
        </w:r>
        <w:r w:rsidR="00C03507" w:rsidRPr="00C03507">
          <w:rPr>
            <w:rFonts w:ascii="Calibri" w:eastAsia="Calibri" w:hAnsi="Calibri"/>
            <w:color w:val="0000FF"/>
            <w:u w:val="single"/>
            <w:rtl/>
          </w:rPr>
          <w:t xml:space="preserve"> </w:t>
        </w:r>
        <w:r w:rsidR="00C03507" w:rsidRPr="00C03507">
          <w:rPr>
            <w:rFonts w:ascii="Calibri" w:eastAsia="Calibri" w:hAnsi="Calibri" w:hint="cs"/>
            <w:color w:val="0000FF"/>
            <w:u w:val="single"/>
            <w:rtl/>
          </w:rPr>
          <w:t>י</w:t>
        </w:r>
        <w:r w:rsidR="00C03507" w:rsidRPr="00C03507">
          <w:rPr>
            <w:rFonts w:ascii="Calibri" w:eastAsia="Calibri" w:hAnsi="Calibri"/>
            <w:color w:val="0000FF"/>
            <w:u w:val="single"/>
            <w:rtl/>
          </w:rPr>
          <w:t>-</w:t>
        </w:r>
        <w:r w:rsidR="00C03507" w:rsidRPr="00C03507">
          <w:rPr>
            <w:rFonts w:ascii="Calibri" w:eastAsia="Calibri" w:hAnsi="Calibri" w:hint="cs"/>
            <w:color w:val="0000FF"/>
            <w:u w:val="single"/>
            <w:rtl/>
          </w:rPr>
          <w:t>ם</w:t>
        </w:r>
        <w:r w:rsidR="00C03507" w:rsidRPr="00C03507">
          <w:rPr>
            <w:rFonts w:ascii="Calibri" w:eastAsia="Calibri" w:hAnsi="Calibri"/>
            <w:color w:val="0000FF"/>
            <w:u w:val="single"/>
            <w:rtl/>
          </w:rPr>
          <w:t>) 20778-11-12</w:t>
        </w:r>
      </w:hyperlink>
      <w:r w:rsidRPr="00BA5951">
        <w:rPr>
          <w:rFonts w:ascii="Calibri" w:eastAsia="Calibri" w:hAnsi="Calibri" w:hint="cs"/>
          <w:rtl/>
        </w:rPr>
        <w:t xml:space="preserve"> </w:t>
      </w:r>
      <w:r w:rsidRPr="00BA5951">
        <w:rPr>
          <w:rFonts w:ascii="Calibri" w:eastAsia="Calibri" w:hAnsi="Calibri" w:hint="cs"/>
          <w:b/>
          <w:bCs/>
          <w:rtl/>
        </w:rPr>
        <w:t>מדינת ישראל נגד סלפיתי ואח'</w:t>
      </w:r>
      <w:r w:rsidRPr="00BA5951">
        <w:rPr>
          <w:rFonts w:ascii="Calibri" w:eastAsia="Calibri" w:hAnsi="Calibri" w:hint="cs"/>
          <w:rtl/>
        </w:rPr>
        <w:t xml:space="preserve"> בעניינם של נאשמים 4 ו – 6. חיפוש במאגרי המידע העלה כי הוגש ערעור בעניינו של נאשם 6 - </w:t>
      </w:r>
      <w:hyperlink r:id="rId61" w:history="1">
        <w:r w:rsidR="00C03507" w:rsidRPr="00C03507">
          <w:rPr>
            <w:rFonts w:ascii="Calibri" w:eastAsia="Calibri" w:hAnsi="Calibri" w:hint="cs"/>
            <w:color w:val="0000FF"/>
            <w:u w:val="single"/>
            <w:rtl/>
          </w:rPr>
          <w:t>ע</w:t>
        </w:r>
        <w:r w:rsidR="00C03507" w:rsidRPr="00C03507">
          <w:rPr>
            <w:rFonts w:ascii="Calibri" w:eastAsia="Calibri" w:hAnsi="Calibri"/>
            <w:color w:val="0000FF"/>
            <w:u w:val="single"/>
            <w:rtl/>
          </w:rPr>
          <w:t>"</w:t>
        </w:r>
        <w:r w:rsidR="00C03507" w:rsidRPr="00C03507">
          <w:rPr>
            <w:rFonts w:ascii="Calibri" w:eastAsia="Calibri" w:hAnsi="Calibri" w:hint="cs"/>
            <w:color w:val="0000FF"/>
            <w:u w:val="single"/>
            <w:rtl/>
          </w:rPr>
          <w:t>פ</w:t>
        </w:r>
        <w:r w:rsidR="00C03507" w:rsidRPr="00C03507">
          <w:rPr>
            <w:rFonts w:ascii="Calibri" w:eastAsia="Calibri" w:hAnsi="Calibri"/>
            <w:color w:val="0000FF"/>
            <w:u w:val="single"/>
            <w:rtl/>
          </w:rPr>
          <w:t xml:space="preserve"> 5947/13</w:t>
        </w:r>
      </w:hyperlink>
      <w:r w:rsidRPr="00BA5951">
        <w:rPr>
          <w:rFonts w:ascii="Calibri" w:eastAsia="Calibri" w:hAnsi="Calibri" w:hint="cs"/>
          <w:rtl/>
        </w:rPr>
        <w:t xml:space="preserve"> </w:t>
      </w:r>
      <w:r w:rsidRPr="00BA5951">
        <w:rPr>
          <w:rFonts w:ascii="Calibri" w:eastAsia="Calibri" w:hAnsi="Calibri" w:hint="cs"/>
          <w:b/>
          <w:bCs/>
          <w:rtl/>
        </w:rPr>
        <w:t>קילאני נגד מדינת ישראל</w:t>
      </w:r>
      <w:r w:rsidRPr="00BA5951">
        <w:rPr>
          <w:rFonts w:ascii="Calibri" w:eastAsia="Calibri" w:hAnsi="Calibri" w:hint="cs"/>
          <w:rtl/>
        </w:rPr>
        <w:t xml:space="preserve"> [4.12.13]. </w:t>
      </w:r>
    </w:p>
    <w:p w14:paraId="4AA506FC" w14:textId="77777777" w:rsidR="00AA4D92" w:rsidRPr="00BA5951" w:rsidRDefault="00AA4D92" w:rsidP="00AA4D92">
      <w:pPr>
        <w:overflowPunct w:val="0"/>
        <w:autoSpaceDE w:val="0"/>
        <w:autoSpaceDN w:val="0"/>
        <w:adjustRightInd w:val="0"/>
        <w:spacing w:line="360" w:lineRule="auto"/>
        <w:ind w:left="713" w:hanging="713"/>
        <w:jc w:val="both"/>
        <w:rPr>
          <w:rFonts w:ascii="Calibri" w:eastAsia="Calibri" w:hAnsi="Calibri"/>
          <w:rtl/>
        </w:rPr>
      </w:pPr>
      <w:r w:rsidRPr="00BA5951">
        <w:rPr>
          <w:rFonts w:ascii="Calibri" w:eastAsia="Calibri" w:hAnsi="Calibri" w:hint="cs"/>
          <w:rtl/>
        </w:rPr>
        <w:tab/>
        <w:t xml:space="preserve">המערער  ניסה למכור נשק מסוג שאינו ידוע לאחר, וכחודש לאחר מכן ניסה לתווך בעסקה למכירת שני כלי נשק מסוג שאינו ידוע, והורשע על יסוד הודאתו בשתי עבירות של נסיון לסחר או עסקה אחרת בנשק לפי </w:t>
      </w:r>
      <w:hyperlink r:id="rId62" w:history="1">
        <w:r w:rsidR="008429B1" w:rsidRPr="008429B1">
          <w:rPr>
            <w:rStyle w:val="Hyperlink"/>
            <w:rFonts w:ascii="Calibri" w:eastAsia="Calibri" w:hAnsi="Calibri" w:hint="cs"/>
            <w:rtl/>
          </w:rPr>
          <w:t>סעיף</w:t>
        </w:r>
        <w:r w:rsidR="008429B1" w:rsidRPr="008429B1">
          <w:rPr>
            <w:rStyle w:val="Hyperlink"/>
            <w:rFonts w:ascii="Calibri" w:eastAsia="Calibri" w:hAnsi="Calibri"/>
            <w:rtl/>
          </w:rPr>
          <w:t xml:space="preserve"> 144(</w:t>
        </w:r>
        <w:r w:rsidR="008429B1" w:rsidRPr="008429B1">
          <w:rPr>
            <w:rStyle w:val="Hyperlink"/>
            <w:rFonts w:ascii="Calibri" w:eastAsia="Calibri" w:hAnsi="Calibri" w:hint="cs"/>
            <w:rtl/>
          </w:rPr>
          <w:t>ב</w:t>
        </w:r>
        <w:r w:rsidR="008429B1" w:rsidRPr="008429B1">
          <w:rPr>
            <w:rStyle w:val="Hyperlink"/>
            <w:rFonts w:ascii="Calibri" w:eastAsia="Calibri" w:hAnsi="Calibri"/>
            <w:rtl/>
          </w:rPr>
          <w:t>2)</w:t>
        </w:r>
      </w:hyperlink>
      <w:r w:rsidRPr="00BA5951">
        <w:rPr>
          <w:rFonts w:ascii="Calibri" w:eastAsia="Calibri" w:hAnsi="Calibri" w:hint="cs"/>
          <w:rtl/>
        </w:rPr>
        <w:t xml:space="preserve"> לחוק. בית-המשפט המחוזי קבע מתחם עונש הולם בגין שתי העבירות, שנע בין 12 ל- 40 חודשי מאסר. בהתחשב בעברו הפלילי ובעובדה שנשא מאסרים בפועל, בהודאתו ובחרטה שהביע, נדון למאסר של 18 חודשים. </w:t>
      </w:r>
    </w:p>
    <w:p w14:paraId="3809C817" w14:textId="77777777" w:rsidR="00AA4D92" w:rsidRPr="00BA5951" w:rsidRDefault="00AA4D92" w:rsidP="00AA4D92">
      <w:pPr>
        <w:overflowPunct w:val="0"/>
        <w:autoSpaceDE w:val="0"/>
        <w:autoSpaceDN w:val="0"/>
        <w:adjustRightInd w:val="0"/>
        <w:spacing w:line="360" w:lineRule="auto"/>
        <w:ind w:left="713"/>
        <w:jc w:val="both"/>
        <w:rPr>
          <w:rFonts w:ascii="Calibri" w:eastAsia="Calibri" w:hAnsi="Calibri"/>
          <w:rtl/>
        </w:rPr>
      </w:pPr>
      <w:r w:rsidRPr="00BA5951">
        <w:rPr>
          <w:rFonts w:ascii="Calibri" w:eastAsia="Calibri" w:hAnsi="Calibri" w:hint="cs"/>
          <w:rtl/>
        </w:rPr>
        <w:t xml:space="preserve">המערער טען לקיומו של פער בלתי סביר לעומת הנאשם 4, שהורשע בעבירה אחת של ניסיון לעסקה בנשק, אשר ביקש מספר פעמים לרכוש לעצמו נשק מסוג לא ידוע, ונדון לעונש של 8 חודשי מאסר בפועל (גם הוא בעל עבר פלילי). </w:t>
      </w:r>
    </w:p>
    <w:p w14:paraId="6A4DEC53" w14:textId="77777777" w:rsidR="00AA4D92" w:rsidRPr="00BA5951" w:rsidRDefault="00AA4D92" w:rsidP="00AA4D92">
      <w:pPr>
        <w:overflowPunct w:val="0"/>
        <w:autoSpaceDE w:val="0"/>
        <w:autoSpaceDN w:val="0"/>
        <w:adjustRightInd w:val="0"/>
        <w:spacing w:line="360" w:lineRule="auto"/>
        <w:ind w:left="713"/>
        <w:jc w:val="both"/>
        <w:rPr>
          <w:rFonts w:ascii="Calibri" w:eastAsia="Calibri" w:hAnsi="Calibri"/>
          <w:rtl/>
        </w:rPr>
      </w:pPr>
      <w:r w:rsidRPr="00BA5951">
        <w:rPr>
          <w:rFonts w:ascii="Calibri" w:eastAsia="Calibri" w:hAnsi="Calibri" w:hint="cs"/>
          <w:rtl/>
        </w:rPr>
        <w:t xml:space="preserve">בית-המשפט העליון דחה את הטענה בדבר פער בלתי הולם ואף ציין שהרף שנקבע הוא רף נמוך. </w:t>
      </w:r>
    </w:p>
    <w:p w14:paraId="4A70216A" w14:textId="77777777" w:rsidR="00AA4D92" w:rsidRPr="00BA5951" w:rsidRDefault="00AA4D92" w:rsidP="00AA4D92">
      <w:pPr>
        <w:overflowPunct w:val="0"/>
        <w:autoSpaceDE w:val="0"/>
        <w:autoSpaceDN w:val="0"/>
        <w:adjustRightInd w:val="0"/>
        <w:spacing w:line="360" w:lineRule="auto"/>
        <w:ind w:left="713" w:firstLine="7"/>
        <w:jc w:val="both"/>
        <w:rPr>
          <w:rFonts w:ascii="Calibri" w:eastAsia="Calibri" w:hAnsi="Calibri"/>
          <w:rtl/>
        </w:rPr>
      </w:pPr>
    </w:p>
    <w:p w14:paraId="4ABEC39D" w14:textId="77777777" w:rsidR="00AA4D92" w:rsidRPr="00BA5951" w:rsidRDefault="00C03507" w:rsidP="00AA4D92">
      <w:pPr>
        <w:overflowPunct w:val="0"/>
        <w:autoSpaceDE w:val="0"/>
        <w:autoSpaceDN w:val="0"/>
        <w:adjustRightInd w:val="0"/>
        <w:spacing w:line="360" w:lineRule="auto"/>
        <w:ind w:left="713"/>
        <w:jc w:val="both"/>
        <w:rPr>
          <w:rFonts w:ascii="Calibri" w:eastAsia="Calibri" w:hAnsi="Calibri"/>
          <w:rtl/>
        </w:rPr>
      </w:pPr>
      <w:hyperlink r:id="rId63" w:history="1">
        <w:r w:rsidRPr="00C03507">
          <w:rPr>
            <w:rFonts w:ascii="Calibri" w:eastAsia="Calibri" w:hAnsi="Calibri" w:hint="cs"/>
            <w:color w:val="0000FF"/>
            <w:u w:val="single"/>
            <w:rtl/>
          </w:rPr>
          <w:t>ע</w:t>
        </w:r>
        <w:r w:rsidRPr="00C03507">
          <w:rPr>
            <w:rFonts w:ascii="Calibri" w:eastAsia="Calibri" w:hAnsi="Calibri"/>
            <w:color w:val="0000FF"/>
            <w:u w:val="single"/>
            <w:rtl/>
          </w:rPr>
          <w:t>"</w:t>
        </w:r>
        <w:r w:rsidRPr="00C03507">
          <w:rPr>
            <w:rFonts w:ascii="Calibri" w:eastAsia="Calibri" w:hAnsi="Calibri" w:hint="cs"/>
            <w:color w:val="0000FF"/>
            <w:u w:val="single"/>
            <w:rtl/>
          </w:rPr>
          <w:t>פ</w:t>
        </w:r>
        <w:r w:rsidRPr="00C03507">
          <w:rPr>
            <w:rFonts w:ascii="Calibri" w:eastAsia="Calibri" w:hAnsi="Calibri"/>
            <w:color w:val="0000FF"/>
            <w:u w:val="single"/>
            <w:rtl/>
          </w:rPr>
          <w:t xml:space="preserve"> 122/02</w:t>
        </w:r>
      </w:hyperlink>
      <w:r w:rsidR="00AA4D92" w:rsidRPr="00BA5951">
        <w:rPr>
          <w:rFonts w:ascii="Calibri" w:eastAsia="Calibri" w:hAnsi="Calibri" w:hint="cs"/>
          <w:rtl/>
        </w:rPr>
        <w:t xml:space="preserve"> </w:t>
      </w:r>
      <w:r w:rsidR="00AA4D92" w:rsidRPr="00BA5951">
        <w:rPr>
          <w:rFonts w:ascii="Calibri" w:eastAsia="Calibri" w:hAnsi="Calibri" w:hint="cs"/>
          <w:b/>
          <w:bCs/>
          <w:rtl/>
        </w:rPr>
        <w:t>מדינת ישראל נגד בדראן</w:t>
      </w:r>
      <w:r w:rsidR="00AA4D92" w:rsidRPr="00BA5951">
        <w:rPr>
          <w:rFonts w:ascii="Calibri" w:eastAsia="Calibri" w:hAnsi="Calibri" w:hint="cs"/>
          <w:rtl/>
        </w:rPr>
        <w:t xml:space="preserve"> [13.6.02] (הוגש על-ידי ב"כ נאשם 4): המשיב קשר עם שניים, תושבי הרשות אשר שהו בישראל שלא כחוק, לרכוש מאחר חמישה כלי נשק בהן שני רובי קלצ'ניקוב ושלושה אקדחים. בעקבות מידע מוקדם שמסר האחר למשטרה, המשיב ושותפיו נעצרו עם הגיעם לביתו של האחר. המשיב הורשע על יסוד הודאתו בעבירה של ניסיון לרכישת נשק, ונגזר עליו עונש מאסר בפועל בן 24 חודשים.</w:t>
      </w:r>
    </w:p>
    <w:p w14:paraId="13632B4A" w14:textId="77777777" w:rsidR="00AA4D92" w:rsidRPr="00BA5951" w:rsidRDefault="00AA4D92" w:rsidP="00AA4D92">
      <w:pPr>
        <w:overflowPunct w:val="0"/>
        <w:autoSpaceDE w:val="0"/>
        <w:autoSpaceDN w:val="0"/>
        <w:adjustRightInd w:val="0"/>
        <w:spacing w:line="360" w:lineRule="auto"/>
        <w:ind w:left="713"/>
        <w:jc w:val="both"/>
        <w:rPr>
          <w:rFonts w:ascii="Calibri" w:eastAsia="Calibri" w:hAnsi="Calibri"/>
          <w:rtl/>
        </w:rPr>
      </w:pPr>
      <w:r w:rsidRPr="00BA5951">
        <w:rPr>
          <w:rFonts w:ascii="Calibri" w:eastAsia="Calibri" w:hAnsi="Calibri" w:hint="cs"/>
          <w:rtl/>
        </w:rPr>
        <w:t xml:space="preserve">ערעור על קולת העונש התקבל, תוך שצוין, כי מדובר באזרח ישראל שניסה לרכוש כלי ירייה עבור תושבי הרשות. נקבע, כי העונש שנגזר על המשיב אינו נותן ביטוי לחומרה הרבה שהייתה טמונה במעשה העבירה. הובא בחשבון, כי על שותפיו שהורשעו לאחר ניהול הוכחות בעבירה של ניסיון לסחר בנשק, גזר בית-המשפט עונש של 54 חודשי מאסר. על רקע השוני בין העבירות, הודאת המשיב והעיקרון לפיו ערכאת הערעור אינה ממצה את הדין, הוחמר העונש מ- 24 ל- 42 חודשי מאסר בפועל. </w:t>
      </w:r>
    </w:p>
    <w:p w14:paraId="5E8073C6" w14:textId="77777777" w:rsidR="00AA4D92" w:rsidRPr="00BA5951" w:rsidRDefault="00AA4D92" w:rsidP="00AA4D92">
      <w:pPr>
        <w:overflowPunct w:val="0"/>
        <w:autoSpaceDE w:val="0"/>
        <w:autoSpaceDN w:val="0"/>
        <w:adjustRightInd w:val="0"/>
        <w:spacing w:line="360" w:lineRule="auto"/>
        <w:ind w:left="713" w:firstLine="7"/>
        <w:jc w:val="both"/>
        <w:rPr>
          <w:rFonts w:ascii="Calibri" w:eastAsia="Calibri" w:hAnsi="Calibri"/>
          <w:rtl/>
        </w:rPr>
      </w:pPr>
    </w:p>
    <w:p w14:paraId="00E64E1F" w14:textId="77777777" w:rsidR="00AA4D92" w:rsidRPr="00BA5951" w:rsidRDefault="00AA4D92" w:rsidP="00AA4D92">
      <w:pPr>
        <w:overflowPunct w:val="0"/>
        <w:autoSpaceDE w:val="0"/>
        <w:autoSpaceDN w:val="0"/>
        <w:adjustRightInd w:val="0"/>
        <w:spacing w:line="360" w:lineRule="auto"/>
        <w:ind w:left="713" w:hanging="713"/>
        <w:jc w:val="both"/>
        <w:rPr>
          <w:rFonts w:ascii="Calibri" w:eastAsia="Calibri" w:hAnsi="Calibri"/>
          <w:rtl/>
        </w:rPr>
      </w:pPr>
      <w:r w:rsidRPr="00BA5951">
        <w:rPr>
          <w:rFonts w:ascii="Calibri" w:eastAsia="Calibri" w:hAnsi="Calibri" w:hint="cs"/>
          <w:rtl/>
        </w:rPr>
        <w:tab/>
      </w:r>
      <w:hyperlink r:id="rId64" w:history="1">
        <w:r w:rsidR="00C03507" w:rsidRPr="00C03507">
          <w:rPr>
            <w:rFonts w:ascii="Calibri" w:eastAsia="Calibri" w:hAnsi="Calibri" w:hint="cs"/>
            <w:color w:val="0000FF"/>
            <w:u w:val="single"/>
            <w:rtl/>
          </w:rPr>
          <w:t>ע</w:t>
        </w:r>
        <w:r w:rsidR="00C03507" w:rsidRPr="00C03507">
          <w:rPr>
            <w:rFonts w:ascii="Calibri" w:eastAsia="Calibri" w:hAnsi="Calibri"/>
            <w:color w:val="0000FF"/>
            <w:u w:val="single"/>
            <w:rtl/>
          </w:rPr>
          <w:t>"</w:t>
        </w:r>
        <w:r w:rsidR="00C03507" w:rsidRPr="00C03507">
          <w:rPr>
            <w:rFonts w:ascii="Calibri" w:eastAsia="Calibri" w:hAnsi="Calibri" w:hint="cs"/>
            <w:color w:val="0000FF"/>
            <w:u w:val="single"/>
            <w:rtl/>
          </w:rPr>
          <w:t>פ</w:t>
        </w:r>
        <w:r w:rsidR="00C03507" w:rsidRPr="00C03507">
          <w:rPr>
            <w:rFonts w:ascii="Calibri" w:eastAsia="Calibri" w:hAnsi="Calibri"/>
            <w:color w:val="0000FF"/>
            <w:u w:val="single"/>
            <w:rtl/>
          </w:rPr>
          <w:t xml:space="preserve"> 5330/20</w:t>
        </w:r>
      </w:hyperlink>
      <w:r w:rsidRPr="00BA5951">
        <w:rPr>
          <w:rFonts w:ascii="Calibri" w:eastAsia="Calibri" w:hAnsi="Calibri" w:hint="cs"/>
          <w:rtl/>
        </w:rPr>
        <w:t xml:space="preserve"> </w:t>
      </w:r>
      <w:r w:rsidRPr="00BA5951">
        <w:rPr>
          <w:rFonts w:ascii="Calibri" w:eastAsia="Calibri" w:hAnsi="Calibri" w:hint="cs"/>
          <w:b/>
          <w:bCs/>
          <w:rtl/>
        </w:rPr>
        <w:t>סמיר ענבתאוי נגד מדינת ישראל</w:t>
      </w:r>
      <w:r w:rsidRPr="00BA5951">
        <w:rPr>
          <w:rFonts w:ascii="Calibri" w:eastAsia="Calibri" w:hAnsi="Calibri" w:hint="cs"/>
          <w:rtl/>
        </w:rPr>
        <w:t xml:space="preserve">; </w:t>
      </w:r>
      <w:r w:rsidRPr="00BA5951">
        <w:rPr>
          <w:rFonts w:ascii="Calibri" w:eastAsia="Calibri" w:hAnsi="Calibri" w:hint="cs"/>
          <w:b/>
          <w:bCs/>
          <w:rtl/>
        </w:rPr>
        <w:t>מדינת ישראל נגד סובחי חג'יר וג'נאן סבית</w:t>
      </w:r>
      <w:r w:rsidRPr="00BA5951">
        <w:rPr>
          <w:rFonts w:ascii="Calibri" w:eastAsia="Calibri" w:hAnsi="Calibri" w:hint="cs"/>
          <w:rtl/>
        </w:rPr>
        <w:t xml:space="preserve">  [22.11.20] (הוגש על-ידי התביעה): המשיב ג'נאן, פנה למערער סמיר ואמר לו כי הוא מעוניין ברכישת אקדח. המערער סמיר פנה לאדם נוסף, ולבסוף קיבלו שני המשיבים סובחי וג'נאן את האקדח, ונשאו אותו ברכבם עד שהמערער סמיר, אשר נסע ברכב מקביל, התריע על קיומו של מחסום משטרתי והודיע על כך למשיב ג'נאן. בהגיעם למחסום נעצרו. </w:t>
      </w:r>
    </w:p>
    <w:p w14:paraId="1E4FB0EA" w14:textId="77777777" w:rsidR="00AA4D92" w:rsidRPr="00BA5951" w:rsidRDefault="00AA4D92" w:rsidP="00AA4D92">
      <w:pPr>
        <w:overflowPunct w:val="0"/>
        <w:autoSpaceDE w:val="0"/>
        <w:autoSpaceDN w:val="0"/>
        <w:adjustRightInd w:val="0"/>
        <w:spacing w:line="360" w:lineRule="auto"/>
        <w:ind w:left="713"/>
        <w:jc w:val="both"/>
        <w:rPr>
          <w:rFonts w:ascii="Calibri" w:eastAsia="Calibri" w:hAnsi="Calibri"/>
          <w:rtl/>
        </w:rPr>
      </w:pPr>
      <w:r w:rsidRPr="00BA5951">
        <w:rPr>
          <w:rFonts w:ascii="Calibri" w:eastAsia="Calibri" w:hAnsi="Calibri" w:hint="cs"/>
          <w:rtl/>
        </w:rPr>
        <w:t xml:space="preserve">המערער סמיר הורשע בעבירות של החזקת נשק, נשיאה והובלה של נשק, ובעסקה אחרת בנשק. בית-המשפט המחוזי קבע מתחם עונש הולם שנע בין 24 ל- 42 חודשי מאסר, ועל סמיר, שלחובתו עבר פלילי הכולל עבירות נשק, הושת עונש מאסר בפועל בן 28 חודשים.  </w:t>
      </w:r>
    </w:p>
    <w:p w14:paraId="7242B694" w14:textId="77777777" w:rsidR="00AA4D92" w:rsidRPr="00BA5951" w:rsidRDefault="00AA4D92" w:rsidP="00AA4D92">
      <w:pPr>
        <w:overflowPunct w:val="0"/>
        <w:autoSpaceDE w:val="0"/>
        <w:autoSpaceDN w:val="0"/>
        <w:adjustRightInd w:val="0"/>
        <w:spacing w:line="360" w:lineRule="auto"/>
        <w:ind w:left="713"/>
        <w:jc w:val="both"/>
        <w:rPr>
          <w:rFonts w:ascii="Calibri" w:eastAsia="Calibri" w:hAnsi="Calibri"/>
          <w:rtl/>
        </w:rPr>
      </w:pPr>
      <w:r w:rsidRPr="00BA5951">
        <w:rPr>
          <w:rFonts w:ascii="Calibri" w:eastAsia="Calibri" w:hAnsi="Calibri" w:hint="cs"/>
          <w:rtl/>
        </w:rPr>
        <w:t xml:space="preserve">המשיבים סובחי וג'נאן הורשעו בעבירות של החזקת נשק ונשיאה והובלת נשק, ובית-המשפט המחוזי קבע מתחם עונש הולם שנע בין 9 ל- 36 חודשי מאסר. על שני משיבים אלו, נעדרי עבר פלילי, נגזרו 9 חודשי מאסר בעבודות שירות. </w:t>
      </w:r>
    </w:p>
    <w:p w14:paraId="0463529A" w14:textId="77777777" w:rsidR="00AA4D92" w:rsidRPr="00BA5951" w:rsidRDefault="00AA4D92" w:rsidP="00AA4D92">
      <w:pPr>
        <w:overflowPunct w:val="0"/>
        <w:autoSpaceDE w:val="0"/>
        <w:autoSpaceDN w:val="0"/>
        <w:adjustRightInd w:val="0"/>
        <w:spacing w:line="360" w:lineRule="auto"/>
        <w:ind w:left="713"/>
        <w:jc w:val="both"/>
        <w:rPr>
          <w:rFonts w:ascii="Calibri" w:eastAsia="Calibri" w:hAnsi="Calibri"/>
          <w:rtl/>
        </w:rPr>
      </w:pPr>
      <w:r w:rsidRPr="00BA5951">
        <w:rPr>
          <w:rFonts w:ascii="Calibri" w:eastAsia="Calibri" w:hAnsi="Calibri" w:hint="cs"/>
          <w:rtl/>
        </w:rPr>
        <w:t xml:space="preserve">ערעורו של סמיר על חומרת העונש נדחה. </w:t>
      </w:r>
    </w:p>
    <w:p w14:paraId="71649F5B" w14:textId="77777777" w:rsidR="00AA4D92" w:rsidRPr="00BA5951" w:rsidRDefault="00AA4D92" w:rsidP="00AA4D92">
      <w:pPr>
        <w:overflowPunct w:val="0"/>
        <w:autoSpaceDE w:val="0"/>
        <w:autoSpaceDN w:val="0"/>
        <w:adjustRightInd w:val="0"/>
        <w:spacing w:line="360" w:lineRule="auto"/>
        <w:ind w:left="713"/>
        <w:jc w:val="both"/>
        <w:rPr>
          <w:rFonts w:ascii="Calibri" w:eastAsia="Calibri" w:hAnsi="Calibri"/>
          <w:rtl/>
        </w:rPr>
      </w:pPr>
      <w:r w:rsidRPr="00BA5951">
        <w:rPr>
          <w:rFonts w:ascii="Calibri" w:eastAsia="Calibri" w:hAnsi="Calibri" w:hint="cs"/>
          <w:rtl/>
        </w:rPr>
        <w:t xml:space="preserve">ערעור על קולת העונש בעניינם של המשיבים ג'נאן וסובחי התקבל, תוך שצוין, שהיה מקום לקבוע מתחמי ענישה נפרדים לכל אחד מהם, שכן מידת מעורבותו של ג'נאן הייתה משמעותית יותר, בהיותו יוזם עסקת הנשק ומי שהנשק נועד לצרכיו. נקבע, שמתחם העונש בעניינו של המשיב ג'נאן נע בין 14 ל- 36 חודשים, ועונשו הוחמר ל- 14 חודשי מאסר בפועל; מתחם העונש ההולם בעניינו של המשיב סובחי נע בין 10 ל- 36 חודשים, ועונשו הוחמר ל- 10 חודשי מאסר בפועל.  </w:t>
      </w:r>
    </w:p>
    <w:p w14:paraId="3C4255DA" w14:textId="77777777" w:rsidR="00AA4D92" w:rsidRPr="00BA5951" w:rsidRDefault="00AA4D92" w:rsidP="00AA4D92">
      <w:pPr>
        <w:overflowPunct w:val="0"/>
        <w:autoSpaceDE w:val="0"/>
        <w:autoSpaceDN w:val="0"/>
        <w:adjustRightInd w:val="0"/>
        <w:spacing w:line="360" w:lineRule="auto"/>
        <w:ind w:left="713"/>
        <w:jc w:val="both"/>
        <w:rPr>
          <w:rFonts w:ascii="Calibri" w:eastAsia="Calibri" w:hAnsi="Calibri"/>
          <w:rtl/>
        </w:rPr>
      </w:pPr>
    </w:p>
    <w:p w14:paraId="57E46655" w14:textId="77777777" w:rsidR="00AA4D92" w:rsidRPr="00BA5951" w:rsidRDefault="00C03507" w:rsidP="00AA4D92">
      <w:pPr>
        <w:overflowPunct w:val="0"/>
        <w:autoSpaceDE w:val="0"/>
        <w:autoSpaceDN w:val="0"/>
        <w:adjustRightInd w:val="0"/>
        <w:spacing w:line="360" w:lineRule="auto"/>
        <w:ind w:left="713"/>
        <w:jc w:val="both"/>
        <w:rPr>
          <w:rFonts w:ascii="Calibri" w:eastAsia="Calibri" w:hAnsi="Calibri"/>
          <w:rtl/>
        </w:rPr>
      </w:pPr>
      <w:hyperlink r:id="rId65" w:history="1">
        <w:r w:rsidRPr="00C03507">
          <w:rPr>
            <w:rFonts w:ascii="Calibri" w:eastAsia="Calibri" w:hAnsi="Calibri" w:hint="cs"/>
            <w:color w:val="0000FF"/>
            <w:u w:val="single"/>
            <w:rtl/>
          </w:rPr>
          <w:t>ע</w:t>
        </w:r>
        <w:r w:rsidRPr="00C03507">
          <w:rPr>
            <w:rFonts w:ascii="Calibri" w:eastAsia="Calibri" w:hAnsi="Calibri"/>
            <w:color w:val="0000FF"/>
            <w:u w:val="single"/>
            <w:rtl/>
          </w:rPr>
          <w:t>"</w:t>
        </w:r>
        <w:r w:rsidRPr="00C03507">
          <w:rPr>
            <w:rFonts w:ascii="Calibri" w:eastAsia="Calibri" w:hAnsi="Calibri" w:hint="cs"/>
            <w:color w:val="0000FF"/>
            <w:u w:val="single"/>
            <w:rtl/>
          </w:rPr>
          <w:t>פ</w:t>
        </w:r>
        <w:r w:rsidRPr="00C03507">
          <w:rPr>
            <w:rFonts w:ascii="Calibri" w:eastAsia="Calibri" w:hAnsi="Calibri"/>
            <w:color w:val="0000FF"/>
            <w:u w:val="single"/>
            <w:rtl/>
          </w:rPr>
          <w:t xml:space="preserve"> 6716/16</w:t>
        </w:r>
      </w:hyperlink>
      <w:r w:rsidR="00AA4D92" w:rsidRPr="00BA5951">
        <w:rPr>
          <w:rFonts w:ascii="Calibri" w:eastAsia="Calibri" w:hAnsi="Calibri" w:hint="cs"/>
          <w:rtl/>
        </w:rPr>
        <w:t xml:space="preserve"> </w:t>
      </w:r>
      <w:r w:rsidR="00AA4D92" w:rsidRPr="00BA5951">
        <w:rPr>
          <w:rFonts w:ascii="Calibri" w:eastAsia="Calibri" w:hAnsi="Calibri" w:hint="cs"/>
          <w:b/>
          <w:bCs/>
          <w:rtl/>
        </w:rPr>
        <w:t>ותד נגד מדינת ישראל</w:t>
      </w:r>
      <w:r w:rsidR="00AA4D92" w:rsidRPr="00BA5951">
        <w:rPr>
          <w:rFonts w:ascii="Calibri" w:eastAsia="Calibri" w:hAnsi="Calibri" w:hint="cs"/>
          <w:rtl/>
        </w:rPr>
        <w:t xml:space="preserve"> [14.6.17] (הוגש על-ידי ב"כ נאשם 4): המערער הורשע על פי הודאתו בעבירות של קשירת קשר לביצוע פשע, וניסיון לרכישת נשק והחזקת נשק.</w:t>
      </w:r>
    </w:p>
    <w:p w14:paraId="7036B86C" w14:textId="77777777" w:rsidR="00AA4D92" w:rsidRPr="00BA5951" w:rsidRDefault="00AA4D92" w:rsidP="00AA4D92">
      <w:pPr>
        <w:overflowPunct w:val="0"/>
        <w:autoSpaceDE w:val="0"/>
        <w:autoSpaceDN w:val="0"/>
        <w:adjustRightInd w:val="0"/>
        <w:spacing w:line="360" w:lineRule="auto"/>
        <w:ind w:left="713"/>
        <w:jc w:val="both"/>
        <w:rPr>
          <w:rFonts w:ascii="Calibri" w:eastAsia="Calibri" w:hAnsi="Calibri"/>
          <w:rtl/>
        </w:rPr>
      </w:pPr>
      <w:r w:rsidRPr="00BA5951">
        <w:rPr>
          <w:rFonts w:ascii="Calibri" w:eastAsia="Calibri" w:hAnsi="Calibri" w:hint="cs"/>
          <w:rtl/>
        </w:rPr>
        <w:t xml:space="preserve">המערער קשר קשר עם שניים אחרים לרכוש כלי נשק ותחמושת, כדי שאלו יועברו אליו באמצעות אחרים, ולצורך כך האיץ והפעיל אנשים רבים. אחד האחרים נסע למקום המפגש, שם נערך ניסוי ירי, ולבסוף אחר נשא רובה קלצ'ניקוב, מכלול ומחסניות והסווה אותם בתא מטען ברכב על-מנת למסרם למערער, כשעבור כלי הנשק שולם יותר מ – 21,000 ₪. בהמשך אותו היום, בדרכו אל המערער, נעצר האחר על-ידי שוטרים בעודו מוביל את הקלצ'ניקוב, המכלול והמחסניות. </w:t>
      </w:r>
    </w:p>
    <w:p w14:paraId="7E4DF680" w14:textId="77777777" w:rsidR="00AA4D92" w:rsidRPr="00BA5951" w:rsidRDefault="00AA4D92" w:rsidP="00AA4D92">
      <w:pPr>
        <w:overflowPunct w:val="0"/>
        <w:autoSpaceDE w:val="0"/>
        <w:autoSpaceDN w:val="0"/>
        <w:adjustRightInd w:val="0"/>
        <w:spacing w:line="360" w:lineRule="auto"/>
        <w:ind w:left="713"/>
        <w:jc w:val="both"/>
        <w:rPr>
          <w:rFonts w:ascii="Calibri" w:eastAsia="Calibri" w:hAnsi="Calibri"/>
          <w:rtl/>
        </w:rPr>
      </w:pPr>
      <w:r w:rsidRPr="00BA5951">
        <w:rPr>
          <w:rFonts w:ascii="Calibri" w:eastAsia="Calibri" w:hAnsi="Calibri" w:hint="cs"/>
          <w:rtl/>
        </w:rPr>
        <w:t xml:space="preserve">בית-המשפט המחוזי קבע מתחם עונש הולם שנע בין 20 עד 48 חודשי מאסר, ועל המערער, שלחובתו עבר מכביד, לרבות בעבירת נשק, הושת עונש של 26 חודשי מאסר בפועל. </w:t>
      </w:r>
    </w:p>
    <w:p w14:paraId="0FF682AA" w14:textId="77777777" w:rsidR="00AA4D92" w:rsidRPr="00BA5951" w:rsidRDefault="00AA4D92" w:rsidP="00AA4D92">
      <w:pPr>
        <w:overflowPunct w:val="0"/>
        <w:autoSpaceDE w:val="0"/>
        <w:autoSpaceDN w:val="0"/>
        <w:adjustRightInd w:val="0"/>
        <w:spacing w:line="360" w:lineRule="auto"/>
        <w:ind w:left="713"/>
        <w:jc w:val="both"/>
        <w:rPr>
          <w:rFonts w:ascii="Calibri" w:eastAsia="Calibri" w:hAnsi="Calibri"/>
          <w:rtl/>
        </w:rPr>
      </w:pPr>
      <w:r w:rsidRPr="00BA5951">
        <w:rPr>
          <w:rFonts w:ascii="Calibri" w:eastAsia="Calibri" w:hAnsi="Calibri" w:hint="cs"/>
          <w:rtl/>
        </w:rPr>
        <w:t xml:space="preserve">ערעור על חומרת העונש נדחה. </w:t>
      </w:r>
    </w:p>
    <w:p w14:paraId="7EFF7877" w14:textId="77777777" w:rsidR="00AA4D92" w:rsidRPr="00BA5951" w:rsidRDefault="00AA4D92" w:rsidP="00AA4D92">
      <w:pPr>
        <w:overflowPunct w:val="0"/>
        <w:autoSpaceDE w:val="0"/>
        <w:autoSpaceDN w:val="0"/>
        <w:adjustRightInd w:val="0"/>
        <w:spacing w:line="360" w:lineRule="auto"/>
        <w:ind w:left="713"/>
        <w:jc w:val="both"/>
        <w:rPr>
          <w:rFonts w:ascii="Calibri" w:eastAsia="Calibri" w:hAnsi="Calibri"/>
          <w:rtl/>
        </w:rPr>
      </w:pPr>
    </w:p>
    <w:p w14:paraId="29BD5CBA" w14:textId="77777777" w:rsidR="00AA4D92" w:rsidRPr="00BA5951" w:rsidRDefault="00C03507" w:rsidP="00AA4D92">
      <w:pPr>
        <w:overflowPunct w:val="0"/>
        <w:autoSpaceDE w:val="0"/>
        <w:autoSpaceDN w:val="0"/>
        <w:adjustRightInd w:val="0"/>
        <w:spacing w:line="360" w:lineRule="auto"/>
        <w:ind w:left="713"/>
        <w:jc w:val="both"/>
        <w:rPr>
          <w:rFonts w:ascii="Calibri" w:eastAsia="Calibri" w:hAnsi="Calibri"/>
          <w:rtl/>
        </w:rPr>
      </w:pPr>
      <w:hyperlink r:id="rId66" w:history="1">
        <w:r w:rsidRPr="00C03507">
          <w:rPr>
            <w:rFonts w:ascii="Calibri" w:eastAsia="Calibri" w:hAnsi="Calibri" w:hint="cs"/>
            <w:color w:val="0000FF"/>
            <w:u w:val="single"/>
            <w:rtl/>
          </w:rPr>
          <w:t>ע</w:t>
        </w:r>
        <w:r w:rsidRPr="00C03507">
          <w:rPr>
            <w:rFonts w:ascii="Calibri" w:eastAsia="Calibri" w:hAnsi="Calibri"/>
            <w:color w:val="0000FF"/>
            <w:u w:val="single"/>
            <w:rtl/>
          </w:rPr>
          <w:t>"</w:t>
        </w:r>
        <w:r w:rsidRPr="00C03507">
          <w:rPr>
            <w:rFonts w:ascii="Calibri" w:eastAsia="Calibri" w:hAnsi="Calibri" w:hint="cs"/>
            <w:color w:val="0000FF"/>
            <w:u w:val="single"/>
            <w:rtl/>
          </w:rPr>
          <w:t>פ</w:t>
        </w:r>
        <w:r w:rsidRPr="00C03507">
          <w:rPr>
            <w:rFonts w:ascii="Calibri" w:eastAsia="Calibri" w:hAnsi="Calibri"/>
            <w:color w:val="0000FF"/>
            <w:u w:val="single"/>
            <w:rtl/>
          </w:rPr>
          <w:t xml:space="preserve"> 2564/19</w:t>
        </w:r>
      </w:hyperlink>
      <w:r w:rsidR="00AA4D92" w:rsidRPr="00BA5951">
        <w:rPr>
          <w:rFonts w:ascii="Calibri" w:eastAsia="Calibri" w:hAnsi="Calibri" w:hint="cs"/>
          <w:rtl/>
        </w:rPr>
        <w:t xml:space="preserve"> </w:t>
      </w:r>
      <w:r w:rsidR="00AA4D92" w:rsidRPr="00BA5951">
        <w:rPr>
          <w:rFonts w:ascii="Calibri" w:eastAsia="Calibri" w:hAnsi="Calibri" w:hint="cs"/>
          <w:b/>
          <w:bCs/>
          <w:rtl/>
        </w:rPr>
        <w:t>אזברגה נגד מדינת ישראל</w:t>
      </w:r>
      <w:r w:rsidR="00AA4D92" w:rsidRPr="00BA5951">
        <w:rPr>
          <w:rFonts w:ascii="Calibri" w:eastAsia="Calibri" w:hAnsi="Calibri" w:hint="cs"/>
          <w:rtl/>
        </w:rPr>
        <w:t xml:space="preserve"> [18.7.19] (הוגש על-ידי ב"כ נאשם 1): המערער הורשע על-פי הודאתו בעבירה של נשיאת נשק. המערער ניהל משא ומתן עם אחרים לרכישת אקדח שהיה מצוי ברשותם, במטרה לסחור בו. לאחר תיאום הגיעו המערער ושותפו מלוד למחנה הפליטים שועפט בירושלים, שם הועבר לרשותם אקדח גנוב, יחד עם מחסנית תואמת, תמורת סכום של 32 אלף ₪. האקדח הוסתר ברכב, והשניים נעצרו בעת שעשו את דרכם חזרה. בית-המשפט המחוזי קבע מתחם עונש הולם שנע בין 12 ל- 40 חודשי מאסר. על המערער, אדם נעדר עבר פלילי, שלקח אחריות על מעשיו, ואחד מילדיו סובל ממוגבלות משמעותית, הושת עונש מאסר בן 16 חודשי מאסר בפועל – בהיעדר המלצה שיקומית של שירות המבחן. </w:t>
      </w:r>
    </w:p>
    <w:p w14:paraId="609B09D6" w14:textId="77777777" w:rsidR="00AA4D92" w:rsidRPr="00BA5951" w:rsidRDefault="00AA4D92" w:rsidP="00AA4D92">
      <w:pPr>
        <w:overflowPunct w:val="0"/>
        <w:autoSpaceDE w:val="0"/>
        <w:autoSpaceDN w:val="0"/>
        <w:adjustRightInd w:val="0"/>
        <w:spacing w:line="360" w:lineRule="auto"/>
        <w:ind w:left="713"/>
        <w:jc w:val="both"/>
        <w:rPr>
          <w:rFonts w:ascii="Calibri" w:eastAsia="Calibri" w:hAnsi="Calibri"/>
          <w:rtl/>
        </w:rPr>
      </w:pPr>
      <w:r w:rsidRPr="00BA5951">
        <w:rPr>
          <w:rFonts w:ascii="Calibri" w:eastAsia="Calibri" w:hAnsi="Calibri" w:hint="cs"/>
          <w:rtl/>
        </w:rPr>
        <w:t xml:space="preserve">ערעור על חומרת העונש נדחה. </w:t>
      </w:r>
    </w:p>
    <w:p w14:paraId="36D52E69" w14:textId="77777777" w:rsidR="00AA4D92" w:rsidRPr="00BA5951" w:rsidRDefault="00AA4D92" w:rsidP="00AA4D92">
      <w:pPr>
        <w:overflowPunct w:val="0"/>
        <w:autoSpaceDE w:val="0"/>
        <w:autoSpaceDN w:val="0"/>
        <w:adjustRightInd w:val="0"/>
        <w:spacing w:line="360" w:lineRule="auto"/>
        <w:ind w:left="713" w:hanging="713"/>
        <w:jc w:val="both"/>
        <w:rPr>
          <w:rFonts w:ascii="Calibri" w:eastAsia="Calibri" w:hAnsi="Calibri"/>
          <w:rtl/>
        </w:rPr>
      </w:pPr>
    </w:p>
    <w:p w14:paraId="2B62398E" w14:textId="77777777" w:rsidR="00AA4D92" w:rsidRPr="00BA5951" w:rsidRDefault="00AA4D92" w:rsidP="00AA4D92">
      <w:pPr>
        <w:numPr>
          <w:ilvl w:val="0"/>
          <w:numId w:val="1"/>
        </w:numPr>
        <w:spacing w:line="360" w:lineRule="auto"/>
        <w:contextualSpacing/>
        <w:jc w:val="both"/>
        <w:rPr>
          <w:rFonts w:ascii="Calibri" w:eastAsia="Calibri" w:hAnsi="Calibri"/>
          <w:u w:val="single"/>
          <w:rtl/>
        </w:rPr>
      </w:pPr>
      <w:r w:rsidRPr="00BA5951">
        <w:rPr>
          <w:rFonts w:ascii="David" w:hAnsi="David" w:hint="cs"/>
          <w:u w:val="single"/>
          <w:rtl/>
        </w:rPr>
        <w:t>באשר</w:t>
      </w:r>
      <w:r w:rsidRPr="00BA5951">
        <w:rPr>
          <w:rFonts w:ascii="Calibri" w:eastAsia="Calibri" w:hAnsi="Calibri" w:hint="cs"/>
          <w:u w:val="single"/>
          <w:rtl/>
        </w:rPr>
        <w:t xml:space="preserve"> לעבירה של נשיאת נשק – אקדח (אישום 1 – נאשם 1) ראו, למשל: </w:t>
      </w:r>
    </w:p>
    <w:p w14:paraId="7246B408" w14:textId="77777777" w:rsidR="00AA4D92" w:rsidRPr="00BA5951" w:rsidRDefault="00AA4D92" w:rsidP="00AA4D92">
      <w:pPr>
        <w:tabs>
          <w:tab w:val="left" w:pos="680"/>
        </w:tabs>
        <w:overflowPunct w:val="0"/>
        <w:autoSpaceDE w:val="0"/>
        <w:autoSpaceDN w:val="0"/>
        <w:adjustRightInd w:val="0"/>
        <w:spacing w:line="360" w:lineRule="auto"/>
        <w:ind w:left="713" w:hanging="713"/>
        <w:jc w:val="both"/>
        <w:rPr>
          <w:rFonts w:ascii="Calibri" w:eastAsia="Calibri" w:hAnsi="Calibri"/>
          <w:u w:val="single"/>
          <w:rtl/>
        </w:rPr>
      </w:pPr>
    </w:p>
    <w:p w14:paraId="1D7580A2" w14:textId="77777777" w:rsidR="00AA4D92" w:rsidRPr="00BA5951" w:rsidRDefault="00C03507" w:rsidP="00AA4D92">
      <w:pPr>
        <w:spacing w:line="360" w:lineRule="auto"/>
        <w:ind w:left="720"/>
        <w:jc w:val="both"/>
        <w:rPr>
          <w:rFonts w:ascii="Calibri" w:eastAsia="Calibri" w:hAnsi="Calibri"/>
          <w:rtl/>
        </w:rPr>
      </w:pPr>
      <w:hyperlink r:id="rId67" w:history="1">
        <w:r w:rsidRPr="00C03507">
          <w:rPr>
            <w:rFonts w:ascii="Calibri" w:eastAsia="Calibri" w:hAnsi="Calibri" w:hint="cs"/>
            <w:color w:val="0000FF"/>
            <w:u w:val="single"/>
            <w:rtl/>
          </w:rPr>
          <w:t>ע</w:t>
        </w:r>
        <w:r w:rsidRPr="00C03507">
          <w:rPr>
            <w:rFonts w:ascii="Calibri" w:eastAsia="Calibri" w:hAnsi="Calibri"/>
            <w:color w:val="0000FF"/>
            <w:u w:val="single"/>
            <w:rtl/>
          </w:rPr>
          <w:t>"</w:t>
        </w:r>
        <w:r w:rsidRPr="00C03507">
          <w:rPr>
            <w:rFonts w:ascii="Calibri" w:eastAsia="Calibri" w:hAnsi="Calibri" w:hint="cs"/>
            <w:color w:val="0000FF"/>
            <w:u w:val="single"/>
            <w:rtl/>
          </w:rPr>
          <w:t>פ</w:t>
        </w:r>
        <w:r w:rsidRPr="00C03507">
          <w:rPr>
            <w:rFonts w:ascii="Calibri" w:eastAsia="Calibri" w:hAnsi="Calibri"/>
            <w:color w:val="0000FF"/>
            <w:u w:val="single"/>
            <w:rtl/>
          </w:rPr>
          <w:t xml:space="preserve"> 2892/13</w:t>
        </w:r>
      </w:hyperlink>
      <w:r w:rsidR="00AA4D92" w:rsidRPr="00BA5951">
        <w:rPr>
          <w:rFonts w:ascii="Calibri" w:eastAsia="Calibri" w:hAnsi="Calibri" w:hint="cs"/>
          <w:rtl/>
        </w:rPr>
        <w:t xml:space="preserve"> </w:t>
      </w:r>
      <w:r w:rsidR="00AA4D92" w:rsidRPr="00BA5951">
        <w:rPr>
          <w:rFonts w:ascii="Calibri" w:eastAsia="Calibri" w:hAnsi="Calibri" w:hint="cs"/>
          <w:b/>
          <w:bCs/>
          <w:rtl/>
        </w:rPr>
        <w:t xml:space="preserve">עודתאללה נגד מדינת ישראל </w:t>
      </w:r>
      <w:r w:rsidR="00AA4D92" w:rsidRPr="00BA5951">
        <w:rPr>
          <w:rFonts w:ascii="Calibri" w:eastAsia="Calibri" w:hAnsi="Calibri" w:hint="cs"/>
          <w:rtl/>
        </w:rPr>
        <w:t>[29.9.13], עניינו במערער צעיר שניהל אורח חיים נורמטיבי, אשר כפר במיוחס לו. בסופו של יום הורשע בכך שהגיע לידיו אקדח, אותו הוביל ברכבו יחד עם מחסנית ריקה מכדורים, מוסתר תחת השטיחון שמתחת לכסא הנהג ברכב. משהבחין בחסימה משטרתית סטה מנתיבו לדרך ללא מוצא ורק אז עצר את הרכב, כאשר השוטרים מצאו את האקדח. על המערער נגזר עונש של 21 חודשי מאסר בפועל, ובית-המשפט העליון לא מצא שיש יסוד להתערב בגזר-הדין.</w:t>
      </w:r>
    </w:p>
    <w:p w14:paraId="3FD485B7" w14:textId="77777777" w:rsidR="00AA4D92" w:rsidRPr="00BA5951" w:rsidRDefault="00AA4D92" w:rsidP="00AA4D92">
      <w:pPr>
        <w:tabs>
          <w:tab w:val="left" w:pos="680"/>
        </w:tabs>
        <w:overflowPunct w:val="0"/>
        <w:autoSpaceDE w:val="0"/>
        <w:autoSpaceDN w:val="0"/>
        <w:adjustRightInd w:val="0"/>
        <w:spacing w:line="360" w:lineRule="auto"/>
        <w:ind w:left="713" w:hanging="713"/>
        <w:jc w:val="both"/>
        <w:rPr>
          <w:rFonts w:ascii="Calibri" w:eastAsia="Calibri" w:hAnsi="Calibri"/>
          <w:rtl/>
        </w:rPr>
      </w:pPr>
    </w:p>
    <w:p w14:paraId="571AA687" w14:textId="77777777" w:rsidR="00AA4D92" w:rsidRPr="00BA5951" w:rsidRDefault="00AA4D92" w:rsidP="00AA4D92">
      <w:pPr>
        <w:overflowPunct w:val="0"/>
        <w:autoSpaceDE w:val="0"/>
        <w:autoSpaceDN w:val="0"/>
        <w:adjustRightInd w:val="0"/>
        <w:spacing w:line="360" w:lineRule="auto"/>
        <w:ind w:left="714" w:hanging="714"/>
        <w:jc w:val="both"/>
        <w:rPr>
          <w:rFonts w:ascii="Calibri" w:eastAsia="Calibri" w:hAnsi="Calibri"/>
          <w:rtl/>
        </w:rPr>
      </w:pPr>
      <w:r w:rsidRPr="00BA5951">
        <w:rPr>
          <w:rFonts w:ascii="Calibri" w:eastAsia="Calibri" w:hAnsi="Calibri" w:hint="cs"/>
          <w:rtl/>
        </w:rPr>
        <w:tab/>
      </w:r>
      <w:hyperlink r:id="rId68" w:history="1">
        <w:r w:rsidR="00C03507" w:rsidRPr="00C03507">
          <w:rPr>
            <w:rFonts w:ascii="Calibri" w:eastAsia="Calibri" w:hAnsi="Calibri" w:hint="cs"/>
            <w:color w:val="0000FF"/>
            <w:u w:val="single"/>
            <w:rtl/>
          </w:rPr>
          <w:t>ת</w:t>
        </w:r>
        <w:r w:rsidR="00C03507" w:rsidRPr="00C03507">
          <w:rPr>
            <w:rFonts w:ascii="Calibri" w:eastAsia="Calibri" w:hAnsi="Calibri"/>
            <w:color w:val="0000FF"/>
            <w:u w:val="single"/>
            <w:rtl/>
          </w:rPr>
          <w:t>"</w:t>
        </w:r>
        <w:r w:rsidR="00C03507" w:rsidRPr="00C03507">
          <w:rPr>
            <w:rFonts w:ascii="Calibri" w:eastAsia="Calibri" w:hAnsi="Calibri" w:hint="cs"/>
            <w:color w:val="0000FF"/>
            <w:u w:val="single"/>
            <w:rtl/>
          </w:rPr>
          <w:t>פ</w:t>
        </w:r>
        <w:r w:rsidR="00C03507" w:rsidRPr="00C03507">
          <w:rPr>
            <w:rFonts w:ascii="Calibri" w:eastAsia="Calibri" w:hAnsi="Calibri"/>
            <w:color w:val="0000FF"/>
            <w:u w:val="single"/>
            <w:rtl/>
          </w:rPr>
          <w:t xml:space="preserve"> (</w:t>
        </w:r>
        <w:r w:rsidR="00C03507" w:rsidRPr="00C03507">
          <w:rPr>
            <w:rFonts w:ascii="Calibri" w:eastAsia="Calibri" w:hAnsi="Calibri" w:hint="cs"/>
            <w:color w:val="0000FF"/>
            <w:u w:val="single"/>
            <w:rtl/>
          </w:rPr>
          <w:t>מחוזי</w:t>
        </w:r>
        <w:r w:rsidR="00C03507" w:rsidRPr="00C03507">
          <w:rPr>
            <w:rFonts w:ascii="Calibri" w:eastAsia="Calibri" w:hAnsi="Calibri"/>
            <w:color w:val="0000FF"/>
            <w:u w:val="single"/>
            <w:rtl/>
          </w:rPr>
          <w:t xml:space="preserve"> </w:t>
        </w:r>
        <w:r w:rsidR="00C03507" w:rsidRPr="00C03507">
          <w:rPr>
            <w:rFonts w:ascii="Calibri" w:eastAsia="Calibri" w:hAnsi="Calibri" w:hint="cs"/>
            <w:color w:val="0000FF"/>
            <w:u w:val="single"/>
            <w:rtl/>
          </w:rPr>
          <w:t>מרכז</w:t>
        </w:r>
        <w:r w:rsidR="00C03507" w:rsidRPr="00C03507">
          <w:rPr>
            <w:rFonts w:ascii="Calibri" w:eastAsia="Calibri" w:hAnsi="Calibri"/>
            <w:color w:val="0000FF"/>
            <w:u w:val="single"/>
            <w:rtl/>
          </w:rPr>
          <w:t>) 68697-07-20</w:t>
        </w:r>
      </w:hyperlink>
      <w:r w:rsidRPr="00BA5951">
        <w:rPr>
          <w:rFonts w:ascii="Calibri" w:eastAsia="Calibri" w:hAnsi="Calibri" w:hint="cs"/>
          <w:rtl/>
        </w:rPr>
        <w:t xml:space="preserve"> </w:t>
      </w:r>
      <w:r w:rsidRPr="00BA5951">
        <w:rPr>
          <w:rFonts w:ascii="Calibri" w:eastAsia="Calibri" w:hAnsi="Calibri" w:hint="cs"/>
          <w:b/>
          <w:bCs/>
          <w:rtl/>
        </w:rPr>
        <w:t>מדינת ישראל נגד אבן פרג'</w:t>
      </w:r>
      <w:r w:rsidRPr="00BA5951">
        <w:rPr>
          <w:rFonts w:ascii="Calibri" w:eastAsia="Calibri" w:hAnsi="Calibri" w:hint="cs"/>
          <w:rtl/>
        </w:rPr>
        <w:t xml:space="preserve"> [20.4.21] (שהוגש על-ידי ב"כ נאשם 1), שם נתפס נאשם נושא אקדח ברכבו בעוד בתו הפעוטה לידו, נקבע מתחם עונש הולם שנע בין 15 ל – 40 חודשי מאסר, ועל הנאשם, בעל עבר פלילי אשר אמור היה להתחיל באותה עת בנשיאת עונש של עבודות שירות, הושת עונש מאסר בפועל בן 18 חודשים (ערעור שהגיש – </w:t>
      </w:r>
      <w:hyperlink r:id="rId69" w:history="1">
        <w:r w:rsidR="00C03507" w:rsidRPr="00C03507">
          <w:rPr>
            <w:rFonts w:ascii="Calibri" w:eastAsia="Calibri" w:hAnsi="Calibri" w:hint="cs"/>
            <w:color w:val="0000FF"/>
            <w:u w:val="single"/>
            <w:rtl/>
          </w:rPr>
          <w:t>ע</w:t>
        </w:r>
        <w:r w:rsidR="00C03507" w:rsidRPr="00C03507">
          <w:rPr>
            <w:rFonts w:ascii="Calibri" w:eastAsia="Calibri" w:hAnsi="Calibri"/>
            <w:color w:val="0000FF"/>
            <w:u w:val="single"/>
            <w:rtl/>
          </w:rPr>
          <w:t>"</w:t>
        </w:r>
        <w:r w:rsidR="00C03507" w:rsidRPr="00C03507">
          <w:rPr>
            <w:rFonts w:ascii="Calibri" w:eastAsia="Calibri" w:hAnsi="Calibri" w:hint="cs"/>
            <w:color w:val="0000FF"/>
            <w:u w:val="single"/>
            <w:rtl/>
          </w:rPr>
          <w:t>פ</w:t>
        </w:r>
        <w:r w:rsidR="00C03507" w:rsidRPr="00C03507">
          <w:rPr>
            <w:rFonts w:ascii="Calibri" w:eastAsia="Calibri" w:hAnsi="Calibri"/>
            <w:color w:val="0000FF"/>
            <w:u w:val="single"/>
            <w:rtl/>
          </w:rPr>
          <w:t xml:space="preserve"> 3731/21</w:t>
        </w:r>
      </w:hyperlink>
      <w:r w:rsidRPr="00BA5951">
        <w:rPr>
          <w:rFonts w:ascii="Calibri" w:eastAsia="Calibri" w:hAnsi="Calibri" w:hint="cs"/>
          <w:rtl/>
        </w:rPr>
        <w:t xml:space="preserve"> – נדחה לאחר שהמערער חזר בו ביום 8.11.21);</w:t>
      </w:r>
    </w:p>
    <w:p w14:paraId="34737C35" w14:textId="77777777" w:rsidR="00AA4D92" w:rsidRPr="00BA5951" w:rsidRDefault="00AA4D92" w:rsidP="00AA4D92">
      <w:pPr>
        <w:overflowPunct w:val="0"/>
        <w:autoSpaceDE w:val="0"/>
        <w:autoSpaceDN w:val="0"/>
        <w:adjustRightInd w:val="0"/>
        <w:spacing w:line="360" w:lineRule="auto"/>
        <w:ind w:left="714" w:hanging="714"/>
        <w:jc w:val="both"/>
        <w:rPr>
          <w:rFonts w:ascii="Calibri" w:eastAsia="Calibri" w:hAnsi="Calibri"/>
          <w:rtl/>
        </w:rPr>
      </w:pPr>
    </w:p>
    <w:p w14:paraId="4D70DE10" w14:textId="77777777" w:rsidR="00AA4D92" w:rsidRPr="00BA5951" w:rsidRDefault="00AA4D92" w:rsidP="00AA4D92">
      <w:pPr>
        <w:overflowPunct w:val="0"/>
        <w:autoSpaceDE w:val="0"/>
        <w:autoSpaceDN w:val="0"/>
        <w:adjustRightInd w:val="0"/>
        <w:spacing w:line="360" w:lineRule="auto"/>
        <w:ind w:left="714" w:hanging="714"/>
        <w:jc w:val="both"/>
        <w:rPr>
          <w:rFonts w:ascii="Calibri" w:eastAsia="Calibri" w:hAnsi="Calibri"/>
          <w:rtl/>
        </w:rPr>
      </w:pPr>
      <w:r w:rsidRPr="00BA5951">
        <w:rPr>
          <w:rFonts w:ascii="Calibri" w:eastAsia="Calibri" w:hAnsi="Calibri" w:hint="cs"/>
          <w:rtl/>
        </w:rPr>
        <w:tab/>
      </w:r>
      <w:r w:rsidRPr="00BA5951">
        <w:rPr>
          <w:rFonts w:ascii="Calibri" w:eastAsia="Calibri" w:hAnsi="Calibri" w:hint="cs"/>
          <w:rtl/>
        </w:rPr>
        <w:tab/>
      </w:r>
      <w:hyperlink r:id="rId70" w:history="1">
        <w:r w:rsidR="00C03507" w:rsidRPr="00C03507">
          <w:rPr>
            <w:rFonts w:ascii="Calibri" w:eastAsia="Calibri" w:hAnsi="Calibri" w:hint="cs"/>
            <w:color w:val="0000FF"/>
            <w:u w:val="single"/>
            <w:rtl/>
          </w:rPr>
          <w:t>ת</w:t>
        </w:r>
        <w:r w:rsidR="00C03507" w:rsidRPr="00C03507">
          <w:rPr>
            <w:rFonts w:ascii="Calibri" w:eastAsia="Calibri" w:hAnsi="Calibri"/>
            <w:color w:val="0000FF"/>
            <w:u w:val="single"/>
            <w:rtl/>
          </w:rPr>
          <w:t>"</w:t>
        </w:r>
        <w:r w:rsidR="00C03507" w:rsidRPr="00C03507">
          <w:rPr>
            <w:rFonts w:ascii="Calibri" w:eastAsia="Calibri" w:hAnsi="Calibri" w:hint="cs"/>
            <w:color w:val="0000FF"/>
            <w:u w:val="single"/>
            <w:rtl/>
          </w:rPr>
          <w:t>פ</w:t>
        </w:r>
        <w:r w:rsidR="00C03507" w:rsidRPr="00C03507">
          <w:rPr>
            <w:rFonts w:ascii="Calibri" w:eastAsia="Calibri" w:hAnsi="Calibri"/>
            <w:color w:val="0000FF"/>
            <w:u w:val="single"/>
            <w:rtl/>
          </w:rPr>
          <w:t xml:space="preserve"> (</w:t>
        </w:r>
        <w:r w:rsidR="00C03507" w:rsidRPr="00C03507">
          <w:rPr>
            <w:rFonts w:ascii="Calibri" w:eastAsia="Calibri" w:hAnsi="Calibri" w:hint="cs"/>
            <w:color w:val="0000FF"/>
            <w:u w:val="single"/>
            <w:rtl/>
          </w:rPr>
          <w:t>מחוזי</w:t>
        </w:r>
        <w:r w:rsidR="00C03507" w:rsidRPr="00C03507">
          <w:rPr>
            <w:rFonts w:ascii="Calibri" w:eastAsia="Calibri" w:hAnsi="Calibri"/>
            <w:color w:val="0000FF"/>
            <w:u w:val="single"/>
            <w:rtl/>
          </w:rPr>
          <w:t xml:space="preserve"> </w:t>
        </w:r>
        <w:r w:rsidR="00C03507" w:rsidRPr="00C03507">
          <w:rPr>
            <w:rFonts w:ascii="Calibri" w:eastAsia="Calibri" w:hAnsi="Calibri" w:hint="cs"/>
            <w:color w:val="0000FF"/>
            <w:u w:val="single"/>
            <w:rtl/>
          </w:rPr>
          <w:t>מרכז</w:t>
        </w:r>
        <w:r w:rsidR="00C03507" w:rsidRPr="00C03507">
          <w:rPr>
            <w:rFonts w:ascii="Calibri" w:eastAsia="Calibri" w:hAnsi="Calibri"/>
            <w:color w:val="0000FF"/>
            <w:u w:val="single"/>
            <w:rtl/>
          </w:rPr>
          <w:t>) 11042-06-20</w:t>
        </w:r>
      </w:hyperlink>
      <w:r w:rsidRPr="00BA5951">
        <w:rPr>
          <w:rFonts w:ascii="Calibri" w:eastAsia="Calibri" w:hAnsi="Calibri" w:hint="cs"/>
          <w:rtl/>
        </w:rPr>
        <w:t xml:space="preserve"> </w:t>
      </w:r>
      <w:r w:rsidRPr="00BA5951">
        <w:rPr>
          <w:rFonts w:ascii="Calibri" w:eastAsia="Calibri" w:hAnsi="Calibri" w:hint="cs"/>
          <w:b/>
          <w:bCs/>
          <w:rtl/>
        </w:rPr>
        <w:t>מדינת ישראל נגד חדיג'ה</w:t>
      </w:r>
      <w:r w:rsidRPr="00BA5951">
        <w:rPr>
          <w:rFonts w:ascii="Calibri" w:eastAsia="Calibri" w:hAnsi="Calibri" w:hint="cs"/>
          <w:rtl/>
        </w:rPr>
        <w:t xml:space="preserve"> [16.3.21], שם הורשע נאשם על פי הודאתו בעבירה של נשיאת נשק ותחמושת בכך שהוביל ברכב אקדח, טעון במחסנית מלאה בכדורים, עם כדור בקנה בשעת לילה. הנאשם הבחין בניידת משטרה וניסה להימלט מהמקום. נקבע מתחם עונש הנע בין 15 ל-40 חודשי מאסר בפועל, ועל הנאשם, צעיר ללא עבר פלילי, הושת עונש מאסר בפועל בן 16 חודשים;</w:t>
      </w:r>
    </w:p>
    <w:p w14:paraId="7E03D95C" w14:textId="77777777" w:rsidR="00AA4D92" w:rsidRPr="00BA5951" w:rsidRDefault="00AA4D92" w:rsidP="00AA4D92">
      <w:pPr>
        <w:overflowPunct w:val="0"/>
        <w:autoSpaceDE w:val="0"/>
        <w:autoSpaceDN w:val="0"/>
        <w:adjustRightInd w:val="0"/>
        <w:spacing w:line="360" w:lineRule="auto"/>
        <w:ind w:left="714" w:hanging="714"/>
        <w:jc w:val="both"/>
        <w:rPr>
          <w:rFonts w:ascii="Calibri" w:eastAsia="Calibri" w:hAnsi="Calibri"/>
          <w:rtl/>
        </w:rPr>
      </w:pPr>
      <w:r w:rsidRPr="00BA5951">
        <w:rPr>
          <w:rFonts w:ascii="Calibri" w:eastAsia="Calibri" w:hAnsi="Calibri" w:hint="cs"/>
          <w:rtl/>
        </w:rPr>
        <w:tab/>
      </w:r>
      <w:hyperlink r:id="rId71" w:history="1">
        <w:r w:rsidR="00C03507" w:rsidRPr="00C03507">
          <w:rPr>
            <w:rFonts w:ascii="Calibri" w:eastAsia="Calibri" w:hAnsi="Calibri" w:hint="cs"/>
            <w:color w:val="0000FF"/>
            <w:u w:val="single"/>
            <w:rtl/>
          </w:rPr>
          <w:t>ת</w:t>
        </w:r>
        <w:r w:rsidR="00C03507" w:rsidRPr="00C03507">
          <w:rPr>
            <w:rFonts w:ascii="Calibri" w:eastAsia="Calibri" w:hAnsi="Calibri"/>
            <w:color w:val="0000FF"/>
            <w:u w:val="single"/>
            <w:rtl/>
          </w:rPr>
          <w:t>"</w:t>
        </w:r>
        <w:r w:rsidR="00C03507" w:rsidRPr="00C03507">
          <w:rPr>
            <w:rFonts w:ascii="Calibri" w:eastAsia="Calibri" w:hAnsi="Calibri" w:hint="cs"/>
            <w:color w:val="0000FF"/>
            <w:u w:val="single"/>
            <w:rtl/>
          </w:rPr>
          <w:t>פ</w:t>
        </w:r>
        <w:r w:rsidR="00C03507" w:rsidRPr="00C03507">
          <w:rPr>
            <w:rFonts w:ascii="Calibri" w:eastAsia="Calibri" w:hAnsi="Calibri"/>
            <w:color w:val="0000FF"/>
            <w:u w:val="single"/>
            <w:rtl/>
          </w:rPr>
          <w:t xml:space="preserve"> (</w:t>
        </w:r>
        <w:r w:rsidR="00C03507" w:rsidRPr="00C03507">
          <w:rPr>
            <w:rFonts w:ascii="Calibri" w:eastAsia="Calibri" w:hAnsi="Calibri" w:hint="cs"/>
            <w:color w:val="0000FF"/>
            <w:u w:val="single"/>
            <w:rtl/>
          </w:rPr>
          <w:t>מחוזי</w:t>
        </w:r>
        <w:r w:rsidR="00C03507" w:rsidRPr="00C03507">
          <w:rPr>
            <w:rFonts w:ascii="Calibri" w:eastAsia="Calibri" w:hAnsi="Calibri"/>
            <w:color w:val="0000FF"/>
            <w:u w:val="single"/>
            <w:rtl/>
          </w:rPr>
          <w:t xml:space="preserve"> </w:t>
        </w:r>
        <w:r w:rsidR="00C03507" w:rsidRPr="00C03507">
          <w:rPr>
            <w:rFonts w:ascii="Calibri" w:eastAsia="Calibri" w:hAnsi="Calibri" w:hint="cs"/>
            <w:color w:val="0000FF"/>
            <w:u w:val="single"/>
            <w:rtl/>
          </w:rPr>
          <w:t>מרכז</w:t>
        </w:r>
        <w:r w:rsidR="00C03507" w:rsidRPr="00C03507">
          <w:rPr>
            <w:rFonts w:ascii="Calibri" w:eastAsia="Calibri" w:hAnsi="Calibri"/>
            <w:color w:val="0000FF"/>
            <w:u w:val="single"/>
            <w:rtl/>
          </w:rPr>
          <w:t>) 26069-10-19</w:t>
        </w:r>
      </w:hyperlink>
      <w:r w:rsidRPr="00BA5951">
        <w:rPr>
          <w:rFonts w:ascii="Calibri" w:eastAsia="Calibri" w:hAnsi="Calibri" w:hint="cs"/>
          <w:rtl/>
        </w:rPr>
        <w:t xml:space="preserve"> </w:t>
      </w:r>
      <w:r w:rsidRPr="00BA5951">
        <w:rPr>
          <w:rFonts w:ascii="Calibri" w:eastAsia="Calibri" w:hAnsi="Calibri" w:hint="cs"/>
          <w:b/>
          <w:bCs/>
          <w:rtl/>
        </w:rPr>
        <w:t>מדינת ישראל נגד חשב</w:t>
      </w:r>
      <w:r w:rsidRPr="00BA5951">
        <w:rPr>
          <w:rFonts w:ascii="Calibri" w:eastAsia="Calibri" w:hAnsi="Calibri" w:hint="cs"/>
          <w:rtl/>
        </w:rPr>
        <w:t xml:space="preserve"> [23.2.21], הורשע נאשם על פי הודאתו בעבירה של נשיאת נשק ואביזר נשק. בכך שנסע ברכבו עם אחר והוביל מתחת לכיסא אקדח ובו מחסנית ריקה. בית המשפט קבע מתחם עונש הולם שנע בין 14 ל-38 חודשי מאסר בפועל, ועל הנאש, צעיר בן 20 נעדר עבר פלילי, הושת עונש מאסר בפועל בן 14 חודשים.</w:t>
      </w:r>
    </w:p>
    <w:p w14:paraId="74B69E8C" w14:textId="77777777" w:rsidR="00AA4D92" w:rsidRPr="00BA5951" w:rsidRDefault="00AA4D92" w:rsidP="00AA4D92">
      <w:pPr>
        <w:tabs>
          <w:tab w:val="left" w:pos="680"/>
        </w:tabs>
        <w:overflowPunct w:val="0"/>
        <w:autoSpaceDE w:val="0"/>
        <w:autoSpaceDN w:val="0"/>
        <w:adjustRightInd w:val="0"/>
        <w:spacing w:line="360" w:lineRule="auto"/>
        <w:ind w:left="713" w:hanging="713"/>
        <w:jc w:val="both"/>
        <w:rPr>
          <w:rFonts w:ascii="Calibri" w:eastAsia="Calibri" w:hAnsi="Calibri"/>
          <w:rtl/>
        </w:rPr>
      </w:pPr>
    </w:p>
    <w:p w14:paraId="1CED5214" w14:textId="77777777" w:rsidR="00AA4D92" w:rsidRPr="00BA5951" w:rsidRDefault="00AA4D92" w:rsidP="00AA4D92">
      <w:pPr>
        <w:numPr>
          <w:ilvl w:val="0"/>
          <w:numId w:val="1"/>
        </w:numPr>
        <w:spacing w:line="360" w:lineRule="auto"/>
        <w:contextualSpacing/>
        <w:jc w:val="both"/>
        <w:rPr>
          <w:rFonts w:ascii="Calibri" w:eastAsia="Calibri" w:hAnsi="Calibri"/>
          <w:u w:val="single"/>
          <w:rtl/>
        </w:rPr>
      </w:pPr>
      <w:r w:rsidRPr="00BA5951">
        <w:rPr>
          <w:rFonts w:ascii="David" w:hAnsi="David" w:hint="cs"/>
          <w:u w:val="single"/>
          <w:rtl/>
        </w:rPr>
        <w:t>פסיקה</w:t>
      </w:r>
      <w:r w:rsidRPr="00BA5951">
        <w:rPr>
          <w:rFonts w:ascii="Calibri" w:eastAsia="Calibri" w:hAnsi="Calibri" w:hint="cs"/>
          <w:u w:val="single"/>
          <w:rtl/>
        </w:rPr>
        <w:t xml:space="preserve"> הרלבנטית למדיניות הענישה באשר לעבירות נשק – רובה ציד (אישום 1):</w:t>
      </w:r>
    </w:p>
    <w:p w14:paraId="57728E6C" w14:textId="77777777" w:rsidR="00AA4D92" w:rsidRPr="00BA5951" w:rsidRDefault="00AA4D92" w:rsidP="00AA4D92">
      <w:pPr>
        <w:spacing w:line="360" w:lineRule="auto"/>
        <w:ind w:left="720"/>
        <w:contextualSpacing/>
        <w:jc w:val="both"/>
        <w:rPr>
          <w:rFonts w:ascii="Calibri" w:eastAsia="Calibri" w:hAnsi="Calibri"/>
          <w:u w:val="single"/>
        </w:rPr>
      </w:pPr>
    </w:p>
    <w:p w14:paraId="60CEB82C" w14:textId="77777777" w:rsidR="00AA4D92" w:rsidRPr="00BA5951" w:rsidRDefault="00AA4D92" w:rsidP="00AA4D92">
      <w:pPr>
        <w:overflowPunct w:val="0"/>
        <w:autoSpaceDE w:val="0"/>
        <w:autoSpaceDN w:val="0"/>
        <w:adjustRightInd w:val="0"/>
        <w:spacing w:line="360" w:lineRule="auto"/>
        <w:ind w:left="714" w:hanging="714"/>
        <w:jc w:val="both"/>
        <w:rPr>
          <w:rFonts w:ascii="Calibri" w:eastAsia="Calibri" w:hAnsi="Calibri"/>
          <w:rtl/>
        </w:rPr>
      </w:pPr>
      <w:r w:rsidRPr="00BA5951">
        <w:rPr>
          <w:rFonts w:ascii="Calibri" w:eastAsia="Calibri" w:hAnsi="Calibri" w:hint="cs"/>
          <w:rtl/>
        </w:rPr>
        <w:tab/>
      </w:r>
      <w:hyperlink r:id="rId72" w:history="1">
        <w:r w:rsidR="00C03507" w:rsidRPr="00C03507">
          <w:rPr>
            <w:rFonts w:ascii="Calibri" w:eastAsia="Calibri" w:hAnsi="Calibri" w:hint="cs"/>
            <w:color w:val="0000FF"/>
            <w:u w:val="single"/>
            <w:rtl/>
          </w:rPr>
          <w:t>ע</w:t>
        </w:r>
        <w:r w:rsidR="00C03507" w:rsidRPr="00C03507">
          <w:rPr>
            <w:rFonts w:ascii="Calibri" w:eastAsia="Calibri" w:hAnsi="Calibri"/>
            <w:color w:val="0000FF"/>
            <w:u w:val="single"/>
            <w:rtl/>
          </w:rPr>
          <w:t>"</w:t>
        </w:r>
        <w:r w:rsidR="00C03507" w:rsidRPr="00C03507">
          <w:rPr>
            <w:rFonts w:ascii="Calibri" w:eastAsia="Calibri" w:hAnsi="Calibri" w:hint="cs"/>
            <w:color w:val="0000FF"/>
            <w:u w:val="single"/>
            <w:rtl/>
          </w:rPr>
          <w:t>פ</w:t>
        </w:r>
        <w:r w:rsidR="00C03507" w:rsidRPr="00C03507">
          <w:rPr>
            <w:rFonts w:ascii="Calibri" w:eastAsia="Calibri" w:hAnsi="Calibri"/>
            <w:color w:val="0000FF"/>
            <w:u w:val="single"/>
            <w:rtl/>
          </w:rPr>
          <w:t xml:space="preserve"> 4154/16</w:t>
        </w:r>
      </w:hyperlink>
      <w:r w:rsidRPr="00BA5951">
        <w:rPr>
          <w:rFonts w:ascii="Calibri" w:eastAsia="Calibri" w:hAnsi="Calibri" w:hint="cs"/>
          <w:rtl/>
        </w:rPr>
        <w:t xml:space="preserve"> </w:t>
      </w:r>
      <w:r w:rsidRPr="00BA5951">
        <w:rPr>
          <w:rFonts w:ascii="Calibri" w:eastAsia="Calibri" w:hAnsi="Calibri" w:hint="cs"/>
          <w:b/>
          <w:bCs/>
          <w:rtl/>
        </w:rPr>
        <w:t>דהוד נגד מדינת ישראל</w:t>
      </w:r>
      <w:r w:rsidRPr="00BA5951">
        <w:rPr>
          <w:rFonts w:ascii="Calibri" w:eastAsia="Calibri" w:hAnsi="Calibri" w:hint="cs"/>
          <w:rtl/>
        </w:rPr>
        <w:t xml:space="preserve"> [19.1.17] (הוגש על-ידי התביעה): המערער הורשע במגוון עבירות נשק, כאשר באישום הראשון הורשע בעבירות של סחר בנשק, החזקה ונשיאת נשק – שעניינו מכירת אמצעי לחימה לסוכן. </w:t>
      </w:r>
    </w:p>
    <w:p w14:paraId="757C623F" w14:textId="77777777" w:rsidR="00AA4D92" w:rsidRPr="00BA5951" w:rsidRDefault="00AA4D92" w:rsidP="00AA4D92">
      <w:pPr>
        <w:overflowPunct w:val="0"/>
        <w:autoSpaceDE w:val="0"/>
        <w:autoSpaceDN w:val="0"/>
        <w:adjustRightInd w:val="0"/>
        <w:spacing w:line="360" w:lineRule="auto"/>
        <w:ind w:left="714" w:hanging="714"/>
        <w:jc w:val="both"/>
        <w:rPr>
          <w:rFonts w:ascii="Calibri" w:eastAsia="Calibri" w:hAnsi="Calibri"/>
          <w:rtl/>
        </w:rPr>
      </w:pPr>
      <w:r w:rsidRPr="00BA5951">
        <w:rPr>
          <w:rFonts w:ascii="Calibri" w:eastAsia="Calibri" w:hAnsi="Calibri" w:hint="cs"/>
          <w:rtl/>
        </w:rPr>
        <w:tab/>
        <w:t xml:space="preserve">באישום השני, הרלבנטי יותר לענייננו, הורשע על יסוד הודאתו בעבירות של סחר בנשק לפי </w:t>
      </w:r>
      <w:hyperlink r:id="rId73" w:history="1">
        <w:r w:rsidR="008429B1" w:rsidRPr="008429B1">
          <w:rPr>
            <w:rStyle w:val="Hyperlink"/>
            <w:rFonts w:ascii="Calibri" w:eastAsia="Calibri" w:hAnsi="Calibri" w:hint="cs"/>
            <w:rtl/>
          </w:rPr>
          <w:t>סעיף</w:t>
        </w:r>
        <w:r w:rsidR="008429B1" w:rsidRPr="008429B1">
          <w:rPr>
            <w:rStyle w:val="Hyperlink"/>
            <w:rFonts w:ascii="Calibri" w:eastAsia="Calibri" w:hAnsi="Calibri"/>
            <w:rtl/>
          </w:rPr>
          <w:t xml:space="preserve"> 144(</w:t>
        </w:r>
        <w:r w:rsidR="008429B1" w:rsidRPr="008429B1">
          <w:rPr>
            <w:rStyle w:val="Hyperlink"/>
            <w:rFonts w:ascii="Calibri" w:eastAsia="Calibri" w:hAnsi="Calibri" w:hint="cs"/>
            <w:rtl/>
          </w:rPr>
          <w:t>ב</w:t>
        </w:r>
        <w:r w:rsidR="008429B1" w:rsidRPr="008429B1">
          <w:rPr>
            <w:rStyle w:val="Hyperlink"/>
            <w:rFonts w:ascii="Calibri" w:eastAsia="Calibri" w:hAnsi="Calibri"/>
            <w:rtl/>
          </w:rPr>
          <w:t>2)</w:t>
        </w:r>
      </w:hyperlink>
      <w:r w:rsidRPr="00BA5951">
        <w:rPr>
          <w:rFonts w:ascii="Calibri" w:eastAsia="Calibri" w:hAnsi="Calibri" w:hint="cs"/>
          <w:rtl/>
        </w:rPr>
        <w:t xml:space="preserve"> לחוק, וכן בהחזקה ונשיאת נשק. המערער התקשר לסוכן והציע לו שימכור לו רובה ציד ואקדח, ולבסוף סוכם על מכירת רובה ציד בלבד. המערער הגיע למקום המפגש ברכב כשהוא מחזיק עמו רובה ציד מאולתר, ולא כפי שסוכם. הסוכן שילם לו סכום נמוך יותר. </w:t>
      </w:r>
    </w:p>
    <w:p w14:paraId="3FD20B2A" w14:textId="77777777" w:rsidR="00AA4D92" w:rsidRPr="00BA5951" w:rsidRDefault="00AA4D92" w:rsidP="00AA4D92">
      <w:pPr>
        <w:overflowPunct w:val="0"/>
        <w:autoSpaceDE w:val="0"/>
        <w:autoSpaceDN w:val="0"/>
        <w:adjustRightInd w:val="0"/>
        <w:spacing w:line="360" w:lineRule="auto"/>
        <w:ind w:left="714" w:hanging="714"/>
        <w:jc w:val="both"/>
        <w:rPr>
          <w:rFonts w:ascii="Calibri" w:eastAsia="Calibri" w:hAnsi="Calibri"/>
          <w:rtl/>
        </w:rPr>
      </w:pPr>
      <w:r w:rsidRPr="00BA5951">
        <w:rPr>
          <w:rFonts w:ascii="Calibri" w:eastAsia="Calibri" w:hAnsi="Calibri" w:hint="cs"/>
          <w:rtl/>
        </w:rPr>
        <w:tab/>
        <w:t xml:space="preserve">בית-המשפט המחוזי קבע, כי מדובר בשתי עסקאות עצמאיות. נקבע מתחם עונש הולם בגין כל אחד מהאישומים, שנע בין 2 ל- 5 שנות מאסר. על המערער, שלחובתו עבר פלילי שאינו מכביד וישן, הושת עונש כולל של 45 חודשי מאסר בפועל. </w:t>
      </w:r>
    </w:p>
    <w:p w14:paraId="780322E5" w14:textId="77777777" w:rsidR="00AA4D92" w:rsidRPr="00BA5951" w:rsidRDefault="00AA4D92" w:rsidP="00AA4D92">
      <w:pPr>
        <w:overflowPunct w:val="0"/>
        <w:autoSpaceDE w:val="0"/>
        <w:autoSpaceDN w:val="0"/>
        <w:adjustRightInd w:val="0"/>
        <w:spacing w:line="360" w:lineRule="auto"/>
        <w:ind w:left="714" w:hanging="714"/>
        <w:jc w:val="both"/>
        <w:rPr>
          <w:rFonts w:ascii="Calibri" w:eastAsia="Calibri" w:hAnsi="Calibri"/>
          <w:rtl/>
        </w:rPr>
      </w:pPr>
      <w:r w:rsidRPr="00BA5951">
        <w:rPr>
          <w:rFonts w:ascii="Calibri" w:eastAsia="Calibri" w:hAnsi="Calibri" w:hint="cs"/>
          <w:rtl/>
        </w:rPr>
        <w:tab/>
        <w:t>ערעור על חומרת העונש נדחה.</w:t>
      </w:r>
    </w:p>
    <w:p w14:paraId="2B5EA6D3" w14:textId="77777777" w:rsidR="00AA4D92" w:rsidRPr="00BA5951" w:rsidRDefault="00AA4D92" w:rsidP="00AA4D92">
      <w:pPr>
        <w:tabs>
          <w:tab w:val="left" w:pos="680"/>
        </w:tabs>
        <w:overflowPunct w:val="0"/>
        <w:autoSpaceDE w:val="0"/>
        <w:autoSpaceDN w:val="0"/>
        <w:adjustRightInd w:val="0"/>
        <w:spacing w:line="360" w:lineRule="auto"/>
        <w:ind w:left="713" w:hanging="713"/>
        <w:jc w:val="both"/>
        <w:rPr>
          <w:rFonts w:ascii="Calibri" w:eastAsia="Calibri" w:hAnsi="Calibri"/>
          <w:rtl/>
        </w:rPr>
      </w:pPr>
    </w:p>
    <w:p w14:paraId="6932BB66" w14:textId="77777777" w:rsidR="00AA4D92" w:rsidRPr="00BA5951" w:rsidRDefault="00AA4D92" w:rsidP="00AA4D92">
      <w:pPr>
        <w:overflowPunct w:val="0"/>
        <w:autoSpaceDE w:val="0"/>
        <w:autoSpaceDN w:val="0"/>
        <w:adjustRightInd w:val="0"/>
        <w:spacing w:line="360" w:lineRule="auto"/>
        <w:ind w:left="713" w:hanging="713"/>
        <w:jc w:val="both"/>
        <w:rPr>
          <w:rFonts w:ascii="Calibri" w:eastAsia="Calibri" w:hAnsi="Calibri"/>
        </w:rPr>
      </w:pPr>
      <w:r w:rsidRPr="00BA5951">
        <w:rPr>
          <w:rFonts w:ascii="Calibri" w:eastAsia="Calibri" w:hAnsi="Calibri" w:hint="cs"/>
          <w:rtl/>
        </w:rPr>
        <w:tab/>
      </w:r>
      <w:hyperlink r:id="rId74" w:history="1">
        <w:r w:rsidR="00C03507" w:rsidRPr="00C03507">
          <w:rPr>
            <w:rFonts w:ascii="Calibri" w:eastAsia="Calibri" w:hAnsi="Calibri" w:hint="cs"/>
            <w:color w:val="0000FF"/>
            <w:u w:val="single"/>
            <w:rtl/>
          </w:rPr>
          <w:t>ת</w:t>
        </w:r>
        <w:r w:rsidR="00C03507" w:rsidRPr="00C03507">
          <w:rPr>
            <w:rFonts w:ascii="Calibri" w:eastAsia="Calibri" w:hAnsi="Calibri"/>
            <w:color w:val="0000FF"/>
            <w:u w:val="single"/>
            <w:rtl/>
          </w:rPr>
          <w:t>"</w:t>
        </w:r>
        <w:r w:rsidR="00C03507" w:rsidRPr="00C03507">
          <w:rPr>
            <w:rFonts w:ascii="Calibri" w:eastAsia="Calibri" w:hAnsi="Calibri" w:hint="cs"/>
            <w:color w:val="0000FF"/>
            <w:u w:val="single"/>
            <w:rtl/>
          </w:rPr>
          <w:t>פ</w:t>
        </w:r>
        <w:r w:rsidR="00C03507" w:rsidRPr="00C03507">
          <w:rPr>
            <w:rFonts w:ascii="Calibri" w:eastAsia="Calibri" w:hAnsi="Calibri"/>
            <w:color w:val="0000FF"/>
            <w:u w:val="single"/>
            <w:rtl/>
          </w:rPr>
          <w:t xml:space="preserve"> (</w:t>
        </w:r>
        <w:r w:rsidR="00C03507" w:rsidRPr="00C03507">
          <w:rPr>
            <w:rFonts w:ascii="Calibri" w:eastAsia="Calibri" w:hAnsi="Calibri" w:hint="cs"/>
            <w:color w:val="0000FF"/>
            <w:u w:val="single"/>
            <w:rtl/>
          </w:rPr>
          <w:t>מחוזי</w:t>
        </w:r>
        <w:r w:rsidR="00C03507" w:rsidRPr="00C03507">
          <w:rPr>
            <w:rFonts w:ascii="Calibri" w:eastAsia="Calibri" w:hAnsi="Calibri"/>
            <w:color w:val="0000FF"/>
            <w:u w:val="single"/>
            <w:rtl/>
          </w:rPr>
          <w:t xml:space="preserve"> </w:t>
        </w:r>
        <w:r w:rsidR="00C03507" w:rsidRPr="00C03507">
          <w:rPr>
            <w:rFonts w:ascii="Calibri" w:eastAsia="Calibri" w:hAnsi="Calibri" w:hint="cs"/>
            <w:color w:val="0000FF"/>
            <w:u w:val="single"/>
            <w:rtl/>
          </w:rPr>
          <w:t>חיפה</w:t>
        </w:r>
        <w:r w:rsidR="00C03507" w:rsidRPr="00C03507">
          <w:rPr>
            <w:rFonts w:ascii="Calibri" w:eastAsia="Calibri" w:hAnsi="Calibri"/>
            <w:color w:val="0000FF"/>
            <w:u w:val="single"/>
            <w:rtl/>
          </w:rPr>
          <w:t>) 51038-02-17</w:t>
        </w:r>
      </w:hyperlink>
      <w:r w:rsidRPr="00BA5951">
        <w:rPr>
          <w:rFonts w:ascii="Calibri" w:eastAsia="Calibri" w:hAnsi="Calibri" w:hint="cs"/>
          <w:rtl/>
        </w:rPr>
        <w:t xml:space="preserve"> </w:t>
      </w:r>
      <w:r w:rsidRPr="00BA5951">
        <w:rPr>
          <w:rFonts w:ascii="Calibri" w:eastAsia="Calibri" w:hAnsi="Calibri" w:hint="cs"/>
          <w:b/>
          <w:bCs/>
          <w:rtl/>
        </w:rPr>
        <w:t>מדינת ישראל נגד כבהה</w:t>
      </w:r>
      <w:r w:rsidRPr="00BA5951">
        <w:rPr>
          <w:rFonts w:ascii="Calibri" w:eastAsia="Calibri" w:hAnsi="Calibri" w:hint="cs"/>
          <w:rtl/>
        </w:rPr>
        <w:t xml:space="preserve"> [7.3.18]: באישום הרלבנטי, עסקינן במי שהחזיק והוביל רובה ציד תוך שהסיע תושב אזור לרשות הפלסטינית, כשאותו תושב אזור מכר לבסוף את רובה הציד לבן כפרו ברשות. בנוסף, החזיק הנאשם בסמוך לביתו 34 כדורי רובה, וכן כדור בודד לרובה ציד. באישום זה, נקבע מתחם עונש הולם שנע בין 18 ל- 42 חודשי מאסר. בגין תיק שצירף, שעניינו החזקת רובה "קרל גוסטב" נקבע מתחם עונש הולם שנע מ - 8 עד 24 חודשי מאסר בפועל. על הנאשם, צעיר נעדר עבר פלילי, אשר הודה בהזדמנות הראשונה, הושת עונש כולל של 26 חודשי מאסר בפועל. </w:t>
      </w:r>
    </w:p>
    <w:p w14:paraId="5A4C3496" w14:textId="77777777" w:rsidR="00AA4D92" w:rsidRPr="00BA5951" w:rsidRDefault="00AA4D92" w:rsidP="00AA4D92">
      <w:pPr>
        <w:overflowPunct w:val="0"/>
        <w:autoSpaceDE w:val="0"/>
        <w:autoSpaceDN w:val="0"/>
        <w:adjustRightInd w:val="0"/>
        <w:spacing w:line="360" w:lineRule="auto"/>
        <w:ind w:left="713" w:hanging="713"/>
        <w:jc w:val="both"/>
        <w:rPr>
          <w:rFonts w:ascii="Calibri" w:eastAsia="Calibri" w:hAnsi="Calibri"/>
          <w:rtl/>
        </w:rPr>
      </w:pPr>
      <w:r w:rsidRPr="00BA5951">
        <w:rPr>
          <w:rFonts w:ascii="Calibri" w:eastAsia="Calibri" w:hAnsi="Calibri" w:hint="cs"/>
          <w:rtl/>
        </w:rPr>
        <w:t xml:space="preserve"> </w:t>
      </w:r>
    </w:p>
    <w:p w14:paraId="388A33FC" w14:textId="77777777" w:rsidR="00AA4D92" w:rsidRPr="00BA5951" w:rsidRDefault="00AA4D92" w:rsidP="00AA4D92">
      <w:pPr>
        <w:numPr>
          <w:ilvl w:val="0"/>
          <w:numId w:val="1"/>
        </w:numPr>
        <w:spacing w:line="360" w:lineRule="auto"/>
        <w:contextualSpacing/>
        <w:jc w:val="both"/>
        <w:rPr>
          <w:rFonts w:ascii="Calibri" w:eastAsia="Calibri" w:hAnsi="Calibri"/>
          <w:rtl/>
        </w:rPr>
      </w:pPr>
      <w:r w:rsidRPr="00BA5951">
        <w:rPr>
          <w:rFonts w:ascii="David" w:hAnsi="David" w:hint="cs"/>
          <w:u w:val="single"/>
          <w:rtl/>
        </w:rPr>
        <w:t>באשר</w:t>
      </w:r>
      <w:r w:rsidRPr="00BA5951">
        <w:rPr>
          <w:rFonts w:ascii="Calibri" w:eastAsia="Calibri" w:hAnsi="Calibri" w:hint="cs"/>
          <w:u w:val="single"/>
          <w:rtl/>
        </w:rPr>
        <w:t xml:space="preserve"> לעבירה של החזקת נשק – רובה (אישום 2)</w:t>
      </w:r>
      <w:r w:rsidRPr="00BA5951">
        <w:rPr>
          <w:rFonts w:ascii="Calibri" w:eastAsia="Calibri" w:hAnsi="Calibri" w:hint="cs"/>
          <w:rtl/>
        </w:rPr>
        <w:t xml:space="preserve">, ראו, למשל: </w:t>
      </w:r>
      <w:hyperlink r:id="rId75" w:history="1">
        <w:r w:rsidR="00C03507" w:rsidRPr="00C03507">
          <w:rPr>
            <w:rFonts w:ascii="Calibri" w:eastAsia="Calibri" w:hAnsi="Calibri" w:hint="cs"/>
            <w:color w:val="0000FF"/>
            <w:u w:val="single"/>
            <w:rtl/>
          </w:rPr>
          <w:t>רע</w:t>
        </w:r>
        <w:r w:rsidR="00C03507" w:rsidRPr="00C03507">
          <w:rPr>
            <w:rFonts w:ascii="Calibri" w:eastAsia="Calibri" w:hAnsi="Calibri"/>
            <w:color w:val="0000FF"/>
            <w:u w:val="single"/>
            <w:rtl/>
          </w:rPr>
          <w:t>"</w:t>
        </w:r>
        <w:r w:rsidR="00C03507" w:rsidRPr="00C03507">
          <w:rPr>
            <w:rFonts w:ascii="Calibri" w:eastAsia="Calibri" w:hAnsi="Calibri" w:hint="cs"/>
            <w:color w:val="0000FF"/>
            <w:u w:val="single"/>
            <w:rtl/>
          </w:rPr>
          <w:t>פ</w:t>
        </w:r>
        <w:r w:rsidR="00C03507" w:rsidRPr="00C03507">
          <w:rPr>
            <w:rFonts w:ascii="Calibri" w:eastAsia="Calibri" w:hAnsi="Calibri"/>
            <w:color w:val="0000FF"/>
            <w:u w:val="single"/>
            <w:rtl/>
          </w:rPr>
          <w:t xml:space="preserve"> 4559/16</w:t>
        </w:r>
      </w:hyperlink>
      <w:r w:rsidRPr="00BA5951">
        <w:rPr>
          <w:rFonts w:ascii="Calibri" w:eastAsia="Calibri" w:hAnsi="Calibri" w:hint="cs"/>
          <w:rtl/>
        </w:rPr>
        <w:t xml:space="preserve"> </w:t>
      </w:r>
      <w:r w:rsidRPr="00BA5951">
        <w:rPr>
          <w:rFonts w:ascii="Calibri" w:eastAsia="Calibri" w:hAnsi="Calibri" w:hint="cs"/>
          <w:b/>
          <w:bCs/>
          <w:rtl/>
        </w:rPr>
        <w:t>נוסיראת נגד מדינת ישראל</w:t>
      </w:r>
      <w:r w:rsidRPr="00BA5951">
        <w:rPr>
          <w:rFonts w:ascii="Calibri" w:eastAsia="Calibri" w:hAnsi="Calibri" w:hint="cs"/>
          <w:rtl/>
        </w:rPr>
        <w:t xml:space="preserve"> [22.6.16]: המבקש הורשע על יסוד הודאתו בעבירה של החזקת נשק ותחמושת בכך שהחזיק בדירתו, מעל ארון הבגדים, נשק מאולתר הדומה ל"קרל גוסטב", מחסנית ותחמושת בתוך שקית ועטופים בחולצה. בית-המשפט השלום קבע מתחם ענישה שנע בין 9 ל- 24 חודשי מאסר. המבקש נעדר עבר פלילי, והוגש תסקיר חיובי. בית המשפט חרג לקולה מהמתחם עקב נסיבות אישיות של המבקש, והשית על המבקש 6 חודשי מאסר בעבודות שירות.  </w:t>
      </w:r>
    </w:p>
    <w:p w14:paraId="28F92E0E" w14:textId="77777777" w:rsidR="00AA4D92" w:rsidRPr="00BA5951" w:rsidRDefault="00AA4D92" w:rsidP="00AA4D92">
      <w:pPr>
        <w:overflowPunct w:val="0"/>
        <w:autoSpaceDE w:val="0"/>
        <w:autoSpaceDN w:val="0"/>
        <w:adjustRightInd w:val="0"/>
        <w:spacing w:line="360" w:lineRule="auto"/>
        <w:ind w:left="720"/>
        <w:jc w:val="both"/>
        <w:rPr>
          <w:rFonts w:ascii="Calibri" w:eastAsia="Calibri" w:hAnsi="Calibri"/>
          <w:rtl/>
        </w:rPr>
      </w:pPr>
      <w:r w:rsidRPr="00BA5951">
        <w:rPr>
          <w:rFonts w:ascii="Calibri" w:eastAsia="Calibri" w:hAnsi="Calibri" w:hint="cs"/>
          <w:rtl/>
        </w:rPr>
        <w:t xml:space="preserve">בית המשפט המחוזי החמיר את העונש ל- 9 חודשי מאסר בפועל, והדגיש כי מדיניות הענישה הנוהגת היא הטלת עונש מאסר בפועל גם על מי שזו עבירתו הראשונה, כאשר במקרה זה לא היתה הצדקה לחריגה בשל שיקולי שיקום. </w:t>
      </w:r>
    </w:p>
    <w:p w14:paraId="7A688AF3" w14:textId="77777777" w:rsidR="00AA4D92" w:rsidRPr="00BA5951" w:rsidRDefault="00AA4D92" w:rsidP="00AA4D92">
      <w:pPr>
        <w:overflowPunct w:val="0"/>
        <w:autoSpaceDE w:val="0"/>
        <w:autoSpaceDN w:val="0"/>
        <w:adjustRightInd w:val="0"/>
        <w:spacing w:line="360" w:lineRule="auto"/>
        <w:ind w:firstLine="713"/>
        <w:jc w:val="both"/>
        <w:rPr>
          <w:rFonts w:ascii="Calibri" w:eastAsia="Calibri" w:hAnsi="Calibri"/>
          <w:rtl/>
        </w:rPr>
      </w:pPr>
      <w:r w:rsidRPr="00BA5951">
        <w:rPr>
          <w:rFonts w:ascii="Calibri" w:eastAsia="Calibri" w:hAnsi="Calibri" w:hint="cs"/>
          <w:rtl/>
        </w:rPr>
        <w:t>בקשת רשות הערעור נדחתה.</w:t>
      </w:r>
    </w:p>
    <w:p w14:paraId="17A79181" w14:textId="77777777" w:rsidR="00AA4D92" w:rsidRPr="00BA5951" w:rsidRDefault="00AA4D92" w:rsidP="00AA4D92">
      <w:pPr>
        <w:overflowPunct w:val="0"/>
        <w:autoSpaceDE w:val="0"/>
        <w:autoSpaceDN w:val="0"/>
        <w:adjustRightInd w:val="0"/>
        <w:spacing w:line="360" w:lineRule="auto"/>
        <w:ind w:firstLine="713"/>
        <w:jc w:val="both"/>
        <w:rPr>
          <w:rFonts w:ascii="Calibri" w:eastAsia="Calibri" w:hAnsi="Calibri"/>
          <w:rtl/>
        </w:rPr>
      </w:pPr>
    </w:p>
    <w:p w14:paraId="1285B3D8" w14:textId="77777777" w:rsidR="00AA4D92" w:rsidRPr="00BA5951" w:rsidRDefault="00AA4D92" w:rsidP="00AA4D92">
      <w:pPr>
        <w:numPr>
          <w:ilvl w:val="0"/>
          <w:numId w:val="1"/>
        </w:numPr>
        <w:spacing w:line="360" w:lineRule="auto"/>
        <w:contextualSpacing/>
        <w:jc w:val="both"/>
        <w:rPr>
          <w:rFonts w:ascii="Calibri" w:hAnsi="Calibri"/>
          <w:rtl/>
        </w:rPr>
      </w:pPr>
      <w:r w:rsidRPr="00BA5951">
        <w:rPr>
          <w:rFonts w:ascii="David" w:hAnsi="David" w:hint="cs"/>
          <w:u w:val="single"/>
          <w:rtl/>
        </w:rPr>
        <w:t>באשר</w:t>
      </w:r>
      <w:r w:rsidRPr="00BA5951">
        <w:rPr>
          <w:rFonts w:ascii="Calibri" w:hAnsi="Calibri" w:hint="cs"/>
          <w:u w:val="single"/>
          <w:rtl/>
        </w:rPr>
        <w:t xml:space="preserve"> לעבירה של קשירת קשר (אישום 3)</w:t>
      </w:r>
      <w:r w:rsidRPr="00BA5951">
        <w:rPr>
          <w:rFonts w:ascii="Calibri" w:hAnsi="Calibri" w:hint="cs"/>
          <w:rtl/>
        </w:rPr>
        <w:t xml:space="preserve">, הרי עיון בפסיקה מלמד, כי ישנם מקרים לא רבים בהם נאשם הועמד לדין או הורשע רק בעבירה של קשירת קשר לביצוע פשע. המנעד הוא רחב, והוא תלוי, מטבע הדברים, בחומרת העבירה נושא הקשר. </w:t>
      </w:r>
    </w:p>
    <w:p w14:paraId="2E511EDD" w14:textId="77777777" w:rsidR="00AA4D92" w:rsidRPr="00BA5951" w:rsidRDefault="00AA4D92" w:rsidP="00AA4D92">
      <w:pPr>
        <w:spacing w:line="360" w:lineRule="auto"/>
        <w:ind w:left="720"/>
        <w:jc w:val="both"/>
        <w:rPr>
          <w:rFonts w:ascii="David" w:hAnsi="David"/>
          <w:rtl/>
        </w:rPr>
      </w:pPr>
      <w:r w:rsidRPr="00BA5951">
        <w:rPr>
          <w:rFonts w:ascii="Calibri" w:hAnsi="Calibri" w:hint="cs"/>
          <w:rtl/>
        </w:rPr>
        <w:t>ב"כ נאשם 4 היפנה ל</w:t>
      </w:r>
      <w:hyperlink r:id="rId76" w:history="1">
        <w:r w:rsidR="00C03507" w:rsidRPr="00C03507">
          <w:rPr>
            <w:rFonts w:ascii="David" w:hAnsi="David"/>
            <w:color w:val="0000FF"/>
            <w:sz w:val="28"/>
            <w:u w:val="single"/>
            <w:rtl/>
          </w:rPr>
          <w:t>ע"פ 6985/12</w:t>
        </w:r>
      </w:hyperlink>
      <w:r w:rsidRPr="00BA5951">
        <w:rPr>
          <w:rFonts w:ascii="David" w:hAnsi="David" w:hint="cs"/>
          <w:sz w:val="28"/>
          <w:rtl/>
        </w:rPr>
        <w:t xml:space="preserve"> </w:t>
      </w:r>
      <w:r w:rsidRPr="00BA5951">
        <w:rPr>
          <w:rFonts w:ascii="David" w:hAnsi="David" w:hint="cs"/>
          <w:b/>
          <w:bCs/>
          <w:sz w:val="28"/>
          <w:rtl/>
        </w:rPr>
        <w:t>אחמד נגד מדינת ישראל</w:t>
      </w:r>
      <w:r w:rsidRPr="00BA5951">
        <w:rPr>
          <w:rFonts w:ascii="David" w:hAnsi="David" w:hint="cs"/>
          <w:sz w:val="28"/>
          <w:rtl/>
        </w:rPr>
        <w:t xml:space="preserve"> [17.3.13]: </w:t>
      </w:r>
      <w:r w:rsidRPr="00BA5951">
        <w:rPr>
          <w:rFonts w:ascii="David" w:hAnsi="David" w:hint="cs"/>
          <w:rtl/>
        </w:rPr>
        <w:t xml:space="preserve">המערער הורשע על יסוד הודאתו בעבירה של קשירת קשר לביצוע פשע בכך, שקשר עם אחר למכור לו אקדח תמורת סכום של 11,000 ₪. שירות המבחן נמנע מהמלצה טיפולית. על המערער, שהיה כבן 21 שנים ללא עבר פלילי, הושת עונש מאסר בפועל בן 8 חודשים. </w:t>
      </w:r>
    </w:p>
    <w:p w14:paraId="7919E35E"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ערעור על חומרת העונש נדחה.</w:t>
      </w:r>
    </w:p>
    <w:p w14:paraId="71347A3E" w14:textId="77777777" w:rsidR="00AA4D92" w:rsidRPr="00BA5951" w:rsidRDefault="00AA4D92" w:rsidP="00AA4D92">
      <w:pPr>
        <w:spacing w:line="360" w:lineRule="auto"/>
        <w:ind w:left="720"/>
        <w:jc w:val="both"/>
        <w:rPr>
          <w:rFonts w:ascii="David" w:hAnsi="David"/>
          <w:rtl/>
        </w:rPr>
      </w:pPr>
    </w:p>
    <w:p w14:paraId="05428859" w14:textId="77777777" w:rsidR="00AA4D92" w:rsidRPr="00BA5951" w:rsidRDefault="00AA4D92" w:rsidP="00AA4D92">
      <w:pPr>
        <w:numPr>
          <w:ilvl w:val="0"/>
          <w:numId w:val="1"/>
        </w:numPr>
        <w:spacing w:line="360" w:lineRule="auto"/>
        <w:contextualSpacing/>
        <w:jc w:val="both"/>
        <w:rPr>
          <w:rFonts w:ascii="Calibri" w:hAnsi="Calibri"/>
          <w:rtl/>
        </w:rPr>
      </w:pPr>
      <w:r w:rsidRPr="00BA5951">
        <w:rPr>
          <w:rFonts w:ascii="David" w:hAnsi="David" w:hint="cs"/>
          <w:u w:val="single"/>
          <w:rtl/>
        </w:rPr>
        <w:t>באשר</w:t>
      </w:r>
      <w:r w:rsidRPr="00BA5951">
        <w:rPr>
          <w:rFonts w:ascii="Calibri" w:hAnsi="Calibri" w:hint="cs"/>
          <w:u w:val="single"/>
          <w:rtl/>
        </w:rPr>
        <w:t xml:space="preserve"> לעבירה של רכישת נשק – שני אקדחים</w:t>
      </w:r>
      <w:r w:rsidRPr="00BA5951">
        <w:rPr>
          <w:rFonts w:ascii="Calibri" w:hAnsi="Calibri" w:hint="cs"/>
          <w:rtl/>
        </w:rPr>
        <w:t xml:space="preserve"> (אישום 4), ראו למשל: </w:t>
      </w:r>
      <w:hyperlink r:id="rId77" w:history="1">
        <w:r w:rsidR="00C03507" w:rsidRPr="00C03507">
          <w:rPr>
            <w:rFonts w:ascii="Calibri" w:hAnsi="Calibri" w:hint="eastAsia"/>
            <w:color w:val="0000FF"/>
            <w:u w:val="single"/>
            <w:rtl/>
          </w:rPr>
          <w:t>רע</w:t>
        </w:r>
        <w:r w:rsidR="00C03507" w:rsidRPr="00C03507">
          <w:rPr>
            <w:rFonts w:ascii="Calibri" w:hAnsi="Calibri"/>
            <w:color w:val="0000FF"/>
            <w:u w:val="single"/>
            <w:rtl/>
          </w:rPr>
          <w:t>"</w:t>
        </w:r>
        <w:r w:rsidR="00C03507" w:rsidRPr="00C03507">
          <w:rPr>
            <w:rFonts w:ascii="Calibri" w:hAnsi="Calibri" w:hint="eastAsia"/>
            <w:color w:val="0000FF"/>
            <w:u w:val="single"/>
            <w:rtl/>
          </w:rPr>
          <w:t>פ</w:t>
        </w:r>
        <w:r w:rsidR="00C03507" w:rsidRPr="00C03507">
          <w:rPr>
            <w:rFonts w:ascii="Calibri" w:hAnsi="Calibri"/>
            <w:color w:val="0000FF"/>
            <w:u w:val="single"/>
            <w:rtl/>
          </w:rPr>
          <w:t xml:space="preserve"> 1246/17</w:t>
        </w:r>
      </w:hyperlink>
      <w:r w:rsidRPr="00BA5951">
        <w:rPr>
          <w:rFonts w:ascii="Calibri" w:hAnsi="Calibri" w:hint="cs"/>
          <w:rtl/>
        </w:rPr>
        <w:t xml:space="preserve"> </w:t>
      </w:r>
      <w:r w:rsidRPr="00BA5951">
        <w:rPr>
          <w:rFonts w:ascii="Calibri" w:hAnsi="Calibri" w:hint="cs"/>
          <w:b/>
          <w:bCs/>
          <w:rtl/>
        </w:rPr>
        <w:t xml:space="preserve">מטר נגד מדינת ישראל </w:t>
      </w:r>
      <w:r w:rsidRPr="00BA5951">
        <w:rPr>
          <w:rFonts w:ascii="Calibri" w:hAnsi="Calibri" w:hint="cs"/>
          <w:rtl/>
        </w:rPr>
        <w:t>[12.3.17]: המבקש, נעדר עבר פלילי, רכש אקדח אחד ושתי מחסניות וכדורים והחזיקם בביתו. הוגש תסקיר חיובי בעניינו, ובית-משפט השלום גזר עליו עונש של 6 חודשי מאסר בעבודות שירות. בית-המשפט המחוזי קבע כי הרף התחתון צריך לעמוד על 9 חודשי מאסר, והחמיר את עונשו ל – 9 חודשי מאסר בפועל. בית-המשפט העליון דחה את בקשת רשות הערעור.</w:t>
      </w:r>
    </w:p>
    <w:p w14:paraId="6475807E" w14:textId="77777777" w:rsidR="00AA4D92" w:rsidRPr="00BA5951" w:rsidRDefault="00AA4D92" w:rsidP="00AA4D92">
      <w:pPr>
        <w:overflowPunct w:val="0"/>
        <w:autoSpaceDE w:val="0"/>
        <w:autoSpaceDN w:val="0"/>
        <w:adjustRightInd w:val="0"/>
        <w:spacing w:line="360" w:lineRule="auto"/>
        <w:ind w:left="720"/>
        <w:contextualSpacing/>
        <w:jc w:val="both"/>
        <w:rPr>
          <w:rFonts w:ascii="Calibri" w:hAnsi="Calibri"/>
          <w:rtl/>
        </w:rPr>
      </w:pPr>
    </w:p>
    <w:p w14:paraId="0ACF4A87" w14:textId="77777777" w:rsidR="00AA4D92" w:rsidRPr="00BA5951" w:rsidRDefault="00AA4D92" w:rsidP="00AA4D92">
      <w:pPr>
        <w:numPr>
          <w:ilvl w:val="0"/>
          <w:numId w:val="1"/>
        </w:numPr>
        <w:spacing w:line="360" w:lineRule="auto"/>
        <w:contextualSpacing/>
        <w:jc w:val="both"/>
        <w:rPr>
          <w:rFonts w:ascii="Calibri" w:eastAsia="Calibri" w:hAnsi="Calibri"/>
          <w:u w:val="single"/>
          <w:rtl/>
        </w:rPr>
      </w:pPr>
      <w:r w:rsidRPr="00BA5951">
        <w:rPr>
          <w:rFonts w:ascii="David" w:hAnsi="David" w:hint="cs"/>
          <w:rtl/>
        </w:rPr>
        <w:t>לאור</w:t>
      </w:r>
      <w:r w:rsidRPr="00BA5951">
        <w:rPr>
          <w:rFonts w:ascii="Calibri" w:eastAsia="Calibri" w:hAnsi="Calibri" w:hint="cs"/>
          <w:rtl/>
        </w:rPr>
        <w:t xml:space="preserve"> נסיבות ביצוע העבירות ובחינת הפסיקה בשינויים המחוייבים, </w:t>
      </w:r>
      <w:r w:rsidRPr="00BA5951">
        <w:rPr>
          <w:rFonts w:ascii="Calibri" w:eastAsia="Calibri" w:hAnsi="Calibri" w:hint="cs"/>
          <w:b/>
          <w:bCs/>
          <w:rtl/>
        </w:rPr>
        <w:t>באישום הראשון</w:t>
      </w:r>
      <w:r w:rsidRPr="00BA5951">
        <w:rPr>
          <w:rFonts w:ascii="Calibri" w:eastAsia="Calibri" w:hAnsi="Calibri" w:hint="cs"/>
          <w:rtl/>
        </w:rPr>
        <w:t xml:space="preserve">, אני קובעת </w:t>
      </w:r>
      <w:r w:rsidRPr="00BA5951">
        <w:rPr>
          <w:rFonts w:ascii="Calibri" w:eastAsia="Calibri" w:hAnsi="Calibri" w:hint="cs"/>
          <w:u w:val="single"/>
          <w:rtl/>
        </w:rPr>
        <w:t>לנאשם 1 מתחם עונש הולם אשר נע בין 30 – 50  חודשי מאסר בפועל</w:t>
      </w:r>
      <w:r w:rsidRPr="00BA5951">
        <w:rPr>
          <w:rFonts w:ascii="Calibri" w:eastAsia="Calibri" w:hAnsi="Calibri" w:hint="cs"/>
          <w:rtl/>
        </w:rPr>
        <w:t>;</w:t>
      </w:r>
      <w:r w:rsidRPr="00BA5951">
        <w:rPr>
          <w:rFonts w:ascii="Calibri" w:eastAsia="Calibri" w:hAnsi="Calibri"/>
        </w:rPr>
        <w:t xml:space="preserve"> </w:t>
      </w:r>
      <w:r w:rsidRPr="00BA5951">
        <w:rPr>
          <w:rFonts w:ascii="Calibri" w:eastAsia="Calibri" w:hAnsi="Calibri" w:hint="cs"/>
          <w:rtl/>
        </w:rPr>
        <w:t>בעניינם של נ</w:t>
      </w:r>
      <w:r w:rsidRPr="00BA5951">
        <w:rPr>
          <w:rFonts w:ascii="Calibri" w:eastAsia="Calibri" w:hAnsi="Calibri" w:hint="cs"/>
          <w:u w:val="single"/>
          <w:rtl/>
        </w:rPr>
        <w:t>אשמים 2 ו- 3 מתחם שנע בין 9 – 20 חודשי מאסר בפועל</w:t>
      </w:r>
      <w:r w:rsidRPr="00BA5951">
        <w:rPr>
          <w:rFonts w:ascii="Calibri" w:eastAsia="Calibri" w:hAnsi="Calibri" w:hint="cs"/>
          <w:rtl/>
        </w:rPr>
        <w:t xml:space="preserve">; בעניינו של </w:t>
      </w:r>
      <w:r w:rsidRPr="00BA5951">
        <w:rPr>
          <w:rFonts w:ascii="Calibri" w:eastAsia="Calibri" w:hAnsi="Calibri" w:hint="cs"/>
          <w:u w:val="single"/>
          <w:rtl/>
        </w:rPr>
        <w:t>נאשם 4 מתחם שנע בין 18 - 36 חודשי מאסר בפועל</w:t>
      </w:r>
      <w:r w:rsidRPr="00BA5951">
        <w:rPr>
          <w:rFonts w:ascii="Calibri" w:eastAsia="Calibri" w:hAnsi="Calibri" w:hint="cs"/>
          <w:rtl/>
        </w:rPr>
        <w:t xml:space="preserve">. </w:t>
      </w:r>
    </w:p>
    <w:p w14:paraId="4D6ACDF8" w14:textId="77777777" w:rsidR="00AA4D92" w:rsidRPr="00BA5951" w:rsidRDefault="00AA4D92" w:rsidP="00AA4D92">
      <w:pPr>
        <w:ind w:left="720"/>
        <w:contextualSpacing/>
        <w:rPr>
          <w:rFonts w:ascii="Calibri" w:eastAsia="Calibri" w:hAnsi="Calibri"/>
          <w:u w:val="single"/>
        </w:rPr>
      </w:pPr>
    </w:p>
    <w:p w14:paraId="156C9463" w14:textId="77777777" w:rsidR="00AA4D92" w:rsidRPr="00BA5951" w:rsidRDefault="00AA4D92" w:rsidP="00AA4D92">
      <w:pPr>
        <w:spacing w:after="200" w:line="360" w:lineRule="auto"/>
        <w:ind w:left="713"/>
        <w:jc w:val="both"/>
        <w:rPr>
          <w:rFonts w:ascii="Calibri" w:eastAsia="Calibri" w:hAnsi="Calibri"/>
          <w:rtl/>
        </w:rPr>
      </w:pPr>
      <w:r w:rsidRPr="00BA5951">
        <w:rPr>
          <w:rFonts w:ascii="Calibri" w:eastAsia="Calibri" w:hAnsi="Calibri" w:hint="cs"/>
          <w:b/>
          <w:bCs/>
          <w:rtl/>
        </w:rPr>
        <w:t>באישום השני</w:t>
      </w:r>
      <w:r w:rsidRPr="00BA5951">
        <w:rPr>
          <w:rFonts w:ascii="Calibri" w:eastAsia="Calibri" w:hAnsi="Calibri" w:hint="cs"/>
          <w:rtl/>
        </w:rPr>
        <w:t xml:space="preserve">, הרלבנטי </w:t>
      </w:r>
      <w:r w:rsidRPr="00BA5951">
        <w:rPr>
          <w:rFonts w:ascii="Calibri" w:eastAsia="Calibri" w:hAnsi="Calibri" w:hint="cs"/>
          <w:u w:val="single"/>
          <w:rtl/>
        </w:rPr>
        <w:t>לנאשמים 1 ו- 3</w:t>
      </w:r>
      <w:r w:rsidRPr="00BA5951">
        <w:rPr>
          <w:rFonts w:ascii="Calibri" w:eastAsia="Calibri" w:hAnsi="Calibri" w:hint="cs"/>
          <w:rtl/>
        </w:rPr>
        <w:t>, אני קובעת מתחם עונש הולם אשר נע בין</w:t>
      </w:r>
      <w:r w:rsidRPr="00BA5951">
        <w:rPr>
          <w:rFonts w:ascii="Calibri" w:eastAsia="Calibri" w:hAnsi="Calibri" w:hint="cs"/>
          <w:u w:val="single"/>
          <w:rtl/>
        </w:rPr>
        <w:t xml:space="preserve"> 12 - 30 חודשי מאסר בפועל. </w:t>
      </w:r>
    </w:p>
    <w:p w14:paraId="01856605" w14:textId="77777777" w:rsidR="00AA4D92" w:rsidRPr="00BA5951" w:rsidRDefault="00AA4D92" w:rsidP="00AA4D92">
      <w:pPr>
        <w:spacing w:after="200" w:line="360" w:lineRule="auto"/>
        <w:ind w:left="713"/>
        <w:jc w:val="both"/>
        <w:rPr>
          <w:rFonts w:ascii="Calibri" w:eastAsia="Calibri" w:hAnsi="Calibri"/>
          <w:u w:val="single"/>
          <w:rtl/>
        </w:rPr>
      </w:pPr>
      <w:r w:rsidRPr="00BA5951">
        <w:rPr>
          <w:rFonts w:ascii="Calibri" w:eastAsia="Calibri" w:hAnsi="Calibri" w:hint="cs"/>
          <w:b/>
          <w:bCs/>
          <w:rtl/>
        </w:rPr>
        <w:t>באישום השלישי</w:t>
      </w:r>
      <w:r w:rsidRPr="00BA5951">
        <w:rPr>
          <w:rFonts w:ascii="Calibri" w:eastAsia="Calibri" w:hAnsi="Calibri" w:hint="cs"/>
          <w:rtl/>
        </w:rPr>
        <w:t xml:space="preserve">, הרלבנטי </w:t>
      </w:r>
      <w:r w:rsidRPr="00BA5951">
        <w:rPr>
          <w:rFonts w:ascii="Calibri" w:eastAsia="Calibri" w:hAnsi="Calibri" w:hint="cs"/>
          <w:u w:val="single"/>
          <w:rtl/>
        </w:rPr>
        <w:t>לנאשמים 1 - 3</w:t>
      </w:r>
      <w:r w:rsidRPr="00BA5951">
        <w:rPr>
          <w:rFonts w:ascii="Calibri" w:eastAsia="Calibri" w:hAnsi="Calibri" w:hint="cs"/>
          <w:rtl/>
        </w:rPr>
        <w:t xml:space="preserve">, אני קובעת </w:t>
      </w:r>
      <w:r w:rsidRPr="00BA5951">
        <w:rPr>
          <w:rFonts w:ascii="Calibri" w:eastAsia="Calibri" w:hAnsi="Calibri" w:hint="cs"/>
          <w:u w:val="single"/>
          <w:rtl/>
        </w:rPr>
        <w:t>מתחם עונש הולם אשר נע בין מספר חודשי מאסר לנשיאה בעבודות שירות ועד ל – 8 חודשי מאסר בפועל.</w:t>
      </w:r>
    </w:p>
    <w:p w14:paraId="75A78F4D" w14:textId="77777777" w:rsidR="00AA4D92" w:rsidRPr="00BA5951" w:rsidRDefault="00AA4D92" w:rsidP="00AA4D92">
      <w:pPr>
        <w:spacing w:after="200" w:line="360" w:lineRule="auto"/>
        <w:ind w:left="713"/>
        <w:jc w:val="both"/>
        <w:rPr>
          <w:rFonts w:ascii="Calibri" w:eastAsia="Calibri" w:hAnsi="Calibri"/>
          <w:u w:val="single"/>
          <w:rtl/>
        </w:rPr>
      </w:pPr>
      <w:r w:rsidRPr="00BA5951">
        <w:rPr>
          <w:rFonts w:ascii="Calibri" w:eastAsia="Calibri" w:hAnsi="Calibri" w:hint="cs"/>
          <w:b/>
          <w:bCs/>
          <w:rtl/>
        </w:rPr>
        <w:t>באישום הרביעי</w:t>
      </w:r>
      <w:r w:rsidRPr="00BA5951">
        <w:rPr>
          <w:rFonts w:ascii="Calibri" w:eastAsia="Calibri" w:hAnsi="Calibri" w:hint="cs"/>
          <w:rtl/>
        </w:rPr>
        <w:t xml:space="preserve">, הרלבנטי </w:t>
      </w:r>
      <w:r w:rsidRPr="00BA5951">
        <w:rPr>
          <w:rFonts w:ascii="Calibri" w:eastAsia="Calibri" w:hAnsi="Calibri" w:hint="cs"/>
          <w:u w:val="single"/>
          <w:rtl/>
        </w:rPr>
        <w:t>לנאשמים 1 ו- 3</w:t>
      </w:r>
      <w:r w:rsidRPr="00BA5951">
        <w:rPr>
          <w:rFonts w:ascii="Calibri" w:eastAsia="Calibri" w:hAnsi="Calibri" w:hint="cs"/>
          <w:rtl/>
        </w:rPr>
        <w:t xml:space="preserve">, אני קובעת </w:t>
      </w:r>
      <w:r w:rsidRPr="00BA5951">
        <w:rPr>
          <w:rFonts w:ascii="Calibri" w:eastAsia="Calibri" w:hAnsi="Calibri" w:hint="cs"/>
          <w:u w:val="single"/>
          <w:rtl/>
        </w:rPr>
        <w:t xml:space="preserve">מתחם עונש הולם אשר נע בין 16 – 32 חודשי מאסר בפועל. </w:t>
      </w:r>
    </w:p>
    <w:p w14:paraId="383173BC" w14:textId="77777777" w:rsidR="00AA4D92" w:rsidRPr="00BA5951" w:rsidRDefault="00AA4D92" w:rsidP="00AA4D92">
      <w:pPr>
        <w:spacing w:line="360" w:lineRule="auto"/>
        <w:ind w:left="720"/>
        <w:jc w:val="both"/>
        <w:rPr>
          <w:rFonts w:ascii="Calibri" w:eastAsia="Calibri" w:hAnsi="Calibri"/>
          <w:u w:val="single"/>
          <w:rtl/>
        </w:rPr>
      </w:pPr>
    </w:p>
    <w:p w14:paraId="5C31D4ED" w14:textId="77777777" w:rsidR="00AA4D92" w:rsidRPr="00BA5951" w:rsidRDefault="00AA4D92" w:rsidP="00AA4D92">
      <w:pPr>
        <w:numPr>
          <w:ilvl w:val="0"/>
          <w:numId w:val="1"/>
        </w:numPr>
        <w:spacing w:line="360" w:lineRule="auto"/>
        <w:contextualSpacing/>
        <w:jc w:val="both"/>
        <w:rPr>
          <w:rFonts w:ascii="David" w:hAnsi="David"/>
          <w:rtl/>
        </w:rPr>
      </w:pPr>
      <w:r w:rsidRPr="00BA5951">
        <w:rPr>
          <w:rFonts w:ascii="David" w:hAnsi="David" w:hint="cs"/>
          <w:rtl/>
        </w:rPr>
        <w:t xml:space="preserve">בעניינם של הנאשמים לא הוצג כל שיקול אשר מצדיק חריגה מהמתחם מטעמי שיקום. על כן, עונשם ייגזר בתוך המתחם ויש להתחשב בנסיבות אשר אינן קשורות בביצוע העבירות, כמפורט </w:t>
      </w:r>
      <w:hyperlink r:id="rId78" w:history="1">
        <w:r w:rsidR="008429B1" w:rsidRPr="008429B1">
          <w:rPr>
            <w:rStyle w:val="Hyperlink"/>
            <w:rFonts w:ascii="David" w:hAnsi="David" w:hint="eastAsia"/>
            <w:rtl/>
          </w:rPr>
          <w:t>בסעיף</w:t>
        </w:r>
        <w:r w:rsidR="008429B1" w:rsidRPr="008429B1">
          <w:rPr>
            <w:rStyle w:val="Hyperlink"/>
            <w:rFonts w:ascii="David" w:hAnsi="David"/>
            <w:rtl/>
          </w:rPr>
          <w:t xml:space="preserve"> 40יא'</w:t>
        </w:r>
      </w:hyperlink>
      <w:r w:rsidRPr="00BA5951">
        <w:rPr>
          <w:rFonts w:ascii="David" w:hAnsi="David" w:hint="cs"/>
          <w:rtl/>
        </w:rPr>
        <w:t xml:space="preserve"> ל</w:t>
      </w:r>
      <w:hyperlink r:id="rId79" w:history="1">
        <w:r w:rsidR="00C03507" w:rsidRPr="00C03507">
          <w:rPr>
            <w:rFonts w:ascii="David" w:hAnsi="David"/>
            <w:color w:val="0000FF"/>
            <w:u w:val="single"/>
            <w:rtl/>
          </w:rPr>
          <w:t>חוק העונשין</w:t>
        </w:r>
      </w:hyperlink>
      <w:r w:rsidRPr="00BA5951">
        <w:rPr>
          <w:rFonts w:ascii="David" w:hAnsi="David" w:hint="cs"/>
          <w:rtl/>
        </w:rPr>
        <w:t xml:space="preserve">. </w:t>
      </w:r>
    </w:p>
    <w:p w14:paraId="7EC27BEF" w14:textId="77777777" w:rsidR="00AA4D92" w:rsidRPr="00BA5951" w:rsidRDefault="00AA4D92" w:rsidP="00AA4D92">
      <w:pPr>
        <w:spacing w:line="360" w:lineRule="auto"/>
        <w:ind w:left="720" w:hanging="720"/>
        <w:jc w:val="both"/>
        <w:rPr>
          <w:rFonts w:ascii="Calibri" w:hAnsi="Calibri"/>
          <w:rtl/>
        </w:rPr>
      </w:pPr>
    </w:p>
    <w:p w14:paraId="061978FD" w14:textId="77777777" w:rsidR="00AA4D92" w:rsidRPr="00BA5951" w:rsidRDefault="00AA4D92" w:rsidP="00AA4D92">
      <w:pPr>
        <w:numPr>
          <w:ilvl w:val="0"/>
          <w:numId w:val="1"/>
        </w:numPr>
        <w:spacing w:line="360" w:lineRule="auto"/>
        <w:contextualSpacing/>
        <w:jc w:val="both"/>
        <w:rPr>
          <w:rFonts w:ascii="Calibri" w:hAnsi="Calibri"/>
          <w:rtl/>
        </w:rPr>
      </w:pPr>
      <w:r w:rsidRPr="00BA5951">
        <w:rPr>
          <w:rFonts w:ascii="Calibri" w:hAnsi="Calibri" w:hint="cs"/>
          <w:b/>
          <w:bCs/>
          <w:rtl/>
        </w:rPr>
        <w:t>נאשם 1</w:t>
      </w:r>
      <w:r w:rsidRPr="00BA5951">
        <w:rPr>
          <w:rFonts w:ascii="Calibri" w:hAnsi="Calibri" w:hint="cs"/>
          <w:rtl/>
        </w:rPr>
        <w:t>, כבן 32, נעדר עבר פלילי, בספטמבר 2021 נולדה בתו הבכורה בעת מעצרו, והוא טרם זכה לראותה. הודה ונטל אחריות על מעשיו. בא כוחו טען, שנאשם 1 עבד כל חייו בעבודה מסודרת כמכונאי.</w:t>
      </w:r>
    </w:p>
    <w:p w14:paraId="1A432A73" w14:textId="77777777" w:rsidR="00AA4D92" w:rsidRPr="00BA5951" w:rsidRDefault="00AA4D92" w:rsidP="00AA4D92">
      <w:pPr>
        <w:spacing w:line="360" w:lineRule="auto"/>
        <w:ind w:left="720" w:hanging="720"/>
        <w:jc w:val="both"/>
        <w:rPr>
          <w:rFonts w:ascii="David" w:hAnsi="David"/>
          <w:rtl/>
        </w:rPr>
      </w:pPr>
      <w:r w:rsidRPr="00BA5951">
        <w:rPr>
          <w:rFonts w:ascii="Calibri" w:hAnsi="Calibri" w:hint="cs"/>
          <w:rtl/>
        </w:rPr>
        <w:tab/>
      </w:r>
    </w:p>
    <w:p w14:paraId="1DC03B85" w14:textId="77777777" w:rsidR="00AA4D92" w:rsidRPr="00BA5951" w:rsidRDefault="00AA4D92" w:rsidP="00AA4D92">
      <w:pPr>
        <w:numPr>
          <w:ilvl w:val="0"/>
          <w:numId w:val="1"/>
        </w:numPr>
        <w:spacing w:line="360" w:lineRule="auto"/>
        <w:contextualSpacing/>
        <w:jc w:val="both"/>
        <w:rPr>
          <w:rFonts w:ascii="David" w:hAnsi="David"/>
          <w:rtl/>
        </w:rPr>
      </w:pPr>
      <w:r w:rsidRPr="00BA5951">
        <w:rPr>
          <w:rFonts w:ascii="David" w:hAnsi="David" w:hint="cs"/>
          <w:b/>
          <w:bCs/>
          <w:rtl/>
        </w:rPr>
        <w:t>נאשם 2</w:t>
      </w:r>
      <w:r w:rsidRPr="00BA5951">
        <w:rPr>
          <w:rFonts w:ascii="David" w:hAnsi="David" w:hint="cs"/>
          <w:rtl/>
        </w:rPr>
        <w:t xml:space="preserve"> נשוי, אב לארבעה ילדים, שירת כחייל קרבי (הוא משתייך למגזר הבדואי), ואף נחשפתי לתרומת אביו למדינה. ניכר, כי המעצר טלטל את המשפחה. גם הוא הודה ונטל אחריות על מעשיו. עם זאת, המדובר בנאשם היחיד בפרשה זו שלחובתו עבר פלילי בעבירות נשק, אלימות וסמים, ואת העבירות ביצע בעת שמאסר על תנאי בן 7 חודשים תלוי ועומד כנגדו. </w:t>
      </w:r>
    </w:p>
    <w:p w14:paraId="72B82A91" w14:textId="77777777" w:rsidR="00AA4D92" w:rsidRPr="00BA5951" w:rsidRDefault="00AA4D92" w:rsidP="00AA4D92">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tl/>
        </w:rPr>
      </w:pPr>
      <w:r w:rsidRPr="00BA5951">
        <w:rPr>
          <w:rFonts w:ascii="David" w:hAnsi="David" w:hint="cs"/>
          <w:rtl/>
        </w:rPr>
        <w:tab/>
      </w:r>
      <w:r w:rsidRPr="00BA5951">
        <w:rPr>
          <w:rFonts w:ascii="David" w:hAnsi="David" w:hint="cs"/>
          <w:rtl/>
        </w:rPr>
        <w:tab/>
        <w:t>אני דוחה את טענת הסניגור לפיה המדובר במאסר על תנאי שלא ניתן להפעלה בשל נוסחו הלא ברור. עיון בגזר-הדין (ע/2א) ב</w:t>
      </w:r>
      <w:hyperlink r:id="rId80" w:history="1">
        <w:r w:rsidR="00C03507" w:rsidRPr="00C03507">
          <w:rPr>
            <w:rFonts w:ascii="David" w:hAnsi="David"/>
            <w:color w:val="0000FF"/>
            <w:u w:val="single"/>
            <w:rtl/>
          </w:rPr>
          <w:t>ת"פ (מחוזי חיפה) 31811-11-19</w:t>
        </w:r>
      </w:hyperlink>
      <w:r w:rsidRPr="00BA5951">
        <w:rPr>
          <w:rFonts w:ascii="David" w:hAnsi="David" w:hint="cs"/>
          <w:rtl/>
        </w:rPr>
        <w:t xml:space="preserve"> מיום 27.2.20 מעלה, כי הנאשם הורשע בביצוע עבירה של החזקת נשק – באקדח טעון, במחסנית ובכדורים. על הנאשם הוטל עונש מאסר בפועל בן 7 חודשים, וכן </w:t>
      </w:r>
      <w:r w:rsidRPr="00BA5951">
        <w:rPr>
          <w:rFonts w:ascii="David" w:hAnsi="David" w:hint="cs"/>
          <w:b/>
          <w:bCs/>
          <w:rtl/>
        </w:rPr>
        <w:t>"7 חודשי מאסר אותם לא ירצה אלא אם בתוך 3 שנים מיום שחרורו ממאסר יעבור עבירות שעניינן עבירות בנשק"</w:t>
      </w:r>
      <w:r w:rsidRPr="00BA5951">
        <w:rPr>
          <w:rFonts w:ascii="David" w:hAnsi="David" w:hint="cs"/>
          <w:rtl/>
        </w:rPr>
        <w:t xml:space="preserve">. המדובר בתנאי שמתייחס לסוג עבירות מוגדר, ולא יכולה להיות מחלוקת שהנאשם ביצע רצף של "עבירות בנשק" כמפורט </w:t>
      </w:r>
      <w:hyperlink r:id="rId81" w:history="1">
        <w:r w:rsidR="008429B1" w:rsidRPr="008429B1">
          <w:rPr>
            <w:rStyle w:val="Hyperlink"/>
            <w:rFonts w:ascii="David" w:hAnsi="David" w:hint="eastAsia"/>
            <w:rtl/>
          </w:rPr>
          <w:t>בסעיף</w:t>
        </w:r>
        <w:r w:rsidR="008429B1" w:rsidRPr="008429B1">
          <w:rPr>
            <w:rStyle w:val="Hyperlink"/>
            <w:rFonts w:ascii="David" w:hAnsi="David"/>
            <w:rtl/>
          </w:rPr>
          <w:t xml:space="preserve"> 144</w:t>
        </w:r>
      </w:hyperlink>
      <w:r w:rsidRPr="00BA5951">
        <w:rPr>
          <w:rFonts w:ascii="David" w:hAnsi="David" w:hint="cs"/>
          <w:rtl/>
        </w:rPr>
        <w:t xml:space="preserve"> לחוק (לרבות בכותרת הסעיף). על כן, המדובר בתנאי חב-הפעלה.</w:t>
      </w:r>
    </w:p>
    <w:p w14:paraId="1E45E0EF" w14:textId="77777777" w:rsidR="00AA4D92" w:rsidRPr="00BA5951" w:rsidRDefault="00AA4D92" w:rsidP="00AA4D92">
      <w:pPr>
        <w:overflowPunct w:val="0"/>
        <w:autoSpaceDE w:val="0"/>
        <w:autoSpaceDN w:val="0"/>
        <w:adjustRightInd w:val="0"/>
        <w:spacing w:line="360" w:lineRule="auto"/>
        <w:ind w:left="720" w:hanging="720"/>
        <w:jc w:val="both"/>
        <w:rPr>
          <w:rFonts w:ascii="David" w:hAnsi="David"/>
          <w:rtl/>
        </w:rPr>
      </w:pPr>
    </w:p>
    <w:p w14:paraId="79D2E5CC" w14:textId="77777777" w:rsidR="00AA4D92" w:rsidRPr="00BA5951" w:rsidRDefault="00AA4D92" w:rsidP="00AA4D92">
      <w:pPr>
        <w:numPr>
          <w:ilvl w:val="0"/>
          <w:numId w:val="1"/>
        </w:numPr>
        <w:spacing w:line="360" w:lineRule="auto"/>
        <w:contextualSpacing/>
        <w:jc w:val="both"/>
        <w:rPr>
          <w:rFonts w:ascii="David" w:hAnsi="David"/>
          <w:rtl/>
        </w:rPr>
      </w:pPr>
      <w:r w:rsidRPr="00BA5951">
        <w:rPr>
          <w:rFonts w:ascii="David" w:hAnsi="David" w:hint="cs"/>
          <w:b/>
          <w:bCs/>
          <w:rtl/>
        </w:rPr>
        <w:t>נאשם 3</w:t>
      </w:r>
      <w:r w:rsidRPr="00BA5951">
        <w:rPr>
          <w:rFonts w:ascii="David" w:hAnsi="David" w:hint="cs"/>
          <w:rtl/>
        </w:rPr>
        <w:t xml:space="preserve">, הוא בחור צעיר ללא עבר פלילי, ואכן שוכנעתי שנסיבות חייו חריגות, כאשר הוא התייתם מהוריו בילדות, ככל הנראה גדל ללא הכוונה ואף נטען ששימש דמות הורית לאחיו. נאשם 3 גם הוא לקח אחריות על מעשיו המפורטים בכתב-האישום המתוקן. </w:t>
      </w:r>
    </w:p>
    <w:p w14:paraId="2AC6AD0F" w14:textId="77777777" w:rsidR="00AA4D92" w:rsidRPr="00BA5951" w:rsidRDefault="00AA4D92" w:rsidP="00AA4D92">
      <w:pPr>
        <w:overflowPunct w:val="0"/>
        <w:autoSpaceDE w:val="0"/>
        <w:autoSpaceDN w:val="0"/>
        <w:adjustRightInd w:val="0"/>
        <w:spacing w:line="360" w:lineRule="auto"/>
        <w:ind w:left="720" w:hanging="720"/>
        <w:jc w:val="both"/>
        <w:rPr>
          <w:rFonts w:ascii="David" w:hAnsi="David"/>
          <w:rtl/>
        </w:rPr>
      </w:pPr>
    </w:p>
    <w:p w14:paraId="22E9EC4C" w14:textId="77777777" w:rsidR="00AA4D92" w:rsidRPr="00BA5951" w:rsidRDefault="00AA4D92" w:rsidP="00AA4D92">
      <w:pPr>
        <w:numPr>
          <w:ilvl w:val="0"/>
          <w:numId w:val="1"/>
        </w:numPr>
        <w:spacing w:line="360" w:lineRule="auto"/>
        <w:contextualSpacing/>
        <w:jc w:val="both"/>
        <w:rPr>
          <w:rFonts w:ascii="David" w:hAnsi="David"/>
          <w:rtl/>
        </w:rPr>
      </w:pPr>
      <w:r w:rsidRPr="00BA5951">
        <w:rPr>
          <w:rFonts w:ascii="David" w:hAnsi="David" w:hint="cs"/>
          <w:b/>
          <w:bCs/>
          <w:rtl/>
        </w:rPr>
        <w:t>נאשם 4</w:t>
      </w:r>
      <w:r w:rsidRPr="00BA5951">
        <w:rPr>
          <w:rFonts w:ascii="David" w:hAnsi="David" w:hint="cs"/>
          <w:rtl/>
        </w:rPr>
        <w:t xml:space="preserve">, נשוי ואב לשני ילדים, ללא עבר פלילי, עבד באופן מסודר כספר בטרם מעצרו, ובעקבות המעשים הפליליים עסקו נסגר. משפחתו חוותה טלטלה בעקבות מעצרו, והוא מסר על אודות תחושת הבושה שחש כלפיהם. נאשם 4 הודה גם הוא בכתב-אישום שתוקן לקולה.  </w:t>
      </w:r>
    </w:p>
    <w:p w14:paraId="031ADCE8" w14:textId="77777777" w:rsidR="00AA4D92" w:rsidRPr="00BA5951" w:rsidRDefault="00AA4D92" w:rsidP="00AA4D92">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Pr>
      </w:pPr>
    </w:p>
    <w:p w14:paraId="389953B9" w14:textId="77777777" w:rsidR="00AA4D92" w:rsidRPr="00BA5951" w:rsidRDefault="00AA4D92" w:rsidP="00AA4D92">
      <w:pPr>
        <w:numPr>
          <w:ilvl w:val="0"/>
          <w:numId w:val="1"/>
        </w:numPr>
        <w:spacing w:line="360" w:lineRule="auto"/>
        <w:contextualSpacing/>
        <w:jc w:val="both"/>
        <w:rPr>
          <w:rFonts w:ascii="David" w:hAnsi="David"/>
          <w:rtl/>
        </w:rPr>
      </w:pPr>
      <w:r w:rsidRPr="00BA5951">
        <w:rPr>
          <w:rFonts w:ascii="David" w:hAnsi="David" w:hint="cs"/>
          <w:rtl/>
        </w:rPr>
        <w:t>באי-כוח הנאשמים היפנו, בצדק, למחדלי החקירה והכשלים שהתגלו בהליכים שהתקיימו לפניי במסגרת בקשה לקבלת חומרי חקירה ועתירה לגילוי ראייה. כך, למשל, כשנה לאחר הגשת כתב-האישום התגלתה מעורבות יחידת עוקבים בתיק, שלא נמסרה להגנה (גם אם בתוצרים שהופקו לא עלה דבר שהיה בו כדי לסייע להגנה); חרף הצהרות התביעה כי אין בנמצא צילומים ממערכת "עין הנץ", הרי שבדיקות נוספות העלו קיומן של תמונות רלבנטיות מתוך המערכת, ואלו הועברו לבסוף להגנה וסייעו לגיבוש ההסדר הדיוני; מירב התמלילים הועברו להגנה באיחור רב (וחלקם טרם הועברו עד ליום זה).</w:t>
      </w:r>
    </w:p>
    <w:p w14:paraId="6D2DB6D3" w14:textId="77777777" w:rsidR="00AA4D92" w:rsidRPr="00BA5951" w:rsidRDefault="00AA4D92" w:rsidP="00AA4D92">
      <w:pPr>
        <w:spacing w:line="360" w:lineRule="auto"/>
        <w:ind w:left="720"/>
        <w:contextualSpacing/>
        <w:jc w:val="both"/>
        <w:rPr>
          <w:rFonts w:ascii="David" w:hAnsi="David"/>
        </w:rPr>
      </w:pPr>
    </w:p>
    <w:p w14:paraId="0DCBAC99" w14:textId="77777777" w:rsidR="00AA4D92" w:rsidRPr="00BA5951" w:rsidRDefault="00AA4D92" w:rsidP="00AA4D92">
      <w:pPr>
        <w:numPr>
          <w:ilvl w:val="0"/>
          <w:numId w:val="1"/>
        </w:numPr>
        <w:spacing w:line="360" w:lineRule="auto"/>
        <w:contextualSpacing/>
        <w:jc w:val="both"/>
        <w:rPr>
          <w:rFonts w:ascii="David" w:hAnsi="David"/>
        </w:rPr>
      </w:pPr>
      <w:r w:rsidRPr="00BA5951">
        <w:rPr>
          <w:rFonts w:ascii="David" w:hAnsi="David" w:hint="cs"/>
          <w:rtl/>
        </w:rPr>
        <w:t>לאור האמור, מקובלת עליי הטענה שיש ליתן משקל מוגבר להודאות הנאשמים בנסיבות אלו, שכן נחסך הליך שיפוטי מורכב, כמו גם זמנם של העדים ובאי-כוח הצדדים.</w:t>
      </w:r>
    </w:p>
    <w:p w14:paraId="59A92B71" w14:textId="77777777" w:rsidR="00AA4D92" w:rsidRPr="00BA5951" w:rsidRDefault="00AA4D92" w:rsidP="00AA4D92">
      <w:pPr>
        <w:spacing w:line="360" w:lineRule="auto"/>
        <w:ind w:left="720"/>
        <w:contextualSpacing/>
        <w:jc w:val="both"/>
        <w:rPr>
          <w:rFonts w:ascii="David" w:hAnsi="David"/>
        </w:rPr>
      </w:pPr>
    </w:p>
    <w:p w14:paraId="49F4814A" w14:textId="77777777" w:rsidR="00AA4D92" w:rsidRPr="00BA5951" w:rsidRDefault="00AA4D92" w:rsidP="00AA4D92">
      <w:pPr>
        <w:numPr>
          <w:ilvl w:val="0"/>
          <w:numId w:val="1"/>
        </w:numPr>
        <w:spacing w:line="360" w:lineRule="auto"/>
        <w:contextualSpacing/>
        <w:jc w:val="both"/>
        <w:rPr>
          <w:rFonts w:ascii="Calibri" w:eastAsia="Calibri" w:hAnsi="Calibri"/>
          <w:b/>
          <w:bCs/>
          <w:rtl/>
        </w:rPr>
      </w:pPr>
      <w:r w:rsidRPr="00BA5951">
        <w:rPr>
          <w:rFonts w:ascii="David" w:hAnsi="David" w:hint="cs"/>
          <w:rtl/>
        </w:rPr>
        <w:t xml:space="preserve">על כן, חרף מגמת ההחמרה המתחייבת, בכוונתי לגזור עונש כולל אשר יתן ביטוי לנתונים חריגים אלו – אם כי, כמובן, עדיין נדרשת אני להעביר מסר עונשי הרתעתי ברור לנאשמים ולאחרים שכמותם. לצורך הטלת העונש הכולל אציין, כי עונשם של נאשמים 1, 3 ו – 4 יהיה בזיקה לרף התחתון של המתחמים שנקבעו תוך חפיפה משמעותית בין העונשים הראויים בגין כל אירוע, ואילו עונשו של נאשם 2 ייגזר מעל הרף התחתון של המתחם שנקבע בעניינו. </w:t>
      </w:r>
    </w:p>
    <w:p w14:paraId="4410DBA9" w14:textId="77777777" w:rsidR="00AA4D92" w:rsidRPr="00BA5951" w:rsidRDefault="00AA4D92" w:rsidP="00AA4D92">
      <w:pPr>
        <w:spacing w:line="360" w:lineRule="auto"/>
        <w:ind w:left="-7"/>
        <w:jc w:val="center"/>
        <w:rPr>
          <w:rFonts w:ascii="David" w:hAnsi="David"/>
        </w:rPr>
      </w:pPr>
    </w:p>
    <w:p w14:paraId="55C7ABD3" w14:textId="77777777" w:rsidR="00AA4D92" w:rsidRPr="00BA5951" w:rsidRDefault="00AA4D92" w:rsidP="00AA4D92">
      <w:pPr>
        <w:numPr>
          <w:ilvl w:val="0"/>
          <w:numId w:val="1"/>
        </w:numPr>
        <w:spacing w:line="360" w:lineRule="auto"/>
        <w:contextualSpacing/>
        <w:jc w:val="both"/>
        <w:rPr>
          <w:rFonts w:ascii="Symbol" w:hAnsi="Symbol"/>
          <w:rtl/>
        </w:rPr>
      </w:pPr>
      <w:r w:rsidRPr="00BA5951">
        <w:rPr>
          <w:rFonts w:ascii="David" w:hAnsi="David" w:hint="cs"/>
          <w:rtl/>
        </w:rPr>
        <w:t>לאחר</w:t>
      </w:r>
      <w:r w:rsidRPr="00BA5951">
        <w:rPr>
          <w:rFonts w:ascii="Symbol" w:hAnsi="Symbol" w:hint="cs"/>
          <w:rtl/>
        </w:rPr>
        <w:t xml:space="preserve"> </w:t>
      </w:r>
      <w:r w:rsidRPr="00BA5951">
        <w:rPr>
          <w:rFonts w:ascii="David" w:hAnsi="David" w:hint="cs"/>
          <w:rtl/>
        </w:rPr>
        <w:t>ששקלתי</w:t>
      </w:r>
      <w:r w:rsidRPr="00BA5951">
        <w:rPr>
          <w:rFonts w:ascii="Symbol" w:hAnsi="Symbol" w:hint="cs"/>
          <w:rtl/>
        </w:rPr>
        <w:t xml:space="preserve"> את מכלול השיקולים לקולה ולחומרה, אני גוזרת את דינם של הנאשמים כדלקמן: </w:t>
      </w:r>
    </w:p>
    <w:p w14:paraId="681797CA" w14:textId="77777777" w:rsidR="00AA4D92" w:rsidRPr="00BA5951" w:rsidRDefault="00AA4D92" w:rsidP="00AA4D92">
      <w:pPr>
        <w:spacing w:line="360" w:lineRule="auto"/>
        <w:ind w:left="-7"/>
        <w:jc w:val="center"/>
        <w:rPr>
          <w:rFonts w:ascii="David" w:hAnsi="David"/>
          <w:rtl/>
        </w:rPr>
      </w:pPr>
    </w:p>
    <w:p w14:paraId="6C270DED" w14:textId="77777777" w:rsidR="00AA4D92" w:rsidRPr="00BA5951" w:rsidRDefault="00AA4D92" w:rsidP="00AA4D92">
      <w:pPr>
        <w:spacing w:line="360" w:lineRule="auto"/>
        <w:ind w:left="702"/>
        <w:jc w:val="both"/>
        <w:rPr>
          <w:rFonts w:ascii="David" w:hAnsi="David"/>
          <w:b/>
          <w:bCs/>
          <w:u w:val="single"/>
          <w:rtl/>
        </w:rPr>
      </w:pPr>
      <w:r w:rsidRPr="00BA5951">
        <w:rPr>
          <w:rFonts w:ascii="David" w:hAnsi="David" w:hint="cs"/>
          <w:b/>
          <w:bCs/>
          <w:u w:val="single"/>
          <w:rtl/>
        </w:rPr>
        <w:t>נאשם 1</w:t>
      </w:r>
    </w:p>
    <w:p w14:paraId="314E2C5E" w14:textId="77777777" w:rsidR="00AA4D92" w:rsidRPr="00BA5951" w:rsidRDefault="00AA4D92" w:rsidP="00AA4D92">
      <w:pPr>
        <w:spacing w:line="360" w:lineRule="auto"/>
        <w:ind w:left="702"/>
        <w:jc w:val="both"/>
        <w:rPr>
          <w:rFonts w:ascii="David" w:hAnsi="David"/>
          <w:b/>
          <w:bCs/>
          <w:u w:val="single"/>
          <w:rtl/>
        </w:rPr>
      </w:pPr>
    </w:p>
    <w:p w14:paraId="1F08E1F3" w14:textId="77777777" w:rsidR="00AA4D92" w:rsidRDefault="00AA4D92" w:rsidP="00AA4D92">
      <w:pPr>
        <w:spacing w:line="360" w:lineRule="auto"/>
        <w:ind w:left="702"/>
        <w:jc w:val="both"/>
        <w:rPr>
          <w:rFonts w:ascii="David" w:hAnsi="David"/>
          <w:rtl/>
        </w:rPr>
      </w:pPr>
      <w:r w:rsidRPr="00BA5951">
        <w:rPr>
          <w:rFonts w:ascii="David" w:hAnsi="David" w:hint="cs"/>
          <w:rtl/>
        </w:rPr>
        <w:t>45 חודשי מאסר בפועל מיום מעצרו: 26.1.21;</w:t>
      </w:r>
    </w:p>
    <w:p w14:paraId="32D0EBEA" w14:textId="77777777" w:rsidR="00AA4D92" w:rsidRPr="00BA5951" w:rsidRDefault="00AA4D92" w:rsidP="00AA4D92">
      <w:pPr>
        <w:spacing w:line="360" w:lineRule="auto"/>
        <w:ind w:left="702"/>
        <w:jc w:val="both"/>
        <w:rPr>
          <w:rFonts w:ascii="David" w:hAnsi="David"/>
          <w:rtl/>
        </w:rPr>
      </w:pPr>
    </w:p>
    <w:p w14:paraId="13F7322C"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 xml:space="preserve">12 חודשי מאסר על תנאי שלא יעבור בתוך 3 שנים מיום שחרורו עבירות נשק;   </w:t>
      </w:r>
    </w:p>
    <w:p w14:paraId="0D4C8460" w14:textId="77777777" w:rsidR="00AA4D92" w:rsidRPr="00BA5951" w:rsidRDefault="00AA4D92" w:rsidP="00AA4D92">
      <w:pPr>
        <w:spacing w:line="360" w:lineRule="auto"/>
        <w:ind w:left="713"/>
        <w:jc w:val="both"/>
        <w:rPr>
          <w:rFonts w:ascii="David" w:hAnsi="David"/>
          <w:rtl/>
        </w:rPr>
      </w:pPr>
    </w:p>
    <w:p w14:paraId="4B7F07CE" w14:textId="77777777" w:rsidR="00AA4D92" w:rsidRPr="00BA5951" w:rsidRDefault="00AA4D92" w:rsidP="00AA4D92">
      <w:pPr>
        <w:spacing w:line="360" w:lineRule="auto"/>
        <w:ind w:left="713"/>
        <w:jc w:val="both"/>
        <w:rPr>
          <w:rFonts w:ascii="David" w:hAnsi="David"/>
          <w:rtl/>
        </w:rPr>
      </w:pPr>
      <w:r w:rsidRPr="00BA5951">
        <w:rPr>
          <w:rFonts w:ascii="David" w:hAnsi="David" w:hint="cs"/>
          <w:rtl/>
        </w:rPr>
        <w:t>קנס בסך</w:t>
      </w:r>
      <w:r>
        <w:rPr>
          <w:rFonts w:ascii="David" w:hAnsi="David" w:hint="cs"/>
          <w:rtl/>
        </w:rPr>
        <w:t xml:space="preserve"> 7500 ש"ח או 75 ימי מאסר תמורתו לתשלום עד ליום 15.9.22.</w:t>
      </w:r>
    </w:p>
    <w:p w14:paraId="635B34C3" w14:textId="77777777" w:rsidR="00AA4D92" w:rsidRPr="00BA5951" w:rsidRDefault="00AA4D92" w:rsidP="00AA4D92">
      <w:pPr>
        <w:spacing w:line="360" w:lineRule="auto"/>
        <w:ind w:left="713"/>
        <w:jc w:val="both"/>
        <w:rPr>
          <w:rFonts w:ascii="David" w:hAnsi="David"/>
          <w:rtl/>
        </w:rPr>
      </w:pPr>
    </w:p>
    <w:p w14:paraId="3D040F41" w14:textId="77777777" w:rsidR="00AA4D92" w:rsidRPr="00BA5951" w:rsidRDefault="00AA4D92" w:rsidP="00AA4D92">
      <w:pPr>
        <w:spacing w:line="360" w:lineRule="auto"/>
        <w:ind w:left="713"/>
        <w:jc w:val="both"/>
        <w:rPr>
          <w:rFonts w:ascii="David" w:hAnsi="David"/>
          <w:b/>
          <w:bCs/>
          <w:u w:val="single"/>
          <w:rtl/>
        </w:rPr>
      </w:pPr>
      <w:r w:rsidRPr="00BA5951">
        <w:rPr>
          <w:rFonts w:ascii="David" w:hAnsi="David" w:hint="cs"/>
          <w:b/>
          <w:bCs/>
          <w:u w:val="single"/>
          <w:rtl/>
        </w:rPr>
        <w:t>נאשם 2</w:t>
      </w:r>
    </w:p>
    <w:p w14:paraId="5FCA1876" w14:textId="77777777" w:rsidR="00AA4D92" w:rsidRPr="00BA5951" w:rsidRDefault="00AA4D92" w:rsidP="00AA4D92">
      <w:pPr>
        <w:spacing w:line="360" w:lineRule="auto"/>
        <w:ind w:left="713"/>
        <w:jc w:val="both"/>
        <w:rPr>
          <w:rFonts w:ascii="David" w:hAnsi="David"/>
          <w:b/>
          <w:bCs/>
          <w:u w:val="single"/>
          <w:rtl/>
        </w:rPr>
      </w:pPr>
    </w:p>
    <w:p w14:paraId="67195DA0" w14:textId="77777777" w:rsidR="00AA4D92" w:rsidRPr="00BA5951" w:rsidRDefault="00AA4D92" w:rsidP="00AA4D92">
      <w:pPr>
        <w:spacing w:line="360" w:lineRule="auto"/>
        <w:ind w:left="713"/>
        <w:jc w:val="both"/>
        <w:rPr>
          <w:rFonts w:ascii="David" w:hAnsi="David"/>
          <w:rtl/>
        </w:rPr>
      </w:pPr>
      <w:r w:rsidRPr="00BA5951">
        <w:rPr>
          <w:rFonts w:ascii="David" w:hAnsi="David" w:hint="cs"/>
          <w:rtl/>
        </w:rPr>
        <w:t>1</w:t>
      </w:r>
      <w:r>
        <w:rPr>
          <w:rFonts w:ascii="David" w:hAnsi="David" w:hint="cs"/>
          <w:rtl/>
        </w:rPr>
        <w:t>3</w:t>
      </w:r>
      <w:r w:rsidRPr="00BA5951">
        <w:rPr>
          <w:rFonts w:ascii="David" w:hAnsi="David" w:hint="cs"/>
          <w:rtl/>
        </w:rPr>
        <w:t xml:space="preserve"> חודשי מאסר בפועל מיום מעצרו: 26.1.21; </w:t>
      </w:r>
    </w:p>
    <w:p w14:paraId="5329BF81" w14:textId="77777777" w:rsidR="00AA4D92" w:rsidRPr="00BA5951" w:rsidRDefault="00AA4D92" w:rsidP="00AA4D92">
      <w:pPr>
        <w:spacing w:line="360" w:lineRule="auto"/>
        <w:ind w:left="713"/>
        <w:jc w:val="both"/>
        <w:rPr>
          <w:rFonts w:ascii="David" w:hAnsi="David"/>
          <w:rtl/>
        </w:rPr>
      </w:pPr>
    </w:p>
    <w:p w14:paraId="03A4A5C9" w14:textId="77777777" w:rsidR="00AA4D92" w:rsidRPr="00BA5951" w:rsidRDefault="00AA4D92" w:rsidP="00AA4D92">
      <w:pPr>
        <w:spacing w:line="360" w:lineRule="auto"/>
        <w:ind w:left="713"/>
        <w:jc w:val="both"/>
        <w:rPr>
          <w:rFonts w:ascii="David" w:hAnsi="David"/>
          <w:rtl/>
        </w:rPr>
      </w:pPr>
      <w:r w:rsidRPr="00BA5951">
        <w:rPr>
          <w:rFonts w:ascii="David" w:hAnsi="David" w:hint="cs"/>
          <w:rtl/>
        </w:rPr>
        <w:t>אני מורה על הפעלת מאסר על תנאי בן ה – 7 חודשים שהוטל על הנאשם ב</w:t>
      </w:r>
      <w:hyperlink r:id="rId82" w:history="1">
        <w:r w:rsidR="00C03507" w:rsidRPr="00C03507">
          <w:rPr>
            <w:rFonts w:ascii="David" w:hAnsi="David"/>
            <w:color w:val="0000FF"/>
            <w:u w:val="single"/>
            <w:rtl/>
          </w:rPr>
          <w:t>ת"פ (מחוזי חיפה) 31811-11-19</w:t>
        </w:r>
      </w:hyperlink>
      <w:r w:rsidRPr="00BA5951">
        <w:rPr>
          <w:rFonts w:ascii="David" w:hAnsi="David" w:hint="cs"/>
          <w:rtl/>
        </w:rPr>
        <w:t xml:space="preserve"> מיום 27.2.20, בחופף ובמצטבר, </w:t>
      </w:r>
      <w:r w:rsidRPr="00BA5951">
        <w:rPr>
          <w:rFonts w:ascii="David" w:hAnsi="David" w:hint="cs"/>
          <w:b/>
          <w:bCs/>
          <w:rtl/>
        </w:rPr>
        <w:t>כך שסך הכל ישא הנאשם 1</w:t>
      </w:r>
      <w:r>
        <w:rPr>
          <w:rFonts w:ascii="David" w:hAnsi="David" w:hint="cs"/>
          <w:b/>
          <w:bCs/>
          <w:rtl/>
        </w:rPr>
        <w:t>6</w:t>
      </w:r>
      <w:r w:rsidRPr="00BA5951">
        <w:rPr>
          <w:rFonts w:ascii="David" w:hAnsi="David" w:hint="cs"/>
          <w:b/>
          <w:bCs/>
          <w:rtl/>
        </w:rPr>
        <w:t xml:space="preserve"> חודשי מאסר בפועל מיום מעצרו; </w:t>
      </w:r>
    </w:p>
    <w:p w14:paraId="5E78D567" w14:textId="77777777" w:rsidR="00AA4D92" w:rsidRPr="00BA5951" w:rsidRDefault="00AA4D92" w:rsidP="00AA4D92">
      <w:pPr>
        <w:spacing w:line="360" w:lineRule="auto"/>
        <w:ind w:left="713"/>
        <w:jc w:val="both"/>
        <w:rPr>
          <w:rFonts w:ascii="David" w:hAnsi="David"/>
          <w:rtl/>
        </w:rPr>
      </w:pPr>
    </w:p>
    <w:p w14:paraId="5C9FB1E6" w14:textId="77777777" w:rsidR="00AA4D92" w:rsidRPr="00BA5951" w:rsidRDefault="00AA4D92" w:rsidP="00AA4D92">
      <w:pPr>
        <w:spacing w:line="360" w:lineRule="auto"/>
        <w:ind w:left="713"/>
        <w:jc w:val="both"/>
        <w:rPr>
          <w:rFonts w:ascii="David" w:hAnsi="David"/>
          <w:rtl/>
        </w:rPr>
      </w:pPr>
      <w:r w:rsidRPr="00BA5951">
        <w:rPr>
          <w:rFonts w:ascii="David" w:hAnsi="David" w:hint="cs"/>
          <w:rtl/>
        </w:rPr>
        <w:t>12 חודשי מאסר על תנאי, שלא יעבור בתוך 3 שנים מיום שחרורו עבירות נשק;</w:t>
      </w:r>
    </w:p>
    <w:p w14:paraId="7578AA74" w14:textId="77777777" w:rsidR="00AA4D92" w:rsidRPr="00BA5951" w:rsidRDefault="00AA4D92" w:rsidP="00AA4D92">
      <w:pPr>
        <w:spacing w:line="360" w:lineRule="auto"/>
        <w:ind w:left="713"/>
        <w:jc w:val="both"/>
        <w:rPr>
          <w:rFonts w:ascii="David" w:hAnsi="David"/>
          <w:rtl/>
        </w:rPr>
      </w:pPr>
    </w:p>
    <w:p w14:paraId="3130258B" w14:textId="77777777" w:rsidR="00AA4D92" w:rsidRPr="00BA5951" w:rsidRDefault="00AA4D92" w:rsidP="00AA4D92">
      <w:pPr>
        <w:spacing w:line="360" w:lineRule="auto"/>
        <w:ind w:left="713"/>
        <w:jc w:val="both"/>
        <w:rPr>
          <w:rFonts w:ascii="David" w:hAnsi="David"/>
          <w:rtl/>
        </w:rPr>
      </w:pPr>
      <w:r w:rsidRPr="00BA5951">
        <w:rPr>
          <w:rFonts w:ascii="David" w:hAnsi="David" w:hint="cs"/>
          <w:rtl/>
        </w:rPr>
        <w:t>קנס ב</w:t>
      </w:r>
      <w:r>
        <w:rPr>
          <w:rFonts w:ascii="David" w:hAnsi="David" w:hint="cs"/>
          <w:rtl/>
        </w:rPr>
        <w:t>סך 5000 ₪ או 50 ימי מאסר תמורתו לתשלום עד ליום 15.9.22.</w:t>
      </w:r>
      <w:r w:rsidRPr="00BA5951">
        <w:rPr>
          <w:rFonts w:ascii="David" w:hAnsi="David" w:hint="cs"/>
          <w:rtl/>
        </w:rPr>
        <w:t xml:space="preserve"> </w:t>
      </w:r>
    </w:p>
    <w:p w14:paraId="1F1D13A6" w14:textId="77777777" w:rsidR="00AA4D92" w:rsidRPr="00BA5951" w:rsidRDefault="00AA4D92" w:rsidP="00AA4D92">
      <w:pPr>
        <w:spacing w:line="360" w:lineRule="auto"/>
        <w:ind w:left="713"/>
        <w:jc w:val="both"/>
        <w:rPr>
          <w:rFonts w:ascii="David" w:hAnsi="David"/>
          <w:rtl/>
        </w:rPr>
      </w:pPr>
    </w:p>
    <w:p w14:paraId="39878C17" w14:textId="77777777" w:rsidR="00AA4D92" w:rsidRPr="00BA5951" w:rsidRDefault="00AA4D92" w:rsidP="00AA4D92">
      <w:pPr>
        <w:spacing w:line="360" w:lineRule="auto"/>
        <w:ind w:left="713"/>
        <w:jc w:val="both"/>
        <w:rPr>
          <w:rFonts w:ascii="David" w:hAnsi="David"/>
          <w:b/>
          <w:bCs/>
          <w:u w:val="single"/>
          <w:rtl/>
        </w:rPr>
      </w:pPr>
      <w:r w:rsidRPr="00BA5951">
        <w:rPr>
          <w:rFonts w:ascii="David" w:hAnsi="David" w:hint="cs"/>
          <w:b/>
          <w:bCs/>
          <w:u w:val="single"/>
          <w:rtl/>
        </w:rPr>
        <w:t>נאשם 3</w:t>
      </w:r>
    </w:p>
    <w:p w14:paraId="20161E75" w14:textId="77777777" w:rsidR="00AA4D92" w:rsidRPr="00BA5951" w:rsidRDefault="00AA4D92" w:rsidP="00AA4D92">
      <w:pPr>
        <w:spacing w:line="360" w:lineRule="auto"/>
        <w:ind w:left="713"/>
        <w:jc w:val="both"/>
        <w:rPr>
          <w:rFonts w:ascii="David" w:hAnsi="David"/>
          <w:b/>
          <w:bCs/>
          <w:u w:val="single"/>
          <w:rtl/>
        </w:rPr>
      </w:pPr>
    </w:p>
    <w:p w14:paraId="0B9B28A7" w14:textId="77777777" w:rsidR="00AA4D92" w:rsidRPr="00BA5951" w:rsidRDefault="00AA4D92" w:rsidP="00AA4D92">
      <w:pPr>
        <w:spacing w:line="360" w:lineRule="auto"/>
        <w:ind w:left="713"/>
        <w:jc w:val="both"/>
        <w:rPr>
          <w:rFonts w:ascii="David" w:hAnsi="David"/>
          <w:rtl/>
        </w:rPr>
      </w:pPr>
      <w:r w:rsidRPr="00BA5951">
        <w:rPr>
          <w:rFonts w:ascii="David" w:hAnsi="David" w:hint="cs"/>
          <w:rtl/>
        </w:rPr>
        <w:t>30 חודשי מאסר בפועל מיום מעצרו: 26.1.21;</w:t>
      </w:r>
    </w:p>
    <w:p w14:paraId="5A734058" w14:textId="77777777" w:rsidR="00AA4D92" w:rsidRPr="00BA5951" w:rsidRDefault="00AA4D92" w:rsidP="00AA4D92">
      <w:pPr>
        <w:spacing w:line="360" w:lineRule="auto"/>
        <w:ind w:left="713"/>
        <w:jc w:val="both"/>
        <w:rPr>
          <w:rFonts w:ascii="David" w:hAnsi="David"/>
          <w:rtl/>
        </w:rPr>
      </w:pPr>
    </w:p>
    <w:p w14:paraId="12785A38"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 xml:space="preserve">12 חודשי מאסר על תנאי שלא יעבור בתוך 3 שנים מיום שחרורו עבירות נשק; </w:t>
      </w:r>
    </w:p>
    <w:p w14:paraId="2E29DF8D" w14:textId="77777777" w:rsidR="00AA4D92" w:rsidRPr="00BA5951" w:rsidRDefault="00AA4D92" w:rsidP="00AA4D92">
      <w:pPr>
        <w:spacing w:line="360" w:lineRule="auto"/>
        <w:ind w:left="713"/>
        <w:jc w:val="both"/>
        <w:rPr>
          <w:rFonts w:ascii="David" w:hAnsi="David"/>
          <w:rtl/>
        </w:rPr>
      </w:pPr>
    </w:p>
    <w:p w14:paraId="1771E976" w14:textId="77777777" w:rsidR="00AA4D92" w:rsidRPr="00BA5951" w:rsidRDefault="00AA4D92" w:rsidP="00AA4D92">
      <w:pPr>
        <w:spacing w:line="360" w:lineRule="auto"/>
        <w:ind w:left="713"/>
        <w:jc w:val="both"/>
        <w:rPr>
          <w:rFonts w:ascii="David" w:hAnsi="David"/>
          <w:rtl/>
        </w:rPr>
      </w:pPr>
      <w:r w:rsidRPr="00BA5951">
        <w:rPr>
          <w:rFonts w:ascii="David" w:hAnsi="David" w:hint="cs"/>
          <w:rtl/>
        </w:rPr>
        <w:t>קנס בסך</w:t>
      </w:r>
      <w:r>
        <w:rPr>
          <w:rFonts w:ascii="David" w:hAnsi="David" w:hint="cs"/>
          <w:rtl/>
        </w:rPr>
        <w:t xml:space="preserve"> 6000 ש"ח או 60 ימי מאסר תמורתו לתשלום עד ליום 15.9.22.</w:t>
      </w:r>
    </w:p>
    <w:p w14:paraId="0816010D" w14:textId="77777777" w:rsidR="00AA4D92" w:rsidRPr="00BA5951" w:rsidRDefault="00AA4D92" w:rsidP="00AA4D92">
      <w:pPr>
        <w:spacing w:line="360" w:lineRule="auto"/>
        <w:ind w:left="713"/>
        <w:jc w:val="both"/>
        <w:rPr>
          <w:rFonts w:ascii="David" w:hAnsi="David"/>
          <w:rtl/>
        </w:rPr>
      </w:pPr>
    </w:p>
    <w:p w14:paraId="4F331781" w14:textId="77777777" w:rsidR="00AA4D92" w:rsidRPr="00BA5951" w:rsidRDefault="00AA4D92" w:rsidP="00AA4D92">
      <w:pPr>
        <w:spacing w:line="360" w:lineRule="auto"/>
        <w:ind w:left="713"/>
        <w:jc w:val="both"/>
        <w:rPr>
          <w:rFonts w:ascii="David" w:hAnsi="David"/>
          <w:b/>
          <w:bCs/>
          <w:u w:val="single"/>
          <w:rtl/>
        </w:rPr>
      </w:pPr>
      <w:r w:rsidRPr="00BA5951">
        <w:rPr>
          <w:rFonts w:ascii="David" w:hAnsi="David" w:hint="cs"/>
          <w:b/>
          <w:bCs/>
          <w:u w:val="single"/>
          <w:rtl/>
        </w:rPr>
        <w:t>נאשם 4</w:t>
      </w:r>
    </w:p>
    <w:p w14:paraId="76198A26" w14:textId="77777777" w:rsidR="00AA4D92" w:rsidRPr="00BA5951" w:rsidRDefault="00AA4D92" w:rsidP="00AA4D92">
      <w:pPr>
        <w:spacing w:line="360" w:lineRule="auto"/>
        <w:ind w:left="713"/>
        <w:jc w:val="both"/>
        <w:rPr>
          <w:rFonts w:ascii="David" w:hAnsi="David"/>
          <w:b/>
          <w:bCs/>
          <w:u w:val="single"/>
          <w:rtl/>
        </w:rPr>
      </w:pPr>
    </w:p>
    <w:p w14:paraId="4CD5CF49" w14:textId="77777777" w:rsidR="00AA4D92" w:rsidRPr="00BA5951" w:rsidRDefault="00AA4D92" w:rsidP="00AA4D92">
      <w:pPr>
        <w:spacing w:line="360" w:lineRule="auto"/>
        <w:ind w:left="713"/>
        <w:jc w:val="both"/>
        <w:rPr>
          <w:rFonts w:ascii="David" w:hAnsi="David"/>
          <w:rtl/>
        </w:rPr>
      </w:pPr>
      <w:r w:rsidRPr="00BA5951">
        <w:rPr>
          <w:rFonts w:ascii="David" w:hAnsi="David" w:hint="cs"/>
          <w:rtl/>
        </w:rPr>
        <w:t xml:space="preserve">18 חודשי מאסר בפועל מיום מעצרו: 11.2.21; </w:t>
      </w:r>
    </w:p>
    <w:p w14:paraId="417E0A8C" w14:textId="77777777" w:rsidR="00AA4D92" w:rsidRPr="00BA5951" w:rsidRDefault="00AA4D92" w:rsidP="00AA4D92">
      <w:pPr>
        <w:spacing w:line="360" w:lineRule="auto"/>
        <w:ind w:left="713"/>
        <w:jc w:val="both"/>
        <w:rPr>
          <w:rFonts w:ascii="David" w:hAnsi="David"/>
          <w:rtl/>
        </w:rPr>
      </w:pPr>
    </w:p>
    <w:p w14:paraId="1B676D56" w14:textId="77777777" w:rsidR="00AA4D92" w:rsidRPr="00BA5951" w:rsidRDefault="00AA4D92" w:rsidP="00AA4D92">
      <w:pPr>
        <w:spacing w:line="360" w:lineRule="auto"/>
        <w:ind w:left="720"/>
        <w:jc w:val="both"/>
        <w:rPr>
          <w:rFonts w:ascii="David" w:hAnsi="David"/>
          <w:rtl/>
        </w:rPr>
      </w:pPr>
      <w:r w:rsidRPr="00BA5951">
        <w:rPr>
          <w:rFonts w:ascii="David" w:hAnsi="David" w:hint="cs"/>
          <w:rtl/>
        </w:rPr>
        <w:t xml:space="preserve">12 חודשי מאסר על תנאי שלא יעבור בתוך 3 שנים מיום שחרורו עבירות נשק; </w:t>
      </w:r>
    </w:p>
    <w:p w14:paraId="69DA32DD" w14:textId="77777777" w:rsidR="00AA4D92" w:rsidRPr="00BA5951" w:rsidRDefault="00AA4D92" w:rsidP="00AA4D92">
      <w:pPr>
        <w:spacing w:line="360" w:lineRule="auto"/>
        <w:ind w:left="713"/>
        <w:jc w:val="both"/>
        <w:rPr>
          <w:rFonts w:ascii="David" w:hAnsi="David"/>
          <w:rtl/>
        </w:rPr>
      </w:pPr>
    </w:p>
    <w:p w14:paraId="72DE3215" w14:textId="77777777" w:rsidR="00AA4D92" w:rsidRPr="00BA5951" w:rsidRDefault="00AA4D92" w:rsidP="00AA4D92">
      <w:pPr>
        <w:spacing w:line="360" w:lineRule="auto"/>
        <w:ind w:left="713"/>
        <w:jc w:val="both"/>
        <w:rPr>
          <w:rFonts w:ascii="David" w:hAnsi="David"/>
          <w:rtl/>
        </w:rPr>
      </w:pPr>
      <w:r w:rsidRPr="00BA5951">
        <w:rPr>
          <w:rFonts w:ascii="David" w:hAnsi="David" w:hint="cs"/>
          <w:rtl/>
        </w:rPr>
        <w:t>קנס בסך 5000 ש"ח או 50 י</w:t>
      </w:r>
      <w:r>
        <w:rPr>
          <w:rFonts w:ascii="David" w:hAnsi="David" w:hint="cs"/>
          <w:rtl/>
        </w:rPr>
        <w:t>מי מאסר תמורתו לתשלום עד ליום 15.9.22.</w:t>
      </w:r>
    </w:p>
    <w:p w14:paraId="51343BC0" w14:textId="77777777" w:rsidR="00AA4D92" w:rsidRPr="00BA5951" w:rsidRDefault="00AA4D92" w:rsidP="00AA4D92">
      <w:pPr>
        <w:spacing w:line="360" w:lineRule="auto"/>
        <w:ind w:left="713"/>
        <w:jc w:val="both"/>
        <w:rPr>
          <w:rFonts w:ascii="David" w:hAnsi="David"/>
          <w:rtl/>
        </w:rPr>
      </w:pPr>
    </w:p>
    <w:p w14:paraId="5BE512C9" w14:textId="77777777" w:rsidR="00AA4D92" w:rsidRPr="00BA5951" w:rsidRDefault="00AA4D92" w:rsidP="00AA4D92">
      <w:pPr>
        <w:spacing w:line="360" w:lineRule="auto"/>
        <w:jc w:val="both"/>
        <w:rPr>
          <w:rFonts w:ascii="David" w:hAnsi="David"/>
          <w:rtl/>
        </w:rPr>
      </w:pPr>
      <w:r w:rsidRPr="00BA5951">
        <w:rPr>
          <w:rFonts w:ascii="David" w:hAnsi="David" w:hint="cs"/>
          <w:rtl/>
        </w:rPr>
        <w:t xml:space="preserve">בהעדר מחלוקת, מורה על חילוט רכב ה – </w:t>
      </w:r>
      <w:r w:rsidRPr="00BA5951">
        <w:rPr>
          <w:rFonts w:ascii="David" w:hAnsi="David"/>
        </w:rPr>
        <w:t>BMW</w:t>
      </w:r>
      <w:r w:rsidRPr="00BA5951">
        <w:rPr>
          <w:rFonts w:ascii="David" w:hAnsi="David" w:hint="cs"/>
          <w:rtl/>
        </w:rPr>
        <w:t>, מ.ר. 90-881-54, בבעלותו של הנאשם 1, אשר שימש את הנאשמים כאמצעי לביצוע העבירות.</w:t>
      </w:r>
    </w:p>
    <w:p w14:paraId="7E0E8148" w14:textId="77777777" w:rsidR="00AA4D92" w:rsidRPr="00F66AC5" w:rsidRDefault="00AA4D92" w:rsidP="00AA4D92">
      <w:pPr>
        <w:spacing w:line="360" w:lineRule="auto"/>
        <w:jc w:val="both"/>
        <w:rPr>
          <w:rFonts w:ascii="David" w:hAnsi="David"/>
          <w:rtl/>
        </w:rPr>
      </w:pPr>
      <w:r>
        <w:rPr>
          <w:rFonts w:ascii="David" w:hAnsi="David" w:hint="cs"/>
          <w:rtl/>
        </w:rPr>
        <w:t xml:space="preserve">צו להשמדת/חילוט הנשקים לשיקול-דעת המשטרה; כל החפצים האישיים שנתפסו על הנאשמים ובתוך רכב ה - </w:t>
      </w:r>
      <w:r>
        <w:rPr>
          <w:rFonts w:ascii="David" w:hAnsi="David" w:hint="cs"/>
        </w:rPr>
        <w:t>BMW</w:t>
      </w:r>
      <w:r>
        <w:rPr>
          <w:rFonts w:ascii="David" w:hAnsi="David" w:hint="cs"/>
          <w:rtl/>
        </w:rPr>
        <w:t xml:space="preserve"> והרכב הנוסף </w:t>
      </w:r>
      <w:r>
        <w:rPr>
          <w:rFonts w:ascii="David" w:hAnsi="David"/>
          <w:rtl/>
        </w:rPr>
        <w:t>–</w:t>
      </w:r>
      <w:r>
        <w:rPr>
          <w:rFonts w:ascii="David" w:hAnsi="David" w:hint="cs"/>
          <w:rtl/>
        </w:rPr>
        <w:t xml:space="preserve"> לרבות פלאפונים, יוחזרו לנאשמים.</w:t>
      </w:r>
    </w:p>
    <w:p w14:paraId="0D82A650" w14:textId="77777777" w:rsidR="00AA4D92" w:rsidRDefault="00AA4D92" w:rsidP="00AA4D92">
      <w:pPr>
        <w:spacing w:line="360" w:lineRule="auto"/>
        <w:ind w:left="-7"/>
        <w:jc w:val="both"/>
        <w:rPr>
          <w:rFonts w:ascii="David" w:hAnsi="David"/>
          <w:b/>
          <w:bCs/>
          <w:u w:val="single"/>
          <w:rtl/>
        </w:rPr>
      </w:pPr>
    </w:p>
    <w:p w14:paraId="683307FA" w14:textId="77777777" w:rsidR="00AA4D92" w:rsidRDefault="00AA4D92" w:rsidP="00AA4D92">
      <w:pPr>
        <w:spacing w:line="360" w:lineRule="auto"/>
        <w:ind w:left="-7"/>
        <w:jc w:val="both"/>
        <w:rPr>
          <w:rFonts w:ascii="David" w:hAnsi="David"/>
          <w:b/>
          <w:bCs/>
          <w:u w:val="single"/>
          <w:rtl/>
        </w:rPr>
      </w:pPr>
    </w:p>
    <w:p w14:paraId="08C5F583" w14:textId="77777777" w:rsidR="00AA4D92" w:rsidRPr="00BA5951" w:rsidRDefault="00AA4D92" w:rsidP="00AA4D92">
      <w:pPr>
        <w:spacing w:line="360" w:lineRule="auto"/>
        <w:ind w:left="-7"/>
        <w:jc w:val="both"/>
        <w:rPr>
          <w:rFonts w:ascii="David" w:hAnsi="David"/>
          <w:b/>
          <w:bCs/>
          <w:u w:val="single"/>
          <w:rtl/>
        </w:rPr>
      </w:pPr>
      <w:r w:rsidRPr="00BA5951">
        <w:rPr>
          <w:rFonts w:ascii="David" w:hAnsi="David" w:hint="cs"/>
          <w:b/>
          <w:bCs/>
          <w:u w:val="single"/>
          <w:rtl/>
        </w:rPr>
        <w:t xml:space="preserve">הודעה זכות ערעור לבית-המשפט העליון תוך 45 יום. </w:t>
      </w:r>
    </w:p>
    <w:p w14:paraId="2D686773" w14:textId="77777777" w:rsidR="00AA4D92" w:rsidRPr="00C03507" w:rsidRDefault="00C03507" w:rsidP="00AA4D92">
      <w:pPr>
        <w:rPr>
          <w:color w:val="FFFFFF"/>
          <w:sz w:val="2"/>
          <w:szCs w:val="2"/>
          <w:rtl/>
        </w:rPr>
      </w:pPr>
      <w:r w:rsidRPr="00C03507">
        <w:rPr>
          <w:color w:val="FFFFFF"/>
          <w:sz w:val="2"/>
          <w:szCs w:val="2"/>
          <w:rtl/>
        </w:rPr>
        <w:t>5129371</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A4D92" w14:paraId="7FC9A3DA" w14:textId="77777777" w:rsidTr="00AA4D92">
        <w:trPr>
          <w:trHeight w:val="355"/>
          <w:jc w:val="center"/>
        </w:trPr>
        <w:tc>
          <w:tcPr>
            <w:tcW w:w="8820" w:type="dxa"/>
            <w:tcBorders>
              <w:top w:val="nil"/>
              <w:left w:val="nil"/>
              <w:bottom w:val="nil"/>
              <w:right w:val="nil"/>
            </w:tcBorders>
            <w:shd w:val="clear" w:color="auto" w:fill="auto"/>
          </w:tcPr>
          <w:p w14:paraId="19557DD9" w14:textId="77777777" w:rsidR="00AA4D92" w:rsidRPr="00C03507" w:rsidRDefault="00C03507" w:rsidP="00AA4D92">
            <w:pPr>
              <w:jc w:val="center"/>
              <w:rPr>
                <w:rFonts w:ascii="David" w:hAnsi="David"/>
                <w:color w:val="FFFFFF"/>
                <w:sz w:val="2"/>
                <w:szCs w:val="2"/>
                <w:u w:val="single"/>
                <w:rtl/>
              </w:rPr>
            </w:pPr>
            <w:r w:rsidRPr="00C03507">
              <w:rPr>
                <w:rFonts w:ascii="David" w:hAnsi="David"/>
                <w:color w:val="FFFFFF"/>
                <w:sz w:val="2"/>
                <w:szCs w:val="2"/>
                <w:u w:val="single"/>
                <w:rtl/>
              </w:rPr>
              <w:t>54678313</w:t>
            </w:r>
          </w:p>
        </w:tc>
      </w:tr>
    </w:tbl>
    <w:p w14:paraId="759FE0F9" w14:textId="77777777" w:rsidR="00AA4D92" w:rsidRPr="000F2247" w:rsidRDefault="00C03507" w:rsidP="00AA4D92">
      <w:pPr>
        <w:rPr>
          <w:rFonts w:ascii="Arial" w:hAnsi="Arial"/>
          <w:b/>
          <w:bCs/>
          <w:sz w:val="26"/>
          <w:szCs w:val="26"/>
          <w:rtl/>
        </w:rPr>
      </w:pPr>
      <w:bookmarkStart w:id="8" w:name="Nitan"/>
      <w:r>
        <w:rPr>
          <w:rFonts w:ascii="Arial" w:hAnsi="Arial"/>
          <w:b/>
          <w:bCs/>
          <w:sz w:val="26"/>
          <w:szCs w:val="26"/>
          <w:rtl/>
        </w:rPr>
        <w:t xml:space="preserve">ניתן היום,  י"ב ניסן תשפ"ב, 13 אפריל 2022, במעמד הנוכחים. </w:t>
      </w:r>
      <w:bookmarkEnd w:id="8"/>
    </w:p>
    <w:p w14:paraId="11869730" w14:textId="77777777" w:rsidR="00AA4D92" w:rsidRPr="000F2247" w:rsidRDefault="00AA4D92" w:rsidP="00C0350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362C11C" w14:textId="77777777" w:rsidR="00AA4D92" w:rsidRPr="008429B1" w:rsidRDefault="008429B1" w:rsidP="00AA4D92">
      <w:pPr>
        <w:jc w:val="center"/>
        <w:rPr>
          <w:rFonts w:ascii="Arial" w:hAnsi="Arial"/>
          <w:b/>
          <w:bCs/>
          <w:color w:val="FFFFFF"/>
          <w:sz w:val="2"/>
          <w:szCs w:val="2"/>
          <w:rtl/>
        </w:rPr>
      </w:pPr>
      <w:r w:rsidRPr="008429B1">
        <w:rPr>
          <w:rFonts w:ascii="Arial" w:hAnsi="Arial"/>
          <w:b/>
          <w:bCs/>
          <w:color w:val="FFFFFF"/>
          <w:sz w:val="2"/>
          <w:szCs w:val="2"/>
          <w:rtl/>
        </w:rPr>
        <w:t>5129371</w:t>
      </w:r>
    </w:p>
    <w:p w14:paraId="2E97439D" w14:textId="77777777" w:rsidR="00DB2488" w:rsidRPr="008429B1" w:rsidRDefault="008429B1" w:rsidP="00C03507">
      <w:pPr>
        <w:keepNext/>
        <w:rPr>
          <w:rFonts w:ascii="David" w:hAnsi="David"/>
          <w:color w:val="FFFFFF"/>
          <w:sz w:val="2"/>
          <w:szCs w:val="2"/>
          <w:rtl/>
        </w:rPr>
      </w:pPr>
      <w:r w:rsidRPr="008429B1">
        <w:rPr>
          <w:rFonts w:ascii="David" w:hAnsi="David"/>
          <w:color w:val="FFFFFF"/>
          <w:sz w:val="2"/>
          <w:szCs w:val="2"/>
          <w:rtl/>
        </w:rPr>
        <w:t>54678313</w:t>
      </w:r>
    </w:p>
    <w:p w14:paraId="7C099BFF" w14:textId="77777777" w:rsidR="00C03507" w:rsidRDefault="00C03507" w:rsidP="00C03507">
      <w:pPr>
        <w:rPr>
          <w:rtl/>
        </w:rPr>
      </w:pPr>
    </w:p>
    <w:p w14:paraId="17B28E29" w14:textId="77777777" w:rsidR="00C03507" w:rsidRDefault="00C03507" w:rsidP="00C03507">
      <w:pPr>
        <w:jc w:val="center"/>
        <w:rPr>
          <w:color w:val="0000FF"/>
          <w:u w:val="single"/>
        </w:rPr>
      </w:pPr>
      <w:hyperlink r:id="rId83" w:history="1">
        <w:r>
          <w:rPr>
            <w:color w:val="0000FF"/>
            <w:u w:val="single"/>
            <w:rtl/>
          </w:rPr>
          <w:t>בעניין עריכה ושינויים במסמכי פסיקה, חקיקה ועוד באתר נבו – הקש כאן</w:t>
        </w:r>
      </w:hyperlink>
    </w:p>
    <w:p w14:paraId="38046C93" w14:textId="77777777" w:rsidR="008429B1" w:rsidRPr="008429B1" w:rsidRDefault="008429B1" w:rsidP="008429B1">
      <w:pPr>
        <w:keepNext/>
        <w:rPr>
          <w:rFonts w:ascii="David" w:hAnsi="David"/>
          <w:color w:val="000000"/>
          <w:sz w:val="22"/>
          <w:szCs w:val="22"/>
          <w:rtl/>
        </w:rPr>
      </w:pPr>
    </w:p>
    <w:p w14:paraId="1CC6074A" w14:textId="77777777" w:rsidR="008429B1" w:rsidRPr="008429B1" w:rsidRDefault="008429B1" w:rsidP="008429B1">
      <w:pPr>
        <w:keepNext/>
        <w:rPr>
          <w:rFonts w:ascii="David" w:hAnsi="David"/>
          <w:color w:val="000000"/>
          <w:sz w:val="22"/>
          <w:szCs w:val="22"/>
          <w:rtl/>
        </w:rPr>
      </w:pPr>
      <w:r w:rsidRPr="008429B1">
        <w:rPr>
          <w:rFonts w:ascii="David" w:hAnsi="David"/>
          <w:color w:val="000000"/>
          <w:sz w:val="22"/>
          <w:szCs w:val="22"/>
          <w:rtl/>
        </w:rPr>
        <w:t>דנה מרשק מרום 54678313-/</w:t>
      </w:r>
    </w:p>
    <w:p w14:paraId="74126B16" w14:textId="77777777" w:rsidR="00C03507" w:rsidRPr="00C03507" w:rsidRDefault="008429B1" w:rsidP="008429B1">
      <w:pPr>
        <w:rPr>
          <w:color w:val="0000FF"/>
          <w:u w:val="single"/>
        </w:rPr>
      </w:pPr>
      <w:r w:rsidRPr="008429B1">
        <w:rPr>
          <w:color w:val="000000"/>
          <w:u w:val="single"/>
          <w:rtl/>
        </w:rPr>
        <w:t>נוסח מסמך זה כפוף לשינויי ניסוח ועריכה</w:t>
      </w:r>
    </w:p>
    <w:sectPr w:rsidR="00C03507" w:rsidRPr="00C03507" w:rsidSect="008429B1">
      <w:headerReference w:type="even" r:id="rId84"/>
      <w:headerReference w:type="default" r:id="rId85"/>
      <w:footerReference w:type="even" r:id="rId86"/>
      <w:footerReference w:type="default" r:id="rId8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B144B" w14:textId="77777777" w:rsidR="006E4221" w:rsidRDefault="006E4221" w:rsidP="00466B3B">
      <w:r>
        <w:separator/>
      </w:r>
    </w:p>
  </w:endnote>
  <w:endnote w:type="continuationSeparator" w:id="0">
    <w:p w14:paraId="45F11C1C" w14:textId="77777777" w:rsidR="006E4221" w:rsidRDefault="006E4221" w:rsidP="00466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46C42" w14:textId="77777777" w:rsidR="008429B1" w:rsidRDefault="008429B1" w:rsidP="008429B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E49E3A4" w14:textId="77777777" w:rsidR="00BE6FEB" w:rsidRPr="008429B1" w:rsidRDefault="008429B1" w:rsidP="008429B1">
    <w:pPr>
      <w:pStyle w:val="a5"/>
      <w:pBdr>
        <w:top w:val="single" w:sz="4" w:space="1" w:color="auto"/>
        <w:between w:val="single" w:sz="4" w:space="0" w:color="auto"/>
      </w:pBdr>
      <w:spacing w:after="60"/>
      <w:jc w:val="center"/>
      <w:rPr>
        <w:rFonts w:ascii="FrankRuehl" w:hAnsi="FrankRuehl" w:cs="FrankRuehl"/>
        <w:color w:val="000000"/>
      </w:rPr>
    </w:pPr>
    <w:r w:rsidRPr="008429B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D8F56" w14:textId="77777777" w:rsidR="008429B1" w:rsidRDefault="008429B1" w:rsidP="008429B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555D9">
      <w:rPr>
        <w:rFonts w:ascii="FrankRuehl" w:hAnsi="FrankRuehl" w:cs="FrankRuehl"/>
        <w:noProof/>
        <w:rtl/>
      </w:rPr>
      <w:t>1</w:t>
    </w:r>
    <w:r>
      <w:rPr>
        <w:rFonts w:ascii="FrankRuehl" w:hAnsi="FrankRuehl" w:cs="FrankRuehl"/>
        <w:rtl/>
      </w:rPr>
      <w:fldChar w:fldCharType="end"/>
    </w:r>
  </w:p>
  <w:p w14:paraId="4BD0A8AA" w14:textId="77777777" w:rsidR="00BE6FEB" w:rsidRPr="008429B1" w:rsidRDefault="008429B1" w:rsidP="008429B1">
    <w:pPr>
      <w:pStyle w:val="a5"/>
      <w:pBdr>
        <w:top w:val="single" w:sz="4" w:space="1" w:color="auto"/>
        <w:between w:val="single" w:sz="4" w:space="0" w:color="auto"/>
      </w:pBdr>
      <w:spacing w:after="60"/>
      <w:jc w:val="center"/>
      <w:rPr>
        <w:rFonts w:ascii="FrankRuehl" w:hAnsi="FrankRuehl" w:cs="FrankRuehl"/>
        <w:color w:val="000000"/>
      </w:rPr>
    </w:pPr>
    <w:r w:rsidRPr="008429B1">
      <w:rPr>
        <w:rFonts w:ascii="FrankRuehl" w:hAnsi="FrankRuehl" w:cs="FrankRuehl"/>
        <w:color w:val="000000"/>
      </w:rPr>
      <w:pict w14:anchorId="319D0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67266" w14:textId="77777777" w:rsidR="006E4221" w:rsidRDefault="006E4221" w:rsidP="00466B3B">
      <w:r>
        <w:separator/>
      </w:r>
    </w:p>
  </w:footnote>
  <w:footnote w:type="continuationSeparator" w:id="0">
    <w:p w14:paraId="3F580748" w14:textId="77777777" w:rsidR="006E4221" w:rsidRDefault="006E4221" w:rsidP="00466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60CBA" w14:textId="77777777" w:rsidR="00C03507" w:rsidRPr="008429B1" w:rsidRDefault="008429B1" w:rsidP="008429B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46379-02-21</w:t>
    </w:r>
    <w:r>
      <w:rPr>
        <w:rFonts w:ascii="David" w:hAnsi="David"/>
        <w:color w:val="000000"/>
        <w:sz w:val="22"/>
        <w:szCs w:val="22"/>
        <w:rtl/>
      </w:rPr>
      <w:tab/>
      <w:t xml:space="preserve"> מדינת ישראל  נ' עלא ואכד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084CD" w14:textId="77777777" w:rsidR="00C03507" w:rsidRPr="008429B1" w:rsidRDefault="008429B1" w:rsidP="008429B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46379-02-21</w:t>
    </w:r>
    <w:r>
      <w:rPr>
        <w:rFonts w:ascii="David" w:hAnsi="David"/>
        <w:color w:val="000000"/>
        <w:sz w:val="22"/>
        <w:szCs w:val="22"/>
        <w:rtl/>
      </w:rPr>
      <w:tab/>
      <w:t xml:space="preserve"> מדינת ישראל  נ' עלא ואכד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6B0204"/>
    <w:multiLevelType w:val="hybridMultilevel"/>
    <w:tmpl w:val="624EB8F4"/>
    <w:lvl w:ilvl="0" w:tplc="172C5320">
      <w:start w:val="1"/>
      <w:numFmt w:val="decimal"/>
      <w:lvlText w:val="%1."/>
      <w:lvlJc w:val="left"/>
      <w:pPr>
        <w:ind w:left="720" w:hanging="720"/>
      </w:pPr>
      <w:rPr>
        <w:rFonts w:ascii="David" w:hAnsi="David" w:cs="David" w:hint="default"/>
        <w:b w:val="0"/>
        <w:bCs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36388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A4D92"/>
    <w:rsid w:val="000555D9"/>
    <w:rsid w:val="001B5A3B"/>
    <w:rsid w:val="00440AE6"/>
    <w:rsid w:val="00466B3B"/>
    <w:rsid w:val="0049512B"/>
    <w:rsid w:val="005C3078"/>
    <w:rsid w:val="006E4221"/>
    <w:rsid w:val="008429B1"/>
    <w:rsid w:val="008D2A31"/>
    <w:rsid w:val="00956117"/>
    <w:rsid w:val="0096522A"/>
    <w:rsid w:val="00AA4D92"/>
    <w:rsid w:val="00BE6FEB"/>
    <w:rsid w:val="00C03507"/>
    <w:rsid w:val="00C1061A"/>
    <w:rsid w:val="00DB24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9884B5"/>
  <w15:chartTrackingRefBased/>
  <w15:docId w15:val="{A5F69ABD-E946-4162-A3E3-769E8DB5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4D9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A4D92"/>
    <w:pPr>
      <w:tabs>
        <w:tab w:val="center" w:pos="4153"/>
        <w:tab w:val="right" w:pos="8306"/>
      </w:tabs>
    </w:pPr>
  </w:style>
  <w:style w:type="character" w:customStyle="1" w:styleId="a4">
    <w:name w:val="כותרת עליונה תו"/>
    <w:link w:val="a3"/>
    <w:rsid w:val="00AA4D92"/>
    <w:rPr>
      <w:rFonts w:ascii="Times New Roman" w:eastAsia="Times New Roman" w:hAnsi="Times New Roman" w:cs="David"/>
      <w:sz w:val="24"/>
      <w:szCs w:val="24"/>
    </w:rPr>
  </w:style>
  <w:style w:type="paragraph" w:styleId="a5">
    <w:name w:val="footer"/>
    <w:basedOn w:val="a"/>
    <w:link w:val="a6"/>
    <w:rsid w:val="00AA4D92"/>
    <w:pPr>
      <w:tabs>
        <w:tab w:val="center" w:pos="4153"/>
        <w:tab w:val="right" w:pos="8306"/>
      </w:tabs>
    </w:pPr>
  </w:style>
  <w:style w:type="character" w:customStyle="1" w:styleId="a6">
    <w:name w:val="כותרת תחתונה תו"/>
    <w:link w:val="a5"/>
    <w:rsid w:val="00AA4D92"/>
    <w:rPr>
      <w:rFonts w:ascii="Times New Roman" w:eastAsia="Times New Roman" w:hAnsi="Times New Roman" w:cs="David"/>
      <w:sz w:val="24"/>
      <w:szCs w:val="24"/>
    </w:rPr>
  </w:style>
  <w:style w:type="table" w:styleId="a7">
    <w:name w:val="Table Grid"/>
    <w:basedOn w:val="a1"/>
    <w:rsid w:val="00AA4D9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A4D92"/>
  </w:style>
  <w:style w:type="paragraph" w:styleId="a9">
    <w:name w:val="List Paragraph"/>
    <w:basedOn w:val="a"/>
    <w:qFormat/>
    <w:rsid w:val="00AA4D92"/>
    <w:pPr>
      <w:ind w:left="720"/>
      <w:contextualSpacing/>
    </w:pPr>
    <w:rPr>
      <w:rFonts w:ascii="David" w:hAnsi="David"/>
    </w:rPr>
  </w:style>
  <w:style w:type="character" w:styleId="Hyperlink">
    <w:name w:val="Hyperlink"/>
    <w:rsid w:val="00C035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99.a.1" TargetMode="External"/><Relationship Id="rId21" Type="http://schemas.openxmlformats.org/officeDocument/2006/relationships/hyperlink" Target="http://www.nevo.co.il/law/70301/25"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18168662" TargetMode="External"/><Relationship Id="rId63" Type="http://schemas.openxmlformats.org/officeDocument/2006/relationships/hyperlink" Target="http://www.nevo.co.il/case/5678709" TargetMode="External"/><Relationship Id="rId68" Type="http://schemas.openxmlformats.org/officeDocument/2006/relationships/hyperlink" Target="http://www.nevo.co.il/case/26886976" TargetMode="External"/><Relationship Id="rId84" Type="http://schemas.openxmlformats.org/officeDocument/2006/relationships/header" Target="header1.xml"/><Relationship Id="rId89" Type="http://schemas.openxmlformats.org/officeDocument/2006/relationships/theme" Target="theme/theme1.xml"/><Relationship Id="rId16" Type="http://schemas.openxmlformats.org/officeDocument/2006/relationships/hyperlink" Target="http://www.nevo.co.il/law/70301/144.b2"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law/70301/144.a" TargetMode="External"/><Relationship Id="rId53" Type="http://schemas.openxmlformats.org/officeDocument/2006/relationships/hyperlink" Target="http://www.nevo.co.il/case/17929065" TargetMode="External"/><Relationship Id="rId58" Type="http://schemas.openxmlformats.org/officeDocument/2006/relationships/hyperlink" Target="http://www.nevo.co.il/law/70301" TargetMode="External"/><Relationship Id="rId74" Type="http://schemas.openxmlformats.org/officeDocument/2006/relationships/hyperlink" Target="http://www.nevo.co.il/case/22269033"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14" Type="http://schemas.openxmlformats.org/officeDocument/2006/relationships/hyperlink" Target="http://www.nevo.co.il/law/70301/144.a"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70301/144.a" TargetMode="External"/><Relationship Id="rId30" Type="http://schemas.openxmlformats.org/officeDocument/2006/relationships/hyperlink" Target="http://www.nevo.co.il/law/70301/31" TargetMode="External"/><Relationship Id="rId35" Type="http://schemas.openxmlformats.org/officeDocument/2006/relationships/hyperlink" Target="http://www.nevo.co.il/law/70301/29" TargetMode="External"/><Relationship Id="rId43" Type="http://schemas.openxmlformats.org/officeDocument/2006/relationships/hyperlink" Target="http://www.nevo.co.il/law/70301/40c.a" TargetMode="External"/><Relationship Id="rId48" Type="http://schemas.openxmlformats.org/officeDocument/2006/relationships/hyperlink" Target="http://www.nevo.co.il/case/20742123" TargetMode="External"/><Relationship Id="rId56" Type="http://schemas.openxmlformats.org/officeDocument/2006/relationships/hyperlink" Target="http://www.nevo.co.il/case/25824863" TargetMode="External"/><Relationship Id="rId64" Type="http://schemas.openxmlformats.org/officeDocument/2006/relationships/hyperlink" Target="http://www.nevo.co.il/case/26888657" TargetMode="External"/><Relationship Id="rId69" Type="http://schemas.openxmlformats.org/officeDocument/2006/relationships/hyperlink" Target="http://www.nevo.co.il/case/27654267" TargetMode="External"/><Relationship Id="rId77" Type="http://schemas.openxmlformats.org/officeDocument/2006/relationships/hyperlink" Target="http://www.nevo.co.il/case/22228298" TargetMode="External"/><Relationship Id="rId8" Type="http://schemas.openxmlformats.org/officeDocument/2006/relationships/hyperlink" Target="http://www.nevo.co.il/law/70301/25" TargetMode="External"/><Relationship Id="rId51" Type="http://schemas.openxmlformats.org/officeDocument/2006/relationships/hyperlink" Target="http://www.nevo.co.il/law/70301/40i.a" TargetMode="External"/><Relationship Id="rId72" Type="http://schemas.openxmlformats.org/officeDocument/2006/relationships/hyperlink" Target="http://www.nevo.co.il/case/21474520" TargetMode="External"/><Relationship Id="rId80" Type="http://schemas.openxmlformats.org/officeDocument/2006/relationships/hyperlink" Target="http://www.nevo.co.il/case/26185023" TargetMode="External"/><Relationship Id="rId85"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i.a"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29" TargetMode="External"/><Relationship Id="rId33" Type="http://schemas.openxmlformats.org/officeDocument/2006/relationships/hyperlink" Target="http://www.nevo.co.il/law/70301/31" TargetMode="External"/><Relationship Id="rId38" Type="http://schemas.openxmlformats.org/officeDocument/2006/relationships/hyperlink" Target="http://www.nevo.co.il/law/70301/29" TargetMode="External"/><Relationship Id="rId46" Type="http://schemas.openxmlformats.org/officeDocument/2006/relationships/hyperlink" Target="http://www.nevo.co.il/case/20033641" TargetMode="External"/><Relationship Id="rId59" Type="http://schemas.openxmlformats.org/officeDocument/2006/relationships/hyperlink" Target="http://www.nevo.co.il/case/27933514" TargetMode="External"/><Relationship Id="rId67" Type="http://schemas.openxmlformats.org/officeDocument/2006/relationships/hyperlink" Target="http://www.nevo.co.il/case/6949290"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499.a.1" TargetMode="External"/><Relationship Id="rId54" Type="http://schemas.openxmlformats.org/officeDocument/2006/relationships/hyperlink" Target="http://www.nevo.co.il/case/10527728" TargetMode="External"/><Relationship Id="rId62" Type="http://schemas.openxmlformats.org/officeDocument/2006/relationships/hyperlink" Target="http://www.nevo.co.il/law/70301/144.b2" TargetMode="External"/><Relationship Id="rId70" Type="http://schemas.openxmlformats.org/officeDocument/2006/relationships/hyperlink" Target="http://www.nevo.co.il/case/26729384" TargetMode="External"/><Relationship Id="rId75" Type="http://schemas.openxmlformats.org/officeDocument/2006/relationships/hyperlink" Target="http://www.nevo.co.il/case/21475135" TargetMode="External"/><Relationship Id="rId83" Type="http://schemas.openxmlformats.org/officeDocument/2006/relationships/hyperlink" Target="http://www.nevo.co.il/advertisements/nevo-100.doc"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0301/499.a.1" TargetMode="External"/><Relationship Id="rId28" Type="http://schemas.openxmlformats.org/officeDocument/2006/relationships/hyperlink" Target="http://www.nevo.co.il/law/70301/29" TargetMode="External"/><Relationship Id="rId36" Type="http://schemas.openxmlformats.org/officeDocument/2006/relationships/hyperlink" Target="http://www.nevo.co.il/law/70301/499.a.1" TargetMode="External"/><Relationship Id="rId49" Type="http://schemas.openxmlformats.org/officeDocument/2006/relationships/hyperlink" Target="http://www.nevo.co.il/case/27309272"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31" TargetMode="External"/><Relationship Id="rId31" Type="http://schemas.openxmlformats.org/officeDocument/2006/relationships/hyperlink" Target="http://www.nevo.co.il/law/70301/499.a.1" TargetMode="External"/><Relationship Id="rId44" Type="http://schemas.openxmlformats.org/officeDocument/2006/relationships/hyperlink" Target="http://www.nevo.co.il/case/13093721"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4036214" TargetMode="External"/><Relationship Id="rId65" Type="http://schemas.openxmlformats.org/officeDocument/2006/relationships/hyperlink" Target="http://www.nevo.co.il/case/21478686" TargetMode="External"/><Relationship Id="rId73" Type="http://schemas.openxmlformats.org/officeDocument/2006/relationships/hyperlink" Target="http://www.nevo.co.il/law/70301/144.b2" TargetMode="External"/><Relationship Id="rId78" Type="http://schemas.openxmlformats.org/officeDocument/2006/relationships/hyperlink" Target="http://www.nevo.co.il/law/70301/40ja" TargetMode="External"/><Relationship Id="rId81" Type="http://schemas.openxmlformats.org/officeDocument/2006/relationships/hyperlink" Target="http://www.nevo.co.il/law/70301/144"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144" TargetMode="External"/><Relationship Id="rId18" Type="http://schemas.openxmlformats.org/officeDocument/2006/relationships/hyperlink" Target="http://www.nevo.co.il/law/70301/499.a.1" TargetMode="External"/><Relationship Id="rId39" Type="http://schemas.openxmlformats.org/officeDocument/2006/relationships/hyperlink" Target="http://www.nevo.co.il/law/70301/144.a" TargetMode="External"/><Relationship Id="rId34" Type="http://schemas.openxmlformats.org/officeDocument/2006/relationships/hyperlink" Target="http://www.nevo.co.il/law/70301/144.a" TargetMode="External"/><Relationship Id="rId50" Type="http://schemas.openxmlformats.org/officeDocument/2006/relationships/hyperlink" Target="http://www.nevo.co.il/case/6824952"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5598555"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6109982" TargetMode="External"/><Relationship Id="rId2" Type="http://schemas.openxmlformats.org/officeDocument/2006/relationships/styles" Target="styles.xml"/><Relationship Id="rId29" Type="http://schemas.openxmlformats.org/officeDocument/2006/relationships/hyperlink" Target="http://www.nevo.co.il/law/70301/144.b" TargetMode="External"/><Relationship Id="rId24" Type="http://schemas.openxmlformats.org/officeDocument/2006/relationships/hyperlink" Target="http://www.nevo.co.il/law/70301/144.a" TargetMode="External"/><Relationship Id="rId40" Type="http://schemas.openxmlformats.org/officeDocument/2006/relationships/hyperlink" Target="http://www.nevo.co.il/law/70301/25" TargetMode="External"/><Relationship Id="rId45" Type="http://schemas.openxmlformats.org/officeDocument/2006/relationships/hyperlink" Target="http://www.nevo.co.il/case/13101134" TargetMode="External"/><Relationship Id="rId66" Type="http://schemas.openxmlformats.org/officeDocument/2006/relationships/hyperlink" Target="http://www.nevo.co.il/case/25612982" TargetMode="External"/><Relationship Id="rId87" Type="http://schemas.openxmlformats.org/officeDocument/2006/relationships/footer" Target="footer2.xml"/><Relationship Id="rId61" Type="http://schemas.openxmlformats.org/officeDocument/2006/relationships/hyperlink" Target="http://www.nevo.co.il/case/7980170" TargetMode="External"/><Relationship Id="rId82" Type="http://schemas.openxmlformats.org/officeDocument/2006/relationships/hyperlink" Target="http://www.nevo.co.il/case/26185023" TargetMode="External"/><Relationship Id="rId19" Type="http://schemas.openxmlformats.org/officeDocument/2006/relationships/hyperlink" Target="http://www.nevo.co.il/law/70301/144.b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6842</Words>
  <Characters>34213</Characters>
  <Application>Microsoft Office Word</Application>
  <DocSecurity>0</DocSecurity>
  <Lines>285</Lines>
  <Paragraphs>81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40974</CharactersWithSpaces>
  <SharedDoc>false</SharedDoc>
  <HLinks>
    <vt:vector size="462" baseType="variant">
      <vt:variant>
        <vt:i4>393283</vt:i4>
      </vt:variant>
      <vt:variant>
        <vt:i4>228</vt:i4>
      </vt:variant>
      <vt:variant>
        <vt:i4>0</vt:i4>
      </vt:variant>
      <vt:variant>
        <vt:i4>5</vt:i4>
      </vt:variant>
      <vt:variant>
        <vt:lpwstr>http://www.nevo.co.il/advertisements/nevo-100.doc</vt:lpwstr>
      </vt:variant>
      <vt:variant>
        <vt:lpwstr/>
      </vt:variant>
      <vt:variant>
        <vt:i4>3407994</vt:i4>
      </vt:variant>
      <vt:variant>
        <vt:i4>225</vt:i4>
      </vt:variant>
      <vt:variant>
        <vt:i4>0</vt:i4>
      </vt:variant>
      <vt:variant>
        <vt:i4>5</vt:i4>
      </vt:variant>
      <vt:variant>
        <vt:lpwstr>http://www.nevo.co.il/case/26185023</vt:lpwstr>
      </vt:variant>
      <vt:variant>
        <vt:lpwstr/>
      </vt:variant>
      <vt:variant>
        <vt:i4>6357092</vt:i4>
      </vt:variant>
      <vt:variant>
        <vt:i4>222</vt:i4>
      </vt:variant>
      <vt:variant>
        <vt:i4>0</vt:i4>
      </vt:variant>
      <vt:variant>
        <vt:i4>5</vt:i4>
      </vt:variant>
      <vt:variant>
        <vt:lpwstr>http://www.nevo.co.il/law/70301/144</vt:lpwstr>
      </vt:variant>
      <vt:variant>
        <vt:lpwstr/>
      </vt:variant>
      <vt:variant>
        <vt:i4>3407994</vt:i4>
      </vt:variant>
      <vt:variant>
        <vt:i4>219</vt:i4>
      </vt:variant>
      <vt:variant>
        <vt:i4>0</vt:i4>
      </vt:variant>
      <vt:variant>
        <vt:i4>5</vt:i4>
      </vt:variant>
      <vt:variant>
        <vt:lpwstr>http://www.nevo.co.il/case/26185023</vt:lpwstr>
      </vt:variant>
      <vt:variant>
        <vt:lpwstr/>
      </vt:variant>
      <vt:variant>
        <vt:i4>7995492</vt:i4>
      </vt:variant>
      <vt:variant>
        <vt:i4>216</vt:i4>
      </vt:variant>
      <vt:variant>
        <vt:i4>0</vt:i4>
      </vt:variant>
      <vt:variant>
        <vt:i4>5</vt:i4>
      </vt:variant>
      <vt:variant>
        <vt:lpwstr>http://www.nevo.co.il/law/70301</vt:lpwstr>
      </vt:variant>
      <vt:variant>
        <vt:lpwstr/>
      </vt:variant>
      <vt:variant>
        <vt:i4>262155</vt:i4>
      </vt:variant>
      <vt:variant>
        <vt:i4>213</vt:i4>
      </vt:variant>
      <vt:variant>
        <vt:i4>0</vt:i4>
      </vt:variant>
      <vt:variant>
        <vt:i4>5</vt:i4>
      </vt:variant>
      <vt:variant>
        <vt:lpwstr>http://www.nevo.co.il/law/70301/40ja</vt:lpwstr>
      </vt:variant>
      <vt:variant>
        <vt:lpwstr/>
      </vt:variant>
      <vt:variant>
        <vt:i4>3211382</vt:i4>
      </vt:variant>
      <vt:variant>
        <vt:i4>210</vt:i4>
      </vt:variant>
      <vt:variant>
        <vt:i4>0</vt:i4>
      </vt:variant>
      <vt:variant>
        <vt:i4>5</vt:i4>
      </vt:variant>
      <vt:variant>
        <vt:lpwstr>http://www.nevo.co.il/case/22228298</vt:lpwstr>
      </vt:variant>
      <vt:variant>
        <vt:lpwstr/>
      </vt:variant>
      <vt:variant>
        <vt:i4>3932284</vt:i4>
      </vt:variant>
      <vt:variant>
        <vt:i4>207</vt:i4>
      </vt:variant>
      <vt:variant>
        <vt:i4>0</vt:i4>
      </vt:variant>
      <vt:variant>
        <vt:i4>5</vt:i4>
      </vt:variant>
      <vt:variant>
        <vt:lpwstr>http://www.nevo.co.il/case/5598555</vt:lpwstr>
      </vt:variant>
      <vt:variant>
        <vt:lpwstr/>
      </vt:variant>
      <vt:variant>
        <vt:i4>3145843</vt:i4>
      </vt:variant>
      <vt:variant>
        <vt:i4>204</vt:i4>
      </vt:variant>
      <vt:variant>
        <vt:i4>0</vt:i4>
      </vt:variant>
      <vt:variant>
        <vt:i4>5</vt:i4>
      </vt:variant>
      <vt:variant>
        <vt:lpwstr>http://www.nevo.co.il/case/21475135</vt:lpwstr>
      </vt:variant>
      <vt:variant>
        <vt:lpwstr/>
      </vt:variant>
      <vt:variant>
        <vt:i4>3801200</vt:i4>
      </vt:variant>
      <vt:variant>
        <vt:i4>201</vt:i4>
      </vt:variant>
      <vt:variant>
        <vt:i4>0</vt:i4>
      </vt:variant>
      <vt:variant>
        <vt:i4>5</vt:i4>
      </vt:variant>
      <vt:variant>
        <vt:lpwstr>http://www.nevo.co.il/case/22269033</vt:lpwstr>
      </vt:variant>
      <vt:variant>
        <vt:lpwstr/>
      </vt:variant>
      <vt:variant>
        <vt:i4>8192050</vt:i4>
      </vt:variant>
      <vt:variant>
        <vt:i4>198</vt:i4>
      </vt:variant>
      <vt:variant>
        <vt:i4>0</vt:i4>
      </vt:variant>
      <vt:variant>
        <vt:i4>5</vt:i4>
      </vt:variant>
      <vt:variant>
        <vt:lpwstr>http://www.nevo.co.il/law/70301/144.b2</vt:lpwstr>
      </vt:variant>
      <vt:variant>
        <vt:lpwstr/>
      </vt:variant>
      <vt:variant>
        <vt:i4>3145847</vt:i4>
      </vt:variant>
      <vt:variant>
        <vt:i4>195</vt:i4>
      </vt:variant>
      <vt:variant>
        <vt:i4>0</vt:i4>
      </vt:variant>
      <vt:variant>
        <vt:i4>5</vt:i4>
      </vt:variant>
      <vt:variant>
        <vt:lpwstr>http://www.nevo.co.il/case/21474520</vt:lpwstr>
      </vt:variant>
      <vt:variant>
        <vt:lpwstr/>
      </vt:variant>
      <vt:variant>
        <vt:i4>3276923</vt:i4>
      </vt:variant>
      <vt:variant>
        <vt:i4>192</vt:i4>
      </vt:variant>
      <vt:variant>
        <vt:i4>0</vt:i4>
      </vt:variant>
      <vt:variant>
        <vt:i4>5</vt:i4>
      </vt:variant>
      <vt:variant>
        <vt:lpwstr>http://www.nevo.co.il/case/26109982</vt:lpwstr>
      </vt:variant>
      <vt:variant>
        <vt:lpwstr/>
      </vt:variant>
      <vt:variant>
        <vt:i4>3407987</vt:i4>
      </vt:variant>
      <vt:variant>
        <vt:i4>189</vt:i4>
      </vt:variant>
      <vt:variant>
        <vt:i4>0</vt:i4>
      </vt:variant>
      <vt:variant>
        <vt:i4>5</vt:i4>
      </vt:variant>
      <vt:variant>
        <vt:lpwstr>http://www.nevo.co.il/case/26729384</vt:lpwstr>
      </vt:variant>
      <vt:variant>
        <vt:lpwstr/>
      </vt:variant>
      <vt:variant>
        <vt:i4>3539060</vt:i4>
      </vt:variant>
      <vt:variant>
        <vt:i4>186</vt:i4>
      </vt:variant>
      <vt:variant>
        <vt:i4>0</vt:i4>
      </vt:variant>
      <vt:variant>
        <vt:i4>5</vt:i4>
      </vt:variant>
      <vt:variant>
        <vt:lpwstr>http://www.nevo.co.il/case/27654267</vt:lpwstr>
      </vt:variant>
      <vt:variant>
        <vt:lpwstr/>
      </vt:variant>
      <vt:variant>
        <vt:i4>3866739</vt:i4>
      </vt:variant>
      <vt:variant>
        <vt:i4>183</vt:i4>
      </vt:variant>
      <vt:variant>
        <vt:i4>0</vt:i4>
      </vt:variant>
      <vt:variant>
        <vt:i4>5</vt:i4>
      </vt:variant>
      <vt:variant>
        <vt:lpwstr>http://www.nevo.co.il/case/26886976</vt:lpwstr>
      </vt:variant>
      <vt:variant>
        <vt:lpwstr/>
      </vt:variant>
      <vt:variant>
        <vt:i4>3145853</vt:i4>
      </vt:variant>
      <vt:variant>
        <vt:i4>180</vt:i4>
      </vt:variant>
      <vt:variant>
        <vt:i4>0</vt:i4>
      </vt:variant>
      <vt:variant>
        <vt:i4>5</vt:i4>
      </vt:variant>
      <vt:variant>
        <vt:lpwstr>http://www.nevo.co.il/case/6949290</vt:lpwstr>
      </vt:variant>
      <vt:variant>
        <vt:lpwstr/>
      </vt:variant>
      <vt:variant>
        <vt:i4>4063353</vt:i4>
      </vt:variant>
      <vt:variant>
        <vt:i4>177</vt:i4>
      </vt:variant>
      <vt:variant>
        <vt:i4>0</vt:i4>
      </vt:variant>
      <vt:variant>
        <vt:i4>5</vt:i4>
      </vt:variant>
      <vt:variant>
        <vt:lpwstr>http://www.nevo.co.il/case/25612982</vt:lpwstr>
      </vt:variant>
      <vt:variant>
        <vt:lpwstr/>
      </vt:variant>
      <vt:variant>
        <vt:i4>3539060</vt:i4>
      </vt:variant>
      <vt:variant>
        <vt:i4>174</vt:i4>
      </vt:variant>
      <vt:variant>
        <vt:i4>0</vt:i4>
      </vt:variant>
      <vt:variant>
        <vt:i4>5</vt:i4>
      </vt:variant>
      <vt:variant>
        <vt:lpwstr>http://www.nevo.co.il/case/21478686</vt:lpwstr>
      </vt:variant>
      <vt:variant>
        <vt:lpwstr/>
      </vt:variant>
      <vt:variant>
        <vt:i4>3604604</vt:i4>
      </vt:variant>
      <vt:variant>
        <vt:i4>171</vt:i4>
      </vt:variant>
      <vt:variant>
        <vt:i4>0</vt:i4>
      </vt:variant>
      <vt:variant>
        <vt:i4>5</vt:i4>
      </vt:variant>
      <vt:variant>
        <vt:lpwstr>http://www.nevo.co.il/case/26888657</vt:lpwstr>
      </vt:variant>
      <vt:variant>
        <vt:lpwstr/>
      </vt:variant>
      <vt:variant>
        <vt:i4>3932282</vt:i4>
      </vt:variant>
      <vt:variant>
        <vt:i4>168</vt:i4>
      </vt:variant>
      <vt:variant>
        <vt:i4>0</vt:i4>
      </vt:variant>
      <vt:variant>
        <vt:i4>5</vt:i4>
      </vt:variant>
      <vt:variant>
        <vt:lpwstr>http://www.nevo.co.il/case/5678709</vt:lpwstr>
      </vt:variant>
      <vt:variant>
        <vt:lpwstr/>
      </vt:variant>
      <vt:variant>
        <vt:i4>8192050</vt:i4>
      </vt:variant>
      <vt:variant>
        <vt:i4>165</vt:i4>
      </vt:variant>
      <vt:variant>
        <vt:i4>0</vt:i4>
      </vt:variant>
      <vt:variant>
        <vt:i4>5</vt:i4>
      </vt:variant>
      <vt:variant>
        <vt:lpwstr>http://www.nevo.co.il/law/70301/144.b2</vt:lpwstr>
      </vt:variant>
      <vt:variant>
        <vt:lpwstr/>
      </vt:variant>
      <vt:variant>
        <vt:i4>4063354</vt:i4>
      </vt:variant>
      <vt:variant>
        <vt:i4>162</vt:i4>
      </vt:variant>
      <vt:variant>
        <vt:i4>0</vt:i4>
      </vt:variant>
      <vt:variant>
        <vt:i4>5</vt:i4>
      </vt:variant>
      <vt:variant>
        <vt:lpwstr>http://www.nevo.co.il/case/7980170</vt:lpwstr>
      </vt:variant>
      <vt:variant>
        <vt:lpwstr/>
      </vt:variant>
      <vt:variant>
        <vt:i4>3211379</vt:i4>
      </vt:variant>
      <vt:variant>
        <vt:i4>159</vt:i4>
      </vt:variant>
      <vt:variant>
        <vt:i4>0</vt:i4>
      </vt:variant>
      <vt:variant>
        <vt:i4>5</vt:i4>
      </vt:variant>
      <vt:variant>
        <vt:lpwstr>http://www.nevo.co.il/case/4036214</vt:lpwstr>
      </vt:variant>
      <vt:variant>
        <vt:lpwstr/>
      </vt:variant>
      <vt:variant>
        <vt:i4>3735669</vt:i4>
      </vt:variant>
      <vt:variant>
        <vt:i4>156</vt:i4>
      </vt:variant>
      <vt:variant>
        <vt:i4>0</vt:i4>
      </vt:variant>
      <vt:variant>
        <vt:i4>5</vt:i4>
      </vt:variant>
      <vt:variant>
        <vt:lpwstr>http://www.nevo.co.il/case/27933514</vt:lpwstr>
      </vt:variant>
      <vt:variant>
        <vt:lpwstr/>
      </vt:variant>
      <vt:variant>
        <vt:i4>7995492</vt:i4>
      </vt:variant>
      <vt:variant>
        <vt:i4>153</vt:i4>
      </vt:variant>
      <vt:variant>
        <vt:i4>0</vt:i4>
      </vt:variant>
      <vt:variant>
        <vt:i4>5</vt:i4>
      </vt:variant>
      <vt:variant>
        <vt:lpwstr>http://www.nevo.co.il/law/70301</vt:lpwstr>
      </vt:variant>
      <vt:variant>
        <vt:lpwstr/>
      </vt:variant>
      <vt:variant>
        <vt:i4>7995492</vt:i4>
      </vt:variant>
      <vt:variant>
        <vt:i4>150</vt:i4>
      </vt:variant>
      <vt:variant>
        <vt:i4>0</vt:i4>
      </vt:variant>
      <vt:variant>
        <vt:i4>5</vt:i4>
      </vt:variant>
      <vt:variant>
        <vt:lpwstr>http://www.nevo.co.il/law/70301</vt:lpwstr>
      </vt:variant>
      <vt:variant>
        <vt:lpwstr/>
      </vt:variant>
      <vt:variant>
        <vt:i4>3670139</vt:i4>
      </vt:variant>
      <vt:variant>
        <vt:i4>147</vt:i4>
      </vt:variant>
      <vt:variant>
        <vt:i4>0</vt:i4>
      </vt:variant>
      <vt:variant>
        <vt:i4>5</vt:i4>
      </vt:variant>
      <vt:variant>
        <vt:lpwstr>http://www.nevo.co.il/case/25824863</vt:lpwstr>
      </vt:variant>
      <vt:variant>
        <vt:lpwstr/>
      </vt:variant>
      <vt:variant>
        <vt:i4>7995492</vt:i4>
      </vt:variant>
      <vt:variant>
        <vt:i4>144</vt:i4>
      </vt:variant>
      <vt:variant>
        <vt:i4>0</vt:i4>
      </vt:variant>
      <vt:variant>
        <vt:i4>5</vt:i4>
      </vt:variant>
      <vt:variant>
        <vt:lpwstr>http://www.nevo.co.il/law/70301</vt:lpwstr>
      </vt:variant>
      <vt:variant>
        <vt:lpwstr/>
      </vt:variant>
      <vt:variant>
        <vt:i4>3211377</vt:i4>
      </vt:variant>
      <vt:variant>
        <vt:i4>141</vt:i4>
      </vt:variant>
      <vt:variant>
        <vt:i4>0</vt:i4>
      </vt:variant>
      <vt:variant>
        <vt:i4>5</vt:i4>
      </vt:variant>
      <vt:variant>
        <vt:lpwstr>http://www.nevo.co.il/case/10527728</vt:lpwstr>
      </vt:variant>
      <vt:variant>
        <vt:lpwstr/>
      </vt:variant>
      <vt:variant>
        <vt:i4>3604593</vt:i4>
      </vt:variant>
      <vt:variant>
        <vt:i4>138</vt:i4>
      </vt:variant>
      <vt:variant>
        <vt:i4>0</vt:i4>
      </vt:variant>
      <vt:variant>
        <vt:i4>5</vt:i4>
      </vt:variant>
      <vt:variant>
        <vt:lpwstr>http://www.nevo.co.il/case/17929065</vt:lpwstr>
      </vt:variant>
      <vt:variant>
        <vt:lpwstr/>
      </vt:variant>
      <vt:variant>
        <vt:i4>7995492</vt:i4>
      </vt:variant>
      <vt:variant>
        <vt:i4>135</vt:i4>
      </vt:variant>
      <vt:variant>
        <vt:i4>0</vt:i4>
      </vt:variant>
      <vt:variant>
        <vt:i4>5</vt:i4>
      </vt:variant>
      <vt:variant>
        <vt:lpwstr>http://www.nevo.co.il/law/70301</vt:lpwstr>
      </vt:variant>
      <vt:variant>
        <vt:lpwstr/>
      </vt:variant>
      <vt:variant>
        <vt:i4>4915208</vt:i4>
      </vt:variant>
      <vt:variant>
        <vt:i4>132</vt:i4>
      </vt:variant>
      <vt:variant>
        <vt:i4>0</vt:i4>
      </vt:variant>
      <vt:variant>
        <vt:i4>5</vt:i4>
      </vt:variant>
      <vt:variant>
        <vt:lpwstr>http://www.nevo.co.il/law/70301/40i.a</vt:lpwstr>
      </vt:variant>
      <vt:variant>
        <vt:lpwstr/>
      </vt:variant>
      <vt:variant>
        <vt:i4>4128893</vt:i4>
      </vt:variant>
      <vt:variant>
        <vt:i4>129</vt:i4>
      </vt:variant>
      <vt:variant>
        <vt:i4>0</vt:i4>
      </vt:variant>
      <vt:variant>
        <vt:i4>5</vt:i4>
      </vt:variant>
      <vt:variant>
        <vt:lpwstr>http://www.nevo.co.il/case/6824952</vt:lpwstr>
      </vt:variant>
      <vt:variant>
        <vt:lpwstr/>
      </vt:variant>
      <vt:variant>
        <vt:i4>4128881</vt:i4>
      </vt:variant>
      <vt:variant>
        <vt:i4>126</vt:i4>
      </vt:variant>
      <vt:variant>
        <vt:i4>0</vt:i4>
      </vt:variant>
      <vt:variant>
        <vt:i4>5</vt:i4>
      </vt:variant>
      <vt:variant>
        <vt:lpwstr>http://www.nevo.co.il/case/27309272</vt:lpwstr>
      </vt:variant>
      <vt:variant>
        <vt:lpwstr/>
      </vt:variant>
      <vt:variant>
        <vt:i4>3473521</vt:i4>
      </vt:variant>
      <vt:variant>
        <vt:i4>123</vt:i4>
      </vt:variant>
      <vt:variant>
        <vt:i4>0</vt:i4>
      </vt:variant>
      <vt:variant>
        <vt:i4>5</vt:i4>
      </vt:variant>
      <vt:variant>
        <vt:lpwstr>http://www.nevo.co.il/case/20742123</vt:lpwstr>
      </vt:variant>
      <vt:variant>
        <vt:lpwstr/>
      </vt:variant>
      <vt:variant>
        <vt:i4>4063356</vt:i4>
      </vt:variant>
      <vt:variant>
        <vt:i4>120</vt:i4>
      </vt:variant>
      <vt:variant>
        <vt:i4>0</vt:i4>
      </vt:variant>
      <vt:variant>
        <vt:i4>5</vt:i4>
      </vt:variant>
      <vt:variant>
        <vt:lpwstr>http://www.nevo.co.il/case/18168662</vt:lpwstr>
      </vt:variant>
      <vt:variant>
        <vt:lpwstr/>
      </vt:variant>
      <vt:variant>
        <vt:i4>3473521</vt:i4>
      </vt:variant>
      <vt:variant>
        <vt:i4>117</vt:i4>
      </vt:variant>
      <vt:variant>
        <vt:i4>0</vt:i4>
      </vt:variant>
      <vt:variant>
        <vt:i4>5</vt:i4>
      </vt:variant>
      <vt:variant>
        <vt:lpwstr>http://www.nevo.co.il/case/20033641</vt:lpwstr>
      </vt:variant>
      <vt:variant>
        <vt:lpwstr/>
      </vt:variant>
      <vt:variant>
        <vt:i4>3276918</vt:i4>
      </vt:variant>
      <vt:variant>
        <vt:i4>114</vt:i4>
      </vt:variant>
      <vt:variant>
        <vt:i4>0</vt:i4>
      </vt:variant>
      <vt:variant>
        <vt:i4>5</vt:i4>
      </vt:variant>
      <vt:variant>
        <vt:lpwstr>http://www.nevo.co.il/case/13101134</vt:lpwstr>
      </vt:variant>
      <vt:variant>
        <vt:lpwstr/>
      </vt:variant>
      <vt:variant>
        <vt:i4>3145849</vt:i4>
      </vt:variant>
      <vt:variant>
        <vt:i4>111</vt:i4>
      </vt:variant>
      <vt:variant>
        <vt:i4>0</vt:i4>
      </vt:variant>
      <vt:variant>
        <vt:i4>5</vt:i4>
      </vt:variant>
      <vt:variant>
        <vt:lpwstr>http://www.nevo.co.il/case/13093721</vt:lpwstr>
      </vt:variant>
      <vt:variant>
        <vt:lpwstr/>
      </vt:variant>
      <vt:variant>
        <vt:i4>4915202</vt:i4>
      </vt:variant>
      <vt:variant>
        <vt:i4>108</vt:i4>
      </vt:variant>
      <vt:variant>
        <vt:i4>0</vt:i4>
      </vt:variant>
      <vt:variant>
        <vt:i4>5</vt:i4>
      </vt:variant>
      <vt:variant>
        <vt:lpwstr>http://www.nevo.co.il/law/70301/40c.a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7077945</vt:i4>
      </vt:variant>
      <vt:variant>
        <vt:i4>102</vt:i4>
      </vt:variant>
      <vt:variant>
        <vt:i4>0</vt:i4>
      </vt:variant>
      <vt:variant>
        <vt:i4>5</vt:i4>
      </vt:variant>
      <vt:variant>
        <vt:lpwstr>http://www.nevo.co.il/law/70301/499.a.1</vt:lpwstr>
      </vt:variant>
      <vt:variant>
        <vt:lpwstr/>
      </vt:variant>
      <vt:variant>
        <vt:i4>6291559</vt:i4>
      </vt:variant>
      <vt:variant>
        <vt:i4>99</vt:i4>
      </vt:variant>
      <vt:variant>
        <vt:i4>0</vt:i4>
      </vt:variant>
      <vt:variant>
        <vt:i4>5</vt:i4>
      </vt:variant>
      <vt:variant>
        <vt:lpwstr>http://www.nevo.co.il/law/70301/25</vt:lpwstr>
      </vt:variant>
      <vt:variant>
        <vt:lpwstr/>
      </vt:variant>
      <vt:variant>
        <vt:i4>5177424</vt:i4>
      </vt:variant>
      <vt:variant>
        <vt:i4>96</vt:i4>
      </vt:variant>
      <vt:variant>
        <vt:i4>0</vt:i4>
      </vt:variant>
      <vt:variant>
        <vt:i4>5</vt:i4>
      </vt:variant>
      <vt:variant>
        <vt:lpwstr>http://www.nevo.co.il/law/70301/144.a</vt:lpwstr>
      </vt:variant>
      <vt:variant>
        <vt:lpwstr/>
      </vt:variant>
      <vt:variant>
        <vt:i4>7077991</vt:i4>
      </vt:variant>
      <vt:variant>
        <vt:i4>93</vt:i4>
      </vt:variant>
      <vt:variant>
        <vt:i4>0</vt:i4>
      </vt:variant>
      <vt:variant>
        <vt:i4>5</vt:i4>
      </vt:variant>
      <vt:variant>
        <vt:lpwstr>http://www.nevo.co.il/law/70301/29</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7077945</vt:i4>
      </vt:variant>
      <vt:variant>
        <vt:i4>87</vt:i4>
      </vt:variant>
      <vt:variant>
        <vt:i4>0</vt:i4>
      </vt:variant>
      <vt:variant>
        <vt:i4>5</vt:i4>
      </vt:variant>
      <vt:variant>
        <vt:lpwstr>http://www.nevo.co.il/law/70301/499.a.1</vt:lpwstr>
      </vt:variant>
      <vt:variant>
        <vt:lpwstr/>
      </vt:variant>
      <vt:variant>
        <vt:i4>7077991</vt:i4>
      </vt:variant>
      <vt:variant>
        <vt:i4>84</vt:i4>
      </vt:variant>
      <vt:variant>
        <vt:i4>0</vt:i4>
      </vt:variant>
      <vt:variant>
        <vt:i4>5</vt:i4>
      </vt:variant>
      <vt:variant>
        <vt:lpwstr>http://www.nevo.co.il/law/70301/29</vt:lpwstr>
      </vt:variant>
      <vt:variant>
        <vt:lpwstr/>
      </vt:variant>
      <vt:variant>
        <vt:i4>5177424</vt:i4>
      </vt:variant>
      <vt:variant>
        <vt:i4>81</vt:i4>
      </vt:variant>
      <vt:variant>
        <vt:i4>0</vt:i4>
      </vt:variant>
      <vt:variant>
        <vt:i4>5</vt:i4>
      </vt:variant>
      <vt:variant>
        <vt:lpwstr>http://www.nevo.co.il/law/70301/144.a</vt:lpwstr>
      </vt:variant>
      <vt:variant>
        <vt:lpwstr/>
      </vt:variant>
      <vt:variant>
        <vt:i4>6553702</vt:i4>
      </vt:variant>
      <vt:variant>
        <vt:i4>78</vt:i4>
      </vt:variant>
      <vt:variant>
        <vt:i4>0</vt:i4>
      </vt:variant>
      <vt:variant>
        <vt:i4>5</vt:i4>
      </vt:variant>
      <vt:variant>
        <vt:lpwstr>http://www.nevo.co.il/law/70301/31</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7077945</vt:i4>
      </vt:variant>
      <vt:variant>
        <vt:i4>72</vt:i4>
      </vt:variant>
      <vt:variant>
        <vt:i4>0</vt:i4>
      </vt:variant>
      <vt:variant>
        <vt:i4>5</vt:i4>
      </vt:variant>
      <vt:variant>
        <vt:lpwstr>http://www.nevo.co.il/law/70301/499.a.1</vt:lpwstr>
      </vt:variant>
      <vt:variant>
        <vt:lpwstr/>
      </vt:variant>
      <vt:variant>
        <vt:i4>6553702</vt:i4>
      </vt:variant>
      <vt:variant>
        <vt:i4>69</vt:i4>
      </vt:variant>
      <vt:variant>
        <vt:i4>0</vt:i4>
      </vt:variant>
      <vt:variant>
        <vt:i4>5</vt:i4>
      </vt:variant>
      <vt:variant>
        <vt:lpwstr>http://www.nevo.co.il/law/70301/31</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7077945</vt:i4>
      </vt:variant>
      <vt:variant>
        <vt:i4>57</vt:i4>
      </vt:variant>
      <vt:variant>
        <vt:i4>0</vt:i4>
      </vt:variant>
      <vt:variant>
        <vt:i4>5</vt:i4>
      </vt:variant>
      <vt:variant>
        <vt:lpwstr>http://www.nevo.co.il/law/70301/499.a.1</vt:lpwstr>
      </vt:variant>
      <vt:variant>
        <vt:lpwstr/>
      </vt:variant>
      <vt:variant>
        <vt:i4>7077991</vt:i4>
      </vt:variant>
      <vt:variant>
        <vt:i4>54</vt:i4>
      </vt:variant>
      <vt:variant>
        <vt:i4>0</vt:i4>
      </vt:variant>
      <vt:variant>
        <vt:i4>5</vt:i4>
      </vt:variant>
      <vt:variant>
        <vt:lpwstr>http://www.nevo.co.il/law/70301/29</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6291559</vt:i4>
      </vt:variant>
      <vt:variant>
        <vt:i4>42</vt:i4>
      </vt:variant>
      <vt:variant>
        <vt:i4>0</vt:i4>
      </vt:variant>
      <vt:variant>
        <vt:i4>5</vt:i4>
      </vt:variant>
      <vt:variant>
        <vt:lpwstr>http://www.nevo.co.il/law/70301/25</vt:lpwstr>
      </vt:variant>
      <vt:variant>
        <vt:lpwstr/>
      </vt:variant>
      <vt:variant>
        <vt:i4>7995492</vt:i4>
      </vt:variant>
      <vt:variant>
        <vt:i4>39</vt:i4>
      </vt:variant>
      <vt:variant>
        <vt:i4>0</vt:i4>
      </vt:variant>
      <vt:variant>
        <vt:i4>5</vt:i4>
      </vt:variant>
      <vt:variant>
        <vt:lpwstr>http://www.nevo.co.il/law/70301</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6357092</vt:i4>
      </vt:variant>
      <vt:variant>
        <vt:i4>18</vt:i4>
      </vt:variant>
      <vt:variant>
        <vt:i4>0</vt:i4>
      </vt:variant>
      <vt:variant>
        <vt:i4>5</vt:i4>
      </vt:variant>
      <vt:variant>
        <vt:lpwstr>http://www.nevo.co.il/law/70301/144</vt:lpwstr>
      </vt:variant>
      <vt:variant>
        <vt:lpwstr/>
      </vt:variant>
      <vt:variant>
        <vt:i4>4915208</vt:i4>
      </vt:variant>
      <vt:variant>
        <vt:i4>15</vt:i4>
      </vt:variant>
      <vt:variant>
        <vt:i4>0</vt:i4>
      </vt:variant>
      <vt:variant>
        <vt:i4>5</vt:i4>
      </vt:variant>
      <vt:variant>
        <vt:lpwstr>http://www.nevo.co.il/law/70301/40i.a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2025-04-25T10:50:00Z</dcterms:created>
  <dcterms:modified xsi:type="dcterms:W3CDTF">2025-04-25T10:50:00Z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46379</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 </vt:lpwstr>
  </property>
  <property fmtid="{D5CDD505-2E9C-101B-9397-08002B2CF9AE}" pid="9" name="APPELLEE">
    <vt:lpwstr>עלא ואכד;פיראס נעימי;סאקר ניג'ם;שוקרי דבאח</vt:lpwstr>
  </property>
  <property fmtid="{D5CDD505-2E9C-101B-9397-08002B2CF9AE}" pid="10" name="LAWYER">
    <vt:lpwstr>רוזנצוייג;איתי כהן;שורר;ארבל;דבאח</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20220413</vt:lpwstr>
  </property>
  <property fmtid="{D5CDD505-2E9C-101B-9397-08002B2CF9AE}" pid="14" name="TYPE_N_DATE">
    <vt:lpwstr>39020220413</vt:lpwstr>
  </property>
  <property fmtid="{D5CDD505-2E9C-101B-9397-08002B2CF9AE}" pid="15" name="WORDNUMPAGES">
    <vt:lpwstr>20</vt:lpwstr>
  </property>
  <property fmtid="{D5CDD505-2E9C-101B-9397-08002B2CF9AE}" pid="16" name="TYPE_ABS_DATE">
    <vt:lpwstr>390020220413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13093721;13101134;20033641;18168662;20742123;27309272;6824952;17929065;10527728;25824863;27933514;4036214;7980170;5678709;26888657;21478686;25612982;6949290;26886976;27654267;26729384;26109982;21474520;22269033;21475135;5598555;22228298;26185023:2</vt:lpwstr>
  </property>
  <property fmtid="{D5CDD505-2E9C-101B-9397-08002B2CF9AE}" pid="36" name="LAWLISTTMP1">
    <vt:lpwstr>70301/144.b2:3;025:2;144.b:3;499.a.1:5;144.a:5;029:4;031:2;040c.a;040i.a;40ja;144</vt:lpwstr>
  </property>
</Properties>
</file>