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155EBF" w:rsidRPr="002C60BF" w14:paraId="19662C82" w14:textId="77777777" w:rsidTr="006435A5">
        <w:trPr>
          <w:trHeight w:hRule="exact" w:val="418"/>
          <w:jc w:val="center"/>
        </w:trPr>
        <w:tc>
          <w:tcPr>
            <w:tcW w:w="8861" w:type="dxa"/>
            <w:gridSpan w:val="2"/>
          </w:tcPr>
          <w:p w14:paraId="5F108FB6" w14:textId="77777777" w:rsidR="00155EBF" w:rsidRPr="002C60BF" w:rsidRDefault="00155EBF" w:rsidP="006435A5">
            <w:pPr>
              <w:pStyle w:val="a3"/>
              <w:jc w:val="center"/>
              <w:rPr>
                <w:rFonts w:ascii="Tahoma" w:hAnsi="Tahoma"/>
                <w:color w:val="000080"/>
                <w:sz w:val="32"/>
                <w:szCs w:val="32"/>
                <w:rtl/>
              </w:rPr>
            </w:pPr>
            <w:r w:rsidRPr="002C60BF">
              <w:rPr>
                <w:rFonts w:ascii="Tahoma" w:hAnsi="Tahoma"/>
                <w:b/>
                <w:bCs/>
                <w:color w:val="000080"/>
                <w:sz w:val="32"/>
                <w:szCs w:val="32"/>
                <w:rtl/>
              </w:rPr>
              <w:t>בית המשפט המחוזי בתל אביב - יפו</w:t>
            </w:r>
          </w:p>
        </w:tc>
      </w:tr>
      <w:tr w:rsidR="00155EBF" w:rsidRPr="002C60BF" w14:paraId="13AEFC5D" w14:textId="77777777" w:rsidTr="006435A5">
        <w:trPr>
          <w:trHeight w:val="337"/>
          <w:jc w:val="center"/>
        </w:trPr>
        <w:tc>
          <w:tcPr>
            <w:tcW w:w="5131" w:type="dxa"/>
          </w:tcPr>
          <w:p w14:paraId="7FC64692" w14:textId="77777777" w:rsidR="00155EBF" w:rsidRPr="002C60BF" w:rsidRDefault="00155EBF" w:rsidP="006435A5">
            <w:pPr>
              <w:rPr>
                <w:rFonts w:ascii="David" w:hAnsi="David"/>
                <w:b/>
                <w:bCs/>
                <w:rtl/>
              </w:rPr>
            </w:pPr>
            <w:r w:rsidRPr="002C60BF">
              <w:rPr>
                <w:rFonts w:ascii="David" w:hAnsi="David"/>
                <w:b/>
                <w:bCs/>
                <w:rtl/>
              </w:rPr>
              <w:t>ת"פ 46604-02-21 מדינת ישראל נ' אפטה</w:t>
            </w:r>
          </w:p>
          <w:p w14:paraId="748E5CF3" w14:textId="77777777" w:rsidR="00155EBF" w:rsidRPr="002C60BF" w:rsidRDefault="00155EBF" w:rsidP="006435A5">
            <w:pPr>
              <w:pStyle w:val="a3"/>
              <w:rPr>
                <w:rFonts w:ascii="David" w:hAnsi="David"/>
                <w:b/>
                <w:bCs/>
                <w:rtl/>
              </w:rPr>
            </w:pPr>
          </w:p>
        </w:tc>
        <w:tc>
          <w:tcPr>
            <w:tcW w:w="3730" w:type="dxa"/>
          </w:tcPr>
          <w:p w14:paraId="1490D7AE" w14:textId="77777777" w:rsidR="00155EBF" w:rsidRPr="002C60BF" w:rsidRDefault="00155EBF" w:rsidP="006435A5">
            <w:pPr>
              <w:pStyle w:val="a3"/>
              <w:jc w:val="right"/>
              <w:rPr>
                <w:rFonts w:ascii="David" w:hAnsi="David"/>
                <w:b/>
                <w:bCs/>
                <w:rtl/>
              </w:rPr>
            </w:pPr>
            <w:r w:rsidRPr="002C60BF">
              <w:rPr>
                <w:rFonts w:ascii="David" w:hAnsi="David"/>
                <w:b/>
                <w:bCs/>
                <w:rtl/>
              </w:rPr>
              <w:t>22 אוגוסט 2021</w:t>
            </w:r>
          </w:p>
        </w:tc>
      </w:tr>
    </w:tbl>
    <w:p w14:paraId="3B144092" w14:textId="77777777" w:rsidR="00155EBF" w:rsidRPr="002C60BF" w:rsidRDefault="00155EBF" w:rsidP="00155EBF">
      <w:pPr>
        <w:pStyle w:val="a3"/>
        <w:rPr>
          <w:rtl/>
        </w:rPr>
      </w:pPr>
      <w:r w:rsidRPr="002C60BF">
        <w:rPr>
          <w:rFonts w:hint="cs"/>
          <w:rtl/>
        </w:rPr>
        <w:t xml:space="preserve"> </w:t>
      </w:r>
    </w:p>
    <w:p w14:paraId="12FDF124" w14:textId="77777777" w:rsidR="00155EBF" w:rsidRPr="002C60BF" w:rsidRDefault="00155EBF" w:rsidP="00155EBF">
      <w:pPr>
        <w:spacing w:line="360" w:lineRule="auto"/>
        <w:jc w:val="both"/>
        <w:rPr>
          <w:rFonts w:ascii="David" w:hAnsi="David"/>
          <w:b/>
          <w:bCs/>
          <w:rtl/>
        </w:rPr>
      </w:pPr>
    </w:p>
    <w:p w14:paraId="3318AC39" w14:textId="77777777" w:rsidR="00155EBF" w:rsidRPr="002C60BF" w:rsidRDefault="00155EBF" w:rsidP="00155EBF">
      <w:pPr>
        <w:spacing w:line="360" w:lineRule="auto"/>
        <w:jc w:val="both"/>
        <w:rPr>
          <w:rFonts w:ascii="David" w:hAnsi="David"/>
          <w:b/>
          <w:bCs/>
          <w:rtl/>
        </w:rPr>
      </w:pPr>
    </w:p>
    <w:tbl>
      <w:tblPr>
        <w:bidiVisual/>
        <w:tblW w:w="8925" w:type="dxa"/>
        <w:tblInd w:w="413" w:type="dxa"/>
        <w:tblLook w:val="01E0" w:firstRow="1" w:lastRow="1" w:firstColumn="1" w:lastColumn="1" w:noHBand="0" w:noVBand="0"/>
      </w:tblPr>
      <w:tblGrid>
        <w:gridCol w:w="2439"/>
        <w:gridCol w:w="6486"/>
      </w:tblGrid>
      <w:tr w:rsidR="00155EBF" w:rsidRPr="002C60BF" w14:paraId="5891496B" w14:textId="77777777" w:rsidTr="00155EBF">
        <w:tc>
          <w:tcPr>
            <w:tcW w:w="8925" w:type="dxa"/>
            <w:gridSpan w:val="2"/>
            <w:shd w:val="clear" w:color="auto" w:fill="auto"/>
          </w:tcPr>
          <w:p w14:paraId="5493DEBF" w14:textId="77777777" w:rsidR="00155EBF" w:rsidRPr="002C60BF" w:rsidRDefault="00155EBF" w:rsidP="00155EBF">
            <w:pPr>
              <w:spacing w:line="360" w:lineRule="auto"/>
              <w:jc w:val="both"/>
              <w:rPr>
                <w:b/>
                <w:bCs/>
                <w:rtl/>
              </w:rPr>
            </w:pPr>
            <w:r w:rsidRPr="002C60BF">
              <w:rPr>
                <w:rFonts w:hint="cs"/>
                <w:b/>
                <w:bCs/>
                <w:rtl/>
              </w:rPr>
              <w:t>בפני כב' השופט בני שגיא, סגן נשיא</w:t>
            </w:r>
          </w:p>
          <w:p w14:paraId="47D52FA3" w14:textId="77777777" w:rsidR="00155EBF" w:rsidRPr="002C60BF" w:rsidRDefault="00155EBF" w:rsidP="00155EBF">
            <w:pPr>
              <w:jc w:val="right"/>
              <w:rPr>
                <w:b/>
                <w:bCs/>
                <w:rtl/>
              </w:rPr>
            </w:pPr>
          </w:p>
        </w:tc>
      </w:tr>
      <w:tr w:rsidR="00155EBF" w:rsidRPr="002C60BF" w14:paraId="260EEDA1" w14:textId="77777777" w:rsidTr="00155EBF">
        <w:trPr>
          <w:cantSplit/>
          <w:trHeight w:val="724"/>
        </w:trPr>
        <w:tc>
          <w:tcPr>
            <w:tcW w:w="2439" w:type="dxa"/>
            <w:shd w:val="clear" w:color="auto" w:fill="auto"/>
          </w:tcPr>
          <w:p w14:paraId="58BA7978" w14:textId="77777777" w:rsidR="00155EBF" w:rsidRPr="002C60BF" w:rsidRDefault="00155EBF" w:rsidP="00155EBF">
            <w:pPr>
              <w:ind w:left="26"/>
              <w:jc w:val="right"/>
              <w:rPr>
                <w:b/>
                <w:bCs/>
                <w:rtl/>
              </w:rPr>
            </w:pPr>
            <w:bookmarkStart w:id="0" w:name="FirstAppellant"/>
            <w:bookmarkStart w:id="1" w:name="FirstLawyer"/>
            <w:bookmarkStart w:id="2" w:name="LastJudge"/>
            <w:bookmarkEnd w:id="2"/>
          </w:p>
          <w:p w14:paraId="04D2C425" w14:textId="77777777" w:rsidR="00155EBF" w:rsidRPr="002C60BF" w:rsidRDefault="00155EBF" w:rsidP="00155EBF">
            <w:pPr>
              <w:ind w:left="26"/>
              <w:rPr>
                <w:b/>
                <w:bCs/>
                <w:rtl/>
              </w:rPr>
            </w:pPr>
            <w:r w:rsidRPr="002C60BF">
              <w:rPr>
                <w:rFonts w:hint="cs"/>
                <w:b/>
                <w:bCs/>
                <w:rtl/>
              </w:rPr>
              <w:t>המאשימה</w:t>
            </w:r>
          </w:p>
        </w:tc>
        <w:tc>
          <w:tcPr>
            <w:tcW w:w="6483" w:type="dxa"/>
            <w:shd w:val="clear" w:color="auto" w:fill="auto"/>
          </w:tcPr>
          <w:p w14:paraId="24BB60DD" w14:textId="77777777" w:rsidR="00155EBF" w:rsidRPr="002C60BF" w:rsidRDefault="00155EBF" w:rsidP="00155EBF">
            <w:pPr>
              <w:jc w:val="right"/>
              <w:rPr>
                <w:rtl/>
              </w:rPr>
            </w:pPr>
          </w:p>
          <w:p w14:paraId="437FB236" w14:textId="77777777" w:rsidR="00155EBF" w:rsidRPr="002C60BF" w:rsidRDefault="00155EBF" w:rsidP="00155EBF">
            <w:pPr>
              <w:spacing w:line="360" w:lineRule="auto"/>
              <w:rPr>
                <w:b/>
                <w:bCs/>
                <w:rtl/>
              </w:rPr>
            </w:pPr>
            <w:r w:rsidRPr="002C60BF">
              <w:rPr>
                <w:rFonts w:hint="cs"/>
                <w:b/>
                <w:bCs/>
                <w:rtl/>
              </w:rPr>
              <w:t>מדינת ישראל</w:t>
            </w:r>
          </w:p>
          <w:p w14:paraId="14E496BD" w14:textId="77777777" w:rsidR="00155EBF" w:rsidRPr="002C60BF" w:rsidRDefault="00155EBF" w:rsidP="006435A5">
            <w:pPr>
              <w:rPr>
                <w:rtl/>
              </w:rPr>
            </w:pPr>
            <w:r w:rsidRPr="002C60BF">
              <w:rPr>
                <w:rFonts w:hint="cs"/>
                <w:rtl/>
              </w:rPr>
              <w:t>על-ידי ב"כ עו"ד ענת בן-זאב ועו"ד שלי קוטין</w:t>
            </w:r>
          </w:p>
          <w:p w14:paraId="20779153" w14:textId="77777777" w:rsidR="00155EBF" w:rsidRPr="002C60BF" w:rsidRDefault="00155EBF" w:rsidP="00155EBF">
            <w:pPr>
              <w:jc w:val="right"/>
              <w:rPr>
                <w:b/>
                <w:bCs/>
                <w:rtl/>
              </w:rPr>
            </w:pPr>
          </w:p>
        </w:tc>
      </w:tr>
      <w:bookmarkEnd w:id="0"/>
      <w:bookmarkEnd w:id="1"/>
      <w:tr w:rsidR="00155EBF" w:rsidRPr="002C60BF" w14:paraId="2A22FCF1" w14:textId="77777777" w:rsidTr="00155EBF">
        <w:tc>
          <w:tcPr>
            <w:tcW w:w="8922" w:type="dxa"/>
            <w:gridSpan w:val="2"/>
            <w:shd w:val="clear" w:color="auto" w:fill="auto"/>
            <w:vAlign w:val="center"/>
          </w:tcPr>
          <w:p w14:paraId="25BEF01D" w14:textId="77777777" w:rsidR="00155EBF" w:rsidRPr="002C60BF" w:rsidRDefault="00155EBF" w:rsidP="00155EBF">
            <w:pPr>
              <w:jc w:val="center"/>
              <w:rPr>
                <w:rFonts w:ascii="Arial" w:hAnsi="Arial"/>
                <w:b/>
                <w:bCs/>
                <w:rtl/>
              </w:rPr>
            </w:pPr>
          </w:p>
          <w:p w14:paraId="290E4BF9" w14:textId="77777777" w:rsidR="00155EBF" w:rsidRPr="002C60BF" w:rsidRDefault="00155EBF" w:rsidP="00155EBF">
            <w:pPr>
              <w:jc w:val="center"/>
              <w:rPr>
                <w:rFonts w:ascii="Arial" w:hAnsi="Arial"/>
                <w:b/>
                <w:bCs/>
                <w:rtl/>
              </w:rPr>
            </w:pPr>
            <w:r w:rsidRPr="002C60BF">
              <w:rPr>
                <w:rFonts w:ascii="Arial" w:hAnsi="Arial" w:hint="cs"/>
                <w:b/>
                <w:bCs/>
                <w:rtl/>
              </w:rPr>
              <w:t>נגד</w:t>
            </w:r>
          </w:p>
          <w:p w14:paraId="24855538" w14:textId="77777777" w:rsidR="00155EBF" w:rsidRPr="002C60BF" w:rsidRDefault="00155EBF" w:rsidP="00155EBF">
            <w:pPr>
              <w:jc w:val="right"/>
              <w:rPr>
                <w:rFonts w:ascii="Arial" w:hAnsi="Arial"/>
                <w:b/>
                <w:bCs/>
                <w:rtl/>
              </w:rPr>
            </w:pPr>
          </w:p>
        </w:tc>
      </w:tr>
      <w:tr w:rsidR="00155EBF" w:rsidRPr="002C60BF" w14:paraId="0D2AE747" w14:textId="77777777" w:rsidTr="00155EBF">
        <w:tc>
          <w:tcPr>
            <w:tcW w:w="2439" w:type="dxa"/>
            <w:shd w:val="clear" w:color="auto" w:fill="auto"/>
          </w:tcPr>
          <w:p w14:paraId="1B4E7ADA" w14:textId="77777777" w:rsidR="00155EBF" w:rsidRPr="002C60BF" w:rsidRDefault="00155EBF" w:rsidP="00155EBF">
            <w:pPr>
              <w:ind w:left="26"/>
              <w:rPr>
                <w:b/>
                <w:bCs/>
                <w:rtl/>
              </w:rPr>
            </w:pPr>
            <w:r w:rsidRPr="002C60BF">
              <w:rPr>
                <w:rFonts w:hint="cs"/>
                <w:b/>
                <w:bCs/>
                <w:rtl/>
              </w:rPr>
              <w:t>הנאשם</w:t>
            </w:r>
          </w:p>
        </w:tc>
        <w:tc>
          <w:tcPr>
            <w:tcW w:w="6483" w:type="dxa"/>
            <w:shd w:val="clear" w:color="auto" w:fill="auto"/>
          </w:tcPr>
          <w:p w14:paraId="2CCBB3BF" w14:textId="77777777" w:rsidR="00155EBF" w:rsidRPr="002C60BF" w:rsidRDefault="00155EBF" w:rsidP="00155EBF">
            <w:pPr>
              <w:spacing w:line="360" w:lineRule="auto"/>
              <w:rPr>
                <w:b/>
                <w:bCs/>
                <w:rtl/>
              </w:rPr>
            </w:pPr>
            <w:r w:rsidRPr="002C60BF">
              <w:rPr>
                <w:rFonts w:hint="cs"/>
                <w:b/>
                <w:bCs/>
                <w:rtl/>
              </w:rPr>
              <w:t>נחמן אפטה (עציר)</w:t>
            </w:r>
            <w:r w:rsidRPr="002C60BF">
              <w:rPr>
                <w:rFonts w:hint="cs"/>
                <w:rtl/>
              </w:rPr>
              <w:t xml:space="preserve"> </w:t>
            </w:r>
            <w:r w:rsidRPr="002C60BF">
              <w:rPr>
                <w:rFonts w:hint="cs"/>
                <w:b/>
                <w:bCs/>
                <w:rtl/>
              </w:rPr>
              <w:t xml:space="preserve">ת"ז  </w:t>
            </w:r>
            <w:r w:rsidR="002C60BF">
              <w:rPr>
                <w:b/>
                <w:bCs/>
              </w:rPr>
              <w:t>xxxxxxxxxx</w:t>
            </w:r>
          </w:p>
          <w:p w14:paraId="1DBB62DB" w14:textId="77777777" w:rsidR="00155EBF" w:rsidRPr="002C60BF" w:rsidRDefault="00155EBF" w:rsidP="006435A5">
            <w:pPr>
              <w:rPr>
                <w:rtl/>
              </w:rPr>
            </w:pPr>
            <w:r w:rsidRPr="002C60BF">
              <w:rPr>
                <w:rFonts w:hint="cs"/>
                <w:rtl/>
              </w:rPr>
              <w:t>על-ידי ב"כ עו"ד שחר חצרוני</w:t>
            </w:r>
          </w:p>
          <w:p w14:paraId="38CC3570" w14:textId="77777777" w:rsidR="00155EBF" w:rsidRPr="002C60BF" w:rsidRDefault="00155EBF" w:rsidP="00155EBF">
            <w:pPr>
              <w:jc w:val="right"/>
              <w:rPr>
                <w:b/>
                <w:bCs/>
                <w:rtl/>
              </w:rPr>
            </w:pPr>
          </w:p>
        </w:tc>
      </w:tr>
    </w:tbl>
    <w:p w14:paraId="41F73D40" w14:textId="77777777" w:rsidR="00A1465A" w:rsidRDefault="00A1465A" w:rsidP="00155EBF">
      <w:pPr>
        <w:spacing w:line="360" w:lineRule="auto"/>
        <w:jc w:val="both"/>
        <w:rPr>
          <w:rFonts w:ascii="David" w:hAnsi="David"/>
          <w:rtl/>
        </w:rPr>
      </w:pPr>
    </w:p>
    <w:p w14:paraId="44F58B67" w14:textId="77777777" w:rsidR="00A1465A" w:rsidRPr="00A1465A" w:rsidRDefault="00A1465A" w:rsidP="00A1465A">
      <w:pPr>
        <w:spacing w:after="120" w:line="240" w:lineRule="exact"/>
        <w:ind w:left="283" w:hanging="283"/>
        <w:jc w:val="both"/>
        <w:rPr>
          <w:rFonts w:ascii="FrankRuehl" w:hAnsi="FrankRuehl" w:cs="FrankRuehl"/>
          <w:rtl/>
        </w:rPr>
      </w:pPr>
    </w:p>
    <w:p w14:paraId="1AF1CF61" w14:textId="77777777" w:rsidR="002207FE" w:rsidRDefault="002207FE" w:rsidP="002207FE">
      <w:pPr>
        <w:spacing w:line="360" w:lineRule="auto"/>
        <w:jc w:val="center"/>
        <w:rPr>
          <w:sz w:val="34"/>
          <w:szCs w:val="34"/>
          <w:rtl/>
        </w:rPr>
      </w:pPr>
      <w:bookmarkStart w:id="3" w:name="LawTable"/>
      <w:bookmarkEnd w:id="3"/>
    </w:p>
    <w:p w14:paraId="49AD715D" w14:textId="77777777" w:rsidR="002207FE" w:rsidRPr="002207FE" w:rsidRDefault="002207FE" w:rsidP="002207FE">
      <w:pPr>
        <w:spacing w:before="120" w:after="120" w:line="240" w:lineRule="exact"/>
        <w:ind w:left="283" w:hanging="283"/>
        <w:jc w:val="both"/>
        <w:rPr>
          <w:rFonts w:ascii="FrankRuehl" w:hAnsi="FrankRuehl" w:cs="FrankRuehl"/>
          <w:rtl/>
        </w:rPr>
      </w:pPr>
    </w:p>
    <w:p w14:paraId="1DE2CE4F" w14:textId="77777777" w:rsidR="002207FE" w:rsidRPr="002207FE" w:rsidRDefault="002207FE" w:rsidP="002207FE">
      <w:pPr>
        <w:spacing w:before="120" w:after="120" w:line="240" w:lineRule="exact"/>
        <w:ind w:left="283" w:hanging="283"/>
        <w:jc w:val="both"/>
        <w:rPr>
          <w:rFonts w:ascii="FrankRuehl" w:hAnsi="FrankRuehl" w:cs="FrankRuehl"/>
          <w:rtl/>
        </w:rPr>
      </w:pPr>
    </w:p>
    <w:p w14:paraId="21117827" w14:textId="77777777" w:rsidR="002207FE" w:rsidRPr="002207FE" w:rsidRDefault="002207FE" w:rsidP="002207FE">
      <w:pPr>
        <w:spacing w:before="120" w:after="120" w:line="240" w:lineRule="exact"/>
        <w:ind w:left="283" w:hanging="283"/>
        <w:jc w:val="both"/>
        <w:rPr>
          <w:rFonts w:ascii="FrankRuehl" w:hAnsi="FrankRuehl" w:cs="FrankRuehl"/>
          <w:rtl/>
        </w:rPr>
      </w:pPr>
      <w:r w:rsidRPr="002207FE">
        <w:rPr>
          <w:rFonts w:ascii="FrankRuehl" w:hAnsi="FrankRuehl" w:cs="FrankRuehl"/>
          <w:rtl/>
        </w:rPr>
        <w:t xml:space="preserve">חקיקה שאוזכרה: </w:t>
      </w:r>
    </w:p>
    <w:p w14:paraId="363B46A3" w14:textId="77777777" w:rsidR="002207FE" w:rsidRPr="002207FE" w:rsidRDefault="002207FE" w:rsidP="002207FE">
      <w:pPr>
        <w:spacing w:before="120" w:after="120" w:line="240" w:lineRule="exact"/>
        <w:ind w:left="283" w:hanging="283"/>
        <w:jc w:val="both"/>
        <w:rPr>
          <w:rFonts w:ascii="FrankRuehl" w:hAnsi="FrankRuehl" w:cs="FrankRuehl"/>
          <w:rtl/>
        </w:rPr>
      </w:pPr>
      <w:hyperlink r:id="rId6" w:history="1">
        <w:r w:rsidRPr="002207FE">
          <w:rPr>
            <w:rFonts w:ascii="FrankRuehl" w:hAnsi="FrankRuehl" w:cs="FrankRuehl"/>
            <w:color w:val="0000FF"/>
            <w:rtl/>
          </w:rPr>
          <w:t>חוק העונשין, תשל"ז-1977</w:t>
        </w:r>
      </w:hyperlink>
      <w:r w:rsidRPr="002207FE">
        <w:rPr>
          <w:rFonts w:ascii="FrankRuehl" w:hAnsi="FrankRuehl" w:cs="FrankRuehl"/>
          <w:rtl/>
        </w:rPr>
        <w:t xml:space="preserve">: סע'  </w:t>
      </w:r>
      <w:hyperlink r:id="rId7" w:history="1">
        <w:r w:rsidRPr="002207FE">
          <w:rPr>
            <w:rFonts w:ascii="FrankRuehl" w:hAnsi="FrankRuehl" w:cs="FrankRuehl"/>
            <w:color w:val="0000FF"/>
            <w:rtl/>
          </w:rPr>
          <w:t>144(א)</w:t>
        </w:r>
      </w:hyperlink>
      <w:r w:rsidRPr="002207FE">
        <w:rPr>
          <w:rFonts w:ascii="FrankRuehl" w:hAnsi="FrankRuehl" w:cs="FrankRuehl"/>
          <w:rtl/>
        </w:rPr>
        <w:t xml:space="preserve">, </w:t>
      </w:r>
      <w:hyperlink r:id="rId8" w:history="1">
        <w:r w:rsidRPr="002207FE">
          <w:rPr>
            <w:rFonts w:ascii="FrankRuehl" w:hAnsi="FrankRuehl" w:cs="FrankRuehl"/>
            <w:color w:val="0000FF"/>
            <w:rtl/>
          </w:rPr>
          <w:t>411</w:t>
        </w:r>
      </w:hyperlink>
    </w:p>
    <w:p w14:paraId="1B11A638" w14:textId="77777777" w:rsidR="002207FE" w:rsidRPr="002207FE" w:rsidRDefault="002207FE" w:rsidP="002207FE">
      <w:pPr>
        <w:spacing w:before="120" w:after="120" w:line="240" w:lineRule="exact"/>
        <w:ind w:left="283" w:hanging="283"/>
        <w:jc w:val="both"/>
        <w:rPr>
          <w:rFonts w:ascii="FrankRuehl" w:hAnsi="FrankRuehl" w:cs="FrankRuehl"/>
          <w:rtl/>
        </w:rPr>
      </w:pPr>
      <w:hyperlink r:id="rId9" w:history="1">
        <w:r w:rsidRPr="002207FE">
          <w:rPr>
            <w:rFonts w:ascii="FrankRuehl" w:hAnsi="FrankRuehl" w:cs="FrankRuehl"/>
            <w:color w:val="0000FF"/>
            <w:rtl/>
          </w:rPr>
          <w:t>פקודת הסמים המסוכנים [נוסח חדש], תשל"ג-1973</w:t>
        </w:r>
      </w:hyperlink>
      <w:r w:rsidRPr="002207FE">
        <w:rPr>
          <w:rFonts w:ascii="FrankRuehl" w:hAnsi="FrankRuehl" w:cs="FrankRuehl"/>
          <w:rtl/>
        </w:rPr>
        <w:t xml:space="preserve">: סע'  </w:t>
      </w:r>
      <w:hyperlink r:id="rId10" w:history="1">
        <w:r w:rsidRPr="002207FE">
          <w:rPr>
            <w:rFonts w:ascii="FrankRuehl" w:hAnsi="FrankRuehl" w:cs="FrankRuehl"/>
            <w:color w:val="0000FF"/>
            <w:rtl/>
          </w:rPr>
          <w:t>7.א.</w:t>
        </w:r>
      </w:hyperlink>
      <w:r w:rsidRPr="002207FE">
        <w:rPr>
          <w:rFonts w:ascii="FrankRuehl" w:hAnsi="FrankRuehl" w:cs="FrankRuehl"/>
          <w:rtl/>
        </w:rPr>
        <w:t xml:space="preserve">, </w:t>
      </w:r>
      <w:hyperlink r:id="rId11" w:history="1">
        <w:r w:rsidRPr="002207FE">
          <w:rPr>
            <w:rFonts w:ascii="FrankRuehl" w:hAnsi="FrankRuehl" w:cs="FrankRuehl"/>
            <w:color w:val="0000FF"/>
            <w:rtl/>
          </w:rPr>
          <w:t>7.ג</w:t>
        </w:r>
      </w:hyperlink>
    </w:p>
    <w:p w14:paraId="0F22855E" w14:textId="77777777" w:rsidR="002207FE" w:rsidRPr="002207FE" w:rsidRDefault="002207FE" w:rsidP="002207FE">
      <w:pPr>
        <w:spacing w:line="360" w:lineRule="auto"/>
        <w:jc w:val="center"/>
        <w:rPr>
          <w:sz w:val="34"/>
          <w:szCs w:val="34"/>
          <w:rtl/>
        </w:rPr>
      </w:pPr>
      <w:bookmarkStart w:id="4" w:name="LawTable_End"/>
      <w:bookmarkEnd w:id="4"/>
    </w:p>
    <w:p w14:paraId="3A632484" w14:textId="77777777" w:rsidR="002C60BF" w:rsidRPr="002C60BF" w:rsidRDefault="002C60BF" w:rsidP="00155EBF">
      <w:pPr>
        <w:spacing w:line="360" w:lineRule="auto"/>
        <w:jc w:val="center"/>
        <w:rPr>
          <w:b/>
          <w:bCs/>
          <w:sz w:val="34"/>
          <w:szCs w:val="34"/>
          <w:rtl/>
        </w:rPr>
      </w:pPr>
    </w:p>
    <w:p w14:paraId="087CACBB" w14:textId="77777777" w:rsidR="002C60BF" w:rsidRPr="002C60BF" w:rsidRDefault="002C60BF" w:rsidP="002C60BF">
      <w:pPr>
        <w:jc w:val="center"/>
        <w:rPr>
          <w:b/>
          <w:bCs/>
          <w:sz w:val="34"/>
          <w:szCs w:val="34"/>
          <w:u w:val="single"/>
          <w:rtl/>
        </w:rPr>
      </w:pPr>
      <w:bookmarkStart w:id="5" w:name="PsakDin"/>
      <w:r w:rsidRPr="002C60BF">
        <w:rPr>
          <w:b/>
          <w:bCs/>
          <w:sz w:val="34"/>
          <w:szCs w:val="34"/>
          <w:u w:val="single"/>
          <w:rtl/>
        </w:rPr>
        <w:t>גזר דין</w:t>
      </w:r>
    </w:p>
    <w:bookmarkEnd w:id="5"/>
    <w:p w14:paraId="31FB2E11" w14:textId="77777777" w:rsidR="00155EBF" w:rsidRDefault="00155EBF" w:rsidP="00155EBF">
      <w:pPr>
        <w:rPr>
          <w:rtl/>
        </w:rPr>
      </w:pPr>
    </w:p>
    <w:p w14:paraId="0C231B7E" w14:textId="77777777" w:rsidR="00155EBF" w:rsidRDefault="00155EBF" w:rsidP="00155EBF">
      <w:pPr>
        <w:rPr>
          <w:rtl/>
        </w:rPr>
      </w:pPr>
      <w:r>
        <w:rPr>
          <w:rtl/>
        </w:rPr>
        <w:tab/>
      </w:r>
      <w:r>
        <w:rPr>
          <w:rFonts w:hint="cs"/>
          <w:u w:val="single"/>
          <w:rtl/>
        </w:rPr>
        <w:t>כללי</w:t>
      </w:r>
    </w:p>
    <w:p w14:paraId="39E27808" w14:textId="77777777" w:rsidR="00155EBF" w:rsidRDefault="00155EBF" w:rsidP="00155EBF">
      <w:pPr>
        <w:rPr>
          <w:rtl/>
        </w:rPr>
      </w:pPr>
    </w:p>
    <w:p w14:paraId="40239AC8" w14:textId="77777777" w:rsidR="00155EBF" w:rsidRDefault="00155EBF" w:rsidP="00155EBF">
      <w:pPr>
        <w:spacing w:line="360" w:lineRule="auto"/>
        <w:ind w:left="720" w:hanging="720"/>
        <w:jc w:val="both"/>
        <w:rPr>
          <w:rtl/>
        </w:rPr>
      </w:pPr>
      <w:r>
        <w:rPr>
          <w:rFonts w:hint="cs"/>
          <w:rtl/>
        </w:rPr>
        <w:t>1.</w:t>
      </w:r>
      <w:r>
        <w:rPr>
          <w:rtl/>
        </w:rPr>
        <w:tab/>
      </w:r>
      <w:bookmarkStart w:id="6" w:name="ABSTRACT_START"/>
      <w:bookmarkEnd w:id="6"/>
      <w:r>
        <w:rPr>
          <w:rFonts w:hint="cs"/>
          <w:rtl/>
        </w:rPr>
        <w:t xml:space="preserve">הנאשם הורשע על יסוד הודאתו בעבירות של קבלת נכס שהושג בפשע, לפי </w:t>
      </w:r>
      <w:hyperlink r:id="rId12" w:history="1">
        <w:r w:rsidR="00A1465A" w:rsidRPr="00A1465A">
          <w:rPr>
            <w:rStyle w:val="Hyperlink"/>
            <w:rFonts w:hint="eastAsia"/>
            <w:rtl/>
          </w:rPr>
          <w:t>סעיף</w:t>
        </w:r>
        <w:r w:rsidR="00A1465A" w:rsidRPr="00A1465A">
          <w:rPr>
            <w:rStyle w:val="Hyperlink"/>
            <w:rtl/>
          </w:rPr>
          <w:t xml:space="preserve"> 411</w:t>
        </w:r>
      </w:hyperlink>
      <w:r>
        <w:rPr>
          <w:rFonts w:hint="cs"/>
          <w:rtl/>
        </w:rPr>
        <w:t xml:space="preserve"> ל</w:t>
      </w:r>
      <w:hyperlink r:id="rId13" w:history="1">
        <w:r w:rsidR="002C60BF" w:rsidRPr="002C60BF">
          <w:rPr>
            <w:color w:val="0000FF"/>
            <w:u w:val="single"/>
            <w:rtl/>
          </w:rPr>
          <w:t>חוק העונשין</w:t>
        </w:r>
      </w:hyperlink>
      <w:r>
        <w:rPr>
          <w:rFonts w:hint="cs"/>
          <w:rtl/>
        </w:rPr>
        <w:t xml:space="preserve"> תשל"ז-1977; החזקת נשק שלא כדין, לפי </w:t>
      </w:r>
      <w:hyperlink r:id="rId14" w:history="1">
        <w:r w:rsidR="00A1465A" w:rsidRPr="00A1465A">
          <w:rPr>
            <w:rStyle w:val="Hyperlink"/>
            <w:rFonts w:hint="eastAsia"/>
            <w:rtl/>
          </w:rPr>
          <w:t>סעיף</w:t>
        </w:r>
        <w:r w:rsidR="00A1465A" w:rsidRPr="00A1465A">
          <w:rPr>
            <w:rStyle w:val="Hyperlink"/>
            <w:rtl/>
          </w:rPr>
          <w:t xml:space="preserve"> 144(א)</w:t>
        </w:r>
      </w:hyperlink>
      <w:r>
        <w:rPr>
          <w:rFonts w:hint="cs"/>
          <w:rtl/>
        </w:rPr>
        <w:t xml:space="preserve"> לחוק העונשין; והחזקת סם שלא לצריכה עצמית, לפי </w:t>
      </w:r>
      <w:hyperlink r:id="rId15" w:history="1">
        <w:r w:rsidR="00A1465A" w:rsidRPr="00A1465A">
          <w:rPr>
            <w:rStyle w:val="Hyperlink"/>
            <w:rFonts w:hint="eastAsia"/>
            <w:rtl/>
          </w:rPr>
          <w:t>סעיף</w:t>
        </w:r>
        <w:r w:rsidR="00A1465A" w:rsidRPr="00A1465A">
          <w:rPr>
            <w:rStyle w:val="Hyperlink"/>
            <w:rtl/>
          </w:rPr>
          <w:t xml:space="preserve"> 7(א)+(ג)</w:t>
        </w:r>
      </w:hyperlink>
      <w:r>
        <w:rPr>
          <w:rFonts w:hint="cs"/>
          <w:rtl/>
        </w:rPr>
        <w:t xml:space="preserve"> רישא לפקודת הסמים. במסגרת הסדר הטיעון שגובש תוקן כתב האישום, אולם לא גובשה הסכמה לעניין העונש. הנאשם הופנה לשרות המבחן נוכח קיומה של חובת תסקיר (הנאשם יליד שנת 2000).</w:t>
      </w:r>
    </w:p>
    <w:p w14:paraId="30F5B643" w14:textId="77777777" w:rsidR="00155EBF" w:rsidRDefault="00155EBF" w:rsidP="00155EBF">
      <w:pPr>
        <w:spacing w:line="360" w:lineRule="auto"/>
        <w:ind w:left="720" w:hanging="720"/>
        <w:jc w:val="both"/>
        <w:rPr>
          <w:rtl/>
        </w:rPr>
      </w:pPr>
    </w:p>
    <w:p w14:paraId="5D5DE661" w14:textId="77777777" w:rsidR="00155EBF" w:rsidRDefault="00155EBF" w:rsidP="00155EBF">
      <w:pPr>
        <w:spacing w:line="360" w:lineRule="auto"/>
        <w:ind w:left="720" w:hanging="720"/>
        <w:jc w:val="both"/>
        <w:rPr>
          <w:rtl/>
        </w:rPr>
      </w:pPr>
      <w:bookmarkStart w:id="7" w:name="ABSTRACT_END"/>
      <w:bookmarkEnd w:id="7"/>
      <w:r>
        <w:rPr>
          <w:rFonts w:hint="cs"/>
          <w:rtl/>
        </w:rPr>
        <w:t>2.</w:t>
      </w:r>
      <w:r>
        <w:rPr>
          <w:rFonts w:hint="cs"/>
          <w:rtl/>
        </w:rPr>
        <w:tab/>
        <w:t xml:space="preserve">כתב האישום המתוקן מחזיק שני אישומים. </w:t>
      </w:r>
    </w:p>
    <w:p w14:paraId="765C005C" w14:textId="77777777" w:rsidR="00155EBF" w:rsidRDefault="00155EBF" w:rsidP="00155EBF">
      <w:pPr>
        <w:spacing w:line="360" w:lineRule="auto"/>
        <w:ind w:left="720" w:hanging="720"/>
        <w:jc w:val="both"/>
        <w:rPr>
          <w:rtl/>
        </w:rPr>
      </w:pPr>
    </w:p>
    <w:p w14:paraId="4286C38E" w14:textId="77777777" w:rsidR="00155EBF" w:rsidRPr="003D503D" w:rsidRDefault="00155EBF" w:rsidP="00155EBF">
      <w:pPr>
        <w:spacing w:line="360" w:lineRule="auto"/>
        <w:ind w:left="720" w:hanging="720"/>
        <w:jc w:val="both"/>
        <w:rPr>
          <w:rtl/>
        </w:rPr>
      </w:pPr>
      <w:r>
        <w:rPr>
          <w:rtl/>
        </w:rPr>
        <w:tab/>
      </w:r>
      <w:r>
        <w:rPr>
          <w:rFonts w:hint="cs"/>
          <w:b/>
          <w:bCs/>
          <w:rtl/>
        </w:rPr>
        <w:t>על-פי עובדות האישום הראשון</w:t>
      </w:r>
      <w:r>
        <w:rPr>
          <w:rFonts w:hint="cs"/>
          <w:rtl/>
        </w:rPr>
        <w:t xml:space="preserve">, ביום 11.1.2021 התפרץ אדם, שזהותו אינה ידועה למאשימה, לדירה בחולון, וגנב מתוכה אקדח מסוג "גלוק" (להלן - </w:t>
      </w:r>
      <w:r>
        <w:rPr>
          <w:rFonts w:hint="cs"/>
          <w:b/>
          <w:bCs/>
          <w:rtl/>
        </w:rPr>
        <w:t>האקדח</w:t>
      </w:r>
      <w:r>
        <w:rPr>
          <w:rFonts w:hint="cs"/>
          <w:rtl/>
        </w:rPr>
        <w:t xml:space="preserve">). מספר שעות לאחר מכן, העביר אותו אדם </w:t>
      </w:r>
      <w:r>
        <w:rPr>
          <w:rFonts w:hint="cs"/>
          <w:rtl/>
        </w:rPr>
        <w:lastRenderedPageBreak/>
        <w:t xml:space="preserve">שזהותו אינה ידועה, את האקדח לנאשם, אשר כיוון אותו אל אדם אחר </w:t>
      </w:r>
      <w:r w:rsidRPr="003D503D">
        <w:rPr>
          <w:rFonts w:hint="cs"/>
          <w:b/>
          <w:bCs/>
          <w:rtl/>
        </w:rPr>
        <w:t>והצטלם כשהוא אוחז בו</w:t>
      </w:r>
      <w:r>
        <w:rPr>
          <w:rFonts w:hint="cs"/>
          <w:rtl/>
        </w:rPr>
        <w:t xml:space="preserve">. יצוין כבר בשלב זה, כי לא הייתה מחלוקת בין הצדדים כי </w:t>
      </w:r>
      <w:r w:rsidRPr="006D4B5B">
        <w:rPr>
          <w:rFonts w:hint="cs"/>
          <w:b/>
          <w:bCs/>
          <w:rtl/>
        </w:rPr>
        <w:t>החזקת הנשק על-ידי הנאשם הייתה נקודתית לצורך הצילום בלבד</w:t>
      </w:r>
      <w:r>
        <w:rPr>
          <w:rFonts w:hint="cs"/>
          <w:rtl/>
        </w:rPr>
        <w:t>, ולאחריה, לא המשיך הנאשם להחזיק באקדח (ראה פרוטוקול עמ' 6 ש' 11).</w:t>
      </w:r>
    </w:p>
    <w:p w14:paraId="4708FB6C" w14:textId="77777777" w:rsidR="00155EBF" w:rsidRDefault="00155EBF" w:rsidP="00155EBF">
      <w:pPr>
        <w:rPr>
          <w:rtl/>
        </w:rPr>
      </w:pPr>
    </w:p>
    <w:p w14:paraId="3EA23A19" w14:textId="77777777" w:rsidR="00155EBF" w:rsidRDefault="00155EBF" w:rsidP="00155EBF">
      <w:pPr>
        <w:spacing w:line="360" w:lineRule="auto"/>
        <w:ind w:left="720" w:hanging="720"/>
        <w:jc w:val="both"/>
        <w:rPr>
          <w:rtl/>
        </w:rPr>
      </w:pPr>
      <w:r w:rsidRPr="006D4B5B">
        <w:rPr>
          <w:b/>
          <w:bCs/>
          <w:rtl/>
        </w:rPr>
        <w:tab/>
      </w:r>
      <w:r w:rsidRPr="006D4B5B">
        <w:rPr>
          <w:rFonts w:hint="cs"/>
          <w:b/>
          <w:bCs/>
          <w:rtl/>
        </w:rPr>
        <w:t>על-פי עובדות האישום השני</w:t>
      </w:r>
      <w:r>
        <w:rPr>
          <w:rFonts w:hint="cs"/>
          <w:rtl/>
        </w:rPr>
        <w:t xml:space="preserve">, החזיק הנאשם בביתו כ- 30 גרם סם מסוכן מסוג קוקאין, וזאת לצד שקיות אטימה שקופות קטנות, משקל דיגיטלי, כף פלסטיק וניירות אפייה - כלים המשמשים לשקילת הקוקאין ולאריזתו. </w:t>
      </w:r>
    </w:p>
    <w:p w14:paraId="709B9F14" w14:textId="77777777" w:rsidR="00155EBF" w:rsidRDefault="00155EBF" w:rsidP="00155EBF">
      <w:pPr>
        <w:spacing w:line="360" w:lineRule="auto"/>
        <w:ind w:left="720" w:hanging="720"/>
        <w:jc w:val="both"/>
        <w:rPr>
          <w:rtl/>
        </w:rPr>
      </w:pPr>
    </w:p>
    <w:p w14:paraId="1D32C5D8" w14:textId="77777777" w:rsidR="00155EBF" w:rsidRDefault="00155EBF" w:rsidP="00155EBF">
      <w:pPr>
        <w:spacing w:line="360" w:lineRule="auto"/>
        <w:ind w:left="720" w:hanging="720"/>
        <w:jc w:val="both"/>
        <w:rPr>
          <w:rtl/>
        </w:rPr>
      </w:pPr>
      <w:r>
        <w:rPr>
          <w:rtl/>
        </w:rPr>
        <w:tab/>
      </w:r>
      <w:r>
        <w:rPr>
          <w:rFonts w:hint="cs"/>
          <w:u w:val="single"/>
          <w:rtl/>
        </w:rPr>
        <w:t>תסקיר שרות המבחן</w:t>
      </w:r>
    </w:p>
    <w:p w14:paraId="3FDCA172" w14:textId="77777777" w:rsidR="00155EBF" w:rsidRPr="001302F5" w:rsidRDefault="00155EBF" w:rsidP="00155EBF">
      <w:pPr>
        <w:spacing w:line="360" w:lineRule="auto"/>
        <w:ind w:left="720" w:hanging="720"/>
        <w:jc w:val="both"/>
        <w:rPr>
          <w:rtl/>
        </w:rPr>
      </w:pPr>
    </w:p>
    <w:p w14:paraId="0E2A722D" w14:textId="77777777" w:rsidR="00155EBF" w:rsidRDefault="00155EBF" w:rsidP="00155EBF">
      <w:pPr>
        <w:spacing w:line="360" w:lineRule="auto"/>
        <w:ind w:left="720" w:hanging="720"/>
        <w:jc w:val="both"/>
        <w:rPr>
          <w:rtl/>
        </w:rPr>
      </w:pPr>
      <w:r>
        <w:rPr>
          <w:rFonts w:hint="cs"/>
          <w:rtl/>
        </w:rPr>
        <w:t>3.</w:t>
      </w:r>
      <w:r>
        <w:rPr>
          <w:rFonts w:hint="cs"/>
          <w:rtl/>
        </w:rPr>
        <w:tab/>
        <w:t xml:space="preserve">מתסקיר שרות המבחן עולה כי מדובר בנאשם בן 21, רווק, אשר טרם מעצרו לא עבד באופן רציף וחי בתל-אביב, במנותק ממשפחתו המנהלת אורח חיים חרדי ומתגוררת בצפת. הנאשם סיים 9 שנות לימוד, לאחר מכן נשר מבית הספר. בגיל 15 החל תהליך של חזרה בשאלה, ובסמוך לכך עזב את בית משפחתו, תחילה התמקם אצל קרובי משפחתו, ובהמשך שכר דירה בתל-אביב. הנאשם שיתף כי מגיל צעיר החל להשתמש בקנאביס אליו נחשף באמצעות חבריו במקום מגוריו, ובהמשך נחשף גם לשימוש בסם מסוג קוקאין. לדבריו, השימוש בסמים היווה עבורו דרך בילוי, אמצעי בריחה והרגעה מקשיים עימם התמודד, אך אינו רואה עצמו מכור לסמים, ובתקופת מעצרו נגמל בכוחות עצמו. כיום לדבריו, מנהל אורח חיים דתי בבית המעצר, ואינו חש צורך ונזקקות טיפולית בתחום זה של חייו. הנאשם תיאר את מעורבותו באישום הראשון ככזו שהיא תולדה של סיטואציה, במסגרתה הגיע אליו חבר, ובידו נשק, והוא אכן נטל את הנשק מידו והצטלם עימו, מתוך התלהבות, ולאחר מכן החזירו לאותו חבר. הנאשם תיאר כי לא ידע מהו מקור הנשק, ובאיזה דרך בלתי חוקית קיבל אותו חבר לידיו. באשר לאישום השני, הוסבר כי שיתף פעולה עם חבר נוסף, עת הסתיר את הסמים בדירתו, וזאת תמורת קבלת כמות מסוימת לשימוש עצמי. שרות המבחן התרשם כי הדמויות המיטביות בעולמו של הנאשם התקשו לתת מענה לצרכיו המיוחדים, וקיימים קונפליקטים בלתי פתורים בין הנאשם להוריו, על רקע ניהול אורח חיים חילוני ומעורבותו בפלילים. עוד צוין כי הנאשם עסוק בצרכיו הרגשיים והחומריים, ועלול להביא לידי ביטוי התנהגות חסרת שיקול דעת, אימפולסיבית, עוברת חוק, חסרת בשלות וללא מחשבה על השלכות מעשיו. על יסוד מאפייני אישיותו הבלתי בשלים, העדר הכרה מספקת באשר למצבו, והתייחסות קורבנית לעבירות שביצע, סבר שרות המבחן כי קיים סיכון להישנות התנהגות עוברת חוק מצידו. עוד נקבע בתסקיר כי נוכח קושי במודעות והעדר הבעת נזקקות טיפולית, אין מקום לענישה בעלת היבט שיקומי, אולם ככל שיוטל על הנאשם לרצות תקופת מאסר, מומלץ כי עונש זה ירוצה בכלא טיפולי על-מנת לאפשר לנאשם לקבל התייחסות טיפולית ושיקומית. </w:t>
      </w:r>
    </w:p>
    <w:p w14:paraId="0D6AE112" w14:textId="77777777" w:rsidR="00155EBF" w:rsidRDefault="00155EBF" w:rsidP="00155EBF">
      <w:pPr>
        <w:spacing w:line="360" w:lineRule="auto"/>
        <w:ind w:left="720" w:hanging="720"/>
        <w:jc w:val="both"/>
        <w:rPr>
          <w:rtl/>
        </w:rPr>
      </w:pPr>
    </w:p>
    <w:p w14:paraId="58493645" w14:textId="77777777" w:rsidR="00155EBF" w:rsidRDefault="00155EBF" w:rsidP="00155EBF">
      <w:pPr>
        <w:spacing w:line="360" w:lineRule="auto"/>
        <w:ind w:left="720" w:hanging="720"/>
        <w:jc w:val="both"/>
        <w:rPr>
          <w:u w:val="single"/>
          <w:rtl/>
        </w:rPr>
      </w:pPr>
      <w:r>
        <w:rPr>
          <w:rtl/>
        </w:rPr>
        <w:tab/>
      </w:r>
      <w:r>
        <w:rPr>
          <w:rFonts w:hint="cs"/>
          <w:u w:val="single"/>
          <w:rtl/>
        </w:rPr>
        <w:t>טיעוני הצדדים לעונש</w:t>
      </w:r>
    </w:p>
    <w:p w14:paraId="0BB3E0E4" w14:textId="77777777" w:rsidR="00155EBF" w:rsidRDefault="00155EBF" w:rsidP="00155EBF">
      <w:pPr>
        <w:spacing w:line="360" w:lineRule="auto"/>
        <w:ind w:left="720" w:hanging="720"/>
        <w:jc w:val="both"/>
        <w:rPr>
          <w:u w:val="single"/>
          <w:rtl/>
        </w:rPr>
      </w:pPr>
    </w:p>
    <w:p w14:paraId="0EC74CEB" w14:textId="77777777" w:rsidR="00155EBF" w:rsidRDefault="00155EBF" w:rsidP="00155EBF">
      <w:pPr>
        <w:spacing w:line="360" w:lineRule="auto"/>
        <w:ind w:left="720" w:hanging="720"/>
        <w:jc w:val="both"/>
        <w:rPr>
          <w:rtl/>
        </w:rPr>
      </w:pPr>
      <w:r w:rsidRPr="008E5012">
        <w:rPr>
          <w:rFonts w:hint="cs"/>
          <w:rtl/>
        </w:rPr>
        <w:t>4.</w:t>
      </w:r>
      <w:r w:rsidRPr="008E5012">
        <w:rPr>
          <w:rFonts w:hint="cs"/>
          <w:rtl/>
        </w:rPr>
        <w:tab/>
      </w:r>
      <w:r>
        <w:rPr>
          <w:rFonts w:hint="cs"/>
          <w:rtl/>
        </w:rPr>
        <w:t xml:space="preserve">התובעות, עורכות הדין ענת בן זאב ושלי קוטין, התייחסו בטיעוניהן לחומרת מעשיו של הנאשם בשני האישומים, לערכים המוגנים שנפגעו הן ביחס לעבירת הנשק והן ביחס לעבירת הסמים, והוסבר כי מדובר בעבירות הפוגעות בנפש, בגוף, מקימות פוטנציאל להסלמה עבריינית (ביחס לעבירת הנשק) ופוגעות פגיעה קשה בשלום הציבור (ביחס לעבירת הסמים). התובעות התייחסו למדיניות הענישה הנוהגת, תוך הפניה למגוון פסקי דין, ועל יסוד כלל השיקולים, עתרו לקביעת מתחמי ענישה באופן הבא: </w:t>
      </w:r>
    </w:p>
    <w:p w14:paraId="0EDE8ECB" w14:textId="77777777" w:rsidR="00155EBF" w:rsidRDefault="00155EBF" w:rsidP="00155EBF">
      <w:pPr>
        <w:spacing w:line="360" w:lineRule="auto"/>
        <w:ind w:left="720" w:hanging="720"/>
        <w:jc w:val="both"/>
        <w:rPr>
          <w:rtl/>
        </w:rPr>
      </w:pPr>
    </w:p>
    <w:p w14:paraId="0B18B6CD" w14:textId="77777777" w:rsidR="00155EBF" w:rsidRDefault="00155EBF" w:rsidP="00155EBF">
      <w:pPr>
        <w:spacing w:line="360" w:lineRule="auto"/>
        <w:ind w:left="720" w:hanging="720"/>
        <w:jc w:val="both"/>
        <w:rPr>
          <w:rtl/>
        </w:rPr>
      </w:pPr>
      <w:r>
        <w:rPr>
          <w:rtl/>
        </w:rPr>
        <w:tab/>
      </w:r>
      <w:r>
        <w:rPr>
          <w:rFonts w:hint="cs"/>
          <w:b/>
          <w:bCs/>
          <w:rtl/>
        </w:rPr>
        <w:t>בעניינו של האישום הראשון</w:t>
      </w:r>
      <w:r>
        <w:rPr>
          <w:rFonts w:hint="cs"/>
          <w:rtl/>
        </w:rPr>
        <w:t xml:space="preserve"> - 12 חודשי מאסר עד 24 חודשי מאסר;</w:t>
      </w:r>
    </w:p>
    <w:p w14:paraId="4E297AAA" w14:textId="77777777" w:rsidR="00155EBF" w:rsidRDefault="00155EBF" w:rsidP="00155EBF">
      <w:pPr>
        <w:spacing w:line="360" w:lineRule="auto"/>
        <w:ind w:left="720" w:hanging="720"/>
        <w:jc w:val="both"/>
        <w:rPr>
          <w:rtl/>
        </w:rPr>
      </w:pPr>
    </w:p>
    <w:p w14:paraId="28539B55" w14:textId="77777777" w:rsidR="00155EBF" w:rsidRDefault="00155EBF" w:rsidP="00155EBF">
      <w:pPr>
        <w:spacing w:line="360" w:lineRule="auto"/>
        <w:ind w:left="720" w:hanging="720"/>
        <w:jc w:val="both"/>
        <w:rPr>
          <w:rtl/>
        </w:rPr>
      </w:pPr>
      <w:r>
        <w:rPr>
          <w:rtl/>
        </w:rPr>
        <w:tab/>
      </w:r>
      <w:r>
        <w:rPr>
          <w:rFonts w:hint="cs"/>
          <w:b/>
          <w:bCs/>
          <w:rtl/>
        </w:rPr>
        <w:t xml:space="preserve"> בעניינו של האישום השני</w:t>
      </w:r>
      <w:r>
        <w:rPr>
          <w:rFonts w:hint="cs"/>
          <w:rtl/>
        </w:rPr>
        <w:t xml:space="preserve"> - 18 חודשי מאסר עד 38 חודשי מאסר.</w:t>
      </w:r>
    </w:p>
    <w:p w14:paraId="2A7AE1F9" w14:textId="77777777" w:rsidR="00155EBF" w:rsidRDefault="00155EBF" w:rsidP="00155EBF">
      <w:pPr>
        <w:spacing w:line="360" w:lineRule="auto"/>
        <w:ind w:left="720" w:hanging="720"/>
        <w:jc w:val="both"/>
        <w:rPr>
          <w:rtl/>
        </w:rPr>
      </w:pPr>
    </w:p>
    <w:p w14:paraId="473BDBFB" w14:textId="77777777" w:rsidR="00155EBF" w:rsidRDefault="00155EBF" w:rsidP="00155EBF">
      <w:pPr>
        <w:spacing w:line="360" w:lineRule="auto"/>
        <w:ind w:left="720" w:hanging="720"/>
        <w:jc w:val="both"/>
        <w:rPr>
          <w:rtl/>
        </w:rPr>
      </w:pPr>
      <w:r w:rsidRPr="00B04F77">
        <w:rPr>
          <w:b/>
          <w:bCs/>
          <w:rtl/>
        </w:rPr>
        <w:tab/>
      </w:r>
      <w:r w:rsidRPr="001B16ED">
        <w:rPr>
          <w:rFonts w:hint="cs"/>
          <w:rtl/>
        </w:rPr>
        <w:t>באשר לעונש המתאים,</w:t>
      </w:r>
      <w:r>
        <w:rPr>
          <w:rFonts w:hint="cs"/>
          <w:rtl/>
        </w:rPr>
        <w:t xml:space="preserve"> ולאור העובדה כי עסקינן בנאשם צעיר, ללא הרשעות קודמות, אשר קיבל אחריות על מעשיו, סברה התביעה כי יש מקום להורות על חפיפה מסוימת בין מתחמי הענישה, ועתרה לעונש כולל שלא יפחת מ- 24 חודשי מאסר לצד מאסר מותנה, קנס וחילוט קטנוע וסך של 360 ₪ במזומן שנתפסו בחזקת הנאשם. </w:t>
      </w:r>
    </w:p>
    <w:p w14:paraId="5E7313CF" w14:textId="77777777" w:rsidR="00155EBF" w:rsidRDefault="00155EBF" w:rsidP="00155EBF">
      <w:pPr>
        <w:spacing w:line="360" w:lineRule="auto"/>
        <w:ind w:left="720" w:hanging="720"/>
        <w:jc w:val="both"/>
        <w:rPr>
          <w:rtl/>
        </w:rPr>
      </w:pPr>
    </w:p>
    <w:p w14:paraId="7FCBCE0D" w14:textId="77777777" w:rsidR="00155EBF" w:rsidRDefault="00155EBF" w:rsidP="00155EBF">
      <w:pPr>
        <w:spacing w:line="360" w:lineRule="auto"/>
        <w:ind w:left="720" w:hanging="720"/>
        <w:jc w:val="both"/>
        <w:rPr>
          <w:rtl/>
        </w:rPr>
      </w:pPr>
      <w:r>
        <w:rPr>
          <w:rFonts w:hint="cs"/>
          <w:rtl/>
        </w:rPr>
        <w:t>5.</w:t>
      </w:r>
      <w:r>
        <w:rPr>
          <w:rFonts w:hint="cs"/>
          <w:rtl/>
        </w:rPr>
        <w:tab/>
        <w:t xml:space="preserve">הסנגור, עו"ד חצרוני, התייחס לפער המשמעותי בין כתב האישום המקורי (שייחס לנאשם גם עבירות של נשיאת נשק וירי בנשק חם באזור מגורים) לכתב האישום המתוקן, ועמד על העובדה - עליה אין חולק - כי התיקון נעשה אך ורק לאחר שהתברר לתביעה כי נושא הנשק והיורה בו, הוא אדם אחר. </w:t>
      </w:r>
    </w:p>
    <w:p w14:paraId="48ACD177" w14:textId="77777777" w:rsidR="00155EBF" w:rsidRDefault="00155EBF" w:rsidP="00155EBF">
      <w:pPr>
        <w:spacing w:line="360" w:lineRule="auto"/>
        <w:ind w:left="720" w:hanging="720"/>
        <w:jc w:val="both"/>
        <w:rPr>
          <w:rtl/>
        </w:rPr>
      </w:pPr>
    </w:p>
    <w:p w14:paraId="28ECAF1A" w14:textId="77777777" w:rsidR="00155EBF" w:rsidRDefault="00155EBF" w:rsidP="00155EBF">
      <w:pPr>
        <w:spacing w:line="360" w:lineRule="auto"/>
        <w:ind w:left="720" w:hanging="720"/>
        <w:jc w:val="both"/>
        <w:rPr>
          <w:rtl/>
        </w:rPr>
      </w:pPr>
      <w:r>
        <w:rPr>
          <w:rtl/>
        </w:rPr>
        <w:tab/>
      </w:r>
      <w:r>
        <w:rPr>
          <w:rFonts w:hint="cs"/>
          <w:rtl/>
        </w:rPr>
        <w:t xml:space="preserve">בהקשר לעבירת הנשק, נטען כי מדובר בהחזקה נקודתית בלבד לצורך צילום, אותה יש לראות בעיקר כמעשה טיפשי, ופחות כמעשה עברייני מובהק. משכך, ולשיטת ההגנה, על מתחם הענישה לנוע בטווחים של מספר חודשי מאסר, וממילא להיבלע בתוך מתחם הענישה שייקבע בעבירת הסמים. </w:t>
      </w:r>
    </w:p>
    <w:p w14:paraId="1B064F5D" w14:textId="77777777" w:rsidR="00155EBF" w:rsidRDefault="00155EBF" w:rsidP="00155EBF">
      <w:pPr>
        <w:spacing w:line="360" w:lineRule="auto"/>
        <w:ind w:left="720" w:hanging="720"/>
        <w:jc w:val="both"/>
        <w:rPr>
          <w:rtl/>
        </w:rPr>
      </w:pPr>
    </w:p>
    <w:p w14:paraId="5C1F713C" w14:textId="77777777" w:rsidR="00155EBF" w:rsidRDefault="00155EBF" w:rsidP="00155EBF">
      <w:pPr>
        <w:spacing w:line="360" w:lineRule="auto"/>
        <w:ind w:left="720" w:hanging="720"/>
        <w:jc w:val="both"/>
        <w:rPr>
          <w:rtl/>
        </w:rPr>
      </w:pPr>
      <w:r>
        <w:rPr>
          <w:rtl/>
        </w:rPr>
        <w:tab/>
      </w:r>
      <w:r>
        <w:rPr>
          <w:rFonts w:hint="cs"/>
          <w:rtl/>
        </w:rPr>
        <w:t xml:space="preserve">ביחס לעבירת הסמים, ועל יסוד פסיקה שהוצגה, סבר הסנגור כי יש לקבוע מתחם אשר הרף התחתון שלו עומד על מספר חודשי מאסר, ולכל היותר, על שנת מאסר. </w:t>
      </w:r>
    </w:p>
    <w:p w14:paraId="3D47EB74" w14:textId="77777777" w:rsidR="00155EBF" w:rsidRDefault="00155EBF" w:rsidP="00155EBF">
      <w:pPr>
        <w:spacing w:line="360" w:lineRule="auto"/>
        <w:ind w:left="720" w:hanging="720"/>
        <w:jc w:val="both"/>
        <w:rPr>
          <w:rtl/>
        </w:rPr>
      </w:pPr>
    </w:p>
    <w:p w14:paraId="0B20A71F" w14:textId="77777777" w:rsidR="00155EBF" w:rsidRDefault="00155EBF" w:rsidP="00155EBF">
      <w:pPr>
        <w:spacing w:line="360" w:lineRule="auto"/>
        <w:ind w:left="720"/>
        <w:jc w:val="both"/>
        <w:rPr>
          <w:rtl/>
        </w:rPr>
      </w:pPr>
      <w:r>
        <w:rPr>
          <w:rFonts w:hint="cs"/>
          <w:rtl/>
        </w:rPr>
        <w:t xml:space="preserve">הסנגור עתר ליתן משקל להודאת הנאשם והבעת החרטה, והפנה לעובדה כי הנאשם קיבל אחריות על עבירה זו כבר בחקירתו בתחנה. עוד נטען כי יש משקל לקושי הכרוך בריצוי תקופת מאסר ראשונה, וממילא כזו אשר חלקה בוצעה בתנאי מעצר (הנאשם עצור מחודש פברואר). </w:t>
      </w:r>
    </w:p>
    <w:p w14:paraId="7EB80BE7" w14:textId="77777777" w:rsidR="00155EBF" w:rsidRDefault="00155EBF" w:rsidP="00155EBF">
      <w:pPr>
        <w:spacing w:line="360" w:lineRule="auto"/>
        <w:ind w:left="720" w:hanging="720"/>
        <w:jc w:val="both"/>
        <w:rPr>
          <w:rtl/>
        </w:rPr>
      </w:pPr>
    </w:p>
    <w:p w14:paraId="75AD8D3C" w14:textId="77777777" w:rsidR="00155EBF" w:rsidRDefault="00155EBF" w:rsidP="00155EBF">
      <w:pPr>
        <w:rPr>
          <w:rtl/>
        </w:rPr>
      </w:pPr>
      <w:r>
        <w:rPr>
          <w:rtl/>
        </w:rPr>
        <w:tab/>
      </w:r>
      <w:r>
        <w:rPr>
          <w:rFonts w:hint="cs"/>
          <w:u w:val="single"/>
          <w:rtl/>
        </w:rPr>
        <w:t>דיון והכרעה</w:t>
      </w:r>
    </w:p>
    <w:p w14:paraId="1E101B6E" w14:textId="77777777" w:rsidR="00155EBF" w:rsidRDefault="00155EBF" w:rsidP="00155EBF">
      <w:pPr>
        <w:rPr>
          <w:rtl/>
        </w:rPr>
      </w:pPr>
    </w:p>
    <w:p w14:paraId="6AF8FC56" w14:textId="77777777" w:rsidR="00155EBF" w:rsidRDefault="00155EBF" w:rsidP="00155EBF">
      <w:pPr>
        <w:spacing w:line="360" w:lineRule="auto"/>
        <w:ind w:left="720" w:hanging="720"/>
        <w:jc w:val="both"/>
        <w:rPr>
          <w:rtl/>
        </w:rPr>
      </w:pPr>
      <w:r>
        <w:rPr>
          <w:rFonts w:hint="cs"/>
          <w:rtl/>
        </w:rPr>
        <w:t>6.</w:t>
      </w:r>
      <w:r>
        <w:rPr>
          <w:rFonts w:hint="cs"/>
          <w:rtl/>
        </w:rPr>
        <w:tab/>
        <w:t xml:space="preserve">כתב האישום המתוקן מחזיק כאמור שני אישומים, שאינם קשורים ביניהם קשר הדוק, ומכאן - והצדדים לא חלקו על כך - שיש לקבוע מתחם ענישה בעניינו של כל אחד מהם. אציין כבר בפתח הדברים כי לאחר תיקונו, הפך כתב האישום לכזה המצוי בסמכות בית משפט השלום, על כל המשתמע מכך לעניין רמת הענישה. </w:t>
      </w:r>
    </w:p>
    <w:p w14:paraId="6CF563FA" w14:textId="77777777" w:rsidR="00155EBF" w:rsidRDefault="00155EBF" w:rsidP="00155EBF">
      <w:pPr>
        <w:spacing w:line="360" w:lineRule="auto"/>
        <w:ind w:left="720" w:hanging="720"/>
        <w:jc w:val="both"/>
        <w:rPr>
          <w:rtl/>
        </w:rPr>
      </w:pPr>
    </w:p>
    <w:p w14:paraId="1D096E06" w14:textId="77777777" w:rsidR="00155EBF" w:rsidRDefault="00155EBF" w:rsidP="00155EBF">
      <w:pPr>
        <w:spacing w:line="360" w:lineRule="auto"/>
        <w:ind w:left="720" w:hanging="720"/>
        <w:jc w:val="both"/>
        <w:rPr>
          <w:rtl/>
        </w:rPr>
      </w:pPr>
      <w:r>
        <w:rPr>
          <w:rFonts w:hint="cs"/>
          <w:rtl/>
        </w:rPr>
        <w:t>7.</w:t>
      </w:r>
      <w:r>
        <w:rPr>
          <w:rFonts w:hint="cs"/>
          <w:rtl/>
        </w:rPr>
        <w:tab/>
        <w:t>באשר לאישום הראשון, המשקף כאמור עבירה של קבלת רכוש שהושג בפשע והחזקת נשק, מקובלת עלי עמדת התביעה, לפיה ככלל, עבירות מהסוג דנן פוגעות בערך של הגנה על שלום הציבור וביטחונו, הגנה על הסדר הציבורי, ויש להן פוטנציאל להסלמה עבריינית, תוך  יצירת סיכון מוחשי וחמור לציבור [ראה והשווה עמדת בית המשפט העליון ב</w:t>
      </w:r>
      <w:hyperlink r:id="rId16" w:history="1">
        <w:r w:rsidR="002C60BF" w:rsidRPr="002C60BF">
          <w:rPr>
            <w:color w:val="0000FF"/>
            <w:u w:val="single"/>
            <w:rtl/>
          </w:rPr>
          <w:t>ע"פ 4406/19</w:t>
        </w:r>
      </w:hyperlink>
      <w:r>
        <w:rPr>
          <w:rFonts w:hint="cs"/>
          <w:rtl/>
        </w:rPr>
        <w:t xml:space="preserve"> </w:t>
      </w:r>
      <w:r>
        <w:rPr>
          <w:rFonts w:hint="cs"/>
          <w:b/>
          <w:bCs/>
          <w:rtl/>
        </w:rPr>
        <w:t xml:space="preserve">מדינת ישראל נ' סובח </w:t>
      </w:r>
      <w:r>
        <w:rPr>
          <w:rFonts w:hint="cs"/>
          <w:rtl/>
        </w:rPr>
        <w:t xml:space="preserve">(5.11.2019)]. </w:t>
      </w:r>
    </w:p>
    <w:p w14:paraId="0DCEADEE" w14:textId="77777777" w:rsidR="00155EBF" w:rsidRDefault="00155EBF" w:rsidP="00155EBF">
      <w:pPr>
        <w:spacing w:line="360" w:lineRule="auto"/>
        <w:ind w:left="720" w:hanging="720"/>
        <w:jc w:val="both"/>
        <w:rPr>
          <w:rtl/>
        </w:rPr>
      </w:pPr>
    </w:p>
    <w:p w14:paraId="4CF33D74" w14:textId="77777777" w:rsidR="00155EBF" w:rsidRDefault="00155EBF" w:rsidP="00155EBF">
      <w:pPr>
        <w:spacing w:line="360" w:lineRule="auto"/>
        <w:ind w:left="720"/>
        <w:jc w:val="both"/>
        <w:rPr>
          <w:rtl/>
        </w:rPr>
      </w:pPr>
      <w:r>
        <w:rPr>
          <w:rFonts w:hint="cs"/>
          <w:rtl/>
        </w:rPr>
        <w:t>יחד עם זאת, לא ניתן להתעלם מאותן נסיבות ייחודיות המאפיינות אישום זה, דהיינו - החזקה נקודתית של האקדח למשך מספר שניות, ואך ורק לצורך צילום "רברבני", כאשר מיד לאחר ביצוע הצילום, הוחזר הנשק למי שהביאו לנאשם.</w:t>
      </w:r>
    </w:p>
    <w:p w14:paraId="2A897B9C" w14:textId="77777777" w:rsidR="00155EBF" w:rsidRDefault="00155EBF" w:rsidP="00155EBF">
      <w:pPr>
        <w:spacing w:line="360" w:lineRule="auto"/>
        <w:ind w:left="720"/>
        <w:jc w:val="both"/>
        <w:rPr>
          <w:rtl/>
        </w:rPr>
      </w:pPr>
    </w:p>
    <w:p w14:paraId="7757DBCC" w14:textId="77777777" w:rsidR="00155EBF" w:rsidRDefault="00155EBF" w:rsidP="00155EBF">
      <w:pPr>
        <w:spacing w:line="360" w:lineRule="auto"/>
        <w:ind w:left="720"/>
        <w:jc w:val="both"/>
        <w:rPr>
          <w:rtl/>
        </w:rPr>
      </w:pPr>
      <w:r>
        <w:rPr>
          <w:rFonts w:hint="cs"/>
          <w:rtl/>
        </w:rPr>
        <w:t xml:space="preserve">נסיבות ייחודיות אלה ממתנות במידה רבה את אותה פגיעה בערכים המוגנים שהוזכרו לעיל, ודומני כי יש בהן כדי לייצר הבחנה מובהקת בין המקרה דנן לבין אותם מקרים מובהקים שנדונו בפסיקה בעבירות של החזקת נשק. </w:t>
      </w:r>
    </w:p>
    <w:p w14:paraId="00980FEF" w14:textId="77777777" w:rsidR="00155EBF" w:rsidRDefault="00155EBF" w:rsidP="00155EBF">
      <w:pPr>
        <w:spacing w:line="360" w:lineRule="auto"/>
        <w:ind w:left="720"/>
        <w:jc w:val="both"/>
        <w:rPr>
          <w:rtl/>
        </w:rPr>
      </w:pPr>
    </w:p>
    <w:p w14:paraId="64A7E9D0" w14:textId="77777777" w:rsidR="00155EBF" w:rsidRDefault="00155EBF" w:rsidP="00155EBF">
      <w:pPr>
        <w:spacing w:line="360" w:lineRule="auto"/>
        <w:ind w:left="720"/>
        <w:jc w:val="both"/>
        <w:rPr>
          <w:rtl/>
        </w:rPr>
      </w:pPr>
      <w:r>
        <w:rPr>
          <w:rFonts w:hint="cs"/>
          <w:rtl/>
        </w:rPr>
        <w:t xml:space="preserve">כך במסגרת </w:t>
      </w:r>
      <w:hyperlink r:id="rId17" w:history="1">
        <w:r w:rsidR="002C60BF" w:rsidRPr="002C60BF">
          <w:rPr>
            <w:color w:val="0000FF"/>
            <w:u w:val="single"/>
            <w:rtl/>
          </w:rPr>
          <w:t>רע"פ 6265/20</w:t>
        </w:r>
      </w:hyperlink>
      <w:r>
        <w:rPr>
          <w:rFonts w:hint="cs"/>
          <w:rtl/>
        </w:rPr>
        <w:t xml:space="preserve"> </w:t>
      </w:r>
      <w:r>
        <w:rPr>
          <w:rFonts w:hint="cs"/>
          <w:b/>
          <w:bCs/>
          <w:rtl/>
        </w:rPr>
        <w:t xml:space="preserve">אלקיעאן נ' מדינת ישראל </w:t>
      </w:r>
      <w:r>
        <w:rPr>
          <w:rFonts w:hint="cs"/>
          <w:rtl/>
        </w:rPr>
        <w:t xml:space="preserve">(15.9.2020) שם דובר בנאשם שהחזיק מתחת לכיסא הנהג ברכב, אקדח מסוג "ברטה" בצירוף מחסנית ובה כדורים. בית משפט השלום קבע מתחם </w:t>
      </w:r>
      <w:r w:rsidRPr="00AB5F46">
        <w:rPr>
          <w:rFonts w:hint="cs"/>
          <w:rtl/>
        </w:rPr>
        <w:t>הנע בין 15 חודשי מאסר עד 30 חודשי מאסר</w:t>
      </w:r>
      <w:r>
        <w:rPr>
          <w:rFonts w:hint="cs"/>
          <w:rtl/>
        </w:rPr>
        <w:t xml:space="preserve"> ובית המשפט המחוזי קיבל את ערעור הנאשם והעמיד את העונש על </w:t>
      </w:r>
      <w:r>
        <w:rPr>
          <w:rFonts w:hint="cs"/>
          <w:b/>
          <w:bCs/>
          <w:rtl/>
        </w:rPr>
        <w:t>12 חודשי מאסר</w:t>
      </w:r>
      <w:r>
        <w:rPr>
          <w:rFonts w:hint="cs"/>
          <w:rtl/>
        </w:rPr>
        <w:t xml:space="preserve">. בית המשפט העליון דחה את בקשת רשות הערעור שהוגשה על-ידי הנאשם. </w:t>
      </w:r>
    </w:p>
    <w:p w14:paraId="18C1ADED" w14:textId="77777777" w:rsidR="00155EBF" w:rsidRDefault="00155EBF" w:rsidP="00155EBF">
      <w:pPr>
        <w:spacing w:line="360" w:lineRule="auto"/>
        <w:ind w:left="720"/>
        <w:jc w:val="both"/>
        <w:rPr>
          <w:rtl/>
        </w:rPr>
      </w:pPr>
    </w:p>
    <w:p w14:paraId="593A2879" w14:textId="77777777" w:rsidR="00155EBF" w:rsidRDefault="00155EBF" w:rsidP="00155EBF">
      <w:pPr>
        <w:spacing w:line="360" w:lineRule="auto"/>
        <w:ind w:left="720"/>
        <w:jc w:val="both"/>
        <w:rPr>
          <w:rtl/>
        </w:rPr>
      </w:pPr>
      <w:r>
        <w:rPr>
          <w:rFonts w:hint="cs"/>
          <w:rtl/>
        </w:rPr>
        <w:t xml:space="preserve">לא צריכה להיות מחלוקת כי מקרה זה חמור מענייננו, וזאת בשים לב לשוני שבין החזקה נמשכת לבין החזקה נקודתית לצורך צילום בלבד, והחזרת הנשק לאדם שהביאו. </w:t>
      </w:r>
    </w:p>
    <w:p w14:paraId="272F9FD2" w14:textId="77777777" w:rsidR="00155EBF" w:rsidRDefault="00155EBF" w:rsidP="00155EBF">
      <w:pPr>
        <w:spacing w:line="360" w:lineRule="auto"/>
        <w:ind w:left="720"/>
        <w:jc w:val="both"/>
        <w:rPr>
          <w:rtl/>
        </w:rPr>
      </w:pPr>
    </w:p>
    <w:p w14:paraId="69130A69" w14:textId="77777777" w:rsidR="00155EBF" w:rsidRDefault="002C60BF" w:rsidP="00155EBF">
      <w:pPr>
        <w:spacing w:line="360" w:lineRule="auto"/>
        <w:ind w:left="720"/>
        <w:jc w:val="both"/>
        <w:rPr>
          <w:rtl/>
        </w:rPr>
      </w:pPr>
      <w:hyperlink r:id="rId18" w:history="1">
        <w:r w:rsidRPr="002C60BF">
          <w:rPr>
            <w:color w:val="0000FF"/>
            <w:u w:val="single"/>
            <w:rtl/>
          </w:rPr>
          <w:t>רע"פ 2265/18</w:t>
        </w:r>
      </w:hyperlink>
      <w:r w:rsidR="00155EBF">
        <w:rPr>
          <w:rFonts w:hint="cs"/>
          <w:rtl/>
        </w:rPr>
        <w:t xml:space="preserve"> </w:t>
      </w:r>
      <w:r w:rsidR="00155EBF">
        <w:rPr>
          <w:rFonts w:hint="cs"/>
          <w:b/>
          <w:bCs/>
          <w:rtl/>
        </w:rPr>
        <w:t xml:space="preserve">עמאר נ' מדינת ישראל </w:t>
      </w:r>
      <w:r w:rsidR="00155EBF">
        <w:rPr>
          <w:rFonts w:hint="cs"/>
          <w:rtl/>
        </w:rPr>
        <w:t xml:space="preserve">(29.3.2018) שם דובר במי שהורשע בהחזקת שני תתי מקלע מאולתרים ומחסנית, והוטל עליו בבית משפט השלום עונש של 24 חודשי מאסר. בית המשפט המחוזי קיבל את ערעור הנאשם והעמיד את העונש </w:t>
      </w:r>
      <w:r w:rsidR="00155EBF" w:rsidRPr="00C8043A">
        <w:rPr>
          <w:rFonts w:hint="cs"/>
          <w:b/>
          <w:bCs/>
          <w:rtl/>
        </w:rPr>
        <w:t>על 20 חודשי מאסר</w:t>
      </w:r>
      <w:r w:rsidR="00155EBF">
        <w:rPr>
          <w:rFonts w:hint="cs"/>
          <w:rtl/>
        </w:rPr>
        <w:t>. בית המשפט העליון דחה את בקשת רשות הערעור.</w:t>
      </w:r>
    </w:p>
    <w:p w14:paraId="1A835728" w14:textId="77777777" w:rsidR="00155EBF" w:rsidRDefault="00155EBF" w:rsidP="00155EBF">
      <w:pPr>
        <w:spacing w:line="360" w:lineRule="auto"/>
        <w:ind w:left="720"/>
        <w:jc w:val="both"/>
        <w:rPr>
          <w:rtl/>
        </w:rPr>
      </w:pPr>
    </w:p>
    <w:p w14:paraId="3BB35A6B" w14:textId="77777777" w:rsidR="00155EBF" w:rsidRDefault="00155EBF" w:rsidP="00155EBF">
      <w:pPr>
        <w:spacing w:line="360" w:lineRule="auto"/>
        <w:ind w:left="720"/>
        <w:jc w:val="both"/>
        <w:rPr>
          <w:rtl/>
        </w:rPr>
      </w:pPr>
      <w:r>
        <w:rPr>
          <w:rFonts w:hint="cs"/>
          <w:rtl/>
        </w:rPr>
        <w:t xml:space="preserve">גם כאן לא צריכה להיות מחלוקת כי המקרה חמור לאין שיעור מענייננו, הן נוכח השוני בין שני תתי מקלעים לאקדח, והן נוכח השוני שבין החזקה נמשכת לבין החזקה נקודתית לצורך צילום. </w:t>
      </w:r>
    </w:p>
    <w:p w14:paraId="6AA0A03F" w14:textId="77777777" w:rsidR="00155EBF" w:rsidRDefault="00155EBF" w:rsidP="00155EBF">
      <w:pPr>
        <w:spacing w:line="360" w:lineRule="auto"/>
        <w:ind w:left="720"/>
        <w:jc w:val="both"/>
        <w:rPr>
          <w:rtl/>
        </w:rPr>
      </w:pPr>
    </w:p>
    <w:p w14:paraId="2F3087E0" w14:textId="77777777" w:rsidR="00155EBF" w:rsidRDefault="00155EBF" w:rsidP="00155EBF">
      <w:pPr>
        <w:spacing w:line="360" w:lineRule="auto"/>
        <w:ind w:left="720"/>
        <w:jc w:val="both"/>
        <w:rPr>
          <w:rtl/>
        </w:rPr>
      </w:pPr>
      <w:r>
        <w:rPr>
          <w:rFonts w:hint="cs"/>
          <w:rtl/>
        </w:rPr>
        <w:t xml:space="preserve">על יסוד האמור לעיל, וביחס לאישום הראשון, ראיתי לקבוע מתחם הנע בין 6 חודשי מאסר ל- 14 חודשי מאסר. </w:t>
      </w:r>
    </w:p>
    <w:p w14:paraId="73D960EE" w14:textId="77777777" w:rsidR="00155EBF" w:rsidRDefault="00155EBF" w:rsidP="00155EBF">
      <w:pPr>
        <w:spacing w:line="360" w:lineRule="auto"/>
        <w:ind w:left="720"/>
        <w:jc w:val="both"/>
        <w:rPr>
          <w:rtl/>
        </w:rPr>
      </w:pPr>
    </w:p>
    <w:p w14:paraId="75689261" w14:textId="77777777" w:rsidR="00155EBF" w:rsidRDefault="00155EBF" w:rsidP="00155EBF">
      <w:pPr>
        <w:spacing w:line="360" w:lineRule="auto"/>
        <w:ind w:left="720" w:hanging="720"/>
        <w:jc w:val="both"/>
        <w:rPr>
          <w:rtl/>
        </w:rPr>
      </w:pPr>
      <w:r>
        <w:rPr>
          <w:rFonts w:hint="cs"/>
          <w:rtl/>
        </w:rPr>
        <w:t>8.</w:t>
      </w:r>
      <w:r>
        <w:rPr>
          <w:rFonts w:hint="cs"/>
          <w:rtl/>
        </w:rPr>
        <w:tab/>
        <w:t xml:space="preserve">באשר לאישום השני, המשקף עבירה של החזקת סם שלא לצריכה עצמית (30 גרם קוקאין), נראה כי יש טעם בטיעון המדינה בדבר אותם ערכים מוגנים הנפגעים כתוצאה מעבירות הסמים, ובהם פגיעה בשלום הציבור ובבריאותו, וכן פגיעה באותם ערכים נוספים הנפגעים שעה שמבוצעות עבירות נלוות לעבירות הסמים. </w:t>
      </w:r>
    </w:p>
    <w:p w14:paraId="47C48042" w14:textId="77777777" w:rsidR="00155EBF" w:rsidRDefault="00155EBF" w:rsidP="00155EBF">
      <w:pPr>
        <w:spacing w:line="360" w:lineRule="auto"/>
        <w:ind w:left="720" w:hanging="720"/>
        <w:jc w:val="both"/>
        <w:rPr>
          <w:rtl/>
        </w:rPr>
      </w:pPr>
    </w:p>
    <w:p w14:paraId="587948E7" w14:textId="77777777" w:rsidR="00155EBF" w:rsidRDefault="00155EBF" w:rsidP="00155EBF">
      <w:pPr>
        <w:spacing w:line="360" w:lineRule="auto"/>
        <w:ind w:left="720"/>
        <w:jc w:val="both"/>
        <w:rPr>
          <w:rtl/>
        </w:rPr>
      </w:pPr>
      <w:r>
        <w:rPr>
          <w:rFonts w:hint="cs"/>
          <w:rtl/>
        </w:rPr>
        <w:t>מדובר בכמות סם, שאף אם כתבי האישום בגין כמויות מעין אלה מוגשים לבית משפט השלום, עדיין אינה מבוטלת, ומשקפת רף חומרה משמעותי. יש אף ליתן את הדעת כי בצמוד להחזקת הסם, החזיק הנאשם פריטים נוספים, ובהם שקיות אטימה ומשקל דיגיטלי.</w:t>
      </w:r>
    </w:p>
    <w:p w14:paraId="3FEEB975" w14:textId="77777777" w:rsidR="00155EBF" w:rsidRDefault="00155EBF" w:rsidP="00155EBF">
      <w:pPr>
        <w:spacing w:line="360" w:lineRule="auto"/>
        <w:ind w:left="720"/>
        <w:jc w:val="both"/>
        <w:rPr>
          <w:rtl/>
        </w:rPr>
      </w:pPr>
    </w:p>
    <w:p w14:paraId="444D9ACA" w14:textId="77777777" w:rsidR="00155EBF" w:rsidRDefault="00155EBF" w:rsidP="00155EBF">
      <w:pPr>
        <w:spacing w:line="360" w:lineRule="auto"/>
        <w:ind w:left="720"/>
        <w:jc w:val="both"/>
        <w:rPr>
          <w:rtl/>
        </w:rPr>
      </w:pPr>
      <w:r>
        <w:rPr>
          <w:rFonts w:hint="cs"/>
          <w:rtl/>
        </w:rPr>
        <w:t>בהתייחס למדיניות הענישה הנוהגת, ראיתי להפנות לפסקי הדין הבאים:</w:t>
      </w:r>
    </w:p>
    <w:p w14:paraId="703816B0" w14:textId="77777777" w:rsidR="00155EBF" w:rsidRDefault="00155EBF" w:rsidP="00155EBF">
      <w:pPr>
        <w:spacing w:line="360" w:lineRule="auto"/>
        <w:ind w:left="720"/>
        <w:jc w:val="both"/>
        <w:rPr>
          <w:rtl/>
        </w:rPr>
      </w:pPr>
    </w:p>
    <w:p w14:paraId="32CB5FF0" w14:textId="77777777" w:rsidR="00155EBF" w:rsidRDefault="002C60BF" w:rsidP="00155EBF">
      <w:pPr>
        <w:spacing w:line="360" w:lineRule="auto"/>
        <w:ind w:left="720"/>
        <w:jc w:val="both"/>
        <w:rPr>
          <w:rtl/>
        </w:rPr>
      </w:pPr>
      <w:hyperlink r:id="rId19" w:history="1">
        <w:r w:rsidRPr="002C60BF">
          <w:rPr>
            <w:color w:val="0000FF"/>
            <w:u w:val="single"/>
            <w:rtl/>
          </w:rPr>
          <w:t>רע"פ 894/16</w:t>
        </w:r>
      </w:hyperlink>
      <w:r w:rsidR="00155EBF">
        <w:rPr>
          <w:rFonts w:hint="cs"/>
          <w:rtl/>
        </w:rPr>
        <w:t xml:space="preserve"> </w:t>
      </w:r>
      <w:r w:rsidR="00155EBF">
        <w:rPr>
          <w:rFonts w:hint="cs"/>
          <w:b/>
          <w:bCs/>
          <w:rtl/>
        </w:rPr>
        <w:t xml:space="preserve">פרץ נ' מדינת ישראל </w:t>
      </w:r>
      <w:r w:rsidR="00155EBF">
        <w:rPr>
          <w:rFonts w:hint="cs"/>
          <w:rtl/>
        </w:rPr>
        <w:t xml:space="preserve">(10.2.2016) שם דובר בנאשם שהורשע בהחזקת 31 גרם סם מסוכן מסוג קוקאין. בית משפט השלום קבע מתחם </w:t>
      </w:r>
      <w:r w:rsidR="00155EBF" w:rsidRPr="000E305E">
        <w:rPr>
          <w:rFonts w:hint="cs"/>
          <w:b/>
          <w:bCs/>
          <w:rtl/>
        </w:rPr>
        <w:t>הנע בין 15 חודשי מאסר ל- 36 חודשי מאסר</w:t>
      </w:r>
      <w:r w:rsidR="00155EBF">
        <w:rPr>
          <w:rFonts w:hint="cs"/>
          <w:rtl/>
        </w:rPr>
        <w:t xml:space="preserve">, והטיל על הנאשם עונש המשקף את תחתית המתחם. בית המשפט המחוזי דחה את הערעור, ובהמשך, נדחתה על-ידי בית המשפט העליון אף בקשת רשות הערעור שהוגשה. </w:t>
      </w:r>
    </w:p>
    <w:p w14:paraId="3F2C59B9" w14:textId="77777777" w:rsidR="00155EBF" w:rsidRDefault="00155EBF" w:rsidP="00155EBF">
      <w:pPr>
        <w:spacing w:line="360" w:lineRule="auto"/>
        <w:ind w:left="720"/>
        <w:jc w:val="both"/>
        <w:rPr>
          <w:rtl/>
        </w:rPr>
      </w:pPr>
    </w:p>
    <w:p w14:paraId="237AD863" w14:textId="77777777" w:rsidR="00155EBF" w:rsidRDefault="002C60BF" w:rsidP="00155EBF">
      <w:pPr>
        <w:spacing w:line="360" w:lineRule="auto"/>
        <w:ind w:left="720"/>
        <w:jc w:val="both"/>
        <w:rPr>
          <w:rtl/>
        </w:rPr>
      </w:pPr>
      <w:hyperlink r:id="rId20" w:history="1">
        <w:r w:rsidRPr="002C60BF">
          <w:rPr>
            <w:color w:val="0000FF"/>
            <w:u w:val="single"/>
            <w:rtl/>
          </w:rPr>
          <w:t>עפ"ג (מרכז) 62489-07-17</w:t>
        </w:r>
      </w:hyperlink>
      <w:r w:rsidR="00155EBF">
        <w:rPr>
          <w:rFonts w:hint="cs"/>
          <w:rtl/>
        </w:rPr>
        <w:t xml:space="preserve"> </w:t>
      </w:r>
      <w:r w:rsidR="00155EBF" w:rsidRPr="00B047CE">
        <w:rPr>
          <w:rFonts w:hint="cs"/>
          <w:b/>
          <w:bCs/>
          <w:rtl/>
        </w:rPr>
        <w:t>אבו</w:t>
      </w:r>
      <w:r w:rsidR="00155EBF">
        <w:rPr>
          <w:rFonts w:hint="cs"/>
          <w:b/>
          <w:bCs/>
          <w:rtl/>
        </w:rPr>
        <w:t xml:space="preserve"> </w:t>
      </w:r>
      <w:r w:rsidR="00155EBF" w:rsidRPr="00B047CE">
        <w:rPr>
          <w:rFonts w:hint="cs"/>
          <w:b/>
          <w:bCs/>
          <w:rtl/>
        </w:rPr>
        <w:t xml:space="preserve">דקה נ' מדינת ישראל </w:t>
      </w:r>
      <w:r w:rsidR="00155EBF">
        <w:rPr>
          <w:rFonts w:hint="cs"/>
          <w:rtl/>
        </w:rPr>
        <w:t xml:space="preserve">(31.12.2017) שם דובר בנאשם שהורשע בהחזקת 29.9 גרם סם מסוכן מסוג קוקאין, ובית משפט השלום קבע מתחם הנע בין 15 חודשי מאסר ל- 36 חודשי מאסר, והטיל על הנאשם עונש </w:t>
      </w:r>
      <w:r w:rsidR="00155EBF">
        <w:rPr>
          <w:rFonts w:hint="cs"/>
          <w:b/>
          <w:bCs/>
          <w:rtl/>
        </w:rPr>
        <w:t>של 15 חודשי מאסר</w:t>
      </w:r>
      <w:r w:rsidR="00155EBF">
        <w:rPr>
          <w:rFonts w:hint="cs"/>
          <w:rtl/>
        </w:rPr>
        <w:t>. בית המשפט המחוזי קבע כי מדובר במתחם ראוי.</w:t>
      </w:r>
    </w:p>
    <w:p w14:paraId="3ACC2110" w14:textId="77777777" w:rsidR="00155EBF" w:rsidRDefault="00155EBF" w:rsidP="00155EBF">
      <w:pPr>
        <w:spacing w:line="360" w:lineRule="auto"/>
        <w:ind w:left="720"/>
        <w:jc w:val="both"/>
        <w:rPr>
          <w:rtl/>
        </w:rPr>
      </w:pPr>
    </w:p>
    <w:p w14:paraId="441D2726" w14:textId="77777777" w:rsidR="00155EBF" w:rsidRPr="00A052C8" w:rsidRDefault="002C60BF" w:rsidP="00155EBF">
      <w:pPr>
        <w:spacing w:line="360" w:lineRule="auto"/>
        <w:ind w:left="720"/>
        <w:jc w:val="both"/>
        <w:rPr>
          <w:rtl/>
        </w:rPr>
      </w:pPr>
      <w:hyperlink r:id="rId21" w:history="1">
        <w:r w:rsidRPr="002C60BF">
          <w:rPr>
            <w:color w:val="0000FF"/>
            <w:u w:val="single"/>
            <w:rtl/>
          </w:rPr>
          <w:t>רע"פ 1425/15</w:t>
        </w:r>
      </w:hyperlink>
      <w:r w:rsidR="00155EBF">
        <w:rPr>
          <w:rFonts w:hint="cs"/>
          <w:rtl/>
        </w:rPr>
        <w:t xml:space="preserve"> </w:t>
      </w:r>
      <w:r w:rsidR="00155EBF">
        <w:rPr>
          <w:rFonts w:hint="cs"/>
          <w:b/>
          <w:bCs/>
          <w:rtl/>
        </w:rPr>
        <w:t xml:space="preserve">טבול נ' מדינת ישראל </w:t>
      </w:r>
      <w:r w:rsidR="00155EBF">
        <w:rPr>
          <w:rFonts w:hint="cs"/>
          <w:rtl/>
        </w:rPr>
        <w:t xml:space="preserve">(5.3.2015) שם דובר בנאשם אשר החזיק סם מסוכן מסוג קוקאין במשקל 38.3 גרם. בית משפט השלום גזר על הנאשם עונש מאסר לריצוי בעבודות שירות, אולם בית המשפט המחוזי קיבל את ערעור המדינה </w:t>
      </w:r>
      <w:r w:rsidR="00155EBF" w:rsidRPr="00A052C8">
        <w:rPr>
          <w:rFonts w:hint="cs"/>
          <w:b/>
          <w:bCs/>
          <w:rtl/>
        </w:rPr>
        <w:t>והעמיד את העונש על 12 חודשי מאסר</w:t>
      </w:r>
      <w:r w:rsidR="00155EBF">
        <w:rPr>
          <w:rFonts w:hint="cs"/>
          <w:rtl/>
        </w:rPr>
        <w:t xml:space="preserve">. בית המשפט העליון דחה את הערעור. </w:t>
      </w:r>
    </w:p>
    <w:p w14:paraId="2D73A975" w14:textId="77777777" w:rsidR="00155EBF" w:rsidRDefault="00155EBF" w:rsidP="00155EBF">
      <w:pPr>
        <w:spacing w:line="360" w:lineRule="auto"/>
        <w:ind w:left="720"/>
        <w:jc w:val="both"/>
        <w:rPr>
          <w:rtl/>
        </w:rPr>
      </w:pPr>
    </w:p>
    <w:p w14:paraId="4938C060" w14:textId="77777777" w:rsidR="00155EBF" w:rsidRDefault="002C60BF" w:rsidP="00155EBF">
      <w:pPr>
        <w:spacing w:line="360" w:lineRule="auto"/>
        <w:ind w:left="720"/>
        <w:jc w:val="both"/>
        <w:rPr>
          <w:rtl/>
        </w:rPr>
      </w:pPr>
      <w:hyperlink r:id="rId22" w:history="1">
        <w:r w:rsidRPr="002C60BF">
          <w:rPr>
            <w:color w:val="0000FF"/>
            <w:u w:val="single"/>
            <w:rtl/>
          </w:rPr>
          <w:t>ת"פ (ב"ש) 3745-09-16</w:t>
        </w:r>
      </w:hyperlink>
      <w:r w:rsidR="00155EBF">
        <w:rPr>
          <w:rFonts w:hint="cs"/>
          <w:rtl/>
        </w:rPr>
        <w:t xml:space="preserve"> </w:t>
      </w:r>
      <w:r w:rsidR="00155EBF">
        <w:rPr>
          <w:rFonts w:hint="cs"/>
          <w:b/>
          <w:bCs/>
          <w:rtl/>
        </w:rPr>
        <w:t>מדינת ישראל נ' אבו עמר</w:t>
      </w:r>
      <w:r w:rsidR="00155EBF">
        <w:rPr>
          <w:rFonts w:hint="cs"/>
          <w:rtl/>
        </w:rPr>
        <w:t xml:space="preserve"> (22.3.2018) שם דובר בנאשם אשר החזיק החזקה קונסטרוקטיבית בסם מסוכן מסוג קוקאין במשקל של 63.4 גרם. בית המשפט המחוזי קבע מתחם הנע בין 15 חודשי מאסר ל- 48 חודשי מאסר, ובהתחשב בסיכויי שיקומו ובנתונים נוספים, </w:t>
      </w:r>
      <w:r w:rsidR="00155EBF" w:rsidRPr="00A052C8">
        <w:rPr>
          <w:rFonts w:hint="cs"/>
          <w:b/>
          <w:bCs/>
          <w:rtl/>
        </w:rPr>
        <w:t>גזר על הנאשם 12 חודשי מאסר</w:t>
      </w:r>
      <w:r w:rsidR="00155EBF">
        <w:rPr>
          <w:rFonts w:hint="cs"/>
          <w:rtl/>
        </w:rPr>
        <w:t xml:space="preserve">.  </w:t>
      </w:r>
    </w:p>
    <w:p w14:paraId="2138F8AC" w14:textId="77777777" w:rsidR="00155EBF" w:rsidRDefault="00155EBF" w:rsidP="00155EBF">
      <w:pPr>
        <w:spacing w:line="360" w:lineRule="auto"/>
        <w:ind w:left="720"/>
        <w:jc w:val="both"/>
        <w:rPr>
          <w:rtl/>
        </w:rPr>
      </w:pPr>
    </w:p>
    <w:p w14:paraId="21A89123" w14:textId="77777777" w:rsidR="00155EBF" w:rsidRDefault="00155EBF" w:rsidP="00155EBF">
      <w:pPr>
        <w:spacing w:line="360" w:lineRule="auto"/>
        <w:ind w:left="720"/>
        <w:jc w:val="both"/>
        <w:rPr>
          <w:rtl/>
        </w:rPr>
      </w:pPr>
      <w:r>
        <w:rPr>
          <w:rFonts w:hint="cs"/>
          <w:rtl/>
        </w:rPr>
        <w:t xml:space="preserve">שקלול הנתונים שפורטו לעיל, מוביל למסקנה כי יש לקבוע את מתחם הענישה ככזה העומד </w:t>
      </w:r>
      <w:r>
        <w:rPr>
          <w:rFonts w:hint="cs"/>
          <w:b/>
          <w:bCs/>
          <w:rtl/>
        </w:rPr>
        <w:t xml:space="preserve">ברף התחתון על 14 </w:t>
      </w:r>
      <w:r w:rsidRPr="00176BEA">
        <w:rPr>
          <w:rFonts w:hint="cs"/>
          <w:b/>
          <w:bCs/>
          <w:rtl/>
        </w:rPr>
        <w:t>חודשי מאסר וברף העליון על 36 חודשי מאסר</w:t>
      </w:r>
      <w:r>
        <w:rPr>
          <w:rFonts w:hint="cs"/>
          <w:rtl/>
        </w:rPr>
        <w:t xml:space="preserve">. </w:t>
      </w:r>
    </w:p>
    <w:p w14:paraId="5AD4BD76" w14:textId="77777777" w:rsidR="00155EBF" w:rsidRDefault="00155EBF" w:rsidP="00155EBF">
      <w:pPr>
        <w:spacing w:line="360" w:lineRule="auto"/>
        <w:ind w:left="720"/>
        <w:jc w:val="both"/>
        <w:rPr>
          <w:rtl/>
        </w:rPr>
      </w:pPr>
    </w:p>
    <w:p w14:paraId="2E75383A" w14:textId="77777777" w:rsidR="00155EBF" w:rsidRDefault="00155EBF" w:rsidP="00155EBF">
      <w:pPr>
        <w:spacing w:line="360" w:lineRule="auto"/>
        <w:ind w:left="720" w:hanging="720"/>
        <w:jc w:val="both"/>
        <w:rPr>
          <w:rtl/>
        </w:rPr>
      </w:pPr>
      <w:r>
        <w:rPr>
          <w:rFonts w:hint="cs"/>
          <w:rtl/>
        </w:rPr>
        <w:t>9.</w:t>
      </w:r>
      <w:r>
        <w:rPr>
          <w:rFonts w:hint="cs"/>
          <w:rtl/>
        </w:rPr>
        <w:tab/>
        <w:t xml:space="preserve">הצדדים לא חלקו על הנחת היסוד, לפיה יש מקום להטיל על הנאשם עונש המשקף את תחתית כל אחד ממתחמי הענישה שנקבעו, וזאת נוכח הודאתו, הבעת החרטה, העדר עבר פלילי וגילו הצעיר. </w:t>
      </w:r>
    </w:p>
    <w:p w14:paraId="61FAD32C" w14:textId="77777777" w:rsidR="00155EBF" w:rsidRDefault="00155EBF" w:rsidP="00155EBF">
      <w:pPr>
        <w:spacing w:line="360" w:lineRule="auto"/>
        <w:ind w:left="720" w:hanging="720"/>
        <w:jc w:val="both"/>
        <w:rPr>
          <w:rtl/>
        </w:rPr>
      </w:pPr>
    </w:p>
    <w:p w14:paraId="6E843179" w14:textId="77777777" w:rsidR="00155EBF" w:rsidRDefault="00155EBF" w:rsidP="00155EBF">
      <w:pPr>
        <w:spacing w:line="360" w:lineRule="auto"/>
        <w:ind w:left="720" w:hanging="720"/>
        <w:jc w:val="both"/>
        <w:rPr>
          <w:rtl/>
        </w:rPr>
      </w:pPr>
      <w:r>
        <w:rPr>
          <w:rtl/>
        </w:rPr>
        <w:tab/>
      </w:r>
      <w:r>
        <w:rPr>
          <w:rFonts w:hint="cs"/>
          <w:rtl/>
        </w:rPr>
        <w:t xml:space="preserve">משזוהי נקודת המוצא, לא ראיתי להרחיב בנושא המשקל שיש לנתונים אלה, ועמדת הצדדים מקובלת עלי. </w:t>
      </w:r>
    </w:p>
    <w:p w14:paraId="606ADDC6" w14:textId="77777777" w:rsidR="00155EBF" w:rsidRDefault="00155EBF" w:rsidP="00155EBF">
      <w:pPr>
        <w:spacing w:line="360" w:lineRule="auto"/>
        <w:ind w:left="720" w:hanging="720"/>
        <w:jc w:val="both"/>
        <w:rPr>
          <w:rtl/>
        </w:rPr>
      </w:pPr>
    </w:p>
    <w:p w14:paraId="7ECAE7A4" w14:textId="77777777" w:rsidR="00155EBF" w:rsidRDefault="00155EBF" w:rsidP="00155EBF">
      <w:pPr>
        <w:spacing w:line="360" w:lineRule="auto"/>
        <w:ind w:left="720" w:hanging="720"/>
        <w:jc w:val="both"/>
        <w:rPr>
          <w:rtl/>
        </w:rPr>
      </w:pPr>
      <w:r>
        <w:rPr>
          <w:rtl/>
        </w:rPr>
        <w:tab/>
      </w:r>
      <w:r>
        <w:rPr>
          <w:rFonts w:hint="cs"/>
          <w:rtl/>
        </w:rPr>
        <w:t xml:space="preserve">באשר לשאלת החפיפה בין מתחמי הענישה, גם בהקשר זה הסכימה התביעה לחפיפה מסוימת בין המתחמים, בעוד ההגנה טענה לחפיפה מלאה. </w:t>
      </w:r>
    </w:p>
    <w:p w14:paraId="4925824D" w14:textId="77777777" w:rsidR="00155EBF" w:rsidRDefault="00155EBF" w:rsidP="00155EBF">
      <w:pPr>
        <w:spacing w:line="360" w:lineRule="auto"/>
        <w:ind w:left="720" w:hanging="720"/>
        <w:jc w:val="both"/>
        <w:rPr>
          <w:rtl/>
        </w:rPr>
      </w:pPr>
    </w:p>
    <w:p w14:paraId="3F04AA66" w14:textId="77777777" w:rsidR="00155EBF" w:rsidRDefault="00155EBF" w:rsidP="00155EBF">
      <w:pPr>
        <w:spacing w:line="360" w:lineRule="auto"/>
        <w:ind w:left="720" w:hanging="720"/>
        <w:jc w:val="both"/>
        <w:rPr>
          <w:rtl/>
        </w:rPr>
      </w:pPr>
      <w:r>
        <w:rPr>
          <w:rtl/>
        </w:rPr>
        <w:tab/>
      </w:r>
      <w:r>
        <w:rPr>
          <w:rFonts w:hint="cs"/>
          <w:rtl/>
        </w:rPr>
        <w:t xml:space="preserve">שקלתי את טיעוני הצדדים, ודומני כי אותם שיקולים אשר הצדיקו אימוץ הרף התחתון של מתחמי הענישה, ובעיקר </w:t>
      </w:r>
      <w:r w:rsidRPr="00FA2320">
        <w:rPr>
          <w:rFonts w:hint="cs"/>
          <w:b/>
          <w:bCs/>
          <w:rtl/>
        </w:rPr>
        <w:t>ההודאה, הגיל הצעיר והעדר עבר פלילי</w:t>
      </w:r>
      <w:r>
        <w:rPr>
          <w:rFonts w:hint="cs"/>
          <w:rtl/>
        </w:rPr>
        <w:t xml:space="preserve">, מצדיקים אף נקיטה בגישה מתונה, באופן של חפיפה כמעט מלאה של מתחמי הענישה. </w:t>
      </w:r>
    </w:p>
    <w:p w14:paraId="3109F082" w14:textId="77777777" w:rsidR="00155EBF" w:rsidRDefault="00155EBF" w:rsidP="00155EBF">
      <w:pPr>
        <w:spacing w:line="360" w:lineRule="auto"/>
        <w:ind w:left="720" w:hanging="720"/>
        <w:jc w:val="both"/>
        <w:rPr>
          <w:rtl/>
        </w:rPr>
      </w:pPr>
    </w:p>
    <w:p w14:paraId="655C82D1" w14:textId="77777777" w:rsidR="00155EBF" w:rsidRDefault="00155EBF" w:rsidP="00155EBF">
      <w:pPr>
        <w:spacing w:line="360" w:lineRule="auto"/>
        <w:ind w:left="720" w:hanging="720"/>
        <w:jc w:val="both"/>
        <w:rPr>
          <w:rtl/>
        </w:rPr>
      </w:pPr>
      <w:r>
        <w:rPr>
          <w:rtl/>
        </w:rPr>
        <w:tab/>
      </w:r>
      <w:r>
        <w:rPr>
          <w:rFonts w:hint="cs"/>
          <w:rtl/>
        </w:rPr>
        <w:t xml:space="preserve">יש אף ליתן את הדעת לעובדה כי הנאשם מרצה את מעצרו הראשון, ועומד בפני ריצוי מאסר ראשון, ובהינתן גילו הצעיר לדברים יש משקל ממתן. </w:t>
      </w:r>
    </w:p>
    <w:p w14:paraId="291372BB" w14:textId="77777777" w:rsidR="00155EBF" w:rsidRDefault="00155EBF" w:rsidP="00155EBF">
      <w:pPr>
        <w:spacing w:line="360" w:lineRule="auto"/>
        <w:ind w:left="720" w:hanging="720"/>
        <w:jc w:val="both"/>
        <w:rPr>
          <w:rtl/>
        </w:rPr>
      </w:pPr>
    </w:p>
    <w:p w14:paraId="6A252B80" w14:textId="77777777" w:rsidR="00155EBF" w:rsidRDefault="00155EBF" w:rsidP="00155EBF">
      <w:pPr>
        <w:spacing w:line="360" w:lineRule="auto"/>
        <w:ind w:left="720" w:hanging="720"/>
        <w:jc w:val="both"/>
        <w:rPr>
          <w:rtl/>
        </w:rPr>
      </w:pPr>
      <w:r>
        <w:rPr>
          <w:rtl/>
        </w:rPr>
        <w:tab/>
      </w:r>
      <w:r>
        <w:rPr>
          <w:rFonts w:hint="cs"/>
          <w:rtl/>
        </w:rPr>
        <w:t>נתתי דעתי אף לעמדת הוריו של הנאשם, כפי שזו משתקפת במכתב שהוגש (נע/1) .</w:t>
      </w:r>
    </w:p>
    <w:p w14:paraId="2F02B6DA" w14:textId="77777777" w:rsidR="00155EBF" w:rsidRDefault="00155EBF" w:rsidP="00155EBF">
      <w:pPr>
        <w:spacing w:line="360" w:lineRule="auto"/>
        <w:ind w:left="720" w:hanging="720"/>
        <w:jc w:val="both"/>
        <w:rPr>
          <w:rtl/>
        </w:rPr>
      </w:pPr>
    </w:p>
    <w:p w14:paraId="162D8B82" w14:textId="77777777" w:rsidR="00155EBF" w:rsidRDefault="00155EBF" w:rsidP="00155EBF">
      <w:pPr>
        <w:spacing w:line="360" w:lineRule="auto"/>
        <w:ind w:left="720" w:hanging="720"/>
        <w:jc w:val="both"/>
        <w:rPr>
          <w:rtl/>
        </w:rPr>
      </w:pPr>
      <w:r>
        <w:rPr>
          <w:rFonts w:hint="cs"/>
          <w:rtl/>
        </w:rPr>
        <w:t>10.</w:t>
      </w:r>
      <w:r>
        <w:rPr>
          <w:rFonts w:hint="cs"/>
          <w:rtl/>
        </w:rPr>
        <w:tab/>
        <w:t>לאור האמור לעיל, ראיתי להטיל על הנאשם את העונשים הבאים:</w:t>
      </w:r>
    </w:p>
    <w:p w14:paraId="6C4DCA8C" w14:textId="77777777" w:rsidR="00155EBF" w:rsidRDefault="00155EBF" w:rsidP="00155EBF">
      <w:pPr>
        <w:spacing w:line="360" w:lineRule="auto"/>
        <w:ind w:left="720" w:hanging="720"/>
        <w:jc w:val="both"/>
        <w:rPr>
          <w:rtl/>
        </w:rPr>
      </w:pPr>
    </w:p>
    <w:p w14:paraId="7F605245" w14:textId="77777777" w:rsidR="00155EBF" w:rsidRDefault="00155EBF" w:rsidP="00155EBF">
      <w:pPr>
        <w:spacing w:line="360" w:lineRule="auto"/>
        <w:jc w:val="both"/>
        <w:rPr>
          <w:rFonts w:ascii="Arial" w:hAnsi="Arial"/>
        </w:rPr>
      </w:pPr>
      <w:r>
        <w:rPr>
          <w:rFonts w:ascii="Arial" w:hAnsi="Arial" w:hint="cs"/>
          <w:rtl/>
        </w:rPr>
        <w:t>א.</w:t>
      </w:r>
      <w:r>
        <w:rPr>
          <w:rFonts w:ascii="Arial" w:hAnsi="Arial" w:hint="cs"/>
          <w:rtl/>
        </w:rPr>
        <w:tab/>
        <w:t xml:space="preserve"> 15 חודשי מאסר לריצוי בפועל החל מיום מעצרו - 31.1.2021.</w:t>
      </w:r>
    </w:p>
    <w:p w14:paraId="2D41132F" w14:textId="77777777" w:rsidR="00155EBF" w:rsidRDefault="00155EBF" w:rsidP="00155EBF">
      <w:pPr>
        <w:spacing w:line="360" w:lineRule="auto"/>
        <w:jc w:val="both"/>
        <w:rPr>
          <w:rFonts w:ascii="Arial" w:hAnsi="Arial"/>
        </w:rPr>
      </w:pPr>
      <w:r>
        <w:rPr>
          <w:rFonts w:ascii="Arial" w:hAnsi="Arial" w:hint="cs"/>
          <w:rtl/>
        </w:rPr>
        <w:tab/>
      </w:r>
    </w:p>
    <w:p w14:paraId="3489BE21" w14:textId="77777777" w:rsidR="00155EBF" w:rsidRDefault="00155EBF" w:rsidP="00155EBF">
      <w:pPr>
        <w:spacing w:line="360" w:lineRule="auto"/>
        <w:ind w:left="720" w:hanging="720"/>
        <w:jc w:val="both"/>
        <w:rPr>
          <w:rFonts w:ascii="Arial" w:hAnsi="Arial"/>
        </w:rPr>
      </w:pPr>
      <w:r>
        <w:rPr>
          <w:rFonts w:ascii="Arial" w:hAnsi="Arial" w:hint="cs"/>
          <w:rtl/>
        </w:rPr>
        <w:t>ב.</w:t>
      </w:r>
      <w:r>
        <w:rPr>
          <w:rFonts w:ascii="Arial" w:hAnsi="Arial" w:hint="cs"/>
          <w:rtl/>
        </w:rPr>
        <w:tab/>
        <w:t xml:space="preserve">7 חודשי מאסר, אולם הנאשם לא יישא עונש זה אלא אם יעבור תוך שלוש שנים מיום שחרורו עבירת נשק או עבירת סמים מסוג פשע. </w:t>
      </w:r>
    </w:p>
    <w:p w14:paraId="234FB97A" w14:textId="77777777" w:rsidR="00155EBF" w:rsidRDefault="00155EBF" w:rsidP="00155EBF">
      <w:pPr>
        <w:spacing w:line="360" w:lineRule="auto"/>
        <w:jc w:val="both"/>
        <w:rPr>
          <w:rFonts w:ascii="Arial" w:hAnsi="Arial"/>
          <w:rtl/>
        </w:rPr>
      </w:pPr>
    </w:p>
    <w:p w14:paraId="448B4DB8" w14:textId="77777777" w:rsidR="00155EBF" w:rsidRDefault="00155EBF" w:rsidP="00155EBF">
      <w:pPr>
        <w:spacing w:line="360" w:lineRule="auto"/>
        <w:ind w:left="720" w:hanging="720"/>
        <w:jc w:val="both"/>
        <w:rPr>
          <w:rFonts w:ascii="Arial" w:hAnsi="Arial"/>
          <w:rtl/>
        </w:rPr>
      </w:pPr>
      <w:r>
        <w:rPr>
          <w:rFonts w:ascii="Arial" w:hAnsi="Arial" w:hint="cs"/>
          <w:rtl/>
        </w:rPr>
        <w:t>ג.</w:t>
      </w:r>
      <w:r>
        <w:rPr>
          <w:rFonts w:ascii="Arial" w:hAnsi="Arial" w:hint="cs"/>
          <w:rtl/>
        </w:rPr>
        <w:tab/>
        <w:t xml:space="preserve">4 חודשי מאסר, אולם הנאשם לא יישא עונש זה אלא אם יעבור תוך שלוש שנים מיום שחרורו עבירת רכוש מסוג פשע. </w:t>
      </w:r>
    </w:p>
    <w:p w14:paraId="2F3161DD" w14:textId="77777777" w:rsidR="00155EBF" w:rsidRDefault="00155EBF" w:rsidP="00155EBF">
      <w:pPr>
        <w:spacing w:line="360" w:lineRule="auto"/>
        <w:ind w:left="720" w:hanging="720"/>
        <w:jc w:val="both"/>
        <w:rPr>
          <w:rFonts w:ascii="Arial" w:hAnsi="Arial"/>
          <w:rtl/>
        </w:rPr>
      </w:pPr>
      <w:r>
        <w:rPr>
          <w:rFonts w:ascii="Arial" w:hAnsi="Arial" w:hint="cs"/>
          <w:rtl/>
        </w:rPr>
        <w:t>ד.</w:t>
      </w:r>
      <w:r>
        <w:rPr>
          <w:rFonts w:ascii="Arial" w:hAnsi="Arial" w:hint="cs"/>
          <w:rtl/>
        </w:rPr>
        <w:tab/>
        <w:t>1 חודש מאסר, אולם הנאשם לא יישא עונש זה אלא אם יעבור תוך שנתיים מיום שחרורו עבירת סמים מסוג עוון או עבירת רכוש מסוג עוון.</w:t>
      </w:r>
    </w:p>
    <w:p w14:paraId="148422D8" w14:textId="77777777" w:rsidR="00155EBF" w:rsidRDefault="00155EBF" w:rsidP="00155EBF">
      <w:pPr>
        <w:spacing w:line="360" w:lineRule="auto"/>
        <w:ind w:left="720" w:hanging="720"/>
        <w:jc w:val="both"/>
        <w:rPr>
          <w:rFonts w:ascii="Arial" w:hAnsi="Arial"/>
          <w:rtl/>
        </w:rPr>
      </w:pPr>
    </w:p>
    <w:p w14:paraId="2C397DDB" w14:textId="77777777" w:rsidR="00155EBF" w:rsidRDefault="00155EBF" w:rsidP="00155EBF">
      <w:pPr>
        <w:spacing w:line="360" w:lineRule="auto"/>
        <w:ind w:left="720" w:hanging="720"/>
        <w:jc w:val="both"/>
        <w:rPr>
          <w:rFonts w:ascii="Arial" w:hAnsi="Arial"/>
          <w:rtl/>
        </w:rPr>
      </w:pPr>
      <w:r>
        <w:rPr>
          <w:rFonts w:ascii="Arial" w:hAnsi="Arial" w:hint="cs"/>
          <w:rtl/>
        </w:rPr>
        <w:t>ה.</w:t>
      </w:r>
      <w:r>
        <w:rPr>
          <w:rFonts w:ascii="Arial" w:hAnsi="Arial" w:hint="cs"/>
          <w:rtl/>
        </w:rPr>
        <w:tab/>
        <w:t xml:space="preserve">קנס בסך 2,000 ₪ או 10 ימי מאסר תמורתו. הקנס ישולם עד ולא יאוחר מיום 1.1.2022. </w:t>
      </w:r>
    </w:p>
    <w:p w14:paraId="349DF5AE" w14:textId="77777777" w:rsidR="00155EBF" w:rsidRDefault="00155EBF" w:rsidP="00155EBF">
      <w:pPr>
        <w:spacing w:line="360" w:lineRule="auto"/>
        <w:ind w:left="720" w:hanging="720"/>
        <w:jc w:val="both"/>
        <w:rPr>
          <w:rFonts w:ascii="Arial" w:hAnsi="Arial"/>
          <w:rtl/>
        </w:rPr>
      </w:pPr>
    </w:p>
    <w:p w14:paraId="2AE6D3C0" w14:textId="77777777" w:rsidR="00155EBF" w:rsidRDefault="00155EBF" w:rsidP="00155EBF">
      <w:pPr>
        <w:spacing w:line="360" w:lineRule="auto"/>
        <w:ind w:left="720" w:hanging="720"/>
        <w:jc w:val="both"/>
        <w:rPr>
          <w:rFonts w:ascii="Arial" w:hAnsi="Arial"/>
          <w:rtl/>
        </w:rPr>
      </w:pPr>
      <w:r>
        <w:rPr>
          <w:rFonts w:ascii="Arial" w:hAnsi="Arial" w:hint="cs"/>
          <w:rtl/>
        </w:rPr>
        <w:t>ו.</w:t>
      </w:r>
      <w:r>
        <w:rPr>
          <w:rFonts w:ascii="Arial" w:hAnsi="Arial" w:hint="cs"/>
          <w:rtl/>
        </w:rPr>
        <w:tab/>
        <w:t xml:space="preserve">בהסכמת הצדדים, אני מורה על חילוט קטנוע מסוג ג'וי רייד מ.ר. 52-001-78 וכן 360 ₪ שנתפסו בחזקת הנאשם. </w:t>
      </w:r>
    </w:p>
    <w:p w14:paraId="745647C9" w14:textId="77777777" w:rsidR="00155EBF" w:rsidRDefault="00155EBF" w:rsidP="00155EBF">
      <w:pPr>
        <w:spacing w:line="360" w:lineRule="auto"/>
        <w:ind w:left="720" w:hanging="720"/>
        <w:jc w:val="both"/>
        <w:rPr>
          <w:rFonts w:ascii="Arial" w:hAnsi="Arial"/>
          <w:rtl/>
        </w:rPr>
      </w:pPr>
    </w:p>
    <w:p w14:paraId="2D0CDE76" w14:textId="77777777" w:rsidR="00155EBF" w:rsidRDefault="00155EBF" w:rsidP="00155EBF">
      <w:pPr>
        <w:spacing w:line="360" w:lineRule="auto"/>
        <w:ind w:left="720" w:hanging="720"/>
        <w:jc w:val="both"/>
        <w:rPr>
          <w:rFonts w:ascii="Arial" w:hAnsi="Arial"/>
          <w:rtl/>
        </w:rPr>
      </w:pPr>
      <w:r>
        <w:rPr>
          <w:rFonts w:ascii="Arial" w:hAnsi="Arial" w:hint="cs"/>
          <w:rtl/>
        </w:rPr>
        <w:t>ניתן צו כללי למוצגים לשיקול דעת קצין משטרה ו/או התביעה.</w:t>
      </w:r>
    </w:p>
    <w:p w14:paraId="61BF12D5" w14:textId="77777777" w:rsidR="00155EBF" w:rsidRDefault="00155EBF" w:rsidP="00155EBF">
      <w:pPr>
        <w:spacing w:line="360" w:lineRule="auto"/>
        <w:ind w:left="720" w:hanging="720"/>
        <w:jc w:val="both"/>
        <w:rPr>
          <w:rFonts w:ascii="Arial" w:hAnsi="Arial"/>
          <w:rtl/>
        </w:rPr>
      </w:pPr>
    </w:p>
    <w:p w14:paraId="7A425788" w14:textId="77777777" w:rsidR="00155EBF" w:rsidRDefault="00155EBF" w:rsidP="00155EBF">
      <w:pPr>
        <w:spacing w:line="360" w:lineRule="auto"/>
        <w:ind w:left="720" w:hanging="720"/>
        <w:jc w:val="both"/>
        <w:rPr>
          <w:rFonts w:ascii="Arial" w:hAnsi="Arial"/>
          <w:rtl/>
        </w:rPr>
      </w:pPr>
      <w:r>
        <w:rPr>
          <w:rFonts w:ascii="Arial" w:hAnsi="Arial" w:hint="cs"/>
          <w:rtl/>
        </w:rPr>
        <w:t xml:space="preserve">זכות ערעור כחוק. </w:t>
      </w:r>
    </w:p>
    <w:p w14:paraId="5E24FAA9" w14:textId="77777777" w:rsidR="00155EBF" w:rsidRPr="00B05847" w:rsidRDefault="00155EBF" w:rsidP="00155EBF">
      <w:pPr>
        <w:rPr>
          <w:rtl/>
        </w:rPr>
      </w:pPr>
    </w:p>
    <w:p w14:paraId="4BB101C8" w14:textId="77777777" w:rsidR="00155EBF" w:rsidRPr="00B05847" w:rsidRDefault="00155EBF" w:rsidP="00155EBF">
      <w:pPr>
        <w:rPr>
          <w:rtl/>
        </w:rPr>
      </w:pPr>
    </w:p>
    <w:p w14:paraId="609E2E12" w14:textId="77777777" w:rsidR="00155EBF" w:rsidRDefault="002C60BF" w:rsidP="00155EBF">
      <w:pPr>
        <w:spacing w:line="360" w:lineRule="auto"/>
        <w:jc w:val="both"/>
        <w:rPr>
          <w:rFonts w:ascii="Arial" w:hAnsi="Arial" w:hint="cs"/>
          <w:rtl/>
        </w:rPr>
      </w:pPr>
      <w:bookmarkStart w:id="8" w:name="Nitan"/>
      <w:r>
        <w:rPr>
          <w:rFonts w:ascii="Arial" w:hAnsi="Arial"/>
          <w:rtl/>
        </w:rPr>
        <w:t xml:space="preserve">ניתן היום,  י"ד אלול תשפ"א, 22 אוגוסט 2021, במעמד הצדדים. </w:t>
      </w:r>
      <w:bookmarkEnd w:id="8"/>
      <w:r w:rsidR="00314AAF">
        <w:rPr>
          <w:rFonts w:ascii="Arial" w:hAnsi="Arial" w:hint="cs"/>
          <w:rtl/>
        </w:rPr>
        <w:t xml:space="preserve"> </w:t>
      </w:r>
    </w:p>
    <w:p w14:paraId="2F5A4F44" w14:textId="77777777" w:rsidR="00155EBF" w:rsidRPr="00250B83" w:rsidRDefault="00155EBF" w:rsidP="00155EBF">
      <w:pPr>
        <w:spacing w:line="360" w:lineRule="auto"/>
        <w:jc w:val="both"/>
        <w:rPr>
          <w:rFonts w:ascii="Arial" w:hAnsi="Arial"/>
        </w:rPr>
      </w:pPr>
    </w:p>
    <w:p w14:paraId="369FBEAB" w14:textId="77777777" w:rsidR="00155EBF" w:rsidRPr="002C60BF" w:rsidRDefault="002C60BF" w:rsidP="00155EBF">
      <w:pPr>
        <w:rPr>
          <w:color w:val="FFFFFF"/>
          <w:sz w:val="2"/>
          <w:szCs w:val="2"/>
          <w:rtl/>
        </w:rPr>
      </w:pPr>
      <w:r w:rsidRPr="002C60BF">
        <w:rPr>
          <w:color w:val="FFFFFF"/>
          <w:sz w:val="2"/>
          <w:szCs w:val="2"/>
          <w:rtl/>
        </w:rPr>
        <w:t>5129371</w:t>
      </w:r>
    </w:p>
    <w:tbl>
      <w:tblPr>
        <w:tblpPr w:leftFromText="180" w:rightFromText="180" w:vertAnchor="text" w:horzAnchor="page" w:tblpX="2374" w:tblpY="86"/>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155EBF" w14:paraId="4005325F" w14:textId="77777777" w:rsidTr="00155EBF">
        <w:trPr>
          <w:trHeight w:val="316"/>
        </w:trPr>
        <w:tc>
          <w:tcPr>
            <w:tcW w:w="3936" w:type="dxa"/>
            <w:tcBorders>
              <w:top w:val="nil"/>
              <w:left w:val="nil"/>
              <w:bottom w:val="single" w:sz="4" w:space="0" w:color="auto"/>
              <w:right w:val="nil"/>
            </w:tcBorders>
            <w:shd w:val="clear" w:color="auto" w:fill="auto"/>
            <w:vAlign w:val="bottom"/>
          </w:tcPr>
          <w:p w14:paraId="29626D3B" w14:textId="77777777" w:rsidR="00155EBF" w:rsidRPr="002C60BF" w:rsidRDefault="002C60BF" w:rsidP="00155EBF">
            <w:pPr>
              <w:jc w:val="center"/>
              <w:rPr>
                <w:rFonts w:cs="Times New Roman"/>
                <w:color w:val="FFFFFF"/>
                <w:sz w:val="2"/>
                <w:szCs w:val="2"/>
              </w:rPr>
            </w:pPr>
            <w:r w:rsidRPr="002C60BF">
              <w:rPr>
                <w:rFonts w:cs="Times New Roman"/>
                <w:color w:val="FFFFFF"/>
                <w:sz w:val="2"/>
                <w:szCs w:val="2"/>
                <w:rtl/>
              </w:rPr>
              <w:t>54678313</w:t>
            </w:r>
          </w:p>
        </w:tc>
      </w:tr>
      <w:tr w:rsidR="00155EBF" w14:paraId="1BE86E4A" w14:textId="77777777" w:rsidTr="00155EBF">
        <w:trPr>
          <w:trHeight w:val="361"/>
        </w:trPr>
        <w:tc>
          <w:tcPr>
            <w:tcW w:w="3936" w:type="dxa"/>
            <w:tcBorders>
              <w:top w:val="single" w:sz="4" w:space="0" w:color="auto"/>
              <w:left w:val="nil"/>
              <w:bottom w:val="nil"/>
              <w:right w:val="nil"/>
            </w:tcBorders>
            <w:shd w:val="clear" w:color="auto" w:fill="auto"/>
          </w:tcPr>
          <w:p w14:paraId="226A3A5C" w14:textId="77777777" w:rsidR="00155EBF" w:rsidRPr="00155EBF" w:rsidRDefault="00155EBF" w:rsidP="00155EBF">
            <w:pPr>
              <w:jc w:val="center"/>
              <w:rPr>
                <w:b/>
                <w:bCs/>
                <w:rtl/>
              </w:rPr>
            </w:pPr>
            <w:r w:rsidRPr="00155EBF">
              <w:rPr>
                <w:b/>
                <w:bCs/>
                <w:rtl/>
              </w:rPr>
              <w:t>בני שגיא, שופט</w:t>
            </w:r>
          </w:p>
          <w:p w14:paraId="604D98B6" w14:textId="77777777" w:rsidR="00155EBF" w:rsidRPr="00155EBF" w:rsidRDefault="00155EBF" w:rsidP="00155EBF">
            <w:pPr>
              <w:jc w:val="center"/>
              <w:rPr>
                <w:b/>
                <w:bCs/>
                <w:rtl/>
                <w:lang w:eastAsia="he-IL"/>
              </w:rPr>
            </w:pPr>
            <w:r w:rsidRPr="00155EBF">
              <w:rPr>
                <w:b/>
                <w:bCs/>
                <w:rtl/>
              </w:rPr>
              <w:t>סגן נשיא</w:t>
            </w:r>
          </w:p>
        </w:tc>
      </w:tr>
    </w:tbl>
    <w:p w14:paraId="3EDBBD23" w14:textId="77777777" w:rsidR="00155EBF" w:rsidRPr="00250B83" w:rsidRDefault="00155EBF" w:rsidP="00155EBF">
      <w:pPr>
        <w:rPr>
          <w:rtl/>
        </w:rPr>
      </w:pPr>
    </w:p>
    <w:p w14:paraId="0EF3C0A8" w14:textId="77777777" w:rsidR="00155EBF" w:rsidRPr="00250B83" w:rsidRDefault="00155EBF" w:rsidP="00155EBF">
      <w:pPr>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3832B7CF" w14:textId="77777777" w:rsidR="00155EBF" w:rsidRPr="00AF1097" w:rsidRDefault="00155EBF" w:rsidP="00155EBF">
      <w:pPr>
        <w:jc w:val="center"/>
        <w:rPr>
          <w:rFonts w:ascii="Arial" w:hAnsi="Arial"/>
          <w:rtl/>
        </w:rPr>
      </w:pPr>
    </w:p>
    <w:p w14:paraId="0CC264AE" w14:textId="77777777" w:rsidR="00155EBF" w:rsidRPr="00250B83" w:rsidRDefault="00155EBF" w:rsidP="00155EBF">
      <w:pPr>
        <w:rPr>
          <w:rtl/>
        </w:rPr>
      </w:pPr>
    </w:p>
    <w:p w14:paraId="189D30F1" w14:textId="77777777" w:rsidR="00155EBF" w:rsidRPr="00A1465A" w:rsidRDefault="00A1465A" w:rsidP="00155EBF">
      <w:pPr>
        <w:pStyle w:val="a3"/>
        <w:jc w:val="center"/>
        <w:rPr>
          <w:color w:val="FFFFFF"/>
          <w:sz w:val="2"/>
          <w:szCs w:val="2"/>
          <w:rtl/>
        </w:rPr>
      </w:pPr>
      <w:r w:rsidRPr="00A1465A">
        <w:rPr>
          <w:color w:val="FFFFFF"/>
          <w:sz w:val="2"/>
          <w:szCs w:val="2"/>
          <w:rtl/>
        </w:rPr>
        <w:t>5129371</w:t>
      </w:r>
    </w:p>
    <w:p w14:paraId="616B5D33" w14:textId="77777777" w:rsidR="00DA1EA9" w:rsidRPr="00A1465A" w:rsidRDefault="00A1465A" w:rsidP="002C60BF">
      <w:pPr>
        <w:keepNext/>
        <w:rPr>
          <w:rFonts w:ascii="David" w:hAnsi="David"/>
          <w:color w:val="FFFFFF"/>
          <w:sz w:val="2"/>
          <w:szCs w:val="2"/>
          <w:rtl/>
        </w:rPr>
      </w:pPr>
      <w:r w:rsidRPr="00A1465A">
        <w:rPr>
          <w:rFonts w:ascii="David" w:hAnsi="David"/>
          <w:color w:val="FFFFFF"/>
          <w:sz w:val="2"/>
          <w:szCs w:val="2"/>
          <w:rtl/>
        </w:rPr>
        <w:t>54678313</w:t>
      </w:r>
    </w:p>
    <w:p w14:paraId="6EE34A96" w14:textId="77777777" w:rsidR="002C60BF" w:rsidRDefault="002C60BF" w:rsidP="002C60BF">
      <w:pPr>
        <w:rPr>
          <w:rtl/>
        </w:rPr>
      </w:pPr>
    </w:p>
    <w:p w14:paraId="20B14D43" w14:textId="77777777" w:rsidR="002C60BF" w:rsidRDefault="002C60BF" w:rsidP="002C60BF">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4CEDC50D" w14:textId="77777777" w:rsidR="00A1465A" w:rsidRPr="00A1465A" w:rsidRDefault="00A1465A" w:rsidP="00A1465A">
      <w:pPr>
        <w:keepNext/>
        <w:rPr>
          <w:rFonts w:ascii="David" w:hAnsi="David"/>
          <w:color w:val="000000"/>
          <w:sz w:val="22"/>
          <w:szCs w:val="22"/>
          <w:rtl/>
        </w:rPr>
      </w:pPr>
    </w:p>
    <w:p w14:paraId="58AD6906" w14:textId="77777777" w:rsidR="00A1465A" w:rsidRPr="00A1465A" w:rsidRDefault="00A1465A" w:rsidP="00A1465A">
      <w:pPr>
        <w:keepNext/>
        <w:rPr>
          <w:rFonts w:ascii="David" w:hAnsi="David"/>
          <w:color w:val="000000"/>
          <w:sz w:val="22"/>
          <w:szCs w:val="22"/>
          <w:rtl/>
        </w:rPr>
      </w:pPr>
      <w:r w:rsidRPr="00A1465A">
        <w:rPr>
          <w:rFonts w:ascii="David" w:hAnsi="David"/>
          <w:color w:val="000000"/>
          <w:sz w:val="22"/>
          <w:szCs w:val="22"/>
          <w:rtl/>
        </w:rPr>
        <w:t>בני שגיא 54678313-/</w:t>
      </w:r>
    </w:p>
    <w:p w14:paraId="0FA2FB33" w14:textId="77777777" w:rsidR="002C60BF" w:rsidRPr="002C60BF" w:rsidRDefault="00A1465A" w:rsidP="00A1465A">
      <w:pPr>
        <w:rPr>
          <w:color w:val="0000FF"/>
          <w:u w:val="single"/>
        </w:rPr>
      </w:pPr>
      <w:r w:rsidRPr="00A1465A">
        <w:rPr>
          <w:color w:val="000000"/>
          <w:u w:val="single"/>
          <w:rtl/>
        </w:rPr>
        <w:t>נוסח מסמך זה כפוף לשינויי ניסוח ועריכה</w:t>
      </w:r>
    </w:p>
    <w:sectPr w:rsidR="002C60BF" w:rsidRPr="002C60BF" w:rsidSect="00A1465A">
      <w:headerReference w:type="even" r:id="rId24"/>
      <w:headerReference w:type="default" r:id="rId25"/>
      <w:footerReference w:type="even" r:id="rId26"/>
      <w:footerReference w:type="default" r:id="rId27"/>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2F3A8" w14:textId="77777777" w:rsidR="00796ACE" w:rsidRDefault="00796ACE" w:rsidP="00C844B2">
      <w:r>
        <w:separator/>
      </w:r>
    </w:p>
  </w:endnote>
  <w:endnote w:type="continuationSeparator" w:id="0">
    <w:p w14:paraId="6245FBA1" w14:textId="77777777" w:rsidR="00796ACE" w:rsidRDefault="00796ACE" w:rsidP="00C84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F4F3D" w14:textId="77777777" w:rsidR="00A1465A" w:rsidRDefault="00A1465A" w:rsidP="00A1465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E3F9AF8" w14:textId="77777777" w:rsidR="006435A5" w:rsidRPr="00A1465A" w:rsidRDefault="00A1465A" w:rsidP="00A1465A">
    <w:pPr>
      <w:pStyle w:val="a5"/>
      <w:pBdr>
        <w:top w:val="single" w:sz="4" w:space="1" w:color="auto"/>
        <w:between w:val="single" w:sz="4" w:space="0" w:color="auto"/>
      </w:pBdr>
      <w:spacing w:after="60"/>
      <w:jc w:val="center"/>
      <w:rPr>
        <w:rFonts w:ascii="FrankRuehl" w:hAnsi="FrankRuehl" w:cs="FrankRuehl"/>
        <w:color w:val="000000"/>
      </w:rPr>
    </w:pPr>
    <w:r w:rsidRPr="00A1465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5EA05" w14:textId="77777777" w:rsidR="00A1465A" w:rsidRDefault="00A1465A" w:rsidP="00A1465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F55EE">
      <w:rPr>
        <w:rFonts w:ascii="FrankRuehl" w:hAnsi="FrankRuehl" w:cs="FrankRuehl"/>
        <w:noProof/>
        <w:rtl/>
      </w:rPr>
      <w:t>1</w:t>
    </w:r>
    <w:r>
      <w:rPr>
        <w:rFonts w:ascii="FrankRuehl" w:hAnsi="FrankRuehl" w:cs="FrankRuehl"/>
        <w:rtl/>
      </w:rPr>
      <w:fldChar w:fldCharType="end"/>
    </w:r>
  </w:p>
  <w:p w14:paraId="090F94FE" w14:textId="77777777" w:rsidR="006435A5" w:rsidRPr="00A1465A" w:rsidRDefault="00A1465A" w:rsidP="00A1465A">
    <w:pPr>
      <w:pStyle w:val="a5"/>
      <w:pBdr>
        <w:top w:val="single" w:sz="4" w:space="1" w:color="auto"/>
        <w:between w:val="single" w:sz="4" w:space="0" w:color="auto"/>
      </w:pBdr>
      <w:spacing w:after="60"/>
      <w:jc w:val="center"/>
      <w:rPr>
        <w:rFonts w:ascii="FrankRuehl" w:hAnsi="FrankRuehl" w:cs="FrankRuehl"/>
        <w:color w:val="000000"/>
      </w:rPr>
    </w:pPr>
    <w:r w:rsidRPr="00A1465A">
      <w:rPr>
        <w:rFonts w:ascii="FrankRuehl" w:hAnsi="FrankRuehl" w:cs="FrankRuehl"/>
        <w:color w:val="000000"/>
      </w:rPr>
      <w:pict w14:anchorId="3B06A3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47E6F" w14:textId="77777777" w:rsidR="00796ACE" w:rsidRDefault="00796ACE" w:rsidP="00C844B2">
      <w:r>
        <w:separator/>
      </w:r>
    </w:p>
  </w:footnote>
  <w:footnote w:type="continuationSeparator" w:id="0">
    <w:p w14:paraId="33922FE0" w14:textId="77777777" w:rsidR="00796ACE" w:rsidRDefault="00796ACE" w:rsidP="00C84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D8FA2" w14:textId="77777777" w:rsidR="002C60BF" w:rsidRPr="00A1465A" w:rsidRDefault="00A1465A" w:rsidP="00A1465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46604-02-21</w:t>
    </w:r>
    <w:r>
      <w:rPr>
        <w:rFonts w:ascii="David" w:hAnsi="David"/>
        <w:color w:val="000000"/>
        <w:sz w:val="22"/>
        <w:szCs w:val="22"/>
        <w:rtl/>
      </w:rPr>
      <w:tab/>
      <w:t xml:space="preserve"> מדינת ישראל נ' נחמן אפטה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7CAC1" w14:textId="77777777" w:rsidR="002C60BF" w:rsidRPr="00A1465A" w:rsidRDefault="00A1465A" w:rsidP="00A1465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46604-02-21</w:t>
    </w:r>
    <w:r>
      <w:rPr>
        <w:rFonts w:ascii="David" w:hAnsi="David"/>
        <w:color w:val="000000"/>
        <w:sz w:val="22"/>
        <w:szCs w:val="22"/>
        <w:rtl/>
      </w:rPr>
      <w:tab/>
      <w:t xml:space="preserve"> מדינת ישראל נ' נחמן אפטה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55EBF"/>
    <w:rsid w:val="000207F4"/>
    <w:rsid w:val="00155EBF"/>
    <w:rsid w:val="001B5A3B"/>
    <w:rsid w:val="002207FE"/>
    <w:rsid w:val="002C60BF"/>
    <w:rsid w:val="00314AAF"/>
    <w:rsid w:val="0039716D"/>
    <w:rsid w:val="006435A5"/>
    <w:rsid w:val="00796ACE"/>
    <w:rsid w:val="009E3FC5"/>
    <w:rsid w:val="00A1465A"/>
    <w:rsid w:val="00C844B2"/>
    <w:rsid w:val="00D51125"/>
    <w:rsid w:val="00DA1EA9"/>
    <w:rsid w:val="00DF55EE"/>
    <w:rsid w:val="00E324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C12CDC"/>
  <w15:chartTrackingRefBased/>
  <w15:docId w15:val="{6AE31B3C-950E-4AB8-BB01-BD8A0E48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55EB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55EBF"/>
    <w:pPr>
      <w:tabs>
        <w:tab w:val="center" w:pos="4153"/>
        <w:tab w:val="right" w:pos="8306"/>
      </w:tabs>
    </w:pPr>
  </w:style>
  <w:style w:type="character" w:customStyle="1" w:styleId="a4">
    <w:name w:val="כותרת עליונה תו"/>
    <w:link w:val="a3"/>
    <w:rsid w:val="00155EBF"/>
    <w:rPr>
      <w:rFonts w:ascii="Times New Roman" w:eastAsia="Times New Roman" w:hAnsi="Times New Roman" w:cs="David"/>
      <w:sz w:val="24"/>
      <w:szCs w:val="24"/>
    </w:rPr>
  </w:style>
  <w:style w:type="paragraph" w:styleId="a5">
    <w:name w:val="footer"/>
    <w:basedOn w:val="a"/>
    <w:link w:val="a6"/>
    <w:rsid w:val="00155EBF"/>
    <w:pPr>
      <w:tabs>
        <w:tab w:val="center" w:pos="4153"/>
        <w:tab w:val="right" w:pos="8306"/>
      </w:tabs>
    </w:pPr>
  </w:style>
  <w:style w:type="character" w:customStyle="1" w:styleId="a6">
    <w:name w:val="כותרת תחתונה תו"/>
    <w:link w:val="a5"/>
    <w:rsid w:val="00155EBF"/>
    <w:rPr>
      <w:rFonts w:ascii="Times New Roman" w:eastAsia="Times New Roman" w:hAnsi="Times New Roman" w:cs="David"/>
      <w:sz w:val="24"/>
      <w:szCs w:val="24"/>
    </w:rPr>
  </w:style>
  <w:style w:type="table" w:styleId="a7">
    <w:name w:val="Table Grid"/>
    <w:basedOn w:val="a1"/>
    <w:rsid w:val="00155EB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55EBF"/>
  </w:style>
  <w:style w:type="character" w:styleId="Hyperlink">
    <w:name w:val="Hyperlink"/>
    <w:rsid w:val="002C60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11"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23798540"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20052568" TargetMode="External"/><Relationship Id="rId7" Type="http://schemas.openxmlformats.org/officeDocument/2006/relationships/hyperlink" Target="http://www.nevo.co.il/law/70301/144.a" TargetMode="External"/><Relationship Id="rId12" Type="http://schemas.openxmlformats.org/officeDocument/2006/relationships/hyperlink" Target="http://www.nevo.co.il/law/70301/411" TargetMode="External"/><Relationship Id="rId17" Type="http://schemas.openxmlformats.org/officeDocument/2006/relationships/hyperlink" Target="http://www.nevo.co.il/case/26986974"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25824863" TargetMode="External"/><Relationship Id="rId20" Type="http://schemas.openxmlformats.org/officeDocument/2006/relationships/hyperlink" Target="http://www.nevo.co.il/case/22864362"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7.c"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4216/7.a.;7.c"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7.a." TargetMode="External"/><Relationship Id="rId19" Type="http://schemas.openxmlformats.org/officeDocument/2006/relationships/hyperlink" Target="http://www.nevo.co.il/case/20956295"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1658849"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1941</Words>
  <Characters>9708</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11626</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3670136</vt:i4>
      </vt:variant>
      <vt:variant>
        <vt:i4>48</vt:i4>
      </vt:variant>
      <vt:variant>
        <vt:i4>0</vt:i4>
      </vt:variant>
      <vt:variant>
        <vt:i4>5</vt:i4>
      </vt:variant>
      <vt:variant>
        <vt:lpwstr>http://www.nevo.co.il/case/21658849</vt:lpwstr>
      </vt:variant>
      <vt:variant>
        <vt:lpwstr/>
      </vt:variant>
      <vt:variant>
        <vt:i4>3539060</vt:i4>
      </vt:variant>
      <vt:variant>
        <vt:i4>45</vt:i4>
      </vt:variant>
      <vt:variant>
        <vt:i4>0</vt:i4>
      </vt:variant>
      <vt:variant>
        <vt:i4>5</vt:i4>
      </vt:variant>
      <vt:variant>
        <vt:lpwstr>http://www.nevo.co.il/case/20052568</vt:lpwstr>
      </vt:variant>
      <vt:variant>
        <vt:lpwstr/>
      </vt:variant>
      <vt:variant>
        <vt:i4>3670131</vt:i4>
      </vt:variant>
      <vt:variant>
        <vt:i4>42</vt:i4>
      </vt:variant>
      <vt:variant>
        <vt:i4>0</vt:i4>
      </vt:variant>
      <vt:variant>
        <vt:i4>5</vt:i4>
      </vt:variant>
      <vt:variant>
        <vt:lpwstr>http://www.nevo.co.il/case/22864362</vt:lpwstr>
      </vt:variant>
      <vt:variant>
        <vt:lpwstr/>
      </vt:variant>
      <vt:variant>
        <vt:i4>3407987</vt:i4>
      </vt:variant>
      <vt:variant>
        <vt:i4>39</vt:i4>
      </vt:variant>
      <vt:variant>
        <vt:i4>0</vt:i4>
      </vt:variant>
      <vt:variant>
        <vt:i4>5</vt:i4>
      </vt:variant>
      <vt:variant>
        <vt:lpwstr>http://www.nevo.co.il/case/20956295</vt:lpwstr>
      </vt:variant>
      <vt:variant>
        <vt:lpwstr/>
      </vt:variant>
      <vt:variant>
        <vt:i4>3735675</vt:i4>
      </vt:variant>
      <vt:variant>
        <vt:i4>36</vt:i4>
      </vt:variant>
      <vt:variant>
        <vt:i4>0</vt:i4>
      </vt:variant>
      <vt:variant>
        <vt:i4>5</vt:i4>
      </vt:variant>
      <vt:variant>
        <vt:lpwstr>http://www.nevo.co.il/case/23798540</vt:lpwstr>
      </vt:variant>
      <vt:variant>
        <vt:lpwstr/>
      </vt:variant>
      <vt:variant>
        <vt:i4>3801203</vt:i4>
      </vt:variant>
      <vt:variant>
        <vt:i4>33</vt:i4>
      </vt:variant>
      <vt:variant>
        <vt:i4>0</vt:i4>
      </vt:variant>
      <vt:variant>
        <vt:i4>5</vt:i4>
      </vt:variant>
      <vt:variant>
        <vt:lpwstr>http://www.nevo.co.il/case/26986974</vt:lpwstr>
      </vt:variant>
      <vt:variant>
        <vt:lpwstr/>
      </vt:variant>
      <vt:variant>
        <vt:i4>3670139</vt:i4>
      </vt:variant>
      <vt:variant>
        <vt:i4>30</vt:i4>
      </vt:variant>
      <vt:variant>
        <vt:i4>0</vt:i4>
      </vt:variant>
      <vt:variant>
        <vt:i4>5</vt:i4>
      </vt:variant>
      <vt:variant>
        <vt:lpwstr>http://www.nevo.co.il/case/25824863</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6553697</vt:i4>
      </vt:variant>
      <vt:variant>
        <vt:i4>18</vt:i4>
      </vt:variant>
      <vt:variant>
        <vt:i4>0</vt:i4>
      </vt:variant>
      <vt:variant>
        <vt:i4>5</vt:i4>
      </vt:variant>
      <vt:variant>
        <vt:lpwstr>http://www.nevo.co.il/law/70301/411</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6553697</vt:i4>
      </vt:variant>
      <vt:variant>
        <vt:i4>6</vt:i4>
      </vt:variant>
      <vt:variant>
        <vt:i4>0</vt:i4>
      </vt:variant>
      <vt:variant>
        <vt:i4>5</vt:i4>
      </vt:variant>
      <vt:variant>
        <vt:lpwstr>http://www.nevo.co.il/law/70301/411</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2025-01-19T16:40:00Z</dcterms:created>
  <dcterms:modified xsi:type="dcterms:W3CDTF">2025-01-19T16:40:00Z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46604</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נחמן אפטה  </vt:lpwstr>
  </property>
  <property fmtid="{D5CDD505-2E9C-101B-9397-08002B2CF9AE}" pid="10" name="LAWYER">
    <vt:lpwstr>ענת בן זאב;שלי קוטין;שחר חצרוני</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20210822</vt:lpwstr>
  </property>
  <property fmtid="{D5CDD505-2E9C-101B-9397-08002B2CF9AE}" pid="14" name="TYPE_N_DATE">
    <vt:lpwstr>39020210822</vt:lpwstr>
  </property>
  <property fmtid="{D5CDD505-2E9C-101B-9397-08002B2CF9AE}" pid="15" name="WORDNUMPAGES">
    <vt:lpwstr>6</vt:lpwstr>
  </property>
  <property fmtid="{D5CDD505-2E9C-101B-9397-08002B2CF9AE}" pid="16" name="TYPE_ABS_DATE">
    <vt:lpwstr>390020210822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25824863;26986974;23798540;20956295;22864362;20052568;21658849</vt:lpwstr>
  </property>
  <property fmtid="{D5CDD505-2E9C-101B-9397-08002B2CF9AE}" pid="36" name="LAWLISTTMP1">
    <vt:lpwstr>70301/411;144.a</vt:lpwstr>
  </property>
  <property fmtid="{D5CDD505-2E9C-101B-9397-08002B2CF9AE}" pid="37" name="LAWLISTTMP2">
    <vt:lpwstr>4216/007.a;007.c</vt:lpwstr>
  </property>
</Properties>
</file>