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9D3D3E" w:rsidRPr="007D20FC" w14:paraId="24CC3216" w14:textId="77777777" w:rsidTr="003905B4">
        <w:trPr>
          <w:trHeight w:val="418"/>
          <w:jc w:val="center"/>
        </w:trPr>
        <w:tc>
          <w:tcPr>
            <w:tcW w:w="8504" w:type="dxa"/>
            <w:gridSpan w:val="3"/>
          </w:tcPr>
          <w:p w14:paraId="73627FC2" w14:textId="77777777" w:rsidR="009D3D3E" w:rsidRPr="007D20FC" w:rsidRDefault="009D3D3E" w:rsidP="003905B4">
            <w:pPr>
              <w:pStyle w:val="a3"/>
              <w:jc w:val="center"/>
              <w:rPr>
                <w:rtl/>
              </w:rPr>
            </w:pPr>
            <w:r w:rsidRPr="007D20FC">
              <w:rPr>
                <w:rFonts w:ascii="Tahoma" w:hAnsi="Tahoma" w:cs="Tahoma"/>
                <w:b/>
                <w:bCs/>
                <w:color w:val="000080"/>
                <w:sz w:val="20"/>
                <w:szCs w:val="20"/>
                <w:rtl/>
              </w:rPr>
              <w:t>בית המשפט המחוזי בבאר שבע</w:t>
            </w:r>
          </w:p>
        </w:tc>
      </w:tr>
      <w:tr w:rsidR="009D3D3E" w:rsidRPr="007D20FC" w14:paraId="6F49E1CD" w14:textId="77777777" w:rsidTr="003905B4">
        <w:trPr>
          <w:trHeight w:val="337"/>
          <w:jc w:val="center"/>
        </w:trPr>
        <w:tc>
          <w:tcPr>
            <w:tcW w:w="4676" w:type="dxa"/>
          </w:tcPr>
          <w:p w14:paraId="48AA2C2A" w14:textId="77777777" w:rsidR="009D3D3E" w:rsidRPr="007D20FC" w:rsidRDefault="009D3D3E" w:rsidP="003905B4">
            <w:pPr>
              <w:spacing w:line="360" w:lineRule="auto"/>
              <w:jc w:val="both"/>
              <w:rPr>
                <w:b/>
                <w:bCs/>
                <w:rtl/>
              </w:rPr>
            </w:pPr>
            <w:r w:rsidRPr="007D20FC">
              <w:rPr>
                <w:rFonts w:hint="cs"/>
                <w:b/>
                <w:bCs/>
                <w:rtl/>
              </w:rPr>
              <w:t>לפני כבוד סגן הנשיאה, השופט אליהו ביתן</w:t>
            </w:r>
          </w:p>
        </w:tc>
        <w:tc>
          <w:tcPr>
            <w:tcW w:w="241" w:type="dxa"/>
          </w:tcPr>
          <w:p w14:paraId="436D2D9C" w14:textId="77777777" w:rsidR="009D3D3E" w:rsidRPr="007D20FC" w:rsidRDefault="009D3D3E" w:rsidP="003905B4">
            <w:pPr>
              <w:pStyle w:val="a3"/>
              <w:jc w:val="right"/>
              <w:rPr>
                <w:b/>
                <w:bCs/>
                <w:rtl/>
              </w:rPr>
            </w:pPr>
          </w:p>
        </w:tc>
        <w:tc>
          <w:tcPr>
            <w:tcW w:w="3587" w:type="dxa"/>
          </w:tcPr>
          <w:p w14:paraId="4E7B9828" w14:textId="77777777" w:rsidR="009D3D3E" w:rsidRPr="007D20FC" w:rsidRDefault="009D3D3E" w:rsidP="003905B4">
            <w:pPr>
              <w:pStyle w:val="a3"/>
              <w:tabs>
                <w:tab w:val="clear" w:pos="4153"/>
              </w:tabs>
              <w:jc w:val="right"/>
              <w:rPr>
                <w:rtl/>
              </w:rPr>
            </w:pPr>
            <w:r w:rsidRPr="007D20FC">
              <w:rPr>
                <w:rFonts w:hint="cs"/>
                <w:b/>
                <w:bCs/>
                <w:rtl/>
              </w:rPr>
              <w:t>12 ספטמבר 2021</w:t>
            </w:r>
          </w:p>
          <w:p w14:paraId="7689123E" w14:textId="77777777" w:rsidR="009D3D3E" w:rsidRPr="007D20FC" w:rsidRDefault="009D3D3E" w:rsidP="003905B4">
            <w:pPr>
              <w:pStyle w:val="a3"/>
              <w:tabs>
                <w:tab w:val="clear" w:pos="4153"/>
              </w:tabs>
              <w:rPr>
                <w:b/>
                <w:bCs/>
                <w:rtl/>
              </w:rPr>
            </w:pPr>
          </w:p>
          <w:p w14:paraId="038DBAF4" w14:textId="77777777" w:rsidR="009D3D3E" w:rsidRPr="007D20FC" w:rsidRDefault="009D3D3E" w:rsidP="003905B4">
            <w:pPr>
              <w:jc w:val="right"/>
              <w:rPr>
                <w:rtl/>
              </w:rPr>
            </w:pPr>
            <w:r w:rsidRPr="007D20FC">
              <w:rPr>
                <w:rFonts w:hint="cs"/>
                <w:b/>
                <w:bCs/>
                <w:rtl/>
              </w:rPr>
              <w:t>ת"פ 22094-03-21 מדינת ישראל נ' אלעביד(עציר)</w:t>
            </w:r>
          </w:p>
        </w:tc>
      </w:tr>
    </w:tbl>
    <w:p w14:paraId="00687A66" w14:textId="77777777" w:rsidR="009D3D3E" w:rsidRPr="007D20FC" w:rsidRDefault="009D3D3E" w:rsidP="009D3D3E">
      <w:pPr>
        <w:pStyle w:val="a3"/>
        <w:jc w:val="center"/>
        <w:rPr>
          <w:rFonts w:ascii="Tahoma" w:hAnsi="Tahoma" w:cs="Tahoma"/>
          <w:b/>
          <w:bCs/>
          <w:color w:val="000080"/>
          <w:sz w:val="20"/>
          <w:szCs w:val="20"/>
          <w:rtl/>
        </w:rPr>
      </w:pPr>
      <w:bookmarkStart w:id="0" w:name="LastJudge"/>
      <w:bookmarkEnd w:id="0"/>
    </w:p>
    <w:p w14:paraId="432C5786" w14:textId="77777777" w:rsidR="009D3D3E" w:rsidRPr="007D20FC" w:rsidRDefault="009D3D3E" w:rsidP="009D3D3E">
      <w:pPr>
        <w:pStyle w:val="a3"/>
        <w:rPr>
          <w:rtl/>
        </w:rPr>
      </w:pPr>
    </w:p>
    <w:p w14:paraId="17267990" w14:textId="77777777" w:rsidR="009D3D3E" w:rsidRPr="007D20FC" w:rsidRDefault="009D3D3E" w:rsidP="009D3D3E">
      <w:pPr>
        <w:spacing w:line="360" w:lineRule="auto"/>
        <w:jc w:val="both"/>
        <w:rPr>
          <w:sz w:val="6"/>
          <w:szCs w:val="6"/>
          <w:rtl/>
        </w:rPr>
      </w:pPr>
    </w:p>
    <w:p w14:paraId="3A124EEC" w14:textId="77777777" w:rsidR="009D3D3E" w:rsidRPr="007D20FC" w:rsidRDefault="009D3D3E" w:rsidP="009D3D3E">
      <w:pPr>
        <w:spacing w:line="360" w:lineRule="auto"/>
        <w:jc w:val="both"/>
        <w:rPr>
          <w:sz w:val="6"/>
          <w:szCs w:val="6"/>
          <w:rtl/>
        </w:rPr>
      </w:pPr>
    </w:p>
    <w:tbl>
      <w:tblPr>
        <w:bidiVisual/>
        <w:tblW w:w="8502" w:type="dxa"/>
        <w:tblInd w:w="272" w:type="dxa"/>
        <w:tblLook w:val="01E0" w:firstRow="1" w:lastRow="1" w:firstColumn="1" w:lastColumn="1" w:noHBand="0" w:noVBand="0"/>
      </w:tblPr>
      <w:tblGrid>
        <w:gridCol w:w="2220"/>
        <w:gridCol w:w="6226"/>
        <w:gridCol w:w="56"/>
      </w:tblGrid>
      <w:tr w:rsidR="009D3D3E" w:rsidRPr="007D20FC" w14:paraId="704D8303" w14:textId="77777777" w:rsidTr="009D3D3E">
        <w:trPr>
          <w:gridAfter w:val="1"/>
          <w:wAfter w:w="56" w:type="dxa"/>
        </w:trPr>
        <w:tc>
          <w:tcPr>
            <w:tcW w:w="8446" w:type="dxa"/>
            <w:gridSpan w:val="2"/>
            <w:shd w:val="clear" w:color="auto" w:fill="auto"/>
          </w:tcPr>
          <w:p w14:paraId="6B6A83C1" w14:textId="77777777" w:rsidR="009D3D3E" w:rsidRPr="007D20FC" w:rsidRDefault="009D3D3E" w:rsidP="009D3D3E">
            <w:pPr>
              <w:spacing w:line="360" w:lineRule="auto"/>
              <w:jc w:val="both"/>
              <w:rPr>
                <w:rFonts w:ascii="David" w:hAnsi="David"/>
                <w:b/>
                <w:bCs/>
                <w:rtl/>
              </w:rPr>
            </w:pPr>
            <w:r w:rsidRPr="007D20FC">
              <w:rPr>
                <w:rFonts w:ascii="David" w:hAnsi="David"/>
                <w:b/>
                <w:bCs/>
                <w:rtl/>
              </w:rPr>
              <w:t xml:space="preserve">  </w:t>
            </w:r>
            <w:r w:rsidRPr="007D20FC">
              <w:rPr>
                <w:rFonts w:ascii="David" w:hAnsi="David" w:hint="cs"/>
                <w:b/>
                <w:bCs/>
                <w:rtl/>
              </w:rPr>
              <w:t>בעניין:</w:t>
            </w:r>
          </w:p>
        </w:tc>
      </w:tr>
      <w:tr w:rsidR="009D3D3E" w:rsidRPr="007D20FC" w14:paraId="7F231D21" w14:textId="77777777" w:rsidTr="009D3D3E">
        <w:tc>
          <w:tcPr>
            <w:tcW w:w="2220" w:type="dxa"/>
            <w:shd w:val="clear" w:color="auto" w:fill="auto"/>
          </w:tcPr>
          <w:p w14:paraId="68A80CB0" w14:textId="77777777" w:rsidR="009D3D3E" w:rsidRPr="007D20FC" w:rsidRDefault="009D3D3E" w:rsidP="009D3D3E">
            <w:pPr>
              <w:spacing w:line="360" w:lineRule="auto"/>
              <w:ind w:left="26"/>
              <w:rPr>
                <w:rFonts w:ascii="David" w:hAnsi="David"/>
                <w:b/>
                <w:bCs/>
                <w:rtl/>
              </w:rPr>
            </w:pPr>
            <w:bookmarkStart w:id="1" w:name="FirstAppellant"/>
            <w:r w:rsidRPr="007D20FC">
              <w:rPr>
                <w:rFonts w:ascii="David" w:hAnsi="David" w:hint="cs"/>
                <w:b/>
                <w:bCs/>
                <w:rtl/>
              </w:rPr>
              <w:t>המאשימה:</w:t>
            </w:r>
          </w:p>
        </w:tc>
        <w:tc>
          <w:tcPr>
            <w:tcW w:w="6282" w:type="dxa"/>
            <w:gridSpan w:val="2"/>
            <w:shd w:val="clear" w:color="auto" w:fill="auto"/>
          </w:tcPr>
          <w:p w14:paraId="11FBACDC" w14:textId="77777777" w:rsidR="009D3D3E" w:rsidRPr="007D20FC" w:rsidRDefault="009D3D3E" w:rsidP="009D3D3E">
            <w:pPr>
              <w:spacing w:line="360" w:lineRule="auto"/>
              <w:rPr>
                <w:rFonts w:ascii="David" w:hAnsi="David"/>
                <w:b/>
                <w:bCs/>
                <w:rtl/>
              </w:rPr>
            </w:pPr>
            <w:r w:rsidRPr="007D20FC">
              <w:rPr>
                <w:rFonts w:ascii="David" w:hAnsi="David" w:hint="cs"/>
                <w:b/>
                <w:bCs/>
                <w:rtl/>
              </w:rPr>
              <w:t>מדינת ישראל</w:t>
            </w:r>
          </w:p>
        </w:tc>
      </w:tr>
      <w:bookmarkEnd w:id="1"/>
      <w:tr w:rsidR="009D3D3E" w:rsidRPr="007D20FC" w14:paraId="7BF01F03" w14:textId="77777777" w:rsidTr="009D3D3E">
        <w:tc>
          <w:tcPr>
            <w:tcW w:w="8502" w:type="dxa"/>
            <w:gridSpan w:val="3"/>
            <w:shd w:val="clear" w:color="auto" w:fill="auto"/>
          </w:tcPr>
          <w:p w14:paraId="01217773" w14:textId="77777777" w:rsidR="009D3D3E" w:rsidRPr="007D20FC" w:rsidRDefault="009D3D3E" w:rsidP="009D3D3E">
            <w:pPr>
              <w:spacing w:line="360" w:lineRule="auto"/>
              <w:jc w:val="center"/>
              <w:rPr>
                <w:rFonts w:ascii="David" w:hAnsi="David"/>
                <w:b/>
                <w:bCs/>
                <w:sz w:val="28"/>
                <w:szCs w:val="28"/>
                <w:rtl/>
              </w:rPr>
            </w:pPr>
            <w:r w:rsidRPr="007D20FC">
              <w:rPr>
                <w:rFonts w:ascii="David" w:hAnsi="David" w:hint="cs"/>
                <w:b/>
                <w:bCs/>
                <w:sz w:val="28"/>
                <w:szCs w:val="28"/>
                <w:rtl/>
              </w:rPr>
              <w:t>נגד</w:t>
            </w:r>
          </w:p>
        </w:tc>
      </w:tr>
      <w:tr w:rsidR="009D3D3E" w:rsidRPr="007D20FC" w14:paraId="5577848A" w14:textId="77777777" w:rsidTr="009D3D3E">
        <w:tc>
          <w:tcPr>
            <w:tcW w:w="2220" w:type="dxa"/>
            <w:shd w:val="clear" w:color="auto" w:fill="auto"/>
          </w:tcPr>
          <w:p w14:paraId="45E2A4AF" w14:textId="77777777" w:rsidR="009D3D3E" w:rsidRPr="007D20FC" w:rsidRDefault="009D3D3E" w:rsidP="009D3D3E">
            <w:pPr>
              <w:spacing w:line="360" w:lineRule="auto"/>
              <w:ind w:left="26"/>
              <w:rPr>
                <w:rFonts w:ascii="David" w:hAnsi="David"/>
                <w:b/>
                <w:bCs/>
              </w:rPr>
            </w:pPr>
            <w:r w:rsidRPr="007D20FC">
              <w:rPr>
                <w:rFonts w:ascii="David" w:hAnsi="David" w:hint="cs"/>
                <w:b/>
                <w:bCs/>
                <w:rtl/>
              </w:rPr>
              <w:t>הנאשם:</w:t>
            </w:r>
          </w:p>
        </w:tc>
        <w:tc>
          <w:tcPr>
            <w:tcW w:w="6282" w:type="dxa"/>
            <w:gridSpan w:val="2"/>
            <w:shd w:val="clear" w:color="auto" w:fill="auto"/>
          </w:tcPr>
          <w:p w14:paraId="22D4B6DA" w14:textId="77777777" w:rsidR="009D3D3E" w:rsidRPr="007D20FC" w:rsidRDefault="009D3D3E" w:rsidP="009D3D3E">
            <w:pPr>
              <w:spacing w:line="360" w:lineRule="auto"/>
              <w:rPr>
                <w:rFonts w:ascii="David" w:hAnsi="David"/>
                <w:b/>
                <w:bCs/>
                <w:rtl/>
              </w:rPr>
            </w:pPr>
            <w:r w:rsidRPr="007D20FC">
              <w:rPr>
                <w:rFonts w:ascii="David" w:hAnsi="David"/>
                <w:b/>
                <w:bCs/>
                <w:rtl/>
              </w:rPr>
              <w:t>אדהם אלעביד (עציר)</w:t>
            </w:r>
          </w:p>
        </w:tc>
      </w:tr>
    </w:tbl>
    <w:p w14:paraId="65247693" w14:textId="77777777" w:rsidR="009D3D3E" w:rsidRPr="007D20FC" w:rsidRDefault="009D3D3E" w:rsidP="009D3D3E">
      <w:pPr>
        <w:spacing w:line="360" w:lineRule="auto"/>
        <w:jc w:val="both"/>
        <w:rPr>
          <w:rFonts w:ascii="David" w:hAnsi="David"/>
          <w:sz w:val="6"/>
          <w:szCs w:val="6"/>
          <w:rtl/>
        </w:rPr>
      </w:pPr>
      <w:r w:rsidRPr="007D20FC">
        <w:rPr>
          <w:rFonts w:hint="cs"/>
          <w:sz w:val="6"/>
          <w:szCs w:val="6"/>
          <w:rtl/>
        </w:rPr>
        <w:t>&lt;#1#&gt;</w:t>
      </w:r>
    </w:p>
    <w:p w14:paraId="42E5DA71" w14:textId="77777777" w:rsidR="009D3D3E" w:rsidRPr="007D20FC" w:rsidRDefault="009D3D3E" w:rsidP="009D3D3E">
      <w:pPr>
        <w:pStyle w:val="12"/>
        <w:spacing w:line="360" w:lineRule="auto"/>
        <w:rPr>
          <w:u w:val="none"/>
          <w:rtl/>
        </w:rPr>
      </w:pPr>
      <w:r w:rsidRPr="007D20FC">
        <w:rPr>
          <w:u w:val="none"/>
          <w:rtl/>
        </w:rPr>
        <w:t>נוכחים:</w:t>
      </w:r>
    </w:p>
    <w:p w14:paraId="06F9F041" w14:textId="77777777" w:rsidR="009D3D3E" w:rsidRPr="007D20FC" w:rsidRDefault="009D3D3E" w:rsidP="009D3D3E">
      <w:pPr>
        <w:pStyle w:val="12"/>
        <w:spacing w:line="360" w:lineRule="auto"/>
        <w:rPr>
          <w:b w:val="0"/>
          <w:bCs w:val="0"/>
          <w:u w:val="none"/>
          <w:rtl/>
        </w:rPr>
      </w:pPr>
      <w:bookmarkStart w:id="2" w:name="FirstLawyer"/>
      <w:r w:rsidRPr="007D20FC">
        <w:rPr>
          <w:b w:val="0"/>
          <w:bCs w:val="0"/>
          <w:u w:val="none"/>
          <w:rtl/>
        </w:rPr>
        <w:t>ב"כ</w:t>
      </w:r>
      <w:bookmarkEnd w:id="2"/>
      <w:r w:rsidRPr="007D20FC">
        <w:rPr>
          <w:b w:val="0"/>
          <w:bCs w:val="0"/>
          <w:u w:val="none"/>
          <w:rtl/>
        </w:rPr>
        <w:t xml:space="preserve"> המאשימה, עו"ד שרון שוורץ</w:t>
      </w:r>
    </w:p>
    <w:p w14:paraId="3D82A0DD" w14:textId="77777777" w:rsidR="009D3D3E" w:rsidRPr="007D20FC" w:rsidRDefault="009D3D3E" w:rsidP="009D3D3E">
      <w:pPr>
        <w:pStyle w:val="12"/>
        <w:spacing w:line="360" w:lineRule="auto"/>
        <w:rPr>
          <w:b w:val="0"/>
          <w:bCs w:val="0"/>
          <w:u w:val="none"/>
          <w:rtl/>
        </w:rPr>
      </w:pPr>
      <w:r w:rsidRPr="007D20FC">
        <w:rPr>
          <w:b w:val="0"/>
          <w:bCs w:val="0"/>
          <w:u w:val="none"/>
          <w:rtl/>
        </w:rPr>
        <w:t>הנאשם בהיוועדות חזותית</w:t>
      </w:r>
    </w:p>
    <w:p w14:paraId="5762216A" w14:textId="77777777" w:rsidR="009D3D3E" w:rsidRPr="007D20FC" w:rsidRDefault="009D3D3E" w:rsidP="009D3D3E">
      <w:pPr>
        <w:pStyle w:val="12"/>
        <w:spacing w:line="360" w:lineRule="auto"/>
        <w:rPr>
          <w:b w:val="0"/>
          <w:bCs w:val="0"/>
          <w:u w:val="none"/>
          <w:rtl/>
        </w:rPr>
      </w:pPr>
      <w:r w:rsidRPr="007D20FC">
        <w:rPr>
          <w:b w:val="0"/>
          <w:bCs w:val="0"/>
          <w:u w:val="none"/>
          <w:rtl/>
        </w:rPr>
        <w:t>ב"כ הנאשם, עו"ד עלי אבו-לבן</w:t>
      </w:r>
    </w:p>
    <w:p w14:paraId="6AA8C542" w14:textId="77777777" w:rsidR="00484AE1" w:rsidRDefault="009D3D3E" w:rsidP="009D3D3E">
      <w:pPr>
        <w:jc w:val="both"/>
        <w:rPr>
          <w:sz w:val="6"/>
          <w:szCs w:val="6"/>
          <w:rtl/>
        </w:rPr>
      </w:pPr>
      <w:r w:rsidRPr="007D20FC">
        <w:rPr>
          <w:rFonts w:hint="cs"/>
          <w:sz w:val="6"/>
          <w:szCs w:val="6"/>
          <w:rtl/>
        </w:rPr>
        <w:t>6#&gt;</w:t>
      </w:r>
      <w:bookmarkStart w:id="3" w:name="LawTable"/>
      <w:bookmarkEnd w:id="3"/>
    </w:p>
    <w:p w14:paraId="67A46870" w14:textId="77777777" w:rsidR="00484AE1" w:rsidRPr="00484AE1" w:rsidRDefault="00484AE1" w:rsidP="00484AE1">
      <w:pPr>
        <w:spacing w:after="120" w:line="240" w:lineRule="exact"/>
        <w:ind w:left="283" w:hanging="283"/>
        <w:jc w:val="both"/>
        <w:rPr>
          <w:rFonts w:ascii="FrankRuehl" w:hAnsi="FrankRuehl" w:cs="FrankRuehl"/>
          <w:rtl/>
        </w:rPr>
      </w:pPr>
    </w:p>
    <w:p w14:paraId="29478D5F" w14:textId="77777777" w:rsidR="00484AE1" w:rsidRPr="00484AE1" w:rsidRDefault="00484AE1" w:rsidP="00484AE1">
      <w:pPr>
        <w:spacing w:after="120" w:line="240" w:lineRule="exact"/>
        <w:ind w:left="283" w:hanging="283"/>
        <w:jc w:val="both"/>
        <w:rPr>
          <w:rFonts w:ascii="FrankRuehl" w:hAnsi="FrankRuehl" w:cs="FrankRuehl"/>
          <w:rtl/>
        </w:rPr>
      </w:pPr>
      <w:r w:rsidRPr="00484AE1">
        <w:rPr>
          <w:rFonts w:ascii="FrankRuehl" w:hAnsi="FrankRuehl" w:cs="FrankRuehl"/>
          <w:rtl/>
        </w:rPr>
        <w:t xml:space="preserve">חקיקה שאוזכרה: </w:t>
      </w:r>
    </w:p>
    <w:p w14:paraId="39073294" w14:textId="77777777" w:rsidR="00484AE1" w:rsidRPr="00484AE1" w:rsidRDefault="00484AE1" w:rsidP="00484AE1">
      <w:pPr>
        <w:spacing w:after="120" w:line="240" w:lineRule="exact"/>
        <w:ind w:left="283" w:hanging="283"/>
        <w:jc w:val="both"/>
        <w:rPr>
          <w:rFonts w:ascii="FrankRuehl" w:hAnsi="FrankRuehl" w:cs="FrankRuehl"/>
          <w:color w:val="0000FF"/>
          <w:u w:val="single"/>
          <w:rtl/>
        </w:rPr>
      </w:pPr>
      <w:hyperlink r:id="rId7" w:history="1">
        <w:r w:rsidRPr="00484AE1">
          <w:rPr>
            <w:rStyle w:val="Hyperlink"/>
            <w:rFonts w:ascii="FrankRuehl" w:hAnsi="FrankRuehl" w:cs="FrankRuehl"/>
            <w:rtl/>
          </w:rPr>
          <w:t>חוק העונשין, תשל"ז-1977</w:t>
        </w:r>
      </w:hyperlink>
      <w:r w:rsidRPr="00484AE1">
        <w:rPr>
          <w:rFonts w:ascii="FrankRuehl" w:hAnsi="FrankRuehl" w:cs="FrankRuehl"/>
          <w:color w:val="0000FF"/>
          <w:u w:val="single"/>
          <w:rtl/>
        </w:rPr>
        <w:t xml:space="preserve">: סע'  </w:t>
      </w:r>
      <w:hyperlink r:id="rId8" w:history="1">
        <w:r w:rsidRPr="00484AE1">
          <w:rPr>
            <w:rStyle w:val="Hyperlink"/>
            <w:rFonts w:ascii="FrankRuehl" w:hAnsi="FrankRuehl" w:cs="FrankRuehl"/>
          </w:rPr>
          <w:t>144(</w:t>
        </w:r>
        <w:r w:rsidRPr="00484AE1">
          <w:rPr>
            <w:rStyle w:val="Hyperlink"/>
            <w:rFonts w:ascii="FrankRuehl" w:hAnsi="FrankRuehl" w:cs="FrankRuehl"/>
            <w:rtl/>
          </w:rPr>
          <w:t>א</w:t>
        </w:r>
        <w:r w:rsidRPr="00484AE1">
          <w:rPr>
            <w:rStyle w:val="Hyperlink"/>
            <w:rFonts w:ascii="FrankRuehl" w:hAnsi="FrankRuehl" w:cs="FrankRuehl"/>
          </w:rPr>
          <w:t>)</w:t>
        </w:r>
      </w:hyperlink>
    </w:p>
    <w:p w14:paraId="642C3307" w14:textId="77777777" w:rsidR="00484AE1" w:rsidRPr="00484AE1" w:rsidRDefault="00484AE1" w:rsidP="00484AE1">
      <w:pPr>
        <w:spacing w:after="120" w:line="240" w:lineRule="exact"/>
        <w:ind w:left="283" w:hanging="283"/>
        <w:jc w:val="both"/>
        <w:rPr>
          <w:rFonts w:ascii="FrankRuehl" w:hAnsi="FrankRuehl" w:cs="FrankRuehl"/>
          <w:rtl/>
        </w:rPr>
      </w:pPr>
    </w:p>
    <w:p w14:paraId="0EAE7687" w14:textId="77777777" w:rsidR="00484AE1" w:rsidRPr="00484AE1" w:rsidRDefault="00484AE1" w:rsidP="009D3D3E">
      <w:pPr>
        <w:jc w:val="both"/>
        <w:rPr>
          <w:sz w:val="6"/>
          <w:szCs w:val="6"/>
          <w:rtl/>
        </w:rPr>
      </w:pPr>
      <w:bookmarkStart w:id="4" w:name="LawTable_End"/>
      <w:bookmarkEnd w:id="4"/>
    </w:p>
    <w:p w14:paraId="5605CA7F" w14:textId="77777777" w:rsidR="00484AE1" w:rsidRPr="00484AE1" w:rsidRDefault="00484AE1" w:rsidP="009D3D3E">
      <w:pPr>
        <w:jc w:val="both"/>
        <w:rPr>
          <w:sz w:val="6"/>
          <w:szCs w:val="6"/>
          <w:rtl/>
        </w:rPr>
      </w:pPr>
    </w:p>
    <w:p w14:paraId="37363F7B" w14:textId="77777777" w:rsidR="009D3D3E" w:rsidRPr="00484AE1" w:rsidRDefault="009D3D3E" w:rsidP="009D3D3E">
      <w:pPr>
        <w:jc w:val="both"/>
        <w:rPr>
          <w:sz w:val="6"/>
          <w:szCs w:val="6"/>
          <w:rtl/>
        </w:rPr>
      </w:pPr>
    </w:p>
    <w:p w14:paraId="372E2741" w14:textId="77777777" w:rsidR="007D20FC" w:rsidRPr="007D20FC" w:rsidRDefault="007D20FC" w:rsidP="007D20FC">
      <w:pPr>
        <w:spacing w:line="360" w:lineRule="auto"/>
        <w:jc w:val="center"/>
        <w:rPr>
          <w:rFonts w:ascii="Arial" w:hAnsi="Arial"/>
          <w:sz w:val="28"/>
          <w:szCs w:val="28"/>
          <w:rtl/>
        </w:rPr>
      </w:pPr>
    </w:p>
    <w:p w14:paraId="00A4ACBA" w14:textId="77777777" w:rsidR="007D20FC" w:rsidRPr="007D20FC" w:rsidRDefault="007D20FC" w:rsidP="009D3D3E">
      <w:pPr>
        <w:spacing w:line="360" w:lineRule="auto"/>
        <w:jc w:val="center"/>
        <w:rPr>
          <w:rFonts w:ascii="Arial" w:hAnsi="Arial"/>
          <w:b/>
          <w:bCs/>
          <w:sz w:val="28"/>
          <w:szCs w:val="28"/>
          <w:rtl/>
        </w:rPr>
      </w:pPr>
    </w:p>
    <w:p w14:paraId="48831351" w14:textId="77777777" w:rsidR="007D20FC" w:rsidRPr="007D20FC" w:rsidRDefault="007D20FC" w:rsidP="007D20FC">
      <w:pPr>
        <w:spacing w:line="360" w:lineRule="auto"/>
        <w:jc w:val="center"/>
        <w:rPr>
          <w:rFonts w:ascii="Arial" w:hAnsi="Arial"/>
          <w:b/>
          <w:bCs/>
          <w:sz w:val="28"/>
          <w:szCs w:val="28"/>
          <w:u w:val="single"/>
          <w:rtl/>
        </w:rPr>
      </w:pPr>
      <w:bookmarkStart w:id="5" w:name="PsakDin"/>
      <w:r w:rsidRPr="007D20FC">
        <w:rPr>
          <w:rFonts w:ascii="Arial" w:hAnsi="Arial"/>
          <w:b/>
          <w:bCs/>
          <w:sz w:val="28"/>
          <w:szCs w:val="28"/>
          <w:u w:val="single"/>
          <w:rtl/>
        </w:rPr>
        <w:t>גזר דין</w:t>
      </w:r>
    </w:p>
    <w:bookmarkEnd w:id="5"/>
    <w:p w14:paraId="6788E9A9" w14:textId="77777777" w:rsidR="009D3D3E" w:rsidRDefault="009D3D3E" w:rsidP="009D3D3E">
      <w:pPr>
        <w:spacing w:line="360" w:lineRule="auto"/>
        <w:jc w:val="center"/>
        <w:rPr>
          <w:rFonts w:ascii="Arial" w:hAnsi="Arial"/>
          <w:b/>
          <w:bCs/>
          <w:sz w:val="28"/>
          <w:szCs w:val="28"/>
          <w:u w:val="single"/>
          <w:rtl/>
        </w:rPr>
      </w:pPr>
    </w:p>
    <w:p w14:paraId="0A78D888" w14:textId="77777777" w:rsidR="009D3D3E" w:rsidRDefault="009D3D3E" w:rsidP="009D3D3E">
      <w:pPr>
        <w:numPr>
          <w:ilvl w:val="0"/>
          <w:numId w:val="1"/>
        </w:numPr>
        <w:spacing w:after="160" w:line="360" w:lineRule="auto"/>
        <w:contextualSpacing/>
        <w:jc w:val="both"/>
        <w:rPr>
          <w:rFonts w:ascii="David" w:hAnsi="David"/>
          <w:rtl/>
        </w:rPr>
      </w:pPr>
      <w:bookmarkStart w:id="6" w:name="ABSTRACT_START"/>
      <w:bookmarkEnd w:id="6"/>
      <w:r>
        <w:rPr>
          <w:rFonts w:hint="cs"/>
          <w:rtl/>
        </w:rPr>
        <w:t xml:space="preserve">בטרם שמיעת הראיות בתיק הגיעו הצדדים להסדר טיעון במסגרתו הוגש נגד הנאשם כתב אישום מתוקן והנאשם הודה בעובדותיו. </w:t>
      </w:r>
    </w:p>
    <w:p w14:paraId="59178E9B" w14:textId="77777777" w:rsidR="009D3D3E" w:rsidRDefault="009D3D3E" w:rsidP="009D3D3E">
      <w:pPr>
        <w:spacing w:after="160" w:line="360" w:lineRule="auto"/>
        <w:ind w:left="1080"/>
        <w:contextualSpacing/>
        <w:jc w:val="both"/>
      </w:pPr>
    </w:p>
    <w:p w14:paraId="77C6A8CC" w14:textId="77777777" w:rsidR="009D3D3E" w:rsidRDefault="009D3D3E" w:rsidP="009D3D3E">
      <w:pPr>
        <w:numPr>
          <w:ilvl w:val="0"/>
          <w:numId w:val="1"/>
        </w:numPr>
        <w:spacing w:after="160" w:line="360" w:lineRule="auto"/>
        <w:contextualSpacing/>
        <w:jc w:val="both"/>
        <w:rPr>
          <w:rtl/>
        </w:rPr>
      </w:pPr>
      <w:r>
        <w:rPr>
          <w:rFonts w:hint="cs"/>
          <w:rtl/>
        </w:rPr>
        <w:t xml:space="preserve">כתב האישום המתוקן מתאר, כי בתאריך 20.02.21 בשעה 18:23 הנאשם שהה יחד עם אחר בבית העלמין ברהט, ונעצר על ידי שוטרים שהיו במקום כשברשותו רימון יד מאולתר אשר בכוחו להזיק לאדם בעת פעולתו, ו- 6 כדורים בקוטר 9 מ"מ, בלא רשות על פי דין. </w:t>
      </w:r>
    </w:p>
    <w:p w14:paraId="1B4687CF" w14:textId="77777777" w:rsidR="009D3D3E" w:rsidRDefault="009D3D3E" w:rsidP="009D3D3E">
      <w:pPr>
        <w:spacing w:after="160" w:line="360" w:lineRule="auto"/>
        <w:ind w:left="1080"/>
        <w:contextualSpacing/>
        <w:jc w:val="both"/>
      </w:pPr>
      <w:bookmarkStart w:id="7" w:name="ABSTRACT_END"/>
      <w:bookmarkEnd w:id="7"/>
    </w:p>
    <w:p w14:paraId="7BD4C0AD" w14:textId="77777777" w:rsidR="009D3D3E" w:rsidRDefault="009D3D3E" w:rsidP="009D3D3E">
      <w:pPr>
        <w:numPr>
          <w:ilvl w:val="0"/>
          <w:numId w:val="1"/>
        </w:numPr>
        <w:spacing w:after="160" w:line="360" w:lineRule="auto"/>
        <w:contextualSpacing/>
        <w:jc w:val="both"/>
      </w:pPr>
      <w:r>
        <w:rPr>
          <w:rFonts w:hint="cs"/>
          <w:rtl/>
        </w:rPr>
        <w:t xml:space="preserve">על יסוד הודאת הנאשם בעובדות, כאמור, הוא הורשע בעבירה של החזקת נשק, על פי </w:t>
      </w:r>
      <w:hyperlink r:id="rId9" w:history="1">
        <w:r w:rsidR="00484AE1" w:rsidRPr="00484AE1">
          <w:rPr>
            <w:rStyle w:val="Hyperlink"/>
            <w:rFonts w:hint="eastAsia"/>
            <w:color w:val="0000FF"/>
            <w:rtl/>
          </w:rPr>
          <w:t>סעיף</w:t>
        </w:r>
        <w:r w:rsidR="00484AE1" w:rsidRPr="00484AE1">
          <w:rPr>
            <w:rStyle w:val="Hyperlink"/>
            <w:color w:val="0000FF"/>
            <w:rtl/>
          </w:rPr>
          <w:t xml:space="preserve"> 144(א)</w:t>
        </w:r>
      </w:hyperlink>
      <w:r>
        <w:rPr>
          <w:rFonts w:hint="cs"/>
          <w:rtl/>
        </w:rPr>
        <w:t xml:space="preserve"> רישא וסיפא ב</w:t>
      </w:r>
      <w:hyperlink r:id="rId10" w:history="1">
        <w:r w:rsidR="007D20FC" w:rsidRPr="007D20FC">
          <w:rPr>
            <w:color w:val="0000FF"/>
            <w:u w:val="single"/>
            <w:rtl/>
          </w:rPr>
          <w:t>חוק העונשין</w:t>
        </w:r>
      </w:hyperlink>
      <w:r>
        <w:rPr>
          <w:rFonts w:hint="cs"/>
          <w:rtl/>
        </w:rPr>
        <w:t>, התשל"ז-1977.</w:t>
      </w:r>
    </w:p>
    <w:p w14:paraId="2BF09AB2" w14:textId="77777777" w:rsidR="009D3D3E" w:rsidRDefault="009D3D3E" w:rsidP="009D3D3E">
      <w:pPr>
        <w:spacing w:after="160" w:line="360" w:lineRule="auto"/>
        <w:ind w:left="1080"/>
        <w:contextualSpacing/>
        <w:jc w:val="both"/>
      </w:pPr>
    </w:p>
    <w:p w14:paraId="486B5D3B" w14:textId="77777777" w:rsidR="009D3D3E" w:rsidRDefault="009D3D3E" w:rsidP="009D3D3E">
      <w:pPr>
        <w:numPr>
          <w:ilvl w:val="0"/>
          <w:numId w:val="1"/>
        </w:numPr>
        <w:spacing w:after="160" w:line="360" w:lineRule="auto"/>
        <w:contextualSpacing/>
        <w:jc w:val="both"/>
      </w:pPr>
      <w:r>
        <w:rPr>
          <w:rFonts w:hint="cs"/>
          <w:rtl/>
        </w:rPr>
        <w:t xml:space="preserve">תחילה, הסדר הטיעון לא כלל הסכמה עונשית. </w:t>
      </w:r>
    </w:p>
    <w:p w14:paraId="59E46D9C" w14:textId="77777777" w:rsidR="009D3D3E" w:rsidRDefault="009D3D3E" w:rsidP="009D3D3E">
      <w:pPr>
        <w:spacing w:after="160" w:line="360" w:lineRule="auto"/>
        <w:ind w:left="1080"/>
        <w:contextualSpacing/>
        <w:jc w:val="both"/>
      </w:pPr>
    </w:p>
    <w:p w14:paraId="2B4DD6F6" w14:textId="77777777" w:rsidR="009D3D3E" w:rsidRDefault="009D3D3E" w:rsidP="009D3D3E">
      <w:pPr>
        <w:numPr>
          <w:ilvl w:val="0"/>
          <w:numId w:val="1"/>
        </w:numPr>
        <w:spacing w:after="160" w:line="360" w:lineRule="auto"/>
        <w:contextualSpacing/>
        <w:jc w:val="both"/>
      </w:pPr>
      <w:r>
        <w:rPr>
          <w:rFonts w:hint="cs"/>
          <w:rtl/>
        </w:rPr>
        <w:t>בשל גילו של הנאשם קיימת חובה לקבל עליו תסקיר של שירות מבחן. מהתסקיר שהוגש עליו עולה כי הנאשם בן 18, רווק. ללא עבר פלילי. טרם מעצרו עבד בתחום התקנת תשתיות. סיים 12 שנות לימוד עם תעודת בגרות חלקית. שלל שימוש בסמים. הודה בעבירה אך לא לקח אחריות על ביצועה. שיתף כי הבחין בקרטון בקרבת בית ספר וחשב שמדובר בבגדים. כשפתח את הקרטון וראה שמדובר בנשק, התכוון לדווח על כך למשטרה, אבל החליט קודם להרחיק את הקרטון מקרבת בית הספר ולהעבירו לבית העלמין, ושם נעצר. שלל קשרים שוליים ושלל נזקקות טיפולית. שירות המבחן שקל את גורמי הסיכוי והסיכון של הנאשם, העריך כי במצבי דחק הוא עלול לפעול באופן לא שקול, ונמנע מהמלצה טיפולית בעניינו.</w:t>
      </w:r>
    </w:p>
    <w:p w14:paraId="643C5450" w14:textId="77777777" w:rsidR="009D3D3E" w:rsidRDefault="009D3D3E" w:rsidP="009D3D3E">
      <w:pPr>
        <w:spacing w:after="160" w:line="360" w:lineRule="auto"/>
        <w:ind w:left="1080"/>
        <w:contextualSpacing/>
        <w:jc w:val="both"/>
      </w:pPr>
    </w:p>
    <w:p w14:paraId="797B5CB2" w14:textId="77777777" w:rsidR="009D3D3E" w:rsidRDefault="009D3D3E" w:rsidP="009D3D3E">
      <w:pPr>
        <w:numPr>
          <w:ilvl w:val="0"/>
          <w:numId w:val="1"/>
        </w:numPr>
        <w:spacing w:after="160" w:line="360" w:lineRule="auto"/>
        <w:contextualSpacing/>
        <w:jc w:val="both"/>
      </w:pPr>
      <w:r>
        <w:rPr>
          <w:rFonts w:hint="cs"/>
          <w:rtl/>
        </w:rPr>
        <w:t xml:space="preserve">היום, בפתח ישיבת הטיעונים לעונש, הצדדים המליצו לבית המשפט להטיל על הנאשם 9 חודשי מאסר בפועל מיום מעצרו, מאסר על תנאי וקנס בסך 5,000 ₪. </w:t>
      </w:r>
    </w:p>
    <w:p w14:paraId="0CA01E7D" w14:textId="77777777" w:rsidR="009D3D3E" w:rsidRPr="009F0EA0" w:rsidRDefault="009D3D3E" w:rsidP="009D3D3E">
      <w:pPr>
        <w:spacing w:after="160" w:line="360" w:lineRule="auto"/>
        <w:ind w:left="1080"/>
        <w:contextualSpacing/>
        <w:jc w:val="both"/>
      </w:pPr>
    </w:p>
    <w:p w14:paraId="75BE64C5" w14:textId="77777777" w:rsidR="009D3D3E" w:rsidRDefault="009D3D3E" w:rsidP="009D3D3E">
      <w:pPr>
        <w:numPr>
          <w:ilvl w:val="0"/>
          <w:numId w:val="1"/>
        </w:numPr>
        <w:spacing w:after="160" w:line="360" w:lineRule="auto"/>
        <w:contextualSpacing/>
        <w:jc w:val="both"/>
      </w:pPr>
      <w:r>
        <w:rPr>
          <w:rFonts w:hint="cs"/>
          <w:rtl/>
        </w:rPr>
        <w:t>המאשימה ציינה כי מדובר ברימון מאולתר שיכולת הפגיעה שלו מוגבלת; הנאשם נעדר עבר פלילי; והוא הודה במיוחס לו, חסך זמן שיפוטי יקר ולקח אחריות על מעשיו. הגישה פסיקה וביקשה לקבל את הסדר הטיעון.</w:t>
      </w:r>
    </w:p>
    <w:p w14:paraId="242CBEB9" w14:textId="77777777" w:rsidR="009D3D3E" w:rsidRDefault="009D3D3E" w:rsidP="009D3D3E">
      <w:pPr>
        <w:spacing w:after="160" w:line="360" w:lineRule="auto"/>
        <w:ind w:left="1080"/>
        <w:contextualSpacing/>
        <w:jc w:val="both"/>
      </w:pPr>
    </w:p>
    <w:p w14:paraId="639D7B13" w14:textId="77777777" w:rsidR="009D3D3E" w:rsidRDefault="009D3D3E" w:rsidP="009D3D3E">
      <w:pPr>
        <w:numPr>
          <w:ilvl w:val="0"/>
          <w:numId w:val="1"/>
        </w:numPr>
        <w:spacing w:after="160" w:line="360" w:lineRule="auto"/>
        <w:contextualSpacing/>
        <w:jc w:val="both"/>
      </w:pPr>
      <w:r>
        <w:rPr>
          <w:rFonts w:hint="cs"/>
          <w:rtl/>
        </w:rPr>
        <w:t xml:space="preserve">ב"כ הנאשם טען כי הרימון שהנאשם החזיק לא נבדק מבחינת תכולתו וכח פגיעתו, למעט בדיקה ויזואלית; ציין שהנאשם בחור צעיר נעדר עבר פלילי; וטען שנסיבות החזקת הנשק מקריות ואינן עברייניות. טען כי השוטרים היו בבית העלמין בקשר לעניין אחר, והבחינו בנאשם, וציין שהרימון לא הוסלק אצל הנאשם אלא הוא מצא אותו. עוד הוסיף, שהנאשם לוקח אחריות מלאה על מעשיו, ודבריו לשירות המבחן התבססו על גרסתו במשטרה, ובפועל הוא מודה שהוא לא התכוון להעביר את הרימון למשטרה. הפנה לנסיבות הנאשם המפורטות בתסקיר שירות המבחן. וביקש לאמץ את הסדר הטיעון. </w:t>
      </w:r>
    </w:p>
    <w:p w14:paraId="2B8766C3" w14:textId="77777777" w:rsidR="009D3D3E" w:rsidRDefault="009D3D3E" w:rsidP="009D3D3E">
      <w:pPr>
        <w:spacing w:after="160" w:line="360" w:lineRule="auto"/>
        <w:ind w:left="1080"/>
        <w:contextualSpacing/>
        <w:jc w:val="both"/>
      </w:pPr>
      <w:r>
        <w:rPr>
          <w:rFonts w:hint="cs"/>
          <w:rtl/>
        </w:rPr>
        <w:t>הנאשם הביע צער על מעשיו.</w:t>
      </w:r>
    </w:p>
    <w:p w14:paraId="047E1F09" w14:textId="77777777" w:rsidR="009D3D3E" w:rsidRDefault="009D3D3E" w:rsidP="009D3D3E">
      <w:pPr>
        <w:spacing w:after="160" w:line="360" w:lineRule="auto"/>
        <w:contextualSpacing/>
        <w:jc w:val="both"/>
        <w:rPr>
          <w:rtl/>
        </w:rPr>
      </w:pPr>
    </w:p>
    <w:p w14:paraId="757947BA" w14:textId="77777777" w:rsidR="009D3D3E" w:rsidRDefault="009D3D3E" w:rsidP="009D3D3E">
      <w:pPr>
        <w:numPr>
          <w:ilvl w:val="0"/>
          <w:numId w:val="1"/>
        </w:numPr>
        <w:spacing w:after="160" w:line="360" w:lineRule="auto"/>
        <w:contextualSpacing/>
        <w:jc w:val="both"/>
      </w:pPr>
      <w:r>
        <w:rPr>
          <w:rFonts w:hint="cs"/>
          <w:rtl/>
        </w:rPr>
        <w:t xml:space="preserve">רימון הוא חפץ מסוכן, שייעודו הרגיל הוא לפעולה התקפית. הסכנות הגלומות בהחזקתו, למחזיק, למי שנמצא בסביבתו, ולציבור, רבות וחמורות. </w:t>
      </w:r>
    </w:p>
    <w:p w14:paraId="48C191E5" w14:textId="77777777" w:rsidR="009D3D3E" w:rsidRDefault="009D3D3E" w:rsidP="009D3D3E">
      <w:pPr>
        <w:spacing w:after="160" w:line="360" w:lineRule="auto"/>
        <w:ind w:left="1080"/>
        <w:contextualSpacing/>
        <w:jc w:val="both"/>
      </w:pPr>
    </w:p>
    <w:p w14:paraId="4506EA9D" w14:textId="77777777" w:rsidR="009D3D3E" w:rsidRDefault="009D3D3E" w:rsidP="009D3D3E">
      <w:pPr>
        <w:numPr>
          <w:ilvl w:val="0"/>
          <w:numId w:val="1"/>
        </w:numPr>
        <w:spacing w:after="160" w:line="360" w:lineRule="auto"/>
        <w:contextualSpacing/>
        <w:jc w:val="both"/>
      </w:pPr>
      <w:r>
        <w:rPr>
          <w:rFonts w:hint="cs"/>
          <w:rtl/>
        </w:rPr>
        <w:t>העונש הקבוע לצד עבירת החזקת נשק – 7 שנות מאסר – מדבר בעד עצמו ומלמד על החומרה הכרוכה בה; מדיניות הענישה הנוהגת בעבירה זו הינה של רצינות וחומרה; ובפועל, בתי המשפט מטילים עונשי מאסר משמעותיים על עבירות נשק.</w:t>
      </w:r>
    </w:p>
    <w:p w14:paraId="35635C82" w14:textId="77777777" w:rsidR="009D3D3E" w:rsidRDefault="009D3D3E" w:rsidP="009D3D3E">
      <w:pPr>
        <w:spacing w:after="160" w:line="360" w:lineRule="auto"/>
        <w:ind w:left="1080"/>
        <w:contextualSpacing/>
        <w:jc w:val="both"/>
      </w:pPr>
    </w:p>
    <w:p w14:paraId="3FE0A80A" w14:textId="77777777" w:rsidR="009D3D3E" w:rsidRDefault="009D3D3E" w:rsidP="009D3D3E">
      <w:pPr>
        <w:numPr>
          <w:ilvl w:val="0"/>
          <w:numId w:val="1"/>
        </w:numPr>
        <w:spacing w:after="160" w:line="360" w:lineRule="auto"/>
        <w:contextualSpacing/>
        <w:jc w:val="both"/>
      </w:pPr>
      <w:r>
        <w:rPr>
          <w:rFonts w:hint="cs"/>
          <w:rtl/>
        </w:rPr>
        <w:t xml:space="preserve">במקרה זה, מדובר ברימון מאולתר, שהתביעה הסכימה שהפגיעה שהוא עלול להסב מתונה יחסית; בנסיבות החזקה מיוחדות – החזקה למשך זמן קצר אחרי מציאה; ובנאשם שהוא בחור צעיר, נעדר עבר פלילי, המקיים אורח חיים יצרני, ואין לו מאפיינים עברייניים. שהודה במעשה והביע עליו חרטה. מכלול נתונים זה מצדיק לקבל את המלצת הצדדים לעונש. </w:t>
      </w:r>
    </w:p>
    <w:p w14:paraId="289B660B" w14:textId="77777777" w:rsidR="009D3D3E" w:rsidRDefault="009D3D3E" w:rsidP="009D3D3E">
      <w:pPr>
        <w:spacing w:after="160" w:line="360" w:lineRule="auto"/>
        <w:contextualSpacing/>
        <w:jc w:val="both"/>
        <w:rPr>
          <w:rtl/>
        </w:rPr>
      </w:pPr>
    </w:p>
    <w:p w14:paraId="6CA688BD" w14:textId="77777777" w:rsidR="009D3D3E" w:rsidRDefault="009D3D3E" w:rsidP="009D3D3E">
      <w:pPr>
        <w:numPr>
          <w:ilvl w:val="0"/>
          <w:numId w:val="1"/>
        </w:numPr>
        <w:spacing w:after="160" w:line="360" w:lineRule="auto"/>
        <w:contextualSpacing/>
        <w:jc w:val="both"/>
      </w:pPr>
      <w:r>
        <w:rPr>
          <w:rFonts w:hint="cs"/>
          <w:rtl/>
        </w:rPr>
        <w:t xml:space="preserve">בהתחשב בכל האמור, אני מטיל על הנאשם את העונשים הבאים- </w:t>
      </w:r>
    </w:p>
    <w:p w14:paraId="4BD8A535" w14:textId="77777777" w:rsidR="009D3D3E" w:rsidRDefault="009D3D3E" w:rsidP="009D3D3E">
      <w:pPr>
        <w:spacing w:after="160" w:line="360" w:lineRule="auto"/>
        <w:ind w:left="720" w:firstLine="360"/>
        <w:jc w:val="both"/>
        <w:rPr>
          <w:rtl/>
        </w:rPr>
      </w:pPr>
    </w:p>
    <w:p w14:paraId="5146C77B" w14:textId="77777777" w:rsidR="009D3D3E" w:rsidRDefault="009D3D3E" w:rsidP="009D3D3E">
      <w:pPr>
        <w:spacing w:after="160" w:line="360" w:lineRule="auto"/>
        <w:ind w:left="720" w:firstLine="360"/>
        <w:jc w:val="both"/>
        <w:rPr>
          <w:rtl/>
        </w:rPr>
      </w:pPr>
      <w:r>
        <w:rPr>
          <w:rFonts w:hint="cs"/>
          <w:rtl/>
        </w:rPr>
        <w:t>א.</w:t>
      </w:r>
      <w:r>
        <w:rPr>
          <w:rFonts w:hint="cs"/>
          <w:rtl/>
        </w:rPr>
        <w:tab/>
        <w:t>9 חודשי מאסר בפועל, מיום מעצרו.</w:t>
      </w:r>
    </w:p>
    <w:p w14:paraId="235FA2BC" w14:textId="77777777" w:rsidR="009D3D3E" w:rsidRDefault="009D3D3E" w:rsidP="009D3D3E">
      <w:pPr>
        <w:spacing w:after="160" w:line="360" w:lineRule="auto"/>
        <w:ind w:left="1440" w:hanging="360"/>
        <w:jc w:val="both"/>
        <w:rPr>
          <w:rtl/>
        </w:rPr>
      </w:pPr>
      <w:r>
        <w:rPr>
          <w:rFonts w:hint="cs"/>
          <w:rtl/>
        </w:rPr>
        <w:t>ב.</w:t>
      </w:r>
      <w:r>
        <w:rPr>
          <w:rFonts w:hint="cs"/>
          <w:rtl/>
        </w:rPr>
        <w:tab/>
        <w:t>9 חודשי מאסר על תנאי למשך 3 שנים מיום שחרורו מהמאסר, שלא יעבור עבירת נשק שהיא פשע.</w:t>
      </w:r>
    </w:p>
    <w:p w14:paraId="26F2D31A" w14:textId="77777777" w:rsidR="009D3D3E" w:rsidRDefault="009D3D3E" w:rsidP="009D3D3E">
      <w:pPr>
        <w:spacing w:after="160" w:line="360" w:lineRule="auto"/>
        <w:ind w:left="1440" w:hanging="360"/>
        <w:jc w:val="both"/>
        <w:rPr>
          <w:rtl/>
        </w:rPr>
      </w:pPr>
      <w:r>
        <w:rPr>
          <w:rFonts w:hint="cs"/>
          <w:rtl/>
        </w:rPr>
        <w:t xml:space="preserve">ג. </w:t>
      </w:r>
      <w:r>
        <w:rPr>
          <w:rFonts w:hint="cs"/>
          <w:rtl/>
        </w:rPr>
        <w:tab/>
        <w:t xml:space="preserve">קנס בסך 5,000 ₪ או 14 ימי מאסר תחתיו. הקנס ישולם עד יום 15.11.21. </w:t>
      </w:r>
    </w:p>
    <w:p w14:paraId="4C9946E4" w14:textId="77777777" w:rsidR="009D3D3E" w:rsidRDefault="009D3D3E" w:rsidP="009D3D3E">
      <w:pPr>
        <w:spacing w:after="160" w:line="360" w:lineRule="auto"/>
        <w:ind w:left="1440" w:hanging="720"/>
        <w:jc w:val="both"/>
        <w:rPr>
          <w:rtl/>
        </w:rPr>
      </w:pPr>
    </w:p>
    <w:p w14:paraId="2F416661" w14:textId="77777777" w:rsidR="009D3D3E" w:rsidRDefault="009D3D3E" w:rsidP="009D3D3E">
      <w:pPr>
        <w:spacing w:after="160" w:line="360" w:lineRule="auto"/>
        <w:ind w:left="1440" w:hanging="720"/>
        <w:jc w:val="both"/>
        <w:rPr>
          <w:rtl/>
        </w:rPr>
      </w:pPr>
      <w:r>
        <w:rPr>
          <w:rFonts w:hint="cs"/>
          <w:rtl/>
        </w:rPr>
        <w:t xml:space="preserve">מזכירות בית המשפט מתבקשת למסור לידי הסניגור שובר לתשלום הקנס. </w:t>
      </w:r>
    </w:p>
    <w:p w14:paraId="7B017100" w14:textId="77777777" w:rsidR="009D3D3E" w:rsidRDefault="009D3D3E" w:rsidP="009D3D3E">
      <w:pPr>
        <w:spacing w:after="160" w:line="360" w:lineRule="auto"/>
        <w:ind w:left="1440" w:hanging="720"/>
        <w:jc w:val="both"/>
        <w:rPr>
          <w:rtl/>
        </w:rPr>
      </w:pPr>
    </w:p>
    <w:p w14:paraId="0158FE12" w14:textId="77777777" w:rsidR="009D3D3E" w:rsidRDefault="009D3D3E" w:rsidP="009D3D3E">
      <w:pPr>
        <w:spacing w:after="160" w:line="360" w:lineRule="auto"/>
        <w:ind w:left="1440" w:hanging="720"/>
        <w:jc w:val="both"/>
        <w:rPr>
          <w:rtl/>
        </w:rPr>
      </w:pPr>
      <w:r>
        <w:rPr>
          <w:rFonts w:hint="cs"/>
          <w:rtl/>
        </w:rPr>
        <w:t xml:space="preserve">זכות ערעור תוך 45 יום. </w:t>
      </w:r>
    </w:p>
    <w:p w14:paraId="4E17AFC3" w14:textId="77777777" w:rsidR="009D3D3E" w:rsidRDefault="009D3D3E" w:rsidP="009D3D3E">
      <w:pPr>
        <w:spacing w:line="360" w:lineRule="auto"/>
        <w:jc w:val="both"/>
        <w:rPr>
          <w:rFonts w:eastAsia="David"/>
          <w:rtl/>
        </w:rPr>
      </w:pPr>
    </w:p>
    <w:p w14:paraId="7DBEA0A8" w14:textId="77777777" w:rsidR="009D3D3E" w:rsidRDefault="009D3D3E" w:rsidP="009D3D3E">
      <w:pPr>
        <w:spacing w:line="360" w:lineRule="auto"/>
        <w:jc w:val="both"/>
        <w:rPr>
          <w:rtl/>
        </w:rPr>
      </w:pPr>
    </w:p>
    <w:p w14:paraId="15264A04" w14:textId="77777777" w:rsidR="009D3D3E" w:rsidRDefault="009D3D3E" w:rsidP="009D3D3E">
      <w:pPr>
        <w:jc w:val="both"/>
        <w:rPr>
          <w:sz w:val="6"/>
          <w:szCs w:val="6"/>
          <w:rtl/>
        </w:rPr>
      </w:pPr>
      <w:r>
        <w:rPr>
          <w:rFonts w:hint="cs"/>
          <w:sz w:val="6"/>
          <w:szCs w:val="6"/>
          <w:rtl/>
        </w:rPr>
        <w:t>&lt;#7#&gt;</w:t>
      </w:r>
    </w:p>
    <w:p w14:paraId="78F22E07" w14:textId="77777777" w:rsidR="009D3D3E" w:rsidRDefault="009D3D3E" w:rsidP="009D3D3E">
      <w:pPr>
        <w:jc w:val="right"/>
        <w:rPr>
          <w:rtl/>
        </w:rPr>
      </w:pPr>
    </w:p>
    <w:p w14:paraId="7DDCB3AE" w14:textId="77777777" w:rsidR="009D3D3E" w:rsidRDefault="007D20FC" w:rsidP="009D3D3E">
      <w:pPr>
        <w:jc w:val="center"/>
        <w:rPr>
          <w:rtl/>
        </w:rPr>
      </w:pPr>
      <w:bookmarkStart w:id="8" w:name="Nitan"/>
      <w:r>
        <w:rPr>
          <w:b/>
          <w:bCs/>
          <w:rtl/>
        </w:rPr>
        <w:t xml:space="preserve">ניתנה והודעה היום ו' תשרי תשפ"ב, 12/09/2021 במעמד הנוכחים. </w:t>
      </w:r>
      <w:bookmarkEnd w:id="8"/>
    </w:p>
    <w:p w14:paraId="16E62535" w14:textId="77777777" w:rsidR="009D3D3E" w:rsidRPr="007D20FC" w:rsidRDefault="007D20FC" w:rsidP="009D3D3E">
      <w:pPr>
        <w:jc w:val="both"/>
        <w:rPr>
          <w:color w:val="FFFFFF"/>
          <w:sz w:val="2"/>
          <w:szCs w:val="2"/>
          <w:rtl/>
        </w:rPr>
      </w:pPr>
      <w:r w:rsidRPr="007D20FC">
        <w:rPr>
          <w:color w:val="FFFFFF"/>
          <w:sz w:val="2"/>
          <w:szCs w:val="2"/>
          <w:rtl/>
        </w:rPr>
        <w:t>5129371</w:t>
      </w:r>
    </w:p>
    <w:tbl>
      <w:tblPr>
        <w:bidiVisual/>
        <w:tblW w:w="3123" w:type="dxa"/>
        <w:tblInd w:w="5666" w:type="dxa"/>
        <w:tblBorders>
          <w:insideH w:val="single" w:sz="4" w:space="0" w:color="auto"/>
          <w:insideV w:val="single" w:sz="4" w:space="0" w:color="auto"/>
        </w:tblBorders>
        <w:tblLook w:val="01E0" w:firstRow="1" w:lastRow="1" w:firstColumn="1" w:lastColumn="1" w:noHBand="0" w:noVBand="0"/>
      </w:tblPr>
      <w:tblGrid>
        <w:gridCol w:w="3123"/>
      </w:tblGrid>
      <w:tr w:rsidR="009D3D3E" w14:paraId="13E016C3" w14:textId="77777777" w:rsidTr="009D3D3E">
        <w:trPr>
          <w:trHeight w:val="316"/>
        </w:trPr>
        <w:tc>
          <w:tcPr>
            <w:tcW w:w="3123" w:type="dxa"/>
            <w:tcBorders>
              <w:top w:val="nil"/>
              <w:left w:val="nil"/>
              <w:bottom w:val="single" w:sz="4" w:space="0" w:color="auto"/>
              <w:right w:val="nil"/>
            </w:tcBorders>
            <w:shd w:val="clear" w:color="auto" w:fill="auto"/>
          </w:tcPr>
          <w:p w14:paraId="162E13A2" w14:textId="77777777" w:rsidR="009D3D3E" w:rsidRPr="007D20FC" w:rsidRDefault="007D20FC" w:rsidP="009D3D3E">
            <w:pPr>
              <w:jc w:val="center"/>
              <w:rPr>
                <w:color w:val="FFFFFF"/>
                <w:sz w:val="2"/>
                <w:szCs w:val="2"/>
                <w:rtl/>
              </w:rPr>
            </w:pPr>
            <w:r w:rsidRPr="007D20FC">
              <w:rPr>
                <w:color w:val="FFFFFF"/>
                <w:sz w:val="2"/>
                <w:szCs w:val="2"/>
                <w:rtl/>
              </w:rPr>
              <w:t>54678313</w:t>
            </w:r>
          </w:p>
          <w:p w14:paraId="00B3FC3B" w14:textId="77777777" w:rsidR="009D3D3E" w:rsidRDefault="009D3D3E" w:rsidP="009D3D3E">
            <w:pPr>
              <w:jc w:val="center"/>
            </w:pPr>
          </w:p>
        </w:tc>
      </w:tr>
      <w:tr w:rsidR="009D3D3E" w14:paraId="149F51E6" w14:textId="77777777" w:rsidTr="009D3D3E">
        <w:trPr>
          <w:trHeight w:val="361"/>
        </w:trPr>
        <w:tc>
          <w:tcPr>
            <w:tcW w:w="3123" w:type="dxa"/>
            <w:tcBorders>
              <w:top w:val="single" w:sz="4" w:space="0" w:color="auto"/>
              <w:left w:val="nil"/>
              <w:bottom w:val="nil"/>
              <w:right w:val="nil"/>
            </w:tcBorders>
            <w:shd w:val="clear" w:color="auto" w:fill="auto"/>
          </w:tcPr>
          <w:p w14:paraId="16D5FA94" w14:textId="77777777" w:rsidR="009D3D3E" w:rsidRPr="009D3D3E" w:rsidRDefault="009D3D3E" w:rsidP="009D3D3E">
            <w:pPr>
              <w:jc w:val="center"/>
              <w:rPr>
                <w:b/>
                <w:bCs/>
                <w:rtl/>
              </w:rPr>
            </w:pPr>
            <w:r w:rsidRPr="009D3D3E">
              <w:rPr>
                <w:rFonts w:hint="cs"/>
                <w:b/>
                <w:bCs/>
                <w:rtl/>
              </w:rPr>
              <w:t>אליהו ביתן, שופט</w:t>
            </w:r>
          </w:p>
          <w:p w14:paraId="29FAC689" w14:textId="77777777" w:rsidR="009D3D3E" w:rsidRPr="009D3D3E" w:rsidRDefault="009D3D3E" w:rsidP="009D3D3E">
            <w:pPr>
              <w:jc w:val="center"/>
              <w:rPr>
                <w:b/>
                <w:bCs/>
                <w:rtl/>
              </w:rPr>
            </w:pPr>
            <w:r w:rsidRPr="009D3D3E">
              <w:rPr>
                <w:rFonts w:hint="cs"/>
                <w:b/>
                <w:bCs/>
                <w:rtl/>
              </w:rPr>
              <w:t>סגן הנשיאה</w:t>
            </w:r>
          </w:p>
        </w:tc>
      </w:tr>
    </w:tbl>
    <w:p w14:paraId="3F159166" w14:textId="77777777" w:rsidR="009D3D3E" w:rsidRDefault="009D3D3E" w:rsidP="009D3D3E">
      <w:pPr>
        <w:jc w:val="both"/>
        <w:rPr>
          <w:rFonts w:ascii="David" w:hAnsi="David"/>
          <w:rtl/>
        </w:rPr>
      </w:pPr>
      <w:r>
        <w:rPr>
          <w:rtl/>
        </w:rPr>
        <w:t xml:space="preserve"> </w:t>
      </w:r>
    </w:p>
    <w:p w14:paraId="3977D806" w14:textId="77777777" w:rsidR="009D3D3E" w:rsidRDefault="009D3D3E" w:rsidP="009D3D3E">
      <w:pPr>
        <w:pStyle w:val="a3"/>
        <w:rPr>
          <w:rtl/>
        </w:rPr>
      </w:pPr>
    </w:p>
    <w:p w14:paraId="45A737CB" w14:textId="77777777" w:rsidR="00AC4191" w:rsidRPr="007D20FC" w:rsidRDefault="00AC4191" w:rsidP="007D20FC">
      <w:pPr>
        <w:keepNext/>
        <w:rPr>
          <w:rFonts w:ascii="David" w:hAnsi="David"/>
          <w:color w:val="000000"/>
          <w:sz w:val="22"/>
          <w:szCs w:val="22"/>
          <w:rtl/>
        </w:rPr>
      </w:pPr>
    </w:p>
    <w:p w14:paraId="3B1449E0" w14:textId="77777777" w:rsidR="007D20FC" w:rsidRPr="007D20FC" w:rsidRDefault="007D20FC" w:rsidP="007D20FC">
      <w:pPr>
        <w:keepNext/>
        <w:rPr>
          <w:rFonts w:ascii="David" w:hAnsi="David"/>
          <w:color w:val="000000"/>
          <w:sz w:val="22"/>
          <w:szCs w:val="22"/>
          <w:rtl/>
        </w:rPr>
      </w:pPr>
      <w:r w:rsidRPr="007D20FC">
        <w:rPr>
          <w:rFonts w:ascii="David" w:hAnsi="David"/>
          <w:color w:val="000000"/>
          <w:sz w:val="22"/>
          <w:szCs w:val="22"/>
          <w:rtl/>
        </w:rPr>
        <w:t>אליהו ביתן 54678313</w:t>
      </w:r>
    </w:p>
    <w:p w14:paraId="1462FC21" w14:textId="77777777" w:rsidR="007D20FC" w:rsidRDefault="007D20FC" w:rsidP="007D20FC">
      <w:r w:rsidRPr="007D20FC">
        <w:rPr>
          <w:color w:val="000000"/>
          <w:rtl/>
        </w:rPr>
        <w:t>נוסח מסמך זה כפוף לשינויי ניסוח ועריכה</w:t>
      </w:r>
    </w:p>
    <w:p w14:paraId="346F4B17" w14:textId="77777777" w:rsidR="007D20FC" w:rsidRDefault="007D20FC" w:rsidP="007D20FC">
      <w:pPr>
        <w:rPr>
          <w:rtl/>
        </w:rPr>
      </w:pPr>
    </w:p>
    <w:p w14:paraId="2CA087AD" w14:textId="77777777" w:rsidR="007D20FC" w:rsidRDefault="007D20FC" w:rsidP="007D20FC">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2581B4EB" w14:textId="77777777" w:rsidR="007D20FC" w:rsidRPr="007D20FC" w:rsidRDefault="007D20FC" w:rsidP="007D20FC">
      <w:pPr>
        <w:jc w:val="center"/>
        <w:rPr>
          <w:color w:val="0000FF"/>
          <w:u w:val="single"/>
        </w:rPr>
      </w:pPr>
    </w:p>
    <w:sectPr w:rsidR="007D20FC" w:rsidRPr="007D20FC" w:rsidSect="007D20FC">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B9753" w14:textId="77777777" w:rsidR="00D73A8F" w:rsidRDefault="00D73A8F" w:rsidP="00182E7A">
      <w:r>
        <w:separator/>
      </w:r>
    </w:p>
  </w:endnote>
  <w:endnote w:type="continuationSeparator" w:id="0">
    <w:p w14:paraId="00DF7466" w14:textId="77777777" w:rsidR="00D73A8F" w:rsidRDefault="00D73A8F" w:rsidP="0018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8535" w14:textId="77777777" w:rsidR="007D20FC" w:rsidRDefault="007D20FC" w:rsidP="007D20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4AE94A" w14:textId="77777777" w:rsidR="003905B4" w:rsidRPr="007D20FC" w:rsidRDefault="007D20FC" w:rsidP="007D20F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6E1D8" w14:textId="77777777" w:rsidR="007D20FC" w:rsidRDefault="007D20FC" w:rsidP="007D20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2482">
      <w:rPr>
        <w:rFonts w:ascii="FrankRuehl" w:hAnsi="FrankRuehl" w:cs="FrankRuehl"/>
        <w:noProof/>
        <w:rtl/>
      </w:rPr>
      <w:t>1</w:t>
    </w:r>
    <w:r>
      <w:rPr>
        <w:rFonts w:ascii="FrankRuehl" w:hAnsi="FrankRuehl" w:cs="FrankRuehl"/>
        <w:rtl/>
      </w:rPr>
      <w:fldChar w:fldCharType="end"/>
    </w:r>
  </w:p>
  <w:p w14:paraId="1C431E99" w14:textId="77777777" w:rsidR="003905B4" w:rsidRPr="007D20FC" w:rsidRDefault="007D20FC" w:rsidP="007D20F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D0C3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24A0D" w14:textId="77777777" w:rsidR="00D73A8F" w:rsidRDefault="00D73A8F" w:rsidP="00182E7A">
      <w:r>
        <w:separator/>
      </w:r>
    </w:p>
  </w:footnote>
  <w:footnote w:type="continuationSeparator" w:id="0">
    <w:p w14:paraId="176E2191" w14:textId="77777777" w:rsidR="00D73A8F" w:rsidRDefault="00D73A8F" w:rsidP="00182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4E6BC" w14:textId="77777777" w:rsidR="007D20FC" w:rsidRPr="007D20FC" w:rsidRDefault="007D20FC" w:rsidP="007D20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22094-03-21</w:t>
    </w:r>
    <w:r>
      <w:rPr>
        <w:rFonts w:ascii="David" w:hAnsi="David"/>
        <w:color w:val="000000"/>
        <w:sz w:val="22"/>
        <w:szCs w:val="22"/>
        <w:rtl/>
      </w:rPr>
      <w:tab/>
      <w:t xml:space="preserve"> מדינת ישראל נ' אדהם אלעביד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EBB9F" w14:textId="77777777" w:rsidR="007D20FC" w:rsidRPr="007D20FC" w:rsidRDefault="007D20FC" w:rsidP="007D20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22094-03-21</w:t>
    </w:r>
    <w:r>
      <w:rPr>
        <w:rFonts w:ascii="David" w:hAnsi="David"/>
        <w:color w:val="000000"/>
        <w:sz w:val="22"/>
        <w:szCs w:val="22"/>
        <w:rtl/>
      </w:rPr>
      <w:tab/>
      <w:t xml:space="preserve"> מדינת ישראל נ' אדהם אלעביד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CF0366"/>
    <w:multiLevelType w:val="hybridMultilevel"/>
    <w:tmpl w:val="297C0304"/>
    <w:lvl w:ilvl="0" w:tplc="6F162F54">
      <w:start w:val="1"/>
      <w:numFmt w:val="decimal"/>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3693806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3D3E"/>
    <w:rsid w:val="00182E7A"/>
    <w:rsid w:val="001B5A3B"/>
    <w:rsid w:val="003905B4"/>
    <w:rsid w:val="00484AE1"/>
    <w:rsid w:val="007925AA"/>
    <w:rsid w:val="007D20FC"/>
    <w:rsid w:val="009D3D3E"/>
    <w:rsid w:val="00AC4191"/>
    <w:rsid w:val="00CD2482"/>
    <w:rsid w:val="00D73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8CC354"/>
  <w15:chartTrackingRefBased/>
  <w15:docId w15:val="{0C636A34-BA5E-4645-9A1A-864F21A6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3D3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3D3E"/>
    <w:pPr>
      <w:tabs>
        <w:tab w:val="center" w:pos="4153"/>
        <w:tab w:val="right" w:pos="8306"/>
      </w:tabs>
    </w:pPr>
  </w:style>
  <w:style w:type="character" w:customStyle="1" w:styleId="a4">
    <w:name w:val="כותרת עליונה תו"/>
    <w:link w:val="a3"/>
    <w:rsid w:val="009D3D3E"/>
    <w:rPr>
      <w:rFonts w:ascii="Times New Roman" w:eastAsia="Times New Roman" w:hAnsi="Times New Roman" w:cs="David"/>
      <w:sz w:val="24"/>
      <w:szCs w:val="24"/>
    </w:rPr>
  </w:style>
  <w:style w:type="paragraph" w:styleId="a5">
    <w:name w:val="footer"/>
    <w:basedOn w:val="a"/>
    <w:link w:val="a6"/>
    <w:rsid w:val="009D3D3E"/>
    <w:pPr>
      <w:tabs>
        <w:tab w:val="center" w:pos="4153"/>
        <w:tab w:val="right" w:pos="8306"/>
      </w:tabs>
    </w:pPr>
  </w:style>
  <w:style w:type="character" w:customStyle="1" w:styleId="a6">
    <w:name w:val="כותרת תחתונה תו"/>
    <w:link w:val="a5"/>
    <w:rsid w:val="009D3D3E"/>
    <w:rPr>
      <w:rFonts w:ascii="Times New Roman" w:eastAsia="Times New Roman" w:hAnsi="Times New Roman" w:cs="David"/>
      <w:sz w:val="24"/>
      <w:szCs w:val="24"/>
    </w:rPr>
  </w:style>
  <w:style w:type="table" w:styleId="a7">
    <w:name w:val="Table Grid"/>
    <w:basedOn w:val="a1"/>
    <w:rsid w:val="009D3D3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3D3E"/>
  </w:style>
  <w:style w:type="paragraph" w:customStyle="1" w:styleId="12">
    <w:name w:val="רגיל + ‏12 נק'"/>
    <w:aliases w:val="מיושר לשני הצדדים,מרווח בין שורות:  שורה וחצי"/>
    <w:basedOn w:val="a"/>
    <w:rsid w:val="009D3D3E"/>
    <w:rPr>
      <w:b/>
      <w:bCs/>
      <w:u w:val="single"/>
    </w:rPr>
  </w:style>
  <w:style w:type="character" w:styleId="Hyperlink">
    <w:name w:val="Hyperlink"/>
    <w:rsid w:val="007D20F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3849</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2025-01-19T16:40:00Z</dcterms:created>
  <dcterms:modified xsi:type="dcterms:W3CDTF">2025-01-19T16:40:00Z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22094</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אדהם אלעביד</vt:lpwstr>
  </property>
  <property fmtid="{D5CDD505-2E9C-101B-9397-08002B2CF9AE}" pid="10" name="LAWYER">
    <vt:lpwstr>שרון שוורץ;עלי אבו לבן</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20210912</vt:lpwstr>
  </property>
  <property fmtid="{D5CDD505-2E9C-101B-9397-08002B2CF9AE}" pid="14" name="TYPE_N_DATE">
    <vt:lpwstr>39020210912</vt:lpwstr>
  </property>
  <property fmtid="{D5CDD505-2E9C-101B-9397-08002B2CF9AE}" pid="15" name="WORDNUMPAGES">
    <vt:lpwstr>3</vt:lpwstr>
  </property>
  <property fmtid="{D5CDD505-2E9C-101B-9397-08002B2CF9AE}" pid="16" name="TYPE_ABS_DATE">
    <vt:lpwstr>390020210912</vt:lpwstr>
  </property>
  <property fmtid="{D5CDD505-2E9C-101B-9397-08002B2CF9AE}" pid="17" name="ISABSTRACT">
    <vt:lpwstr>Y</vt:lpwstr>
  </property>
  <property fmtid="{D5CDD505-2E9C-101B-9397-08002B2CF9AE}" pid="18" name="LAWLISTTMP1">
    <vt:lpwstr>70301/144.a</vt:lpwstr>
  </property>
</Properties>
</file>