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B52F96" w:rsidRPr="000348ED" w14:paraId="0E6239EC" w14:textId="77777777" w:rsidTr="006E52F2">
        <w:trPr>
          <w:trHeight w:hRule="exact" w:val="418"/>
          <w:jc w:val="center"/>
        </w:trPr>
        <w:tc>
          <w:tcPr>
            <w:tcW w:w="8721" w:type="dxa"/>
            <w:gridSpan w:val="2"/>
          </w:tcPr>
          <w:p w14:paraId="5C42EBF0" w14:textId="77777777" w:rsidR="00B52F96" w:rsidRPr="000348ED" w:rsidRDefault="00B52F96" w:rsidP="002B0150">
            <w:pPr>
              <w:pStyle w:val="a3"/>
              <w:jc w:val="center"/>
              <w:rPr>
                <w:rFonts w:ascii="Tahoma" w:hAnsi="Tahoma" w:cs="Tahoma"/>
                <w:color w:val="000080"/>
                <w:rtl/>
              </w:rPr>
            </w:pPr>
            <w:bookmarkStart w:id="0" w:name="FirstLawyer"/>
            <w:bookmarkStart w:id="1" w:name="LastJudge"/>
            <w:r w:rsidRPr="000348ED">
              <w:rPr>
                <w:rFonts w:ascii="Tahoma" w:hAnsi="Tahoma" w:cs="Tahoma"/>
                <w:b/>
                <w:bCs/>
                <w:color w:val="000080"/>
                <w:rtl/>
              </w:rPr>
              <w:t>בית המשפט המחוזי מרכז-לוד</w:t>
            </w:r>
          </w:p>
        </w:tc>
      </w:tr>
      <w:tr w:rsidR="00B52F96" w:rsidRPr="000348ED" w14:paraId="771F621E" w14:textId="77777777" w:rsidTr="006E52F2">
        <w:trPr>
          <w:trHeight w:val="337"/>
          <w:jc w:val="center"/>
        </w:trPr>
        <w:tc>
          <w:tcPr>
            <w:tcW w:w="5057" w:type="dxa"/>
          </w:tcPr>
          <w:p w14:paraId="6954BD24" w14:textId="77777777" w:rsidR="00B52F96" w:rsidRPr="000348ED" w:rsidRDefault="00B52F96" w:rsidP="002B0150">
            <w:pPr>
              <w:rPr>
                <w:rFonts w:cs="FrankRuehl"/>
                <w:sz w:val="28"/>
                <w:szCs w:val="28"/>
                <w:rtl/>
              </w:rPr>
            </w:pPr>
            <w:r w:rsidRPr="000348ED">
              <w:rPr>
                <w:rFonts w:cs="FrankRuehl"/>
                <w:sz w:val="28"/>
                <w:szCs w:val="28"/>
                <w:rtl/>
              </w:rPr>
              <w:t>ת"פ</w:t>
            </w:r>
            <w:r w:rsidRPr="000348ED">
              <w:rPr>
                <w:rFonts w:cs="FrankRuehl" w:hint="cs"/>
                <w:sz w:val="28"/>
                <w:szCs w:val="28"/>
                <w:rtl/>
              </w:rPr>
              <w:t xml:space="preserve"> </w:t>
            </w:r>
            <w:r w:rsidRPr="000348ED">
              <w:rPr>
                <w:rFonts w:cs="FrankRuehl"/>
                <w:sz w:val="28"/>
                <w:szCs w:val="28"/>
                <w:rtl/>
              </w:rPr>
              <w:t>25639-03-21</w:t>
            </w:r>
            <w:r w:rsidRPr="000348ED">
              <w:rPr>
                <w:rFonts w:cs="FrankRuehl" w:hint="cs"/>
                <w:sz w:val="28"/>
                <w:szCs w:val="28"/>
                <w:rtl/>
              </w:rPr>
              <w:t xml:space="preserve"> </w:t>
            </w:r>
            <w:r w:rsidRPr="000348ED">
              <w:rPr>
                <w:rFonts w:cs="FrankRuehl"/>
                <w:sz w:val="28"/>
                <w:szCs w:val="28"/>
                <w:rtl/>
              </w:rPr>
              <w:t>מדינת ישראל נ' תאיה(עציר)</w:t>
            </w:r>
          </w:p>
          <w:p w14:paraId="72E906EF" w14:textId="77777777" w:rsidR="00B52F96" w:rsidRPr="000348ED" w:rsidRDefault="00B52F96" w:rsidP="002B0150">
            <w:pPr>
              <w:pStyle w:val="a3"/>
              <w:rPr>
                <w:rFonts w:cs="FrankRuehl"/>
                <w:sz w:val="28"/>
                <w:szCs w:val="28"/>
                <w:rtl/>
              </w:rPr>
            </w:pPr>
          </w:p>
        </w:tc>
        <w:tc>
          <w:tcPr>
            <w:tcW w:w="3664" w:type="dxa"/>
          </w:tcPr>
          <w:p w14:paraId="70BBFE80" w14:textId="77777777" w:rsidR="00B52F96" w:rsidRPr="000348ED" w:rsidRDefault="00B52F96" w:rsidP="002B0150">
            <w:pPr>
              <w:pStyle w:val="a3"/>
              <w:jc w:val="right"/>
              <w:rPr>
                <w:rFonts w:cs="FrankRuehl"/>
                <w:sz w:val="28"/>
                <w:szCs w:val="28"/>
                <w:rtl/>
              </w:rPr>
            </w:pPr>
          </w:p>
        </w:tc>
      </w:tr>
    </w:tbl>
    <w:p w14:paraId="0A040F37" w14:textId="77777777" w:rsidR="00B52F96" w:rsidRPr="000348ED" w:rsidRDefault="00B52F96" w:rsidP="00B52F96">
      <w:pPr>
        <w:pStyle w:val="a3"/>
        <w:rPr>
          <w:rtl/>
        </w:rPr>
      </w:pPr>
      <w:r w:rsidRPr="000348ED">
        <w:rPr>
          <w:rFonts w:hint="cs"/>
          <w:rtl/>
        </w:rPr>
        <w:t xml:space="preserve"> </w:t>
      </w:r>
    </w:p>
    <w:p w14:paraId="58C85D43" w14:textId="77777777" w:rsidR="00B52F96" w:rsidRPr="000348ED" w:rsidRDefault="00B52F96" w:rsidP="00B52F96">
      <w:pPr>
        <w:rPr>
          <w:rtl/>
        </w:rPr>
      </w:pPr>
    </w:p>
    <w:p w14:paraId="19AEBA98" w14:textId="77777777" w:rsidR="00B52F96" w:rsidRPr="000348ED" w:rsidRDefault="00B52F96" w:rsidP="00B52F9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52F96" w:rsidRPr="000348ED" w14:paraId="6E04D8D8" w14:textId="77777777" w:rsidTr="00B52F96">
        <w:trPr>
          <w:trHeight w:val="295"/>
          <w:jc w:val="center"/>
        </w:trPr>
        <w:tc>
          <w:tcPr>
            <w:tcW w:w="923" w:type="dxa"/>
            <w:tcBorders>
              <w:top w:val="nil"/>
              <w:left w:val="nil"/>
              <w:bottom w:val="nil"/>
              <w:right w:val="nil"/>
            </w:tcBorders>
            <w:shd w:val="clear" w:color="auto" w:fill="auto"/>
          </w:tcPr>
          <w:p w14:paraId="5F39183B" w14:textId="77777777" w:rsidR="00B52F96" w:rsidRPr="000348ED" w:rsidRDefault="00B52F96" w:rsidP="00B52F96">
            <w:pPr>
              <w:jc w:val="both"/>
              <w:rPr>
                <w:rFonts w:ascii="David" w:hAnsi="David"/>
                <w:sz w:val="26"/>
                <w:szCs w:val="26"/>
              </w:rPr>
            </w:pPr>
            <w:r w:rsidRPr="000348E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C63866C" w14:textId="77777777" w:rsidR="00B52F96" w:rsidRPr="000348ED" w:rsidRDefault="00B52F96" w:rsidP="002B0150">
            <w:pPr>
              <w:rPr>
                <w:rFonts w:ascii="David" w:hAnsi="David"/>
                <w:b/>
                <w:bCs/>
                <w:sz w:val="26"/>
                <w:szCs w:val="26"/>
                <w:rtl/>
              </w:rPr>
            </w:pPr>
            <w:r w:rsidRPr="000348ED">
              <w:rPr>
                <w:rFonts w:ascii="David" w:hAnsi="David"/>
                <w:b/>
                <w:bCs/>
                <w:sz w:val="26"/>
                <w:szCs w:val="26"/>
                <w:rtl/>
              </w:rPr>
              <w:t>כבוד השופט  חגי טרסי</w:t>
            </w:r>
          </w:p>
          <w:p w14:paraId="0128A1CC" w14:textId="77777777" w:rsidR="00B52F96" w:rsidRPr="000348ED" w:rsidRDefault="00B52F96" w:rsidP="002B0150">
            <w:pPr>
              <w:rPr>
                <w:rFonts w:ascii="David" w:hAnsi="David"/>
                <w:sz w:val="26"/>
                <w:szCs w:val="26"/>
                <w:rtl/>
              </w:rPr>
            </w:pPr>
          </w:p>
          <w:p w14:paraId="0ED3CA4E" w14:textId="77777777" w:rsidR="00B52F96" w:rsidRPr="000348ED" w:rsidRDefault="00B52F96" w:rsidP="00B52F96">
            <w:pPr>
              <w:jc w:val="both"/>
              <w:rPr>
                <w:rFonts w:ascii="David" w:hAnsi="David"/>
                <w:sz w:val="26"/>
                <w:szCs w:val="26"/>
              </w:rPr>
            </w:pPr>
          </w:p>
        </w:tc>
      </w:tr>
      <w:tr w:rsidR="00B52F96" w:rsidRPr="000348ED" w14:paraId="04CB794F" w14:textId="77777777" w:rsidTr="00B52F96">
        <w:trPr>
          <w:trHeight w:val="355"/>
          <w:jc w:val="center"/>
        </w:trPr>
        <w:tc>
          <w:tcPr>
            <w:tcW w:w="923" w:type="dxa"/>
            <w:tcBorders>
              <w:top w:val="nil"/>
              <w:left w:val="nil"/>
              <w:bottom w:val="nil"/>
              <w:right w:val="nil"/>
            </w:tcBorders>
            <w:shd w:val="clear" w:color="auto" w:fill="auto"/>
          </w:tcPr>
          <w:p w14:paraId="4AFFB8E3" w14:textId="77777777" w:rsidR="00B52F96" w:rsidRPr="000348ED" w:rsidRDefault="00B52F96" w:rsidP="00B52F96">
            <w:pPr>
              <w:jc w:val="both"/>
              <w:rPr>
                <w:rFonts w:ascii="David" w:hAnsi="David"/>
                <w:sz w:val="26"/>
                <w:szCs w:val="26"/>
              </w:rPr>
            </w:pPr>
            <w:bookmarkStart w:id="2" w:name="FirstAppellant"/>
            <w:r w:rsidRPr="000348ED">
              <w:rPr>
                <w:rFonts w:ascii="David" w:hAnsi="David"/>
                <w:sz w:val="26"/>
                <w:szCs w:val="26"/>
                <w:rtl/>
              </w:rPr>
              <w:t>בעניין:</w:t>
            </w:r>
          </w:p>
        </w:tc>
        <w:tc>
          <w:tcPr>
            <w:tcW w:w="4126" w:type="dxa"/>
            <w:tcBorders>
              <w:top w:val="nil"/>
              <w:left w:val="nil"/>
              <w:bottom w:val="nil"/>
              <w:right w:val="nil"/>
            </w:tcBorders>
            <w:shd w:val="clear" w:color="auto" w:fill="auto"/>
          </w:tcPr>
          <w:p w14:paraId="4F64B99A" w14:textId="77777777" w:rsidR="00B52F96" w:rsidRPr="000348ED" w:rsidRDefault="00B52F96" w:rsidP="002B0150">
            <w:pPr>
              <w:rPr>
                <w:rFonts w:ascii="David" w:hAnsi="David"/>
                <w:sz w:val="26"/>
                <w:szCs w:val="26"/>
              </w:rPr>
            </w:pPr>
            <w:r w:rsidRPr="000348ED">
              <w:rPr>
                <w:rFonts w:ascii="David" w:hAnsi="David"/>
                <w:sz w:val="26"/>
                <w:szCs w:val="26"/>
                <w:rtl/>
              </w:rPr>
              <w:t>מדינת ישראל – פמ"</w:t>
            </w:r>
            <w:r w:rsidRPr="000348ED">
              <w:rPr>
                <w:rFonts w:ascii="David" w:hAnsi="David" w:hint="cs"/>
                <w:sz w:val="26"/>
                <w:szCs w:val="26"/>
                <w:rtl/>
              </w:rPr>
              <w:t>מ</w:t>
            </w:r>
          </w:p>
        </w:tc>
        <w:tc>
          <w:tcPr>
            <w:tcW w:w="3771" w:type="dxa"/>
            <w:tcBorders>
              <w:top w:val="nil"/>
              <w:left w:val="nil"/>
              <w:bottom w:val="nil"/>
              <w:right w:val="nil"/>
            </w:tcBorders>
            <w:shd w:val="clear" w:color="auto" w:fill="auto"/>
          </w:tcPr>
          <w:p w14:paraId="66311A51" w14:textId="77777777" w:rsidR="00B52F96" w:rsidRPr="000348ED" w:rsidRDefault="00B52F96" w:rsidP="00B52F96">
            <w:pPr>
              <w:jc w:val="both"/>
              <w:rPr>
                <w:rFonts w:ascii="David" w:hAnsi="David"/>
                <w:sz w:val="26"/>
                <w:szCs w:val="26"/>
              </w:rPr>
            </w:pPr>
          </w:p>
        </w:tc>
      </w:tr>
      <w:bookmarkEnd w:id="2"/>
      <w:tr w:rsidR="00B52F96" w:rsidRPr="000348ED" w14:paraId="46DF3CA9" w14:textId="77777777" w:rsidTr="00B52F96">
        <w:trPr>
          <w:trHeight w:val="355"/>
          <w:jc w:val="center"/>
        </w:trPr>
        <w:tc>
          <w:tcPr>
            <w:tcW w:w="923" w:type="dxa"/>
            <w:tcBorders>
              <w:top w:val="nil"/>
              <w:left w:val="nil"/>
              <w:bottom w:val="nil"/>
              <w:right w:val="nil"/>
            </w:tcBorders>
            <w:shd w:val="clear" w:color="auto" w:fill="auto"/>
          </w:tcPr>
          <w:p w14:paraId="0CF9840C" w14:textId="77777777" w:rsidR="00B52F96" w:rsidRPr="000348ED" w:rsidRDefault="00B52F96" w:rsidP="00B52F96">
            <w:pPr>
              <w:jc w:val="both"/>
              <w:rPr>
                <w:rFonts w:ascii="David" w:hAnsi="David"/>
                <w:sz w:val="26"/>
                <w:szCs w:val="26"/>
                <w:rtl/>
              </w:rPr>
            </w:pPr>
          </w:p>
        </w:tc>
        <w:tc>
          <w:tcPr>
            <w:tcW w:w="4126" w:type="dxa"/>
            <w:tcBorders>
              <w:top w:val="nil"/>
              <w:left w:val="nil"/>
              <w:bottom w:val="nil"/>
              <w:right w:val="nil"/>
            </w:tcBorders>
            <w:shd w:val="clear" w:color="auto" w:fill="auto"/>
          </w:tcPr>
          <w:p w14:paraId="5B4B8A9D" w14:textId="77777777" w:rsidR="00B52F96" w:rsidRPr="000348ED" w:rsidRDefault="00B52F96" w:rsidP="00B52F96">
            <w:pPr>
              <w:jc w:val="both"/>
              <w:rPr>
                <w:rFonts w:ascii="David" w:hAnsi="David"/>
                <w:sz w:val="26"/>
                <w:szCs w:val="26"/>
                <w:rtl/>
              </w:rPr>
            </w:pPr>
          </w:p>
        </w:tc>
        <w:tc>
          <w:tcPr>
            <w:tcW w:w="3771" w:type="dxa"/>
            <w:tcBorders>
              <w:top w:val="nil"/>
              <w:left w:val="nil"/>
              <w:bottom w:val="nil"/>
              <w:right w:val="nil"/>
            </w:tcBorders>
            <w:shd w:val="clear" w:color="auto" w:fill="auto"/>
          </w:tcPr>
          <w:p w14:paraId="7C118318" w14:textId="77777777" w:rsidR="00B52F96" w:rsidRPr="000348ED" w:rsidRDefault="00B52F96" w:rsidP="00B52F96">
            <w:pPr>
              <w:jc w:val="right"/>
              <w:rPr>
                <w:rFonts w:ascii="David" w:hAnsi="David"/>
                <w:sz w:val="26"/>
                <w:szCs w:val="26"/>
                <w:rtl/>
              </w:rPr>
            </w:pPr>
            <w:r w:rsidRPr="000348ED">
              <w:rPr>
                <w:rFonts w:ascii="David" w:hAnsi="David"/>
                <w:sz w:val="26"/>
                <w:szCs w:val="26"/>
                <w:rtl/>
              </w:rPr>
              <w:t>המאשימה</w:t>
            </w:r>
          </w:p>
        </w:tc>
      </w:tr>
      <w:tr w:rsidR="00B52F96" w:rsidRPr="000348ED" w14:paraId="7A1DE7F3" w14:textId="77777777" w:rsidTr="00B52F96">
        <w:trPr>
          <w:trHeight w:val="355"/>
          <w:jc w:val="center"/>
        </w:trPr>
        <w:tc>
          <w:tcPr>
            <w:tcW w:w="923" w:type="dxa"/>
            <w:tcBorders>
              <w:top w:val="nil"/>
              <w:left w:val="nil"/>
              <w:bottom w:val="nil"/>
              <w:right w:val="nil"/>
            </w:tcBorders>
            <w:shd w:val="clear" w:color="auto" w:fill="auto"/>
          </w:tcPr>
          <w:p w14:paraId="7D26EC7E" w14:textId="77777777" w:rsidR="00B52F96" w:rsidRPr="000348ED" w:rsidRDefault="00B52F96" w:rsidP="00B52F9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94B9A74" w14:textId="77777777" w:rsidR="00B52F96" w:rsidRPr="000348ED" w:rsidRDefault="00B52F96" w:rsidP="00B52F96">
            <w:pPr>
              <w:jc w:val="center"/>
              <w:rPr>
                <w:rFonts w:ascii="David" w:hAnsi="David"/>
                <w:b/>
                <w:bCs/>
                <w:sz w:val="26"/>
                <w:szCs w:val="26"/>
                <w:rtl/>
              </w:rPr>
            </w:pPr>
          </w:p>
          <w:p w14:paraId="44713792" w14:textId="77777777" w:rsidR="00B52F96" w:rsidRPr="000348ED" w:rsidRDefault="00B52F96" w:rsidP="00B52F96">
            <w:pPr>
              <w:jc w:val="center"/>
              <w:rPr>
                <w:rFonts w:ascii="David" w:hAnsi="David"/>
                <w:b/>
                <w:bCs/>
                <w:sz w:val="26"/>
                <w:szCs w:val="26"/>
                <w:rtl/>
              </w:rPr>
            </w:pPr>
            <w:r w:rsidRPr="000348ED">
              <w:rPr>
                <w:rFonts w:ascii="David" w:hAnsi="David"/>
                <w:b/>
                <w:bCs/>
                <w:sz w:val="26"/>
                <w:szCs w:val="26"/>
                <w:rtl/>
              </w:rPr>
              <w:t>נגד</w:t>
            </w:r>
          </w:p>
          <w:p w14:paraId="466DB74D" w14:textId="77777777" w:rsidR="00B52F96" w:rsidRPr="000348ED" w:rsidRDefault="00B52F96" w:rsidP="00B52F96">
            <w:pPr>
              <w:jc w:val="both"/>
              <w:rPr>
                <w:rFonts w:ascii="David" w:hAnsi="David"/>
                <w:sz w:val="26"/>
                <w:szCs w:val="26"/>
              </w:rPr>
            </w:pPr>
          </w:p>
        </w:tc>
      </w:tr>
      <w:tr w:rsidR="00B52F96" w:rsidRPr="000348ED" w14:paraId="42038987" w14:textId="77777777" w:rsidTr="00B52F96">
        <w:trPr>
          <w:trHeight w:val="355"/>
          <w:jc w:val="center"/>
        </w:trPr>
        <w:tc>
          <w:tcPr>
            <w:tcW w:w="923" w:type="dxa"/>
            <w:tcBorders>
              <w:top w:val="nil"/>
              <w:left w:val="nil"/>
              <w:bottom w:val="nil"/>
              <w:right w:val="nil"/>
            </w:tcBorders>
            <w:shd w:val="clear" w:color="auto" w:fill="auto"/>
          </w:tcPr>
          <w:p w14:paraId="68585374" w14:textId="77777777" w:rsidR="00B52F96" w:rsidRPr="000348ED" w:rsidRDefault="00B52F96" w:rsidP="002B0150">
            <w:pPr>
              <w:rPr>
                <w:rFonts w:ascii="David" w:hAnsi="David"/>
                <w:sz w:val="26"/>
                <w:szCs w:val="26"/>
                <w:rtl/>
              </w:rPr>
            </w:pPr>
          </w:p>
        </w:tc>
        <w:tc>
          <w:tcPr>
            <w:tcW w:w="4126" w:type="dxa"/>
            <w:tcBorders>
              <w:top w:val="nil"/>
              <w:left w:val="nil"/>
              <w:bottom w:val="nil"/>
              <w:right w:val="nil"/>
            </w:tcBorders>
            <w:shd w:val="clear" w:color="auto" w:fill="auto"/>
          </w:tcPr>
          <w:p w14:paraId="1F8684D9" w14:textId="77777777" w:rsidR="00B52F96" w:rsidRPr="000348ED" w:rsidRDefault="00B52F96" w:rsidP="002B0150">
            <w:pPr>
              <w:rPr>
                <w:rFonts w:ascii="David" w:hAnsi="David"/>
                <w:sz w:val="26"/>
                <w:szCs w:val="26"/>
                <w:rtl/>
              </w:rPr>
            </w:pPr>
            <w:r w:rsidRPr="000348ED">
              <w:rPr>
                <w:rFonts w:ascii="David" w:hAnsi="David"/>
                <w:sz w:val="26"/>
                <w:szCs w:val="26"/>
                <w:rtl/>
              </w:rPr>
              <w:t>קאסם תאיה (עציר)</w:t>
            </w:r>
            <w:r w:rsidRPr="000348ED">
              <w:rPr>
                <w:rFonts w:ascii="David" w:hAnsi="David"/>
                <w:sz w:val="26"/>
                <w:szCs w:val="26"/>
                <w:rtl/>
              </w:rPr>
              <w:br/>
            </w:r>
            <w:r w:rsidRPr="000348ED">
              <w:rPr>
                <w:rFonts w:ascii="David" w:hAnsi="David" w:hint="cs"/>
                <w:sz w:val="26"/>
                <w:szCs w:val="26"/>
                <w:rtl/>
              </w:rPr>
              <w:t>ע"י ב"כ עו"ד נטור</w:t>
            </w:r>
          </w:p>
        </w:tc>
        <w:tc>
          <w:tcPr>
            <w:tcW w:w="3771" w:type="dxa"/>
            <w:tcBorders>
              <w:top w:val="nil"/>
              <w:left w:val="nil"/>
              <w:bottom w:val="nil"/>
              <w:right w:val="nil"/>
            </w:tcBorders>
            <w:shd w:val="clear" w:color="auto" w:fill="auto"/>
          </w:tcPr>
          <w:p w14:paraId="06A34E67" w14:textId="77777777" w:rsidR="00B52F96" w:rsidRPr="000348ED" w:rsidRDefault="00B52F96" w:rsidP="00B52F96">
            <w:pPr>
              <w:jc w:val="right"/>
              <w:rPr>
                <w:rFonts w:ascii="David" w:hAnsi="David"/>
                <w:sz w:val="26"/>
                <w:szCs w:val="26"/>
              </w:rPr>
            </w:pPr>
          </w:p>
        </w:tc>
      </w:tr>
      <w:tr w:rsidR="00B52F96" w:rsidRPr="000348ED" w14:paraId="3168E893" w14:textId="77777777" w:rsidTr="00B52F96">
        <w:trPr>
          <w:trHeight w:val="355"/>
          <w:jc w:val="center"/>
        </w:trPr>
        <w:tc>
          <w:tcPr>
            <w:tcW w:w="923" w:type="dxa"/>
            <w:tcBorders>
              <w:top w:val="nil"/>
              <w:left w:val="nil"/>
              <w:bottom w:val="nil"/>
              <w:right w:val="nil"/>
            </w:tcBorders>
            <w:shd w:val="clear" w:color="auto" w:fill="auto"/>
          </w:tcPr>
          <w:p w14:paraId="1CBFDE28" w14:textId="77777777" w:rsidR="00B52F96" w:rsidRPr="000348ED" w:rsidRDefault="00B52F96" w:rsidP="00B52F96">
            <w:pPr>
              <w:jc w:val="both"/>
              <w:rPr>
                <w:rFonts w:ascii="David" w:hAnsi="David"/>
                <w:sz w:val="26"/>
                <w:szCs w:val="26"/>
                <w:rtl/>
              </w:rPr>
            </w:pPr>
          </w:p>
        </w:tc>
        <w:tc>
          <w:tcPr>
            <w:tcW w:w="4126" w:type="dxa"/>
            <w:tcBorders>
              <w:top w:val="nil"/>
              <w:left w:val="nil"/>
              <w:bottom w:val="nil"/>
              <w:right w:val="nil"/>
            </w:tcBorders>
            <w:shd w:val="clear" w:color="auto" w:fill="auto"/>
          </w:tcPr>
          <w:p w14:paraId="07BA5D68" w14:textId="77777777" w:rsidR="00B52F96" w:rsidRPr="000348ED" w:rsidRDefault="00B52F96" w:rsidP="00B52F96">
            <w:pPr>
              <w:jc w:val="both"/>
              <w:rPr>
                <w:rFonts w:ascii="David" w:hAnsi="David"/>
                <w:sz w:val="26"/>
                <w:szCs w:val="26"/>
                <w:rtl/>
              </w:rPr>
            </w:pPr>
          </w:p>
        </w:tc>
        <w:tc>
          <w:tcPr>
            <w:tcW w:w="3771" w:type="dxa"/>
            <w:tcBorders>
              <w:top w:val="nil"/>
              <w:left w:val="nil"/>
              <w:bottom w:val="nil"/>
              <w:right w:val="nil"/>
            </w:tcBorders>
            <w:shd w:val="clear" w:color="auto" w:fill="auto"/>
          </w:tcPr>
          <w:p w14:paraId="139E0D17" w14:textId="77777777" w:rsidR="00B52F96" w:rsidRPr="000348ED" w:rsidRDefault="00B52F96" w:rsidP="00B52F96">
            <w:pPr>
              <w:jc w:val="right"/>
              <w:rPr>
                <w:rFonts w:ascii="David" w:hAnsi="David"/>
                <w:sz w:val="26"/>
                <w:szCs w:val="26"/>
              </w:rPr>
            </w:pPr>
            <w:r w:rsidRPr="000348ED">
              <w:rPr>
                <w:rFonts w:ascii="David" w:hAnsi="David"/>
                <w:sz w:val="26"/>
                <w:szCs w:val="26"/>
                <w:rtl/>
              </w:rPr>
              <w:t>הנאשם</w:t>
            </w:r>
          </w:p>
        </w:tc>
      </w:tr>
    </w:tbl>
    <w:p w14:paraId="20AF123E" w14:textId="77777777" w:rsidR="000348ED" w:rsidRPr="000348ED" w:rsidRDefault="000348ED" w:rsidP="00B52F96">
      <w:pPr>
        <w:rPr>
          <w:sz w:val="26"/>
          <w:szCs w:val="26"/>
          <w:rtl/>
        </w:rPr>
      </w:pPr>
    </w:p>
    <w:p w14:paraId="775B88E5" w14:textId="77777777" w:rsidR="00741698" w:rsidRPr="00741698" w:rsidRDefault="00741698" w:rsidP="006E52F2">
      <w:pPr>
        <w:spacing w:after="120" w:line="240" w:lineRule="exact"/>
        <w:ind w:left="283" w:hanging="283"/>
        <w:jc w:val="both"/>
        <w:rPr>
          <w:sz w:val="26"/>
          <w:szCs w:val="26"/>
          <w:rtl/>
        </w:rPr>
      </w:pPr>
    </w:p>
    <w:p w14:paraId="0D9FB820" w14:textId="77777777" w:rsidR="00741698" w:rsidRPr="00741698" w:rsidRDefault="00741698" w:rsidP="00741698">
      <w:pPr>
        <w:spacing w:after="120" w:line="240" w:lineRule="exact"/>
        <w:ind w:left="283" w:hanging="283"/>
        <w:jc w:val="both"/>
        <w:rPr>
          <w:sz w:val="26"/>
          <w:szCs w:val="26"/>
          <w:rtl/>
        </w:rPr>
      </w:pPr>
    </w:p>
    <w:p w14:paraId="43674BB6" w14:textId="77777777" w:rsidR="00802D86" w:rsidRPr="00802D86" w:rsidRDefault="00802D86" w:rsidP="00741698">
      <w:pPr>
        <w:spacing w:after="120" w:line="240" w:lineRule="exact"/>
        <w:ind w:left="283" w:hanging="283"/>
        <w:jc w:val="both"/>
        <w:rPr>
          <w:sz w:val="26"/>
          <w:szCs w:val="26"/>
          <w:rtl/>
        </w:rPr>
      </w:pPr>
    </w:p>
    <w:p w14:paraId="6CD065C6" w14:textId="77777777" w:rsidR="00802D86" w:rsidRPr="00802D86" w:rsidRDefault="00802D86" w:rsidP="00802D86">
      <w:pPr>
        <w:spacing w:after="120" w:line="240" w:lineRule="exact"/>
        <w:ind w:left="283" w:hanging="283"/>
        <w:jc w:val="both"/>
        <w:rPr>
          <w:rFonts w:ascii="FrankRuehl" w:hAnsi="FrankRuehl" w:cs="FrankRuehl"/>
        </w:rPr>
      </w:pPr>
      <w:bookmarkStart w:id="3" w:name="Links_Start"/>
      <w:bookmarkEnd w:id="3"/>
      <w:r w:rsidRPr="00802D86">
        <w:rPr>
          <w:rFonts w:ascii="FrankRuehl" w:hAnsi="FrankRuehl" w:cs="FrankRuehl"/>
          <w:rtl/>
        </w:rPr>
        <w:t>ספרות:</w:t>
      </w:r>
    </w:p>
    <w:p w14:paraId="11DD42E9" w14:textId="77777777" w:rsidR="00802D86" w:rsidRPr="00802D86" w:rsidRDefault="00802D86" w:rsidP="00802D86">
      <w:pPr>
        <w:spacing w:after="120" w:line="240" w:lineRule="exact"/>
        <w:ind w:left="283" w:hanging="283"/>
        <w:jc w:val="both"/>
        <w:rPr>
          <w:rStyle w:val="Hyperlink"/>
          <w:rFonts w:ascii="FrankRuehl" w:hAnsi="FrankRuehl" w:cs="FrankRuehl"/>
          <w:u w:val="none"/>
          <w:rtl/>
        </w:rPr>
      </w:pPr>
      <w:r w:rsidRPr="00802D86">
        <w:rPr>
          <w:rFonts w:ascii="FrankRuehl" w:hAnsi="FrankRuehl" w:cs="FrankRuehl"/>
          <w:color w:val="0000FF"/>
          <w:rtl/>
        </w:rPr>
        <w:fldChar w:fldCharType="begin"/>
      </w:r>
      <w:r w:rsidRPr="00802D86">
        <w:rPr>
          <w:rFonts w:ascii="FrankRuehl" w:hAnsi="FrankRuehl" w:cs="FrankRuehl"/>
          <w:color w:val="0000FF"/>
          <w:rtl/>
        </w:rPr>
        <w:instrText xml:space="preserve"> </w:instrText>
      </w:r>
      <w:r w:rsidRPr="00802D86">
        <w:rPr>
          <w:rFonts w:ascii="FrankRuehl" w:hAnsi="FrankRuehl" w:cs="FrankRuehl"/>
          <w:color w:val="0000FF"/>
        </w:rPr>
        <w:instrText xml:space="preserve">HYPERLINK </w:instrText>
      </w:r>
      <w:r w:rsidRPr="00802D86">
        <w:rPr>
          <w:rFonts w:ascii="FrankRuehl" w:hAnsi="FrankRuehl" w:cs="FrankRuehl"/>
          <w:color w:val="0000FF"/>
          <w:rtl/>
        </w:rPr>
        <w:instrText>"</w:instrText>
      </w:r>
      <w:r w:rsidRPr="00802D86">
        <w:rPr>
          <w:rFonts w:ascii="FrankRuehl" w:hAnsi="FrankRuehl" w:cs="FrankRuehl"/>
          <w:color w:val="0000FF"/>
        </w:rPr>
        <w:instrText>http://www.nevo.co.il/safrut/bookgroup/412"</w:instrText>
      </w:r>
      <w:r w:rsidRPr="00802D86">
        <w:rPr>
          <w:rFonts w:ascii="FrankRuehl" w:hAnsi="FrankRuehl" w:cs="FrankRuehl"/>
          <w:color w:val="0000FF"/>
          <w:rtl/>
        </w:rPr>
        <w:instrText xml:space="preserve"> </w:instrText>
      </w:r>
      <w:r w:rsidRPr="00802D86">
        <w:rPr>
          <w:rFonts w:ascii="FrankRuehl" w:hAnsi="FrankRuehl" w:cs="FrankRuehl"/>
          <w:color w:val="0000FF"/>
          <w:rtl/>
        </w:rPr>
      </w:r>
      <w:r w:rsidRPr="00802D86">
        <w:rPr>
          <w:rFonts w:ascii="FrankRuehl" w:hAnsi="FrankRuehl" w:cs="FrankRuehl"/>
          <w:color w:val="0000FF"/>
          <w:rtl/>
        </w:rPr>
        <w:fldChar w:fldCharType="separate"/>
      </w:r>
      <w:r w:rsidRPr="00802D86">
        <w:rPr>
          <w:rStyle w:val="Hyperlink"/>
          <w:rFonts w:ascii="FrankRuehl" w:hAnsi="FrankRuehl" w:cs="FrankRuehl"/>
          <w:u w:val="none"/>
          <w:rtl/>
        </w:rPr>
        <w:t xml:space="preserve">ש"ז פלר  </w:t>
      </w:r>
      <w:r w:rsidRPr="00802D86">
        <w:rPr>
          <w:rStyle w:val="Hyperlink"/>
          <w:rFonts w:ascii="FrankRuehl" w:hAnsi="FrankRuehl" w:cs="FrankRuehl"/>
          <w:u w:val="none"/>
        </w:rPr>
        <w:t xml:space="preserve"> </w:t>
      </w:r>
      <w:r w:rsidRPr="00802D86">
        <w:rPr>
          <w:rStyle w:val="Hyperlink"/>
          <w:rFonts w:ascii="FrankRuehl" w:hAnsi="FrankRuehl" w:cs="FrankRuehl"/>
          <w:b/>
          <w:bCs/>
          <w:u w:val="none"/>
          <w:rtl/>
        </w:rPr>
        <w:t xml:space="preserve">יסודות בדיני עונשין </w:t>
      </w:r>
    </w:p>
    <w:p w14:paraId="705CA05C" w14:textId="77777777" w:rsidR="00802D86" w:rsidRDefault="00802D86" w:rsidP="00802D86">
      <w:pPr>
        <w:spacing w:after="120" w:line="240" w:lineRule="exact"/>
        <w:ind w:left="283" w:hanging="283"/>
        <w:jc w:val="both"/>
        <w:rPr>
          <w:color w:val="0000FF"/>
          <w:sz w:val="26"/>
          <w:szCs w:val="26"/>
        </w:rPr>
      </w:pPr>
      <w:r w:rsidRPr="00802D86">
        <w:rPr>
          <w:rFonts w:ascii="FrankRuehl" w:hAnsi="FrankRuehl" w:cs="FrankRuehl"/>
          <w:color w:val="0000FF"/>
          <w:rtl/>
        </w:rPr>
        <w:fldChar w:fldCharType="end"/>
      </w:r>
      <w:bookmarkStart w:id="4" w:name="Links_End"/>
      <w:bookmarkStart w:id="5" w:name="LawTable"/>
      <w:bookmarkEnd w:id="4"/>
      <w:bookmarkEnd w:id="5"/>
    </w:p>
    <w:p w14:paraId="2C80E0B6" w14:textId="77777777" w:rsidR="00802D86" w:rsidRPr="00802D86" w:rsidRDefault="00802D86" w:rsidP="00802D86">
      <w:pPr>
        <w:spacing w:before="120" w:after="120" w:line="240" w:lineRule="exact"/>
        <w:ind w:left="283" w:hanging="283"/>
        <w:jc w:val="both"/>
        <w:rPr>
          <w:rFonts w:ascii="FrankRuehl" w:hAnsi="FrankRuehl" w:cs="FrankRuehl"/>
          <w:color w:val="0000FF"/>
        </w:rPr>
      </w:pPr>
    </w:p>
    <w:p w14:paraId="6739602F" w14:textId="77777777" w:rsidR="00802D86" w:rsidRPr="00802D86" w:rsidRDefault="00802D86" w:rsidP="00802D86">
      <w:pPr>
        <w:spacing w:before="120" w:after="120" w:line="240" w:lineRule="exact"/>
        <w:ind w:left="283" w:hanging="283"/>
        <w:jc w:val="both"/>
        <w:rPr>
          <w:rFonts w:ascii="FrankRuehl" w:hAnsi="FrankRuehl" w:cs="FrankRuehl"/>
          <w:color w:val="0000FF"/>
          <w:rtl/>
        </w:rPr>
      </w:pPr>
    </w:p>
    <w:p w14:paraId="1F2BE283" w14:textId="77777777" w:rsidR="00802D86" w:rsidRPr="00802D86" w:rsidRDefault="00802D86" w:rsidP="00802D86">
      <w:pPr>
        <w:spacing w:before="120" w:after="120" w:line="240" w:lineRule="exact"/>
        <w:ind w:left="283" w:hanging="283"/>
        <w:jc w:val="both"/>
        <w:rPr>
          <w:rFonts w:ascii="FrankRuehl" w:hAnsi="FrankRuehl" w:cs="FrankRuehl"/>
          <w:color w:val="0000FF"/>
        </w:rPr>
      </w:pPr>
      <w:r w:rsidRPr="00802D86">
        <w:rPr>
          <w:rFonts w:ascii="FrankRuehl" w:hAnsi="FrankRuehl" w:cs="FrankRuehl"/>
          <w:color w:val="0000FF"/>
          <w:rtl/>
        </w:rPr>
        <w:t xml:space="preserve">חקיקה שאוזכרה: </w:t>
      </w:r>
    </w:p>
    <w:p w14:paraId="719D8398" w14:textId="77777777" w:rsidR="00802D86" w:rsidRPr="00802D86" w:rsidRDefault="00802D86" w:rsidP="00802D86">
      <w:pPr>
        <w:spacing w:before="120" w:after="120" w:line="240" w:lineRule="exact"/>
        <w:ind w:left="283" w:hanging="283"/>
        <w:jc w:val="both"/>
        <w:rPr>
          <w:rFonts w:ascii="FrankRuehl" w:hAnsi="FrankRuehl" w:cs="FrankRuehl"/>
        </w:rPr>
      </w:pPr>
      <w:hyperlink r:id="rId7" w:history="1">
        <w:r w:rsidRPr="00802D86">
          <w:rPr>
            <w:rFonts w:ascii="FrankRuehl" w:hAnsi="FrankRuehl" w:cs="FrankRuehl"/>
            <w:color w:val="0000FF"/>
            <w:rtl/>
          </w:rPr>
          <w:t>חוק העונשין, תשל"ז-1977</w:t>
        </w:r>
      </w:hyperlink>
      <w:r w:rsidRPr="00802D86">
        <w:rPr>
          <w:rFonts w:ascii="FrankRuehl" w:hAnsi="FrankRuehl" w:cs="FrankRuehl"/>
        </w:rPr>
        <w:t xml:space="preserve">: </w:t>
      </w:r>
      <w:r w:rsidRPr="00802D86">
        <w:rPr>
          <w:rFonts w:ascii="FrankRuehl" w:hAnsi="FrankRuehl" w:cs="FrankRuehl"/>
          <w:rtl/>
        </w:rPr>
        <w:t>סע</w:t>
      </w:r>
      <w:r w:rsidRPr="00802D86">
        <w:rPr>
          <w:rFonts w:ascii="FrankRuehl" w:hAnsi="FrankRuehl" w:cs="FrankRuehl"/>
        </w:rPr>
        <w:t xml:space="preserve">'  </w:t>
      </w:r>
      <w:hyperlink r:id="rId8" w:history="1">
        <w:r w:rsidRPr="00802D86">
          <w:rPr>
            <w:rFonts w:ascii="FrankRuehl" w:hAnsi="FrankRuehl" w:cs="FrankRuehl"/>
            <w:color w:val="0000FF"/>
          </w:rPr>
          <w:t>25</w:t>
        </w:r>
      </w:hyperlink>
      <w:r w:rsidRPr="00802D86">
        <w:rPr>
          <w:rFonts w:ascii="FrankRuehl" w:hAnsi="FrankRuehl" w:cs="FrankRuehl"/>
        </w:rPr>
        <w:t xml:space="preserve">, </w:t>
      </w:r>
      <w:hyperlink r:id="rId9" w:history="1">
        <w:r w:rsidRPr="00802D86">
          <w:rPr>
            <w:rFonts w:ascii="FrankRuehl" w:hAnsi="FrankRuehl" w:cs="FrankRuehl"/>
            <w:color w:val="0000FF"/>
          </w:rPr>
          <w:t>144(</w:t>
        </w:r>
        <w:r w:rsidRPr="00802D86">
          <w:rPr>
            <w:rFonts w:ascii="FrankRuehl" w:hAnsi="FrankRuehl" w:cs="FrankRuehl"/>
            <w:color w:val="0000FF"/>
            <w:rtl/>
          </w:rPr>
          <w:t>א</w:t>
        </w:r>
        <w:r w:rsidRPr="00802D86">
          <w:rPr>
            <w:rFonts w:ascii="FrankRuehl" w:hAnsi="FrankRuehl" w:cs="FrankRuehl"/>
            <w:color w:val="0000FF"/>
          </w:rPr>
          <w:t>)</w:t>
        </w:r>
      </w:hyperlink>
      <w:r w:rsidRPr="00802D86">
        <w:rPr>
          <w:rFonts w:ascii="FrankRuehl" w:hAnsi="FrankRuehl" w:cs="FrankRuehl"/>
        </w:rPr>
        <w:t xml:space="preserve">, </w:t>
      </w:r>
      <w:hyperlink r:id="rId10" w:history="1">
        <w:r w:rsidRPr="00802D86">
          <w:rPr>
            <w:rFonts w:ascii="FrankRuehl" w:hAnsi="FrankRuehl" w:cs="FrankRuehl"/>
            <w:color w:val="0000FF"/>
          </w:rPr>
          <w:t>144(</w:t>
        </w:r>
        <w:r w:rsidRPr="00802D86">
          <w:rPr>
            <w:rFonts w:ascii="FrankRuehl" w:hAnsi="FrankRuehl" w:cs="FrankRuehl"/>
            <w:color w:val="0000FF"/>
            <w:rtl/>
          </w:rPr>
          <w:t>ב)</w:t>
        </w:r>
        <w:r w:rsidRPr="00802D86">
          <w:rPr>
            <w:rFonts w:ascii="FrankRuehl" w:hAnsi="FrankRuehl" w:cs="FrankRuehl"/>
            <w:color w:val="0000FF"/>
          </w:rPr>
          <w:t>(2)</w:t>
        </w:r>
      </w:hyperlink>
      <w:r w:rsidRPr="00802D86">
        <w:rPr>
          <w:rFonts w:ascii="FrankRuehl" w:hAnsi="FrankRuehl" w:cs="FrankRuehl"/>
        </w:rPr>
        <w:t xml:space="preserve">, </w:t>
      </w:r>
      <w:hyperlink r:id="rId11" w:history="1">
        <w:r w:rsidRPr="00802D86">
          <w:rPr>
            <w:rFonts w:ascii="FrankRuehl" w:hAnsi="FrankRuehl" w:cs="FrankRuehl"/>
            <w:color w:val="0000FF"/>
          </w:rPr>
          <w:t>144 (</w:t>
        </w:r>
        <w:r w:rsidRPr="00802D86">
          <w:rPr>
            <w:rFonts w:ascii="FrankRuehl" w:hAnsi="FrankRuehl" w:cs="FrankRuehl"/>
            <w:color w:val="0000FF"/>
            <w:rtl/>
          </w:rPr>
          <w:t>ב2</w:t>
        </w:r>
        <w:r w:rsidRPr="00802D86">
          <w:rPr>
            <w:rFonts w:ascii="FrankRuehl" w:hAnsi="FrankRuehl" w:cs="FrankRuehl"/>
            <w:color w:val="0000FF"/>
          </w:rPr>
          <w:t>)</w:t>
        </w:r>
      </w:hyperlink>
      <w:r w:rsidRPr="00802D86">
        <w:rPr>
          <w:rFonts w:ascii="FrankRuehl" w:hAnsi="FrankRuehl" w:cs="FrankRuehl"/>
        </w:rPr>
        <w:t xml:space="preserve">, </w:t>
      </w:r>
      <w:hyperlink r:id="rId12" w:history="1">
        <w:r w:rsidRPr="00802D86">
          <w:rPr>
            <w:rFonts w:ascii="FrankRuehl" w:hAnsi="FrankRuehl" w:cs="FrankRuehl"/>
            <w:color w:val="0000FF"/>
          </w:rPr>
          <w:t>499(</w:t>
        </w:r>
        <w:r w:rsidRPr="00802D86">
          <w:rPr>
            <w:rFonts w:ascii="FrankRuehl" w:hAnsi="FrankRuehl" w:cs="FrankRuehl"/>
            <w:color w:val="0000FF"/>
            <w:rtl/>
          </w:rPr>
          <w:t>א)</w:t>
        </w:r>
        <w:r w:rsidRPr="00802D86">
          <w:rPr>
            <w:rFonts w:ascii="FrankRuehl" w:hAnsi="FrankRuehl" w:cs="FrankRuehl"/>
            <w:color w:val="0000FF"/>
          </w:rPr>
          <w:t>(1)</w:t>
        </w:r>
      </w:hyperlink>
    </w:p>
    <w:p w14:paraId="42CE4D6A" w14:textId="77777777" w:rsidR="00802D86" w:rsidRPr="00802D86" w:rsidRDefault="00802D86" w:rsidP="00802D86">
      <w:pPr>
        <w:spacing w:after="120" w:line="240" w:lineRule="exact"/>
        <w:ind w:left="283" w:hanging="283"/>
        <w:jc w:val="both"/>
        <w:rPr>
          <w:sz w:val="26"/>
          <w:szCs w:val="26"/>
        </w:rPr>
      </w:pPr>
      <w:bookmarkStart w:id="6" w:name="LawTable_End"/>
      <w:bookmarkEnd w:id="6"/>
    </w:p>
    <w:p w14:paraId="7F7CA442" w14:textId="77777777" w:rsidR="00B52F96" w:rsidRPr="00802D86" w:rsidRDefault="00B52F96" w:rsidP="00802D86">
      <w:pPr>
        <w:spacing w:after="120" w:line="240" w:lineRule="exact"/>
        <w:ind w:left="283" w:hanging="283"/>
        <w:jc w:val="both"/>
        <w:rPr>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52F96" w14:paraId="75B39FEC" w14:textId="77777777" w:rsidTr="00B52F96">
        <w:trPr>
          <w:trHeight w:val="355"/>
          <w:jc w:val="center"/>
        </w:trPr>
        <w:tc>
          <w:tcPr>
            <w:tcW w:w="8820" w:type="dxa"/>
            <w:tcBorders>
              <w:top w:val="nil"/>
              <w:left w:val="nil"/>
              <w:bottom w:val="nil"/>
              <w:right w:val="nil"/>
            </w:tcBorders>
            <w:shd w:val="clear" w:color="auto" w:fill="auto"/>
          </w:tcPr>
          <w:p w14:paraId="6BB6867D" w14:textId="77777777" w:rsidR="000348ED" w:rsidRPr="000348ED" w:rsidRDefault="000348ED" w:rsidP="000348ED">
            <w:pPr>
              <w:jc w:val="center"/>
              <w:rPr>
                <w:rFonts w:ascii="David" w:hAnsi="David"/>
                <w:b/>
                <w:bCs/>
                <w:sz w:val="32"/>
                <w:szCs w:val="32"/>
                <w:u w:val="single"/>
                <w:rtl/>
              </w:rPr>
            </w:pPr>
            <w:bookmarkStart w:id="7" w:name="PsakDin" w:colFirst="0" w:colLast="0"/>
            <w:bookmarkEnd w:id="0"/>
            <w:bookmarkEnd w:id="1"/>
            <w:r w:rsidRPr="000348ED">
              <w:rPr>
                <w:rFonts w:ascii="David" w:hAnsi="David"/>
                <w:b/>
                <w:bCs/>
                <w:sz w:val="32"/>
                <w:szCs w:val="32"/>
                <w:u w:val="single"/>
                <w:rtl/>
              </w:rPr>
              <w:t>גזר דין</w:t>
            </w:r>
          </w:p>
          <w:p w14:paraId="545255D5" w14:textId="77777777" w:rsidR="00B52F96" w:rsidRPr="000348ED" w:rsidRDefault="00B52F96" w:rsidP="000348ED">
            <w:pPr>
              <w:jc w:val="center"/>
              <w:rPr>
                <w:rFonts w:ascii="David" w:hAnsi="David"/>
                <w:bCs/>
                <w:sz w:val="32"/>
                <w:szCs w:val="32"/>
                <w:u w:val="single"/>
                <w:rtl/>
              </w:rPr>
            </w:pPr>
          </w:p>
        </w:tc>
      </w:tr>
      <w:bookmarkEnd w:id="7"/>
    </w:tbl>
    <w:p w14:paraId="070B0EE2" w14:textId="77777777" w:rsidR="00B52F96" w:rsidRPr="002B7D23" w:rsidRDefault="00B52F96" w:rsidP="00B52F96">
      <w:pPr>
        <w:rPr>
          <w:rFonts w:ascii="David" w:hAnsi="David"/>
          <w:sz w:val="26"/>
          <w:szCs w:val="26"/>
          <w:rtl/>
        </w:rPr>
      </w:pPr>
    </w:p>
    <w:p w14:paraId="4E46A82D" w14:textId="77777777" w:rsidR="00B52F96" w:rsidRDefault="00B52F96" w:rsidP="00B52F96">
      <w:pPr>
        <w:spacing w:line="360" w:lineRule="auto"/>
        <w:jc w:val="both"/>
        <w:rPr>
          <w:b/>
          <w:bCs/>
          <w:sz w:val="26"/>
          <w:szCs w:val="26"/>
          <w:u w:val="single"/>
          <w:rtl/>
        </w:rPr>
      </w:pPr>
    </w:p>
    <w:p w14:paraId="07AEA968" w14:textId="77777777" w:rsidR="00B52F96" w:rsidRDefault="00B52F96" w:rsidP="00B52F96">
      <w:pPr>
        <w:spacing w:line="360" w:lineRule="auto"/>
        <w:jc w:val="both"/>
        <w:rPr>
          <w:b/>
          <w:bCs/>
          <w:sz w:val="26"/>
          <w:szCs w:val="26"/>
          <w:u w:val="single"/>
        </w:rPr>
      </w:pPr>
      <w:r>
        <w:rPr>
          <w:b/>
          <w:bCs/>
          <w:sz w:val="26"/>
          <w:szCs w:val="26"/>
          <w:u w:val="single"/>
          <w:rtl/>
        </w:rPr>
        <w:t xml:space="preserve">כתב האישום </w:t>
      </w:r>
    </w:p>
    <w:p w14:paraId="52A5B334" w14:textId="77777777" w:rsidR="00B52F96" w:rsidRDefault="00B52F96" w:rsidP="00B52F96">
      <w:pPr>
        <w:spacing w:line="360" w:lineRule="auto"/>
        <w:jc w:val="both"/>
        <w:rPr>
          <w:sz w:val="26"/>
          <w:szCs w:val="26"/>
          <w:rtl/>
        </w:rPr>
      </w:pPr>
      <w:bookmarkStart w:id="8" w:name="ABSTRACT_START"/>
      <w:bookmarkEnd w:id="8"/>
      <w:r>
        <w:rPr>
          <w:sz w:val="26"/>
          <w:szCs w:val="26"/>
          <w:rtl/>
        </w:rPr>
        <w:t>הנאשם הורשע, על פי הודאתו, במסגרת הסדר טיעון, בכתב אישום מתוקן, בו יוחסו לו</w:t>
      </w:r>
      <w:r>
        <w:rPr>
          <w:b/>
          <w:bCs/>
          <w:sz w:val="26"/>
          <w:szCs w:val="26"/>
          <w:rtl/>
        </w:rPr>
        <w:t xml:space="preserve"> שתי עבירות של קשירת קשר לפשע </w:t>
      </w:r>
      <w:r>
        <w:rPr>
          <w:sz w:val="26"/>
          <w:szCs w:val="26"/>
          <w:rtl/>
        </w:rPr>
        <w:t xml:space="preserve">– עבירות על </w:t>
      </w:r>
      <w:hyperlink r:id="rId13" w:history="1">
        <w:r w:rsidR="006E52F2" w:rsidRPr="006E52F2">
          <w:rPr>
            <w:rStyle w:val="Hyperlink"/>
            <w:sz w:val="26"/>
            <w:szCs w:val="26"/>
            <w:rtl/>
          </w:rPr>
          <w:t>סעיף 499(א)(1)</w:t>
        </w:r>
      </w:hyperlink>
      <w:r>
        <w:rPr>
          <w:sz w:val="26"/>
          <w:szCs w:val="26"/>
          <w:rtl/>
        </w:rPr>
        <w:t xml:space="preserve"> ל</w:t>
      </w:r>
      <w:hyperlink r:id="rId14" w:history="1">
        <w:r w:rsidR="000348ED" w:rsidRPr="000348ED">
          <w:rPr>
            <w:color w:val="0000FF"/>
            <w:sz w:val="26"/>
            <w:szCs w:val="26"/>
            <w:u w:val="single"/>
            <w:rtl/>
          </w:rPr>
          <w:t>חוק העונשין</w:t>
        </w:r>
      </w:hyperlink>
      <w:r>
        <w:rPr>
          <w:sz w:val="26"/>
          <w:szCs w:val="26"/>
          <w:rtl/>
        </w:rPr>
        <w:t>, תשל"ז-1977 (להלן: "</w:t>
      </w:r>
      <w:r>
        <w:rPr>
          <w:b/>
          <w:bCs/>
          <w:sz w:val="26"/>
          <w:szCs w:val="26"/>
          <w:rtl/>
        </w:rPr>
        <w:t>החוק</w:t>
      </w:r>
      <w:r>
        <w:rPr>
          <w:sz w:val="26"/>
          <w:szCs w:val="26"/>
          <w:rtl/>
        </w:rPr>
        <w:t xml:space="preserve">"), </w:t>
      </w:r>
      <w:r>
        <w:rPr>
          <w:b/>
          <w:bCs/>
          <w:sz w:val="26"/>
          <w:szCs w:val="26"/>
          <w:rtl/>
        </w:rPr>
        <w:t>ניסיון עסקה אחרת בנשק</w:t>
      </w:r>
      <w:r>
        <w:rPr>
          <w:sz w:val="26"/>
          <w:szCs w:val="26"/>
          <w:rtl/>
        </w:rPr>
        <w:t xml:space="preserve"> – עבירה על </w:t>
      </w:r>
      <w:hyperlink r:id="rId15" w:history="1">
        <w:r w:rsidR="006E52F2" w:rsidRPr="006E52F2">
          <w:rPr>
            <w:rStyle w:val="Hyperlink"/>
            <w:sz w:val="26"/>
            <w:szCs w:val="26"/>
            <w:rtl/>
          </w:rPr>
          <w:t>סעיף 144(ב)(2)</w:t>
        </w:r>
      </w:hyperlink>
      <w:r>
        <w:rPr>
          <w:sz w:val="26"/>
          <w:szCs w:val="26"/>
          <w:rtl/>
        </w:rPr>
        <w:t xml:space="preserve"> ביחד עם </w:t>
      </w:r>
      <w:hyperlink r:id="rId16" w:history="1">
        <w:r w:rsidR="006E52F2" w:rsidRPr="006E52F2">
          <w:rPr>
            <w:rStyle w:val="Hyperlink"/>
            <w:sz w:val="26"/>
            <w:szCs w:val="26"/>
            <w:rtl/>
          </w:rPr>
          <w:t>סעיף 25</w:t>
        </w:r>
      </w:hyperlink>
      <w:r>
        <w:rPr>
          <w:sz w:val="26"/>
          <w:szCs w:val="26"/>
          <w:rtl/>
        </w:rPr>
        <w:t xml:space="preserve"> </w:t>
      </w:r>
      <w:r>
        <w:rPr>
          <w:sz w:val="26"/>
          <w:szCs w:val="26"/>
          <w:rtl/>
        </w:rPr>
        <w:lastRenderedPageBreak/>
        <w:t xml:space="preserve">לחוק העונשין </w:t>
      </w:r>
      <w:r>
        <w:rPr>
          <w:b/>
          <w:bCs/>
          <w:sz w:val="26"/>
          <w:szCs w:val="26"/>
          <w:rtl/>
        </w:rPr>
        <w:t>והחזקת נשק אביזר ותחמושת</w:t>
      </w:r>
      <w:r>
        <w:rPr>
          <w:sz w:val="26"/>
          <w:szCs w:val="26"/>
          <w:rtl/>
        </w:rPr>
        <w:t xml:space="preserve"> – עבירה על </w:t>
      </w:r>
      <w:hyperlink r:id="rId17" w:history="1">
        <w:r w:rsidR="006E52F2" w:rsidRPr="006E52F2">
          <w:rPr>
            <w:rStyle w:val="Hyperlink"/>
            <w:sz w:val="26"/>
            <w:szCs w:val="26"/>
            <w:rtl/>
          </w:rPr>
          <w:t>סעיף 144(א)</w:t>
        </w:r>
      </w:hyperlink>
      <w:r>
        <w:rPr>
          <w:sz w:val="26"/>
          <w:szCs w:val="26"/>
          <w:rtl/>
        </w:rPr>
        <w:t xml:space="preserve"> רישא וסיפא לחוק העונשין.</w:t>
      </w:r>
    </w:p>
    <w:p w14:paraId="39D8A31D" w14:textId="77777777" w:rsidR="00B52F96" w:rsidRDefault="00B52F96" w:rsidP="00B52F96">
      <w:pPr>
        <w:spacing w:line="360" w:lineRule="auto"/>
        <w:jc w:val="both"/>
        <w:rPr>
          <w:sz w:val="26"/>
          <w:szCs w:val="26"/>
        </w:rPr>
      </w:pPr>
      <w:bookmarkStart w:id="9" w:name="ABSTRACT_END"/>
      <w:bookmarkEnd w:id="9"/>
    </w:p>
    <w:p w14:paraId="46F6657A" w14:textId="77777777" w:rsidR="00B52F96" w:rsidRDefault="00B52F96" w:rsidP="00B52F96">
      <w:pPr>
        <w:spacing w:line="360" w:lineRule="auto"/>
        <w:jc w:val="both"/>
        <w:rPr>
          <w:sz w:val="26"/>
          <w:szCs w:val="26"/>
          <w:rtl/>
        </w:rPr>
      </w:pPr>
      <w:r>
        <w:rPr>
          <w:b/>
          <w:bCs/>
          <w:sz w:val="26"/>
          <w:szCs w:val="26"/>
          <w:rtl/>
        </w:rPr>
        <w:t>על פי המתואר בעובדות האישום הראשון</w:t>
      </w:r>
      <w:r>
        <w:rPr>
          <w:sz w:val="26"/>
          <w:szCs w:val="26"/>
          <w:rtl/>
        </w:rPr>
        <w:t>, בין התאריכים 5.2.20 – 14.1.21 קשר הנאשם קשר עם אחרים להחזיק כלי נשק שונים.</w:t>
      </w:r>
    </w:p>
    <w:p w14:paraId="759FE045" w14:textId="77777777" w:rsidR="00B52F96" w:rsidRDefault="00B52F96" w:rsidP="00B52F96">
      <w:pPr>
        <w:spacing w:line="360" w:lineRule="auto"/>
        <w:jc w:val="both"/>
        <w:rPr>
          <w:sz w:val="26"/>
          <w:szCs w:val="26"/>
          <w:rtl/>
        </w:rPr>
      </w:pPr>
    </w:p>
    <w:p w14:paraId="116BA6F0" w14:textId="77777777" w:rsidR="00B52F96" w:rsidRDefault="00B52F96" w:rsidP="00B52F96">
      <w:pPr>
        <w:spacing w:line="360" w:lineRule="auto"/>
        <w:jc w:val="both"/>
        <w:rPr>
          <w:sz w:val="26"/>
          <w:szCs w:val="26"/>
          <w:rtl/>
        </w:rPr>
      </w:pPr>
      <w:r>
        <w:rPr>
          <w:b/>
          <w:bCs/>
          <w:sz w:val="26"/>
          <w:szCs w:val="26"/>
          <w:rtl/>
        </w:rPr>
        <w:t>על פי המתואר בעובדות האישום השני</w:t>
      </w:r>
      <w:r>
        <w:rPr>
          <w:sz w:val="26"/>
          <w:szCs w:val="26"/>
          <w:rtl/>
        </w:rPr>
        <w:t>, ביום 5.12.20 קשר הנאשם קשר עם אחר לבצע עסקה אחרת בנשק באמצעות הודעות ביישומון "וואטסאפ" (להלן: "</w:t>
      </w:r>
      <w:r>
        <w:rPr>
          <w:b/>
          <w:bCs/>
          <w:sz w:val="26"/>
          <w:szCs w:val="26"/>
          <w:rtl/>
        </w:rPr>
        <w:t>וואטסאפ</w:t>
      </w:r>
      <w:r>
        <w:rPr>
          <w:sz w:val="26"/>
          <w:szCs w:val="26"/>
          <w:rtl/>
        </w:rPr>
        <w:t>").</w:t>
      </w:r>
    </w:p>
    <w:p w14:paraId="69F00001" w14:textId="77777777" w:rsidR="00B52F96" w:rsidRDefault="00B52F96" w:rsidP="00B52F96">
      <w:pPr>
        <w:spacing w:line="360" w:lineRule="auto"/>
        <w:jc w:val="both"/>
        <w:rPr>
          <w:sz w:val="26"/>
          <w:szCs w:val="26"/>
          <w:rtl/>
        </w:rPr>
      </w:pPr>
    </w:p>
    <w:p w14:paraId="373D16C2" w14:textId="77777777" w:rsidR="00B52F96" w:rsidRDefault="00B52F96" w:rsidP="00B52F96">
      <w:pPr>
        <w:spacing w:line="360" w:lineRule="auto"/>
        <w:jc w:val="both"/>
        <w:rPr>
          <w:sz w:val="26"/>
          <w:szCs w:val="26"/>
          <w:rtl/>
        </w:rPr>
      </w:pPr>
      <w:r>
        <w:rPr>
          <w:b/>
          <w:bCs/>
          <w:sz w:val="26"/>
          <w:szCs w:val="26"/>
          <w:rtl/>
        </w:rPr>
        <w:t>על פי המתואר בעובדות האישום הבא</w:t>
      </w:r>
      <w:r>
        <w:rPr>
          <w:sz w:val="26"/>
          <w:szCs w:val="26"/>
          <w:rtl/>
        </w:rPr>
        <w:t>, בתאריך 19.2.21, בין השעות 4:55 – 5:43 לערך, שוחח הנאשם באמצעות הודעות קוליות והתכתבויות, בשפה הערבית, בוואטסאפ עם עמיד מחאמיד (להלן: "</w:t>
      </w:r>
      <w:r>
        <w:rPr>
          <w:b/>
          <w:bCs/>
          <w:sz w:val="26"/>
          <w:szCs w:val="26"/>
          <w:rtl/>
        </w:rPr>
        <w:t>עמיד</w:t>
      </w:r>
      <w:r>
        <w:rPr>
          <w:sz w:val="26"/>
          <w:szCs w:val="26"/>
          <w:rtl/>
        </w:rPr>
        <w:t xml:space="preserve">"). עמיד ביקש מהנאשם שישלח לו בדחיפות תמונה של אקדח שכן "מישהו רוצה אותו". הנאשם השיב שאין לו תמונה אלא סרטון, ולבקשת עמיד שלח לו סרטון בו נראה אקדח מסוג </w:t>
      </w:r>
      <w:r>
        <w:rPr>
          <w:rFonts w:ascii="David" w:hAnsi="David"/>
          <w:sz w:val="26"/>
          <w:szCs w:val="26"/>
          <w:rtl/>
        </w:rPr>
        <w:t>"</w:t>
      </w:r>
      <w:r>
        <w:rPr>
          <w:rFonts w:ascii="David" w:hAnsi="David"/>
          <w:sz w:val="26"/>
          <w:szCs w:val="26"/>
        </w:rPr>
        <w:t>FN Herstal</w:t>
      </w:r>
      <w:r>
        <w:rPr>
          <w:rFonts w:ascii="David" w:hAnsi="David"/>
          <w:sz w:val="26"/>
          <w:szCs w:val="26"/>
          <w:rtl/>
        </w:rPr>
        <w:t>" תוצרת בלגיה בקליבר 9 מ"מ מונח ברכב. כעבור כחצי שעה</w:t>
      </w:r>
      <w:r>
        <w:rPr>
          <w:sz w:val="26"/>
          <w:szCs w:val="26"/>
          <w:rtl/>
        </w:rPr>
        <w:t xml:space="preserve"> שלח הנאשם לעמיד תמונה של האקדח. בתגובה ביקש עמיד מהנאשם לנקוב במחיר סופי תמורת האקדח והנאשם השיב "במקום 42, 40". בין השניים המשיך להתקיים דין ודברים בנוגע לאקדח, במהלכו שלח הנאשם לעמיד מספר תמונות נוספות של האקדח. עמיד התלונן שהאקדח חלוד והנאשם ניסה לשכנע אותו לרכוש אותו. לבסוף אמר הנאשם לעמיד "אם המצב שלי היה מאפשר לי לקחת אותו בשבילי אני אקח אותו, כי הוא, לראות אותו בעיניים לא כמו בתמונות, התמונות לא כמו שהוא בידיים שלך, אני יודע מה אני אומר לך, משהו נקי", או מילים בעלות משמעות דומה. בגין אישום זה הורשע הנאשם בניסיון לביצוע עסקה אחרת בנשק.</w:t>
      </w:r>
    </w:p>
    <w:p w14:paraId="3D9ED5A3" w14:textId="77777777" w:rsidR="00B52F96" w:rsidRDefault="00B52F96" w:rsidP="00B52F96">
      <w:pPr>
        <w:spacing w:line="360" w:lineRule="auto"/>
        <w:jc w:val="both"/>
        <w:rPr>
          <w:sz w:val="26"/>
          <w:szCs w:val="26"/>
          <w:rtl/>
        </w:rPr>
      </w:pPr>
    </w:p>
    <w:p w14:paraId="11769ACB" w14:textId="77777777" w:rsidR="00B52F96" w:rsidRDefault="00B52F96" w:rsidP="00B52F96">
      <w:pPr>
        <w:spacing w:line="360" w:lineRule="auto"/>
        <w:jc w:val="both"/>
        <w:rPr>
          <w:sz w:val="26"/>
          <w:szCs w:val="26"/>
          <w:rtl/>
        </w:rPr>
      </w:pPr>
      <w:r>
        <w:rPr>
          <w:b/>
          <w:bCs/>
          <w:sz w:val="26"/>
          <w:szCs w:val="26"/>
          <w:rtl/>
        </w:rPr>
        <w:t>על פי המתואר בעובדות האישום האחרון</w:t>
      </w:r>
      <w:r>
        <w:rPr>
          <w:sz w:val="26"/>
          <w:szCs w:val="26"/>
          <w:rtl/>
        </w:rPr>
        <w:t>, החל ממועד שאינו ידוע במדויק, ולכל הפחות מיום 5.12.20 ועד ליום 25.2.21, או במועדים סמוכים לכך, החזיק הנאשם בביתו ברובה מס</w:t>
      </w:r>
      <w:r>
        <w:rPr>
          <w:rFonts w:ascii="David" w:hAnsi="David"/>
          <w:sz w:val="26"/>
          <w:szCs w:val="26"/>
          <w:rtl/>
        </w:rPr>
        <w:t xml:space="preserve">וג </w:t>
      </w:r>
      <w:r>
        <w:rPr>
          <w:rFonts w:ascii="David" w:hAnsi="David"/>
          <w:sz w:val="26"/>
          <w:szCs w:val="26"/>
        </w:rPr>
        <w:t>M-16</w:t>
      </w:r>
      <w:r>
        <w:rPr>
          <w:rFonts w:ascii="David" w:hAnsi="David"/>
          <w:sz w:val="26"/>
          <w:szCs w:val="26"/>
          <w:rtl/>
        </w:rPr>
        <w:t xml:space="preserve"> (להלן: "</w:t>
      </w:r>
      <w:r>
        <w:rPr>
          <w:rFonts w:ascii="David" w:hAnsi="David"/>
          <w:b/>
          <w:bCs/>
          <w:sz w:val="26"/>
          <w:szCs w:val="26"/>
          <w:rtl/>
        </w:rPr>
        <w:t>הרובה</w:t>
      </w:r>
      <w:r>
        <w:rPr>
          <w:rFonts w:ascii="David" w:hAnsi="David"/>
          <w:sz w:val="26"/>
          <w:szCs w:val="26"/>
          <w:rtl/>
        </w:rPr>
        <w:t xml:space="preserve">"). </w:t>
      </w:r>
      <w:r>
        <w:rPr>
          <w:sz w:val="26"/>
          <w:szCs w:val="26"/>
          <w:rtl/>
        </w:rPr>
        <w:t>החל ממועד שאינו ידוע ועד ליום 25.2.21, או במועדים סמוכים לכך, החזיק הנאשם בביתו 6 מחסניות תואמות לרובה (להלן: "</w:t>
      </w:r>
      <w:r>
        <w:rPr>
          <w:b/>
          <w:bCs/>
          <w:sz w:val="26"/>
          <w:szCs w:val="26"/>
          <w:rtl/>
        </w:rPr>
        <w:t>המחסניות</w:t>
      </w:r>
      <w:r>
        <w:rPr>
          <w:sz w:val="26"/>
          <w:szCs w:val="26"/>
          <w:rtl/>
        </w:rPr>
        <w:t>"), כאשר כל אחת מהן טעונה במלואה ב-30 כדורים בקליבר 5.56 מ"מ. אחת המחסניות הייתה מוסלקת בתוך תיק. מחסנית נוספת ושתי מחסניות צמודות יחד ("צולבת") היו מוסלקות בשקית זבל בארון בגדים, וכך גם שתי קתות, שני חלקי מתפסים, ידית אחיזה ותפס מחסנית. 663 כדורים בקליבר 5.56 מ"מ, היו מוסלקים בשקיות בתוך תיק נוסף.</w:t>
      </w:r>
    </w:p>
    <w:p w14:paraId="0E1D29A7" w14:textId="77777777" w:rsidR="00B52F96" w:rsidRDefault="00B52F96" w:rsidP="00B52F96">
      <w:pPr>
        <w:spacing w:line="360" w:lineRule="auto"/>
        <w:jc w:val="both"/>
        <w:rPr>
          <w:sz w:val="26"/>
          <w:szCs w:val="26"/>
          <w:rtl/>
        </w:rPr>
      </w:pPr>
    </w:p>
    <w:p w14:paraId="0FD39F39" w14:textId="77777777" w:rsidR="00B52F96" w:rsidRDefault="00B52F96" w:rsidP="00B52F96">
      <w:pPr>
        <w:spacing w:line="360" w:lineRule="auto"/>
        <w:jc w:val="both"/>
        <w:rPr>
          <w:sz w:val="26"/>
          <w:szCs w:val="26"/>
          <w:rtl/>
        </w:rPr>
      </w:pPr>
      <w:r>
        <w:rPr>
          <w:sz w:val="26"/>
          <w:szCs w:val="26"/>
          <w:rtl/>
        </w:rPr>
        <w:lastRenderedPageBreak/>
        <w:t>במסגרת ההסדר שגובש בין הצדדים, תוקן כתב האישום, אך לא גובשו הסכמות עונשיות, וכל אחד מהצדדים טען לעונש על פי ראות עיניו.</w:t>
      </w:r>
    </w:p>
    <w:p w14:paraId="448FFFFC" w14:textId="77777777" w:rsidR="00B52F96" w:rsidRDefault="00B52F96" w:rsidP="00B52F96">
      <w:pPr>
        <w:spacing w:line="360" w:lineRule="auto"/>
        <w:jc w:val="both"/>
        <w:rPr>
          <w:sz w:val="26"/>
          <w:szCs w:val="26"/>
          <w:rtl/>
        </w:rPr>
      </w:pPr>
    </w:p>
    <w:p w14:paraId="635C3BD0" w14:textId="77777777" w:rsidR="00B52F96" w:rsidRDefault="00B52F96" w:rsidP="00B52F96">
      <w:pPr>
        <w:spacing w:line="360" w:lineRule="auto"/>
        <w:jc w:val="both"/>
        <w:rPr>
          <w:sz w:val="26"/>
          <w:szCs w:val="26"/>
          <w:rtl/>
        </w:rPr>
      </w:pPr>
    </w:p>
    <w:p w14:paraId="646F8F86" w14:textId="77777777" w:rsidR="00B52F96" w:rsidRDefault="00B52F96" w:rsidP="00B52F96">
      <w:pPr>
        <w:spacing w:line="360" w:lineRule="auto"/>
        <w:jc w:val="both"/>
        <w:rPr>
          <w:b/>
          <w:bCs/>
          <w:sz w:val="26"/>
          <w:szCs w:val="26"/>
          <w:u w:val="single"/>
          <w:rtl/>
        </w:rPr>
      </w:pPr>
      <w:r>
        <w:rPr>
          <w:b/>
          <w:bCs/>
          <w:sz w:val="26"/>
          <w:szCs w:val="26"/>
          <w:u w:val="single"/>
          <w:rtl/>
        </w:rPr>
        <w:t xml:space="preserve">טיעוני הצדדים </w:t>
      </w:r>
    </w:p>
    <w:p w14:paraId="26E1F647" w14:textId="77777777" w:rsidR="00B52F96" w:rsidRDefault="00B52F96" w:rsidP="00B52F96">
      <w:pPr>
        <w:spacing w:line="360" w:lineRule="auto"/>
        <w:jc w:val="both"/>
        <w:rPr>
          <w:sz w:val="26"/>
          <w:szCs w:val="26"/>
          <w:rtl/>
        </w:rPr>
      </w:pPr>
      <w:r>
        <w:rPr>
          <w:sz w:val="26"/>
          <w:szCs w:val="26"/>
          <w:rtl/>
        </w:rPr>
        <w:t>ב"כ המאשימה הדגיש בטיעוניו את החומרה הרבה שבמעשיו של הנאשם ואת פגיעתו בערכים חברתיים משמעותיים דוגמת ההגנה על שלומו ובטחונו של הציבור. ב"כ המאשימה ציין את הצורך בענישה מרתיעה וממשית כלפי מבצעי עבירות נשק, בהתאם לפסיקת בית המשפט העליון, אשר הדגיש לא פעם את הצורך במאבק בתופעה של החזקת נשק לא חוקי. עוד ציין כי אין מחלוקת כי מדובר בתופעה שהפכה מכת מדינה או לפחות מכת אזור. באשר למידת הפגיעה בערכים המוגנים, סבר כי מדובר בפגיעה ברמה בינונית-גבוהה, זאת על פי עובדות כתב האישום המצביעות על מעורבות עמוקה בעולם הנשק מצד הנאשם. עוד ציין כי כתב האישום מתאר שיחות מפורטות אודות מכירת האקדח, ועולה ממנו כי מדובר בהחזקת כמות גדולה של מחסניות ותחמושת. ב"כ המאשימה עתר למתחם ענישה, בעבירות של קשירת קשר, הנע בין 6 -12 חודשי מאסר. בעבירה של ניסיון עסקה אחרת בנשק עתר למתחם ענישה הנע בין 18 – 36 חודשים מאסר ובעבירה של החזקת נשק עתר למתחם הנע בין 24 - 48 חודשי מאסר. ב"כ המאשימה הפנה לפסיקה ואף הגיש אסופת פסיקה.</w:t>
      </w:r>
    </w:p>
    <w:p w14:paraId="45B1B92A" w14:textId="77777777" w:rsidR="00B52F96" w:rsidRDefault="00B52F96" w:rsidP="00B52F96">
      <w:pPr>
        <w:spacing w:line="360" w:lineRule="auto"/>
        <w:jc w:val="both"/>
        <w:rPr>
          <w:sz w:val="26"/>
          <w:szCs w:val="26"/>
          <w:rtl/>
        </w:rPr>
      </w:pPr>
    </w:p>
    <w:p w14:paraId="4E196303" w14:textId="77777777" w:rsidR="00B52F96" w:rsidRDefault="00B52F96" w:rsidP="00B52F96">
      <w:pPr>
        <w:spacing w:line="360" w:lineRule="auto"/>
        <w:jc w:val="both"/>
        <w:rPr>
          <w:sz w:val="26"/>
          <w:szCs w:val="26"/>
          <w:rtl/>
        </w:rPr>
      </w:pPr>
      <w:r>
        <w:rPr>
          <w:sz w:val="26"/>
          <w:szCs w:val="26"/>
          <w:rtl/>
        </w:rPr>
        <w:t>באשר לנסיבות שאינן קשורות לביצוע העבירה הזכיר כי מדובר אמנם במי שלקח אחריות על מעשיו, אך לחובתו עבר פלילי לא מבוטל הכולל 3 הרשעות קודמות בשלל עבירות, וביניהן החזקת כלי פריצה, גניבת רכב, סיכון חיי אדם בכלי תחבורה, תקיפת שוטר ועוד. בגין עבירות אלו נידון הנאשם לתקופות מאסר ממושכות של 39 ו-35 חודשים. ב"כ המאשימה סבר כי יש למקם את הנאשם באמצע המתחמים, כך שיושת עליו עונש של 5 שנות מאסר, מאסר על תנאי וקנס משמעותי.</w:t>
      </w:r>
    </w:p>
    <w:p w14:paraId="3EF8535D" w14:textId="77777777" w:rsidR="00B52F96" w:rsidRDefault="00B52F96" w:rsidP="00B52F96">
      <w:pPr>
        <w:spacing w:line="360" w:lineRule="auto"/>
        <w:jc w:val="both"/>
        <w:rPr>
          <w:sz w:val="26"/>
          <w:szCs w:val="26"/>
          <w:rtl/>
        </w:rPr>
      </w:pPr>
    </w:p>
    <w:p w14:paraId="57A2F87E" w14:textId="77777777" w:rsidR="00B52F96" w:rsidRDefault="00B52F96" w:rsidP="00B52F96">
      <w:pPr>
        <w:spacing w:line="360" w:lineRule="auto"/>
        <w:jc w:val="both"/>
        <w:rPr>
          <w:sz w:val="26"/>
          <w:szCs w:val="26"/>
          <w:rtl/>
        </w:rPr>
      </w:pPr>
      <w:r>
        <w:rPr>
          <w:sz w:val="26"/>
          <w:szCs w:val="26"/>
          <w:rtl/>
        </w:rPr>
        <w:t>ב"כ הנאשם טען תחילה לעניין עובדות כתב האישום ונסיבות ביצוע העבירות. לדבריו כתב האישום תוקן באופן משמעותי, לנוכח קושי ראייתי, והפחית במידה רבה את היקף וחומרת העבירות אשר יוחסו לנאשם. עוד הוסיף כי מתחמי הענישה אליה עתרה המאשימה אינם מביאים לידי ביטוי תיקון משמעותי זה. בתוך כך, טען ב"כ הנאשם כי מתחם העונש, לעבירת החזקת רובה עם תחמושת, נע בין 10 ל– 18 חודשי מאסר וביקש למקם את הנאשם במרכזו, ואף הפנה לפסיקה תואמת והגישה. ביחס לעבירות של קשירת קשר טען כי על מתחם העונש בגינן להשתלב עם המתחם בגין עבירת ההחזקה. ביחס לעבירה של ניסיון ביצוע עסקה אחרת ציין הסנגור המלומד כי בעניינו מדובר בעבירה אחת של ניסיון לביצוע עסקה ואילו הפסיקה שהציגה המאשימה נוגעת לריבוי עבירות מסוג זה. בנוסף, ציין כי לא הוגשו כתבי אישום נגד מעורבים אחרים בתיק, המוזכרים בכתב האישום, וכי נתון זה אמור להוות שיקול לקולא לטובת הנאשם. העונש בגין עבירות קשירת הקשר אמור להיבלע, לטעמו, בענישה שתיקבע ביחס להחזקת הנשק.</w:t>
      </w:r>
    </w:p>
    <w:p w14:paraId="2223CE38" w14:textId="77777777" w:rsidR="00B52F96" w:rsidRDefault="00B52F96" w:rsidP="00B52F96">
      <w:pPr>
        <w:spacing w:line="360" w:lineRule="auto"/>
        <w:jc w:val="both"/>
        <w:rPr>
          <w:sz w:val="26"/>
          <w:szCs w:val="26"/>
          <w:rtl/>
        </w:rPr>
      </w:pPr>
    </w:p>
    <w:p w14:paraId="52AB0905" w14:textId="77777777" w:rsidR="00B52F96" w:rsidRDefault="00B52F96" w:rsidP="00B52F96">
      <w:pPr>
        <w:spacing w:line="360" w:lineRule="auto"/>
        <w:jc w:val="both"/>
        <w:rPr>
          <w:sz w:val="26"/>
          <w:szCs w:val="26"/>
          <w:rtl/>
        </w:rPr>
      </w:pPr>
      <w:r>
        <w:rPr>
          <w:sz w:val="26"/>
          <w:szCs w:val="26"/>
          <w:rtl/>
        </w:rPr>
        <w:t>באשר לנסיבות שאינן קשורות לביצוע העבירה, ציין כי הנאשם נשוי ואב ל-5 ילדים, ומאז מאסרו האחרון ניהל חיים נורמטיביים וניסה לייצב את משפחתו ולעלות על הדרך הנכונה. הנאשם הוא מפרנס יחיד הן למשפחתו הגרעינית  והן לזו המורחבת. לחובתו אמנם  הרשעות ומאסרים קודמים, אך מדובר היה בעבירות רכוש, ואין בעברו אינדיקציה לעשייה פלילית בתחום עבירות הנשק. עוד ציין כי הנאשם מצטער על מעשיו ומכה על חטא. לבסוף עתר למתחם עונש כולל שינוע בין 24 – 40 חודשי מאסר וביקש להשית על הנאשם עונש שלא יעלה על 30 חודשים.</w:t>
      </w:r>
    </w:p>
    <w:p w14:paraId="0685D405" w14:textId="77777777" w:rsidR="00B52F96" w:rsidRDefault="00B52F96" w:rsidP="00B52F96">
      <w:pPr>
        <w:spacing w:line="360" w:lineRule="auto"/>
        <w:jc w:val="both"/>
        <w:rPr>
          <w:sz w:val="26"/>
          <w:szCs w:val="26"/>
          <w:rtl/>
        </w:rPr>
      </w:pPr>
    </w:p>
    <w:p w14:paraId="57237711" w14:textId="77777777" w:rsidR="00B52F96" w:rsidRDefault="00B52F96" w:rsidP="00B52F96">
      <w:pPr>
        <w:spacing w:line="360" w:lineRule="auto"/>
        <w:jc w:val="both"/>
        <w:rPr>
          <w:sz w:val="26"/>
          <w:szCs w:val="26"/>
          <w:rtl/>
        </w:rPr>
      </w:pPr>
      <w:r>
        <w:rPr>
          <w:sz w:val="26"/>
          <w:szCs w:val="26"/>
          <w:rtl/>
        </w:rPr>
        <w:t>לבסוף, שמעתי גם את דברי הנאשם עצמו, אשר הביע צער על מעשיו ומסר כי הוא מנצל את תקופת המעצר לטיפול, ובתוך כך השתלב בקבוצות שליטה בכעסים ובטיפול התמודדות במעצר. עוד הוסיף כי הוא משמש כראש חוליה ותומך באסירים שנמצאים בהשגחה רמה א', כי אין לו דוחות משמעת וכי הוא נחשב כעצור מתפקד. הנאשם ביקש התחשבות בו ובבני משפחתו.</w:t>
      </w:r>
    </w:p>
    <w:p w14:paraId="069BAA4F" w14:textId="77777777" w:rsidR="00B52F96" w:rsidRDefault="00B52F96" w:rsidP="00B52F96">
      <w:pPr>
        <w:spacing w:line="360" w:lineRule="auto"/>
        <w:jc w:val="both"/>
        <w:rPr>
          <w:sz w:val="26"/>
          <w:szCs w:val="26"/>
          <w:rtl/>
        </w:rPr>
      </w:pPr>
    </w:p>
    <w:p w14:paraId="1CE15817" w14:textId="77777777" w:rsidR="00B52F96" w:rsidRDefault="00B52F96" w:rsidP="00B52F96">
      <w:pPr>
        <w:spacing w:line="360" w:lineRule="auto"/>
        <w:jc w:val="both"/>
        <w:rPr>
          <w:sz w:val="26"/>
          <w:szCs w:val="26"/>
          <w:rtl/>
        </w:rPr>
      </w:pPr>
    </w:p>
    <w:p w14:paraId="0BFD3776" w14:textId="77777777" w:rsidR="00B52F96" w:rsidRDefault="00B52F96" w:rsidP="00B52F96">
      <w:pPr>
        <w:spacing w:line="360" w:lineRule="auto"/>
        <w:jc w:val="both"/>
        <w:rPr>
          <w:sz w:val="26"/>
          <w:szCs w:val="26"/>
          <w:rtl/>
        </w:rPr>
      </w:pPr>
      <w:r>
        <w:rPr>
          <w:b/>
          <w:bCs/>
          <w:sz w:val="26"/>
          <w:szCs w:val="26"/>
          <w:u w:val="single"/>
          <w:rtl/>
        </w:rPr>
        <w:t>דיון והכרעה</w:t>
      </w:r>
    </w:p>
    <w:p w14:paraId="0C4559D3" w14:textId="77777777" w:rsidR="00B52F96" w:rsidRDefault="00B52F96" w:rsidP="00B52F96">
      <w:pPr>
        <w:spacing w:line="360" w:lineRule="auto"/>
        <w:jc w:val="both"/>
        <w:rPr>
          <w:sz w:val="26"/>
          <w:szCs w:val="26"/>
          <w:rtl/>
        </w:rPr>
      </w:pPr>
    </w:p>
    <w:p w14:paraId="5B93B0B8" w14:textId="77777777" w:rsidR="00B52F96" w:rsidRDefault="00B52F96" w:rsidP="00B52F96">
      <w:pPr>
        <w:spacing w:line="360" w:lineRule="auto"/>
        <w:ind w:left="567" w:right="567"/>
        <w:contextualSpacing/>
        <w:jc w:val="both"/>
        <w:rPr>
          <w:b/>
          <w:bCs/>
          <w:sz w:val="26"/>
          <w:szCs w:val="26"/>
          <w:rtl/>
        </w:rPr>
      </w:pPr>
      <w:r>
        <w:rPr>
          <w:b/>
          <w:bCs/>
          <w:sz w:val="26"/>
          <w:szCs w:val="26"/>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בכל מקרה לגופו, לפי נסיבותיו ומידת אשמו של הנאשם".</w:t>
      </w:r>
    </w:p>
    <w:p w14:paraId="4BEF5E1B" w14:textId="77777777" w:rsidR="00B52F96" w:rsidRDefault="00B52F96" w:rsidP="00B52F96">
      <w:pPr>
        <w:spacing w:line="360" w:lineRule="auto"/>
        <w:ind w:left="567" w:right="567"/>
        <w:contextualSpacing/>
        <w:jc w:val="both"/>
        <w:rPr>
          <w:b/>
          <w:bCs/>
          <w:sz w:val="26"/>
          <w:szCs w:val="26"/>
          <w:rtl/>
        </w:rPr>
      </w:pPr>
    </w:p>
    <w:p w14:paraId="38FA14CA" w14:textId="77777777" w:rsidR="00B52F96" w:rsidRDefault="00B52F96" w:rsidP="00B52F96">
      <w:pPr>
        <w:spacing w:line="360" w:lineRule="auto"/>
        <w:jc w:val="both"/>
        <w:rPr>
          <w:sz w:val="26"/>
          <w:szCs w:val="26"/>
          <w:rtl/>
        </w:rPr>
      </w:pPr>
      <w:r>
        <w:rPr>
          <w:sz w:val="26"/>
          <w:szCs w:val="26"/>
          <w:rtl/>
        </w:rPr>
        <w:t>דבריו אלה של בית המשפט העליון, העומדים על היקף עבירות הנשק ועל פגיעתן הקשה בערכים החברתיים, באופן המחייב החמרת הענישה, נאמרו כבר לפני כעשור בפסק הדין ב</w:t>
      </w:r>
      <w:hyperlink r:id="rId18" w:history="1">
        <w:r w:rsidR="000348ED" w:rsidRPr="000348ED">
          <w:rPr>
            <w:color w:val="0000FF"/>
            <w:sz w:val="26"/>
            <w:szCs w:val="26"/>
            <w:u w:val="single"/>
            <w:rtl/>
          </w:rPr>
          <w:t>ע"פ 1323/13</w:t>
        </w:r>
      </w:hyperlink>
      <w:r w:rsidR="000348ED">
        <w:rPr>
          <w:sz w:val="26"/>
          <w:szCs w:val="26"/>
          <w:rtl/>
        </w:rPr>
        <w:t xml:space="preserve"> </w:t>
      </w:r>
      <w:r>
        <w:rPr>
          <w:b/>
          <w:bCs/>
          <w:sz w:val="26"/>
          <w:szCs w:val="26"/>
          <w:rtl/>
        </w:rPr>
        <w:t>חסן נ' מ"י</w:t>
      </w:r>
      <w:r w:rsidR="000348ED">
        <w:rPr>
          <w:sz w:val="26"/>
          <w:szCs w:val="26"/>
          <w:rtl/>
        </w:rPr>
        <w:t xml:space="preserve"> </w:t>
      </w:r>
      <w:r>
        <w:rPr>
          <w:sz w:val="26"/>
          <w:szCs w:val="26"/>
          <w:rtl/>
        </w:rPr>
        <w:t xml:space="preserve">(5.6.13). מאז, למרבה הצער, וכפי שלמדים אנו מדי יום מההליכים המובאים לפנינו, לא רק שלא חלה הטבה במצב, אלא שזה הולך ומחמיר, הולך ומחריף, והפגיעה בגוף ובנפש, לרבות גופם ונפשם של עוברי אורח חפים מכל עוון, אינה פוסחת על אזור כלשהו בארצנו. על רקע תמונת מצב זו, אותה מגמת החמרה, אשר הוכרזה כבר לפני עשור, שרירה וקיימת במלוא עוזה גם כיום, וראו למשל דברי בית המשפט העליון כפי שבאו לידי ביטוי אך לאחרונה במסגרת </w:t>
      </w:r>
      <w:hyperlink r:id="rId19" w:history="1">
        <w:r w:rsidR="000348ED" w:rsidRPr="000348ED">
          <w:rPr>
            <w:color w:val="0000FF"/>
            <w:sz w:val="26"/>
            <w:szCs w:val="26"/>
            <w:u w:val="single"/>
            <w:rtl/>
          </w:rPr>
          <w:t>ע"פ 6068/21</w:t>
        </w:r>
      </w:hyperlink>
      <w:r>
        <w:rPr>
          <w:sz w:val="26"/>
          <w:szCs w:val="26"/>
          <w:rtl/>
        </w:rPr>
        <w:t xml:space="preserve"> </w:t>
      </w:r>
      <w:r>
        <w:rPr>
          <w:b/>
          <w:bCs/>
          <w:sz w:val="26"/>
          <w:szCs w:val="26"/>
          <w:rtl/>
        </w:rPr>
        <w:t>מ"י נ' פקיה</w:t>
      </w:r>
      <w:r>
        <w:rPr>
          <w:sz w:val="26"/>
          <w:szCs w:val="26"/>
          <w:rtl/>
        </w:rPr>
        <w:t xml:space="preserve"> (19.12.21): </w:t>
      </w:r>
    </w:p>
    <w:p w14:paraId="6CFC6132" w14:textId="77777777" w:rsidR="00B52F96" w:rsidRDefault="00B52F96" w:rsidP="00B52F96">
      <w:pPr>
        <w:spacing w:line="360" w:lineRule="auto"/>
        <w:jc w:val="both"/>
        <w:rPr>
          <w:sz w:val="26"/>
          <w:szCs w:val="26"/>
          <w:rtl/>
        </w:rPr>
      </w:pPr>
    </w:p>
    <w:p w14:paraId="2929B6DF" w14:textId="77777777" w:rsidR="00B52F96" w:rsidRDefault="00B52F96" w:rsidP="00B52F96">
      <w:pPr>
        <w:spacing w:line="360" w:lineRule="auto"/>
        <w:ind w:left="567" w:right="567"/>
        <w:contextualSpacing/>
        <w:jc w:val="both"/>
        <w:rPr>
          <w:b/>
          <w:bCs/>
          <w:sz w:val="26"/>
          <w:szCs w:val="26"/>
          <w:rtl/>
        </w:rPr>
      </w:pPr>
      <w:r>
        <w:rPr>
          <w:b/>
          <w:bCs/>
          <w:sz w:val="26"/>
          <w:szCs w:val="26"/>
          <w:rtl/>
        </w:rPr>
        <w:t>"יש להדגיש את החומרה היתירה שנודעה לביצוע עבירות נשק, על כל סוגיהן ומיניהן. במסגרת פסק הדין ב</w:t>
      </w:r>
      <w:hyperlink r:id="rId20" w:history="1">
        <w:r w:rsidR="000348ED" w:rsidRPr="000348ED">
          <w:rPr>
            <w:b/>
            <w:bCs/>
            <w:color w:val="0000FF"/>
            <w:sz w:val="26"/>
            <w:szCs w:val="26"/>
            <w:u w:val="single"/>
            <w:rtl/>
          </w:rPr>
          <w:t>ע"פ 4595/13</w:t>
        </w:r>
      </w:hyperlink>
      <w:r>
        <w:rPr>
          <w:b/>
          <w:bCs/>
          <w:sz w:val="26"/>
          <w:szCs w:val="26"/>
          <w:rtl/>
        </w:rPr>
        <w:t xml:space="preserve"> זובידאת נ' מדינת ישראל (6.7.2014)  בית המשפט קרא למחוקק לשקול את החמרת הענישה בעבירות נשק. בהמשך לכך, בשנת 2018 תיקן המחוקק את </w:t>
      </w:r>
      <w:r w:rsidRPr="000348ED">
        <w:rPr>
          <w:b/>
          <w:bCs/>
          <w:color w:val="000000"/>
          <w:sz w:val="26"/>
          <w:szCs w:val="26"/>
          <w:rtl/>
        </w:rPr>
        <w:t>סעיף 340א</w:t>
      </w:r>
      <w:r>
        <w:rPr>
          <w:b/>
          <w:bCs/>
          <w:sz w:val="26"/>
          <w:szCs w:val="26"/>
          <w:rtl/>
        </w:rPr>
        <w:t xml:space="preserve"> ל</w:t>
      </w:r>
      <w:hyperlink r:id="rId21" w:history="1">
        <w:r w:rsidR="000348ED" w:rsidRPr="000348ED">
          <w:rPr>
            <w:b/>
            <w:bCs/>
            <w:color w:val="0000FF"/>
            <w:sz w:val="26"/>
            <w:szCs w:val="26"/>
            <w:u w:val="single"/>
            <w:rtl/>
          </w:rPr>
          <w:t>חוק העונשין</w:t>
        </w:r>
      </w:hyperlink>
      <w:r>
        <w:rPr>
          <w:b/>
          <w:bCs/>
          <w:sz w:val="26"/>
          <w:szCs w:val="26"/>
          <w:rtl/>
        </w:rPr>
        <w:t xml:space="preserve"> והחמיר את העונש הקבוע בצידה של עבירת ירי מנשק חם (ראו: הצעת חוק העונשין (תיקון מס' 132) (ירי מנשק חם), התשע"ח-2018, ה"ח 1223). זאת, כצעד נוסף למלחמה בתופעת השימוש בנשק ופוטנציאל הנזק הכרוך בכך.</w:t>
      </w:r>
    </w:p>
    <w:p w14:paraId="40595EA8" w14:textId="77777777" w:rsidR="00B52F96" w:rsidRDefault="00B52F96" w:rsidP="00B52F96">
      <w:pPr>
        <w:spacing w:line="360" w:lineRule="auto"/>
        <w:ind w:left="567" w:right="567"/>
        <w:contextualSpacing/>
        <w:jc w:val="both"/>
        <w:rPr>
          <w:b/>
          <w:bCs/>
          <w:sz w:val="26"/>
          <w:szCs w:val="26"/>
        </w:rPr>
      </w:pPr>
    </w:p>
    <w:p w14:paraId="3F911E1C" w14:textId="77777777" w:rsidR="00B52F96" w:rsidRDefault="00B52F96" w:rsidP="00B52F96">
      <w:pPr>
        <w:spacing w:line="360" w:lineRule="auto"/>
        <w:ind w:left="567" w:right="567"/>
        <w:contextualSpacing/>
        <w:jc w:val="both"/>
        <w:rPr>
          <w:b/>
          <w:bCs/>
          <w:sz w:val="26"/>
          <w:szCs w:val="26"/>
          <w:rtl/>
        </w:rPr>
      </w:pPr>
      <w:r>
        <w:rPr>
          <w:b/>
          <w:bCs/>
          <w:sz w:val="26"/>
          <w:szCs w:val="26"/>
          <w:rtl/>
        </w:rPr>
        <w:t xml:space="preserve">בהמשך לתיקון זה, בית משפט זה הדגיש בפסיקתו פעם אחר פעם, כי עבירות הנשק הפכו לחזון נפרץ, המביא לעיתים מזומנות לפגיעה בחיי חפים מפשע. בהתאם לכך, בית משפט זה שב וקבע כי החמרת הענישה בגין עבירות אלו היא אינטרס ציבורי מהמעלה הראשונה ותנאי הכרחי להרתעת הציבור מפני ביצוען (ראו מיני רבים: </w:t>
      </w:r>
      <w:hyperlink r:id="rId22" w:history="1">
        <w:r w:rsidR="000348ED" w:rsidRPr="000348ED">
          <w:rPr>
            <w:b/>
            <w:bCs/>
            <w:color w:val="0000FF"/>
            <w:sz w:val="26"/>
            <w:szCs w:val="26"/>
            <w:u w:val="single"/>
            <w:rtl/>
          </w:rPr>
          <w:t>ע"פ 4406/19</w:t>
        </w:r>
      </w:hyperlink>
      <w:r>
        <w:rPr>
          <w:b/>
          <w:bCs/>
          <w:sz w:val="26"/>
          <w:szCs w:val="26"/>
          <w:rtl/>
        </w:rPr>
        <w:t xml:space="preserve"> </w:t>
      </w:r>
      <w:r>
        <w:rPr>
          <w:rFonts w:hint="cs"/>
          <w:b/>
          <w:bCs/>
          <w:sz w:val="26"/>
          <w:szCs w:val="26"/>
          <w:rtl/>
        </w:rPr>
        <w:t xml:space="preserve">מדינת ישראל נ' סובח, פסקאות 16–17 לחוות דעתי (5.11.2019); </w:t>
      </w:r>
      <w:hyperlink r:id="rId23" w:history="1">
        <w:r w:rsidR="000348ED" w:rsidRPr="000348ED">
          <w:rPr>
            <w:b/>
            <w:bCs/>
            <w:color w:val="0000FF"/>
            <w:sz w:val="26"/>
            <w:szCs w:val="26"/>
            <w:u w:val="single"/>
            <w:rtl/>
          </w:rPr>
          <w:t>רע"פ 7344/18</w:t>
        </w:r>
      </w:hyperlink>
      <w:r>
        <w:rPr>
          <w:b/>
          <w:bCs/>
          <w:sz w:val="26"/>
          <w:szCs w:val="26"/>
          <w:rtl/>
        </w:rPr>
        <w:t xml:space="preserve"> </w:t>
      </w:r>
      <w:r>
        <w:rPr>
          <w:rFonts w:hint="cs"/>
          <w:b/>
          <w:bCs/>
          <w:sz w:val="26"/>
          <w:szCs w:val="26"/>
          <w:rtl/>
        </w:rPr>
        <w:t>מג'יד נ' מדינת ישראל, פסקה 10 (21.10.2018))."</w:t>
      </w:r>
    </w:p>
    <w:p w14:paraId="3D3CF229" w14:textId="77777777" w:rsidR="00B52F96" w:rsidRDefault="00B52F96" w:rsidP="00B52F96">
      <w:pPr>
        <w:spacing w:line="360" w:lineRule="auto"/>
        <w:jc w:val="both"/>
        <w:rPr>
          <w:sz w:val="26"/>
          <w:szCs w:val="26"/>
          <w:rtl/>
        </w:rPr>
      </w:pPr>
    </w:p>
    <w:p w14:paraId="6622EE80" w14:textId="77777777" w:rsidR="00B52F96" w:rsidRDefault="00B52F96" w:rsidP="00B52F96">
      <w:pPr>
        <w:spacing w:line="360" w:lineRule="auto"/>
        <w:jc w:val="both"/>
        <w:rPr>
          <w:sz w:val="26"/>
          <w:szCs w:val="26"/>
          <w:rtl/>
        </w:rPr>
      </w:pPr>
      <w:r>
        <w:rPr>
          <w:sz w:val="26"/>
          <w:szCs w:val="26"/>
          <w:rtl/>
        </w:rPr>
        <w:t>ודוק, מגמה זו אינה מתייחסת לעבירות של ירי ושימוש התקפי בנשק בלבד, אלא גם לעבירות ההחזקה, וליתר עבירות הנשק אשר מקימות את הבסיס לאותו סיכון עתידי הכרוך בשימוש בכלי הנשק השונים. הנה כך מצאו הדברים את ביטויים מפי כב' השופט שטיין ב</w:t>
      </w:r>
      <w:hyperlink r:id="rId24" w:history="1">
        <w:r w:rsidR="000348ED" w:rsidRPr="000348ED">
          <w:rPr>
            <w:color w:val="0000FF"/>
            <w:sz w:val="26"/>
            <w:szCs w:val="26"/>
            <w:u w:val="single"/>
            <w:rtl/>
          </w:rPr>
          <w:t>ע"פ 147/21</w:t>
        </w:r>
      </w:hyperlink>
      <w:r w:rsidR="000348ED">
        <w:rPr>
          <w:sz w:val="26"/>
          <w:szCs w:val="26"/>
          <w:rtl/>
        </w:rPr>
        <w:t xml:space="preserve"> </w:t>
      </w:r>
      <w:r>
        <w:rPr>
          <w:b/>
          <w:bCs/>
          <w:sz w:val="26"/>
          <w:szCs w:val="26"/>
          <w:rtl/>
        </w:rPr>
        <w:t>מ"י נ' ביטון</w:t>
      </w:r>
      <w:r w:rsidR="000348ED">
        <w:rPr>
          <w:sz w:val="26"/>
          <w:szCs w:val="26"/>
          <w:rtl/>
        </w:rPr>
        <w:t xml:space="preserve"> </w:t>
      </w:r>
      <w:r>
        <w:rPr>
          <w:sz w:val="26"/>
          <w:szCs w:val="26"/>
          <w:rtl/>
        </w:rPr>
        <w:t>(14.02.2021):</w:t>
      </w:r>
    </w:p>
    <w:p w14:paraId="65249C02" w14:textId="77777777" w:rsidR="00B52F96" w:rsidRDefault="00B52F96" w:rsidP="00B52F96">
      <w:pPr>
        <w:spacing w:line="360" w:lineRule="auto"/>
        <w:ind w:left="1417" w:right="1417"/>
        <w:contextualSpacing/>
        <w:jc w:val="both"/>
        <w:rPr>
          <w:rFonts w:ascii="David" w:hAnsi="David"/>
          <w:b/>
          <w:bCs/>
          <w:sz w:val="26"/>
          <w:szCs w:val="26"/>
          <w:rtl/>
        </w:rPr>
      </w:pPr>
    </w:p>
    <w:p w14:paraId="4881EE10" w14:textId="77777777" w:rsidR="00B52F96" w:rsidRPr="00B52F96" w:rsidRDefault="00B52F96" w:rsidP="00B52F96">
      <w:pPr>
        <w:spacing w:line="360" w:lineRule="auto"/>
        <w:ind w:left="567" w:right="567"/>
        <w:contextualSpacing/>
        <w:jc w:val="both"/>
        <w:rPr>
          <w:rFonts w:ascii="Calibri" w:hAnsi="Calibri"/>
          <w:b/>
          <w:bCs/>
          <w:sz w:val="26"/>
          <w:szCs w:val="26"/>
          <w:rtl/>
        </w:rPr>
      </w:pPr>
      <w:r>
        <w:rPr>
          <w:b/>
          <w:bCs/>
          <w:sz w:val="26"/>
          <w:szCs w:val="26"/>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5" w:history="1">
        <w:r w:rsidR="000348ED" w:rsidRPr="000348ED">
          <w:rPr>
            <w:b/>
            <w:bCs/>
            <w:color w:val="0000FF"/>
            <w:sz w:val="26"/>
            <w:szCs w:val="26"/>
            <w:u w:val="single"/>
            <w:rtl/>
          </w:rPr>
          <w:t>יסודות בדיני עונשין</w:t>
        </w:r>
      </w:hyperlink>
      <w:r>
        <w:rPr>
          <w:b/>
          <w:bCs/>
          <w:sz w:val="26"/>
          <w:szCs w:val="26"/>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6" w:history="1">
        <w:r w:rsidR="000348ED" w:rsidRPr="000348ED">
          <w:rPr>
            <w:b/>
            <w:bCs/>
            <w:color w:val="0000FF"/>
            <w:sz w:val="26"/>
            <w:szCs w:val="26"/>
            <w:u w:val="single"/>
            <w:rtl/>
          </w:rPr>
          <w:t>חוק העונשין</w:t>
        </w:r>
      </w:hyperlink>
      <w:r>
        <w:rPr>
          <w:b/>
          <w:bCs/>
          <w:sz w:val="26"/>
          <w:szCs w:val="26"/>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27" w:history="1">
        <w:r w:rsidR="000348ED" w:rsidRPr="000348ED">
          <w:rPr>
            <w:b/>
            <w:bCs/>
            <w:color w:val="0000FF"/>
            <w:sz w:val="26"/>
            <w:szCs w:val="26"/>
            <w:u w:val="single"/>
            <w:rtl/>
          </w:rPr>
          <w:t>ע"פ 4406/19</w:t>
        </w:r>
      </w:hyperlink>
      <w:r>
        <w:rPr>
          <w:b/>
          <w:bCs/>
          <w:sz w:val="26"/>
          <w:szCs w:val="26"/>
          <w:rtl/>
        </w:rPr>
        <w:t xml:space="preserve"> מדינת ישראל נ' סובח (5.11.2019) (להלן: עניין סובח))</w:t>
      </w:r>
      <w:r>
        <w:rPr>
          <w:b/>
          <w:bCs/>
          <w:sz w:val="26"/>
          <w:szCs w:val="26"/>
        </w:rPr>
        <w:t>."</w:t>
      </w:r>
    </w:p>
    <w:p w14:paraId="3B96C6E3" w14:textId="77777777" w:rsidR="00B52F96" w:rsidRDefault="00B52F96" w:rsidP="00B52F96">
      <w:pPr>
        <w:spacing w:line="360" w:lineRule="auto"/>
        <w:ind w:left="567" w:right="567"/>
        <w:contextualSpacing/>
        <w:jc w:val="both"/>
        <w:rPr>
          <w:b/>
          <w:bCs/>
          <w:sz w:val="26"/>
          <w:szCs w:val="26"/>
          <w:rtl/>
        </w:rPr>
      </w:pPr>
    </w:p>
    <w:p w14:paraId="2258BB99" w14:textId="77777777" w:rsidR="00B52F96" w:rsidRDefault="00B52F96" w:rsidP="00B52F96">
      <w:pPr>
        <w:spacing w:line="360" w:lineRule="auto"/>
        <w:jc w:val="both"/>
        <w:rPr>
          <w:sz w:val="26"/>
          <w:szCs w:val="26"/>
          <w:rtl/>
        </w:rPr>
      </w:pPr>
      <w:r>
        <w:rPr>
          <w:sz w:val="26"/>
          <w:szCs w:val="26"/>
          <w:rtl/>
        </w:rPr>
        <w:t xml:space="preserve">דברים אלו משקפים גם את מכלול הערכים החברתיים הנפגעים כתוצאה מעבירות הנשק, שעניינם השמירה על הסדר הציבורי, על שלומו ובטחונו של הציבור ועל חיי אנוש ממש, את החומרה הרבה הכרוכה בעבירות מסוג זה ואת מדיניות הענישה התקיפה המתחייבת במקרים מעין אלה. להשלמת התמונה ראוי יהיה להזכיר כי אך לפני שבועות אחדים חוקקה בכנסת ישראל הוראת שעה המורה על עונשי מינימום בעבירות נשק, לרבות בעבירות ההחזקה והנשיאה. הוראת השעה אינה חלה ישירות על עניינו של הנאשם, אך היא משקפת את החובה המוטלת בימים אלה על בתי המשפט להחמיר בדינם של עברייני נשק. עד כאן באשר לרובד הכללי, העקרוני, ועתה אפנה לבחינת מתחם הענישה הראוי לכל אחד מהאישומים/האירועים המפורטים בכתב האישום המתוקן, ואפתח בעבירה של החזקת הנשק והתחמושת, העומדת בליבת כתב האישום. </w:t>
      </w:r>
    </w:p>
    <w:p w14:paraId="41219AD9" w14:textId="77777777" w:rsidR="00B52F96" w:rsidRDefault="00B52F96" w:rsidP="00B52F96">
      <w:pPr>
        <w:spacing w:line="360" w:lineRule="auto"/>
        <w:jc w:val="both"/>
        <w:rPr>
          <w:sz w:val="26"/>
          <w:szCs w:val="26"/>
          <w:rtl/>
        </w:rPr>
      </w:pPr>
    </w:p>
    <w:p w14:paraId="413E4E80" w14:textId="77777777" w:rsidR="00B52F96" w:rsidRDefault="00B52F96" w:rsidP="00B52F96">
      <w:pPr>
        <w:spacing w:line="360" w:lineRule="auto"/>
        <w:jc w:val="both"/>
        <w:rPr>
          <w:sz w:val="26"/>
          <w:szCs w:val="26"/>
          <w:rtl/>
        </w:rPr>
      </w:pPr>
      <w:r>
        <w:rPr>
          <w:sz w:val="26"/>
          <w:szCs w:val="26"/>
          <w:rtl/>
        </w:rPr>
        <w:t xml:space="preserve">המדובר, כזכור, בכך שלאורך כחודשיים וחצי החזיק הנאשם </w:t>
      </w:r>
      <w:r>
        <w:rPr>
          <w:rFonts w:ascii="David" w:hAnsi="David"/>
          <w:sz w:val="26"/>
          <w:szCs w:val="26"/>
          <w:rtl/>
        </w:rPr>
        <w:t xml:space="preserve">בביתו רובה מסוג </w:t>
      </w:r>
      <w:r>
        <w:rPr>
          <w:rFonts w:ascii="David" w:hAnsi="David"/>
          <w:sz w:val="26"/>
          <w:szCs w:val="26"/>
        </w:rPr>
        <w:t>M-16</w:t>
      </w:r>
      <w:r>
        <w:rPr>
          <w:rFonts w:ascii="David" w:hAnsi="David"/>
          <w:sz w:val="26"/>
          <w:szCs w:val="26"/>
          <w:rtl/>
        </w:rPr>
        <w:t>, ולצדו החזיק, החל ממועד לא ידוע, שש מחסניות</w:t>
      </w:r>
      <w:r>
        <w:rPr>
          <w:sz w:val="26"/>
          <w:szCs w:val="26"/>
          <w:rtl/>
        </w:rPr>
        <w:t xml:space="preserve"> תואמות, מלאות ב-30 כדורים כל אחת, שתי קתות, שני חלקי מתפסים, ידית אחיזה ותפס מחסנית. בנוסף החזיק לא פחות מ-663 כדורים תואמים נוספים. מדובר אפוא בהחזקה מתמשכת של רובה, נשק התקפי ארוך שפגיעתו הפוטנציאלית קשה, ולצדו כמות גדולה ביותר של תחמושת ואביזרים, לרבות 6 מחסניות מלאות מוכנות לפעולה. על יסוד נתונים אלה מתחייבת המסקנה כי </w:t>
      </w:r>
      <w:r>
        <w:rPr>
          <w:b/>
          <w:bCs/>
          <w:sz w:val="26"/>
          <w:szCs w:val="26"/>
          <w:rtl/>
        </w:rPr>
        <w:t>מידת הפגיעה בערכים המוגנים</w:t>
      </w:r>
      <w:r>
        <w:rPr>
          <w:sz w:val="26"/>
          <w:szCs w:val="26"/>
          <w:rtl/>
        </w:rPr>
        <w:t xml:space="preserve"> מצויה במקרה זה, לכל הפחות, </w:t>
      </w:r>
      <w:r>
        <w:rPr>
          <w:b/>
          <w:bCs/>
          <w:sz w:val="26"/>
          <w:szCs w:val="26"/>
          <w:rtl/>
        </w:rPr>
        <w:t>במדרג החומרה הבינוני</w:t>
      </w:r>
      <w:r>
        <w:rPr>
          <w:sz w:val="26"/>
          <w:szCs w:val="26"/>
          <w:rtl/>
        </w:rPr>
        <w:t xml:space="preserve"> של עבירות מעין אלה.</w:t>
      </w:r>
    </w:p>
    <w:p w14:paraId="0E564BE9" w14:textId="77777777" w:rsidR="00B52F96" w:rsidRDefault="00B52F96" w:rsidP="00B52F96">
      <w:pPr>
        <w:spacing w:line="360" w:lineRule="auto"/>
        <w:jc w:val="both"/>
        <w:rPr>
          <w:sz w:val="26"/>
          <w:szCs w:val="26"/>
          <w:rtl/>
        </w:rPr>
      </w:pPr>
    </w:p>
    <w:p w14:paraId="1FAAE118" w14:textId="77777777" w:rsidR="00B52F96" w:rsidRDefault="00B52F96" w:rsidP="00B52F96">
      <w:pPr>
        <w:spacing w:line="360" w:lineRule="auto"/>
        <w:jc w:val="both"/>
        <w:rPr>
          <w:sz w:val="26"/>
          <w:szCs w:val="26"/>
          <w:rtl/>
        </w:rPr>
      </w:pPr>
      <w:r>
        <w:rPr>
          <w:sz w:val="26"/>
          <w:szCs w:val="26"/>
          <w:rtl/>
        </w:rPr>
        <w:t>באשר ל</w:t>
      </w:r>
      <w:r>
        <w:rPr>
          <w:b/>
          <w:bCs/>
          <w:sz w:val="26"/>
          <w:szCs w:val="26"/>
          <w:rtl/>
        </w:rPr>
        <w:t>מדיניות הענישה</w:t>
      </w:r>
      <w:r>
        <w:rPr>
          <w:sz w:val="26"/>
          <w:szCs w:val="26"/>
          <w:rtl/>
        </w:rPr>
        <w:t xml:space="preserve"> </w:t>
      </w:r>
      <w:r>
        <w:rPr>
          <w:b/>
          <w:bCs/>
          <w:sz w:val="26"/>
          <w:szCs w:val="26"/>
          <w:rtl/>
        </w:rPr>
        <w:t>הנוהגת</w:t>
      </w:r>
      <w:r>
        <w:rPr>
          <w:sz w:val="26"/>
          <w:szCs w:val="26"/>
          <w:rtl/>
        </w:rPr>
        <w:t xml:space="preserve"> במקרים דומים, קיימת פסיקה ענפה המבהירה כי דינם של המורשעים בהן להישלח לתקופת מאסר ממשית מאחורי סורג ובריח, ואפרט. </w:t>
      </w:r>
    </w:p>
    <w:p w14:paraId="798A1913" w14:textId="77777777" w:rsidR="00B52F96" w:rsidRDefault="00B52F96" w:rsidP="00B52F96">
      <w:pPr>
        <w:spacing w:line="360" w:lineRule="auto"/>
        <w:jc w:val="both"/>
        <w:rPr>
          <w:color w:val="0070C0"/>
          <w:sz w:val="26"/>
          <w:szCs w:val="26"/>
          <w:rtl/>
        </w:rPr>
      </w:pPr>
    </w:p>
    <w:p w14:paraId="41F0F96B" w14:textId="77777777" w:rsidR="00B52F96" w:rsidRDefault="00B52F96" w:rsidP="00B52F96">
      <w:pPr>
        <w:spacing w:line="360" w:lineRule="auto"/>
        <w:jc w:val="both"/>
        <w:rPr>
          <w:rFonts w:ascii="David" w:hAnsi="David"/>
          <w:sz w:val="26"/>
          <w:szCs w:val="26"/>
          <w:rtl/>
        </w:rPr>
      </w:pPr>
      <w:r>
        <w:rPr>
          <w:rFonts w:ascii="David" w:hAnsi="David"/>
          <w:sz w:val="26"/>
          <w:szCs w:val="26"/>
          <w:rtl/>
        </w:rPr>
        <w:t>אך לפני כחודש ימים, דן בית המשפט העליון בערעור המדינה על גזר דינו של מי שהורשע בכך שהחזיק בביתו נשק דמוי רובה סער</w:t>
      </w:r>
      <w:r>
        <w:rPr>
          <w:rFonts w:ascii="David" w:hAnsi="David"/>
          <w:sz w:val="26"/>
          <w:szCs w:val="26"/>
        </w:rPr>
        <w:t xml:space="preserve">M-16 </w:t>
      </w:r>
      <w:r>
        <w:rPr>
          <w:rFonts w:ascii="David" w:hAnsi="David"/>
          <w:sz w:val="26"/>
          <w:szCs w:val="26"/>
          <w:rtl/>
        </w:rPr>
        <w:t xml:space="preserve"> </w:t>
      </w:r>
      <w:r>
        <w:rPr>
          <w:rFonts w:ascii="David" w:hAnsi="David" w:hint="cs"/>
          <w:sz w:val="26"/>
          <w:szCs w:val="26"/>
          <w:rtl/>
        </w:rPr>
        <w:t xml:space="preserve">וחלקי נשק נוספים, לרבות קת, 5 מחסניות ו-60 כדורים, במשך 3 שבועות, וזאת במסגרת </w:t>
      </w:r>
      <w:hyperlink r:id="rId28" w:history="1">
        <w:r w:rsidR="000348ED" w:rsidRPr="000348ED">
          <w:rPr>
            <w:rFonts w:ascii="David" w:hAnsi="David"/>
            <w:color w:val="0000FF"/>
            <w:sz w:val="26"/>
            <w:szCs w:val="26"/>
            <w:u w:val="single"/>
            <w:rtl/>
          </w:rPr>
          <w:t>ע"פ 8320/21</w:t>
        </w:r>
      </w:hyperlink>
      <w:r w:rsidR="000348ED">
        <w:rPr>
          <w:rFonts w:ascii="David" w:hAnsi="David"/>
          <w:sz w:val="26"/>
          <w:szCs w:val="26"/>
        </w:rPr>
        <w:t xml:space="preserve"> </w:t>
      </w:r>
      <w:r>
        <w:rPr>
          <w:rFonts w:ascii="David" w:hAnsi="David"/>
          <w:b/>
          <w:bCs/>
          <w:sz w:val="26"/>
          <w:szCs w:val="26"/>
          <w:rtl/>
        </w:rPr>
        <w:t>מ"י נ' בסילה</w:t>
      </w:r>
      <w:r>
        <w:rPr>
          <w:rFonts w:ascii="David" w:hAnsi="David"/>
          <w:sz w:val="26"/>
          <w:szCs w:val="26"/>
        </w:rPr>
        <w:t>(28.12.21)</w:t>
      </w:r>
      <w:r w:rsidR="000348ED">
        <w:rPr>
          <w:rFonts w:ascii="David" w:hAnsi="David"/>
          <w:sz w:val="26"/>
          <w:szCs w:val="26"/>
        </w:rPr>
        <w:t xml:space="preserve"> </w:t>
      </w:r>
      <w:r>
        <w:rPr>
          <w:rFonts w:ascii="David" w:hAnsi="David"/>
          <w:sz w:val="26"/>
          <w:szCs w:val="26"/>
          <w:rtl/>
        </w:rPr>
        <w:t xml:space="preserve">. מדובר היה באדם נורמטיבי, ללא עבר פלילי אשר עבד באופן רציף לפרנסת משפחתו, נטל אחריות מלאה למעשיו ואחז בתסקיר ובו המלצה של שירות המבחן להימנע מלהשית עונש מאסר מאחורי סורג ובריח. על אף נתונים מקלים אלה קיבל בית המשפט העליון את ערעור המדינה והטיל על המשיב </w:t>
      </w:r>
      <w:r>
        <w:rPr>
          <w:rFonts w:ascii="David" w:hAnsi="David"/>
          <w:b/>
          <w:bCs/>
          <w:sz w:val="26"/>
          <w:szCs w:val="26"/>
          <w:rtl/>
        </w:rPr>
        <w:t>14 חודשי מאסר בפועל</w:t>
      </w:r>
      <w:r>
        <w:rPr>
          <w:rFonts w:ascii="David" w:hAnsi="David"/>
          <w:sz w:val="26"/>
          <w:szCs w:val="26"/>
          <w:rtl/>
        </w:rPr>
        <w:t xml:space="preserve">, חלף העונש של 7 חודשי מאסר שהשית בית המשפט המחוזי, </w:t>
      </w:r>
      <w:r>
        <w:rPr>
          <w:rFonts w:ascii="David" w:hAnsi="David"/>
          <w:sz w:val="26"/>
          <w:szCs w:val="26"/>
          <w:u w:val="single"/>
          <w:rtl/>
        </w:rPr>
        <w:t>ואף הבהיר כי אין בכך משום מיצוי הדין עם הנאשם</w:t>
      </w:r>
      <w:r>
        <w:rPr>
          <w:rFonts w:ascii="David" w:hAnsi="David"/>
          <w:sz w:val="26"/>
          <w:szCs w:val="26"/>
          <w:rtl/>
        </w:rPr>
        <w:t>.</w:t>
      </w:r>
    </w:p>
    <w:p w14:paraId="549D601A" w14:textId="77777777" w:rsidR="00B52F96" w:rsidRDefault="00B52F96" w:rsidP="00B52F96">
      <w:pPr>
        <w:spacing w:line="360" w:lineRule="auto"/>
        <w:jc w:val="both"/>
        <w:rPr>
          <w:rFonts w:ascii="David" w:hAnsi="David"/>
          <w:sz w:val="26"/>
          <w:szCs w:val="26"/>
          <w:rtl/>
        </w:rPr>
      </w:pPr>
    </w:p>
    <w:p w14:paraId="347CA44E" w14:textId="77777777" w:rsidR="00B52F96" w:rsidRDefault="00B52F96" w:rsidP="00B52F96">
      <w:pPr>
        <w:spacing w:line="360" w:lineRule="auto"/>
        <w:jc w:val="both"/>
        <w:rPr>
          <w:rFonts w:ascii="David" w:hAnsi="David"/>
          <w:sz w:val="26"/>
          <w:szCs w:val="26"/>
          <w:rtl/>
        </w:rPr>
      </w:pPr>
      <w:r>
        <w:rPr>
          <w:rFonts w:ascii="David" w:hAnsi="David"/>
          <w:sz w:val="26"/>
          <w:szCs w:val="26"/>
          <w:rtl/>
        </w:rPr>
        <w:t>ב</w:t>
      </w:r>
      <w:hyperlink r:id="rId29" w:history="1">
        <w:r w:rsidR="000348ED" w:rsidRPr="000348ED">
          <w:rPr>
            <w:rFonts w:ascii="David" w:hAnsi="David"/>
            <w:color w:val="0000FF"/>
            <w:sz w:val="26"/>
            <w:szCs w:val="26"/>
            <w:u w:val="single"/>
            <w:rtl/>
          </w:rPr>
          <w:t>ע"פ 3853/20</w:t>
        </w:r>
      </w:hyperlink>
      <w:r w:rsidR="000348ED">
        <w:rPr>
          <w:rFonts w:ascii="David" w:hAnsi="David"/>
          <w:sz w:val="26"/>
          <w:szCs w:val="26"/>
        </w:rPr>
        <w:t xml:space="preserve"> </w:t>
      </w:r>
      <w:r>
        <w:rPr>
          <w:rFonts w:ascii="David" w:hAnsi="David"/>
          <w:b/>
          <w:bCs/>
          <w:sz w:val="26"/>
          <w:szCs w:val="26"/>
          <w:rtl/>
        </w:rPr>
        <w:t>מ"י נ' אל מוגרבי</w:t>
      </w:r>
      <w:r w:rsidR="000348ED">
        <w:rPr>
          <w:rFonts w:ascii="David" w:hAnsi="David"/>
          <w:sz w:val="26"/>
          <w:szCs w:val="26"/>
          <w:rtl/>
        </w:rPr>
        <w:t xml:space="preserve"> </w:t>
      </w:r>
      <w:r>
        <w:rPr>
          <w:rFonts w:ascii="David" w:hAnsi="David"/>
          <w:sz w:val="26"/>
          <w:szCs w:val="26"/>
        </w:rPr>
        <w:t>(29.11.20)</w:t>
      </w:r>
      <w:r>
        <w:rPr>
          <w:rFonts w:ascii="David" w:hAnsi="David"/>
          <w:sz w:val="26"/>
          <w:szCs w:val="26"/>
          <w:rtl/>
        </w:rPr>
        <w:t>, נדון ערעור המדינה על גזר דינו של נאשם שהורשע, על פי הודאתו, בעבירה של החזקת נשק. הנאשם החזיק במתחם סמוך לביתו רובה</w:t>
      </w:r>
      <w:r w:rsidR="000348ED">
        <w:rPr>
          <w:rFonts w:ascii="David" w:hAnsi="David"/>
          <w:sz w:val="26"/>
          <w:szCs w:val="26"/>
          <w:rtl/>
        </w:rPr>
        <w:t xml:space="preserve"> </w:t>
      </w:r>
      <w:r>
        <w:rPr>
          <w:rFonts w:ascii="David" w:hAnsi="David"/>
          <w:sz w:val="26"/>
          <w:szCs w:val="26"/>
        </w:rPr>
        <w:t>M-16</w:t>
      </w:r>
      <w:r>
        <w:rPr>
          <w:rFonts w:ascii="David" w:hAnsi="David"/>
          <w:sz w:val="26"/>
          <w:szCs w:val="26"/>
          <w:rtl/>
        </w:rPr>
        <w:t>, ללא אביזרים נוספים או תחמושת. בית המשפט המחוזי קבע</w:t>
      </w:r>
      <w:r w:rsidR="000348ED">
        <w:rPr>
          <w:rFonts w:ascii="David" w:hAnsi="David"/>
          <w:sz w:val="26"/>
          <w:szCs w:val="26"/>
          <w:rtl/>
        </w:rPr>
        <w:t xml:space="preserve"> </w:t>
      </w:r>
      <w:r>
        <w:rPr>
          <w:rFonts w:ascii="David" w:hAnsi="David"/>
          <w:b/>
          <w:bCs/>
          <w:sz w:val="26"/>
          <w:szCs w:val="26"/>
          <w:rtl/>
        </w:rPr>
        <w:t>מתחם ענישה הנע בין 12 ל-36 חודשי מאסר בפועל</w:t>
      </w:r>
      <w:r w:rsidR="000348ED">
        <w:rPr>
          <w:rFonts w:ascii="David" w:hAnsi="David"/>
          <w:sz w:val="26"/>
          <w:szCs w:val="26"/>
          <w:rtl/>
        </w:rPr>
        <w:t xml:space="preserve"> </w:t>
      </w:r>
      <w:r>
        <w:rPr>
          <w:rFonts w:ascii="David" w:hAnsi="David"/>
          <w:sz w:val="26"/>
          <w:szCs w:val="26"/>
          <w:rtl/>
        </w:rPr>
        <w:t>והטיל על הנאשם עונש של</w:t>
      </w:r>
      <w:r w:rsidR="000348ED">
        <w:rPr>
          <w:rFonts w:ascii="David" w:hAnsi="David"/>
          <w:sz w:val="26"/>
          <w:szCs w:val="26"/>
          <w:rtl/>
        </w:rPr>
        <w:t xml:space="preserve"> </w:t>
      </w:r>
      <w:r>
        <w:rPr>
          <w:rFonts w:ascii="David" w:hAnsi="David"/>
          <w:b/>
          <w:bCs/>
          <w:sz w:val="26"/>
          <w:szCs w:val="26"/>
        </w:rPr>
        <w:t xml:space="preserve">15 </w:t>
      </w:r>
      <w:r>
        <w:rPr>
          <w:rFonts w:ascii="David" w:hAnsi="David"/>
          <w:b/>
          <w:bCs/>
          <w:sz w:val="26"/>
          <w:szCs w:val="26"/>
          <w:rtl/>
        </w:rPr>
        <w:t xml:space="preserve"> </w:t>
      </w:r>
      <w:r>
        <w:rPr>
          <w:rFonts w:ascii="David" w:hAnsi="David" w:hint="cs"/>
          <w:b/>
          <w:bCs/>
          <w:sz w:val="26"/>
          <w:szCs w:val="26"/>
          <w:rtl/>
        </w:rPr>
        <w:t>חודשי מאסר בפועל</w:t>
      </w:r>
      <w:r>
        <w:rPr>
          <w:rFonts w:ascii="David" w:hAnsi="David"/>
          <w:sz w:val="26"/>
          <w:szCs w:val="26"/>
          <w:rtl/>
        </w:rPr>
        <w:t xml:space="preserve">. בית המשפט העליון עמד על הצורך בענישה מרתיעה בעבירות נשק </w:t>
      </w:r>
      <w:r>
        <w:rPr>
          <w:rFonts w:ascii="David" w:hAnsi="David"/>
          <w:sz w:val="26"/>
          <w:szCs w:val="26"/>
          <w:u w:val="single"/>
          <w:rtl/>
        </w:rPr>
        <w:t>וקבע כי העונש שהוטל על הנאשם הוא מקל</w:t>
      </w:r>
      <w:r>
        <w:rPr>
          <w:rFonts w:ascii="David" w:hAnsi="David"/>
          <w:sz w:val="26"/>
          <w:szCs w:val="26"/>
          <w:rtl/>
        </w:rPr>
        <w:t>, אך דחה את ערעור המדינה שכן לא סבר כי מידת החריגה מרף הענישה הראוי מצדיקה התערבות במקרה זה.</w:t>
      </w:r>
    </w:p>
    <w:p w14:paraId="2CB81C87" w14:textId="77777777" w:rsidR="00B52F96" w:rsidRPr="00B52F96" w:rsidRDefault="00B52F96" w:rsidP="00B52F96">
      <w:pPr>
        <w:spacing w:line="360" w:lineRule="auto"/>
        <w:jc w:val="both"/>
        <w:rPr>
          <w:rFonts w:ascii="Calibri" w:hAnsi="Calibri"/>
          <w:color w:val="0070C0"/>
          <w:sz w:val="26"/>
          <w:szCs w:val="26"/>
          <w:rtl/>
        </w:rPr>
      </w:pPr>
    </w:p>
    <w:p w14:paraId="2E2B38DE" w14:textId="77777777" w:rsidR="00B52F96" w:rsidRDefault="00B52F96" w:rsidP="00B52F96">
      <w:pPr>
        <w:spacing w:line="360" w:lineRule="auto"/>
        <w:jc w:val="both"/>
        <w:rPr>
          <w:rFonts w:ascii="David" w:hAnsi="David"/>
          <w:sz w:val="26"/>
          <w:szCs w:val="26"/>
          <w:rtl/>
        </w:rPr>
      </w:pPr>
      <w:r>
        <w:rPr>
          <w:rFonts w:ascii="David" w:hAnsi="David"/>
          <w:sz w:val="26"/>
          <w:szCs w:val="26"/>
          <w:shd w:val="clear" w:color="auto" w:fill="FFFFFF"/>
          <w:rtl/>
        </w:rPr>
        <w:t>ב</w:t>
      </w:r>
      <w:hyperlink r:id="rId30" w:history="1">
        <w:r w:rsidR="000348ED" w:rsidRPr="000348ED">
          <w:rPr>
            <w:rFonts w:ascii="David" w:hAnsi="David"/>
            <w:color w:val="0000FF"/>
            <w:sz w:val="26"/>
            <w:szCs w:val="26"/>
            <w:u w:val="single"/>
            <w:shd w:val="clear" w:color="auto" w:fill="FFFFFF"/>
            <w:rtl/>
          </w:rPr>
          <w:t>ע"פ 1826/19</w:t>
        </w:r>
      </w:hyperlink>
      <w:r w:rsidR="000348ED">
        <w:rPr>
          <w:rFonts w:ascii="David" w:hAnsi="David"/>
          <w:color w:val="000000"/>
          <w:sz w:val="26"/>
          <w:szCs w:val="26"/>
          <w:shd w:val="clear" w:color="auto" w:fill="FFFFFF"/>
        </w:rPr>
        <w:t xml:space="preserve"> </w:t>
      </w:r>
      <w:r>
        <w:rPr>
          <w:rFonts w:ascii="David" w:hAnsi="David"/>
          <w:b/>
          <w:bCs/>
          <w:color w:val="000000"/>
          <w:sz w:val="26"/>
          <w:szCs w:val="26"/>
          <w:shd w:val="clear" w:color="auto" w:fill="FFFFFF"/>
          <w:rtl/>
        </w:rPr>
        <w:t>אבו עיסא נ' מ</w:t>
      </w:r>
      <w:r>
        <w:rPr>
          <w:rFonts w:ascii="David" w:hAnsi="David"/>
          <w:color w:val="000000"/>
          <w:sz w:val="26"/>
          <w:szCs w:val="26"/>
          <w:shd w:val="clear" w:color="auto" w:fill="FFFFFF"/>
          <w:rtl/>
        </w:rPr>
        <w:t>"י</w:t>
      </w:r>
      <w:r w:rsidR="000348ED">
        <w:rPr>
          <w:rFonts w:ascii="David" w:hAnsi="David"/>
          <w:color w:val="000000"/>
          <w:sz w:val="26"/>
          <w:szCs w:val="26"/>
          <w:shd w:val="clear" w:color="auto" w:fill="FFFFFF"/>
          <w:rtl/>
        </w:rPr>
        <w:t xml:space="preserve"> </w:t>
      </w:r>
      <w:r>
        <w:rPr>
          <w:rFonts w:ascii="David" w:hAnsi="David"/>
          <w:color w:val="000000"/>
          <w:sz w:val="26"/>
          <w:szCs w:val="26"/>
          <w:shd w:val="clear" w:color="auto" w:fill="FFFFFF"/>
        </w:rPr>
        <w:t>(11.7.19)</w:t>
      </w:r>
      <w:r>
        <w:rPr>
          <w:rFonts w:ascii="David" w:hAnsi="David"/>
          <w:color w:val="000000"/>
          <w:sz w:val="26"/>
          <w:szCs w:val="26"/>
          <w:shd w:val="clear" w:color="auto" w:fill="FFFFFF"/>
          <w:rtl/>
        </w:rPr>
        <w:t>, הורשע המערער בעבירה של החזקת נשק, בכך שהחזיק</w:t>
      </w:r>
      <w:r w:rsidR="000348ED">
        <w:rPr>
          <w:rFonts w:ascii="David" w:hAnsi="David"/>
          <w:color w:val="000000"/>
          <w:sz w:val="26"/>
          <w:szCs w:val="26"/>
          <w:shd w:val="clear" w:color="auto" w:fill="FFFFFF"/>
          <w:rtl/>
        </w:rPr>
        <w:t xml:space="preserve"> </w:t>
      </w:r>
      <w:r>
        <w:rPr>
          <w:rFonts w:ascii="David" w:hAnsi="David"/>
          <w:color w:val="000000"/>
          <w:sz w:val="26"/>
          <w:szCs w:val="26"/>
          <w:shd w:val="clear" w:color="auto" w:fill="FFFFFF"/>
          <w:rtl/>
        </w:rPr>
        <w:t>בנשק מאולתר אוטומטי,</w:t>
      </w:r>
      <w:r w:rsidR="000348ED">
        <w:rPr>
          <w:rFonts w:ascii="David" w:hAnsi="David"/>
          <w:color w:val="000000"/>
          <w:sz w:val="26"/>
          <w:szCs w:val="26"/>
          <w:shd w:val="clear" w:color="auto" w:fill="FFFFFF"/>
          <w:rtl/>
        </w:rPr>
        <w:t xml:space="preserve"> </w:t>
      </w:r>
      <w:r>
        <w:rPr>
          <w:rFonts w:ascii="David" w:hAnsi="David"/>
          <w:color w:val="000000"/>
          <w:sz w:val="26"/>
          <w:szCs w:val="26"/>
          <w:shd w:val="clear" w:color="auto" w:fill="FFFFFF"/>
          <w:rtl/>
        </w:rPr>
        <w:t xml:space="preserve">והעבירו לאדם אחר על מנת שיחזיק בו באופן זמני. בית המשפט המחוזי קבע </w:t>
      </w:r>
      <w:r>
        <w:rPr>
          <w:rFonts w:ascii="David" w:hAnsi="David"/>
          <w:b/>
          <w:bCs/>
          <w:color w:val="000000"/>
          <w:sz w:val="26"/>
          <w:szCs w:val="26"/>
          <w:shd w:val="clear" w:color="auto" w:fill="FFFFFF"/>
          <w:rtl/>
        </w:rPr>
        <w:t>מתחם ענישה הנע</w:t>
      </w:r>
      <w:r w:rsidR="000348ED">
        <w:rPr>
          <w:rFonts w:ascii="David" w:hAnsi="David"/>
          <w:color w:val="000000"/>
          <w:sz w:val="26"/>
          <w:szCs w:val="26"/>
          <w:shd w:val="clear" w:color="auto" w:fill="FFFFFF"/>
          <w:rtl/>
        </w:rPr>
        <w:t xml:space="preserve"> </w:t>
      </w:r>
      <w:r>
        <w:rPr>
          <w:rFonts w:ascii="David" w:hAnsi="David"/>
          <w:b/>
          <w:bCs/>
          <w:color w:val="000000"/>
          <w:sz w:val="26"/>
          <w:szCs w:val="26"/>
          <w:shd w:val="clear" w:color="auto" w:fill="FFFFFF"/>
          <w:rtl/>
        </w:rPr>
        <w:t>בין 15 ל-36 חודשי מאסר</w:t>
      </w:r>
      <w:r>
        <w:rPr>
          <w:rFonts w:ascii="David" w:hAnsi="David"/>
          <w:color w:val="000000"/>
          <w:sz w:val="26"/>
          <w:szCs w:val="26"/>
          <w:shd w:val="clear" w:color="auto" w:fill="FFFFFF"/>
          <w:rtl/>
        </w:rPr>
        <w:t xml:space="preserve">. על המערער, צעיר ללא עבר פלילי, נגזרו </w:t>
      </w:r>
      <w:r>
        <w:rPr>
          <w:rFonts w:ascii="David" w:hAnsi="David"/>
          <w:b/>
          <w:bCs/>
          <w:color w:val="000000"/>
          <w:sz w:val="26"/>
          <w:szCs w:val="26"/>
          <w:shd w:val="clear" w:color="auto" w:fill="FFFFFF"/>
          <w:rtl/>
        </w:rPr>
        <w:t>18</w:t>
      </w:r>
      <w:r>
        <w:rPr>
          <w:rFonts w:ascii="David" w:hAnsi="David"/>
          <w:color w:val="000000"/>
          <w:sz w:val="26"/>
          <w:szCs w:val="26"/>
          <w:shd w:val="clear" w:color="auto" w:fill="FFFFFF"/>
          <w:rtl/>
        </w:rPr>
        <w:t xml:space="preserve"> </w:t>
      </w:r>
      <w:r>
        <w:rPr>
          <w:rFonts w:ascii="David" w:hAnsi="David"/>
          <w:b/>
          <w:bCs/>
          <w:color w:val="000000"/>
          <w:sz w:val="26"/>
          <w:szCs w:val="26"/>
          <w:shd w:val="clear" w:color="auto" w:fill="FFFFFF"/>
          <w:rtl/>
        </w:rPr>
        <w:t>חודשי מאסר בפועל</w:t>
      </w:r>
      <w:r>
        <w:rPr>
          <w:rFonts w:ascii="David" w:hAnsi="David"/>
          <w:color w:val="000000"/>
          <w:sz w:val="26"/>
          <w:szCs w:val="26"/>
          <w:shd w:val="clear" w:color="auto" w:fill="FFFFFF"/>
          <w:rtl/>
        </w:rPr>
        <w:t>. ערעורו לבית המשפט העליון נדחה.</w:t>
      </w:r>
    </w:p>
    <w:p w14:paraId="4B315D9C" w14:textId="77777777" w:rsidR="00B52F96" w:rsidRDefault="00B52F96" w:rsidP="00B52F96">
      <w:pPr>
        <w:spacing w:line="360" w:lineRule="auto"/>
        <w:jc w:val="both"/>
        <w:rPr>
          <w:rFonts w:ascii="David" w:hAnsi="David"/>
          <w:sz w:val="26"/>
          <w:szCs w:val="26"/>
          <w:rtl/>
        </w:rPr>
      </w:pPr>
    </w:p>
    <w:p w14:paraId="3FE11605" w14:textId="77777777" w:rsidR="00B52F96" w:rsidRDefault="00B52F96" w:rsidP="00B52F96">
      <w:pPr>
        <w:spacing w:line="360" w:lineRule="auto"/>
        <w:jc w:val="both"/>
        <w:rPr>
          <w:rFonts w:ascii="David" w:hAnsi="David"/>
          <w:sz w:val="26"/>
          <w:szCs w:val="26"/>
          <w:rtl/>
        </w:rPr>
      </w:pPr>
      <w:r>
        <w:rPr>
          <w:sz w:val="26"/>
          <w:szCs w:val="26"/>
          <w:rtl/>
        </w:rPr>
        <w:t xml:space="preserve">ענישה דומה, של </w:t>
      </w:r>
      <w:r>
        <w:rPr>
          <w:b/>
          <w:bCs/>
          <w:sz w:val="26"/>
          <w:szCs w:val="26"/>
          <w:rtl/>
        </w:rPr>
        <w:t>18 חודשי מאסר בפועל</w:t>
      </w:r>
      <w:r>
        <w:rPr>
          <w:sz w:val="26"/>
          <w:szCs w:val="26"/>
          <w:rtl/>
        </w:rPr>
        <w:t>, לנאשם צעיר, ללא עבר פלילי, אושרה על ידי בית המשפט העליון גם ב</w:t>
      </w:r>
      <w:hyperlink r:id="rId31" w:history="1">
        <w:r w:rsidR="000348ED" w:rsidRPr="000348ED">
          <w:rPr>
            <w:color w:val="0000FF"/>
            <w:sz w:val="26"/>
            <w:szCs w:val="26"/>
            <w:u w:val="single"/>
            <w:rtl/>
          </w:rPr>
          <w:t>ע"פ 3632/14</w:t>
        </w:r>
      </w:hyperlink>
      <w:r w:rsidR="000348ED">
        <w:rPr>
          <w:sz w:val="26"/>
          <w:szCs w:val="26"/>
          <w:rtl/>
        </w:rPr>
        <w:t xml:space="preserve"> </w:t>
      </w:r>
      <w:r>
        <w:rPr>
          <w:b/>
          <w:bCs/>
          <w:sz w:val="26"/>
          <w:szCs w:val="26"/>
          <w:rtl/>
        </w:rPr>
        <w:t>אבו סבית נ' מ"י</w:t>
      </w:r>
      <w:r w:rsidR="000348ED">
        <w:rPr>
          <w:sz w:val="26"/>
          <w:szCs w:val="26"/>
          <w:rtl/>
        </w:rPr>
        <w:t xml:space="preserve"> </w:t>
      </w:r>
      <w:r>
        <w:rPr>
          <w:sz w:val="26"/>
          <w:szCs w:val="26"/>
          <w:rtl/>
        </w:rPr>
        <w:t>(8.12.14), בו נדחה ערעורו של הנאשם אשר הורשע, על פי הודאתו, בעבירה של החזקת נשק. הנאשם נפגש עם אדם אחר וקיבל ממנו תיק גב שהכיל תת מקלע מאולתר ובו מחסנית וכדור בקנה. נקבע שהנאשם לא ידע על הימצאותם של המחסנית והכדור. בית המשפט המחוזי קבע</w:t>
      </w:r>
      <w:r w:rsidR="000348ED">
        <w:rPr>
          <w:sz w:val="26"/>
          <w:szCs w:val="26"/>
          <w:rtl/>
        </w:rPr>
        <w:t xml:space="preserve"> </w:t>
      </w:r>
      <w:r>
        <w:rPr>
          <w:b/>
          <w:bCs/>
          <w:sz w:val="26"/>
          <w:szCs w:val="26"/>
          <w:rtl/>
        </w:rPr>
        <w:t>מתחם עונש הנע בין שנה ל-3 שנות מאסר בפועל</w:t>
      </w:r>
      <w:r>
        <w:rPr>
          <w:sz w:val="26"/>
          <w:szCs w:val="26"/>
          <w:rtl/>
        </w:rPr>
        <w:t xml:space="preserve">, והשית, כאמור 18 חודשי מאסר. </w:t>
      </w:r>
    </w:p>
    <w:p w14:paraId="39168A52" w14:textId="77777777" w:rsidR="00B52F96" w:rsidRDefault="00B52F96" w:rsidP="00B52F96">
      <w:pPr>
        <w:spacing w:line="360" w:lineRule="auto"/>
        <w:jc w:val="both"/>
        <w:rPr>
          <w:rFonts w:ascii="David" w:hAnsi="David"/>
          <w:sz w:val="26"/>
          <w:szCs w:val="26"/>
          <w:rtl/>
        </w:rPr>
      </w:pPr>
    </w:p>
    <w:p w14:paraId="30C530B9" w14:textId="77777777" w:rsidR="00B52F96" w:rsidRDefault="00B52F96" w:rsidP="00B52F96">
      <w:pPr>
        <w:spacing w:line="360" w:lineRule="auto"/>
        <w:jc w:val="both"/>
        <w:rPr>
          <w:sz w:val="26"/>
          <w:szCs w:val="26"/>
          <w:rtl/>
        </w:rPr>
      </w:pPr>
    </w:p>
    <w:p w14:paraId="17EB073F" w14:textId="77777777" w:rsidR="00B52F96" w:rsidRPr="00B52F96" w:rsidRDefault="00B52F96" w:rsidP="00B52F96">
      <w:pPr>
        <w:spacing w:line="360" w:lineRule="auto"/>
        <w:jc w:val="both"/>
        <w:rPr>
          <w:rFonts w:ascii="Calibri" w:hAnsi="Calibri"/>
          <w:sz w:val="26"/>
          <w:szCs w:val="26"/>
          <w:rtl/>
        </w:rPr>
      </w:pPr>
      <w:r>
        <w:rPr>
          <w:sz w:val="26"/>
          <w:szCs w:val="26"/>
          <w:rtl/>
        </w:rPr>
        <w:t>ב</w:t>
      </w:r>
      <w:hyperlink r:id="rId32" w:history="1">
        <w:r w:rsidR="000348ED" w:rsidRPr="000348ED">
          <w:rPr>
            <w:color w:val="0000FF"/>
            <w:sz w:val="26"/>
            <w:szCs w:val="26"/>
            <w:u w:val="single"/>
            <w:rtl/>
          </w:rPr>
          <w:t>רע"פ 4559/16</w:t>
        </w:r>
      </w:hyperlink>
      <w:r>
        <w:rPr>
          <w:sz w:val="26"/>
          <w:szCs w:val="26"/>
          <w:rtl/>
        </w:rPr>
        <w:t xml:space="preserve"> </w:t>
      </w:r>
      <w:r>
        <w:rPr>
          <w:b/>
          <w:bCs/>
          <w:sz w:val="26"/>
          <w:szCs w:val="26"/>
          <w:rtl/>
        </w:rPr>
        <w:t>נוסיראת נ' מ"י</w:t>
      </w:r>
      <w:r>
        <w:rPr>
          <w:sz w:val="26"/>
          <w:szCs w:val="26"/>
          <w:rtl/>
        </w:rPr>
        <w:t xml:space="preserve"> (22.6.16) דובר באדם שהורשע בבית משפט השלום בהחזקת רובה, מחסנית תואמת ו-9 כדורים. בית המשפט קבע </w:t>
      </w:r>
      <w:r>
        <w:rPr>
          <w:b/>
          <w:bCs/>
          <w:sz w:val="26"/>
          <w:szCs w:val="26"/>
          <w:rtl/>
        </w:rPr>
        <w:t>מתחם הנע בין 9 ל-24 חודשי מאסר</w:t>
      </w:r>
      <w:r>
        <w:rPr>
          <w:sz w:val="26"/>
          <w:szCs w:val="26"/>
          <w:rtl/>
        </w:rPr>
        <w:t xml:space="preserve">, אך סטה לקולא מהמתחם מטעמי שיקום, לאור תסקיר חיובי, והסתפק בכך שהטיל 6 חודשי מאסר, לנשיאה בדרך של עבודות שירות. בית המשפט המחוזי קיבל את ערעור המדינה והעמיד את העונש על </w:t>
      </w:r>
      <w:r>
        <w:rPr>
          <w:b/>
          <w:bCs/>
          <w:sz w:val="26"/>
          <w:szCs w:val="26"/>
          <w:rtl/>
        </w:rPr>
        <w:t>9 חודשי מאסר מאחורי סורג ובריח</w:t>
      </w:r>
      <w:r>
        <w:rPr>
          <w:sz w:val="26"/>
          <w:szCs w:val="26"/>
          <w:rtl/>
        </w:rPr>
        <w:t>, תוך שהדגיש את המדיניות הנוהגת הכוללת הטלת מאסר של ממש גם על נאשמים נעדרי עבר פלילי. בקשה לרשות ערעור שהוגשה מטעמו של הנאשם – נדחתה בבית המשפט העליון.</w:t>
      </w:r>
    </w:p>
    <w:p w14:paraId="2E81ADCA" w14:textId="77777777" w:rsidR="00B52F96" w:rsidRDefault="00B52F96" w:rsidP="00B52F96">
      <w:pPr>
        <w:spacing w:line="360" w:lineRule="auto"/>
        <w:jc w:val="both"/>
        <w:rPr>
          <w:rFonts w:ascii="David" w:hAnsi="David"/>
          <w:sz w:val="26"/>
          <w:szCs w:val="26"/>
          <w:rtl/>
        </w:rPr>
      </w:pPr>
    </w:p>
    <w:p w14:paraId="3FF4F72C" w14:textId="77777777" w:rsidR="00B52F96" w:rsidRDefault="00B52F96" w:rsidP="00B52F96">
      <w:pPr>
        <w:spacing w:line="360" w:lineRule="auto"/>
        <w:jc w:val="both"/>
        <w:rPr>
          <w:rFonts w:ascii="David" w:hAnsi="David"/>
          <w:sz w:val="26"/>
          <w:szCs w:val="26"/>
          <w:rtl/>
        </w:rPr>
      </w:pPr>
      <w:r>
        <w:rPr>
          <w:rFonts w:ascii="David" w:hAnsi="David"/>
          <w:sz w:val="26"/>
          <w:szCs w:val="26"/>
          <w:rtl/>
        </w:rPr>
        <w:t>ב</w:t>
      </w:r>
      <w:hyperlink r:id="rId33" w:history="1">
        <w:r w:rsidR="000348ED" w:rsidRPr="000348ED">
          <w:rPr>
            <w:rFonts w:ascii="David" w:hAnsi="David"/>
            <w:color w:val="0000FF"/>
            <w:sz w:val="26"/>
            <w:szCs w:val="26"/>
            <w:u w:val="single"/>
            <w:rtl/>
          </w:rPr>
          <w:t>עפ"ג (נצ') 2024-04-21</w:t>
        </w:r>
      </w:hyperlink>
      <w:r w:rsidR="000348ED">
        <w:rPr>
          <w:rFonts w:ascii="David" w:hAnsi="David"/>
          <w:sz w:val="26"/>
          <w:szCs w:val="26"/>
          <w:rtl/>
        </w:rPr>
        <w:t xml:space="preserve"> </w:t>
      </w:r>
      <w:r>
        <w:rPr>
          <w:rFonts w:ascii="David" w:hAnsi="David"/>
          <w:b/>
          <w:bCs/>
          <w:sz w:val="26"/>
          <w:szCs w:val="26"/>
          <w:rtl/>
        </w:rPr>
        <w:t>מ"י נ' מנדורי</w:t>
      </w:r>
      <w:r w:rsidR="000348ED">
        <w:rPr>
          <w:rFonts w:ascii="David" w:hAnsi="David"/>
          <w:sz w:val="26"/>
          <w:szCs w:val="26"/>
          <w:rtl/>
        </w:rPr>
        <w:t xml:space="preserve"> </w:t>
      </w:r>
      <w:r>
        <w:rPr>
          <w:rFonts w:ascii="David" w:hAnsi="David"/>
          <w:sz w:val="26"/>
          <w:szCs w:val="26"/>
          <w:rtl/>
        </w:rPr>
        <w:t>(29.6.21), דובר בנאשם צעיר שהורשע בהחזקת רובה סער דמוי</w:t>
      </w:r>
      <w:r w:rsidR="000348ED">
        <w:rPr>
          <w:rFonts w:ascii="David" w:hAnsi="David"/>
          <w:sz w:val="26"/>
          <w:szCs w:val="26"/>
          <w:rtl/>
        </w:rPr>
        <w:t xml:space="preserve"> </w:t>
      </w:r>
      <w:r>
        <w:rPr>
          <w:rFonts w:ascii="David" w:hAnsi="David"/>
          <w:sz w:val="26"/>
          <w:szCs w:val="26"/>
        </w:rPr>
        <w:t>M-16</w:t>
      </w:r>
      <w:r>
        <w:rPr>
          <w:rFonts w:ascii="David" w:hAnsi="David"/>
          <w:sz w:val="26"/>
          <w:szCs w:val="26"/>
          <w:rtl/>
        </w:rPr>
        <w:t xml:space="preserve"> </w:t>
      </w:r>
      <w:r>
        <w:rPr>
          <w:rFonts w:ascii="David" w:hAnsi="David" w:hint="cs"/>
          <w:sz w:val="26"/>
          <w:szCs w:val="26"/>
          <w:rtl/>
        </w:rPr>
        <w:t>(אייר סופט) אשר הוסב מרובה</w:t>
      </w:r>
      <w:r w:rsidR="000348ED">
        <w:rPr>
          <w:rFonts w:ascii="David" w:hAnsi="David" w:hint="cs"/>
          <w:sz w:val="26"/>
          <w:szCs w:val="26"/>
          <w:rtl/>
        </w:rPr>
        <w:t xml:space="preserve"> </w:t>
      </w:r>
      <w:r>
        <w:rPr>
          <w:rFonts w:ascii="David" w:hAnsi="David" w:hint="cs"/>
          <w:sz w:val="26"/>
          <w:szCs w:val="26"/>
          <w:rtl/>
        </w:rPr>
        <w:t>המיועד לירות כדוריות פלסטיק לכזה המסוגל לירות אש חיה. בנוסף, החזיק הנאשם בחלק תחתון של רובה 16</w:t>
      </w:r>
      <w:r>
        <w:rPr>
          <w:rFonts w:ascii="David" w:hAnsi="David"/>
          <w:sz w:val="26"/>
          <w:szCs w:val="26"/>
        </w:rPr>
        <w:t>M-</w:t>
      </w:r>
      <w:r w:rsidR="000348ED">
        <w:rPr>
          <w:rFonts w:ascii="David" w:hAnsi="David"/>
          <w:sz w:val="26"/>
          <w:szCs w:val="26"/>
        </w:rPr>
        <w:t xml:space="preserve"> </w:t>
      </w:r>
      <w:r>
        <w:rPr>
          <w:rFonts w:ascii="David" w:hAnsi="David"/>
          <w:sz w:val="26"/>
          <w:szCs w:val="26"/>
          <w:rtl/>
        </w:rPr>
        <w:t xml:space="preserve"> </w:t>
      </w:r>
      <w:r>
        <w:rPr>
          <w:rFonts w:ascii="David" w:hAnsi="David" w:hint="cs"/>
          <w:sz w:val="26"/>
          <w:szCs w:val="26"/>
          <w:rtl/>
        </w:rPr>
        <w:t xml:space="preserve">הכולל ידית אחיזה, בית הדקים וקת, וכן מחסנית תואמת לנשק ו-30 כדורי תחמושת מסוג 5.56 מ"מ, קפיצים ומחזיר מכלול של נשק </w:t>
      </w:r>
      <w:r>
        <w:rPr>
          <w:rFonts w:ascii="David" w:hAnsi="David"/>
          <w:sz w:val="26"/>
          <w:szCs w:val="26"/>
        </w:rPr>
        <w:t>M-16</w:t>
      </w:r>
      <w:r>
        <w:rPr>
          <w:rFonts w:ascii="David" w:hAnsi="David"/>
          <w:sz w:val="26"/>
          <w:szCs w:val="26"/>
          <w:rtl/>
        </w:rPr>
        <w:t xml:space="preserve">. בית משפט השלום קבע </w:t>
      </w:r>
      <w:r>
        <w:rPr>
          <w:rFonts w:ascii="David" w:hAnsi="David"/>
          <w:b/>
          <w:bCs/>
          <w:sz w:val="26"/>
          <w:szCs w:val="26"/>
          <w:rtl/>
        </w:rPr>
        <w:t>מתחם ענישה הנע בין 12 ל-30 חודשי מאסר</w:t>
      </w:r>
      <w:r>
        <w:rPr>
          <w:rFonts w:ascii="David" w:hAnsi="David"/>
          <w:sz w:val="26"/>
          <w:szCs w:val="26"/>
          <w:rtl/>
        </w:rPr>
        <w:t xml:space="preserve"> וגזר על הנאשם 12 חודשי מאסר בפועל. בית המשפט המחוזי קיבל את ערעור המדינה, קבע כי </w:t>
      </w:r>
      <w:r>
        <w:rPr>
          <w:rFonts w:ascii="David" w:hAnsi="David"/>
          <w:b/>
          <w:bCs/>
          <w:sz w:val="26"/>
          <w:szCs w:val="26"/>
          <w:rtl/>
        </w:rPr>
        <w:t>המתחם הנכון במקרה זה נע בין 18 ל-36 חודשי מאסר בפועל</w:t>
      </w:r>
      <w:r>
        <w:rPr>
          <w:rFonts w:ascii="David" w:hAnsi="David"/>
          <w:sz w:val="26"/>
          <w:szCs w:val="26"/>
          <w:rtl/>
        </w:rPr>
        <w:t xml:space="preserve"> והחמיר בעונשו של הנאשם ל-</w:t>
      </w:r>
      <w:r>
        <w:rPr>
          <w:rFonts w:ascii="David" w:hAnsi="David"/>
          <w:b/>
          <w:bCs/>
          <w:sz w:val="26"/>
          <w:szCs w:val="26"/>
          <w:rtl/>
        </w:rPr>
        <w:t>20 חודשי</w:t>
      </w:r>
      <w:r>
        <w:rPr>
          <w:rFonts w:ascii="David" w:hAnsi="David"/>
          <w:sz w:val="26"/>
          <w:szCs w:val="26"/>
          <w:rtl/>
        </w:rPr>
        <w:t xml:space="preserve"> </w:t>
      </w:r>
      <w:r>
        <w:rPr>
          <w:rFonts w:ascii="David" w:hAnsi="David"/>
          <w:b/>
          <w:bCs/>
          <w:sz w:val="26"/>
          <w:szCs w:val="26"/>
          <w:rtl/>
        </w:rPr>
        <w:t>מאסר בפועל</w:t>
      </w:r>
      <w:r>
        <w:rPr>
          <w:rFonts w:ascii="David" w:hAnsi="David"/>
          <w:sz w:val="26"/>
          <w:szCs w:val="26"/>
          <w:rtl/>
        </w:rPr>
        <w:t>.</w:t>
      </w:r>
    </w:p>
    <w:p w14:paraId="33BB3631" w14:textId="77777777" w:rsidR="00B52F96" w:rsidRDefault="00B52F96" w:rsidP="00B52F96">
      <w:pPr>
        <w:spacing w:line="360" w:lineRule="auto"/>
        <w:jc w:val="both"/>
        <w:rPr>
          <w:rFonts w:ascii="David" w:hAnsi="David"/>
          <w:sz w:val="26"/>
          <w:szCs w:val="26"/>
          <w:rtl/>
        </w:rPr>
      </w:pPr>
    </w:p>
    <w:p w14:paraId="301ABC29" w14:textId="77777777" w:rsidR="00B52F96" w:rsidRDefault="00B52F96" w:rsidP="00B52F96">
      <w:pPr>
        <w:spacing w:line="360" w:lineRule="auto"/>
        <w:jc w:val="both"/>
        <w:rPr>
          <w:rFonts w:ascii="David" w:hAnsi="David"/>
          <w:sz w:val="26"/>
          <w:szCs w:val="26"/>
          <w:rtl/>
        </w:rPr>
      </w:pPr>
      <w:r>
        <w:rPr>
          <w:rFonts w:ascii="David" w:hAnsi="David"/>
          <w:sz w:val="26"/>
          <w:szCs w:val="26"/>
          <w:rtl/>
        </w:rPr>
        <w:t>ב</w:t>
      </w:r>
      <w:hyperlink r:id="rId34" w:history="1">
        <w:r w:rsidR="000348ED" w:rsidRPr="000348ED">
          <w:rPr>
            <w:rFonts w:ascii="David" w:hAnsi="David"/>
            <w:color w:val="0000FF"/>
            <w:sz w:val="26"/>
            <w:szCs w:val="26"/>
            <w:u w:val="single"/>
            <w:rtl/>
          </w:rPr>
          <w:t>עפ"ג (ב"ש) 22885-05-17</w:t>
        </w:r>
      </w:hyperlink>
      <w:r>
        <w:rPr>
          <w:rFonts w:ascii="David" w:hAnsi="David"/>
          <w:sz w:val="26"/>
          <w:szCs w:val="26"/>
          <w:rtl/>
        </w:rPr>
        <w:t xml:space="preserve"> </w:t>
      </w:r>
      <w:r>
        <w:rPr>
          <w:rFonts w:ascii="David" w:hAnsi="David"/>
          <w:b/>
          <w:bCs/>
          <w:sz w:val="26"/>
          <w:szCs w:val="26"/>
          <w:rtl/>
        </w:rPr>
        <w:t>אלאסד נ' מ"י</w:t>
      </w:r>
      <w:r>
        <w:rPr>
          <w:rFonts w:ascii="David" w:hAnsi="David"/>
          <w:sz w:val="26"/>
          <w:szCs w:val="26"/>
          <w:rtl/>
        </w:rPr>
        <w:t xml:space="preserve"> (6.7.17) הורשע הנאשם בבית משפט השלום בהחזקת תת מקלע מאולתר ומחסנית ובה 10 קליעים. בית המשפט קבע </w:t>
      </w:r>
      <w:r>
        <w:rPr>
          <w:rFonts w:ascii="David" w:hAnsi="David"/>
          <w:b/>
          <w:bCs/>
          <w:sz w:val="26"/>
          <w:szCs w:val="26"/>
          <w:rtl/>
        </w:rPr>
        <w:t>מתחם עונש הולם הנע בין 13 ל-36 חודשי מאסר בפועל</w:t>
      </w:r>
      <w:r>
        <w:rPr>
          <w:rFonts w:ascii="David" w:hAnsi="David"/>
          <w:sz w:val="26"/>
          <w:szCs w:val="26"/>
          <w:rtl/>
        </w:rPr>
        <w:t xml:space="preserve">, והשית על הנאשם </w:t>
      </w:r>
      <w:r>
        <w:rPr>
          <w:rFonts w:ascii="David" w:hAnsi="David"/>
          <w:b/>
          <w:bCs/>
          <w:sz w:val="26"/>
          <w:szCs w:val="26"/>
          <w:rtl/>
        </w:rPr>
        <w:t>עונש מאסר למשך 21 חודשים</w:t>
      </w:r>
      <w:r>
        <w:rPr>
          <w:rFonts w:ascii="David" w:hAnsi="David"/>
          <w:sz w:val="26"/>
          <w:szCs w:val="26"/>
          <w:rtl/>
        </w:rPr>
        <w:t>. הערעור שהוגש לבית המשפט המחוזי, נדחה.</w:t>
      </w:r>
    </w:p>
    <w:p w14:paraId="0CB139E1" w14:textId="77777777" w:rsidR="00B52F96" w:rsidRPr="00B52F96" w:rsidRDefault="00B52F96" w:rsidP="00B52F96">
      <w:pPr>
        <w:spacing w:line="360" w:lineRule="auto"/>
        <w:jc w:val="both"/>
        <w:rPr>
          <w:rFonts w:ascii="Calibri" w:hAnsi="Calibri"/>
          <w:color w:val="0070C0"/>
          <w:sz w:val="26"/>
          <w:szCs w:val="26"/>
          <w:rtl/>
        </w:rPr>
      </w:pPr>
    </w:p>
    <w:p w14:paraId="06061D12" w14:textId="77777777" w:rsidR="00B52F96" w:rsidRDefault="00B52F96" w:rsidP="00B52F96">
      <w:pPr>
        <w:spacing w:line="360" w:lineRule="auto"/>
        <w:jc w:val="both"/>
        <w:rPr>
          <w:rFonts w:ascii="David" w:hAnsi="David"/>
          <w:sz w:val="26"/>
          <w:szCs w:val="26"/>
          <w:rtl/>
        </w:rPr>
      </w:pPr>
      <w:r>
        <w:rPr>
          <w:rFonts w:ascii="David" w:hAnsi="David"/>
          <w:sz w:val="26"/>
          <w:szCs w:val="26"/>
          <w:rtl/>
        </w:rPr>
        <w:t>ב</w:t>
      </w:r>
      <w:hyperlink r:id="rId35" w:history="1">
        <w:r w:rsidR="000348ED" w:rsidRPr="000348ED">
          <w:rPr>
            <w:rFonts w:ascii="David" w:hAnsi="David"/>
            <w:color w:val="0000FF"/>
            <w:sz w:val="26"/>
            <w:szCs w:val="26"/>
            <w:u w:val="single"/>
            <w:rtl/>
          </w:rPr>
          <w:t>ת"פ (מחוזי ב"ש) 54607-07-19</w:t>
        </w:r>
      </w:hyperlink>
      <w:r w:rsidR="000348ED">
        <w:rPr>
          <w:rFonts w:ascii="David" w:hAnsi="David"/>
          <w:sz w:val="26"/>
          <w:szCs w:val="26"/>
        </w:rPr>
        <w:t xml:space="preserve"> </w:t>
      </w:r>
      <w:r>
        <w:rPr>
          <w:rFonts w:ascii="David" w:hAnsi="David"/>
          <w:b/>
          <w:bCs/>
          <w:sz w:val="26"/>
          <w:szCs w:val="26"/>
          <w:rtl/>
        </w:rPr>
        <w:t>מ"י נ' ג'בור</w:t>
      </w:r>
      <w:r w:rsidR="000348ED">
        <w:rPr>
          <w:rFonts w:ascii="David" w:hAnsi="David"/>
          <w:sz w:val="26"/>
          <w:szCs w:val="26"/>
          <w:rtl/>
        </w:rPr>
        <w:t xml:space="preserve"> </w:t>
      </w:r>
      <w:r>
        <w:rPr>
          <w:rFonts w:ascii="David" w:hAnsi="David"/>
          <w:sz w:val="26"/>
          <w:szCs w:val="26"/>
        </w:rPr>
        <w:t>(12.01.2020)</w:t>
      </w:r>
      <w:r>
        <w:rPr>
          <w:rFonts w:ascii="David" w:hAnsi="David"/>
          <w:sz w:val="26"/>
          <w:szCs w:val="26"/>
          <w:rtl/>
        </w:rPr>
        <w:t>, הורשע הנאשם, על פי הודאתו, בעבירה של החזקת נשק ואביזר לנשק, בכך שהחזיק ברכבו נשק מסוג</w:t>
      </w:r>
      <w:r w:rsidR="000348ED">
        <w:rPr>
          <w:rFonts w:ascii="David" w:hAnsi="David"/>
          <w:sz w:val="26"/>
          <w:szCs w:val="26"/>
          <w:rtl/>
        </w:rPr>
        <w:t xml:space="preserve"> </w:t>
      </w:r>
      <w:r>
        <w:rPr>
          <w:rFonts w:ascii="David" w:hAnsi="David"/>
          <w:sz w:val="26"/>
          <w:szCs w:val="26"/>
        </w:rPr>
        <w:t xml:space="preserve"> M-16</w:t>
      </w:r>
      <w:r w:rsidR="000348ED">
        <w:rPr>
          <w:rFonts w:ascii="David" w:hAnsi="David"/>
          <w:sz w:val="26"/>
          <w:szCs w:val="26"/>
        </w:rPr>
        <w:t xml:space="preserve"> </w:t>
      </w:r>
      <w:r>
        <w:rPr>
          <w:rFonts w:ascii="David" w:hAnsi="David"/>
          <w:sz w:val="26"/>
          <w:szCs w:val="26"/>
          <w:rtl/>
        </w:rPr>
        <w:t xml:space="preserve">ומחסנית ריקה, כשהם עטופים במגבת. בית המשפט קבע </w:t>
      </w:r>
      <w:r>
        <w:rPr>
          <w:rFonts w:ascii="David" w:hAnsi="David"/>
          <w:b/>
          <w:bCs/>
          <w:sz w:val="26"/>
          <w:szCs w:val="26"/>
          <w:rtl/>
        </w:rPr>
        <w:t>מתחם ענישה הנע בין 20 ל- 30 חודשי מאסר</w:t>
      </w:r>
      <w:r>
        <w:rPr>
          <w:rFonts w:ascii="David" w:hAnsi="David"/>
          <w:sz w:val="26"/>
          <w:szCs w:val="26"/>
          <w:rtl/>
        </w:rPr>
        <w:t xml:space="preserve">. הנאשם בעל עבר פלילי ולאור גילו הצעיר ונסיבותיו האישות גזר עליו בית המשפט </w:t>
      </w:r>
      <w:r>
        <w:rPr>
          <w:rFonts w:ascii="David" w:hAnsi="David"/>
          <w:b/>
          <w:bCs/>
          <w:sz w:val="26"/>
          <w:szCs w:val="26"/>
          <w:rtl/>
        </w:rPr>
        <w:t>22 חודשי</w:t>
      </w:r>
      <w:r>
        <w:rPr>
          <w:rFonts w:ascii="David" w:hAnsi="David"/>
          <w:sz w:val="26"/>
          <w:szCs w:val="26"/>
          <w:rtl/>
        </w:rPr>
        <w:t xml:space="preserve"> </w:t>
      </w:r>
      <w:r>
        <w:rPr>
          <w:rFonts w:ascii="David" w:hAnsi="David"/>
          <w:b/>
          <w:bCs/>
          <w:sz w:val="26"/>
          <w:szCs w:val="26"/>
          <w:rtl/>
        </w:rPr>
        <w:t>מאסר בפועל</w:t>
      </w:r>
      <w:r>
        <w:rPr>
          <w:rFonts w:ascii="David" w:hAnsi="David"/>
          <w:sz w:val="26"/>
          <w:szCs w:val="26"/>
          <w:rtl/>
        </w:rPr>
        <w:t xml:space="preserve"> והפעיל מאסר מותנה בן 4 חודשים חציו בחופף וחציו במצטבר. מתחם דומה נקבע, ועונש דומה הוטל, על ידי אותו מותב, גם ב</w:t>
      </w:r>
      <w:hyperlink r:id="rId36" w:history="1">
        <w:r w:rsidR="000348ED" w:rsidRPr="000348ED">
          <w:rPr>
            <w:rFonts w:ascii="David" w:hAnsi="David"/>
            <w:color w:val="0000FF"/>
            <w:sz w:val="26"/>
            <w:szCs w:val="26"/>
            <w:u w:val="single"/>
            <w:rtl/>
          </w:rPr>
          <w:t>ת"פ (מחוזי ב"ש) 56762-03-21</w:t>
        </w:r>
      </w:hyperlink>
      <w:r w:rsidR="000348ED">
        <w:rPr>
          <w:rFonts w:ascii="David" w:hAnsi="David"/>
          <w:sz w:val="26"/>
          <w:szCs w:val="26"/>
        </w:rPr>
        <w:t xml:space="preserve"> </w:t>
      </w:r>
      <w:r>
        <w:rPr>
          <w:rFonts w:ascii="David" w:hAnsi="David"/>
          <w:b/>
          <w:bCs/>
          <w:sz w:val="26"/>
          <w:szCs w:val="26"/>
          <w:rtl/>
        </w:rPr>
        <w:t>מ"י נ' קאצאעי</w:t>
      </w:r>
      <w:r w:rsidR="000348ED">
        <w:rPr>
          <w:rFonts w:ascii="David" w:hAnsi="David"/>
          <w:sz w:val="26"/>
          <w:szCs w:val="26"/>
          <w:rtl/>
        </w:rPr>
        <w:t xml:space="preserve"> </w:t>
      </w:r>
      <w:r>
        <w:rPr>
          <w:rFonts w:ascii="David" w:hAnsi="David"/>
          <w:sz w:val="26"/>
          <w:szCs w:val="26"/>
        </w:rPr>
        <w:t>(10.11.21)</w:t>
      </w:r>
      <w:r>
        <w:rPr>
          <w:rFonts w:ascii="David" w:hAnsi="David"/>
          <w:sz w:val="26"/>
          <w:szCs w:val="26"/>
          <w:rtl/>
        </w:rPr>
        <w:t>, שם מדובר היה בנאשם שהחזיק ברכב רובה סער מסוג קלצ'ניקוב ומחסנית תואמת.</w:t>
      </w:r>
    </w:p>
    <w:p w14:paraId="3395F516" w14:textId="77777777" w:rsidR="00B52F96" w:rsidRPr="00B52F96" w:rsidRDefault="00B52F96" w:rsidP="00B52F96">
      <w:pPr>
        <w:spacing w:line="360" w:lineRule="auto"/>
        <w:jc w:val="both"/>
        <w:rPr>
          <w:rFonts w:ascii="Calibri" w:hAnsi="Calibri"/>
          <w:color w:val="0070C0"/>
          <w:sz w:val="26"/>
          <w:szCs w:val="26"/>
          <w:rtl/>
        </w:rPr>
      </w:pPr>
    </w:p>
    <w:p w14:paraId="1AE813A7" w14:textId="77777777" w:rsidR="00B52F96" w:rsidRDefault="00B52F96" w:rsidP="00B52F96">
      <w:pPr>
        <w:spacing w:line="360" w:lineRule="auto"/>
        <w:jc w:val="both"/>
        <w:rPr>
          <w:sz w:val="26"/>
          <w:szCs w:val="26"/>
          <w:rtl/>
        </w:rPr>
      </w:pPr>
      <w:r>
        <w:rPr>
          <w:rFonts w:ascii="David" w:hAnsi="David"/>
          <w:sz w:val="26"/>
          <w:szCs w:val="26"/>
          <w:rtl/>
        </w:rPr>
        <w:t>לבסוף, ב</w:t>
      </w:r>
      <w:hyperlink r:id="rId37" w:history="1">
        <w:r w:rsidR="000348ED" w:rsidRPr="000348ED">
          <w:rPr>
            <w:rFonts w:ascii="David" w:hAnsi="David"/>
            <w:color w:val="0000FF"/>
            <w:sz w:val="26"/>
            <w:szCs w:val="26"/>
            <w:u w:val="single"/>
            <w:rtl/>
          </w:rPr>
          <w:t>ת"פ (מחוזי מרכז) 22991-12-20</w:t>
        </w:r>
      </w:hyperlink>
      <w:r>
        <w:rPr>
          <w:rFonts w:ascii="David" w:hAnsi="David"/>
          <w:sz w:val="26"/>
          <w:szCs w:val="26"/>
          <w:rtl/>
        </w:rPr>
        <w:t xml:space="preserve"> </w:t>
      </w:r>
      <w:r>
        <w:rPr>
          <w:rFonts w:ascii="David" w:hAnsi="David"/>
          <w:b/>
          <w:bCs/>
          <w:sz w:val="26"/>
          <w:szCs w:val="26"/>
          <w:rtl/>
        </w:rPr>
        <w:t>מ"י נ' סולטאן</w:t>
      </w:r>
      <w:r>
        <w:rPr>
          <w:rFonts w:ascii="David" w:hAnsi="David"/>
          <w:sz w:val="26"/>
          <w:szCs w:val="26"/>
          <w:rtl/>
        </w:rPr>
        <w:t xml:space="preserve"> (13.10.21), אשר הוגש לעיוני במטעם ההגנה, מדובר היה בהליך במסגרתו </w:t>
      </w:r>
      <w:r>
        <w:rPr>
          <w:rFonts w:ascii="David" w:hAnsi="David"/>
          <w:b/>
          <w:bCs/>
          <w:sz w:val="26"/>
          <w:szCs w:val="26"/>
          <w:rtl/>
        </w:rPr>
        <w:t>גובש הסדר טיעון "סגור" של 26 חודשי מאסר בפועל</w:t>
      </w:r>
      <w:r>
        <w:rPr>
          <w:rFonts w:ascii="David" w:hAnsi="David"/>
          <w:sz w:val="26"/>
          <w:szCs w:val="26"/>
          <w:rtl/>
        </w:rPr>
        <w:t>, בגין שתי עבירות של החזקת נשק ותחמושת, כאשר מדובר היה בשתי הזדמנויות שונות בהן החזיק הנאשם רובה מסוג קלצ'ניקוב, תחמושת מותאמת וחלקי נשק נוספים.</w:t>
      </w:r>
    </w:p>
    <w:p w14:paraId="5446AC28" w14:textId="77777777" w:rsidR="00B52F96" w:rsidRDefault="00B52F96" w:rsidP="00B52F96">
      <w:pPr>
        <w:spacing w:line="360" w:lineRule="auto"/>
        <w:jc w:val="both"/>
        <w:rPr>
          <w:sz w:val="26"/>
          <w:szCs w:val="26"/>
          <w:rtl/>
        </w:rPr>
      </w:pPr>
    </w:p>
    <w:p w14:paraId="3647671A" w14:textId="77777777" w:rsidR="00B52F96" w:rsidRDefault="00B52F96" w:rsidP="00B52F96">
      <w:pPr>
        <w:spacing w:line="360" w:lineRule="auto"/>
        <w:jc w:val="both"/>
        <w:rPr>
          <w:b/>
          <w:bCs/>
          <w:sz w:val="26"/>
          <w:szCs w:val="26"/>
          <w:rtl/>
        </w:rPr>
      </w:pPr>
      <w:r>
        <w:rPr>
          <w:sz w:val="26"/>
          <w:szCs w:val="26"/>
          <w:rtl/>
        </w:rPr>
        <w:t xml:space="preserve">בשים לב לנסיבות הספציפיות של מעשה ההחזקה שלפני, החזקה מתמשכת של נשק התקפי בעל פוטנציאל נזק גבוה, לצד כמות גדולה של תחמושת, מחסניות מלאות וריבוי אביזרים נלווים, למדיניות הענישה הנוהגת ולצורך המתמשך בהחמרת הענישה, </w:t>
      </w:r>
      <w:r>
        <w:rPr>
          <w:b/>
          <w:bCs/>
          <w:sz w:val="26"/>
          <w:szCs w:val="26"/>
          <w:rtl/>
        </w:rPr>
        <w:t>אני סבור כי לצד האישום בעבירת ההחזקה יש לקבוע מתחם עונש הולם הנע בין 18 ל-36 חודשי מאסר בפועל, לצד מרכיבי ענישה משלימים.</w:t>
      </w:r>
    </w:p>
    <w:p w14:paraId="6C4B31DA" w14:textId="77777777" w:rsidR="00B52F96" w:rsidRDefault="00B52F96" w:rsidP="00B52F96">
      <w:pPr>
        <w:spacing w:line="360" w:lineRule="auto"/>
        <w:jc w:val="both"/>
        <w:rPr>
          <w:sz w:val="26"/>
          <w:szCs w:val="26"/>
          <w:rtl/>
        </w:rPr>
      </w:pPr>
    </w:p>
    <w:p w14:paraId="1BC45722" w14:textId="77777777" w:rsidR="00B52F96" w:rsidRDefault="00B52F96" w:rsidP="00B52F96">
      <w:pPr>
        <w:spacing w:line="360" w:lineRule="auto"/>
        <w:jc w:val="both"/>
        <w:rPr>
          <w:rFonts w:ascii="David" w:hAnsi="David"/>
          <w:sz w:val="26"/>
          <w:szCs w:val="26"/>
          <w:rtl/>
        </w:rPr>
      </w:pPr>
      <w:r>
        <w:rPr>
          <w:sz w:val="26"/>
          <w:szCs w:val="26"/>
          <w:rtl/>
        </w:rPr>
        <w:t>אם אפנה כעת לאישום בו הורשע הנאשם בעבירה של ניסיון ביצוע עסקה אחרת</w:t>
      </w:r>
      <w:r>
        <w:rPr>
          <w:b/>
          <w:bCs/>
          <w:sz w:val="26"/>
          <w:szCs w:val="26"/>
          <w:rtl/>
        </w:rPr>
        <w:t xml:space="preserve">, </w:t>
      </w:r>
      <w:r>
        <w:rPr>
          <w:sz w:val="26"/>
          <w:szCs w:val="26"/>
          <w:rtl/>
        </w:rPr>
        <w:t xml:space="preserve">הרי שנקודת המוצא דומה, ולפיה מחייבת גם עבירה מעין זו השתת עונש מאסר ממשי מאחורי סורג ובריח. ראוי להזכיר, בהקשר זה, כי לצד העבירה של עסקה אחרת בנשק הציב המחוקק עונש מאסר מרבי בן 15 שנים, וכי העמיד אותה בשורה אחת עם יתר עבירות הנשק החמורות ביותר, עבירות הייצור, הייבוא והייצוא ועבירות הסחר בנשק, הכל כמפורט בסעיף </w:t>
      </w:r>
      <w:hyperlink r:id="rId38" w:history="1">
        <w:r w:rsidR="006E52F2" w:rsidRPr="006E52F2">
          <w:rPr>
            <w:rStyle w:val="Hyperlink"/>
            <w:sz w:val="26"/>
            <w:szCs w:val="26"/>
            <w:rtl/>
          </w:rPr>
          <w:t>144 (ב2)</w:t>
        </w:r>
      </w:hyperlink>
      <w:r>
        <w:rPr>
          <w:sz w:val="26"/>
          <w:szCs w:val="26"/>
          <w:rtl/>
        </w:rPr>
        <w:t xml:space="preserve"> לחוק.</w:t>
      </w:r>
      <w:r>
        <w:rPr>
          <w:rFonts w:ascii="David" w:hAnsi="David"/>
          <w:sz w:val="26"/>
          <w:szCs w:val="26"/>
          <w:rtl/>
        </w:rPr>
        <w:t xml:space="preserve"> המשותף למכלול עבירות אלו הנו החשש להרחבת כמות הנשקים המצויה בידי גורמים פליליים, ואף גורמי טרור חלילה, והפוטנציאל החמור הכרוך בכך להמשך הפגיעה בחיי אדם. יפים לעניין זה דבריה של כב' השופטת (כתוארה אז) חיות בהקשר לעבירות של סחר בנשק מתוך פסק הדין ב</w:t>
      </w:r>
      <w:hyperlink r:id="rId39" w:history="1">
        <w:r w:rsidR="000348ED" w:rsidRPr="000348ED">
          <w:rPr>
            <w:rFonts w:ascii="David" w:hAnsi="David"/>
            <w:color w:val="0000FF"/>
            <w:sz w:val="26"/>
            <w:szCs w:val="26"/>
            <w:u w:val="single"/>
            <w:rtl/>
          </w:rPr>
          <w:t>ע"פ 2251/11</w:t>
        </w:r>
      </w:hyperlink>
      <w:r w:rsidR="000348ED">
        <w:rPr>
          <w:rFonts w:ascii="David" w:hAnsi="David"/>
          <w:sz w:val="26"/>
          <w:szCs w:val="26"/>
          <w:rtl/>
        </w:rPr>
        <w:t xml:space="preserve"> </w:t>
      </w:r>
      <w:r>
        <w:rPr>
          <w:rFonts w:ascii="David" w:hAnsi="David"/>
          <w:b/>
          <w:bCs/>
          <w:sz w:val="26"/>
          <w:szCs w:val="26"/>
          <w:rtl/>
        </w:rPr>
        <w:t>נפעא נגד מ"י</w:t>
      </w:r>
      <w:r>
        <w:rPr>
          <w:rFonts w:ascii="David" w:hAnsi="David"/>
          <w:sz w:val="26"/>
          <w:szCs w:val="26"/>
          <w:rtl/>
        </w:rPr>
        <w:t xml:space="preserve"> (4.12.11):</w:t>
      </w:r>
    </w:p>
    <w:p w14:paraId="564F6C39" w14:textId="77777777" w:rsidR="00B52F96" w:rsidRDefault="00B52F96" w:rsidP="00B52F96">
      <w:pPr>
        <w:spacing w:line="360" w:lineRule="auto"/>
        <w:jc w:val="both"/>
        <w:rPr>
          <w:rFonts w:ascii="David" w:hAnsi="David"/>
          <w:sz w:val="26"/>
          <w:szCs w:val="26"/>
          <w:rtl/>
        </w:rPr>
      </w:pPr>
    </w:p>
    <w:p w14:paraId="3FF79B60" w14:textId="77777777" w:rsidR="00B52F96" w:rsidRPr="00B52F96" w:rsidRDefault="00B52F96" w:rsidP="00B52F96">
      <w:pPr>
        <w:spacing w:line="360" w:lineRule="auto"/>
        <w:ind w:left="567" w:right="567"/>
        <w:contextualSpacing/>
        <w:jc w:val="both"/>
        <w:rPr>
          <w:rFonts w:ascii="Calibri" w:hAnsi="Calibri"/>
          <w:b/>
          <w:bCs/>
          <w:sz w:val="26"/>
          <w:szCs w:val="26"/>
          <w:rtl/>
        </w:rPr>
      </w:pPr>
      <w:r>
        <w:rPr>
          <w:b/>
          <w:bCs/>
          <w:sz w:val="26"/>
          <w:szCs w:val="26"/>
          <w:rtl/>
        </w:rPr>
        <w:t>"על הסכנות הרבות הנשקפות מסחר בלתי חוקי בנשק עמד בית משפט זה לא אחת בציינו כי 'הניסיון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אכן, 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עוינת...על כן, כל מי שהופך עצמו לחוליה במנגנון זה של סחר בלתי חוקי בנשק, מוחזק כמי שמבין ויודע אל נכון מה עלולות להיות התוצאות הנובעות ממעשיו ומהן הסכנות הנשקפות ממעשים אלה לחברה כולה".</w:t>
      </w:r>
      <w:r w:rsidR="000348ED">
        <w:rPr>
          <w:b/>
          <w:bCs/>
          <w:sz w:val="26"/>
          <w:szCs w:val="26"/>
          <w:rtl/>
        </w:rPr>
        <w:t xml:space="preserve"> </w:t>
      </w:r>
    </w:p>
    <w:p w14:paraId="19109575" w14:textId="77777777" w:rsidR="00B52F96" w:rsidRDefault="00B52F96" w:rsidP="00B52F96">
      <w:pPr>
        <w:spacing w:line="360" w:lineRule="auto"/>
        <w:jc w:val="both"/>
        <w:rPr>
          <w:rStyle w:val="normal-h"/>
          <w:color w:val="0070C0"/>
          <w:rtl/>
        </w:rPr>
      </w:pPr>
    </w:p>
    <w:p w14:paraId="2C426C57" w14:textId="77777777" w:rsidR="00B52F96" w:rsidRDefault="00B52F96" w:rsidP="00B52F96">
      <w:pPr>
        <w:spacing w:line="360" w:lineRule="auto"/>
        <w:jc w:val="both"/>
        <w:rPr>
          <w:rFonts w:ascii="David" w:hAnsi="David"/>
          <w:rtl/>
        </w:rPr>
      </w:pPr>
      <w:r>
        <w:rPr>
          <w:rFonts w:ascii="David" w:hAnsi="David"/>
          <w:sz w:val="26"/>
          <w:szCs w:val="26"/>
          <w:rtl/>
        </w:rPr>
        <w:t xml:space="preserve">המדיניות העקרונית ברורה אפוא, וגם בעניין זה חלה מגמת ההחמרה שהוזכרה לעיל, אך לנוכח המגוון הרחב של המצבים אשר חוסים תחת העבירה של עסקה אחרת, וודאי תחת עבירת הניסיון לביצוע עסקה אחרת, ראוי יהיה לסקור תחילה את מנעד הענישה המצוי עד כה בפסיקה ולהתאים את מתחם הענישה שייקבע לנסיבות הספציפיות של המעשים בהם היה הנאשם מעורב. </w:t>
      </w:r>
    </w:p>
    <w:p w14:paraId="0B432059" w14:textId="77777777" w:rsidR="00B52F96" w:rsidRDefault="00B52F96" w:rsidP="00B52F96">
      <w:pPr>
        <w:spacing w:line="360" w:lineRule="auto"/>
        <w:jc w:val="both"/>
        <w:rPr>
          <w:rFonts w:ascii="David" w:hAnsi="David"/>
          <w:sz w:val="26"/>
          <w:szCs w:val="26"/>
          <w:rtl/>
        </w:rPr>
      </w:pPr>
    </w:p>
    <w:p w14:paraId="293CA889" w14:textId="77777777" w:rsidR="00B52F96" w:rsidRDefault="00B52F96" w:rsidP="00B52F96">
      <w:pPr>
        <w:spacing w:line="360" w:lineRule="auto"/>
        <w:jc w:val="both"/>
        <w:rPr>
          <w:rFonts w:ascii="David" w:hAnsi="David"/>
          <w:sz w:val="26"/>
          <w:szCs w:val="26"/>
          <w:rtl/>
        </w:rPr>
      </w:pPr>
      <w:r>
        <w:rPr>
          <w:rFonts w:ascii="David" w:hAnsi="David"/>
          <w:sz w:val="26"/>
          <w:szCs w:val="26"/>
          <w:rtl/>
        </w:rPr>
        <w:t>ב</w:t>
      </w:r>
      <w:hyperlink r:id="rId40" w:history="1">
        <w:r w:rsidR="000348ED" w:rsidRPr="000348ED">
          <w:rPr>
            <w:rFonts w:ascii="David" w:hAnsi="David"/>
            <w:color w:val="0000FF"/>
            <w:sz w:val="26"/>
            <w:szCs w:val="26"/>
            <w:u w:val="single"/>
            <w:rtl/>
          </w:rPr>
          <w:t>ע"פ 3793/20</w:t>
        </w:r>
      </w:hyperlink>
      <w:r>
        <w:rPr>
          <w:rFonts w:ascii="David" w:hAnsi="David"/>
          <w:b/>
          <w:bCs/>
          <w:sz w:val="26"/>
          <w:szCs w:val="26"/>
          <w:rtl/>
        </w:rPr>
        <w:t xml:space="preserve"> </w:t>
      </w:r>
      <w:r>
        <w:rPr>
          <w:rFonts w:ascii="David" w:hAnsi="David" w:hint="cs"/>
          <w:b/>
          <w:bCs/>
          <w:sz w:val="26"/>
          <w:szCs w:val="26"/>
          <w:rtl/>
        </w:rPr>
        <w:t>מורייחי נ' מ"י</w:t>
      </w:r>
      <w:r w:rsidR="000348ED">
        <w:rPr>
          <w:rFonts w:ascii="David" w:hAnsi="David" w:hint="cs"/>
          <w:b/>
          <w:bCs/>
          <w:sz w:val="26"/>
          <w:szCs w:val="26"/>
          <w:rtl/>
        </w:rPr>
        <w:t xml:space="preserve"> </w:t>
      </w:r>
      <w:r>
        <w:rPr>
          <w:rFonts w:ascii="David" w:hAnsi="David"/>
          <w:sz w:val="26"/>
          <w:szCs w:val="26"/>
        </w:rPr>
        <w:t>(23.11.20)</w:t>
      </w:r>
      <w:r>
        <w:rPr>
          <w:rFonts w:ascii="David" w:hAnsi="David"/>
          <w:sz w:val="26"/>
          <w:szCs w:val="26"/>
          <w:rtl/>
        </w:rPr>
        <w:t xml:space="preserve">, נדון עניינו של מי שהורשע, על פי הודאתו, בעבירה של ניסיון לעסקה אחרת בנשק. המערער קשר קשר עם תושב הרשות הפלסטינית ועם אחרים, במטרה לבצע מכירה והעברה של אקדח, בצירוף מחסנית תואמת לנשק, מחזקתו של הסוחר בשטחי הרשות לידי הרוכש בישראל. המערער נסע עם הרוכש למקום לא ידוע כדי לבדוק את הנשק. בתוך כך, סוכמו, במעורבות פעילה של המערער, כל פרטי העסקה וכן פרטי העברת הנשק לרוכש. הנשק אכן הוכנס לישראל, אך נתפס על ידי המשטרה, שעצרה את המעורבים. חלקו של המערער בעסקה היה כשל "מתווך", אך נקבע כי היה גורם "מרכזי ודומיננטי" בהוצאת העסקה אל הפועל. בית המשפט המחוזי קבע </w:t>
      </w:r>
      <w:r>
        <w:rPr>
          <w:rFonts w:ascii="David" w:hAnsi="David"/>
          <w:b/>
          <w:bCs/>
          <w:sz w:val="26"/>
          <w:szCs w:val="26"/>
          <w:rtl/>
        </w:rPr>
        <w:t>מתחם ענישה הנע בין 18 ל-52 חודשי מאסר</w:t>
      </w:r>
      <w:r>
        <w:rPr>
          <w:rFonts w:ascii="David" w:hAnsi="David"/>
          <w:sz w:val="26"/>
          <w:szCs w:val="26"/>
          <w:rtl/>
        </w:rPr>
        <w:t xml:space="preserve"> והשית על המערער, בעל עבר פלילי רלבנטי, עונש של </w:t>
      </w:r>
      <w:r>
        <w:rPr>
          <w:rFonts w:ascii="David" w:hAnsi="David"/>
          <w:b/>
          <w:bCs/>
          <w:sz w:val="26"/>
          <w:szCs w:val="26"/>
          <w:rtl/>
        </w:rPr>
        <w:t>30 חודשי מאסר בפועל</w:t>
      </w:r>
      <w:r>
        <w:rPr>
          <w:rFonts w:ascii="David" w:hAnsi="David"/>
          <w:sz w:val="26"/>
          <w:szCs w:val="26"/>
          <w:rtl/>
        </w:rPr>
        <w:t>. הערעור על חומרת העונש – נדחה.</w:t>
      </w:r>
    </w:p>
    <w:p w14:paraId="171A5E13" w14:textId="77777777" w:rsidR="00B52F96" w:rsidRDefault="00B52F96" w:rsidP="00B52F96">
      <w:pPr>
        <w:spacing w:line="360" w:lineRule="auto"/>
        <w:jc w:val="both"/>
        <w:rPr>
          <w:rFonts w:ascii="David" w:hAnsi="David"/>
          <w:sz w:val="26"/>
          <w:szCs w:val="26"/>
          <w:rtl/>
        </w:rPr>
      </w:pPr>
    </w:p>
    <w:p w14:paraId="6997AB42" w14:textId="77777777" w:rsidR="00B52F96" w:rsidRDefault="00B52F96" w:rsidP="00B52F96">
      <w:pPr>
        <w:spacing w:line="360" w:lineRule="auto"/>
        <w:jc w:val="both"/>
        <w:rPr>
          <w:rFonts w:ascii="David" w:hAnsi="David"/>
          <w:sz w:val="26"/>
          <w:szCs w:val="26"/>
          <w:rtl/>
        </w:rPr>
      </w:pPr>
      <w:r>
        <w:rPr>
          <w:rStyle w:val="normal-h"/>
          <w:sz w:val="26"/>
          <w:szCs w:val="26"/>
          <w:rtl/>
        </w:rPr>
        <w:t>ב</w:t>
      </w:r>
      <w:hyperlink r:id="rId41" w:history="1">
        <w:r w:rsidR="000348ED" w:rsidRPr="000348ED">
          <w:rPr>
            <w:rStyle w:val="normal-h"/>
            <w:color w:val="0000FF"/>
            <w:sz w:val="26"/>
            <w:szCs w:val="26"/>
            <w:u w:val="single"/>
            <w:rtl/>
          </w:rPr>
          <w:t>ת"פ (מרכז) 20143-07-20</w:t>
        </w:r>
      </w:hyperlink>
      <w:r>
        <w:rPr>
          <w:rStyle w:val="normal-h"/>
          <w:sz w:val="26"/>
          <w:szCs w:val="26"/>
          <w:rtl/>
        </w:rPr>
        <w:t xml:space="preserve"> </w:t>
      </w:r>
      <w:r>
        <w:rPr>
          <w:rStyle w:val="normal-h"/>
          <w:b/>
          <w:bCs/>
          <w:sz w:val="26"/>
          <w:szCs w:val="26"/>
          <w:rtl/>
        </w:rPr>
        <w:t xml:space="preserve">מ"י נ' ג'אבר ואח' </w:t>
      </w:r>
      <w:r>
        <w:rPr>
          <w:rStyle w:val="normal-h"/>
          <w:sz w:val="26"/>
          <w:szCs w:val="26"/>
          <w:rtl/>
        </w:rPr>
        <w:t xml:space="preserve">(19.7.21), דן חברי, כב' השופט קובו, בפרשה רחבה של עבירות נשק, בה נטלו חלק 12 נאשמים שונים. לענייננו רלבנטיות הקביעות לגבי הנאשם 7, אשר הורשע, על פי הודאתו, בשלוש עבירות של ניסיון לביצוע עסקה אחרת בנשק. על פי המתואר בגזר הדין, ניהל הנאשם הנ"ל בשלוש הזדמנויות שונות, לאורך מספר חודשים, התכתבויות טקסט עם נאשם אחר, במסגרתן ניסו לקדם את ביצוען של עסקאות מכר בנשק, אשר לא יצאו לבסוף אל הפועל. ההתכתבויות כללו, בין היתר, החלפת תמונות, שיח על המחיר ותיאומים שונים שנועדו לקדם את מימוש העסקאות. </w:t>
      </w:r>
      <w:r>
        <w:rPr>
          <w:rStyle w:val="normal-h"/>
          <w:sz w:val="26"/>
          <w:szCs w:val="26"/>
          <w:u w:val="single"/>
          <w:rtl/>
        </w:rPr>
        <w:t>בשניים מהמקרים מדובר היה בניסיון לרכוש כלי נשק, ופעם אחת מדובר היה בניסיון מכירה</w:t>
      </w:r>
      <w:r>
        <w:rPr>
          <w:rFonts w:ascii="David" w:hAnsi="David"/>
          <w:sz w:val="26"/>
          <w:szCs w:val="26"/>
          <w:rtl/>
        </w:rPr>
        <w:t>. בגין מכלול המעשים הללו, כלומר בגין 3 העבירות גם יחד</w:t>
      </w:r>
      <w:r>
        <w:rPr>
          <w:rFonts w:ascii="David" w:hAnsi="David"/>
          <w:b/>
          <w:bCs/>
          <w:sz w:val="26"/>
          <w:szCs w:val="26"/>
          <w:rtl/>
        </w:rPr>
        <w:t xml:space="preserve"> נקבע מתחם עונש הולם הנע בין 18 ל-46 חודשי מאסר בפועל</w:t>
      </w:r>
      <w:r>
        <w:rPr>
          <w:rFonts w:ascii="David" w:hAnsi="David"/>
          <w:sz w:val="26"/>
          <w:szCs w:val="26"/>
          <w:rtl/>
        </w:rPr>
        <w:t xml:space="preserve">. על הנאשם 7, צעיר ללא עבר פלילי עם נסיבות חיים מורכבות, הושתו </w:t>
      </w:r>
      <w:r>
        <w:rPr>
          <w:rFonts w:ascii="David" w:hAnsi="David"/>
          <w:b/>
          <w:bCs/>
          <w:sz w:val="26"/>
          <w:szCs w:val="26"/>
          <w:rtl/>
        </w:rPr>
        <w:t>22 חודשי</w:t>
      </w:r>
      <w:r>
        <w:rPr>
          <w:rFonts w:ascii="David" w:hAnsi="David"/>
          <w:sz w:val="26"/>
          <w:szCs w:val="26"/>
          <w:rtl/>
        </w:rPr>
        <w:t xml:space="preserve"> </w:t>
      </w:r>
      <w:r>
        <w:rPr>
          <w:rFonts w:ascii="David" w:hAnsi="David"/>
          <w:b/>
          <w:bCs/>
          <w:sz w:val="26"/>
          <w:szCs w:val="26"/>
          <w:rtl/>
        </w:rPr>
        <w:t>מאסר</w:t>
      </w:r>
      <w:r>
        <w:rPr>
          <w:rFonts w:ascii="David" w:hAnsi="David"/>
          <w:sz w:val="26"/>
          <w:szCs w:val="26"/>
          <w:rtl/>
        </w:rPr>
        <w:t xml:space="preserve">. </w:t>
      </w:r>
    </w:p>
    <w:p w14:paraId="7A91F131" w14:textId="77777777" w:rsidR="00B52F96" w:rsidRDefault="00B52F96" w:rsidP="00B52F96">
      <w:pPr>
        <w:spacing w:line="360" w:lineRule="auto"/>
        <w:jc w:val="both"/>
        <w:rPr>
          <w:rFonts w:ascii="David" w:hAnsi="David"/>
          <w:sz w:val="26"/>
          <w:szCs w:val="26"/>
          <w:rtl/>
        </w:rPr>
      </w:pPr>
    </w:p>
    <w:p w14:paraId="4BDEEC6C" w14:textId="77777777" w:rsidR="00B52F96" w:rsidRDefault="00B52F96" w:rsidP="00B52F96">
      <w:pPr>
        <w:spacing w:line="360" w:lineRule="auto"/>
        <w:jc w:val="both"/>
        <w:rPr>
          <w:rFonts w:ascii="David" w:hAnsi="David"/>
          <w:sz w:val="26"/>
          <w:szCs w:val="26"/>
          <w:rtl/>
        </w:rPr>
      </w:pPr>
      <w:r>
        <w:rPr>
          <w:rFonts w:ascii="David" w:hAnsi="David"/>
          <w:sz w:val="26"/>
          <w:szCs w:val="26"/>
          <w:rtl/>
        </w:rPr>
        <w:t>בגזר הדין ב</w:t>
      </w:r>
      <w:hyperlink r:id="rId42" w:history="1">
        <w:r w:rsidR="000348ED" w:rsidRPr="000348ED">
          <w:rPr>
            <w:rFonts w:ascii="David" w:hAnsi="David"/>
            <w:color w:val="0000FF"/>
            <w:sz w:val="26"/>
            <w:szCs w:val="26"/>
            <w:u w:val="single"/>
            <w:rtl/>
          </w:rPr>
          <w:t>ת"פ (מחוזי חי') 4676-01-20</w:t>
        </w:r>
      </w:hyperlink>
      <w:r w:rsidR="000348ED">
        <w:rPr>
          <w:rFonts w:ascii="David" w:hAnsi="David"/>
          <w:sz w:val="26"/>
          <w:szCs w:val="26"/>
        </w:rPr>
        <w:t xml:space="preserve"> </w:t>
      </w:r>
      <w:r w:rsidR="000348ED">
        <w:rPr>
          <w:rFonts w:ascii="David" w:hAnsi="David"/>
          <w:b/>
          <w:bCs/>
          <w:sz w:val="26"/>
          <w:szCs w:val="26"/>
        </w:rPr>
        <w:t xml:space="preserve"> </w:t>
      </w:r>
      <w:r>
        <w:rPr>
          <w:rFonts w:ascii="David" w:hAnsi="David"/>
          <w:b/>
          <w:bCs/>
          <w:sz w:val="26"/>
          <w:szCs w:val="26"/>
          <w:rtl/>
        </w:rPr>
        <w:t>מ"י נ' אסמאעיל</w:t>
      </w:r>
      <w:r w:rsidR="000348ED">
        <w:rPr>
          <w:rFonts w:ascii="David" w:hAnsi="David"/>
          <w:b/>
          <w:bCs/>
          <w:sz w:val="26"/>
          <w:szCs w:val="26"/>
          <w:rtl/>
        </w:rPr>
        <w:t xml:space="preserve"> </w:t>
      </w:r>
      <w:r>
        <w:rPr>
          <w:rFonts w:ascii="David" w:hAnsi="David"/>
          <w:sz w:val="26"/>
          <w:szCs w:val="26"/>
          <w:rtl/>
        </w:rPr>
        <w:t xml:space="preserve">(17.1.2021) נדון עניינם של אב (הנאשם 1) ובנו (הנאשם 2), אשר הורשעו, בין היתר, בעבירה של ניסיון לעסקה אחרת בנשק ובקשירת קשר לפשע בכך </w:t>
      </w:r>
      <w:r>
        <w:rPr>
          <w:rFonts w:ascii="David" w:hAnsi="David"/>
          <w:sz w:val="26"/>
          <w:szCs w:val="26"/>
          <w:u w:val="single"/>
          <w:rtl/>
        </w:rPr>
        <w:t>שקשרו קשר לרכוש מאחר שלושה אקדחים ושתי מחסניות ובהמשך אף קשרו קשר לסחור בנשקים אלה</w:t>
      </w:r>
      <w:r>
        <w:rPr>
          <w:rFonts w:ascii="David" w:hAnsi="David"/>
          <w:sz w:val="26"/>
          <w:szCs w:val="26"/>
          <w:rtl/>
        </w:rPr>
        <w:t xml:space="preserve">, בכך שהאב ימכור אותם, באמצעות אחרים. בדומה לעניין </w:t>
      </w:r>
      <w:r>
        <w:rPr>
          <w:rFonts w:ascii="David" w:hAnsi="David"/>
          <w:b/>
          <w:bCs/>
          <w:sz w:val="26"/>
          <w:szCs w:val="26"/>
          <w:rtl/>
        </w:rPr>
        <w:t>מורייחי</w:t>
      </w:r>
      <w:r>
        <w:rPr>
          <w:rFonts w:ascii="David" w:hAnsi="David"/>
          <w:sz w:val="26"/>
          <w:szCs w:val="26"/>
          <w:rtl/>
        </w:rPr>
        <w:t xml:space="preserve">, שהובא לעיל, עשו כבר הנשקים את דרכם ארצה לצורך מימוש העסקה, אך נתפסו בדרכם על ידי המשטרה. בשל חלקם השונה במעשים, והדומיננטיות הגבוהה יותר של האב, נקבע בעניינו בגין מעשים אלה מתחם ענישה </w:t>
      </w:r>
      <w:r>
        <w:rPr>
          <w:rFonts w:ascii="David" w:hAnsi="David"/>
          <w:b/>
          <w:bCs/>
          <w:sz w:val="26"/>
          <w:szCs w:val="26"/>
          <w:rtl/>
        </w:rPr>
        <w:t>הנע בין 24 ל-48 חודשים</w:t>
      </w:r>
      <w:r>
        <w:rPr>
          <w:rFonts w:ascii="David" w:hAnsi="David"/>
          <w:sz w:val="26"/>
          <w:szCs w:val="26"/>
          <w:rtl/>
        </w:rPr>
        <w:t xml:space="preserve">, ואילו בעניינו של הנאשם 2 נקבע מתחם מעט מתון יותר </w:t>
      </w:r>
      <w:r>
        <w:rPr>
          <w:rFonts w:ascii="David" w:hAnsi="David"/>
          <w:b/>
          <w:bCs/>
          <w:sz w:val="26"/>
          <w:szCs w:val="26"/>
          <w:rtl/>
        </w:rPr>
        <w:t>הנע בין 18 ל-32 חודשי מאסר</w:t>
      </w:r>
      <w:r>
        <w:rPr>
          <w:rFonts w:ascii="David" w:hAnsi="David"/>
          <w:sz w:val="26"/>
          <w:szCs w:val="26"/>
          <w:rtl/>
        </w:rPr>
        <w:t xml:space="preserve">. על הנאשם 2 הושת </w:t>
      </w:r>
      <w:r>
        <w:rPr>
          <w:rFonts w:ascii="David" w:hAnsi="David"/>
          <w:b/>
          <w:bCs/>
          <w:sz w:val="26"/>
          <w:szCs w:val="26"/>
          <w:rtl/>
        </w:rPr>
        <w:t>עונש מאסר בן 20 חודשים</w:t>
      </w:r>
      <w:r>
        <w:rPr>
          <w:rFonts w:ascii="David" w:hAnsi="David"/>
          <w:sz w:val="26"/>
          <w:szCs w:val="26"/>
          <w:rtl/>
        </w:rPr>
        <w:t>. הנאשם 1 הורשע בעבירות נוספות, שאינן רלוונטיות לדיון הנוכחי, ובהתאם אף הושת עליו עונש חמור בהרבה.</w:t>
      </w:r>
    </w:p>
    <w:p w14:paraId="4220BC62" w14:textId="77777777" w:rsidR="00B52F96" w:rsidRPr="00B52F96" w:rsidRDefault="00B52F96" w:rsidP="00B52F96">
      <w:pPr>
        <w:spacing w:line="360" w:lineRule="auto"/>
        <w:jc w:val="both"/>
        <w:rPr>
          <w:rFonts w:ascii="Calibri" w:hAnsi="Calibri"/>
          <w:sz w:val="26"/>
          <w:szCs w:val="26"/>
          <w:rtl/>
        </w:rPr>
      </w:pPr>
    </w:p>
    <w:p w14:paraId="7CE7CA93" w14:textId="77777777" w:rsidR="00B52F96" w:rsidRDefault="00B52F96" w:rsidP="00B52F96">
      <w:pPr>
        <w:spacing w:line="360" w:lineRule="auto"/>
        <w:jc w:val="both"/>
        <w:rPr>
          <w:sz w:val="26"/>
          <w:szCs w:val="26"/>
          <w:rtl/>
        </w:rPr>
      </w:pPr>
      <w:r>
        <w:rPr>
          <w:sz w:val="26"/>
          <w:szCs w:val="26"/>
          <w:rtl/>
        </w:rPr>
        <w:t>ב</w:t>
      </w:r>
      <w:hyperlink r:id="rId43" w:history="1">
        <w:r w:rsidR="000348ED" w:rsidRPr="000348ED">
          <w:rPr>
            <w:color w:val="0000FF"/>
            <w:sz w:val="26"/>
            <w:szCs w:val="26"/>
            <w:u w:val="single"/>
            <w:rtl/>
          </w:rPr>
          <w:t>ת"פ (מחוזי י-ם) 20778-11-12</w:t>
        </w:r>
      </w:hyperlink>
      <w:r>
        <w:rPr>
          <w:b/>
          <w:bCs/>
          <w:sz w:val="26"/>
          <w:szCs w:val="26"/>
          <w:rtl/>
        </w:rPr>
        <w:t xml:space="preserve"> מ"י נ' סלפיתי</w:t>
      </w:r>
      <w:r w:rsidR="000348ED">
        <w:rPr>
          <w:sz w:val="26"/>
          <w:szCs w:val="26"/>
          <w:rtl/>
        </w:rPr>
        <w:t xml:space="preserve"> </w:t>
      </w:r>
      <w:r>
        <w:rPr>
          <w:sz w:val="26"/>
          <w:szCs w:val="26"/>
          <w:rtl/>
        </w:rPr>
        <w:t>(7.5.13), הורשע נאשם 4, על פי הודאתו בעבירה של</w:t>
      </w:r>
      <w:r w:rsidR="000348ED">
        <w:rPr>
          <w:sz w:val="26"/>
          <w:szCs w:val="26"/>
          <w:rtl/>
        </w:rPr>
        <w:t xml:space="preserve"> </w:t>
      </w:r>
      <w:r>
        <w:rPr>
          <w:sz w:val="26"/>
          <w:szCs w:val="26"/>
          <w:rtl/>
        </w:rPr>
        <w:t>ניסיון</w:t>
      </w:r>
      <w:r w:rsidR="000348ED">
        <w:rPr>
          <w:sz w:val="26"/>
          <w:szCs w:val="26"/>
          <w:rtl/>
        </w:rPr>
        <w:t xml:space="preserve"> </w:t>
      </w:r>
      <w:r>
        <w:rPr>
          <w:sz w:val="26"/>
          <w:szCs w:val="26"/>
          <w:rtl/>
        </w:rPr>
        <w:t xml:space="preserve">לבצע עסקה אחרת, בכך ששוחח עם נאשם אחר מספר פעמים לאורך יממה אחת </w:t>
      </w:r>
      <w:r>
        <w:rPr>
          <w:sz w:val="26"/>
          <w:szCs w:val="26"/>
          <w:u w:val="single"/>
          <w:rtl/>
        </w:rPr>
        <w:t>וביקש ממנו להשיג עבורו כלי נשק</w:t>
      </w:r>
      <w:r>
        <w:rPr>
          <w:sz w:val="26"/>
          <w:szCs w:val="26"/>
          <w:rtl/>
        </w:rPr>
        <w:t xml:space="preserve"> מסוג בלתי ידוע. בית המשפט קבע </w:t>
      </w:r>
      <w:r>
        <w:rPr>
          <w:b/>
          <w:bCs/>
          <w:sz w:val="26"/>
          <w:szCs w:val="26"/>
          <w:rtl/>
        </w:rPr>
        <w:t>מתחם ענישה הנע בין 6 ל-24 חודשי מאסר</w:t>
      </w:r>
      <w:r>
        <w:rPr>
          <w:sz w:val="26"/>
          <w:szCs w:val="26"/>
          <w:rtl/>
        </w:rPr>
        <w:t>. הנאשם, בעל עבר פלילי לא מבוטל, נדון ל-</w:t>
      </w:r>
      <w:r>
        <w:rPr>
          <w:b/>
          <w:bCs/>
          <w:sz w:val="26"/>
          <w:szCs w:val="26"/>
          <w:rtl/>
        </w:rPr>
        <w:t>8 חודשי מאסר בפועל</w:t>
      </w:r>
      <w:r>
        <w:rPr>
          <w:sz w:val="26"/>
          <w:szCs w:val="26"/>
          <w:rtl/>
        </w:rPr>
        <w:t xml:space="preserve">. באותה פרשה ממש, נגזר בהמשך, ביום 11.7.13, דינו של הנאשם 6, אשר הורשע על פי הודאתו </w:t>
      </w:r>
      <w:r>
        <w:rPr>
          <w:sz w:val="26"/>
          <w:szCs w:val="26"/>
          <w:u w:val="single"/>
          <w:rtl/>
        </w:rPr>
        <w:t>בשתי עבירות של ניסיון לעסקה אחרת בנשק</w:t>
      </w:r>
      <w:r>
        <w:rPr>
          <w:sz w:val="26"/>
          <w:szCs w:val="26"/>
          <w:rtl/>
        </w:rPr>
        <w:t xml:space="preserve">, אשר באו לידי ביטוי בשתי שיחות טלפון. </w:t>
      </w:r>
      <w:r>
        <w:rPr>
          <w:sz w:val="26"/>
          <w:szCs w:val="26"/>
          <w:u w:val="single"/>
          <w:rtl/>
        </w:rPr>
        <w:t>בשיחה הראשונה ניסה הנאשם למכור נשק לאחר, ובשנייה, כעבור חודש, ניסה לתווך בעסקה למכירת שני כלי נשק</w:t>
      </w:r>
      <w:r>
        <w:rPr>
          <w:sz w:val="26"/>
          <w:szCs w:val="26"/>
          <w:rtl/>
        </w:rPr>
        <w:t xml:space="preserve">. לא הייתה בשיחות התייחסות לנשק ספציפי, והשיחות לא השתכללו לכדי מעשים. </w:t>
      </w:r>
      <w:r>
        <w:rPr>
          <w:b/>
          <w:bCs/>
          <w:sz w:val="26"/>
          <w:szCs w:val="26"/>
          <w:rtl/>
        </w:rPr>
        <w:t>נקבע מתחם עונש הולם של 12 עד 40 חודשי מאסר</w:t>
      </w:r>
      <w:r>
        <w:rPr>
          <w:sz w:val="26"/>
          <w:szCs w:val="26"/>
          <w:rtl/>
        </w:rPr>
        <w:t xml:space="preserve">, ועל הנאשם, בעל עבר פלילי, הוטל עונש של </w:t>
      </w:r>
      <w:r>
        <w:rPr>
          <w:b/>
          <w:bCs/>
          <w:sz w:val="26"/>
          <w:szCs w:val="26"/>
          <w:rtl/>
        </w:rPr>
        <w:t>18 חודשי מאסר בפועל.</w:t>
      </w:r>
      <w:r>
        <w:rPr>
          <w:sz w:val="26"/>
          <w:szCs w:val="26"/>
          <w:rtl/>
        </w:rPr>
        <w:t xml:space="preserve"> ערעור שהגיש הנאשם 6 לבית המשפט העליון (</w:t>
      </w:r>
      <w:hyperlink r:id="rId44" w:history="1">
        <w:r w:rsidR="000348ED" w:rsidRPr="000348ED">
          <w:rPr>
            <w:color w:val="0000FF"/>
            <w:sz w:val="26"/>
            <w:szCs w:val="26"/>
            <w:u w:val="single"/>
            <w:rtl/>
          </w:rPr>
          <w:t>ע"פ 5947/13</w:t>
        </w:r>
      </w:hyperlink>
      <w:r>
        <w:rPr>
          <w:sz w:val="26"/>
          <w:szCs w:val="26"/>
          <w:rtl/>
        </w:rPr>
        <w:t xml:space="preserve"> </w:t>
      </w:r>
      <w:r>
        <w:rPr>
          <w:b/>
          <w:bCs/>
          <w:sz w:val="26"/>
          <w:szCs w:val="26"/>
          <w:rtl/>
        </w:rPr>
        <w:t>קילאני נ' מ"י</w:t>
      </w:r>
      <w:r>
        <w:rPr>
          <w:sz w:val="26"/>
          <w:szCs w:val="26"/>
          <w:rtl/>
        </w:rPr>
        <w:t xml:space="preserve"> (4.12.13)), בו הלין על הפער בענישה בינו לבין הנאשם 4, נדחה ובית המשפט העליון שב ועמד על ההבחנות בין המעשים: ניסיון לרכוש נשק אחד, בעניינו של הנאשם 4, לעומת שני אירועים נפרדים בהם ניסה הנאשם 6 להעביר סך כולל של 3 כלי נשק שונים לידי אחרים. </w:t>
      </w:r>
    </w:p>
    <w:p w14:paraId="63535479" w14:textId="77777777" w:rsidR="00B52F96" w:rsidRDefault="00B52F96" w:rsidP="00B52F96">
      <w:pPr>
        <w:spacing w:line="360" w:lineRule="auto"/>
        <w:jc w:val="both"/>
        <w:rPr>
          <w:sz w:val="26"/>
          <w:szCs w:val="26"/>
          <w:rtl/>
        </w:rPr>
      </w:pPr>
    </w:p>
    <w:p w14:paraId="0EDC9587" w14:textId="77777777" w:rsidR="00B52F96" w:rsidRDefault="00B52F96" w:rsidP="00B52F96">
      <w:pPr>
        <w:spacing w:line="360" w:lineRule="auto"/>
        <w:jc w:val="both"/>
        <w:rPr>
          <w:rFonts w:ascii="David" w:hAnsi="David"/>
          <w:sz w:val="26"/>
          <w:szCs w:val="26"/>
          <w:rtl/>
        </w:rPr>
      </w:pPr>
      <w:r>
        <w:rPr>
          <w:rFonts w:ascii="David" w:hAnsi="David"/>
          <w:sz w:val="26"/>
          <w:szCs w:val="26"/>
          <w:rtl/>
        </w:rPr>
        <w:t>פסק דין נוסף שדן בהרחבה בסוגיות העונשיות הרלוונטיות לענייננו הנו גזר הדין רחב היריעה שניתן ב</w:t>
      </w:r>
      <w:hyperlink r:id="rId45" w:history="1">
        <w:r w:rsidR="000348ED" w:rsidRPr="000348ED">
          <w:rPr>
            <w:rFonts w:ascii="David" w:hAnsi="David"/>
            <w:color w:val="0000FF"/>
            <w:sz w:val="26"/>
            <w:szCs w:val="26"/>
            <w:u w:val="single"/>
            <w:rtl/>
          </w:rPr>
          <w:t>ת"פ (מחוזי י-ם) 4795-12-17</w:t>
        </w:r>
      </w:hyperlink>
      <w:r w:rsidR="000348ED">
        <w:rPr>
          <w:rFonts w:ascii="David" w:hAnsi="David"/>
          <w:sz w:val="26"/>
          <w:szCs w:val="26"/>
        </w:rPr>
        <w:t xml:space="preserve"> </w:t>
      </w:r>
      <w:r>
        <w:rPr>
          <w:rFonts w:ascii="David" w:hAnsi="David"/>
          <w:b/>
          <w:bCs/>
          <w:sz w:val="26"/>
          <w:szCs w:val="26"/>
          <w:rtl/>
        </w:rPr>
        <w:t>מ"י נ' בדראן</w:t>
      </w:r>
      <w:r>
        <w:rPr>
          <w:rFonts w:ascii="David" w:hAnsi="David"/>
          <w:sz w:val="26"/>
          <w:szCs w:val="26"/>
          <w:rtl/>
        </w:rPr>
        <w:t xml:space="preserve"> (18.12.19), ובו סקר בית המשפט, בפסקה 127 לגזר הדין, את</w:t>
      </w:r>
      <w:r>
        <w:rPr>
          <w:rFonts w:ascii="David" w:hAnsi="David"/>
          <w:sz w:val="26"/>
          <w:szCs w:val="26"/>
          <w:u w:val="single"/>
          <w:rtl/>
        </w:rPr>
        <w:t xml:space="preserve"> הענישה הנוהגת בעבירות של עסקה אחרת בנשק</w:t>
      </w:r>
      <w:r>
        <w:rPr>
          <w:rFonts w:ascii="David" w:hAnsi="David"/>
          <w:sz w:val="26"/>
          <w:szCs w:val="26"/>
          <w:rtl/>
        </w:rPr>
        <w:t xml:space="preserve"> ומצא כי טווח הענישה רחב וכי הוא תלוי, בין היתר, בסוג הנשק שבו נעשתה העסקה, חלקו של הנאשם בעסקה והשאלה האם העסקה הושלמה אם לאו. בית המשפט הפנה ל</w:t>
      </w:r>
      <w:hyperlink r:id="rId46" w:history="1">
        <w:r w:rsidR="000348ED" w:rsidRPr="000348ED">
          <w:rPr>
            <w:rFonts w:ascii="David" w:hAnsi="David"/>
            <w:color w:val="0000FF"/>
            <w:sz w:val="26"/>
            <w:szCs w:val="26"/>
            <w:u w:val="single"/>
            <w:rtl/>
          </w:rPr>
          <w:t>ע"פ 8045/17</w:t>
        </w:r>
      </w:hyperlink>
      <w:r w:rsidR="000348ED">
        <w:rPr>
          <w:rFonts w:ascii="David" w:hAnsi="David"/>
          <w:sz w:val="26"/>
          <w:szCs w:val="26"/>
          <w:rtl/>
        </w:rPr>
        <w:t xml:space="preserve"> </w:t>
      </w:r>
      <w:r>
        <w:rPr>
          <w:rFonts w:ascii="David" w:hAnsi="David"/>
          <w:b/>
          <w:bCs/>
          <w:sz w:val="26"/>
          <w:szCs w:val="26"/>
          <w:rtl/>
        </w:rPr>
        <w:t>בראנסי נ' מ"י</w:t>
      </w:r>
      <w:r w:rsidR="000348ED">
        <w:rPr>
          <w:rFonts w:ascii="David" w:hAnsi="David"/>
          <w:sz w:val="26"/>
          <w:szCs w:val="26"/>
          <w:rtl/>
        </w:rPr>
        <w:t xml:space="preserve"> </w:t>
      </w:r>
      <w:r>
        <w:rPr>
          <w:rFonts w:ascii="David" w:hAnsi="David"/>
          <w:sz w:val="26"/>
          <w:szCs w:val="26"/>
          <w:rtl/>
        </w:rPr>
        <w:t xml:space="preserve">(16.8.2018), בו נקבע </w:t>
      </w:r>
      <w:r>
        <w:rPr>
          <w:rFonts w:ascii="David" w:hAnsi="David"/>
          <w:b/>
          <w:bCs/>
          <w:sz w:val="26"/>
          <w:szCs w:val="26"/>
          <w:rtl/>
        </w:rPr>
        <w:t>מתחם ענישה הנע בין 24 ל-48 חודשי מאסר</w:t>
      </w:r>
      <w:r>
        <w:rPr>
          <w:rFonts w:ascii="David" w:hAnsi="David"/>
          <w:sz w:val="26"/>
          <w:szCs w:val="26"/>
          <w:rtl/>
        </w:rPr>
        <w:t xml:space="preserve"> בגין עסקה מוגמרת של מכירת אקדח, וציין כי על פי הפסיקה, במקרים של הרשעה </w:t>
      </w:r>
      <w:r>
        <w:rPr>
          <w:rFonts w:ascii="David" w:hAnsi="David"/>
          <w:sz w:val="26"/>
          <w:szCs w:val="26"/>
          <w:u w:val="single"/>
          <w:rtl/>
        </w:rPr>
        <w:t>בעבירות של ניסיון לביצוע עסקה אחרת בנשק,</w:t>
      </w:r>
      <w:r>
        <w:rPr>
          <w:rFonts w:ascii="David" w:hAnsi="David"/>
          <w:sz w:val="26"/>
          <w:szCs w:val="26"/>
          <w:rtl/>
        </w:rPr>
        <w:t xml:space="preserve"> נקבעו דרך כלל מתחמי ענישה העומדים על כמחצית ממתחם הענישה שנקבע לגבי מי שהורשעו בביצוע עבירות מושלמות. </w:t>
      </w:r>
    </w:p>
    <w:p w14:paraId="3F612147" w14:textId="77777777" w:rsidR="00B52F96" w:rsidRPr="00B52F96" w:rsidRDefault="00B52F96" w:rsidP="00B52F96">
      <w:pPr>
        <w:spacing w:line="360" w:lineRule="auto"/>
        <w:jc w:val="both"/>
        <w:rPr>
          <w:rFonts w:ascii="Calibri" w:hAnsi="Calibri"/>
          <w:sz w:val="26"/>
          <w:szCs w:val="26"/>
          <w:rtl/>
        </w:rPr>
      </w:pPr>
    </w:p>
    <w:p w14:paraId="0C467457" w14:textId="77777777" w:rsidR="00B52F96" w:rsidRDefault="00B52F96" w:rsidP="00B52F96">
      <w:pPr>
        <w:spacing w:line="360" w:lineRule="auto"/>
        <w:jc w:val="both"/>
        <w:rPr>
          <w:sz w:val="26"/>
          <w:szCs w:val="26"/>
          <w:rtl/>
        </w:rPr>
      </w:pPr>
      <w:r>
        <w:rPr>
          <w:sz w:val="26"/>
          <w:szCs w:val="26"/>
          <w:rtl/>
        </w:rPr>
        <w:t>אם אשוב כעת לנסיבות המקרה שלפני, הרי ש</w:t>
      </w:r>
      <w:r>
        <w:rPr>
          <w:b/>
          <w:bCs/>
          <w:sz w:val="26"/>
          <w:szCs w:val="26"/>
          <w:rtl/>
        </w:rPr>
        <w:t>מידת הפגיעה בערכים המוגנים</w:t>
      </w:r>
      <w:r>
        <w:rPr>
          <w:sz w:val="26"/>
          <w:szCs w:val="26"/>
          <w:rtl/>
        </w:rPr>
        <w:t xml:space="preserve"> מצויה במקרה זה, </w:t>
      </w:r>
      <w:r>
        <w:rPr>
          <w:b/>
          <w:bCs/>
          <w:sz w:val="26"/>
          <w:szCs w:val="26"/>
          <w:rtl/>
        </w:rPr>
        <w:t>במדרג חומרה נמוך-בינוני</w:t>
      </w:r>
      <w:r>
        <w:rPr>
          <w:sz w:val="26"/>
          <w:szCs w:val="26"/>
          <w:rtl/>
        </w:rPr>
        <w:t xml:space="preserve">. מחד, מדובר בהתכתבות גרידא, אשר נפרשה על פני פרק זמן קצר של כשעה בלבד, מבלי שהובילה לבסוף לידי עסקה מוגמרת, ומבלי שזו הבשילה לכדי תחילת יישום בפועל, זאת בשונה ממקרים אחרים שהוצגו לעיל, בהם גובשה הסכמה והנשקים אף החלו לעשות את דרכם לידי הקונה, בטרם נעצרה הפעילות על ידי המשטרה. מנגד, לחומרה, עולה מעובדות כתב האישום כי הנאשם היה בזו הפעם בצד המוכר וכי מדובר היה באקדח קונקרטי אשר היה בהישג ידו ובשליטתו, באופן שאפשר לו לממש ללא קושי את העסקה, אילו הייתה מתגבשת הסכמה לגבי המחיר. הנאשם אף עשה ככל יכולתו על מנת לממש את העסקה, ובתוך כך שלח לעמיד סרטון ותמונות של האקדח, וניסה בהתמדה לשכנע אותו לרכוש את הנשק.  </w:t>
      </w:r>
    </w:p>
    <w:p w14:paraId="05E9F564" w14:textId="77777777" w:rsidR="00B52F96" w:rsidRDefault="00B52F96" w:rsidP="00B52F96">
      <w:pPr>
        <w:spacing w:line="360" w:lineRule="auto"/>
        <w:jc w:val="both"/>
        <w:rPr>
          <w:sz w:val="26"/>
          <w:szCs w:val="26"/>
          <w:rtl/>
        </w:rPr>
      </w:pPr>
    </w:p>
    <w:p w14:paraId="7B77B140" w14:textId="77777777" w:rsidR="00B52F96" w:rsidRDefault="00B52F96" w:rsidP="00B52F96">
      <w:pPr>
        <w:spacing w:line="360" w:lineRule="auto"/>
        <w:jc w:val="both"/>
        <w:rPr>
          <w:sz w:val="26"/>
          <w:szCs w:val="26"/>
          <w:rtl/>
        </w:rPr>
      </w:pPr>
      <w:r>
        <w:rPr>
          <w:sz w:val="26"/>
          <w:szCs w:val="26"/>
          <w:rtl/>
        </w:rPr>
        <w:t xml:space="preserve">ובאשר למתחם, הרי כפי שניתן היה ללמוד מהפסיקה שהוצגה לעיל, הרי שאת מתחם העונש ההולם יש לגזור תוך מתן משקל למגוון רחב של נסיבות רלבנטיות וביניהן, מבלי שייתפס הדבר כרשימה סגורה, סוגי כלי הנשק המדוברים וכמותם, מעמדו של הנאשם בעסקה – מוכר, קונה או מתווך – היקף וטיב הפעולות שננקטו לצורך קידום העסקה, מידת הקרבה להשלמתה והסיבה בעטיה לא יצאה אל הפועל. בנסיבות המקרה שלפני, כאשר מדובר במי שבאופן חד פעמי ניסה באמצעות התכתבות קצרה למכור אקדח, אך בשל אי הסכמה על איכות האקדח או על המחיר לא גובשה הסכמה ועל כן גם לא ננקטה כל פעילות נוספת לקידום העסקה, הרי </w:t>
      </w:r>
      <w:r>
        <w:rPr>
          <w:b/>
          <w:bCs/>
          <w:sz w:val="26"/>
          <w:szCs w:val="26"/>
          <w:rtl/>
        </w:rPr>
        <w:t>שמתחם העונש ההולם נע בין 12 ל-30 חודשי מאסר בפועל</w:t>
      </w:r>
      <w:r>
        <w:rPr>
          <w:sz w:val="26"/>
          <w:szCs w:val="26"/>
          <w:rtl/>
        </w:rPr>
        <w:t xml:space="preserve">, לצד ענישה נלווית. </w:t>
      </w:r>
    </w:p>
    <w:p w14:paraId="39D7DFBC" w14:textId="77777777" w:rsidR="00B52F96" w:rsidRDefault="00B52F96" w:rsidP="00B52F96">
      <w:pPr>
        <w:spacing w:line="360" w:lineRule="auto"/>
        <w:jc w:val="both"/>
        <w:rPr>
          <w:sz w:val="26"/>
          <w:szCs w:val="26"/>
          <w:rtl/>
        </w:rPr>
      </w:pPr>
    </w:p>
    <w:p w14:paraId="29AEEFF6" w14:textId="77777777" w:rsidR="00B52F96" w:rsidRDefault="00B52F96" w:rsidP="00B52F96">
      <w:pPr>
        <w:spacing w:line="360" w:lineRule="auto"/>
        <w:jc w:val="both"/>
        <w:rPr>
          <w:b/>
          <w:bCs/>
          <w:sz w:val="26"/>
          <w:szCs w:val="26"/>
          <w:rtl/>
        </w:rPr>
      </w:pPr>
      <w:r>
        <w:rPr>
          <w:b/>
          <w:bCs/>
          <w:sz w:val="26"/>
          <w:szCs w:val="26"/>
          <w:rtl/>
        </w:rPr>
        <w:t>באשר לעבירות קשירת הקשר</w:t>
      </w:r>
      <w:r>
        <w:rPr>
          <w:sz w:val="26"/>
          <w:szCs w:val="26"/>
          <w:rtl/>
        </w:rPr>
        <w:t xml:space="preserve"> שבשני האישומים הראשונים, לא מצאתי צורך להרחיב. אישומים אלה נוסחו בכתב האישום המתוקן באופן תמציתי ולקוני, וכל שנאמר בהם הוא כי הנאשם קשר עם אחרים קשר להחזיק כלי נשק שונים וכי במועד מסוים קשר עם אחר לבצע עסקה אחרת בנשק באמצעות הודעות "ווטסאפ". אין כל פירוט לגבי סוג והיקף הנשקים, ואף לא לגבי טיב העסקה האחרת, מעמדו וחלקו של הנאשם בה. בנסיבות אלה יש לקבוע לצד כל אחד מהאישומים הללו מתחם מתון הנע בין </w:t>
      </w:r>
      <w:r>
        <w:rPr>
          <w:b/>
          <w:bCs/>
          <w:sz w:val="26"/>
          <w:szCs w:val="26"/>
          <w:rtl/>
        </w:rPr>
        <w:t>מספר חודשי מאסר בפועל ועד עשרה חודשי מאסר.</w:t>
      </w:r>
    </w:p>
    <w:p w14:paraId="373880D7" w14:textId="77777777" w:rsidR="00B52F96" w:rsidRDefault="00B52F96" w:rsidP="00B52F96">
      <w:pPr>
        <w:spacing w:line="360" w:lineRule="auto"/>
        <w:jc w:val="both"/>
        <w:rPr>
          <w:sz w:val="26"/>
          <w:szCs w:val="26"/>
          <w:rtl/>
        </w:rPr>
      </w:pPr>
    </w:p>
    <w:p w14:paraId="0DB39518" w14:textId="77777777" w:rsidR="00B52F96" w:rsidRDefault="00B52F96" w:rsidP="00B52F96">
      <w:pPr>
        <w:spacing w:line="360" w:lineRule="auto"/>
        <w:jc w:val="both"/>
        <w:rPr>
          <w:sz w:val="26"/>
          <w:szCs w:val="26"/>
          <w:rtl/>
        </w:rPr>
      </w:pPr>
      <w:r>
        <w:rPr>
          <w:sz w:val="26"/>
          <w:szCs w:val="26"/>
          <w:rtl/>
        </w:rPr>
        <w:t>משנקבעו מתחמי הענישה ההולמים את מעשיו של הנאשם, יש לאתר את העונש המתאים בגדרם בהתחשב בנסיבותיו של הנאשם, בעברו ובדפוסיו. בעניינו של הנאשם שלפני קיימים מספר נתונים המצדיקים הימנעות ממיצוי הדין עמו, ובראשם העובדה כי בחר להודות בעובדות כתב האישום המתוקן ובכך חסך זמן ציבורי רב. יתרה מכך, הנאשם נטל אחריות על המעשים והביע חרטה, באופן המעורר תקווה כי ישכיל לשנות את דרכיו בעתיד. עוד יש להזכיר בהקשר זה כי מדובר באדם בוגר, כבן 36, נשוי ואב לחמישה ילדים, אשר משמש, כך לדברי בא כוחו, כמפרנס יחיד למשפחתו הגרעינית והמורחבת.</w:t>
      </w:r>
    </w:p>
    <w:p w14:paraId="3D6B7D28" w14:textId="77777777" w:rsidR="00B52F96" w:rsidRDefault="00B52F96" w:rsidP="00B52F96">
      <w:pPr>
        <w:spacing w:line="360" w:lineRule="auto"/>
        <w:jc w:val="both"/>
        <w:rPr>
          <w:sz w:val="26"/>
          <w:szCs w:val="26"/>
          <w:rtl/>
        </w:rPr>
      </w:pPr>
    </w:p>
    <w:p w14:paraId="5FAD2D4A" w14:textId="77777777" w:rsidR="00B52F96" w:rsidRDefault="00B52F96" w:rsidP="00B52F96">
      <w:pPr>
        <w:spacing w:line="360" w:lineRule="auto"/>
        <w:jc w:val="both"/>
        <w:rPr>
          <w:sz w:val="26"/>
          <w:szCs w:val="26"/>
          <w:rtl/>
        </w:rPr>
      </w:pPr>
      <w:r>
        <w:rPr>
          <w:sz w:val="26"/>
          <w:szCs w:val="26"/>
          <w:rtl/>
        </w:rPr>
        <w:t xml:space="preserve">מנגד, אין מנוס מלציין את עברו הפלילי המכביד של הנאשם. אמנם אין לחובתו הרשעות קודמות בעבירות נשק, אך מגיליון הרישום הפלילי ע/1 עולה כי כבר נשא בעבר פעמיים בתקופות מאסר ממושכות, ולא היה בכך כדי להרתיעו מפני ביצוע עבירות חמורות נוספות. גם מאסרים מותנים שהושתו בעבר לא הובילו להרתעה, ואלו הופעלו נגדו מששב לסורו. בתוך כך, הורשע הנאשם בשנת 2010 בעבירות של גניבת רכב, קשירת קשר לפשע, תקיפת שוטר וסיכון חיי אדם בנתיב תחבורה, </w:t>
      </w:r>
      <w:r>
        <w:rPr>
          <w:b/>
          <w:bCs/>
          <w:sz w:val="26"/>
          <w:szCs w:val="26"/>
          <w:rtl/>
        </w:rPr>
        <w:t>ונדון ל-39 חודשי מאסר בפועל</w:t>
      </w:r>
      <w:r>
        <w:rPr>
          <w:sz w:val="26"/>
          <w:szCs w:val="26"/>
          <w:rtl/>
        </w:rPr>
        <w:t xml:space="preserve">, תקופה שכללה הפעלת מאסר מותנה. בהמשך, בשנת 2014, </w:t>
      </w:r>
      <w:r>
        <w:rPr>
          <w:b/>
          <w:bCs/>
          <w:sz w:val="26"/>
          <w:szCs w:val="26"/>
          <w:rtl/>
        </w:rPr>
        <w:t>נדון ל-35 חודשי מאסר בפועל</w:t>
      </w:r>
      <w:r>
        <w:rPr>
          <w:sz w:val="26"/>
          <w:szCs w:val="26"/>
          <w:rtl/>
        </w:rPr>
        <w:t xml:space="preserve">, כולל תנאי שהופעל, לאחר שהורשע פעם נוספת בגניבת רכב ובעבירות נלוות. אמנם מאז שחרורו מהמאסר ועד להסתבכותו הנוכחית לא נרשמו לחובתו הרשעות נוספות, אך עינינו הרואות כי בחלוף שנים אחדות בלבד חזר הנאשם להתנהלות פלילית מובהקת, והפעם על דרך של עיסוק מקיף בתחום עבירות הנשק, שעל חומרתן עמדתי לעיל בהרחבה. </w:t>
      </w:r>
    </w:p>
    <w:p w14:paraId="11AF4DD9" w14:textId="77777777" w:rsidR="00B52F96" w:rsidRDefault="00B52F96" w:rsidP="00B52F96">
      <w:pPr>
        <w:spacing w:line="360" w:lineRule="auto"/>
        <w:jc w:val="both"/>
        <w:rPr>
          <w:sz w:val="26"/>
          <w:szCs w:val="26"/>
          <w:rtl/>
        </w:rPr>
      </w:pPr>
    </w:p>
    <w:p w14:paraId="0D4A28C5" w14:textId="77777777" w:rsidR="00B52F96" w:rsidRDefault="00B52F96" w:rsidP="00B52F96">
      <w:pPr>
        <w:spacing w:line="360" w:lineRule="auto"/>
        <w:jc w:val="both"/>
        <w:rPr>
          <w:sz w:val="26"/>
          <w:szCs w:val="26"/>
          <w:rtl/>
        </w:rPr>
      </w:pPr>
      <w:r>
        <w:rPr>
          <w:sz w:val="26"/>
          <w:szCs w:val="26"/>
          <w:rtl/>
        </w:rPr>
        <w:t xml:space="preserve">בנסיבות אלה אני סבור כי יש למקם את עונשו של הנאשם מעט מתחת למרכזם של מתחמי הענישה השונים שקבעתי, ובשים לב למעורבותו העמוקה בעולם הנשק, כפי שהיא באה לידי ביטוי באישומים השונים שבכתב האישום המתוקן, לעברו הפלילי המכביד ולהכרח להעניק בעבירות מעין אלה משקל בכורה לשיקולי הגמול וההרתעה על פני השיקולים האישיים והמשפחתיים של הנאשם, יש להטיל עליו פעם נוספת עונש מאסר ממושך, לצד מאסרים מותנים וקנס כספי הולם, המתחשב ביכולותיו הכלכליות. </w:t>
      </w:r>
    </w:p>
    <w:p w14:paraId="710AC41D" w14:textId="77777777" w:rsidR="00B52F96" w:rsidRDefault="00B52F96" w:rsidP="00B52F96">
      <w:pPr>
        <w:spacing w:line="360" w:lineRule="auto"/>
        <w:jc w:val="both"/>
        <w:rPr>
          <w:sz w:val="26"/>
          <w:szCs w:val="26"/>
          <w:rtl/>
        </w:rPr>
      </w:pPr>
    </w:p>
    <w:p w14:paraId="45126F5E" w14:textId="77777777" w:rsidR="00B52F96" w:rsidRDefault="00B52F96" w:rsidP="00B52F96">
      <w:pPr>
        <w:spacing w:line="360" w:lineRule="auto"/>
        <w:jc w:val="both"/>
        <w:rPr>
          <w:sz w:val="26"/>
          <w:szCs w:val="26"/>
          <w:rtl/>
        </w:rPr>
      </w:pPr>
    </w:p>
    <w:p w14:paraId="6F47331A" w14:textId="77777777" w:rsidR="00B52F96" w:rsidRDefault="00B52F96" w:rsidP="00B52F96">
      <w:pPr>
        <w:spacing w:line="360" w:lineRule="auto"/>
        <w:jc w:val="both"/>
        <w:rPr>
          <w:b/>
          <w:bCs/>
          <w:sz w:val="26"/>
          <w:szCs w:val="26"/>
          <w:u w:val="single"/>
          <w:rtl/>
        </w:rPr>
      </w:pPr>
      <w:r>
        <w:rPr>
          <w:b/>
          <w:bCs/>
          <w:sz w:val="26"/>
          <w:szCs w:val="26"/>
          <w:u w:val="single"/>
          <w:rtl/>
        </w:rPr>
        <w:t>אשר על כן אני גוזר על הנאשם את העונשים הבאים:</w:t>
      </w:r>
    </w:p>
    <w:p w14:paraId="19805100" w14:textId="77777777" w:rsidR="00B52F96" w:rsidRDefault="00B52F96" w:rsidP="00B52F96">
      <w:pPr>
        <w:spacing w:line="360" w:lineRule="auto"/>
        <w:jc w:val="both"/>
        <w:rPr>
          <w:b/>
          <w:bCs/>
          <w:sz w:val="26"/>
          <w:szCs w:val="26"/>
          <w:u w:val="single"/>
          <w:rtl/>
        </w:rPr>
      </w:pPr>
    </w:p>
    <w:p w14:paraId="6AB03DD8" w14:textId="77777777" w:rsidR="00B52F96" w:rsidRDefault="00B52F96" w:rsidP="00B52F96">
      <w:pPr>
        <w:numPr>
          <w:ilvl w:val="0"/>
          <w:numId w:val="1"/>
        </w:numPr>
        <w:spacing w:line="360" w:lineRule="auto"/>
        <w:jc w:val="both"/>
        <w:rPr>
          <w:sz w:val="26"/>
          <w:szCs w:val="26"/>
          <w:rtl/>
        </w:rPr>
      </w:pPr>
      <w:r>
        <w:rPr>
          <w:sz w:val="26"/>
          <w:szCs w:val="26"/>
          <w:rtl/>
        </w:rPr>
        <w:t>מאסר בפועל למשך 45 חודשים מיום המעצר – 25.2.21.</w:t>
      </w:r>
    </w:p>
    <w:p w14:paraId="0641874D" w14:textId="77777777" w:rsidR="00B52F96" w:rsidRDefault="00B52F96" w:rsidP="00B52F96">
      <w:pPr>
        <w:spacing w:line="360" w:lineRule="auto"/>
        <w:ind w:left="1080"/>
        <w:jc w:val="both"/>
        <w:rPr>
          <w:sz w:val="26"/>
          <w:szCs w:val="26"/>
        </w:rPr>
      </w:pPr>
    </w:p>
    <w:p w14:paraId="1AF043CE" w14:textId="77777777" w:rsidR="00B52F96" w:rsidRDefault="00B52F96" w:rsidP="00B52F96">
      <w:pPr>
        <w:numPr>
          <w:ilvl w:val="0"/>
          <w:numId w:val="1"/>
        </w:numPr>
        <w:spacing w:line="360" w:lineRule="auto"/>
        <w:jc w:val="both"/>
        <w:rPr>
          <w:sz w:val="26"/>
          <w:szCs w:val="26"/>
        </w:rPr>
      </w:pPr>
      <w:r>
        <w:rPr>
          <w:sz w:val="26"/>
          <w:szCs w:val="26"/>
          <w:rtl/>
        </w:rPr>
        <w:t xml:space="preserve">12 חודשי מאסר על תנאי </w:t>
      </w:r>
      <w:r>
        <w:rPr>
          <w:rStyle w:val="normal-h"/>
          <w:sz w:val="26"/>
          <w:szCs w:val="26"/>
          <w:rtl/>
        </w:rPr>
        <w:t>והתנאי הוא כי במשך 3 שנים מיום שחרורו מהמאסר לא יעבור הנאשם עבירת נשק מסוג פשע.</w:t>
      </w:r>
    </w:p>
    <w:p w14:paraId="0E65FD79" w14:textId="77777777" w:rsidR="00B52F96" w:rsidRDefault="00B52F96" w:rsidP="00B52F96">
      <w:pPr>
        <w:spacing w:line="360" w:lineRule="auto"/>
        <w:jc w:val="both"/>
        <w:rPr>
          <w:rStyle w:val="normal-h"/>
        </w:rPr>
      </w:pPr>
    </w:p>
    <w:p w14:paraId="79B9B0F1" w14:textId="77777777" w:rsidR="00B52F96" w:rsidRDefault="00B52F96" w:rsidP="00B52F96">
      <w:pPr>
        <w:numPr>
          <w:ilvl w:val="0"/>
          <w:numId w:val="1"/>
        </w:numPr>
        <w:spacing w:line="360" w:lineRule="auto"/>
        <w:jc w:val="both"/>
        <w:rPr>
          <w:rStyle w:val="normal-h"/>
          <w:sz w:val="26"/>
          <w:szCs w:val="26"/>
        </w:rPr>
      </w:pPr>
      <w:r>
        <w:rPr>
          <w:rStyle w:val="normal-h"/>
          <w:sz w:val="26"/>
          <w:szCs w:val="26"/>
          <w:rtl/>
        </w:rPr>
        <w:t>6 חודשי מאסר על תנאי והתנאי הוא כי במשך 3 שנים מיום שחרורו מהמאסר לא יעבור הנאשם עבירת נשק מסוג עוון או עבירה של קישרת קשר לפשע.</w:t>
      </w:r>
    </w:p>
    <w:p w14:paraId="63C61146" w14:textId="77777777" w:rsidR="00B52F96" w:rsidRDefault="00B52F96" w:rsidP="00B52F96">
      <w:pPr>
        <w:spacing w:line="360" w:lineRule="auto"/>
        <w:jc w:val="both"/>
        <w:rPr>
          <w:rStyle w:val="normal-h"/>
          <w:sz w:val="26"/>
          <w:szCs w:val="26"/>
        </w:rPr>
      </w:pPr>
    </w:p>
    <w:p w14:paraId="409190DB" w14:textId="77777777" w:rsidR="00B52F96" w:rsidRDefault="00B52F96" w:rsidP="00B52F96">
      <w:pPr>
        <w:numPr>
          <w:ilvl w:val="0"/>
          <w:numId w:val="1"/>
        </w:numPr>
        <w:spacing w:line="360" w:lineRule="auto"/>
        <w:jc w:val="both"/>
        <w:rPr>
          <w:rStyle w:val="normal-h"/>
          <w:sz w:val="26"/>
          <w:szCs w:val="26"/>
        </w:rPr>
      </w:pPr>
      <w:r>
        <w:rPr>
          <w:rStyle w:val="normal-h"/>
          <w:sz w:val="26"/>
          <w:szCs w:val="26"/>
          <w:rtl/>
        </w:rPr>
        <w:t>קנס בסך 12,000 ₪ או 100 ימי מאסר תמורתו. הקנס ישולם ב-12 תשלומים חודשיים שווים ורצופים, החל מיום 1.5.22.</w:t>
      </w:r>
    </w:p>
    <w:p w14:paraId="2B6F0703" w14:textId="77777777" w:rsidR="00B52F96" w:rsidRDefault="00B52F96" w:rsidP="00B52F96">
      <w:pPr>
        <w:spacing w:line="360" w:lineRule="auto"/>
        <w:jc w:val="both"/>
      </w:pPr>
    </w:p>
    <w:p w14:paraId="5D6CD5AE" w14:textId="77777777" w:rsidR="00B52F96" w:rsidRDefault="00B52F96" w:rsidP="00B52F96">
      <w:pPr>
        <w:spacing w:line="360" w:lineRule="auto"/>
        <w:ind w:left="360"/>
        <w:jc w:val="both"/>
        <w:rPr>
          <w:rStyle w:val="normal-h"/>
          <w:b/>
          <w:bCs/>
          <w:u w:val="single"/>
          <w:rtl/>
        </w:rPr>
      </w:pPr>
      <w:r>
        <w:rPr>
          <w:rStyle w:val="normal-h"/>
          <w:b/>
          <w:bCs/>
          <w:sz w:val="26"/>
          <w:szCs w:val="26"/>
          <w:u w:val="single"/>
          <w:rtl/>
        </w:rPr>
        <w:t>המוצגים יחולטו או יושמדו בהתאם לשיקול דעת המשטרה.</w:t>
      </w:r>
    </w:p>
    <w:p w14:paraId="334E5B03" w14:textId="77777777" w:rsidR="00B52F96" w:rsidRDefault="00B52F96" w:rsidP="00B52F96">
      <w:pPr>
        <w:spacing w:line="360" w:lineRule="auto"/>
        <w:jc w:val="both"/>
        <w:rPr>
          <w:rStyle w:val="normal-h"/>
          <w:b/>
          <w:bCs/>
          <w:sz w:val="26"/>
          <w:szCs w:val="26"/>
          <w:u w:val="single"/>
          <w:rtl/>
        </w:rPr>
      </w:pPr>
    </w:p>
    <w:p w14:paraId="60066405" w14:textId="77777777" w:rsidR="00B52F96" w:rsidRDefault="00B52F96" w:rsidP="00B52F96">
      <w:pPr>
        <w:spacing w:line="360" w:lineRule="auto"/>
        <w:ind w:left="360"/>
        <w:jc w:val="both"/>
        <w:rPr>
          <w:rStyle w:val="normal-h"/>
          <w:b/>
          <w:bCs/>
          <w:sz w:val="26"/>
          <w:szCs w:val="26"/>
          <w:u w:val="single"/>
          <w:rtl/>
        </w:rPr>
      </w:pPr>
      <w:r>
        <w:rPr>
          <w:rStyle w:val="normal-h"/>
          <w:b/>
          <w:bCs/>
          <w:sz w:val="26"/>
          <w:szCs w:val="26"/>
          <w:u w:val="single"/>
          <w:rtl/>
        </w:rPr>
        <w:t>זכות ערעור בתוך 45 ימים.</w:t>
      </w:r>
    </w:p>
    <w:p w14:paraId="7037FD2A" w14:textId="77777777" w:rsidR="00B52F96" w:rsidRPr="000348ED" w:rsidRDefault="000348ED" w:rsidP="00B52F96">
      <w:pPr>
        <w:rPr>
          <w:rFonts w:ascii="David" w:hAnsi="David"/>
          <w:color w:val="FFFFFF"/>
          <w:sz w:val="2"/>
          <w:szCs w:val="2"/>
          <w:rtl/>
        </w:rPr>
      </w:pPr>
      <w:r w:rsidRPr="000348ED">
        <w:rPr>
          <w:rFonts w:ascii="David" w:hAnsi="David"/>
          <w:color w:val="FFFFFF"/>
          <w:sz w:val="2"/>
          <w:szCs w:val="2"/>
          <w:rtl/>
        </w:rPr>
        <w:t>5129371</w:t>
      </w:r>
    </w:p>
    <w:p w14:paraId="2EF81CEF" w14:textId="77777777" w:rsidR="00B52F96" w:rsidRPr="000348ED" w:rsidRDefault="000348ED" w:rsidP="00B52F96">
      <w:pPr>
        <w:rPr>
          <w:rFonts w:ascii="David" w:hAnsi="David"/>
          <w:color w:val="FFFFFF"/>
          <w:sz w:val="2"/>
          <w:szCs w:val="2"/>
          <w:rtl/>
        </w:rPr>
      </w:pPr>
      <w:r w:rsidRPr="000348ED">
        <w:rPr>
          <w:rFonts w:ascii="David" w:hAnsi="David"/>
          <w:color w:val="FFFFFF"/>
          <w:sz w:val="2"/>
          <w:szCs w:val="2"/>
          <w:rtl/>
        </w:rPr>
        <w:t>54678313</w:t>
      </w:r>
    </w:p>
    <w:p w14:paraId="7F7ACD38" w14:textId="77777777" w:rsidR="00B52F96" w:rsidRPr="002B7D23" w:rsidRDefault="00B52F96" w:rsidP="00B52F96">
      <w:pPr>
        <w:rPr>
          <w:rFonts w:ascii="David" w:hAnsi="David"/>
          <w:sz w:val="26"/>
          <w:szCs w:val="26"/>
          <w:rtl/>
        </w:rPr>
      </w:pPr>
    </w:p>
    <w:p w14:paraId="251FD9BA" w14:textId="77777777" w:rsidR="00B52F96" w:rsidRPr="002B7D23" w:rsidRDefault="000348ED" w:rsidP="00B52F96">
      <w:pPr>
        <w:rPr>
          <w:rFonts w:ascii="David" w:hAnsi="David"/>
          <w:sz w:val="26"/>
          <w:szCs w:val="26"/>
          <w:rtl/>
        </w:rPr>
      </w:pPr>
      <w:bookmarkStart w:id="10" w:name="Nitan"/>
      <w:r>
        <w:rPr>
          <w:rFonts w:ascii="David" w:hAnsi="David"/>
          <w:sz w:val="26"/>
          <w:szCs w:val="26"/>
          <w:rtl/>
        </w:rPr>
        <w:t xml:space="preserve">ניתן היום,  כ"ג שבט תשפ"ב, 25 ינואר 2022, במעמד הצדדים. </w:t>
      </w:r>
      <w:bookmarkEnd w:id="10"/>
    </w:p>
    <w:p w14:paraId="51F07C20" w14:textId="77777777" w:rsidR="00B52F96" w:rsidRPr="002B7D23" w:rsidRDefault="00B52F96" w:rsidP="000348ED">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1D6C360" w14:textId="77777777" w:rsidR="00B52F96" w:rsidRPr="006E52F2" w:rsidRDefault="006E52F2" w:rsidP="00B52F96">
      <w:pPr>
        <w:jc w:val="center"/>
        <w:rPr>
          <w:rFonts w:ascii="David" w:hAnsi="David"/>
          <w:color w:val="FFFFFF"/>
          <w:sz w:val="2"/>
          <w:szCs w:val="2"/>
          <w:rtl/>
        </w:rPr>
      </w:pPr>
      <w:r w:rsidRPr="006E52F2">
        <w:rPr>
          <w:rFonts w:ascii="David" w:hAnsi="David"/>
          <w:color w:val="FFFFFF"/>
          <w:sz w:val="2"/>
          <w:szCs w:val="2"/>
          <w:rtl/>
        </w:rPr>
        <w:t>5129371</w:t>
      </w:r>
    </w:p>
    <w:p w14:paraId="7711F4FE" w14:textId="77777777" w:rsidR="00E65ED8" w:rsidRPr="006E52F2" w:rsidRDefault="006E52F2" w:rsidP="000348ED">
      <w:pPr>
        <w:keepNext/>
        <w:rPr>
          <w:rFonts w:ascii="David" w:hAnsi="David"/>
          <w:color w:val="FFFFFF"/>
          <w:sz w:val="2"/>
          <w:szCs w:val="2"/>
          <w:rtl/>
        </w:rPr>
      </w:pPr>
      <w:r w:rsidRPr="006E52F2">
        <w:rPr>
          <w:rFonts w:ascii="David" w:hAnsi="David"/>
          <w:color w:val="FFFFFF"/>
          <w:sz w:val="2"/>
          <w:szCs w:val="2"/>
          <w:rtl/>
        </w:rPr>
        <w:t>54678313</w:t>
      </w:r>
    </w:p>
    <w:p w14:paraId="06F09A2E" w14:textId="77777777" w:rsidR="000348ED" w:rsidRPr="000348ED" w:rsidRDefault="000348ED" w:rsidP="000348ED">
      <w:pPr>
        <w:keepNext/>
        <w:rPr>
          <w:rFonts w:ascii="David" w:hAnsi="David"/>
          <w:color w:val="000000"/>
          <w:sz w:val="22"/>
          <w:szCs w:val="22"/>
          <w:rtl/>
        </w:rPr>
      </w:pPr>
      <w:r w:rsidRPr="000348ED">
        <w:rPr>
          <w:rFonts w:ascii="David" w:hAnsi="David"/>
          <w:color w:val="000000"/>
          <w:sz w:val="22"/>
          <w:szCs w:val="22"/>
          <w:rtl/>
        </w:rPr>
        <w:t>חגי טרסי 54678313</w:t>
      </w:r>
    </w:p>
    <w:p w14:paraId="57578B62" w14:textId="77777777" w:rsidR="000348ED" w:rsidRDefault="000348ED" w:rsidP="000348ED">
      <w:r w:rsidRPr="000348ED">
        <w:rPr>
          <w:color w:val="000000"/>
          <w:rtl/>
        </w:rPr>
        <w:t>נוסח מסמך זה כפוף לשינויי ניסוח ועריכה</w:t>
      </w:r>
    </w:p>
    <w:p w14:paraId="548B230A" w14:textId="77777777" w:rsidR="000348ED" w:rsidRDefault="000348ED" w:rsidP="000348ED">
      <w:pPr>
        <w:rPr>
          <w:rtl/>
        </w:rPr>
      </w:pPr>
    </w:p>
    <w:p w14:paraId="78CC1ACF" w14:textId="77777777" w:rsidR="000348ED" w:rsidRDefault="000348ED" w:rsidP="000348ED">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492D71C8" w14:textId="77777777" w:rsidR="006E52F2" w:rsidRPr="006E52F2" w:rsidRDefault="006E52F2" w:rsidP="006E52F2">
      <w:pPr>
        <w:keepNext/>
        <w:rPr>
          <w:rFonts w:ascii="David" w:hAnsi="David"/>
          <w:color w:val="000000"/>
          <w:sz w:val="22"/>
          <w:szCs w:val="22"/>
          <w:rtl/>
        </w:rPr>
      </w:pPr>
    </w:p>
    <w:sectPr w:rsidR="006E52F2" w:rsidRPr="006E52F2" w:rsidSect="006E52F2">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EB620" w14:textId="77777777" w:rsidR="00205963" w:rsidRDefault="00205963" w:rsidP="00176062">
      <w:r>
        <w:separator/>
      </w:r>
    </w:p>
  </w:endnote>
  <w:endnote w:type="continuationSeparator" w:id="0">
    <w:p w14:paraId="3B80A343" w14:textId="77777777" w:rsidR="00205963" w:rsidRDefault="00205963" w:rsidP="00176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01554" w14:textId="77777777" w:rsidR="006E52F2" w:rsidRDefault="006E52F2" w:rsidP="006E52F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5F049F" w14:textId="77777777" w:rsidR="002B0150" w:rsidRPr="006E52F2" w:rsidRDefault="006E52F2" w:rsidP="006E52F2">
    <w:pPr>
      <w:pStyle w:val="a5"/>
      <w:pBdr>
        <w:top w:val="single" w:sz="4" w:space="1" w:color="auto"/>
        <w:between w:val="single" w:sz="4" w:space="0" w:color="auto"/>
      </w:pBdr>
      <w:spacing w:after="60"/>
      <w:jc w:val="center"/>
      <w:rPr>
        <w:rFonts w:ascii="FrankRuehl" w:hAnsi="FrankRuehl" w:cs="FrankRuehl"/>
        <w:color w:val="000000"/>
      </w:rPr>
    </w:pPr>
    <w:r w:rsidRPr="006E52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0AEA" w14:textId="77777777" w:rsidR="006E52F2" w:rsidRDefault="006E52F2" w:rsidP="006E52F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620D3">
      <w:rPr>
        <w:rFonts w:ascii="FrankRuehl" w:hAnsi="FrankRuehl" w:cs="FrankRuehl"/>
        <w:noProof/>
        <w:rtl/>
      </w:rPr>
      <w:t>1</w:t>
    </w:r>
    <w:r>
      <w:rPr>
        <w:rFonts w:ascii="FrankRuehl" w:hAnsi="FrankRuehl" w:cs="FrankRuehl"/>
        <w:rtl/>
      </w:rPr>
      <w:fldChar w:fldCharType="end"/>
    </w:r>
  </w:p>
  <w:p w14:paraId="62EB67E8" w14:textId="77777777" w:rsidR="002B0150" w:rsidRPr="006E52F2" w:rsidRDefault="006E52F2" w:rsidP="006E52F2">
    <w:pPr>
      <w:pStyle w:val="a5"/>
      <w:pBdr>
        <w:top w:val="single" w:sz="4" w:space="1" w:color="auto"/>
        <w:between w:val="single" w:sz="4" w:space="0" w:color="auto"/>
      </w:pBdr>
      <w:spacing w:after="60"/>
      <w:jc w:val="center"/>
      <w:rPr>
        <w:rFonts w:ascii="FrankRuehl" w:hAnsi="FrankRuehl" w:cs="FrankRuehl"/>
        <w:color w:val="000000"/>
      </w:rPr>
    </w:pPr>
    <w:r w:rsidRPr="006E52F2">
      <w:rPr>
        <w:rFonts w:ascii="FrankRuehl" w:hAnsi="FrankRuehl" w:cs="FrankRuehl"/>
        <w:color w:val="000000"/>
      </w:rPr>
      <w:pict w14:anchorId="33B50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651F2" w14:textId="77777777" w:rsidR="00205963" w:rsidRDefault="00205963" w:rsidP="00176062">
      <w:r>
        <w:separator/>
      </w:r>
    </w:p>
  </w:footnote>
  <w:footnote w:type="continuationSeparator" w:id="0">
    <w:p w14:paraId="00C3E1DC" w14:textId="77777777" w:rsidR="00205963" w:rsidRDefault="00205963" w:rsidP="00176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48EB2" w14:textId="77777777" w:rsidR="000348ED" w:rsidRPr="006E52F2" w:rsidRDefault="006E52F2" w:rsidP="006E52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25639-03-21</w:t>
    </w:r>
    <w:r>
      <w:rPr>
        <w:rFonts w:ascii="David" w:hAnsi="David"/>
        <w:color w:val="000000"/>
        <w:sz w:val="22"/>
        <w:szCs w:val="22"/>
        <w:rtl/>
      </w:rPr>
      <w:tab/>
      <w:t xml:space="preserve"> מדינת ישראל  נ' קאסם תאיה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124E6" w14:textId="77777777" w:rsidR="000348ED" w:rsidRPr="006E52F2" w:rsidRDefault="006E52F2" w:rsidP="006E52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25639-03-21</w:t>
    </w:r>
    <w:r>
      <w:rPr>
        <w:rFonts w:ascii="David" w:hAnsi="David"/>
        <w:color w:val="000000"/>
        <w:sz w:val="22"/>
        <w:szCs w:val="22"/>
        <w:rtl/>
      </w:rPr>
      <w:tab/>
      <w:t xml:space="preserve"> מדינת ישראל  נ' קאסם תאיה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D1755"/>
    <w:multiLevelType w:val="hybridMultilevel"/>
    <w:tmpl w:val="20CA5CF6"/>
    <w:lvl w:ilvl="0" w:tplc="F9F6DE0C">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3835571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2F96"/>
    <w:rsid w:val="000348ED"/>
    <w:rsid w:val="00176062"/>
    <w:rsid w:val="00205963"/>
    <w:rsid w:val="002B0150"/>
    <w:rsid w:val="00453345"/>
    <w:rsid w:val="00526F42"/>
    <w:rsid w:val="006620D3"/>
    <w:rsid w:val="006C455B"/>
    <w:rsid w:val="006E52F2"/>
    <w:rsid w:val="00722708"/>
    <w:rsid w:val="00741698"/>
    <w:rsid w:val="00802D86"/>
    <w:rsid w:val="009A4E4C"/>
    <w:rsid w:val="00B52F96"/>
    <w:rsid w:val="00C779D0"/>
    <w:rsid w:val="00DF3908"/>
    <w:rsid w:val="00E65E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6BDD06"/>
  <w15:chartTrackingRefBased/>
  <w15:docId w15:val="{D2213EC3-2D6B-4382-AFC6-B2F571DA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2F9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2F96"/>
    <w:pPr>
      <w:tabs>
        <w:tab w:val="center" w:pos="4153"/>
        <w:tab w:val="right" w:pos="8306"/>
      </w:tabs>
    </w:pPr>
  </w:style>
  <w:style w:type="character" w:customStyle="1" w:styleId="a4">
    <w:name w:val="כותרת עליונה תו"/>
    <w:link w:val="a3"/>
    <w:rsid w:val="00B52F96"/>
    <w:rPr>
      <w:rFonts w:ascii="Times New Roman" w:eastAsia="Times New Roman" w:hAnsi="Times New Roman" w:cs="David"/>
      <w:sz w:val="24"/>
      <w:szCs w:val="24"/>
    </w:rPr>
  </w:style>
  <w:style w:type="paragraph" w:styleId="a5">
    <w:name w:val="footer"/>
    <w:basedOn w:val="a"/>
    <w:link w:val="a6"/>
    <w:rsid w:val="00B52F96"/>
    <w:pPr>
      <w:tabs>
        <w:tab w:val="center" w:pos="4153"/>
        <w:tab w:val="right" w:pos="8306"/>
      </w:tabs>
    </w:pPr>
  </w:style>
  <w:style w:type="character" w:customStyle="1" w:styleId="a6">
    <w:name w:val="כותרת תחתונה תו"/>
    <w:link w:val="a5"/>
    <w:rsid w:val="00B52F96"/>
    <w:rPr>
      <w:rFonts w:ascii="Times New Roman" w:eastAsia="Times New Roman" w:hAnsi="Times New Roman" w:cs="David"/>
      <w:sz w:val="24"/>
      <w:szCs w:val="24"/>
    </w:rPr>
  </w:style>
  <w:style w:type="table" w:styleId="a7">
    <w:name w:val="Table Grid"/>
    <w:basedOn w:val="a1"/>
    <w:rsid w:val="00B52F9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2F96"/>
  </w:style>
  <w:style w:type="character" w:styleId="Hyperlink">
    <w:name w:val="Hyperlink"/>
    <w:rsid w:val="00B52F96"/>
    <w:rPr>
      <w:color w:val="0000FF"/>
      <w:u w:val="single"/>
    </w:rPr>
  </w:style>
  <w:style w:type="character" w:customStyle="1" w:styleId="normal-h">
    <w:name w:val="normal-h"/>
    <w:rsid w:val="00B52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case/6473037"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5821327"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2607175" TargetMode="External"/><Relationship Id="rId42" Type="http://schemas.openxmlformats.org/officeDocument/2006/relationships/hyperlink" Target="http://www.nevo.co.il/case/26327814"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5" TargetMode="External"/><Relationship Id="rId29" Type="http://schemas.openxmlformats.org/officeDocument/2006/relationships/hyperlink" Target="http://www.nevo.co.il/case/26756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27309272" TargetMode="External"/><Relationship Id="rId32" Type="http://schemas.openxmlformats.org/officeDocument/2006/relationships/hyperlink" Target="http://www.nevo.co.il/case/21475135" TargetMode="External"/><Relationship Id="rId37" Type="http://schemas.openxmlformats.org/officeDocument/2006/relationships/hyperlink" Target="http://www.nevo.co.il/case/27227529" TargetMode="External"/><Relationship Id="rId40" Type="http://schemas.openxmlformats.org/officeDocument/2006/relationships/hyperlink" Target="http://www.nevo.co.il/case/26747892" TargetMode="External"/><Relationship Id="rId45" Type="http://schemas.openxmlformats.org/officeDocument/2006/relationships/hyperlink" Target="http://www.nevo.co.il/case/23383615"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144.b.2" TargetMode="External"/><Relationship Id="rId19" Type="http://schemas.openxmlformats.org/officeDocument/2006/relationships/hyperlink" Target="http://www.nevo.co.il/case/27915710" TargetMode="External"/><Relationship Id="rId31" Type="http://schemas.openxmlformats.org/officeDocument/2006/relationships/hyperlink" Target="http://www.nevo.co.il/case/16944929" TargetMode="External"/><Relationship Id="rId44" Type="http://schemas.openxmlformats.org/officeDocument/2006/relationships/hyperlink" Target="http://www.nevo.co.il/case/7980170"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824863"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case/25528737" TargetMode="External"/><Relationship Id="rId35" Type="http://schemas.openxmlformats.org/officeDocument/2006/relationships/hyperlink" Target="http://www.nevo.co.il/case/25890687" TargetMode="External"/><Relationship Id="rId43" Type="http://schemas.openxmlformats.org/officeDocument/2006/relationships/hyperlink" Target="http://www.nevo.co.il/case/4036214" TargetMode="External"/><Relationship Id="rId48" Type="http://schemas.openxmlformats.org/officeDocument/2006/relationships/header" Target="header1.xml"/><Relationship Id="rId8" Type="http://schemas.openxmlformats.org/officeDocument/2006/relationships/hyperlink" Target="http://www.nevo.co.il/law/70301/25"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safrut/bookgroup/412" TargetMode="External"/><Relationship Id="rId33" Type="http://schemas.openxmlformats.org/officeDocument/2006/relationships/hyperlink" Target="http://www.nevo.co.il/case/27510949" TargetMode="External"/><Relationship Id="rId38" Type="http://schemas.openxmlformats.org/officeDocument/2006/relationships/hyperlink" Target="http://www.nevo.co.il/law/70301/144.b2" TargetMode="External"/><Relationship Id="rId46" Type="http://schemas.openxmlformats.org/officeDocument/2006/relationships/hyperlink" Target="http://www.nevo.co.il/case/23750625" TargetMode="External"/><Relationship Id="rId20" Type="http://schemas.openxmlformats.org/officeDocument/2006/relationships/hyperlink" Target="http://www.nevo.co.il/case/7697292" TargetMode="External"/><Relationship Id="rId41" Type="http://schemas.openxmlformats.org/officeDocument/2006/relationships/hyperlink" Target="http://www.nevo.co.il/case/2683153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case/25063920" TargetMode="External"/><Relationship Id="rId28" Type="http://schemas.openxmlformats.org/officeDocument/2006/relationships/hyperlink" Target="http://www.nevo.co.il/case/28152132" TargetMode="External"/><Relationship Id="rId36" Type="http://schemas.openxmlformats.org/officeDocument/2006/relationships/hyperlink" Target="http://www.nevo.co.il/case/27503154"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4542</Words>
  <Characters>22714</Characters>
  <Application>Microsoft Office Word</Application>
  <DocSecurity>0</DocSecurity>
  <Lines>189</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27202</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3604596</vt:i4>
      </vt:variant>
      <vt:variant>
        <vt:i4>120</vt:i4>
      </vt:variant>
      <vt:variant>
        <vt:i4>0</vt:i4>
      </vt:variant>
      <vt:variant>
        <vt:i4>5</vt:i4>
      </vt:variant>
      <vt:variant>
        <vt:lpwstr>http://www.nevo.co.il/case/23750625</vt:lpwstr>
      </vt:variant>
      <vt:variant>
        <vt:lpwstr/>
      </vt:variant>
      <vt:variant>
        <vt:i4>3342457</vt:i4>
      </vt:variant>
      <vt:variant>
        <vt:i4>117</vt:i4>
      </vt:variant>
      <vt:variant>
        <vt:i4>0</vt:i4>
      </vt:variant>
      <vt:variant>
        <vt:i4>5</vt:i4>
      </vt:variant>
      <vt:variant>
        <vt:lpwstr>http://www.nevo.co.il/case/23383615</vt:lpwstr>
      </vt:variant>
      <vt:variant>
        <vt:lpwstr/>
      </vt:variant>
      <vt:variant>
        <vt:i4>4063354</vt:i4>
      </vt:variant>
      <vt:variant>
        <vt:i4>114</vt:i4>
      </vt:variant>
      <vt:variant>
        <vt:i4>0</vt:i4>
      </vt:variant>
      <vt:variant>
        <vt:i4>5</vt:i4>
      </vt:variant>
      <vt:variant>
        <vt:lpwstr>http://www.nevo.co.il/case/7980170</vt:lpwstr>
      </vt:variant>
      <vt:variant>
        <vt:lpwstr/>
      </vt:variant>
      <vt:variant>
        <vt:i4>3211379</vt:i4>
      </vt:variant>
      <vt:variant>
        <vt:i4>111</vt:i4>
      </vt:variant>
      <vt:variant>
        <vt:i4>0</vt:i4>
      </vt:variant>
      <vt:variant>
        <vt:i4>5</vt:i4>
      </vt:variant>
      <vt:variant>
        <vt:lpwstr>http://www.nevo.co.il/case/4036214</vt:lpwstr>
      </vt:variant>
      <vt:variant>
        <vt:lpwstr/>
      </vt:variant>
      <vt:variant>
        <vt:i4>3604600</vt:i4>
      </vt:variant>
      <vt:variant>
        <vt:i4>108</vt:i4>
      </vt:variant>
      <vt:variant>
        <vt:i4>0</vt:i4>
      </vt:variant>
      <vt:variant>
        <vt:i4>5</vt:i4>
      </vt:variant>
      <vt:variant>
        <vt:lpwstr>http://www.nevo.co.il/case/26327814</vt:lpwstr>
      </vt:variant>
      <vt:variant>
        <vt:lpwstr/>
      </vt:variant>
      <vt:variant>
        <vt:i4>3670132</vt:i4>
      </vt:variant>
      <vt:variant>
        <vt:i4>105</vt:i4>
      </vt:variant>
      <vt:variant>
        <vt:i4>0</vt:i4>
      </vt:variant>
      <vt:variant>
        <vt:i4>5</vt:i4>
      </vt:variant>
      <vt:variant>
        <vt:lpwstr>http://www.nevo.co.il/case/26831530</vt:lpwstr>
      </vt:variant>
      <vt:variant>
        <vt:lpwstr/>
      </vt:variant>
      <vt:variant>
        <vt:i4>3866750</vt:i4>
      </vt:variant>
      <vt:variant>
        <vt:i4>102</vt:i4>
      </vt:variant>
      <vt:variant>
        <vt:i4>0</vt:i4>
      </vt:variant>
      <vt:variant>
        <vt:i4>5</vt:i4>
      </vt:variant>
      <vt:variant>
        <vt:lpwstr>http://www.nevo.co.il/case/26747892</vt:lpwstr>
      </vt:variant>
      <vt:variant>
        <vt:lpwstr/>
      </vt:variant>
      <vt:variant>
        <vt:i4>3342463</vt:i4>
      </vt:variant>
      <vt:variant>
        <vt:i4>99</vt:i4>
      </vt:variant>
      <vt:variant>
        <vt:i4>0</vt:i4>
      </vt:variant>
      <vt:variant>
        <vt:i4>5</vt:i4>
      </vt:variant>
      <vt:variant>
        <vt:lpwstr>http://www.nevo.co.il/case/5821327</vt:lpwstr>
      </vt:variant>
      <vt:variant>
        <vt:lpwstr/>
      </vt:variant>
      <vt:variant>
        <vt:i4>8192050</vt:i4>
      </vt:variant>
      <vt:variant>
        <vt:i4>96</vt:i4>
      </vt:variant>
      <vt:variant>
        <vt:i4>0</vt:i4>
      </vt:variant>
      <vt:variant>
        <vt:i4>5</vt:i4>
      </vt:variant>
      <vt:variant>
        <vt:lpwstr>http://www.nevo.co.il/law/70301/144.b2</vt:lpwstr>
      </vt:variant>
      <vt:variant>
        <vt:lpwstr/>
      </vt:variant>
      <vt:variant>
        <vt:i4>3473524</vt:i4>
      </vt:variant>
      <vt:variant>
        <vt:i4>93</vt:i4>
      </vt:variant>
      <vt:variant>
        <vt:i4>0</vt:i4>
      </vt:variant>
      <vt:variant>
        <vt:i4>5</vt:i4>
      </vt:variant>
      <vt:variant>
        <vt:lpwstr>http://www.nevo.co.il/case/27227529</vt:lpwstr>
      </vt:variant>
      <vt:variant>
        <vt:lpwstr/>
      </vt:variant>
      <vt:variant>
        <vt:i4>3211378</vt:i4>
      </vt:variant>
      <vt:variant>
        <vt:i4>90</vt:i4>
      </vt:variant>
      <vt:variant>
        <vt:i4>0</vt:i4>
      </vt:variant>
      <vt:variant>
        <vt:i4>5</vt:i4>
      </vt:variant>
      <vt:variant>
        <vt:lpwstr>http://www.nevo.co.il/case/27503154</vt:lpwstr>
      </vt:variant>
      <vt:variant>
        <vt:lpwstr/>
      </vt:variant>
      <vt:variant>
        <vt:i4>3276926</vt:i4>
      </vt:variant>
      <vt:variant>
        <vt:i4>87</vt:i4>
      </vt:variant>
      <vt:variant>
        <vt:i4>0</vt:i4>
      </vt:variant>
      <vt:variant>
        <vt:i4>5</vt:i4>
      </vt:variant>
      <vt:variant>
        <vt:lpwstr>http://www.nevo.co.il/case/25890687</vt:lpwstr>
      </vt:variant>
      <vt:variant>
        <vt:lpwstr/>
      </vt:variant>
      <vt:variant>
        <vt:i4>3407991</vt:i4>
      </vt:variant>
      <vt:variant>
        <vt:i4>84</vt:i4>
      </vt:variant>
      <vt:variant>
        <vt:i4>0</vt:i4>
      </vt:variant>
      <vt:variant>
        <vt:i4>5</vt:i4>
      </vt:variant>
      <vt:variant>
        <vt:lpwstr>http://www.nevo.co.il/case/22607175</vt:lpwstr>
      </vt:variant>
      <vt:variant>
        <vt:lpwstr/>
      </vt:variant>
      <vt:variant>
        <vt:i4>3342459</vt:i4>
      </vt:variant>
      <vt:variant>
        <vt:i4>81</vt:i4>
      </vt:variant>
      <vt:variant>
        <vt:i4>0</vt:i4>
      </vt:variant>
      <vt:variant>
        <vt:i4>5</vt:i4>
      </vt:variant>
      <vt:variant>
        <vt:lpwstr>http://www.nevo.co.il/case/27510949</vt:lpwstr>
      </vt:variant>
      <vt:variant>
        <vt:lpwstr/>
      </vt:variant>
      <vt:variant>
        <vt:i4>3145843</vt:i4>
      </vt:variant>
      <vt:variant>
        <vt:i4>78</vt:i4>
      </vt:variant>
      <vt:variant>
        <vt:i4>0</vt:i4>
      </vt:variant>
      <vt:variant>
        <vt:i4>5</vt:i4>
      </vt:variant>
      <vt:variant>
        <vt:lpwstr>http://www.nevo.co.il/case/21475135</vt:lpwstr>
      </vt:variant>
      <vt:variant>
        <vt:lpwstr/>
      </vt:variant>
      <vt:variant>
        <vt:i4>4063359</vt:i4>
      </vt:variant>
      <vt:variant>
        <vt:i4>75</vt:i4>
      </vt:variant>
      <vt:variant>
        <vt:i4>0</vt:i4>
      </vt:variant>
      <vt:variant>
        <vt:i4>5</vt:i4>
      </vt:variant>
      <vt:variant>
        <vt:lpwstr>http://www.nevo.co.il/case/16944929</vt:lpwstr>
      </vt:variant>
      <vt:variant>
        <vt:lpwstr/>
      </vt:variant>
      <vt:variant>
        <vt:i4>3932276</vt:i4>
      </vt:variant>
      <vt:variant>
        <vt:i4>72</vt:i4>
      </vt:variant>
      <vt:variant>
        <vt:i4>0</vt:i4>
      </vt:variant>
      <vt:variant>
        <vt:i4>5</vt:i4>
      </vt:variant>
      <vt:variant>
        <vt:lpwstr>http://www.nevo.co.il/case/25528737</vt:lpwstr>
      </vt:variant>
      <vt:variant>
        <vt:lpwstr/>
      </vt:variant>
      <vt:variant>
        <vt:i4>3342452</vt:i4>
      </vt:variant>
      <vt:variant>
        <vt:i4>69</vt:i4>
      </vt:variant>
      <vt:variant>
        <vt:i4>0</vt:i4>
      </vt:variant>
      <vt:variant>
        <vt:i4>5</vt:i4>
      </vt:variant>
      <vt:variant>
        <vt:lpwstr>http://www.nevo.co.il/case/26756301</vt:lpwstr>
      </vt:variant>
      <vt:variant>
        <vt:lpwstr/>
      </vt:variant>
      <vt:variant>
        <vt:i4>3276920</vt:i4>
      </vt:variant>
      <vt:variant>
        <vt:i4>66</vt:i4>
      </vt:variant>
      <vt:variant>
        <vt:i4>0</vt:i4>
      </vt:variant>
      <vt:variant>
        <vt:i4>5</vt:i4>
      </vt:variant>
      <vt:variant>
        <vt:lpwstr>http://www.nevo.co.il/case/28152132</vt:lpwstr>
      </vt:variant>
      <vt:variant>
        <vt:lpwstr/>
      </vt:variant>
      <vt:variant>
        <vt:i4>3670139</vt:i4>
      </vt:variant>
      <vt:variant>
        <vt:i4>63</vt:i4>
      </vt:variant>
      <vt:variant>
        <vt:i4>0</vt:i4>
      </vt:variant>
      <vt:variant>
        <vt:i4>5</vt:i4>
      </vt:variant>
      <vt:variant>
        <vt:lpwstr>http://www.nevo.co.il/case/25824863</vt:lpwstr>
      </vt:variant>
      <vt:variant>
        <vt:lpwstr/>
      </vt:variant>
      <vt:variant>
        <vt:i4>7995492</vt:i4>
      </vt:variant>
      <vt:variant>
        <vt:i4>60</vt:i4>
      </vt:variant>
      <vt:variant>
        <vt:i4>0</vt:i4>
      </vt:variant>
      <vt:variant>
        <vt:i4>5</vt:i4>
      </vt:variant>
      <vt:variant>
        <vt:lpwstr>http://www.nevo.co.il/law/70301</vt:lpwstr>
      </vt:variant>
      <vt:variant>
        <vt:lpwstr/>
      </vt:variant>
      <vt:variant>
        <vt:i4>2097193</vt:i4>
      </vt:variant>
      <vt:variant>
        <vt:i4>57</vt:i4>
      </vt:variant>
      <vt:variant>
        <vt:i4>0</vt:i4>
      </vt:variant>
      <vt:variant>
        <vt:i4>5</vt:i4>
      </vt:variant>
      <vt:variant>
        <vt:lpwstr>http://www.nevo.co.il/safrut/bookgroup/412</vt:lpwstr>
      </vt:variant>
      <vt:variant>
        <vt:lpwstr/>
      </vt:variant>
      <vt:variant>
        <vt:i4>4128881</vt:i4>
      </vt:variant>
      <vt:variant>
        <vt:i4>54</vt:i4>
      </vt:variant>
      <vt:variant>
        <vt:i4>0</vt:i4>
      </vt:variant>
      <vt:variant>
        <vt:i4>5</vt:i4>
      </vt:variant>
      <vt:variant>
        <vt:lpwstr>http://www.nevo.co.il/case/27309272</vt:lpwstr>
      </vt:variant>
      <vt:variant>
        <vt:lpwstr/>
      </vt:variant>
      <vt:variant>
        <vt:i4>3342462</vt:i4>
      </vt:variant>
      <vt:variant>
        <vt:i4>51</vt:i4>
      </vt:variant>
      <vt:variant>
        <vt:i4>0</vt:i4>
      </vt:variant>
      <vt:variant>
        <vt:i4>5</vt:i4>
      </vt:variant>
      <vt:variant>
        <vt:lpwstr>http://www.nevo.co.il/case/25063920</vt:lpwstr>
      </vt:variant>
      <vt:variant>
        <vt:lpwstr/>
      </vt:variant>
      <vt:variant>
        <vt:i4>3670139</vt:i4>
      </vt:variant>
      <vt:variant>
        <vt:i4>48</vt:i4>
      </vt:variant>
      <vt:variant>
        <vt:i4>0</vt:i4>
      </vt:variant>
      <vt:variant>
        <vt:i4>5</vt:i4>
      </vt:variant>
      <vt:variant>
        <vt:lpwstr>http://www.nevo.co.il/case/25824863</vt:lpwstr>
      </vt:variant>
      <vt:variant>
        <vt:lpwstr/>
      </vt:variant>
      <vt:variant>
        <vt:i4>7995492</vt:i4>
      </vt:variant>
      <vt:variant>
        <vt:i4>45</vt:i4>
      </vt:variant>
      <vt:variant>
        <vt:i4>0</vt:i4>
      </vt:variant>
      <vt:variant>
        <vt:i4>5</vt:i4>
      </vt:variant>
      <vt:variant>
        <vt:lpwstr>http://www.nevo.co.il/law/70301</vt:lpwstr>
      </vt:variant>
      <vt:variant>
        <vt:lpwstr/>
      </vt:variant>
      <vt:variant>
        <vt:i4>4063356</vt:i4>
      </vt:variant>
      <vt:variant>
        <vt:i4>42</vt:i4>
      </vt:variant>
      <vt:variant>
        <vt:i4>0</vt:i4>
      </vt:variant>
      <vt:variant>
        <vt:i4>5</vt:i4>
      </vt:variant>
      <vt:variant>
        <vt:lpwstr>http://www.nevo.co.il/case/7697292</vt:lpwstr>
      </vt:variant>
      <vt:variant>
        <vt:lpwstr/>
      </vt:variant>
      <vt:variant>
        <vt:i4>4128885</vt:i4>
      </vt:variant>
      <vt:variant>
        <vt:i4>39</vt:i4>
      </vt:variant>
      <vt:variant>
        <vt:i4>0</vt:i4>
      </vt:variant>
      <vt:variant>
        <vt:i4>5</vt:i4>
      </vt:variant>
      <vt:variant>
        <vt:lpwstr>http://www.nevo.co.il/case/27915710</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6357042</vt:i4>
      </vt:variant>
      <vt:variant>
        <vt:i4>27</vt:i4>
      </vt:variant>
      <vt:variant>
        <vt:i4>0</vt:i4>
      </vt:variant>
      <vt:variant>
        <vt:i4>5</vt:i4>
      </vt:variant>
      <vt:variant>
        <vt:lpwstr>http://www.nevo.co.il/law/70301/144.b.2</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6357042</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2025-01-19T16:40:00Z</dcterms:created>
  <dcterms:modified xsi:type="dcterms:W3CDTF">2025-01-19T16:40:00Z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25639</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קאסם תאיה</vt:lpwstr>
  </property>
  <property fmtid="{D5CDD505-2E9C-101B-9397-08002B2CF9AE}" pid="10" name="LAWYER">
    <vt:lpwstr>נטור</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20220125</vt:lpwstr>
  </property>
  <property fmtid="{D5CDD505-2E9C-101B-9397-08002B2CF9AE}" pid="14" name="TYPE_N_DATE">
    <vt:lpwstr>39020220125</vt:lpwstr>
  </property>
  <property fmtid="{D5CDD505-2E9C-101B-9397-08002B2CF9AE}" pid="15" name="WORDNUMPAGES">
    <vt:lpwstr>14</vt:lpwstr>
  </property>
  <property fmtid="{D5CDD505-2E9C-101B-9397-08002B2CF9AE}" pid="16" name="TYPE_ABS_DATE">
    <vt:lpwstr>390020220125</vt:lpwstr>
  </property>
  <property fmtid="{D5CDD505-2E9C-101B-9397-08002B2CF9AE}" pid="17" name="ISABSTRACT">
    <vt:lpwstr>Y</vt:lpwstr>
  </property>
  <property fmtid="{D5CDD505-2E9C-101B-9397-08002B2CF9AE}" pid="18" name="CASESLISTTMP1">
    <vt:lpwstr>6473037;27915710;7697292;25824863:2;25063920;27309272;28152132;26756301;25528737;16944929;21475135;27510949;22607175;25890687;27503154;27227529;5821327;26747892;26831530;26327814;4036214;7980170;23383615;23750625</vt:lpwstr>
  </property>
  <property fmtid="{D5CDD505-2E9C-101B-9397-08002B2CF9AE}" pid="19" name="BOOKGROUPTMP1">
    <vt:lpwstr>412</vt:lpwstr>
  </property>
  <property fmtid="{D5CDD505-2E9C-101B-9397-08002B2CF9AE}" pid="20" name="LAWLISTTMP1">
    <vt:lpwstr>70301/499.a.1;144.b.2;025;144.a;144.b2</vt:lpwstr>
  </property>
</Properties>
</file>