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050747" w:rsidRPr="00C04EF4" w14:paraId="691CBCFB" w14:textId="77777777" w:rsidTr="00214464">
        <w:trPr>
          <w:trHeight w:hRule="exact" w:val="418"/>
          <w:jc w:val="center"/>
        </w:trPr>
        <w:tc>
          <w:tcPr>
            <w:tcW w:w="8721" w:type="dxa"/>
            <w:gridSpan w:val="2"/>
          </w:tcPr>
          <w:p w14:paraId="339B551B" w14:textId="77777777" w:rsidR="00050747" w:rsidRPr="00C04EF4" w:rsidRDefault="00050747" w:rsidP="009123A8">
            <w:pPr>
              <w:pStyle w:val="a3"/>
              <w:jc w:val="center"/>
              <w:rPr>
                <w:rFonts w:ascii="Tahoma" w:hAnsi="Tahoma" w:cs="Tahoma"/>
                <w:color w:val="000080"/>
                <w:rtl/>
              </w:rPr>
            </w:pPr>
            <w:bookmarkStart w:id="0" w:name="LastJudge"/>
            <w:r w:rsidRPr="00C04EF4">
              <w:rPr>
                <w:rFonts w:ascii="Tahoma" w:hAnsi="Tahoma" w:cs="Tahoma"/>
                <w:b/>
                <w:bCs/>
                <w:color w:val="000080"/>
                <w:rtl/>
              </w:rPr>
              <w:t>בית המשפט המחוזי בחיפה</w:t>
            </w:r>
          </w:p>
        </w:tc>
      </w:tr>
      <w:tr w:rsidR="00050747" w:rsidRPr="00C04EF4" w14:paraId="6572BFB2" w14:textId="77777777" w:rsidTr="00214464">
        <w:trPr>
          <w:trHeight w:val="337"/>
          <w:jc w:val="center"/>
        </w:trPr>
        <w:tc>
          <w:tcPr>
            <w:tcW w:w="5061" w:type="dxa"/>
          </w:tcPr>
          <w:p w14:paraId="0E8AD0AA" w14:textId="77777777" w:rsidR="00050747" w:rsidRPr="00C04EF4" w:rsidRDefault="00050747" w:rsidP="009123A8">
            <w:pPr>
              <w:rPr>
                <w:rFonts w:cs="FrankRuehl"/>
                <w:sz w:val="28"/>
                <w:szCs w:val="28"/>
                <w:rtl/>
              </w:rPr>
            </w:pPr>
            <w:r w:rsidRPr="00C04EF4">
              <w:rPr>
                <w:rFonts w:cs="FrankRuehl"/>
                <w:sz w:val="28"/>
                <w:szCs w:val="28"/>
                <w:rtl/>
              </w:rPr>
              <w:t>ת"פ</w:t>
            </w:r>
            <w:r w:rsidRPr="00C04EF4">
              <w:rPr>
                <w:rFonts w:cs="FrankRuehl" w:hint="cs"/>
                <w:sz w:val="28"/>
                <w:szCs w:val="28"/>
                <w:rtl/>
              </w:rPr>
              <w:t xml:space="preserve"> </w:t>
            </w:r>
            <w:r w:rsidRPr="00C04EF4">
              <w:rPr>
                <w:rFonts w:cs="FrankRuehl"/>
                <w:sz w:val="28"/>
                <w:szCs w:val="28"/>
                <w:rtl/>
              </w:rPr>
              <w:t>28744-03-21</w:t>
            </w:r>
            <w:r w:rsidRPr="00C04EF4">
              <w:rPr>
                <w:rFonts w:cs="FrankRuehl" w:hint="cs"/>
                <w:sz w:val="28"/>
                <w:szCs w:val="28"/>
                <w:rtl/>
              </w:rPr>
              <w:t xml:space="preserve"> </w:t>
            </w:r>
            <w:r w:rsidRPr="00C04EF4">
              <w:rPr>
                <w:rFonts w:cs="FrankRuehl"/>
                <w:sz w:val="28"/>
                <w:szCs w:val="28"/>
                <w:rtl/>
              </w:rPr>
              <w:t>מדינת ישראל נ' חוג'יראת(עציר)</w:t>
            </w:r>
          </w:p>
          <w:p w14:paraId="7E73B750" w14:textId="77777777" w:rsidR="00050747" w:rsidRPr="00C04EF4" w:rsidRDefault="00050747" w:rsidP="009123A8">
            <w:pPr>
              <w:pStyle w:val="a3"/>
              <w:rPr>
                <w:rFonts w:cs="FrankRuehl"/>
                <w:sz w:val="28"/>
                <w:szCs w:val="28"/>
                <w:rtl/>
              </w:rPr>
            </w:pPr>
          </w:p>
        </w:tc>
        <w:tc>
          <w:tcPr>
            <w:tcW w:w="3660" w:type="dxa"/>
          </w:tcPr>
          <w:p w14:paraId="384C62B0" w14:textId="77777777" w:rsidR="00050747" w:rsidRPr="00C04EF4" w:rsidRDefault="00050747" w:rsidP="009123A8">
            <w:pPr>
              <w:pStyle w:val="a3"/>
              <w:jc w:val="right"/>
              <w:rPr>
                <w:rFonts w:cs="FrankRuehl"/>
                <w:sz w:val="28"/>
                <w:szCs w:val="28"/>
                <w:rtl/>
              </w:rPr>
            </w:pPr>
          </w:p>
        </w:tc>
      </w:tr>
    </w:tbl>
    <w:p w14:paraId="7E30ED9F" w14:textId="77777777" w:rsidR="00050747" w:rsidRPr="00C04EF4" w:rsidRDefault="00050747" w:rsidP="00050747">
      <w:pPr>
        <w:pStyle w:val="a3"/>
        <w:rPr>
          <w:rtl/>
        </w:rPr>
      </w:pPr>
      <w:r w:rsidRPr="00C04EF4">
        <w:rPr>
          <w:rFonts w:hint="cs"/>
          <w:rtl/>
        </w:rPr>
        <w:t xml:space="preserve"> </w:t>
      </w:r>
    </w:p>
    <w:p w14:paraId="3618E46C" w14:textId="77777777" w:rsidR="00050747" w:rsidRPr="00C04EF4" w:rsidRDefault="00050747" w:rsidP="00050747">
      <w:pPr>
        <w:rPr>
          <w:sz w:val="26"/>
          <w:szCs w:val="26"/>
          <w:rtl/>
        </w:rPr>
      </w:pPr>
    </w:p>
    <w:p w14:paraId="73FFE038" w14:textId="77777777" w:rsidR="00050747" w:rsidRPr="00C04EF4" w:rsidRDefault="00050747" w:rsidP="00050747">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50747" w:rsidRPr="00C04EF4" w14:paraId="1E468DAB" w14:textId="77777777" w:rsidTr="00050747">
        <w:trPr>
          <w:trHeight w:val="295"/>
          <w:jc w:val="center"/>
        </w:trPr>
        <w:tc>
          <w:tcPr>
            <w:tcW w:w="923" w:type="dxa"/>
            <w:tcBorders>
              <w:top w:val="nil"/>
              <w:left w:val="nil"/>
              <w:bottom w:val="nil"/>
              <w:right w:val="nil"/>
            </w:tcBorders>
            <w:shd w:val="clear" w:color="auto" w:fill="auto"/>
          </w:tcPr>
          <w:p w14:paraId="3A49AE25" w14:textId="77777777" w:rsidR="00050747" w:rsidRPr="00C04EF4" w:rsidRDefault="00050747" w:rsidP="00050747">
            <w:pPr>
              <w:jc w:val="both"/>
              <w:rPr>
                <w:rFonts w:ascii="David" w:hAnsi="David"/>
                <w:sz w:val="26"/>
                <w:szCs w:val="26"/>
              </w:rPr>
            </w:pPr>
            <w:r w:rsidRPr="00C04EF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7AA8733" w14:textId="77777777" w:rsidR="00050747" w:rsidRPr="00C04EF4" w:rsidRDefault="00050747" w:rsidP="009123A8">
            <w:pPr>
              <w:rPr>
                <w:rFonts w:ascii="David" w:hAnsi="David"/>
                <w:b/>
                <w:bCs/>
                <w:sz w:val="26"/>
                <w:szCs w:val="26"/>
                <w:rtl/>
              </w:rPr>
            </w:pPr>
            <w:r w:rsidRPr="00C04EF4">
              <w:rPr>
                <w:rFonts w:ascii="David" w:hAnsi="David"/>
                <w:b/>
                <w:bCs/>
                <w:sz w:val="26"/>
                <w:szCs w:val="26"/>
                <w:rtl/>
              </w:rPr>
              <w:t>כבוד השופט  דניאל פיש</w:t>
            </w:r>
          </w:p>
          <w:p w14:paraId="24118D7D" w14:textId="77777777" w:rsidR="00050747" w:rsidRPr="00C04EF4" w:rsidRDefault="00050747" w:rsidP="009123A8">
            <w:pPr>
              <w:rPr>
                <w:rFonts w:ascii="David" w:hAnsi="David"/>
                <w:sz w:val="26"/>
                <w:szCs w:val="26"/>
                <w:rtl/>
              </w:rPr>
            </w:pPr>
          </w:p>
          <w:p w14:paraId="506DC5B5" w14:textId="77777777" w:rsidR="00050747" w:rsidRPr="00C04EF4" w:rsidRDefault="00050747" w:rsidP="00050747">
            <w:pPr>
              <w:jc w:val="both"/>
              <w:rPr>
                <w:rFonts w:ascii="David" w:hAnsi="David"/>
                <w:sz w:val="26"/>
                <w:szCs w:val="26"/>
              </w:rPr>
            </w:pPr>
          </w:p>
        </w:tc>
      </w:tr>
      <w:tr w:rsidR="00050747" w:rsidRPr="00C04EF4" w14:paraId="489CD76C" w14:textId="77777777" w:rsidTr="00050747">
        <w:trPr>
          <w:trHeight w:val="355"/>
          <w:jc w:val="center"/>
        </w:trPr>
        <w:tc>
          <w:tcPr>
            <w:tcW w:w="923" w:type="dxa"/>
            <w:tcBorders>
              <w:top w:val="nil"/>
              <w:left w:val="nil"/>
              <w:bottom w:val="nil"/>
              <w:right w:val="nil"/>
            </w:tcBorders>
            <w:shd w:val="clear" w:color="auto" w:fill="auto"/>
          </w:tcPr>
          <w:p w14:paraId="13B59597" w14:textId="77777777" w:rsidR="00050747" w:rsidRPr="00C04EF4" w:rsidRDefault="00050747" w:rsidP="00050747">
            <w:pPr>
              <w:jc w:val="both"/>
              <w:rPr>
                <w:rFonts w:ascii="David" w:hAnsi="David"/>
                <w:sz w:val="26"/>
                <w:szCs w:val="26"/>
              </w:rPr>
            </w:pPr>
            <w:bookmarkStart w:id="1" w:name="FirstAppellant"/>
            <w:r w:rsidRPr="00C04EF4">
              <w:rPr>
                <w:rFonts w:ascii="David" w:hAnsi="David"/>
                <w:sz w:val="26"/>
                <w:szCs w:val="26"/>
                <w:rtl/>
              </w:rPr>
              <w:t>בעניין:</w:t>
            </w:r>
          </w:p>
        </w:tc>
        <w:tc>
          <w:tcPr>
            <w:tcW w:w="3219" w:type="dxa"/>
            <w:tcBorders>
              <w:top w:val="nil"/>
              <w:left w:val="nil"/>
              <w:bottom w:val="nil"/>
              <w:right w:val="nil"/>
            </w:tcBorders>
            <w:shd w:val="clear" w:color="auto" w:fill="auto"/>
          </w:tcPr>
          <w:p w14:paraId="38388BBC" w14:textId="77777777" w:rsidR="00050747" w:rsidRPr="00C04EF4" w:rsidRDefault="00050747" w:rsidP="00050747">
            <w:pPr>
              <w:suppressLineNumbers/>
            </w:pPr>
            <w:r w:rsidRPr="00C04EF4">
              <w:rPr>
                <w:rFonts w:ascii="Arial" w:hAnsi="Arial" w:hint="cs"/>
                <w:b/>
                <w:bCs/>
                <w:sz w:val="26"/>
                <w:szCs w:val="26"/>
                <w:rtl/>
              </w:rPr>
              <w:t>ה</w:t>
            </w:r>
            <w:r w:rsidRPr="00C04EF4">
              <w:rPr>
                <w:rFonts w:ascii="Arial" w:hAnsi="Arial"/>
                <w:b/>
                <w:bCs/>
                <w:sz w:val="26"/>
                <w:szCs w:val="26"/>
                <w:rtl/>
              </w:rPr>
              <w:t>מאשימה</w:t>
            </w:r>
          </w:p>
          <w:p w14:paraId="6C5588E1" w14:textId="77777777" w:rsidR="00050747" w:rsidRPr="00C04EF4" w:rsidRDefault="00050747" w:rsidP="009123A8">
            <w:pPr>
              <w:rPr>
                <w:rFonts w:ascii="David" w:hAnsi="David"/>
                <w:sz w:val="26"/>
                <w:szCs w:val="26"/>
              </w:rPr>
            </w:pPr>
          </w:p>
        </w:tc>
        <w:tc>
          <w:tcPr>
            <w:tcW w:w="4678" w:type="dxa"/>
            <w:tcBorders>
              <w:top w:val="nil"/>
              <w:left w:val="nil"/>
              <w:bottom w:val="nil"/>
              <w:right w:val="nil"/>
            </w:tcBorders>
            <w:shd w:val="clear" w:color="auto" w:fill="auto"/>
            <w:vAlign w:val="center"/>
          </w:tcPr>
          <w:p w14:paraId="28711AEC" w14:textId="77777777" w:rsidR="00050747" w:rsidRPr="00C04EF4" w:rsidRDefault="00050747" w:rsidP="00050747">
            <w:pPr>
              <w:suppressLineNumbers/>
            </w:pPr>
            <w:r w:rsidRPr="00C04EF4">
              <w:rPr>
                <w:rFonts w:ascii="Arial" w:hAnsi="Arial"/>
                <w:b/>
                <w:bCs/>
                <w:sz w:val="26"/>
                <w:szCs w:val="26"/>
                <w:rtl/>
              </w:rPr>
              <w:t>מדינת ישראל</w:t>
            </w:r>
          </w:p>
          <w:p w14:paraId="16229AE4" w14:textId="77777777" w:rsidR="00050747" w:rsidRPr="00C04EF4" w:rsidRDefault="00050747" w:rsidP="009123A8">
            <w:pPr>
              <w:rPr>
                <w:rFonts w:ascii="David" w:hAnsi="David"/>
                <w:sz w:val="26"/>
                <w:szCs w:val="26"/>
              </w:rPr>
            </w:pPr>
          </w:p>
        </w:tc>
      </w:tr>
      <w:bookmarkEnd w:id="1"/>
      <w:tr w:rsidR="00050747" w:rsidRPr="00C04EF4" w14:paraId="007BC934" w14:textId="77777777" w:rsidTr="00050747">
        <w:trPr>
          <w:trHeight w:val="355"/>
          <w:jc w:val="center"/>
        </w:trPr>
        <w:tc>
          <w:tcPr>
            <w:tcW w:w="923" w:type="dxa"/>
            <w:tcBorders>
              <w:top w:val="nil"/>
              <w:left w:val="nil"/>
              <w:bottom w:val="nil"/>
              <w:right w:val="nil"/>
            </w:tcBorders>
            <w:shd w:val="clear" w:color="auto" w:fill="auto"/>
          </w:tcPr>
          <w:p w14:paraId="440125B9" w14:textId="77777777" w:rsidR="00050747" w:rsidRPr="00C04EF4" w:rsidRDefault="00050747" w:rsidP="0005074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B10FBBA" w14:textId="77777777" w:rsidR="00050747" w:rsidRPr="00C04EF4" w:rsidRDefault="00050747" w:rsidP="00050747">
            <w:pPr>
              <w:jc w:val="center"/>
              <w:rPr>
                <w:rFonts w:ascii="David" w:hAnsi="David"/>
                <w:b/>
                <w:bCs/>
                <w:sz w:val="26"/>
                <w:szCs w:val="26"/>
                <w:rtl/>
              </w:rPr>
            </w:pPr>
          </w:p>
          <w:p w14:paraId="55960063" w14:textId="77777777" w:rsidR="00050747" w:rsidRPr="00C04EF4" w:rsidRDefault="00050747" w:rsidP="00050747">
            <w:pPr>
              <w:jc w:val="center"/>
              <w:rPr>
                <w:rFonts w:ascii="David" w:hAnsi="David"/>
                <w:b/>
                <w:bCs/>
                <w:sz w:val="26"/>
                <w:szCs w:val="26"/>
                <w:rtl/>
              </w:rPr>
            </w:pPr>
            <w:r w:rsidRPr="00C04EF4">
              <w:rPr>
                <w:rFonts w:ascii="David" w:hAnsi="David"/>
                <w:b/>
                <w:bCs/>
                <w:sz w:val="26"/>
                <w:szCs w:val="26"/>
                <w:rtl/>
              </w:rPr>
              <w:t>נגד</w:t>
            </w:r>
          </w:p>
          <w:p w14:paraId="7699AC81" w14:textId="77777777" w:rsidR="00050747" w:rsidRPr="00C04EF4" w:rsidRDefault="00050747" w:rsidP="00050747">
            <w:pPr>
              <w:jc w:val="both"/>
              <w:rPr>
                <w:rFonts w:ascii="David" w:hAnsi="David"/>
                <w:sz w:val="26"/>
                <w:szCs w:val="26"/>
              </w:rPr>
            </w:pPr>
          </w:p>
        </w:tc>
      </w:tr>
      <w:tr w:rsidR="00050747" w:rsidRPr="00C04EF4" w14:paraId="229D2975" w14:textId="77777777" w:rsidTr="00050747">
        <w:trPr>
          <w:trHeight w:val="355"/>
          <w:jc w:val="center"/>
        </w:trPr>
        <w:tc>
          <w:tcPr>
            <w:tcW w:w="923" w:type="dxa"/>
            <w:tcBorders>
              <w:top w:val="nil"/>
              <w:left w:val="nil"/>
              <w:bottom w:val="nil"/>
              <w:right w:val="nil"/>
            </w:tcBorders>
            <w:shd w:val="clear" w:color="auto" w:fill="auto"/>
          </w:tcPr>
          <w:p w14:paraId="27E27894" w14:textId="77777777" w:rsidR="00050747" w:rsidRPr="00C04EF4" w:rsidRDefault="00050747" w:rsidP="009123A8">
            <w:pPr>
              <w:rPr>
                <w:rFonts w:ascii="David" w:hAnsi="David"/>
                <w:sz w:val="26"/>
                <w:szCs w:val="26"/>
                <w:rtl/>
              </w:rPr>
            </w:pPr>
          </w:p>
        </w:tc>
        <w:tc>
          <w:tcPr>
            <w:tcW w:w="3219" w:type="dxa"/>
            <w:tcBorders>
              <w:top w:val="nil"/>
              <w:left w:val="nil"/>
              <w:bottom w:val="nil"/>
              <w:right w:val="nil"/>
            </w:tcBorders>
            <w:shd w:val="clear" w:color="auto" w:fill="auto"/>
          </w:tcPr>
          <w:p w14:paraId="36389172" w14:textId="77777777" w:rsidR="00050747" w:rsidRPr="00C04EF4" w:rsidRDefault="00050747" w:rsidP="009123A8">
            <w:pPr>
              <w:rPr>
                <w:rFonts w:ascii="Arial" w:hAnsi="Arial"/>
                <w:b/>
                <w:bCs/>
                <w:sz w:val="26"/>
                <w:szCs w:val="26"/>
                <w:rtl/>
              </w:rPr>
            </w:pPr>
            <w:r w:rsidRPr="00C04EF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33092ED" w14:textId="77777777" w:rsidR="00050747" w:rsidRPr="00C04EF4" w:rsidRDefault="00050747" w:rsidP="00050747">
            <w:pPr>
              <w:suppressLineNumbers/>
            </w:pPr>
            <w:r w:rsidRPr="00C04EF4">
              <w:rPr>
                <w:rFonts w:ascii="Arial" w:hAnsi="Arial"/>
                <w:b/>
                <w:bCs/>
                <w:sz w:val="26"/>
                <w:szCs w:val="26"/>
                <w:rtl/>
              </w:rPr>
              <w:t>מוחמד חוג'יראת (עציר)</w:t>
            </w:r>
          </w:p>
          <w:p w14:paraId="69815B6C" w14:textId="77777777" w:rsidR="00050747" w:rsidRPr="00C04EF4" w:rsidRDefault="00050747" w:rsidP="009123A8">
            <w:pPr>
              <w:rPr>
                <w:rFonts w:ascii="David" w:hAnsi="David"/>
                <w:sz w:val="26"/>
                <w:szCs w:val="26"/>
              </w:rPr>
            </w:pPr>
          </w:p>
        </w:tc>
      </w:tr>
    </w:tbl>
    <w:p w14:paraId="024C4493" w14:textId="77777777" w:rsidR="00C04EF4" w:rsidRPr="00C04EF4" w:rsidRDefault="00C04EF4" w:rsidP="00214464">
      <w:pPr>
        <w:pStyle w:val="a9"/>
        <w:spacing w:before="120" w:after="120" w:line="240" w:lineRule="exact"/>
        <w:ind w:left="360"/>
        <w:jc w:val="both"/>
        <w:rPr>
          <w:rFonts w:ascii="FrankRuehl" w:hAnsi="FrankRuehl" w:cs="FrankRuehl"/>
          <w:rtl/>
        </w:rPr>
      </w:pPr>
    </w:p>
    <w:p w14:paraId="42EF716D" w14:textId="77777777" w:rsidR="0037775F" w:rsidRPr="0037775F" w:rsidRDefault="0037775F" w:rsidP="0037775F">
      <w:pPr>
        <w:pStyle w:val="a9"/>
        <w:spacing w:before="120" w:after="120" w:line="240" w:lineRule="exact"/>
        <w:ind w:left="283" w:hanging="283"/>
        <w:jc w:val="both"/>
        <w:rPr>
          <w:rFonts w:ascii="FrankRuehl" w:hAnsi="FrankRuehl" w:cs="FrankRuehl"/>
          <w:rtl/>
        </w:rPr>
      </w:pPr>
    </w:p>
    <w:p w14:paraId="76DF3B03" w14:textId="77777777" w:rsidR="008849B9" w:rsidRDefault="008849B9" w:rsidP="008849B9">
      <w:pPr>
        <w:pStyle w:val="a9"/>
        <w:spacing w:before="240" w:after="240" w:line="360" w:lineRule="auto"/>
        <w:ind w:left="360"/>
        <w:jc w:val="both"/>
        <w:rPr>
          <w:rFonts w:ascii="Arial" w:hAnsi="Arial"/>
          <w:rtl/>
        </w:rPr>
      </w:pPr>
      <w:bookmarkStart w:id="2" w:name="LawTable"/>
      <w:bookmarkEnd w:id="2"/>
    </w:p>
    <w:p w14:paraId="6CE7DFD1" w14:textId="77777777" w:rsidR="008849B9" w:rsidRPr="008849B9" w:rsidRDefault="008849B9" w:rsidP="008849B9">
      <w:pPr>
        <w:pStyle w:val="a9"/>
        <w:spacing w:before="120" w:after="120" w:line="240" w:lineRule="exact"/>
        <w:ind w:left="283" w:hanging="283"/>
        <w:jc w:val="both"/>
        <w:rPr>
          <w:rFonts w:ascii="FrankRuehl" w:hAnsi="FrankRuehl" w:cs="FrankRuehl"/>
          <w:rtl/>
        </w:rPr>
      </w:pPr>
    </w:p>
    <w:p w14:paraId="16824D57" w14:textId="77777777" w:rsidR="008849B9" w:rsidRPr="008849B9" w:rsidRDefault="008849B9" w:rsidP="008849B9">
      <w:pPr>
        <w:pStyle w:val="a9"/>
        <w:spacing w:before="120" w:after="120" w:line="240" w:lineRule="exact"/>
        <w:ind w:left="283" w:hanging="283"/>
        <w:jc w:val="both"/>
        <w:rPr>
          <w:rFonts w:ascii="FrankRuehl" w:hAnsi="FrankRuehl" w:cs="FrankRuehl"/>
          <w:rtl/>
        </w:rPr>
      </w:pPr>
    </w:p>
    <w:p w14:paraId="1FDDB230" w14:textId="77777777" w:rsidR="008849B9" w:rsidRPr="008849B9" w:rsidRDefault="008849B9" w:rsidP="008849B9">
      <w:pPr>
        <w:pStyle w:val="a9"/>
        <w:spacing w:before="120" w:after="120" w:line="240" w:lineRule="exact"/>
        <w:ind w:left="283" w:hanging="283"/>
        <w:jc w:val="both"/>
        <w:rPr>
          <w:rFonts w:ascii="FrankRuehl" w:hAnsi="FrankRuehl" w:cs="FrankRuehl"/>
          <w:rtl/>
        </w:rPr>
      </w:pPr>
      <w:r w:rsidRPr="008849B9">
        <w:rPr>
          <w:rFonts w:ascii="FrankRuehl" w:hAnsi="FrankRuehl" w:cs="FrankRuehl"/>
          <w:rtl/>
        </w:rPr>
        <w:t xml:space="preserve">חקיקה שאוזכרה: </w:t>
      </w:r>
    </w:p>
    <w:p w14:paraId="17099C07" w14:textId="77777777" w:rsidR="008849B9" w:rsidRPr="008849B9" w:rsidRDefault="008849B9" w:rsidP="008849B9">
      <w:pPr>
        <w:pStyle w:val="a9"/>
        <w:spacing w:before="120" w:after="120" w:line="240" w:lineRule="exact"/>
        <w:ind w:left="283" w:hanging="283"/>
        <w:jc w:val="both"/>
        <w:rPr>
          <w:rFonts w:ascii="FrankRuehl" w:hAnsi="FrankRuehl" w:cs="FrankRuehl"/>
          <w:rtl/>
        </w:rPr>
      </w:pPr>
      <w:hyperlink r:id="rId7" w:history="1">
        <w:r w:rsidRPr="008849B9">
          <w:rPr>
            <w:rFonts w:ascii="FrankRuehl" w:hAnsi="FrankRuehl" w:cs="FrankRuehl"/>
            <w:color w:val="0000FF"/>
            <w:rtl/>
          </w:rPr>
          <w:t>חוק העונשין, תשל"ז-1977</w:t>
        </w:r>
      </w:hyperlink>
      <w:r w:rsidRPr="008849B9">
        <w:rPr>
          <w:rFonts w:ascii="FrankRuehl" w:hAnsi="FrankRuehl" w:cs="FrankRuehl"/>
          <w:rtl/>
        </w:rPr>
        <w:t xml:space="preserve">: סע'  </w:t>
      </w:r>
      <w:hyperlink r:id="rId8" w:history="1">
        <w:r w:rsidRPr="008849B9">
          <w:rPr>
            <w:rFonts w:ascii="FrankRuehl" w:hAnsi="FrankRuehl" w:cs="FrankRuehl"/>
            <w:color w:val="0000FF"/>
            <w:rtl/>
          </w:rPr>
          <w:t>144(א)</w:t>
        </w:r>
      </w:hyperlink>
      <w:r w:rsidRPr="008849B9">
        <w:rPr>
          <w:rFonts w:ascii="FrankRuehl" w:hAnsi="FrankRuehl" w:cs="FrankRuehl"/>
          <w:rtl/>
        </w:rPr>
        <w:t xml:space="preserve">, </w:t>
      </w:r>
      <w:hyperlink r:id="rId9" w:history="1">
        <w:r w:rsidRPr="008849B9">
          <w:rPr>
            <w:rFonts w:ascii="FrankRuehl" w:hAnsi="FrankRuehl" w:cs="FrankRuehl"/>
            <w:color w:val="0000FF"/>
            <w:rtl/>
          </w:rPr>
          <w:t>144(ב)</w:t>
        </w:r>
      </w:hyperlink>
      <w:r w:rsidRPr="008849B9">
        <w:rPr>
          <w:rFonts w:ascii="FrankRuehl" w:hAnsi="FrankRuehl" w:cs="FrankRuehl"/>
          <w:rtl/>
        </w:rPr>
        <w:t xml:space="preserve">, </w:t>
      </w:r>
      <w:hyperlink r:id="rId10" w:history="1">
        <w:r w:rsidRPr="008849B9">
          <w:rPr>
            <w:rFonts w:ascii="FrankRuehl" w:hAnsi="FrankRuehl" w:cs="FrankRuehl"/>
            <w:color w:val="0000FF"/>
            <w:rtl/>
          </w:rPr>
          <w:t>275</w:t>
        </w:r>
      </w:hyperlink>
    </w:p>
    <w:p w14:paraId="66B3820C" w14:textId="77777777" w:rsidR="008849B9" w:rsidRPr="008849B9" w:rsidRDefault="008849B9" w:rsidP="008849B9">
      <w:pPr>
        <w:pStyle w:val="a9"/>
        <w:spacing w:before="120" w:after="120" w:line="240" w:lineRule="exact"/>
        <w:ind w:left="283" w:hanging="283"/>
        <w:jc w:val="both"/>
        <w:rPr>
          <w:rFonts w:ascii="FrankRuehl" w:hAnsi="FrankRuehl" w:cs="FrankRuehl"/>
          <w:rtl/>
        </w:rPr>
      </w:pPr>
      <w:hyperlink r:id="rId11" w:history="1">
        <w:r w:rsidRPr="008849B9">
          <w:rPr>
            <w:rFonts w:ascii="FrankRuehl" w:hAnsi="FrankRuehl" w:cs="FrankRuehl"/>
            <w:color w:val="0000FF"/>
            <w:rtl/>
          </w:rPr>
          <w:t>פקודת סדר הדין הפלילי (מעצר וחיפוש) [נוסח חדש], תשכ"ט-1969</w:t>
        </w:r>
      </w:hyperlink>
      <w:r w:rsidRPr="008849B9">
        <w:rPr>
          <w:rFonts w:ascii="FrankRuehl" w:hAnsi="FrankRuehl" w:cs="FrankRuehl"/>
          <w:rtl/>
        </w:rPr>
        <w:t xml:space="preserve">: סע'  </w:t>
      </w:r>
      <w:hyperlink r:id="rId12" w:history="1">
        <w:r w:rsidRPr="008849B9">
          <w:rPr>
            <w:rFonts w:ascii="FrankRuehl" w:hAnsi="FrankRuehl" w:cs="FrankRuehl"/>
            <w:color w:val="0000FF"/>
            <w:rtl/>
          </w:rPr>
          <w:t>39(א)</w:t>
        </w:r>
      </w:hyperlink>
    </w:p>
    <w:p w14:paraId="0F90E778" w14:textId="77777777" w:rsidR="008849B9" w:rsidRPr="008849B9" w:rsidRDefault="008849B9" w:rsidP="008849B9">
      <w:pPr>
        <w:pStyle w:val="a9"/>
        <w:spacing w:before="240" w:after="240" w:line="360" w:lineRule="auto"/>
        <w:ind w:left="360"/>
        <w:jc w:val="both"/>
        <w:rPr>
          <w:rFonts w:ascii="Arial" w:hAnsi="Arial"/>
          <w:rtl/>
        </w:rPr>
      </w:pPr>
      <w:bookmarkStart w:id="3" w:name="LawTable_End"/>
      <w:bookmarkEnd w:id="3"/>
    </w:p>
    <w:p w14:paraId="450CA9A8" w14:textId="77777777" w:rsidR="00C04EF4" w:rsidRPr="0037775F" w:rsidRDefault="00C04EF4" w:rsidP="0037775F">
      <w:pPr>
        <w:pStyle w:val="a9"/>
        <w:spacing w:before="240" w:after="240" w:line="360" w:lineRule="auto"/>
        <w:ind w:left="360"/>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0747" w14:paraId="0AA17821" w14:textId="77777777" w:rsidTr="00050747">
        <w:trPr>
          <w:trHeight w:val="355"/>
          <w:jc w:val="center"/>
        </w:trPr>
        <w:tc>
          <w:tcPr>
            <w:tcW w:w="8820" w:type="dxa"/>
            <w:tcBorders>
              <w:top w:val="nil"/>
              <w:left w:val="nil"/>
              <w:bottom w:val="nil"/>
              <w:right w:val="nil"/>
            </w:tcBorders>
            <w:shd w:val="clear" w:color="auto" w:fill="auto"/>
          </w:tcPr>
          <w:p w14:paraId="11D55B50" w14:textId="77777777" w:rsidR="00C04EF4" w:rsidRPr="00C04EF4" w:rsidRDefault="00C04EF4" w:rsidP="00C04EF4">
            <w:pPr>
              <w:jc w:val="center"/>
              <w:rPr>
                <w:rFonts w:ascii="David" w:hAnsi="David"/>
                <w:b/>
                <w:bCs/>
                <w:sz w:val="32"/>
                <w:szCs w:val="32"/>
                <w:u w:val="single"/>
                <w:rtl/>
              </w:rPr>
            </w:pPr>
            <w:bookmarkStart w:id="4" w:name="PsakDin" w:colFirst="0" w:colLast="0"/>
            <w:bookmarkEnd w:id="0"/>
            <w:r w:rsidRPr="00C04EF4">
              <w:rPr>
                <w:rFonts w:ascii="David" w:hAnsi="David"/>
                <w:b/>
                <w:bCs/>
                <w:sz w:val="32"/>
                <w:szCs w:val="32"/>
                <w:u w:val="single"/>
                <w:rtl/>
              </w:rPr>
              <w:t>גזר דין</w:t>
            </w:r>
          </w:p>
          <w:p w14:paraId="411CD844" w14:textId="77777777" w:rsidR="00050747" w:rsidRPr="00C04EF4" w:rsidRDefault="00050747" w:rsidP="00C04EF4">
            <w:pPr>
              <w:jc w:val="center"/>
              <w:rPr>
                <w:rFonts w:ascii="David" w:hAnsi="David"/>
                <w:bCs/>
                <w:sz w:val="32"/>
                <w:szCs w:val="32"/>
                <w:u w:val="single"/>
                <w:rtl/>
              </w:rPr>
            </w:pPr>
          </w:p>
        </w:tc>
      </w:tr>
    </w:tbl>
    <w:p w14:paraId="6F8A5224" w14:textId="77777777" w:rsidR="00050747" w:rsidRDefault="00050747" w:rsidP="00050747">
      <w:pPr>
        <w:pStyle w:val="a9"/>
        <w:numPr>
          <w:ilvl w:val="0"/>
          <w:numId w:val="1"/>
        </w:numPr>
        <w:spacing w:before="240" w:after="240" w:line="360" w:lineRule="auto"/>
        <w:jc w:val="both"/>
        <w:rPr>
          <w:rFonts w:ascii="Arial" w:hAnsi="Arial"/>
          <w:b/>
          <w:bCs/>
        </w:rPr>
      </w:pPr>
      <w:bookmarkStart w:id="5" w:name="ABSTRACT_START"/>
      <w:bookmarkEnd w:id="4"/>
      <w:bookmarkEnd w:id="5"/>
      <w:r>
        <w:rPr>
          <w:rFonts w:ascii="Arial" w:hAnsi="Arial" w:hint="cs"/>
          <w:rtl/>
        </w:rPr>
        <w:t xml:space="preserve">הנאשם הורשע על פי הודאתו בעבירות של החזקה, נשיאה והובלה של נשק לפי </w:t>
      </w:r>
      <w:hyperlink r:id="rId13" w:history="1">
        <w:r w:rsidR="00214464" w:rsidRPr="00214464">
          <w:rPr>
            <w:rStyle w:val="Hyperlink"/>
            <w:rFonts w:ascii="Arial" w:hAnsi="Arial" w:hint="eastAsia"/>
            <w:rtl/>
          </w:rPr>
          <w:t>סעיף</w:t>
        </w:r>
        <w:r w:rsidR="00214464" w:rsidRPr="00214464">
          <w:rPr>
            <w:rStyle w:val="Hyperlink"/>
            <w:rFonts w:ascii="Arial" w:hAnsi="Arial"/>
            <w:rtl/>
          </w:rPr>
          <w:t xml:space="preserve"> 144(ב)</w:t>
        </w:r>
      </w:hyperlink>
      <w:r>
        <w:rPr>
          <w:rFonts w:ascii="Arial" w:hAnsi="Arial" w:hint="cs"/>
          <w:rtl/>
        </w:rPr>
        <w:t xml:space="preserve"> רישא + סיפא + </w:t>
      </w:r>
      <w:hyperlink r:id="rId14" w:history="1">
        <w:r w:rsidR="00214464" w:rsidRPr="00214464">
          <w:rPr>
            <w:rStyle w:val="Hyperlink"/>
            <w:rFonts w:ascii="Arial" w:hAnsi="Arial"/>
            <w:rtl/>
          </w:rPr>
          <w:t>144(א)</w:t>
        </w:r>
      </w:hyperlink>
      <w:r>
        <w:rPr>
          <w:rFonts w:ascii="Arial" w:hAnsi="Arial" w:hint="cs"/>
          <w:rtl/>
        </w:rPr>
        <w:t xml:space="preserve"> רישא +סיפא ל</w:t>
      </w:r>
      <w:hyperlink r:id="rId15" w:history="1">
        <w:r w:rsidR="00C04EF4" w:rsidRPr="00C04EF4">
          <w:rPr>
            <w:rFonts w:ascii="Arial" w:hAnsi="Arial"/>
            <w:color w:val="0000FF"/>
            <w:u w:val="single"/>
            <w:rtl/>
          </w:rPr>
          <w:t>חוק העונשין</w:t>
        </w:r>
      </w:hyperlink>
      <w:r>
        <w:rPr>
          <w:rFonts w:ascii="Arial" w:hAnsi="Arial" w:hint="cs"/>
          <w:rtl/>
        </w:rPr>
        <w:t>, תשל"ז- 1977. (להלן:</w:t>
      </w:r>
      <w:r>
        <w:rPr>
          <w:rFonts w:ascii="Arial" w:hAnsi="Arial" w:hint="cs"/>
          <w:b/>
          <w:bCs/>
          <w:rtl/>
        </w:rPr>
        <w:t>" החוק"</w:t>
      </w:r>
      <w:r>
        <w:rPr>
          <w:rFonts w:ascii="Arial" w:hAnsi="Arial" w:hint="cs"/>
          <w:rtl/>
        </w:rPr>
        <w:t xml:space="preserve">), ועבירת הפרעה לשוטר במילוי תפקידו לפי </w:t>
      </w:r>
      <w:hyperlink r:id="rId16" w:history="1">
        <w:r w:rsidR="00214464" w:rsidRPr="00214464">
          <w:rPr>
            <w:rStyle w:val="Hyperlink"/>
            <w:rFonts w:ascii="Arial" w:hAnsi="Arial" w:hint="eastAsia"/>
            <w:rtl/>
          </w:rPr>
          <w:t>סעיף</w:t>
        </w:r>
        <w:r w:rsidR="00214464" w:rsidRPr="00214464">
          <w:rPr>
            <w:rStyle w:val="Hyperlink"/>
            <w:rFonts w:ascii="Arial" w:hAnsi="Arial"/>
            <w:rtl/>
          </w:rPr>
          <w:t xml:space="preserve"> 275</w:t>
        </w:r>
      </w:hyperlink>
      <w:r>
        <w:rPr>
          <w:rFonts w:ascii="Arial" w:hAnsi="Arial" w:hint="cs"/>
          <w:rtl/>
        </w:rPr>
        <w:t xml:space="preserve"> לחוק.</w:t>
      </w:r>
    </w:p>
    <w:p w14:paraId="287E2C36" w14:textId="77777777" w:rsidR="00050747" w:rsidRPr="00D249CE" w:rsidRDefault="00050747" w:rsidP="00050747">
      <w:pPr>
        <w:pStyle w:val="a9"/>
        <w:spacing w:before="240" w:after="240" w:line="360" w:lineRule="auto"/>
        <w:jc w:val="both"/>
        <w:rPr>
          <w:rFonts w:ascii="Arial" w:hAnsi="Arial"/>
          <w:b/>
          <w:bCs/>
        </w:rPr>
      </w:pPr>
      <w:bookmarkStart w:id="6" w:name="ABSTRACT_END"/>
      <w:bookmarkEnd w:id="6"/>
    </w:p>
    <w:p w14:paraId="0B72D449" w14:textId="77777777" w:rsidR="00050747" w:rsidRPr="00D249CE" w:rsidRDefault="00050747" w:rsidP="00050747">
      <w:pPr>
        <w:pStyle w:val="a9"/>
        <w:numPr>
          <w:ilvl w:val="0"/>
          <w:numId w:val="1"/>
        </w:numPr>
        <w:spacing w:before="240" w:after="240" w:line="360" w:lineRule="auto"/>
        <w:jc w:val="both"/>
        <w:rPr>
          <w:rFonts w:ascii="Arial" w:hAnsi="Arial"/>
          <w:b/>
          <w:bCs/>
        </w:rPr>
      </w:pPr>
      <w:r>
        <w:rPr>
          <w:rFonts w:ascii="Arial" w:hAnsi="Arial" w:hint="cs"/>
          <w:rtl/>
        </w:rPr>
        <w:t xml:space="preserve">על פי עובדות כתב האישום המתוקן, ביום 28.2.21 סמוך לשעה 16:00 רכש הנאשם רכב מסוג יונדאי ל"ז 4813411 מהישאם שחאדה. </w:t>
      </w:r>
    </w:p>
    <w:p w14:paraId="4F469EA1" w14:textId="77777777" w:rsidR="00050747" w:rsidRDefault="00050747" w:rsidP="00050747">
      <w:pPr>
        <w:pStyle w:val="a9"/>
        <w:spacing w:before="240" w:after="240" w:line="360" w:lineRule="auto"/>
        <w:jc w:val="both"/>
        <w:rPr>
          <w:rFonts w:ascii="Arial" w:hAnsi="Arial"/>
          <w:rtl/>
        </w:rPr>
      </w:pPr>
      <w:r>
        <w:rPr>
          <w:rFonts w:ascii="Arial" w:hAnsi="Arial" w:hint="cs"/>
          <w:rtl/>
        </w:rPr>
        <w:t xml:space="preserve">עובר ליום 1.3.21 בשעה 20:24, החזיק הנאשם ברכב בלא רשות על פי דין, אקדח חצי אוטומטי מסוג ברטה בקליבר 9 מ"מ כשהוא טעון במחסנית המהווה אבזר לנשק ובה 5 כדורים המהווים תחמושת לנשק. הנאשם נסע ברכב כאשר האקדח הטעון נמצא ברשותו בעוד אחמד חוג'יראת </w:t>
      </w:r>
      <w:r w:rsidRPr="009919E0">
        <w:rPr>
          <w:rFonts w:ascii="Arial" w:hAnsi="Arial" w:hint="cs"/>
          <w:rtl/>
        </w:rPr>
        <w:t xml:space="preserve">נוהג ברכב. הנאשם ואחמד הגיעו עד סמוך לביתו של הנאשם בביר </w:t>
      </w:r>
      <w:r>
        <w:rPr>
          <w:rFonts w:ascii="Arial" w:hAnsi="Arial" w:hint="cs"/>
          <w:rtl/>
        </w:rPr>
        <w:t>אל</w:t>
      </w:r>
      <w:r w:rsidRPr="009919E0">
        <w:rPr>
          <w:rFonts w:ascii="Arial" w:hAnsi="Arial" w:hint="cs"/>
          <w:rtl/>
        </w:rPr>
        <w:t xml:space="preserve"> מכסור, החנו את הרכב, אחמד יצא מהרכב והחל ללכת מהמקום והנאשם עבר למושב הנה</w:t>
      </w:r>
      <w:r>
        <w:rPr>
          <w:rFonts w:ascii="Arial" w:hAnsi="Arial" w:hint="cs"/>
          <w:rtl/>
        </w:rPr>
        <w:t xml:space="preserve">ג </w:t>
      </w:r>
      <w:r>
        <w:rPr>
          <w:rFonts w:ascii="Arial" w:hAnsi="Arial" w:hint="cs"/>
          <w:rtl/>
        </w:rPr>
        <w:lastRenderedPageBreak/>
        <w:t xml:space="preserve">ויצא מהדלת הסמוכה למושב הנהג. הנאשם השאיר את הנשק הטעון כשהוא עטוף בבד חיתול מתחת למושב הנהג ונעל את הרכב. </w:t>
      </w:r>
    </w:p>
    <w:p w14:paraId="63406379" w14:textId="77777777" w:rsidR="00050747" w:rsidRDefault="00050747" w:rsidP="00050747">
      <w:pPr>
        <w:pStyle w:val="a9"/>
        <w:spacing w:before="240" w:after="240" w:line="360" w:lineRule="auto"/>
        <w:jc w:val="both"/>
        <w:rPr>
          <w:rFonts w:ascii="Arial" w:hAnsi="Arial"/>
          <w:b/>
          <w:bCs/>
          <w:rtl/>
        </w:rPr>
      </w:pPr>
      <w:r>
        <w:rPr>
          <w:rFonts w:ascii="Arial" w:hAnsi="Arial" w:hint="cs"/>
          <w:rtl/>
        </w:rPr>
        <w:t xml:space="preserve">הבל"ש רס"ב מוריס זירה, שהיה במקום, הבחין בנאשם יוצא מהרכב ונועל אותו, קרא לעברו "משטרה" והורה לו למסור לידיו את מפתחות הרכב. הנאשם הרחיק ידו מהשוטר וסגר את כף ידו בחזקה, על מנת למנוע מהשוטר לקחת את מפתח הרכב. </w:t>
      </w:r>
      <w:r>
        <w:rPr>
          <w:rFonts w:ascii="Arial" w:hAnsi="Arial" w:hint="cs"/>
          <w:b/>
          <w:bCs/>
          <w:rtl/>
        </w:rPr>
        <w:t xml:space="preserve"> </w:t>
      </w:r>
    </w:p>
    <w:p w14:paraId="383502C2" w14:textId="77777777" w:rsidR="00050747" w:rsidRDefault="00050747" w:rsidP="00050747">
      <w:pPr>
        <w:pStyle w:val="a9"/>
        <w:spacing w:before="240" w:after="240" w:line="360" w:lineRule="auto"/>
        <w:jc w:val="both"/>
        <w:rPr>
          <w:rFonts w:ascii="Arial" w:hAnsi="Arial"/>
          <w:b/>
          <w:bCs/>
          <w:rtl/>
        </w:rPr>
      </w:pPr>
    </w:p>
    <w:p w14:paraId="64B7923C" w14:textId="77777777" w:rsidR="00050747" w:rsidRPr="006B48AC" w:rsidRDefault="00050747" w:rsidP="00050747">
      <w:pPr>
        <w:spacing w:before="240" w:after="240" w:line="360" w:lineRule="auto"/>
        <w:jc w:val="both"/>
        <w:rPr>
          <w:rFonts w:ascii="Arial" w:hAnsi="Arial"/>
          <w:b/>
          <w:bCs/>
          <w:u w:val="single"/>
          <w:rtl/>
        </w:rPr>
      </w:pPr>
      <w:r w:rsidRPr="006B48AC">
        <w:rPr>
          <w:rFonts w:ascii="Arial" w:hAnsi="Arial" w:hint="cs"/>
          <w:b/>
          <w:bCs/>
          <w:u w:val="single"/>
          <w:rtl/>
        </w:rPr>
        <w:t>טיעוני המדינה</w:t>
      </w:r>
    </w:p>
    <w:p w14:paraId="7171E5C1" w14:textId="77777777" w:rsidR="00050747" w:rsidRDefault="00050747" w:rsidP="00050747">
      <w:pPr>
        <w:pStyle w:val="a9"/>
        <w:numPr>
          <w:ilvl w:val="0"/>
          <w:numId w:val="1"/>
        </w:numPr>
        <w:spacing w:line="360" w:lineRule="auto"/>
        <w:jc w:val="both"/>
        <w:rPr>
          <w:rFonts w:ascii="Arial" w:hAnsi="Arial"/>
        </w:rPr>
      </w:pPr>
      <w:r>
        <w:rPr>
          <w:rFonts w:ascii="Arial" w:hAnsi="Arial" w:hint="cs"/>
          <w:rtl/>
        </w:rPr>
        <w:t xml:space="preserve">בפתח הדיון, הוגש גיליון הרשעות הנאשם כראיה לעונש. </w:t>
      </w:r>
    </w:p>
    <w:p w14:paraId="398814C6" w14:textId="77777777" w:rsidR="00050747" w:rsidRDefault="00050747" w:rsidP="00050747">
      <w:pPr>
        <w:pStyle w:val="a9"/>
        <w:spacing w:line="360" w:lineRule="auto"/>
        <w:jc w:val="both"/>
        <w:rPr>
          <w:rFonts w:ascii="Arial" w:hAnsi="Arial"/>
        </w:rPr>
      </w:pPr>
    </w:p>
    <w:p w14:paraId="3491CCEB" w14:textId="77777777" w:rsidR="00050747" w:rsidRDefault="00050747" w:rsidP="00050747">
      <w:pPr>
        <w:pStyle w:val="a9"/>
        <w:numPr>
          <w:ilvl w:val="0"/>
          <w:numId w:val="1"/>
        </w:numPr>
        <w:spacing w:line="360" w:lineRule="auto"/>
        <w:jc w:val="both"/>
        <w:rPr>
          <w:rFonts w:ascii="Arial" w:hAnsi="Arial"/>
        </w:rPr>
      </w:pPr>
      <w:r>
        <w:rPr>
          <w:rFonts w:ascii="Arial" w:hAnsi="Arial" w:hint="cs"/>
          <w:rtl/>
        </w:rPr>
        <w:t xml:space="preserve">המדינה טענה למתחם עונש הולם שנע בין 30 </w:t>
      </w:r>
      <w:r>
        <w:rPr>
          <w:rFonts w:ascii="Arial" w:hAnsi="Arial"/>
          <w:rtl/>
        </w:rPr>
        <w:t>–</w:t>
      </w:r>
      <w:r>
        <w:rPr>
          <w:rFonts w:ascii="Arial" w:hAnsi="Arial" w:hint="cs"/>
          <w:rtl/>
        </w:rPr>
        <w:t xml:space="preserve"> 48 חודשי מאסר בפועל. </w:t>
      </w:r>
    </w:p>
    <w:p w14:paraId="586F16CE" w14:textId="77777777" w:rsidR="00050747" w:rsidRPr="00784965" w:rsidRDefault="00050747" w:rsidP="00050747">
      <w:pPr>
        <w:pStyle w:val="a9"/>
        <w:rPr>
          <w:rFonts w:ascii="Arial" w:hAnsi="Arial"/>
          <w:rtl/>
        </w:rPr>
      </w:pPr>
    </w:p>
    <w:p w14:paraId="38CAC8F5" w14:textId="77777777" w:rsidR="00050747" w:rsidRDefault="00050747" w:rsidP="00050747">
      <w:pPr>
        <w:pStyle w:val="a9"/>
        <w:numPr>
          <w:ilvl w:val="0"/>
          <w:numId w:val="1"/>
        </w:numPr>
        <w:spacing w:line="360" w:lineRule="auto"/>
        <w:jc w:val="both"/>
        <w:rPr>
          <w:rFonts w:ascii="Arial" w:hAnsi="Arial"/>
        </w:rPr>
      </w:pPr>
      <w:r>
        <w:rPr>
          <w:rFonts w:ascii="Arial" w:hAnsi="Arial" w:hint="cs"/>
          <w:rtl/>
        </w:rPr>
        <w:t>המדינה טענה כי עבירת החזקת הנשק הבלתי חוקית הפכה למכת מדינה של משש ועל בתי המשפט מוטלת החובה להילחם בתופעה, באמצעות ענישה מחמירה. בעניין זה הפנתה המדינה ל</w:t>
      </w:r>
      <w:hyperlink r:id="rId17" w:history="1">
        <w:r w:rsidR="00C04EF4" w:rsidRPr="00C04EF4">
          <w:rPr>
            <w:rFonts w:ascii="Arial" w:hAnsi="Arial"/>
            <w:color w:val="0000FF"/>
            <w:u w:val="single"/>
            <w:rtl/>
          </w:rPr>
          <w:t>ע"פ 6383/21</w:t>
        </w:r>
      </w:hyperlink>
      <w:r>
        <w:rPr>
          <w:rFonts w:ascii="Arial" w:hAnsi="Arial" w:hint="cs"/>
          <w:rtl/>
        </w:rPr>
        <w:t xml:space="preserve"> </w:t>
      </w:r>
      <w:r>
        <w:rPr>
          <w:rFonts w:ascii="Arial" w:hAnsi="Arial" w:hint="cs"/>
          <w:b/>
          <w:bCs/>
          <w:rtl/>
        </w:rPr>
        <w:t xml:space="preserve">עידן קריף נ' מדינת ישראל </w:t>
      </w:r>
      <w:r>
        <w:rPr>
          <w:rFonts w:ascii="Arial" w:hAnsi="Arial" w:hint="cs"/>
          <w:rtl/>
        </w:rPr>
        <w:t xml:space="preserve">(13.2.22). </w:t>
      </w:r>
    </w:p>
    <w:p w14:paraId="568C3CF7" w14:textId="77777777" w:rsidR="00050747" w:rsidRPr="00193E21" w:rsidRDefault="00050747" w:rsidP="00050747">
      <w:pPr>
        <w:pStyle w:val="a9"/>
        <w:rPr>
          <w:rFonts w:ascii="Arial" w:hAnsi="Arial"/>
          <w:rtl/>
        </w:rPr>
      </w:pPr>
    </w:p>
    <w:p w14:paraId="5D0BA107" w14:textId="77777777" w:rsidR="00050747" w:rsidRDefault="00050747" w:rsidP="00050747">
      <w:pPr>
        <w:pStyle w:val="a9"/>
        <w:numPr>
          <w:ilvl w:val="0"/>
          <w:numId w:val="1"/>
        </w:numPr>
        <w:spacing w:line="360" w:lineRule="auto"/>
        <w:jc w:val="both"/>
        <w:rPr>
          <w:rFonts w:ascii="Arial" w:hAnsi="Arial"/>
        </w:rPr>
      </w:pPr>
      <w:r>
        <w:rPr>
          <w:rFonts w:ascii="Arial" w:hAnsi="Arial" w:hint="cs"/>
          <w:rtl/>
        </w:rPr>
        <w:t xml:space="preserve"> נטען בקשר לתכנון מוקדם כי הנאשם החזיק ברכבו את הנשק והתחמושת עטוף בבד, מתחת למושב הנהג במקום ציבורי, כאשר האקדח טעון במחסנית וכדורים. עוד נטען כי כל הנסיבות על אודות האופן בו הנאשם השיג את הנשק והתחמושת ולשם מה הוא הצטייד בהם נותרו בערפל. </w:t>
      </w:r>
    </w:p>
    <w:p w14:paraId="222D6675" w14:textId="77777777" w:rsidR="00050747" w:rsidRDefault="00050747" w:rsidP="00050747">
      <w:pPr>
        <w:pStyle w:val="a9"/>
        <w:spacing w:line="360" w:lineRule="auto"/>
        <w:jc w:val="both"/>
        <w:rPr>
          <w:rFonts w:ascii="Arial" w:hAnsi="Arial"/>
        </w:rPr>
      </w:pPr>
    </w:p>
    <w:p w14:paraId="42C052F9" w14:textId="77777777" w:rsidR="00050747" w:rsidRDefault="00050747" w:rsidP="00050747">
      <w:pPr>
        <w:pStyle w:val="a9"/>
        <w:numPr>
          <w:ilvl w:val="0"/>
          <w:numId w:val="1"/>
        </w:numPr>
        <w:spacing w:line="360" w:lineRule="auto"/>
        <w:jc w:val="both"/>
        <w:rPr>
          <w:rFonts w:ascii="Arial" w:hAnsi="Arial"/>
        </w:rPr>
      </w:pPr>
      <w:r>
        <w:rPr>
          <w:rFonts w:ascii="Arial" w:hAnsi="Arial" w:hint="cs"/>
          <w:rtl/>
        </w:rPr>
        <w:t>נטען לגבי חלקו של הנאשם כי הוא היה המעורב היחיד</w:t>
      </w:r>
      <w:r>
        <w:rPr>
          <w:rFonts w:ascii="Arial" w:hAnsi="Arial" w:hint="eastAsia"/>
          <w:rtl/>
        </w:rPr>
        <w:t>י</w:t>
      </w:r>
      <w:r>
        <w:rPr>
          <w:rFonts w:ascii="Arial" w:hAnsi="Arial" w:hint="cs"/>
          <w:rtl/>
        </w:rPr>
        <w:t xml:space="preserve"> וחלקו היה מוחלט. </w:t>
      </w:r>
    </w:p>
    <w:p w14:paraId="673BE456" w14:textId="77777777" w:rsidR="00050747" w:rsidRDefault="00050747" w:rsidP="00050747">
      <w:pPr>
        <w:pStyle w:val="a9"/>
        <w:spacing w:line="360" w:lineRule="auto"/>
        <w:jc w:val="both"/>
        <w:rPr>
          <w:rFonts w:ascii="Arial" w:hAnsi="Arial"/>
        </w:rPr>
      </w:pPr>
    </w:p>
    <w:p w14:paraId="7FB394D3" w14:textId="77777777" w:rsidR="00050747" w:rsidRDefault="00050747" w:rsidP="00050747">
      <w:pPr>
        <w:pStyle w:val="a9"/>
        <w:numPr>
          <w:ilvl w:val="0"/>
          <w:numId w:val="1"/>
        </w:numPr>
        <w:spacing w:line="360" w:lineRule="auto"/>
        <w:jc w:val="both"/>
        <w:rPr>
          <w:rFonts w:ascii="Arial" w:hAnsi="Arial"/>
        </w:rPr>
      </w:pPr>
      <w:r>
        <w:rPr>
          <w:rFonts w:ascii="Arial" w:hAnsi="Arial" w:hint="cs"/>
          <w:rtl/>
        </w:rPr>
        <w:t xml:space="preserve">נטען כי אמנם לא נעשה שימוש בנשק אך הנזק שהיה צפוי להיגרם אילו הנאשם היה עושה שימוש כלשהו בנשק הוא ברור. </w:t>
      </w:r>
    </w:p>
    <w:p w14:paraId="27615DD6" w14:textId="77777777" w:rsidR="00050747" w:rsidRDefault="00050747" w:rsidP="00050747">
      <w:pPr>
        <w:spacing w:line="360" w:lineRule="auto"/>
        <w:jc w:val="both"/>
        <w:rPr>
          <w:rFonts w:ascii="Arial" w:hAnsi="Arial"/>
          <w:rtl/>
        </w:rPr>
      </w:pPr>
    </w:p>
    <w:p w14:paraId="5D59A5E5" w14:textId="77777777" w:rsidR="00050747" w:rsidRDefault="00050747" w:rsidP="00050747">
      <w:pPr>
        <w:pStyle w:val="a9"/>
        <w:numPr>
          <w:ilvl w:val="0"/>
          <w:numId w:val="1"/>
        </w:numPr>
        <w:spacing w:line="360" w:lineRule="auto"/>
        <w:jc w:val="both"/>
        <w:rPr>
          <w:rFonts w:ascii="Arial" w:hAnsi="Arial"/>
        </w:rPr>
      </w:pPr>
      <w:r w:rsidRPr="00193E21">
        <w:rPr>
          <w:rFonts w:ascii="Arial" w:hAnsi="Arial" w:hint="cs"/>
          <w:rtl/>
        </w:rPr>
        <w:t xml:space="preserve"> </w:t>
      </w:r>
      <w:r>
        <w:rPr>
          <w:rFonts w:ascii="Arial" w:hAnsi="Arial" w:hint="cs"/>
          <w:rtl/>
        </w:rPr>
        <w:t>המדינה הפנתה לפסיקה כדלקמן:</w:t>
      </w:r>
    </w:p>
    <w:p w14:paraId="533E2326" w14:textId="77777777" w:rsidR="00050747" w:rsidRDefault="00050747" w:rsidP="00050747">
      <w:pPr>
        <w:pStyle w:val="a9"/>
        <w:rPr>
          <w:rtl/>
        </w:rPr>
      </w:pPr>
    </w:p>
    <w:p w14:paraId="11D7444C" w14:textId="77777777" w:rsidR="00050747" w:rsidRDefault="00C04EF4" w:rsidP="00050747">
      <w:pPr>
        <w:pStyle w:val="a9"/>
        <w:numPr>
          <w:ilvl w:val="0"/>
          <w:numId w:val="3"/>
        </w:numPr>
        <w:spacing w:before="240" w:after="240" w:line="360" w:lineRule="auto"/>
        <w:jc w:val="both"/>
        <w:rPr>
          <w:rFonts w:ascii="David" w:hAnsi="David"/>
        </w:rPr>
      </w:pPr>
      <w:hyperlink r:id="rId18" w:history="1">
        <w:r w:rsidRPr="00C04EF4">
          <w:rPr>
            <w:rFonts w:ascii="David" w:hAnsi="David"/>
            <w:color w:val="0000FF"/>
            <w:u w:val="single"/>
            <w:rtl/>
          </w:rPr>
          <w:t>ת"פ 15423-12-19</w:t>
        </w:r>
      </w:hyperlink>
      <w:r w:rsidR="00050747" w:rsidRPr="00154C28">
        <w:rPr>
          <w:rFonts w:ascii="David" w:hAnsi="David"/>
          <w:rtl/>
        </w:rPr>
        <w:t xml:space="preserve"> </w:t>
      </w:r>
      <w:r w:rsidR="00050747" w:rsidRPr="00154C28">
        <w:rPr>
          <w:rFonts w:ascii="David" w:hAnsi="David"/>
          <w:b/>
          <w:bCs/>
          <w:rtl/>
        </w:rPr>
        <w:t xml:space="preserve">מדינת ישראל נ' איתמר רוש </w:t>
      </w:r>
      <w:r w:rsidR="00050747" w:rsidRPr="00154C28">
        <w:rPr>
          <w:rFonts w:ascii="David" w:hAnsi="David"/>
          <w:rtl/>
        </w:rPr>
        <w:t>(11.8.20), שם הנאשם הורשע, על פי הודאתו, בעבירה של נשיאה והובלה של נשק ללא רשות. במסגרת הסדר הטיעון, המליצו הצדדים לבית המשפט להטיל על הנאשם 24 חודשי מאסר בפועל ולהפעיל מאסר על תנאי בן 12 חודשים, מחציתו בחופף ומחציתו במצטבר, כך שבסה"כ הנאשם יישא 30 חודשי מאסר בפועל</w:t>
      </w:r>
      <w:r w:rsidR="00050747" w:rsidRPr="00154C28">
        <w:rPr>
          <w:rFonts w:ascii="David" w:hAnsi="David" w:hint="cs"/>
          <w:rtl/>
        </w:rPr>
        <w:t>. בית המשפט קבע כי</w:t>
      </w:r>
      <w:r w:rsidR="00050747" w:rsidRPr="00154C28">
        <w:rPr>
          <w:rFonts w:ascii="David" w:hAnsi="David"/>
          <w:rtl/>
        </w:rPr>
        <w:t xml:space="preserve"> אין המדובר כאן במי שזו לו המעידה הפלילית הראשונה </w:t>
      </w:r>
      <w:r w:rsidR="00050747">
        <w:rPr>
          <w:rFonts w:ascii="David" w:hAnsi="David" w:hint="cs"/>
          <w:rtl/>
        </w:rPr>
        <w:t>ו</w:t>
      </w:r>
      <w:r w:rsidR="00050747" w:rsidRPr="00154C28">
        <w:rPr>
          <w:rFonts w:ascii="David" w:hAnsi="David"/>
          <w:rtl/>
        </w:rPr>
        <w:t>הרשעתו הראשונה בעבירת נשק</w:t>
      </w:r>
      <w:r w:rsidR="00050747" w:rsidRPr="00154C28">
        <w:rPr>
          <w:rFonts w:ascii="David" w:hAnsi="David" w:hint="cs"/>
          <w:rtl/>
        </w:rPr>
        <w:t xml:space="preserve">, </w:t>
      </w:r>
      <w:r w:rsidR="00050747">
        <w:rPr>
          <w:rFonts w:ascii="David" w:hAnsi="David" w:hint="cs"/>
          <w:rtl/>
        </w:rPr>
        <w:t xml:space="preserve">ולכן </w:t>
      </w:r>
      <w:r w:rsidR="00050747" w:rsidRPr="00154C28">
        <w:rPr>
          <w:rFonts w:ascii="David" w:hAnsi="David"/>
          <w:rtl/>
        </w:rPr>
        <w:t xml:space="preserve">לא קיים טעם משכנע המצדיק חפיפת חלק מתקופת </w:t>
      </w:r>
      <w:r w:rsidR="00050747" w:rsidRPr="00154C28">
        <w:rPr>
          <w:rFonts w:ascii="David" w:hAnsi="David"/>
          <w:rtl/>
        </w:rPr>
        <w:lastRenderedPageBreak/>
        <w:t>המאסר שיש להפעיל.</w:t>
      </w:r>
      <w:r w:rsidR="00050747">
        <w:rPr>
          <w:rFonts w:ascii="David" w:hAnsi="David" w:hint="cs"/>
          <w:rtl/>
        </w:rPr>
        <w:t xml:space="preserve"> בית המשפט גזר על הנאשם בסופו של יום 30 חודשי מאסר בפועל, ו 12 חודשי מאסר נוספים שהופעלו ממאסר על תנאי בתיק אחר. </w:t>
      </w:r>
    </w:p>
    <w:p w14:paraId="0A63C2C6" w14:textId="77777777" w:rsidR="00050747" w:rsidRPr="00EA06CF" w:rsidRDefault="00C04EF4" w:rsidP="00050747">
      <w:pPr>
        <w:pStyle w:val="a9"/>
        <w:numPr>
          <w:ilvl w:val="0"/>
          <w:numId w:val="3"/>
        </w:numPr>
        <w:spacing w:before="240" w:after="240" w:line="360" w:lineRule="auto"/>
        <w:jc w:val="both"/>
        <w:rPr>
          <w:rFonts w:ascii="David" w:hAnsi="David"/>
          <w:rtl/>
        </w:rPr>
      </w:pPr>
      <w:hyperlink r:id="rId19" w:history="1">
        <w:r w:rsidRPr="00C04EF4">
          <w:rPr>
            <w:rFonts w:ascii="David" w:hAnsi="David"/>
            <w:color w:val="0000FF"/>
            <w:u w:val="single"/>
            <w:rtl/>
          </w:rPr>
          <w:t>ע"פ 3877/16</w:t>
        </w:r>
      </w:hyperlink>
      <w:r w:rsidR="00050747">
        <w:rPr>
          <w:rFonts w:ascii="David" w:hAnsi="David" w:hint="cs"/>
          <w:rtl/>
        </w:rPr>
        <w:t xml:space="preserve"> </w:t>
      </w:r>
      <w:r w:rsidR="00050747">
        <w:rPr>
          <w:rFonts w:ascii="David" w:hAnsi="David" w:hint="cs"/>
          <w:b/>
          <w:bCs/>
          <w:rtl/>
        </w:rPr>
        <w:t xml:space="preserve">פאדי </w:t>
      </w:r>
      <w:r w:rsidR="00050747" w:rsidRPr="00EA06CF">
        <w:rPr>
          <w:rFonts w:ascii="David" w:hAnsi="David"/>
          <w:b/>
          <w:bCs/>
          <w:rtl/>
        </w:rPr>
        <w:t xml:space="preserve">ג'באלי נ' מדינת ישראל </w:t>
      </w:r>
      <w:r w:rsidR="00050747" w:rsidRPr="00EA06CF">
        <w:rPr>
          <w:rFonts w:ascii="David" w:hAnsi="David"/>
          <w:rtl/>
        </w:rPr>
        <w:t>(17.11.16)</w:t>
      </w:r>
      <w:r w:rsidR="00050747">
        <w:rPr>
          <w:rFonts w:ascii="David" w:hAnsi="David" w:hint="cs"/>
          <w:rtl/>
        </w:rPr>
        <w:t xml:space="preserve"> (להלן: </w:t>
      </w:r>
      <w:r w:rsidR="00050747">
        <w:rPr>
          <w:rFonts w:ascii="David" w:hAnsi="David" w:hint="cs"/>
          <w:b/>
          <w:bCs/>
          <w:rtl/>
        </w:rPr>
        <w:t>"עניין ג'באלי"</w:t>
      </w:r>
      <w:r w:rsidR="00050747">
        <w:rPr>
          <w:rFonts w:ascii="David" w:hAnsi="David" w:hint="cs"/>
          <w:rtl/>
        </w:rPr>
        <w:t>)</w:t>
      </w:r>
      <w:r w:rsidR="00050747" w:rsidRPr="00EA06CF">
        <w:rPr>
          <w:rFonts w:ascii="David" w:hAnsi="David"/>
          <w:rtl/>
        </w:rPr>
        <w:t xml:space="preserve">, שם הורשע הנאשם בעבירת של נשיאת נשק. הנאשם היה בעל עבר פלילי מכביד. בית המשפט המחוזי גזר על הנאשם 34 חודשי מאסר בפועל. ערעור על פסק הדין בבית המשפט העליון נדחה. </w:t>
      </w:r>
    </w:p>
    <w:p w14:paraId="3033CB05" w14:textId="77777777" w:rsidR="00050747" w:rsidRDefault="00C04EF4" w:rsidP="00050747">
      <w:pPr>
        <w:pStyle w:val="a9"/>
        <w:numPr>
          <w:ilvl w:val="0"/>
          <w:numId w:val="2"/>
        </w:numPr>
        <w:spacing w:before="240" w:after="240" w:line="360" w:lineRule="auto"/>
        <w:jc w:val="both"/>
        <w:rPr>
          <w:rFonts w:ascii="David" w:hAnsi="David"/>
        </w:rPr>
      </w:pPr>
      <w:hyperlink r:id="rId20" w:history="1">
        <w:r w:rsidRPr="00C04EF4">
          <w:rPr>
            <w:rFonts w:ascii="David" w:hAnsi="David"/>
            <w:color w:val="0000FF"/>
            <w:u w:val="single"/>
            <w:rtl/>
          </w:rPr>
          <w:t>ת"פ 43009-08-20</w:t>
        </w:r>
      </w:hyperlink>
      <w:r w:rsidR="00050747" w:rsidRPr="00EA06CF">
        <w:rPr>
          <w:rFonts w:ascii="David" w:hAnsi="David"/>
          <w:rtl/>
        </w:rPr>
        <w:t xml:space="preserve"> </w:t>
      </w:r>
      <w:r w:rsidR="00050747" w:rsidRPr="00EA06CF">
        <w:rPr>
          <w:rFonts w:ascii="David" w:hAnsi="David"/>
          <w:b/>
          <w:bCs/>
          <w:rtl/>
        </w:rPr>
        <w:t xml:space="preserve">מדינת ישראל נ' השאם אבו גאמע </w:t>
      </w:r>
      <w:r w:rsidR="00050747" w:rsidRPr="00EA06CF">
        <w:rPr>
          <w:rFonts w:ascii="David" w:hAnsi="David"/>
          <w:rtl/>
        </w:rPr>
        <w:t xml:space="preserve">(21.11.21), שם הורשע הנאשם על פי הודאתו בעבירות של נשיאה והובלת נשק והפרעה לשוטר. בית המשפט קבע </w:t>
      </w:r>
      <w:r w:rsidR="00050747" w:rsidRPr="00EA06CF">
        <w:rPr>
          <w:rFonts w:ascii="David" w:hAnsi="David"/>
          <w:rtl/>
          <w:lang w:eastAsia="he-IL"/>
        </w:rPr>
        <w:t>כי מתחם העונש ההולם למעשי הנאשם נע בין 18 ל- 36 חודשי מאסר בפועל.</w:t>
      </w:r>
      <w:r w:rsidR="00050747">
        <w:rPr>
          <w:rFonts w:ascii="David" w:hAnsi="David" w:hint="cs"/>
          <w:rtl/>
        </w:rPr>
        <w:t xml:space="preserve"> בית המשפט המחוזי גזר על הנאשם 24 חודשי מאסר בפועל. </w:t>
      </w:r>
    </w:p>
    <w:p w14:paraId="4E005548" w14:textId="77777777" w:rsidR="00050747" w:rsidRDefault="00C04EF4" w:rsidP="00050747">
      <w:pPr>
        <w:pStyle w:val="a9"/>
        <w:numPr>
          <w:ilvl w:val="0"/>
          <w:numId w:val="2"/>
        </w:numPr>
        <w:spacing w:before="240" w:after="240" w:line="360" w:lineRule="auto"/>
        <w:jc w:val="both"/>
        <w:rPr>
          <w:rFonts w:ascii="David" w:hAnsi="David"/>
        </w:rPr>
      </w:pPr>
      <w:hyperlink r:id="rId21" w:history="1">
        <w:r w:rsidRPr="00C04EF4">
          <w:rPr>
            <w:rFonts w:ascii="David" w:hAnsi="David"/>
            <w:color w:val="0000FF"/>
            <w:u w:val="single"/>
            <w:rtl/>
          </w:rPr>
          <w:t>ת"פ 71333-10-21</w:t>
        </w:r>
      </w:hyperlink>
      <w:r w:rsidR="00050747">
        <w:rPr>
          <w:rFonts w:ascii="David" w:hAnsi="David" w:hint="cs"/>
          <w:rtl/>
        </w:rPr>
        <w:t xml:space="preserve"> </w:t>
      </w:r>
      <w:r w:rsidR="00050747">
        <w:rPr>
          <w:rFonts w:ascii="David" w:hAnsi="David" w:hint="cs"/>
          <w:b/>
          <w:bCs/>
          <w:rtl/>
        </w:rPr>
        <w:t xml:space="preserve">מדינת ישראל נ' תום אברהם בר </w:t>
      </w:r>
      <w:r w:rsidR="00050747">
        <w:rPr>
          <w:rFonts w:ascii="David" w:hAnsi="David" w:hint="cs"/>
          <w:rtl/>
        </w:rPr>
        <w:t xml:space="preserve">(30.3.22), נאשם שהורשע בעבירות ש נשיאה והובלת נשק והחזקת סם לצריכה עצמית. בית המשפט קבע מתחם עונש הולם שנע בין 20 </w:t>
      </w:r>
      <w:r w:rsidR="00050747">
        <w:rPr>
          <w:rFonts w:ascii="David" w:hAnsi="David"/>
          <w:rtl/>
        </w:rPr>
        <w:t>–</w:t>
      </w:r>
      <w:r w:rsidR="00050747">
        <w:rPr>
          <w:rFonts w:ascii="David" w:hAnsi="David" w:hint="cs"/>
          <w:rtl/>
        </w:rPr>
        <w:t xml:space="preserve"> 48 חודשי מאסר בפועל והשית על הנאשם 30 חודשי מאסר בפועל לאור עברו הפלילי. </w:t>
      </w:r>
    </w:p>
    <w:p w14:paraId="7DD49C85" w14:textId="77777777" w:rsidR="00050747" w:rsidRDefault="00050747" w:rsidP="00050747">
      <w:pPr>
        <w:pStyle w:val="a9"/>
        <w:spacing w:before="240" w:after="240" w:line="360" w:lineRule="auto"/>
        <w:jc w:val="both"/>
        <w:rPr>
          <w:rFonts w:ascii="David" w:hAnsi="David"/>
        </w:rPr>
      </w:pPr>
    </w:p>
    <w:p w14:paraId="608593B3"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באשר לנסיבות שאינן קשורות לביצוע העבירה, נטען כי הנאשם הודה בעובדות כתב אישום מתוקן וחסך זמן שיפוטי יקר. מאידך נטען כי הנאשם הבין את טיב מעשיו ולא היה במצוקה נפשית.</w:t>
      </w:r>
    </w:p>
    <w:p w14:paraId="7F801DC1" w14:textId="77777777" w:rsidR="00050747" w:rsidRDefault="00050747" w:rsidP="00050747">
      <w:pPr>
        <w:pStyle w:val="a9"/>
        <w:spacing w:before="240" w:after="240" w:line="360" w:lineRule="auto"/>
        <w:jc w:val="both"/>
        <w:rPr>
          <w:rFonts w:ascii="David" w:hAnsi="David"/>
        </w:rPr>
      </w:pPr>
    </w:p>
    <w:p w14:paraId="71026C3F"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נטען כי אין מקום לסטות ממתחם העונש שייקבע משיקולי שיקום. </w:t>
      </w:r>
    </w:p>
    <w:p w14:paraId="04FFA5E6" w14:textId="77777777" w:rsidR="00050747" w:rsidRDefault="00050747" w:rsidP="00050747">
      <w:pPr>
        <w:pStyle w:val="a9"/>
        <w:spacing w:before="240" w:after="240" w:line="360" w:lineRule="auto"/>
        <w:jc w:val="both"/>
        <w:rPr>
          <w:rFonts w:ascii="David" w:hAnsi="David"/>
        </w:rPr>
      </w:pPr>
    </w:p>
    <w:p w14:paraId="5E8C2984"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נטען כי תיקון 140 אינו חל במקרה דנן ובית המשפט אינו מחויב להשית על הנאשם עונש מזערי, אך יחד עם זאת, בית המשפט נדרש לתרום את ידו למאמץ באמצעות החמרת הענישה.</w:t>
      </w:r>
    </w:p>
    <w:p w14:paraId="4221994D" w14:textId="77777777" w:rsidR="00050747" w:rsidRDefault="00050747" w:rsidP="00050747">
      <w:pPr>
        <w:pStyle w:val="a9"/>
        <w:spacing w:before="240" w:after="240" w:line="360" w:lineRule="auto"/>
        <w:jc w:val="both"/>
        <w:rPr>
          <w:rFonts w:ascii="David" w:hAnsi="David"/>
        </w:rPr>
      </w:pPr>
    </w:p>
    <w:p w14:paraId="1E02EB7A"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המאשימה טענה כי יש למקם את עונשו של הנאשם בתוך המתחם, בחלקו התחתון </w:t>
      </w:r>
      <w:r>
        <w:rPr>
          <w:rFonts w:ascii="David" w:hAnsi="David"/>
          <w:rtl/>
        </w:rPr>
        <w:t>–</w:t>
      </w:r>
      <w:r>
        <w:rPr>
          <w:rFonts w:ascii="David" w:hAnsi="David" w:hint="cs"/>
          <w:rtl/>
        </w:rPr>
        <w:t xml:space="preserve"> בינוני</w:t>
      </w:r>
      <w:r>
        <w:rPr>
          <w:rFonts w:ascii="David" w:hAnsi="David" w:hint="cs"/>
        </w:rPr>
        <w:t xml:space="preserve"> </w:t>
      </w:r>
      <w:r>
        <w:rPr>
          <w:rFonts w:ascii="David" w:hAnsi="David" w:hint="cs"/>
          <w:rtl/>
        </w:rPr>
        <w:t xml:space="preserve">של המתחם. </w:t>
      </w:r>
    </w:p>
    <w:p w14:paraId="71106C40" w14:textId="77777777" w:rsidR="00050747" w:rsidRPr="00760723" w:rsidRDefault="00050747" w:rsidP="00050747">
      <w:pPr>
        <w:pStyle w:val="a9"/>
        <w:rPr>
          <w:rFonts w:ascii="David" w:hAnsi="David"/>
          <w:rtl/>
        </w:rPr>
      </w:pPr>
    </w:p>
    <w:p w14:paraId="1E15D7A7"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בנוסף לכך ביקשה המדינה לצוות על חילוט הרכב בו נהג הנאשם מסוג יונדאי מ"ר 48-134-11 וזאת מתוקף סמכותו לפי </w:t>
      </w:r>
      <w:hyperlink r:id="rId22" w:history="1">
        <w:r w:rsidR="00214464" w:rsidRPr="00214464">
          <w:rPr>
            <w:rStyle w:val="Hyperlink"/>
            <w:rFonts w:ascii="David" w:hAnsi="David" w:hint="eastAsia"/>
            <w:rtl/>
          </w:rPr>
          <w:t>סעיף</w:t>
        </w:r>
        <w:r w:rsidR="00214464" w:rsidRPr="00214464">
          <w:rPr>
            <w:rStyle w:val="Hyperlink"/>
            <w:rFonts w:ascii="David" w:hAnsi="David"/>
            <w:rtl/>
          </w:rPr>
          <w:t xml:space="preserve"> 39(א)</w:t>
        </w:r>
      </w:hyperlink>
      <w:r>
        <w:rPr>
          <w:rFonts w:ascii="David" w:hAnsi="David" w:hint="cs"/>
          <w:rtl/>
        </w:rPr>
        <w:t xml:space="preserve"> לפקודת סדר הדין הפלילי. </w:t>
      </w:r>
    </w:p>
    <w:p w14:paraId="46FED3A5" w14:textId="77777777" w:rsidR="00050747" w:rsidRPr="00585A62" w:rsidRDefault="00050747" w:rsidP="00050747">
      <w:pPr>
        <w:pStyle w:val="a9"/>
        <w:rPr>
          <w:rFonts w:ascii="David" w:hAnsi="David"/>
          <w:rtl/>
        </w:rPr>
      </w:pPr>
    </w:p>
    <w:p w14:paraId="390A40B3" w14:textId="77777777" w:rsidR="00050747" w:rsidRDefault="00050747" w:rsidP="00050747">
      <w:pPr>
        <w:spacing w:before="240" w:after="240" w:line="360" w:lineRule="auto"/>
        <w:jc w:val="both"/>
        <w:rPr>
          <w:rFonts w:ascii="David" w:hAnsi="David"/>
          <w:b/>
          <w:bCs/>
          <w:u w:val="single"/>
          <w:rtl/>
        </w:rPr>
      </w:pPr>
      <w:r>
        <w:rPr>
          <w:rFonts w:ascii="David" w:hAnsi="David" w:hint="cs"/>
          <w:b/>
          <w:bCs/>
          <w:u w:val="single"/>
          <w:rtl/>
        </w:rPr>
        <w:t>טיעוני ההגנה</w:t>
      </w:r>
    </w:p>
    <w:p w14:paraId="5960F21C"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ב"כ הנאשם עתר למתחם עונש הולם שנע בין 14 חודשי מאסר בפועל ועד 36 חודשי מאסר בפועל. </w:t>
      </w:r>
    </w:p>
    <w:p w14:paraId="77350944" w14:textId="77777777" w:rsidR="00050747" w:rsidRDefault="00050747" w:rsidP="00050747">
      <w:pPr>
        <w:pStyle w:val="a9"/>
        <w:spacing w:before="240" w:after="240" w:line="360" w:lineRule="auto"/>
        <w:jc w:val="both"/>
        <w:rPr>
          <w:rFonts w:ascii="David" w:hAnsi="David"/>
        </w:rPr>
      </w:pPr>
    </w:p>
    <w:p w14:paraId="48B16186"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ב"כ הנאשם טען כי הראיות בתיק היו בעייתיות ובשל עיכובים שלא בשליטת ההגנה, והוצאת תעודת החיסיון בתיק, שמיעת הראיות התארכה ולכן נטען לעונש בתיק דנן לאחר כל כך הרבה זמן. נטען כי אילולא העיכוב שנוצר הנאשם היה נדון לעונש לני כניסת תיקון 140 לחוק ומתחיל הליך שיקומי ויש לקחת את הנושא בחשבון בעת גזירת דינו.  </w:t>
      </w:r>
    </w:p>
    <w:p w14:paraId="57F73A34" w14:textId="77777777" w:rsidR="00050747" w:rsidRDefault="00050747" w:rsidP="00050747">
      <w:pPr>
        <w:pStyle w:val="a9"/>
        <w:spacing w:before="240" w:after="240" w:line="360" w:lineRule="auto"/>
        <w:jc w:val="both"/>
        <w:rPr>
          <w:rFonts w:ascii="David" w:hAnsi="David"/>
        </w:rPr>
      </w:pPr>
    </w:p>
    <w:p w14:paraId="4280C5A4"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נטען כי הנאשם בתקופה שנוהל תיק דנן שהה במאסר מאחורי סורג ובריח בתיק מע"מ בתנאים קשים. </w:t>
      </w:r>
    </w:p>
    <w:p w14:paraId="612AFBDE" w14:textId="77777777" w:rsidR="00050747" w:rsidRDefault="00050747" w:rsidP="00050747">
      <w:pPr>
        <w:pStyle w:val="a9"/>
        <w:spacing w:before="240" w:after="240" w:line="360" w:lineRule="auto"/>
        <w:jc w:val="both"/>
        <w:rPr>
          <w:rFonts w:ascii="David" w:hAnsi="David"/>
        </w:rPr>
      </w:pPr>
    </w:p>
    <w:p w14:paraId="490D64F1"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נטען כי בתקופה בה שהה הנאשם במעצר, נולד לו בן שלמרבה הצער הנאשם לא זכה להכירו. נטען שלנאשם יש שני ילדים כאשר הנאשם למעשה המפרנס היחיד בבית אשר מטפל כמו כן באימו העיוורת. </w:t>
      </w:r>
    </w:p>
    <w:p w14:paraId="21E63D9B" w14:textId="77777777" w:rsidR="00050747" w:rsidRPr="002F3E5B" w:rsidRDefault="00050747" w:rsidP="00050747">
      <w:pPr>
        <w:pStyle w:val="a9"/>
        <w:rPr>
          <w:rFonts w:ascii="David" w:hAnsi="David"/>
          <w:rtl/>
        </w:rPr>
      </w:pPr>
    </w:p>
    <w:p w14:paraId="18D624CC"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נטען כי בזמן המעצר שב"ס העביר לשופט סילמן מודיעיניים חיוביים לגבי התנהגותו במעצר והשופט סילמן אישר לו להשתתף בחתונת אחותו, שזה דבר נדיר ורק מעיד שמדובר באסיר חיובי ביותר.  </w:t>
      </w:r>
    </w:p>
    <w:p w14:paraId="6A4E7681" w14:textId="77777777" w:rsidR="00050747" w:rsidRPr="002F3E5B" w:rsidRDefault="00050747" w:rsidP="00050747">
      <w:pPr>
        <w:pStyle w:val="a9"/>
        <w:rPr>
          <w:rFonts w:ascii="David" w:hAnsi="David"/>
          <w:rtl/>
        </w:rPr>
      </w:pPr>
    </w:p>
    <w:p w14:paraId="5F252F3E"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 xml:space="preserve"> נטען שמדובר בנאשם שזאת העבירה הפלילית הראשונה בחייו ואלמלא הוא היה עצור בתיק דנן, לא היה נגזר עליו עונש מאסר בפועל בעבירת המע"מ. </w:t>
      </w:r>
    </w:p>
    <w:p w14:paraId="30924B72" w14:textId="77777777" w:rsidR="00050747" w:rsidRPr="002F3E5B" w:rsidRDefault="00050747" w:rsidP="00050747">
      <w:pPr>
        <w:pStyle w:val="a9"/>
        <w:rPr>
          <w:rFonts w:ascii="David" w:hAnsi="David"/>
          <w:rtl/>
        </w:rPr>
      </w:pPr>
    </w:p>
    <w:p w14:paraId="776519CB"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ב"כ הנאשם טען כי הפסיקה שהגישה המאשימה אינה מתאימה לתיק דנן הגם מבחינת העבירות שיוחסו לנאשמים וגם כי לחלק גדול היו מאסרים מותנים ועל כן המתחם שהמאשימה הגישה אינו מציאות</w:t>
      </w:r>
      <w:r>
        <w:rPr>
          <w:rFonts w:ascii="David" w:hAnsi="David" w:hint="eastAsia"/>
          <w:rtl/>
        </w:rPr>
        <w:t>י</w:t>
      </w:r>
      <w:r>
        <w:rPr>
          <w:rFonts w:ascii="David" w:hAnsi="David" w:hint="cs"/>
          <w:rtl/>
        </w:rPr>
        <w:t>.</w:t>
      </w:r>
    </w:p>
    <w:p w14:paraId="7C9B8896" w14:textId="77777777" w:rsidR="00050747" w:rsidRPr="002F3E5B" w:rsidRDefault="00050747" w:rsidP="00050747">
      <w:pPr>
        <w:pStyle w:val="a9"/>
        <w:rPr>
          <w:rFonts w:ascii="David" w:hAnsi="David"/>
          <w:rtl/>
        </w:rPr>
      </w:pPr>
    </w:p>
    <w:p w14:paraId="75D3EED4" w14:textId="77777777" w:rsidR="00050747" w:rsidRDefault="00050747" w:rsidP="00050747">
      <w:pPr>
        <w:pStyle w:val="a9"/>
        <w:numPr>
          <w:ilvl w:val="0"/>
          <w:numId w:val="1"/>
        </w:numPr>
        <w:spacing w:before="240" w:after="240" w:line="360" w:lineRule="auto"/>
        <w:jc w:val="both"/>
        <w:rPr>
          <w:rFonts w:ascii="David" w:hAnsi="David"/>
        </w:rPr>
      </w:pPr>
      <w:r>
        <w:rPr>
          <w:rFonts w:ascii="David" w:hAnsi="David" w:hint="cs"/>
          <w:rtl/>
        </w:rPr>
        <w:t>ההגנה הפנתה לפסיקה כדלקמן:</w:t>
      </w:r>
    </w:p>
    <w:p w14:paraId="5E7E4375" w14:textId="77777777" w:rsidR="00050747" w:rsidRDefault="00C04EF4" w:rsidP="00050747">
      <w:pPr>
        <w:pStyle w:val="a9"/>
        <w:numPr>
          <w:ilvl w:val="0"/>
          <w:numId w:val="2"/>
        </w:numPr>
        <w:spacing w:line="360" w:lineRule="auto"/>
        <w:jc w:val="both"/>
      </w:pPr>
      <w:hyperlink r:id="rId23" w:history="1">
        <w:r w:rsidRPr="00C04EF4">
          <w:rPr>
            <w:rFonts w:ascii="David" w:hAnsi="David"/>
            <w:color w:val="0000FF"/>
            <w:u w:val="single"/>
            <w:rtl/>
          </w:rPr>
          <w:t>ע"פ 4332/21</w:t>
        </w:r>
      </w:hyperlink>
      <w:r w:rsidR="00050747" w:rsidRPr="00716A86">
        <w:rPr>
          <w:rFonts w:ascii="David" w:hAnsi="David" w:hint="cs"/>
          <w:rtl/>
        </w:rPr>
        <w:t xml:space="preserve"> </w:t>
      </w:r>
      <w:r w:rsidR="00050747" w:rsidRPr="00716A86">
        <w:rPr>
          <w:rFonts w:ascii="David" w:hAnsi="David" w:hint="cs"/>
          <w:b/>
          <w:bCs/>
          <w:rtl/>
        </w:rPr>
        <w:t xml:space="preserve">כרם עאסלה נ' </w:t>
      </w:r>
      <w:r w:rsidR="00050747" w:rsidRPr="000631F7">
        <w:rPr>
          <w:rFonts w:hint="cs"/>
          <w:b/>
          <w:bCs/>
          <w:rtl/>
        </w:rPr>
        <w:t>מדינת ישראל</w:t>
      </w:r>
      <w:r w:rsidR="00050747" w:rsidRPr="00716A86">
        <w:rPr>
          <w:rFonts w:hint="cs"/>
          <w:rtl/>
        </w:rPr>
        <w:t xml:space="preserve"> (20.2.22), שם </w:t>
      </w:r>
      <w:r w:rsidR="00050747" w:rsidRPr="00716A86">
        <w:rPr>
          <w:rtl/>
        </w:rPr>
        <w:t xml:space="preserve">המערער הודה בעובדות כתב אישום מתוקן, והורשע בעבירה של החזקת נשק לפי </w:t>
      </w:r>
      <w:hyperlink r:id="rId24" w:history="1">
        <w:r w:rsidR="00214464" w:rsidRPr="00214464">
          <w:rPr>
            <w:rStyle w:val="Hyperlink"/>
            <w:rtl/>
          </w:rPr>
          <w:t>סעיף 144(א)</w:t>
        </w:r>
      </w:hyperlink>
      <w:r w:rsidR="00050747" w:rsidRPr="00716A86">
        <w:rPr>
          <w:rtl/>
        </w:rPr>
        <w:t xml:space="preserve"> רישא וסיפא ל</w:t>
      </w:r>
      <w:r w:rsidR="00050747" w:rsidRPr="00716A86">
        <w:rPr>
          <w:rFonts w:hint="cs"/>
          <w:rtl/>
        </w:rPr>
        <w:t xml:space="preserve">חוק. </w:t>
      </w:r>
      <w:r w:rsidR="00050747" w:rsidRPr="00716A86">
        <w:rPr>
          <w:rtl/>
        </w:rPr>
        <w:t>בית המשפט המחוזי גזר את דינו של המערער 15 חודשי מאסר בפועל בניכוי תקופת מעצרו</w:t>
      </w:r>
      <w:r w:rsidR="00050747" w:rsidRPr="00716A86">
        <w:rPr>
          <w:rFonts w:hint="cs"/>
          <w:rtl/>
        </w:rPr>
        <w:t xml:space="preserve">. בית המשפט העליון סבר כי </w:t>
      </w:r>
      <w:r w:rsidR="00050747" w:rsidRPr="00716A86">
        <w:rPr>
          <w:rtl/>
        </w:rPr>
        <w:t>נסיבות המקרה כמו גם נסיבותיו האישיות של המערער מצדיקות חריגה מרמת הענישה המקובלת תוך מתן משקל לעיקרון הענישה האינדיבידואלית</w:t>
      </w:r>
      <w:r w:rsidR="00050747">
        <w:rPr>
          <w:rFonts w:hint="cs"/>
          <w:rtl/>
        </w:rPr>
        <w:t xml:space="preserve"> והמיר את עונשו למאסר דרך עבודות שירות. </w:t>
      </w:r>
    </w:p>
    <w:p w14:paraId="2CEED6DE" w14:textId="77777777" w:rsidR="00050747" w:rsidRDefault="00C04EF4" w:rsidP="00050747">
      <w:pPr>
        <w:pStyle w:val="a9"/>
        <w:numPr>
          <w:ilvl w:val="0"/>
          <w:numId w:val="2"/>
        </w:numPr>
        <w:spacing w:line="360" w:lineRule="auto"/>
        <w:jc w:val="both"/>
      </w:pPr>
      <w:hyperlink r:id="rId25" w:history="1">
        <w:r w:rsidRPr="00C04EF4">
          <w:rPr>
            <w:color w:val="0000FF"/>
            <w:u w:val="single"/>
            <w:rtl/>
          </w:rPr>
          <w:t>ע"פ 8017/20</w:t>
        </w:r>
      </w:hyperlink>
      <w:r w:rsidR="00050747" w:rsidRPr="00A76273">
        <w:rPr>
          <w:rFonts w:hint="cs"/>
          <w:rtl/>
        </w:rPr>
        <w:t xml:space="preserve"> </w:t>
      </w:r>
      <w:r w:rsidR="00050747" w:rsidRPr="000631F7">
        <w:rPr>
          <w:rFonts w:hint="cs"/>
          <w:b/>
          <w:bCs/>
          <w:rtl/>
        </w:rPr>
        <w:t>מדינת ישראל נ' פאדי גריפאת</w:t>
      </w:r>
      <w:r w:rsidR="00050747" w:rsidRPr="00A76273">
        <w:rPr>
          <w:rFonts w:hint="cs"/>
          <w:rtl/>
        </w:rPr>
        <w:t xml:space="preserve"> (22.12.20), שם </w:t>
      </w:r>
      <w:r w:rsidR="00050747" w:rsidRPr="00A76273">
        <w:rPr>
          <w:rtl/>
        </w:rPr>
        <w:t xml:space="preserve"> הורשע</w:t>
      </w:r>
      <w:r w:rsidR="00050747" w:rsidRPr="00A76273">
        <w:rPr>
          <w:rFonts w:hint="cs"/>
          <w:rtl/>
        </w:rPr>
        <w:t xml:space="preserve"> הנאשם</w:t>
      </w:r>
      <w:r w:rsidR="00050747" w:rsidRPr="00A76273">
        <w:rPr>
          <w:rtl/>
        </w:rPr>
        <w:t xml:space="preserve"> ע"פ הודאתו במסגרת הסדר טיעון בהחזקה, הובלה ונשיאה של נשק. ביהמ"ש המחוזי גזר על המשיב 7 חודשי מאסר בפועל</w:t>
      </w:r>
      <w:r w:rsidR="00050747">
        <w:rPr>
          <w:rFonts w:hint="cs"/>
          <w:rtl/>
        </w:rPr>
        <w:t xml:space="preserve">. בית המשפט העליון קבע כי המתחם שנקב על ידי בית המשפט המחוזי 6 חודשי מאסר בפועל עד 24 חודשי מאסר בפועל אינו הולם את חומרת העבירה וגם אם מתחם כזה היה נקבע הרי שאין מקום למקם את עונשן של הנאשם בתחתית המתחם ועל כן בית המשפט העליון השית על הנאשם 14 חודשי מאסר בפועל בניכוי ימי מעצרו. </w:t>
      </w:r>
    </w:p>
    <w:p w14:paraId="61B5C3AF" w14:textId="77777777" w:rsidR="00050747" w:rsidRPr="00F32EDC" w:rsidRDefault="00050747" w:rsidP="00050747">
      <w:pPr>
        <w:pStyle w:val="a9"/>
        <w:numPr>
          <w:ilvl w:val="0"/>
          <w:numId w:val="2"/>
        </w:numPr>
        <w:spacing w:line="360" w:lineRule="auto"/>
        <w:jc w:val="both"/>
        <w:rPr>
          <w:rFonts w:ascii="David" w:hAnsi="David"/>
          <w:rtl/>
        </w:rPr>
      </w:pPr>
      <w:r>
        <w:rPr>
          <w:rFonts w:hint="cs"/>
          <w:rtl/>
        </w:rPr>
        <w:t xml:space="preserve">ת"פ </w:t>
      </w:r>
      <w:r w:rsidRPr="00F32EDC">
        <w:rPr>
          <w:rFonts w:hint="cs"/>
          <w:b/>
          <w:bCs/>
          <w:rtl/>
        </w:rPr>
        <w:t xml:space="preserve">מדינת ישראל נ' מוחסן טחימר </w:t>
      </w:r>
      <w:r>
        <w:rPr>
          <w:rFonts w:hint="cs"/>
          <w:rtl/>
        </w:rPr>
        <w:t xml:space="preserve">(17.3.22), שם </w:t>
      </w:r>
      <w:r w:rsidRPr="00F32EDC">
        <w:rPr>
          <w:rFonts w:ascii="David" w:hAnsi="David"/>
          <w:rtl/>
        </w:rPr>
        <w:t>הנאשמים הורשעו על פי הודאתם במסגרת הסדר טיעון בעובדות כתב אישום מתוקן בביצוע העבירות שלהלן: עבירות נשק (נשיאה והובלה)</w:t>
      </w:r>
      <w:r w:rsidRPr="00F32EDC">
        <w:rPr>
          <w:rFonts w:ascii="David" w:hAnsi="David" w:hint="cs"/>
          <w:rtl/>
        </w:rPr>
        <w:t xml:space="preserve"> </w:t>
      </w:r>
      <w:r w:rsidRPr="00F32EDC">
        <w:rPr>
          <w:rFonts w:ascii="David" w:hAnsi="David"/>
          <w:rtl/>
        </w:rPr>
        <w:t>הנאשם מס' 1 (</w:t>
      </w:r>
      <w:r w:rsidRPr="00F32EDC">
        <w:rPr>
          <w:rFonts w:ascii="David" w:hAnsi="David" w:hint="cs"/>
          <w:rtl/>
        </w:rPr>
        <w:t>מוחסן טחימר</w:t>
      </w:r>
      <w:r w:rsidRPr="00F32EDC">
        <w:rPr>
          <w:rFonts w:ascii="David" w:hAnsi="David"/>
          <w:rtl/>
        </w:rPr>
        <w:t>)</w:t>
      </w:r>
      <w:r w:rsidRPr="00F32EDC">
        <w:rPr>
          <w:rFonts w:ascii="David" w:hAnsi="David" w:hint="cs"/>
          <w:rtl/>
        </w:rPr>
        <w:t>,</w:t>
      </w:r>
      <w:r w:rsidRPr="00F32EDC">
        <w:rPr>
          <w:rFonts w:ascii="David" w:hAnsi="David"/>
          <w:rtl/>
        </w:rPr>
        <w:t xml:space="preserve"> סיוע לעבירות נשק (נשיאה והובלה) </w:t>
      </w:r>
      <w:r w:rsidRPr="00F32EDC">
        <w:rPr>
          <w:rFonts w:ascii="David" w:hAnsi="David" w:hint="cs"/>
          <w:rtl/>
        </w:rPr>
        <w:t>ל</w:t>
      </w:r>
      <w:r w:rsidRPr="00F32EDC">
        <w:rPr>
          <w:rFonts w:ascii="David" w:hAnsi="David"/>
          <w:rtl/>
        </w:rPr>
        <w:t>נאשם מס' 2</w:t>
      </w:r>
      <w:r w:rsidRPr="00F32EDC">
        <w:rPr>
          <w:rFonts w:ascii="David" w:hAnsi="David" w:hint="cs"/>
          <w:rtl/>
        </w:rPr>
        <w:t xml:space="preserve"> (שאדי אל סראיה), </w:t>
      </w:r>
      <w:r w:rsidRPr="00F32EDC">
        <w:rPr>
          <w:rFonts w:ascii="David" w:hAnsi="David"/>
          <w:rtl/>
        </w:rPr>
        <w:t>וכן בעבירה של הפרעה לשוטר במילוי תפקידו (שני הנאשמים).</w:t>
      </w:r>
      <w:r w:rsidRPr="00F32EDC">
        <w:rPr>
          <w:rFonts w:ascii="David" w:hAnsi="David" w:hint="cs"/>
          <w:rtl/>
        </w:rPr>
        <w:t xml:space="preserve"> ב"כ הנאשם בתיק דנן טען לגבי נאשם מס' 1, טחימר, וטען כי בית המשפט המחוזי קבע מתחם לעבירות שהן חמורות מתיק דנן של 14 </w:t>
      </w:r>
      <w:r w:rsidRPr="00F32EDC">
        <w:rPr>
          <w:rFonts w:ascii="David" w:hAnsi="David"/>
          <w:rtl/>
        </w:rPr>
        <w:t>–</w:t>
      </w:r>
      <w:r w:rsidRPr="00F32EDC">
        <w:rPr>
          <w:rFonts w:ascii="David" w:hAnsi="David" w:hint="cs"/>
          <w:rtl/>
        </w:rPr>
        <w:t xml:space="preserve"> 36 חודשי מאסר בפועל ובסופו של יום נגזר ע</w:t>
      </w:r>
      <w:r>
        <w:rPr>
          <w:rFonts w:ascii="David" w:hAnsi="David" w:hint="cs"/>
          <w:rtl/>
        </w:rPr>
        <w:t>ל הנאשם שהינו בעל</w:t>
      </w:r>
      <w:r w:rsidRPr="00F32EDC">
        <w:rPr>
          <w:rFonts w:ascii="David" w:hAnsi="David" w:hint="cs"/>
          <w:rtl/>
        </w:rPr>
        <w:t xml:space="preserve"> עבר פלילי מכביד 22 חודשי מאסר בפועל. </w:t>
      </w:r>
    </w:p>
    <w:p w14:paraId="152103E4" w14:textId="77777777" w:rsidR="00050747" w:rsidRDefault="00C04EF4" w:rsidP="00050747">
      <w:pPr>
        <w:pStyle w:val="a9"/>
        <w:numPr>
          <w:ilvl w:val="0"/>
          <w:numId w:val="2"/>
        </w:numPr>
        <w:spacing w:line="360" w:lineRule="auto"/>
        <w:jc w:val="both"/>
        <w:rPr>
          <w:rFonts w:ascii="David" w:hAnsi="David"/>
        </w:rPr>
      </w:pPr>
      <w:hyperlink r:id="rId26" w:history="1">
        <w:r w:rsidRPr="00C04EF4">
          <w:rPr>
            <w:rFonts w:ascii="David" w:hAnsi="David"/>
            <w:color w:val="0000FF"/>
            <w:u w:val="single"/>
            <w:rtl/>
          </w:rPr>
          <w:t>ת"פ 30327-02-21</w:t>
        </w:r>
      </w:hyperlink>
      <w:r w:rsidR="00050747" w:rsidRPr="0059697F">
        <w:rPr>
          <w:rFonts w:ascii="David" w:hAnsi="David" w:hint="cs"/>
          <w:rtl/>
        </w:rPr>
        <w:t xml:space="preserve"> </w:t>
      </w:r>
      <w:r w:rsidR="00050747" w:rsidRPr="0059697F">
        <w:rPr>
          <w:rFonts w:ascii="David" w:hAnsi="David" w:hint="cs"/>
          <w:b/>
          <w:bCs/>
          <w:rtl/>
        </w:rPr>
        <w:t>מדינת ישראל נ' סוהיל מחאג'נה,</w:t>
      </w:r>
      <w:r w:rsidR="00050747" w:rsidRPr="0059697F">
        <w:rPr>
          <w:rFonts w:ascii="David" w:hAnsi="David" w:hint="cs"/>
          <w:rtl/>
        </w:rPr>
        <w:t xml:space="preserve"> שם הורשע </w:t>
      </w:r>
      <w:r w:rsidR="00050747" w:rsidRPr="0059697F">
        <w:rPr>
          <w:rFonts w:ascii="David" w:hAnsi="David" w:hint="cs"/>
          <w:sz w:val="26"/>
          <w:szCs w:val="26"/>
          <w:rtl/>
        </w:rPr>
        <w:t xml:space="preserve">נאשם מס' 1 </w:t>
      </w:r>
      <w:r w:rsidR="00050747" w:rsidRPr="0059697F">
        <w:rPr>
          <w:rFonts w:ascii="David" w:hAnsi="David"/>
          <w:sz w:val="26"/>
          <w:szCs w:val="26"/>
          <w:rtl/>
        </w:rPr>
        <w:t>על פי הודאתו בעבירות של החזק</w:t>
      </w:r>
      <w:r w:rsidR="00050747" w:rsidRPr="0059697F">
        <w:rPr>
          <w:rFonts w:ascii="David" w:hAnsi="David" w:hint="cs"/>
          <w:sz w:val="26"/>
          <w:szCs w:val="26"/>
          <w:rtl/>
        </w:rPr>
        <w:t>ה</w:t>
      </w:r>
      <w:r w:rsidR="00050747" w:rsidRPr="0059697F">
        <w:rPr>
          <w:rFonts w:ascii="David" w:hAnsi="David"/>
          <w:sz w:val="26"/>
          <w:szCs w:val="26"/>
          <w:rtl/>
        </w:rPr>
        <w:t>, נשיאה והובלת נשק</w:t>
      </w:r>
      <w:r w:rsidR="00050747" w:rsidRPr="0059697F">
        <w:rPr>
          <w:rFonts w:ascii="David" w:hAnsi="David" w:hint="cs"/>
          <w:sz w:val="26"/>
          <w:szCs w:val="26"/>
          <w:rtl/>
        </w:rPr>
        <w:t xml:space="preserve">, </w:t>
      </w:r>
      <w:r w:rsidR="00050747" w:rsidRPr="0059697F">
        <w:rPr>
          <w:rFonts w:ascii="David" w:hAnsi="David"/>
          <w:sz w:val="26"/>
          <w:szCs w:val="26"/>
          <w:rtl/>
        </w:rPr>
        <w:t xml:space="preserve">עבירה של הפרעה לשוטר במילוי תפקידו </w:t>
      </w:r>
      <w:r w:rsidR="00050747">
        <w:rPr>
          <w:rFonts w:ascii="David" w:hAnsi="David"/>
          <w:sz w:val="26"/>
          <w:szCs w:val="26"/>
          <w:rtl/>
        </w:rPr>
        <w:t>ועבירת החזקת אגרופן שלא כדין</w:t>
      </w:r>
      <w:r w:rsidR="00050747">
        <w:rPr>
          <w:rFonts w:ascii="David" w:hAnsi="David" w:hint="cs"/>
          <w:sz w:val="26"/>
          <w:szCs w:val="26"/>
          <w:rtl/>
        </w:rPr>
        <w:t xml:space="preserve">. בית המשפט קבע מתחם עונש הולם שנע בין 18 </w:t>
      </w:r>
      <w:r w:rsidR="00050747">
        <w:rPr>
          <w:rFonts w:ascii="David" w:hAnsi="David"/>
          <w:sz w:val="26"/>
          <w:szCs w:val="26"/>
          <w:rtl/>
        </w:rPr>
        <w:t>–</w:t>
      </w:r>
      <w:r w:rsidR="00050747">
        <w:rPr>
          <w:rFonts w:ascii="David" w:hAnsi="David" w:hint="cs"/>
          <w:sz w:val="26"/>
          <w:szCs w:val="26"/>
          <w:rtl/>
        </w:rPr>
        <w:t xml:space="preserve"> 36 חודשי מאסר בפועל </w:t>
      </w:r>
      <w:r w:rsidR="00050747">
        <w:rPr>
          <w:rFonts w:ascii="David" w:hAnsi="David"/>
          <w:sz w:val="26"/>
          <w:szCs w:val="26"/>
          <w:rtl/>
        </w:rPr>
        <w:t>לאור גילו הצעיר של</w:t>
      </w:r>
      <w:r w:rsidR="00050747">
        <w:rPr>
          <w:rFonts w:ascii="David" w:hAnsi="David" w:hint="cs"/>
          <w:sz w:val="26"/>
          <w:szCs w:val="26"/>
          <w:rtl/>
        </w:rPr>
        <w:t xml:space="preserve"> הנאשם,</w:t>
      </w:r>
      <w:r w:rsidR="00050747">
        <w:rPr>
          <w:rFonts w:ascii="David" w:hAnsi="David"/>
          <w:sz w:val="26"/>
          <w:szCs w:val="26"/>
          <w:rtl/>
        </w:rPr>
        <w:t xml:space="preserve"> העובדה שמדובר בהסתבכותו הראשונה בפלילים, ההודאה והחיסכון בזמן השיפוטי</w:t>
      </w:r>
      <w:r w:rsidR="00050747">
        <w:rPr>
          <w:rFonts w:ascii="David" w:hAnsi="David" w:hint="cs"/>
          <w:rtl/>
        </w:rPr>
        <w:t xml:space="preserve"> גזר עליו בית המשפט 18 חודשי מאסר בפועל בניכוי ימי מעצרו. </w:t>
      </w:r>
    </w:p>
    <w:p w14:paraId="2E9F0A36" w14:textId="77777777" w:rsidR="00050747" w:rsidRDefault="00050747" w:rsidP="00050747">
      <w:pPr>
        <w:pStyle w:val="a9"/>
        <w:spacing w:line="360" w:lineRule="auto"/>
        <w:jc w:val="both"/>
        <w:rPr>
          <w:rFonts w:ascii="David" w:hAnsi="David"/>
        </w:rPr>
      </w:pPr>
    </w:p>
    <w:p w14:paraId="26577EEE" w14:textId="77777777" w:rsidR="00050747" w:rsidRDefault="00050747" w:rsidP="00050747">
      <w:pPr>
        <w:pStyle w:val="a9"/>
        <w:numPr>
          <w:ilvl w:val="0"/>
          <w:numId w:val="1"/>
        </w:numPr>
        <w:spacing w:line="360" w:lineRule="auto"/>
        <w:jc w:val="both"/>
        <w:rPr>
          <w:rFonts w:ascii="David" w:hAnsi="David"/>
        </w:rPr>
      </w:pPr>
      <w:r>
        <w:rPr>
          <w:rFonts w:ascii="David" w:hAnsi="David" w:hint="cs"/>
          <w:rtl/>
        </w:rPr>
        <w:t xml:space="preserve">נטען כי הנאשם היה עצור בתיק דנן מיום 1.3.21, וביום 4.5.21 הנאשם החל לרצות עונש מאסר של 9 חודשים בגין תיק מע"מ. ביום 4.1.22 הוא שוחרר מהמאסר של תיק המע"מ וחזר להיות עצור בתיק דנן. </w:t>
      </w:r>
    </w:p>
    <w:p w14:paraId="05AD249D" w14:textId="77777777" w:rsidR="00050747" w:rsidRDefault="00050747" w:rsidP="00050747">
      <w:pPr>
        <w:pStyle w:val="a9"/>
        <w:spacing w:line="360" w:lineRule="auto"/>
        <w:jc w:val="both"/>
        <w:rPr>
          <w:rFonts w:ascii="David" w:hAnsi="David"/>
        </w:rPr>
      </w:pPr>
    </w:p>
    <w:p w14:paraId="5E625EB2" w14:textId="77777777" w:rsidR="00050747" w:rsidRDefault="00050747" w:rsidP="00050747">
      <w:pPr>
        <w:pStyle w:val="a9"/>
        <w:numPr>
          <w:ilvl w:val="0"/>
          <w:numId w:val="1"/>
        </w:numPr>
        <w:spacing w:line="360" w:lineRule="auto"/>
        <w:jc w:val="both"/>
        <w:rPr>
          <w:rFonts w:ascii="David" w:hAnsi="David"/>
        </w:rPr>
      </w:pPr>
      <w:r>
        <w:rPr>
          <w:rFonts w:ascii="David" w:hAnsi="David" w:hint="cs"/>
          <w:rtl/>
        </w:rPr>
        <w:t xml:space="preserve">ב"כ הנאשם טען כי לפי </w:t>
      </w:r>
      <w:r w:rsidRPr="002F3E5B">
        <w:rPr>
          <w:rFonts w:ascii="David" w:hAnsi="David" w:hint="cs"/>
          <w:b/>
          <w:bCs/>
          <w:rtl/>
        </w:rPr>
        <w:t>עניין ג'באלי</w:t>
      </w:r>
      <w:r>
        <w:rPr>
          <w:rFonts w:ascii="David" w:hAnsi="David" w:hint="cs"/>
          <w:rtl/>
        </w:rPr>
        <w:t xml:space="preserve"> יש מקום להכיר בעובדה כי הנאשם בתקופת מעצרו ריצה מאסר בפועל ל 9 חודשי מאסר בתיק מע"מ כמפורט לעיל ולנכות חלק מהתקופה וזאת מכיוון שהוא לא יכל להתחיל הליך שיקומי עת שהיה במעצר בתיק דנן ולפי החוק המנהלי הנאשם היה משתחרר אחרי 4.5 חודשים. </w:t>
      </w:r>
    </w:p>
    <w:p w14:paraId="7ED7AD53" w14:textId="77777777" w:rsidR="00050747" w:rsidRPr="00E45B23" w:rsidRDefault="00050747" w:rsidP="00050747">
      <w:pPr>
        <w:pStyle w:val="a9"/>
        <w:rPr>
          <w:rFonts w:ascii="David" w:hAnsi="David"/>
          <w:rtl/>
        </w:rPr>
      </w:pPr>
    </w:p>
    <w:p w14:paraId="3321411D" w14:textId="77777777" w:rsidR="00050747" w:rsidRDefault="00050747" w:rsidP="00050747">
      <w:pPr>
        <w:pStyle w:val="a9"/>
        <w:numPr>
          <w:ilvl w:val="0"/>
          <w:numId w:val="1"/>
        </w:numPr>
        <w:spacing w:line="360" w:lineRule="auto"/>
        <w:jc w:val="both"/>
        <w:rPr>
          <w:rFonts w:ascii="David" w:hAnsi="David"/>
        </w:rPr>
      </w:pPr>
      <w:r>
        <w:rPr>
          <w:rFonts w:ascii="David" w:hAnsi="David" w:hint="cs"/>
          <w:rtl/>
        </w:rPr>
        <w:t xml:space="preserve">ב"כ הנאשם ציין בעניין הזה גם את </w:t>
      </w:r>
      <w:hyperlink r:id="rId27" w:history="1">
        <w:r w:rsidR="00C04EF4" w:rsidRPr="00C04EF4">
          <w:rPr>
            <w:rFonts w:ascii="David" w:hAnsi="David"/>
            <w:color w:val="0000FF"/>
            <w:u w:val="single"/>
            <w:rtl/>
          </w:rPr>
          <w:t>ע"פ 2562/16</w:t>
        </w:r>
      </w:hyperlink>
      <w:r>
        <w:rPr>
          <w:rFonts w:ascii="David" w:hAnsi="David" w:hint="cs"/>
          <w:rtl/>
        </w:rPr>
        <w:t xml:space="preserve"> </w:t>
      </w:r>
      <w:r>
        <w:rPr>
          <w:rFonts w:ascii="David" w:hAnsi="David" w:hint="cs"/>
          <w:b/>
          <w:bCs/>
          <w:rtl/>
        </w:rPr>
        <w:t xml:space="preserve">אלון עמר נ' מדינת ישראל </w:t>
      </w:r>
      <w:r>
        <w:rPr>
          <w:rFonts w:ascii="David" w:hAnsi="David" w:hint="cs"/>
          <w:rtl/>
        </w:rPr>
        <w:t xml:space="preserve">(27.3.17), שם הנאשם היה עצור בעודו מרצה עונש מאסר בתיק אחר ובית המשפט המחוזי ניכה חלק יחסי ומצומצם של שלושה חודשים. בערעור שהוגש קבע בית המשפט העליון כי יש לנכות שלושה חודשים נוספים בנוסף לתקופה שהורה בית המשפט המחוזי לנכות. </w:t>
      </w:r>
    </w:p>
    <w:p w14:paraId="1DCBC809" w14:textId="77777777" w:rsidR="00050747" w:rsidRPr="009D77A6" w:rsidRDefault="00050747" w:rsidP="00050747">
      <w:pPr>
        <w:pStyle w:val="a9"/>
        <w:rPr>
          <w:rFonts w:ascii="David" w:hAnsi="David"/>
          <w:rtl/>
        </w:rPr>
      </w:pPr>
    </w:p>
    <w:p w14:paraId="2DC5B439" w14:textId="77777777" w:rsidR="00050747" w:rsidRDefault="00050747" w:rsidP="00050747">
      <w:pPr>
        <w:spacing w:line="360" w:lineRule="auto"/>
        <w:jc w:val="both"/>
        <w:rPr>
          <w:rFonts w:ascii="David" w:hAnsi="David"/>
          <w:u w:val="single"/>
          <w:rtl/>
        </w:rPr>
      </w:pPr>
      <w:r>
        <w:rPr>
          <w:rFonts w:ascii="David" w:hAnsi="David" w:hint="cs"/>
          <w:u w:val="single"/>
          <w:rtl/>
        </w:rPr>
        <w:t>עמדת הנאשם</w:t>
      </w:r>
    </w:p>
    <w:p w14:paraId="149FB5F8" w14:textId="77777777" w:rsidR="00050747" w:rsidRDefault="00050747" w:rsidP="00050747">
      <w:pPr>
        <w:spacing w:line="360" w:lineRule="auto"/>
        <w:jc w:val="both"/>
        <w:rPr>
          <w:rFonts w:ascii="David" w:hAnsi="David"/>
          <w:rtl/>
        </w:rPr>
      </w:pPr>
    </w:p>
    <w:p w14:paraId="4E14949A" w14:textId="77777777" w:rsidR="00050747" w:rsidRDefault="00050747" w:rsidP="00050747">
      <w:pPr>
        <w:pStyle w:val="a9"/>
        <w:numPr>
          <w:ilvl w:val="0"/>
          <w:numId w:val="1"/>
        </w:numPr>
        <w:spacing w:line="360" w:lineRule="auto"/>
        <w:jc w:val="both"/>
        <w:rPr>
          <w:rFonts w:ascii="David" w:hAnsi="David"/>
        </w:rPr>
      </w:pPr>
      <w:r>
        <w:rPr>
          <w:rFonts w:ascii="David" w:hAnsi="David" w:hint="cs"/>
          <w:rtl/>
        </w:rPr>
        <w:t xml:space="preserve">הנאשם הודה כי עשה טעות, מסר שהוא אבא לשני ילדים והתחרט על מעשיו. </w:t>
      </w:r>
    </w:p>
    <w:p w14:paraId="0695C9EA" w14:textId="77777777" w:rsidR="00050747" w:rsidRDefault="00050747" w:rsidP="00050747">
      <w:pPr>
        <w:spacing w:line="360" w:lineRule="auto"/>
        <w:jc w:val="both"/>
        <w:rPr>
          <w:rFonts w:ascii="David" w:hAnsi="David"/>
          <w:rtl/>
        </w:rPr>
      </w:pPr>
    </w:p>
    <w:p w14:paraId="3B6FD40D" w14:textId="77777777" w:rsidR="00050747" w:rsidRDefault="00050747" w:rsidP="00050747">
      <w:pPr>
        <w:spacing w:line="360" w:lineRule="auto"/>
        <w:jc w:val="both"/>
        <w:rPr>
          <w:rFonts w:ascii="David" w:hAnsi="David"/>
          <w:b/>
          <w:bCs/>
          <w:u w:val="single"/>
          <w:rtl/>
        </w:rPr>
      </w:pPr>
      <w:r>
        <w:rPr>
          <w:rFonts w:ascii="David" w:hAnsi="David" w:hint="cs"/>
          <w:b/>
          <w:bCs/>
          <w:u w:val="single"/>
          <w:rtl/>
        </w:rPr>
        <w:t>דיון</w:t>
      </w:r>
    </w:p>
    <w:p w14:paraId="4C26B97C" w14:textId="77777777" w:rsidR="00050747" w:rsidRDefault="00050747" w:rsidP="00050747">
      <w:pPr>
        <w:spacing w:line="360" w:lineRule="auto"/>
        <w:jc w:val="both"/>
        <w:rPr>
          <w:rFonts w:ascii="David" w:hAnsi="David"/>
          <w:rtl/>
        </w:rPr>
      </w:pPr>
    </w:p>
    <w:p w14:paraId="04A69DD2" w14:textId="77777777" w:rsidR="00050747" w:rsidRDefault="00050747" w:rsidP="00050747">
      <w:pPr>
        <w:pStyle w:val="a9"/>
        <w:numPr>
          <w:ilvl w:val="0"/>
          <w:numId w:val="1"/>
        </w:numPr>
        <w:spacing w:line="360" w:lineRule="auto"/>
        <w:jc w:val="both"/>
        <w:rPr>
          <w:rFonts w:ascii="David" w:hAnsi="David"/>
        </w:rPr>
      </w:pPr>
      <w:r>
        <w:rPr>
          <w:rFonts w:ascii="David" w:hAnsi="David"/>
          <w:rtl/>
        </w:rPr>
        <w:t xml:space="preserve">אין צריך להכביר במילים על חומרתן של עבירות הנשק, בייחוד בתקופה הנוכחית בה כמעט ולא חולף יום ללא נפגעים בגוף ובנפש, בייחוד במגזר הערבי. בעניין דנן הערכים החברתיים שנפגעו הינם בטחון הפרט והציבור והשמירה על הסדר הציבורי. </w:t>
      </w:r>
      <w:r>
        <w:rPr>
          <w:rtl/>
        </w:rPr>
        <w:t>ובנסיבות ענייננו מידת הפגיעה בהם הינה משמעותית.</w:t>
      </w:r>
    </w:p>
    <w:p w14:paraId="0701379E" w14:textId="77777777" w:rsidR="00050747" w:rsidRDefault="00050747" w:rsidP="00050747">
      <w:pPr>
        <w:pStyle w:val="a9"/>
        <w:spacing w:line="360" w:lineRule="auto"/>
        <w:jc w:val="both"/>
        <w:rPr>
          <w:rFonts w:ascii="David" w:hAnsi="David"/>
        </w:rPr>
      </w:pPr>
    </w:p>
    <w:p w14:paraId="54BF4FF6" w14:textId="77777777" w:rsidR="00050747" w:rsidRDefault="00050747" w:rsidP="00050747">
      <w:pPr>
        <w:pStyle w:val="a9"/>
        <w:numPr>
          <w:ilvl w:val="0"/>
          <w:numId w:val="1"/>
        </w:numPr>
        <w:spacing w:line="360" w:lineRule="auto"/>
        <w:jc w:val="both"/>
        <w:rPr>
          <w:rFonts w:ascii="David" w:hAnsi="David"/>
        </w:rPr>
      </w:pPr>
      <w:r>
        <w:rPr>
          <w:rFonts w:ascii="David" w:hAnsi="David"/>
          <w:rtl/>
        </w:rPr>
        <w:t>בנסיבות המקרה קדם תכנון מהותי לביצוע העבירות</w:t>
      </w:r>
      <w:r>
        <w:rPr>
          <w:rFonts w:ascii="David" w:hAnsi="David" w:hint="cs"/>
          <w:rtl/>
        </w:rPr>
        <w:t xml:space="preserve"> ויש לומר כי</w:t>
      </w:r>
      <w:r>
        <w:rPr>
          <w:rFonts w:ascii="David" w:hAnsi="David"/>
          <w:rtl/>
        </w:rPr>
        <w:t xml:space="preserve"> התקיים סיכון לגרימת נזק משמעותי לאור העובדה שמדובר בנשק חם ואולם, לא נגרם נזק בסופו של יום ועובדה זו פועלת לקולא. הסיבות שהביאו את </w:t>
      </w:r>
      <w:r>
        <w:rPr>
          <w:rFonts w:ascii="David" w:hAnsi="David" w:hint="cs"/>
          <w:rtl/>
        </w:rPr>
        <w:t xml:space="preserve">הנאשם </w:t>
      </w:r>
      <w:r>
        <w:rPr>
          <w:rFonts w:ascii="David" w:hAnsi="David"/>
          <w:rtl/>
        </w:rPr>
        <w:t xml:space="preserve">לביצוע העבירות היו פסולות והוא היה צריך לדעת את הפסול במעשיו ולהימנע מהם מלכתחילה. </w:t>
      </w:r>
    </w:p>
    <w:p w14:paraId="4A6B669C" w14:textId="77777777" w:rsidR="00050747" w:rsidRDefault="00050747" w:rsidP="00050747">
      <w:pPr>
        <w:pStyle w:val="a9"/>
        <w:spacing w:line="360" w:lineRule="auto"/>
        <w:jc w:val="both"/>
        <w:rPr>
          <w:rFonts w:ascii="David" w:hAnsi="David"/>
        </w:rPr>
      </w:pPr>
    </w:p>
    <w:p w14:paraId="154C4B23" w14:textId="77777777" w:rsidR="00050747" w:rsidRDefault="00050747" w:rsidP="00050747">
      <w:pPr>
        <w:pStyle w:val="a9"/>
        <w:numPr>
          <w:ilvl w:val="0"/>
          <w:numId w:val="1"/>
        </w:numPr>
        <w:spacing w:line="360" w:lineRule="auto"/>
        <w:jc w:val="both"/>
        <w:rPr>
          <w:rFonts w:ascii="David" w:hAnsi="David"/>
        </w:rPr>
      </w:pPr>
      <w:r>
        <w:rPr>
          <w:rFonts w:ascii="David" w:hAnsi="David"/>
          <w:rtl/>
        </w:rPr>
        <w:t>על בסיס מדיניות הענישה שפורטה ונסיבות המקרה</w:t>
      </w:r>
      <w:r>
        <w:rPr>
          <w:rFonts w:ascii="David" w:hAnsi="David" w:hint="cs"/>
          <w:rtl/>
        </w:rPr>
        <w:t xml:space="preserve">, </w:t>
      </w:r>
      <w:r>
        <w:rPr>
          <w:rFonts w:ascii="David" w:hAnsi="David"/>
          <w:rtl/>
        </w:rPr>
        <w:t xml:space="preserve">מתחם הענישה ההולם נמצא בין </w:t>
      </w:r>
      <w:r>
        <w:rPr>
          <w:rFonts w:ascii="David" w:hAnsi="David" w:hint="cs"/>
          <w:rtl/>
        </w:rPr>
        <w:t>18</w:t>
      </w:r>
      <w:r>
        <w:rPr>
          <w:rFonts w:ascii="David" w:hAnsi="David"/>
          <w:rtl/>
        </w:rPr>
        <w:t xml:space="preserve"> חודשי מאסר בפועל ל- 36 חודשי מאסר בפועל.</w:t>
      </w:r>
    </w:p>
    <w:p w14:paraId="2AEB36BD" w14:textId="77777777" w:rsidR="00050747" w:rsidRPr="00CC6D99" w:rsidRDefault="00050747" w:rsidP="00050747">
      <w:pPr>
        <w:pStyle w:val="a9"/>
        <w:rPr>
          <w:rFonts w:ascii="David" w:hAnsi="David"/>
          <w:rtl/>
        </w:rPr>
      </w:pPr>
    </w:p>
    <w:p w14:paraId="1C9FACE8" w14:textId="77777777" w:rsidR="00050747" w:rsidRDefault="00050747" w:rsidP="00050747">
      <w:pPr>
        <w:pStyle w:val="a9"/>
        <w:numPr>
          <w:ilvl w:val="0"/>
          <w:numId w:val="1"/>
        </w:numPr>
        <w:spacing w:line="360" w:lineRule="auto"/>
        <w:jc w:val="both"/>
        <w:rPr>
          <w:rFonts w:ascii="David" w:hAnsi="David"/>
        </w:rPr>
      </w:pPr>
      <w:r>
        <w:rPr>
          <w:rFonts w:ascii="David" w:hAnsi="David" w:hint="cs"/>
          <w:rtl/>
        </w:rPr>
        <w:t>יצוין</w:t>
      </w:r>
      <w:r>
        <w:rPr>
          <w:rFonts w:ascii="David" w:hAnsi="David"/>
          <w:rtl/>
        </w:rPr>
        <w:t xml:space="preserve"> עוד כי התיקון לחוק בעניין עונש מזערי אינו חל אך יש מקום לקחת אותו בחשבון כרכיב במדיניות הענישה. </w:t>
      </w:r>
    </w:p>
    <w:p w14:paraId="34B8F542" w14:textId="77777777" w:rsidR="00050747" w:rsidRPr="00B034C4" w:rsidRDefault="00050747" w:rsidP="00050747">
      <w:pPr>
        <w:pStyle w:val="a9"/>
        <w:rPr>
          <w:rFonts w:ascii="David" w:hAnsi="David"/>
        </w:rPr>
      </w:pPr>
    </w:p>
    <w:p w14:paraId="36A5A890" w14:textId="77777777" w:rsidR="00050747" w:rsidRDefault="00050747" w:rsidP="00050747">
      <w:pPr>
        <w:pStyle w:val="a9"/>
        <w:numPr>
          <w:ilvl w:val="0"/>
          <w:numId w:val="1"/>
        </w:numPr>
        <w:spacing w:line="360" w:lineRule="auto"/>
        <w:jc w:val="both"/>
        <w:rPr>
          <w:rFonts w:ascii="David" w:hAnsi="David"/>
        </w:rPr>
      </w:pPr>
      <w:r w:rsidRPr="00B32C17">
        <w:rPr>
          <w:rFonts w:ascii="David" w:hAnsi="David"/>
          <w:rtl/>
        </w:rPr>
        <w:t xml:space="preserve">במקרה דנן אין מקום לסטות ממתחם </w:t>
      </w:r>
      <w:r>
        <w:rPr>
          <w:rFonts w:ascii="David" w:hAnsi="David"/>
          <w:rtl/>
        </w:rPr>
        <w:t>הענישה ההולם מפאת שיקולי שיקום</w:t>
      </w:r>
      <w:r>
        <w:rPr>
          <w:rFonts w:ascii="David" w:hAnsi="David" w:hint="cs"/>
          <w:rtl/>
        </w:rPr>
        <w:t>. ואולם מדובר בנאשם שהינו נעדר עבר פלילי</w:t>
      </w:r>
      <w:r w:rsidRPr="00B32C17">
        <w:rPr>
          <w:rFonts w:ascii="David" w:hAnsi="David"/>
          <w:rtl/>
        </w:rPr>
        <w:t xml:space="preserve"> שהודה וקיבל אחריות בפני בית המשפט וחסך זמן שיפוטי. </w:t>
      </w:r>
    </w:p>
    <w:p w14:paraId="0C407003" w14:textId="77777777" w:rsidR="00050747" w:rsidRDefault="00050747" w:rsidP="00050747">
      <w:pPr>
        <w:pStyle w:val="a9"/>
        <w:spacing w:line="360" w:lineRule="auto"/>
        <w:jc w:val="both"/>
        <w:rPr>
          <w:rFonts w:ascii="David" w:hAnsi="David"/>
        </w:rPr>
      </w:pPr>
    </w:p>
    <w:p w14:paraId="1F15D272" w14:textId="77777777" w:rsidR="00050747" w:rsidRDefault="00050747" w:rsidP="00050747">
      <w:pPr>
        <w:pStyle w:val="a9"/>
        <w:numPr>
          <w:ilvl w:val="0"/>
          <w:numId w:val="1"/>
        </w:numPr>
        <w:spacing w:line="360" w:lineRule="auto"/>
        <w:jc w:val="both"/>
        <w:rPr>
          <w:rFonts w:ascii="David" w:hAnsi="David"/>
        </w:rPr>
      </w:pPr>
      <w:r>
        <w:rPr>
          <w:rFonts w:ascii="David" w:hAnsi="David" w:hint="cs"/>
          <w:rtl/>
        </w:rPr>
        <w:t xml:space="preserve">באשר לניכוי ימי מאסרו של הנאשם עת שריצה עונש מאסר בפועל בתיק המע"מ כשהיה עצור, מצאתי לנכון בהסתמך על הפסיקה שהגישה ההגנה להורות על ניכוי של ארבעה חודשים מתקופת המעצר.  </w:t>
      </w:r>
    </w:p>
    <w:p w14:paraId="23373176" w14:textId="77777777" w:rsidR="00050747" w:rsidRPr="00436454" w:rsidRDefault="00050747" w:rsidP="00050747">
      <w:pPr>
        <w:pStyle w:val="a9"/>
        <w:rPr>
          <w:rFonts w:ascii="David" w:hAnsi="David"/>
          <w:rtl/>
        </w:rPr>
      </w:pPr>
    </w:p>
    <w:p w14:paraId="177151BD" w14:textId="77777777" w:rsidR="00050747" w:rsidRPr="00436454" w:rsidRDefault="00050747" w:rsidP="00050747">
      <w:pPr>
        <w:pStyle w:val="a9"/>
        <w:numPr>
          <w:ilvl w:val="0"/>
          <w:numId w:val="1"/>
        </w:numPr>
        <w:spacing w:line="360" w:lineRule="auto"/>
        <w:jc w:val="both"/>
        <w:rPr>
          <w:rFonts w:ascii="David" w:hAnsi="David"/>
        </w:rPr>
      </w:pPr>
      <w:r w:rsidRPr="00436454">
        <w:rPr>
          <w:rFonts w:ascii="David" w:hAnsi="David"/>
          <w:rtl/>
        </w:rPr>
        <w:t xml:space="preserve">אשר על כן, הנני מטיל על הנאשם עונשים כדלקמן: </w:t>
      </w:r>
    </w:p>
    <w:p w14:paraId="71597947" w14:textId="77777777" w:rsidR="00050747" w:rsidRDefault="00050747" w:rsidP="00050747">
      <w:pPr>
        <w:pStyle w:val="a9"/>
        <w:spacing w:line="360" w:lineRule="auto"/>
        <w:jc w:val="both"/>
        <w:rPr>
          <w:rFonts w:ascii="David" w:hAnsi="David"/>
        </w:rPr>
      </w:pPr>
    </w:p>
    <w:p w14:paraId="108E8CC9" w14:textId="77777777" w:rsidR="00050747" w:rsidRDefault="00050747" w:rsidP="00050747">
      <w:pPr>
        <w:pStyle w:val="a9"/>
        <w:numPr>
          <w:ilvl w:val="0"/>
          <w:numId w:val="4"/>
        </w:numPr>
        <w:spacing w:line="360" w:lineRule="auto"/>
        <w:jc w:val="both"/>
        <w:rPr>
          <w:rFonts w:ascii="David" w:hAnsi="David"/>
          <w:rtl/>
        </w:rPr>
      </w:pPr>
      <w:r>
        <w:rPr>
          <w:rFonts w:ascii="David" w:hAnsi="David" w:hint="cs"/>
          <w:rtl/>
        </w:rPr>
        <w:t>20</w:t>
      </w:r>
      <w:r>
        <w:rPr>
          <w:rFonts w:ascii="David" w:hAnsi="David"/>
          <w:rtl/>
        </w:rPr>
        <w:t xml:space="preserve"> חודשי מאסר בפועל בניכוי ימי מעצרו מיום </w:t>
      </w:r>
      <w:r>
        <w:rPr>
          <w:rFonts w:ascii="David" w:hAnsi="David" w:hint="cs"/>
          <w:rtl/>
        </w:rPr>
        <w:t xml:space="preserve">1.3.21 </w:t>
      </w:r>
      <w:r>
        <w:rPr>
          <w:rFonts w:ascii="David" w:hAnsi="David"/>
          <w:rtl/>
        </w:rPr>
        <w:t xml:space="preserve">עד ליום </w:t>
      </w:r>
      <w:r>
        <w:rPr>
          <w:rFonts w:ascii="David" w:hAnsi="David" w:hint="cs"/>
          <w:rtl/>
        </w:rPr>
        <w:t>3.5.21</w:t>
      </w:r>
      <w:r>
        <w:rPr>
          <w:rFonts w:ascii="David" w:hAnsi="David"/>
          <w:rtl/>
        </w:rPr>
        <w:t xml:space="preserve"> ומיום </w:t>
      </w:r>
      <w:r>
        <w:rPr>
          <w:rFonts w:ascii="David" w:hAnsi="David" w:hint="cs"/>
          <w:rtl/>
        </w:rPr>
        <w:t xml:space="preserve">3.2.22 </w:t>
      </w:r>
      <w:r>
        <w:rPr>
          <w:rFonts w:ascii="David" w:hAnsi="David"/>
          <w:rtl/>
        </w:rPr>
        <w:t>ואילך</w:t>
      </w:r>
      <w:r>
        <w:rPr>
          <w:rFonts w:ascii="David" w:hAnsi="David" w:hint="cs"/>
          <w:rtl/>
        </w:rPr>
        <w:t xml:space="preserve"> וארבעה חודשים נוספים לתקופת מאסרו כפי שפורט לעיל. </w:t>
      </w:r>
    </w:p>
    <w:p w14:paraId="47BBB563" w14:textId="77777777" w:rsidR="00050747" w:rsidRDefault="00050747" w:rsidP="00050747">
      <w:pPr>
        <w:pStyle w:val="a9"/>
        <w:numPr>
          <w:ilvl w:val="0"/>
          <w:numId w:val="4"/>
        </w:numPr>
        <w:spacing w:line="360" w:lineRule="auto"/>
        <w:jc w:val="both"/>
        <w:rPr>
          <w:rFonts w:ascii="David" w:hAnsi="David"/>
          <w:rtl/>
        </w:rPr>
      </w:pPr>
      <w:r>
        <w:rPr>
          <w:rFonts w:ascii="David" w:hAnsi="David"/>
          <w:rtl/>
        </w:rPr>
        <w:t>12 חודשי מאסר על תנאי למשך 3 שנים כאשר התנאי יופעל במידה ויעבור עבירות נשק</w:t>
      </w:r>
      <w:r>
        <w:rPr>
          <w:rFonts w:ascii="David" w:hAnsi="David" w:hint="cs"/>
          <w:rtl/>
        </w:rPr>
        <w:t xml:space="preserve"> </w:t>
      </w:r>
      <w:r>
        <w:rPr>
          <w:rFonts w:ascii="David" w:hAnsi="David"/>
          <w:rtl/>
        </w:rPr>
        <w:t xml:space="preserve">מסוג פשע. </w:t>
      </w:r>
    </w:p>
    <w:p w14:paraId="072A83EA" w14:textId="77777777" w:rsidR="00050747" w:rsidRDefault="00050747" w:rsidP="00050747">
      <w:pPr>
        <w:pStyle w:val="a9"/>
        <w:numPr>
          <w:ilvl w:val="0"/>
          <w:numId w:val="4"/>
        </w:numPr>
        <w:spacing w:line="360" w:lineRule="auto"/>
        <w:jc w:val="both"/>
        <w:rPr>
          <w:rFonts w:ascii="David" w:hAnsi="David"/>
        </w:rPr>
      </w:pPr>
      <w:r>
        <w:rPr>
          <w:rFonts w:ascii="David" w:hAnsi="David"/>
          <w:rtl/>
        </w:rPr>
        <w:t xml:space="preserve">קנס של </w:t>
      </w:r>
      <w:r>
        <w:rPr>
          <w:rFonts w:ascii="David" w:hAnsi="David" w:hint="cs"/>
          <w:rtl/>
        </w:rPr>
        <w:t>2,500</w:t>
      </w:r>
      <w:r>
        <w:rPr>
          <w:rFonts w:ascii="David" w:hAnsi="David"/>
          <w:rtl/>
        </w:rPr>
        <w:t xml:space="preserve"> ₪</w:t>
      </w:r>
      <w:r>
        <w:rPr>
          <w:rFonts w:ascii="David" w:hAnsi="David" w:hint="cs"/>
          <w:rtl/>
        </w:rPr>
        <w:t xml:space="preserve"> </w:t>
      </w:r>
      <w:r>
        <w:rPr>
          <w:rFonts w:ascii="David" w:hAnsi="David"/>
          <w:rtl/>
        </w:rPr>
        <w:t xml:space="preserve">לתשלום עד ליום 01.09.2022. </w:t>
      </w:r>
    </w:p>
    <w:p w14:paraId="05135F89" w14:textId="77777777" w:rsidR="00050747" w:rsidRDefault="00050747" w:rsidP="00050747">
      <w:pPr>
        <w:pStyle w:val="a9"/>
        <w:spacing w:line="360" w:lineRule="auto"/>
        <w:ind w:left="1440"/>
        <w:jc w:val="both"/>
        <w:rPr>
          <w:rFonts w:ascii="David" w:hAnsi="David"/>
        </w:rPr>
      </w:pPr>
    </w:p>
    <w:p w14:paraId="5344AEBC" w14:textId="77777777" w:rsidR="00050747" w:rsidRDefault="00050747" w:rsidP="00050747">
      <w:pPr>
        <w:spacing w:line="360" w:lineRule="auto"/>
        <w:jc w:val="both"/>
        <w:rPr>
          <w:rFonts w:ascii="David" w:hAnsi="David"/>
          <w:rtl/>
        </w:rPr>
      </w:pPr>
      <w:r>
        <w:rPr>
          <w:rFonts w:ascii="David" w:hAnsi="David" w:hint="cs"/>
          <w:rtl/>
        </w:rPr>
        <w:t>החלטה לעניין חילוט הרכב תינתן בנפרד לאחר שמיעת הצדדים הרלוונטיים.</w:t>
      </w:r>
    </w:p>
    <w:p w14:paraId="0CF04355" w14:textId="77777777" w:rsidR="00050747" w:rsidRPr="00C04EF4" w:rsidRDefault="00C04EF4" w:rsidP="00050747">
      <w:pPr>
        <w:spacing w:line="360" w:lineRule="auto"/>
        <w:jc w:val="both"/>
        <w:rPr>
          <w:rFonts w:ascii="David" w:hAnsi="David"/>
          <w:color w:val="FFFFFF"/>
          <w:sz w:val="2"/>
          <w:szCs w:val="2"/>
          <w:rtl/>
        </w:rPr>
      </w:pPr>
      <w:r w:rsidRPr="00C04EF4">
        <w:rPr>
          <w:rFonts w:ascii="David" w:hAnsi="David"/>
          <w:color w:val="FFFFFF"/>
          <w:sz w:val="2"/>
          <w:szCs w:val="2"/>
          <w:rtl/>
        </w:rPr>
        <w:t>5129371</w:t>
      </w:r>
    </w:p>
    <w:p w14:paraId="7853CFF8" w14:textId="77777777" w:rsidR="00050747" w:rsidRDefault="00C04EF4" w:rsidP="00050747">
      <w:pPr>
        <w:spacing w:line="360" w:lineRule="auto"/>
        <w:jc w:val="both"/>
        <w:rPr>
          <w:rFonts w:ascii="Arial" w:hAnsi="Arial"/>
          <w:b/>
          <w:bCs/>
          <w:sz w:val="26"/>
          <w:szCs w:val="26"/>
        </w:rPr>
      </w:pPr>
      <w:r w:rsidRPr="00C04EF4">
        <w:rPr>
          <w:rFonts w:ascii="David" w:hAnsi="David"/>
          <w:b/>
          <w:bCs/>
          <w:color w:val="FFFFFF"/>
          <w:sz w:val="2"/>
          <w:szCs w:val="2"/>
          <w:u w:val="single"/>
          <w:rtl/>
        </w:rPr>
        <w:t>54678313</w:t>
      </w:r>
      <w:r w:rsidR="00050747">
        <w:rPr>
          <w:rFonts w:ascii="David" w:hAnsi="David"/>
          <w:b/>
          <w:bCs/>
          <w:u w:val="single"/>
          <w:rtl/>
        </w:rPr>
        <w:t>זכות ערעור תוך 45 יום</w:t>
      </w:r>
      <w:r w:rsidR="00050747">
        <w:rPr>
          <w:rFonts w:ascii="David" w:hAnsi="David"/>
          <w:rtl/>
        </w:rPr>
        <w:t>.</w:t>
      </w:r>
    </w:p>
    <w:p w14:paraId="425E50DC" w14:textId="77777777" w:rsidR="00050747" w:rsidRPr="006B48AC" w:rsidRDefault="00050747" w:rsidP="00050747">
      <w:pPr>
        <w:rPr>
          <w:rFonts w:ascii="Arial" w:hAnsi="Arial"/>
          <w:rtl/>
        </w:rPr>
      </w:pPr>
    </w:p>
    <w:p w14:paraId="3750D3D3" w14:textId="77777777" w:rsidR="00050747" w:rsidRPr="000F2247" w:rsidRDefault="00C04EF4" w:rsidP="00050747">
      <w:pPr>
        <w:rPr>
          <w:rFonts w:ascii="Arial" w:hAnsi="Arial"/>
          <w:b/>
          <w:bCs/>
          <w:sz w:val="26"/>
          <w:szCs w:val="26"/>
          <w:rtl/>
        </w:rPr>
      </w:pPr>
      <w:bookmarkStart w:id="7" w:name="Nitan"/>
      <w:r>
        <w:rPr>
          <w:rFonts w:ascii="Arial" w:hAnsi="Arial"/>
          <w:b/>
          <w:bCs/>
          <w:sz w:val="26"/>
          <w:szCs w:val="26"/>
          <w:rtl/>
        </w:rPr>
        <w:t xml:space="preserve">ניתן היום,  כ"ט אייר תשפ"ב, 30 מאי 2022, בהעדר הצדדים. </w:t>
      </w:r>
      <w:bookmarkEnd w:id="7"/>
    </w:p>
    <w:p w14:paraId="32DB1F91" w14:textId="77777777" w:rsidR="00050747" w:rsidRPr="000F2247" w:rsidRDefault="00050747" w:rsidP="00C04EF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B56D652" w14:textId="77777777" w:rsidR="00050747" w:rsidRPr="000F2247" w:rsidRDefault="00050747" w:rsidP="00050747">
      <w:pPr>
        <w:jc w:val="center"/>
        <w:rPr>
          <w:rFonts w:ascii="Arial" w:hAnsi="Arial"/>
          <w:b/>
          <w:bCs/>
          <w:sz w:val="26"/>
          <w:szCs w:val="26"/>
          <w:rtl/>
        </w:rPr>
      </w:pPr>
    </w:p>
    <w:p w14:paraId="6D68B6B1" w14:textId="77777777" w:rsidR="00BE351D" w:rsidRPr="00C04EF4" w:rsidRDefault="00BE351D" w:rsidP="00C04EF4">
      <w:pPr>
        <w:keepNext/>
        <w:rPr>
          <w:rFonts w:ascii="David" w:hAnsi="David"/>
          <w:color w:val="000000"/>
          <w:sz w:val="22"/>
          <w:szCs w:val="22"/>
          <w:rtl/>
        </w:rPr>
      </w:pPr>
    </w:p>
    <w:p w14:paraId="65359943" w14:textId="77777777" w:rsidR="00C04EF4" w:rsidRPr="00C04EF4" w:rsidRDefault="00C04EF4" w:rsidP="00C04EF4">
      <w:pPr>
        <w:keepNext/>
        <w:rPr>
          <w:rFonts w:ascii="David" w:hAnsi="David"/>
          <w:color w:val="000000"/>
          <w:sz w:val="22"/>
          <w:szCs w:val="22"/>
          <w:rtl/>
        </w:rPr>
      </w:pPr>
      <w:r w:rsidRPr="00C04EF4">
        <w:rPr>
          <w:rFonts w:ascii="David" w:hAnsi="David"/>
          <w:color w:val="000000"/>
          <w:sz w:val="22"/>
          <w:szCs w:val="22"/>
          <w:rtl/>
        </w:rPr>
        <w:t>דניאל פיש 54678313</w:t>
      </w:r>
    </w:p>
    <w:p w14:paraId="54458E02" w14:textId="77777777" w:rsidR="00C04EF4" w:rsidRDefault="00C04EF4" w:rsidP="00C04EF4">
      <w:r w:rsidRPr="00C04EF4">
        <w:rPr>
          <w:color w:val="000000"/>
          <w:rtl/>
        </w:rPr>
        <w:t>נוסח מסמך זה כפוף לשינויי ניסוח ועריכה</w:t>
      </w:r>
    </w:p>
    <w:p w14:paraId="0B65C76F" w14:textId="77777777" w:rsidR="00C04EF4" w:rsidRDefault="00C04EF4" w:rsidP="00C04EF4">
      <w:pPr>
        <w:rPr>
          <w:rtl/>
        </w:rPr>
      </w:pPr>
    </w:p>
    <w:p w14:paraId="5AA0A598" w14:textId="77777777" w:rsidR="00C04EF4" w:rsidRDefault="00C04EF4" w:rsidP="00C04EF4">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5FFDA1DE" w14:textId="77777777" w:rsidR="00C04EF4" w:rsidRPr="00C04EF4" w:rsidRDefault="00C04EF4" w:rsidP="00C04EF4">
      <w:pPr>
        <w:jc w:val="center"/>
        <w:rPr>
          <w:color w:val="0000FF"/>
          <w:u w:val="single"/>
        </w:rPr>
      </w:pPr>
    </w:p>
    <w:sectPr w:rsidR="00C04EF4" w:rsidRPr="00C04EF4" w:rsidSect="00C04EF4">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7DC4D" w14:textId="77777777" w:rsidR="00DE13F4" w:rsidRDefault="00DE13F4" w:rsidP="00023A87">
      <w:r>
        <w:separator/>
      </w:r>
    </w:p>
  </w:endnote>
  <w:endnote w:type="continuationSeparator" w:id="0">
    <w:p w14:paraId="6C88AF33" w14:textId="77777777" w:rsidR="00DE13F4" w:rsidRDefault="00DE13F4" w:rsidP="0002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00819" w14:textId="77777777" w:rsidR="00C04EF4" w:rsidRDefault="00C04EF4" w:rsidP="00C04E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93516C" w14:textId="77777777" w:rsidR="009123A8" w:rsidRPr="00C04EF4" w:rsidRDefault="00C04EF4" w:rsidP="00C04EF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4CEFF" w14:textId="77777777" w:rsidR="00C04EF4" w:rsidRDefault="00C04EF4" w:rsidP="00C04E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3E3B">
      <w:rPr>
        <w:rFonts w:ascii="FrankRuehl" w:hAnsi="FrankRuehl" w:cs="FrankRuehl"/>
        <w:noProof/>
        <w:rtl/>
      </w:rPr>
      <w:t>1</w:t>
    </w:r>
    <w:r>
      <w:rPr>
        <w:rFonts w:ascii="FrankRuehl" w:hAnsi="FrankRuehl" w:cs="FrankRuehl"/>
        <w:rtl/>
      </w:rPr>
      <w:fldChar w:fldCharType="end"/>
    </w:r>
  </w:p>
  <w:p w14:paraId="0005BBD9" w14:textId="77777777" w:rsidR="009123A8" w:rsidRPr="00C04EF4" w:rsidRDefault="00C04EF4" w:rsidP="00C04EF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49D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B9496" w14:textId="77777777" w:rsidR="00DE13F4" w:rsidRDefault="00DE13F4" w:rsidP="00023A87">
      <w:r>
        <w:separator/>
      </w:r>
    </w:p>
  </w:footnote>
  <w:footnote w:type="continuationSeparator" w:id="0">
    <w:p w14:paraId="2C0E18CE" w14:textId="77777777" w:rsidR="00DE13F4" w:rsidRDefault="00DE13F4" w:rsidP="00023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2CC5C" w14:textId="77777777" w:rsidR="00C04EF4" w:rsidRPr="00C04EF4" w:rsidRDefault="00C04EF4" w:rsidP="00C04E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28744-03-21</w:t>
    </w:r>
    <w:r>
      <w:rPr>
        <w:rFonts w:ascii="David" w:hAnsi="David"/>
        <w:color w:val="000000"/>
        <w:sz w:val="22"/>
        <w:szCs w:val="22"/>
        <w:rtl/>
      </w:rPr>
      <w:tab/>
      <w:t xml:space="preserve"> מדינת ישראל נ' מוחמד חוג'יראת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A19B6" w14:textId="77777777" w:rsidR="00C04EF4" w:rsidRPr="00C04EF4" w:rsidRDefault="00C04EF4" w:rsidP="00C04E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28744-03-21</w:t>
    </w:r>
    <w:r>
      <w:rPr>
        <w:rFonts w:ascii="David" w:hAnsi="David"/>
        <w:color w:val="000000"/>
        <w:sz w:val="22"/>
        <w:szCs w:val="22"/>
        <w:rtl/>
      </w:rPr>
      <w:tab/>
      <w:t xml:space="preserve"> מדינת ישראל נ' מוחמד חוג'יראת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C64ED"/>
    <w:multiLevelType w:val="hybridMultilevel"/>
    <w:tmpl w:val="C9FED230"/>
    <w:lvl w:ilvl="0" w:tplc="240C2A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64479"/>
    <w:multiLevelType w:val="hybridMultilevel"/>
    <w:tmpl w:val="2F5ADB94"/>
    <w:lvl w:ilvl="0" w:tplc="110694A0">
      <w:start w:val="9"/>
      <w:numFmt w:val="bullet"/>
      <w:lvlText w:val="-"/>
      <w:lvlJc w:val="left"/>
      <w:pPr>
        <w:ind w:left="720" w:hanging="360"/>
      </w:pPr>
      <w:rPr>
        <w:rFonts w:ascii="David" w:eastAsia="Times New Roman" w:hAnsi="David" w:cs="David"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6616B"/>
    <w:multiLevelType w:val="hybridMultilevel"/>
    <w:tmpl w:val="B77C989E"/>
    <w:lvl w:ilvl="0" w:tplc="694E663E">
      <w:start w:val="9"/>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03F37"/>
    <w:multiLevelType w:val="hybridMultilevel"/>
    <w:tmpl w:val="AC548CBC"/>
    <w:lvl w:ilvl="0" w:tplc="9BFCB35E">
      <w:start w:val="28"/>
      <w:numFmt w:val="bullet"/>
      <w:lvlText w:val="-"/>
      <w:lvlJc w:val="left"/>
      <w:pPr>
        <w:ind w:left="1440" w:hanging="360"/>
      </w:pPr>
      <w:rPr>
        <w:rFonts w:ascii="David" w:eastAsia="Times New Roman" w:hAnsi="David"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96840646">
    <w:abstractNumId w:val="0"/>
  </w:num>
  <w:num w:numId="2" w16cid:durableId="72507488">
    <w:abstractNumId w:val="2"/>
  </w:num>
  <w:num w:numId="3" w16cid:durableId="451293609">
    <w:abstractNumId w:val="1"/>
  </w:num>
  <w:num w:numId="4" w16cid:durableId="1576428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0747"/>
    <w:rsid w:val="00023A87"/>
    <w:rsid w:val="00050747"/>
    <w:rsid w:val="00133A7B"/>
    <w:rsid w:val="001B5A3B"/>
    <w:rsid w:val="00214464"/>
    <w:rsid w:val="0033780E"/>
    <w:rsid w:val="0037775F"/>
    <w:rsid w:val="004B3E3B"/>
    <w:rsid w:val="006229D4"/>
    <w:rsid w:val="006E398F"/>
    <w:rsid w:val="008849B9"/>
    <w:rsid w:val="008C7A50"/>
    <w:rsid w:val="009123A8"/>
    <w:rsid w:val="00AD3FD4"/>
    <w:rsid w:val="00BE351D"/>
    <w:rsid w:val="00C04EF4"/>
    <w:rsid w:val="00DE13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E105B9"/>
  <w15:chartTrackingRefBased/>
  <w15:docId w15:val="{D7B0C83A-7EAF-4C19-A88A-484742B0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07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0747"/>
    <w:pPr>
      <w:tabs>
        <w:tab w:val="center" w:pos="4153"/>
        <w:tab w:val="right" w:pos="8306"/>
      </w:tabs>
    </w:pPr>
  </w:style>
  <w:style w:type="character" w:customStyle="1" w:styleId="a4">
    <w:name w:val="כותרת עליונה תו"/>
    <w:link w:val="a3"/>
    <w:rsid w:val="00050747"/>
    <w:rPr>
      <w:rFonts w:ascii="Times New Roman" w:eastAsia="Times New Roman" w:hAnsi="Times New Roman" w:cs="David"/>
      <w:sz w:val="24"/>
      <w:szCs w:val="24"/>
    </w:rPr>
  </w:style>
  <w:style w:type="paragraph" w:styleId="a5">
    <w:name w:val="footer"/>
    <w:basedOn w:val="a"/>
    <w:link w:val="a6"/>
    <w:rsid w:val="00050747"/>
    <w:pPr>
      <w:tabs>
        <w:tab w:val="center" w:pos="4153"/>
        <w:tab w:val="right" w:pos="8306"/>
      </w:tabs>
    </w:pPr>
  </w:style>
  <w:style w:type="character" w:customStyle="1" w:styleId="a6">
    <w:name w:val="כותרת תחתונה תו"/>
    <w:link w:val="a5"/>
    <w:rsid w:val="00050747"/>
    <w:rPr>
      <w:rFonts w:ascii="Times New Roman" w:eastAsia="Times New Roman" w:hAnsi="Times New Roman" w:cs="David"/>
      <w:sz w:val="24"/>
      <w:szCs w:val="24"/>
    </w:rPr>
  </w:style>
  <w:style w:type="table" w:styleId="a7">
    <w:name w:val="Table Grid"/>
    <w:basedOn w:val="a1"/>
    <w:rsid w:val="000507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0747"/>
  </w:style>
  <w:style w:type="paragraph" w:styleId="a9">
    <w:name w:val="List Paragraph"/>
    <w:basedOn w:val="a"/>
    <w:qFormat/>
    <w:rsid w:val="00050747"/>
    <w:pPr>
      <w:ind w:left="720"/>
      <w:contextualSpacing/>
    </w:pPr>
  </w:style>
  <w:style w:type="character" w:styleId="Hyperlink">
    <w:name w:val="Hyperlink"/>
    <w:rsid w:val="00C04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248279" TargetMode="External"/><Relationship Id="rId26" Type="http://schemas.openxmlformats.org/officeDocument/2006/relationships/hyperlink" Target="http://www.nevo.co.il/case/27401739" TargetMode="External"/><Relationship Id="rId3" Type="http://schemas.openxmlformats.org/officeDocument/2006/relationships/settings" Target="settings.xml"/><Relationship Id="rId21" Type="http://schemas.openxmlformats.org/officeDocument/2006/relationships/hyperlink" Target="http://www.nevo.co.il/case/28049627"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4918/39.a" TargetMode="External"/><Relationship Id="rId17" Type="http://schemas.openxmlformats.org/officeDocument/2006/relationships/hyperlink" Target="http://www.nevo.co.il/case/27925239" TargetMode="External"/><Relationship Id="rId25" Type="http://schemas.openxmlformats.org/officeDocument/2006/relationships/hyperlink" Target="http://www.nevo.co.il/case/2717136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2693940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 TargetMode="External"/><Relationship Id="rId24" Type="http://schemas.openxmlformats.org/officeDocument/2006/relationships/hyperlink" Target="http://www.nevo.co.il/law/70301/144.a"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721185"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275" TargetMode="External"/><Relationship Id="rId19" Type="http://schemas.openxmlformats.org/officeDocument/2006/relationships/hyperlink" Target="http://www.nevo.co.il/case/2147416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4918/39.a" TargetMode="External"/><Relationship Id="rId27" Type="http://schemas.openxmlformats.org/officeDocument/2006/relationships/hyperlink" Target="http://www.nevo.co.il/case/21472337"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1784</Words>
  <Characters>8922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10685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3604593</vt:i4>
      </vt:variant>
      <vt:variant>
        <vt:i4>60</vt:i4>
      </vt:variant>
      <vt:variant>
        <vt:i4>0</vt:i4>
      </vt:variant>
      <vt:variant>
        <vt:i4>5</vt:i4>
      </vt:variant>
      <vt:variant>
        <vt:lpwstr>http://www.nevo.co.il/case/21472337</vt:lpwstr>
      </vt:variant>
      <vt:variant>
        <vt:lpwstr/>
      </vt:variant>
      <vt:variant>
        <vt:i4>3407988</vt:i4>
      </vt:variant>
      <vt:variant>
        <vt:i4>57</vt:i4>
      </vt:variant>
      <vt:variant>
        <vt:i4>0</vt:i4>
      </vt:variant>
      <vt:variant>
        <vt:i4>5</vt:i4>
      </vt:variant>
      <vt:variant>
        <vt:lpwstr>http://www.nevo.co.il/case/27401739</vt:lpwstr>
      </vt:variant>
      <vt:variant>
        <vt:lpwstr/>
      </vt:variant>
      <vt:variant>
        <vt:i4>3407991</vt:i4>
      </vt:variant>
      <vt:variant>
        <vt:i4>54</vt:i4>
      </vt:variant>
      <vt:variant>
        <vt:i4>0</vt:i4>
      </vt:variant>
      <vt:variant>
        <vt:i4>5</vt:i4>
      </vt:variant>
      <vt:variant>
        <vt:lpwstr>http://www.nevo.co.il/case/27171364</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3932272</vt:i4>
      </vt:variant>
      <vt:variant>
        <vt:i4>48</vt:i4>
      </vt:variant>
      <vt:variant>
        <vt:i4>0</vt:i4>
      </vt:variant>
      <vt:variant>
        <vt:i4>5</vt:i4>
      </vt:variant>
      <vt:variant>
        <vt:lpwstr>http://www.nevo.co.il/case/27721185</vt:lpwstr>
      </vt:variant>
      <vt:variant>
        <vt:lpwstr/>
      </vt:variant>
      <vt:variant>
        <vt:i4>524363</vt:i4>
      </vt:variant>
      <vt:variant>
        <vt:i4>45</vt:i4>
      </vt:variant>
      <vt:variant>
        <vt:i4>0</vt:i4>
      </vt:variant>
      <vt:variant>
        <vt:i4>5</vt:i4>
      </vt:variant>
      <vt:variant>
        <vt:lpwstr>http://www.nevo.co.il/law/74918/39.a</vt:lpwstr>
      </vt:variant>
      <vt:variant>
        <vt:lpwstr/>
      </vt:variant>
      <vt:variant>
        <vt:i4>3735678</vt:i4>
      </vt:variant>
      <vt:variant>
        <vt:i4>42</vt:i4>
      </vt:variant>
      <vt:variant>
        <vt:i4>0</vt:i4>
      </vt:variant>
      <vt:variant>
        <vt:i4>5</vt:i4>
      </vt:variant>
      <vt:variant>
        <vt:lpwstr>http://www.nevo.co.il/case/28049627</vt:lpwstr>
      </vt:variant>
      <vt:variant>
        <vt:lpwstr/>
      </vt:variant>
      <vt:variant>
        <vt:i4>3276917</vt:i4>
      </vt:variant>
      <vt:variant>
        <vt:i4>39</vt:i4>
      </vt:variant>
      <vt:variant>
        <vt:i4>0</vt:i4>
      </vt:variant>
      <vt:variant>
        <vt:i4>5</vt:i4>
      </vt:variant>
      <vt:variant>
        <vt:lpwstr>http://www.nevo.co.il/case/26939409</vt:lpwstr>
      </vt:variant>
      <vt:variant>
        <vt:lpwstr/>
      </vt:variant>
      <vt:variant>
        <vt:i4>3407987</vt:i4>
      </vt:variant>
      <vt:variant>
        <vt:i4>36</vt:i4>
      </vt:variant>
      <vt:variant>
        <vt:i4>0</vt:i4>
      </vt:variant>
      <vt:variant>
        <vt:i4>5</vt:i4>
      </vt:variant>
      <vt:variant>
        <vt:lpwstr>http://www.nevo.co.il/case/21474168</vt:lpwstr>
      </vt:variant>
      <vt:variant>
        <vt:lpwstr/>
      </vt:variant>
      <vt:variant>
        <vt:i4>4128884</vt:i4>
      </vt:variant>
      <vt:variant>
        <vt:i4>33</vt:i4>
      </vt:variant>
      <vt:variant>
        <vt:i4>0</vt:i4>
      </vt:variant>
      <vt:variant>
        <vt:i4>5</vt:i4>
      </vt:variant>
      <vt:variant>
        <vt:lpwstr>http://www.nevo.co.il/case/26248279</vt:lpwstr>
      </vt:variant>
      <vt:variant>
        <vt:lpwstr/>
      </vt:variant>
      <vt:variant>
        <vt:i4>3997811</vt:i4>
      </vt:variant>
      <vt:variant>
        <vt:i4>30</vt:i4>
      </vt:variant>
      <vt:variant>
        <vt:i4>0</vt:i4>
      </vt:variant>
      <vt:variant>
        <vt:i4>5</vt:i4>
      </vt:variant>
      <vt:variant>
        <vt:lpwstr>http://www.nevo.co.il/case/27925239</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524363</vt:i4>
      </vt:variant>
      <vt:variant>
        <vt:i4>15</vt:i4>
      </vt:variant>
      <vt:variant>
        <vt:i4>0</vt:i4>
      </vt:variant>
      <vt:variant>
        <vt:i4>5</vt:i4>
      </vt:variant>
      <vt:variant>
        <vt:lpwstr>http://www.nevo.co.il/law/74918/39.a</vt:lpwstr>
      </vt:variant>
      <vt:variant>
        <vt:lpwstr/>
      </vt:variant>
      <vt:variant>
        <vt:i4>8323182</vt:i4>
      </vt:variant>
      <vt:variant>
        <vt:i4>12</vt:i4>
      </vt:variant>
      <vt:variant>
        <vt:i4>0</vt:i4>
      </vt:variant>
      <vt:variant>
        <vt:i4>5</vt:i4>
      </vt:variant>
      <vt:variant>
        <vt:lpwstr>http://www.nevo.co.il/law/74918</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28744</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חוג'יראת</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20220530</vt:lpwstr>
  </property>
  <property fmtid="{D5CDD505-2E9C-101B-9397-08002B2CF9AE}" pid="13" name="TYPE_N_DATE">
    <vt:lpwstr>39020220530</vt:lpwstr>
  </property>
  <property fmtid="{D5CDD505-2E9C-101B-9397-08002B2CF9AE}" pid="14" name="WORDNUMPAGES">
    <vt:lpwstr>6</vt:lpwstr>
  </property>
  <property fmtid="{D5CDD505-2E9C-101B-9397-08002B2CF9AE}" pid="15" name="TYPE_ABS_DATE">
    <vt:lpwstr>390020220530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27925239;26248279;21474168;26939409;28049627;27721185;27171364;27401739;21472337</vt:lpwstr>
  </property>
  <property fmtid="{D5CDD505-2E9C-101B-9397-08002B2CF9AE}" pid="36" name="LAWLISTTMP1">
    <vt:lpwstr>70301/144.b;144.a:2;275</vt:lpwstr>
  </property>
  <property fmtid="{D5CDD505-2E9C-101B-9397-08002B2CF9AE}" pid="37" name="LAWLISTTMP2">
    <vt:lpwstr>74918/039.a</vt:lpwstr>
  </property>
</Properties>
</file>