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72FC5" w:rsidRPr="00300F58" w14:paraId="649AE73C" w14:textId="77777777" w:rsidTr="00B10EE4">
        <w:trPr>
          <w:trHeight w:hRule="exact" w:val="418"/>
          <w:jc w:val="center"/>
        </w:trPr>
        <w:tc>
          <w:tcPr>
            <w:tcW w:w="8721" w:type="dxa"/>
            <w:gridSpan w:val="2"/>
          </w:tcPr>
          <w:p w14:paraId="60B39653" w14:textId="77777777" w:rsidR="00672FC5" w:rsidRPr="00300F58" w:rsidRDefault="00672FC5" w:rsidP="00BE5919">
            <w:pPr>
              <w:pStyle w:val="a3"/>
              <w:jc w:val="center"/>
              <w:rPr>
                <w:rFonts w:ascii="Tahoma" w:hAnsi="Tahoma" w:cs="Tahoma"/>
                <w:color w:val="000080"/>
                <w:rtl/>
              </w:rPr>
            </w:pPr>
            <w:bookmarkStart w:id="0" w:name="LastJudge"/>
            <w:r w:rsidRPr="00300F58">
              <w:rPr>
                <w:rFonts w:ascii="Tahoma" w:hAnsi="Tahoma" w:cs="Tahoma"/>
                <w:b/>
                <w:bCs/>
                <w:color w:val="000080"/>
                <w:rtl/>
              </w:rPr>
              <w:t>בית המשפט המחוזי בחיפה</w:t>
            </w:r>
          </w:p>
        </w:tc>
      </w:tr>
      <w:tr w:rsidR="00672FC5" w:rsidRPr="00300F58" w14:paraId="23E797F0" w14:textId="77777777" w:rsidTr="00B10EE4">
        <w:trPr>
          <w:trHeight w:val="337"/>
          <w:jc w:val="center"/>
        </w:trPr>
        <w:tc>
          <w:tcPr>
            <w:tcW w:w="5059" w:type="dxa"/>
          </w:tcPr>
          <w:p w14:paraId="25A5D705" w14:textId="77777777" w:rsidR="00672FC5" w:rsidRPr="00300F58" w:rsidRDefault="00672FC5" w:rsidP="00BE5919">
            <w:pPr>
              <w:rPr>
                <w:rFonts w:cs="FrankRuehl"/>
                <w:sz w:val="28"/>
                <w:szCs w:val="28"/>
                <w:rtl/>
              </w:rPr>
            </w:pPr>
            <w:r w:rsidRPr="00300F58">
              <w:rPr>
                <w:rFonts w:cs="FrankRuehl"/>
                <w:sz w:val="28"/>
                <w:szCs w:val="28"/>
                <w:rtl/>
              </w:rPr>
              <w:t>ת"פ</w:t>
            </w:r>
            <w:r w:rsidRPr="00300F58">
              <w:rPr>
                <w:rFonts w:cs="FrankRuehl" w:hint="cs"/>
                <w:sz w:val="28"/>
                <w:szCs w:val="28"/>
                <w:rtl/>
              </w:rPr>
              <w:t xml:space="preserve"> </w:t>
            </w:r>
            <w:r w:rsidRPr="00300F58">
              <w:rPr>
                <w:rFonts w:cs="FrankRuehl"/>
                <w:sz w:val="28"/>
                <w:szCs w:val="28"/>
                <w:rtl/>
              </w:rPr>
              <w:t>31811-03-21</w:t>
            </w:r>
            <w:r w:rsidRPr="00300F58">
              <w:rPr>
                <w:rFonts w:cs="FrankRuehl" w:hint="cs"/>
                <w:sz w:val="28"/>
                <w:szCs w:val="28"/>
                <w:rtl/>
              </w:rPr>
              <w:t xml:space="preserve"> </w:t>
            </w:r>
            <w:r w:rsidRPr="00300F58">
              <w:rPr>
                <w:rFonts w:cs="FrankRuehl"/>
                <w:sz w:val="28"/>
                <w:szCs w:val="28"/>
                <w:rtl/>
              </w:rPr>
              <w:t>מדינת ישראל נ' אלמלח(עציר)</w:t>
            </w:r>
          </w:p>
          <w:p w14:paraId="663695B5" w14:textId="77777777" w:rsidR="00672FC5" w:rsidRPr="00300F58" w:rsidRDefault="00672FC5" w:rsidP="00BE5919">
            <w:pPr>
              <w:pStyle w:val="a3"/>
              <w:rPr>
                <w:rFonts w:cs="FrankRuehl"/>
                <w:sz w:val="28"/>
                <w:szCs w:val="28"/>
                <w:rtl/>
              </w:rPr>
            </w:pPr>
          </w:p>
        </w:tc>
        <w:tc>
          <w:tcPr>
            <w:tcW w:w="3662" w:type="dxa"/>
          </w:tcPr>
          <w:p w14:paraId="571A381D" w14:textId="77777777" w:rsidR="00672FC5" w:rsidRPr="00300F58" w:rsidRDefault="00672FC5" w:rsidP="00BE5919">
            <w:pPr>
              <w:pStyle w:val="a3"/>
              <w:jc w:val="right"/>
              <w:rPr>
                <w:rFonts w:cs="FrankRuehl"/>
                <w:sz w:val="28"/>
                <w:szCs w:val="28"/>
                <w:rtl/>
              </w:rPr>
            </w:pPr>
          </w:p>
        </w:tc>
      </w:tr>
    </w:tbl>
    <w:p w14:paraId="06BC9F25" w14:textId="77777777" w:rsidR="00672FC5" w:rsidRPr="00300F58" w:rsidRDefault="00672FC5" w:rsidP="00672FC5">
      <w:pPr>
        <w:pStyle w:val="a3"/>
        <w:rPr>
          <w:rtl/>
        </w:rPr>
      </w:pPr>
      <w:r w:rsidRPr="00300F58">
        <w:rPr>
          <w:rFonts w:hint="cs"/>
          <w:rtl/>
        </w:rPr>
        <w:t xml:space="preserve"> </w:t>
      </w:r>
    </w:p>
    <w:p w14:paraId="0D31F076" w14:textId="77777777" w:rsidR="00672FC5" w:rsidRPr="00300F58" w:rsidRDefault="00672FC5" w:rsidP="00672FC5">
      <w:pPr>
        <w:jc w:val="both"/>
        <w:rPr>
          <w:rtl/>
        </w:rPr>
      </w:pPr>
    </w:p>
    <w:p w14:paraId="4FE2A42D" w14:textId="77777777" w:rsidR="00672FC5" w:rsidRPr="00300F58" w:rsidRDefault="00672FC5" w:rsidP="00672FC5">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72FC5" w:rsidRPr="00300F58" w14:paraId="54784435" w14:textId="77777777" w:rsidTr="00672FC5">
        <w:trPr>
          <w:trHeight w:val="295"/>
          <w:jc w:val="center"/>
        </w:trPr>
        <w:tc>
          <w:tcPr>
            <w:tcW w:w="923" w:type="dxa"/>
            <w:tcBorders>
              <w:top w:val="nil"/>
              <w:left w:val="nil"/>
              <w:bottom w:val="nil"/>
              <w:right w:val="nil"/>
            </w:tcBorders>
            <w:shd w:val="clear" w:color="auto" w:fill="auto"/>
          </w:tcPr>
          <w:p w14:paraId="44C12CDC" w14:textId="77777777" w:rsidR="00672FC5" w:rsidRPr="00300F58" w:rsidRDefault="00672FC5" w:rsidP="00672FC5">
            <w:pPr>
              <w:jc w:val="both"/>
              <w:rPr>
                <w:rFonts w:ascii="David" w:hAnsi="David"/>
                <w:sz w:val="26"/>
                <w:szCs w:val="26"/>
                <w:rtl/>
              </w:rPr>
            </w:pPr>
            <w:r w:rsidRPr="00300F58">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1E2DDF2" w14:textId="77777777" w:rsidR="00672FC5" w:rsidRPr="00300F58" w:rsidRDefault="00672FC5" w:rsidP="00672FC5">
            <w:pPr>
              <w:jc w:val="both"/>
              <w:rPr>
                <w:rFonts w:ascii="David" w:hAnsi="David"/>
                <w:b/>
                <w:bCs/>
                <w:sz w:val="26"/>
                <w:szCs w:val="26"/>
              </w:rPr>
            </w:pPr>
            <w:r w:rsidRPr="00300F58">
              <w:rPr>
                <w:rFonts w:ascii="David" w:hAnsi="David"/>
                <w:b/>
                <w:bCs/>
                <w:sz w:val="26"/>
                <w:szCs w:val="26"/>
                <w:rtl/>
              </w:rPr>
              <w:t>כבוד השופטת  רונית בש</w:t>
            </w:r>
          </w:p>
          <w:p w14:paraId="37696794" w14:textId="77777777" w:rsidR="00672FC5" w:rsidRPr="00300F58" w:rsidRDefault="00672FC5" w:rsidP="00672FC5">
            <w:pPr>
              <w:jc w:val="both"/>
              <w:rPr>
                <w:rFonts w:ascii="David" w:hAnsi="David"/>
                <w:sz w:val="26"/>
                <w:szCs w:val="26"/>
                <w:rtl/>
              </w:rPr>
            </w:pPr>
          </w:p>
          <w:p w14:paraId="61B76A5C" w14:textId="77777777" w:rsidR="00672FC5" w:rsidRPr="00300F58" w:rsidRDefault="00672FC5" w:rsidP="00672FC5">
            <w:pPr>
              <w:jc w:val="both"/>
              <w:rPr>
                <w:rFonts w:ascii="David" w:hAnsi="David"/>
                <w:sz w:val="26"/>
                <w:szCs w:val="26"/>
                <w:rtl/>
              </w:rPr>
            </w:pPr>
          </w:p>
        </w:tc>
      </w:tr>
      <w:tr w:rsidR="00672FC5" w:rsidRPr="00300F58" w14:paraId="30C422CB" w14:textId="77777777" w:rsidTr="00672FC5">
        <w:trPr>
          <w:trHeight w:val="355"/>
          <w:jc w:val="center"/>
        </w:trPr>
        <w:tc>
          <w:tcPr>
            <w:tcW w:w="923" w:type="dxa"/>
            <w:tcBorders>
              <w:top w:val="nil"/>
              <w:left w:val="nil"/>
              <w:bottom w:val="nil"/>
              <w:right w:val="nil"/>
            </w:tcBorders>
            <w:shd w:val="clear" w:color="auto" w:fill="auto"/>
          </w:tcPr>
          <w:p w14:paraId="24DD779A" w14:textId="77777777" w:rsidR="00672FC5" w:rsidRPr="00300F58" w:rsidRDefault="00672FC5" w:rsidP="00672FC5">
            <w:pPr>
              <w:jc w:val="both"/>
              <w:rPr>
                <w:rFonts w:ascii="David" w:hAnsi="David"/>
                <w:b/>
                <w:bCs/>
                <w:sz w:val="26"/>
                <w:szCs w:val="26"/>
              </w:rPr>
            </w:pPr>
            <w:bookmarkStart w:id="1" w:name="FirstAppellant"/>
            <w:r w:rsidRPr="00300F58">
              <w:rPr>
                <w:rFonts w:ascii="David" w:hAnsi="David"/>
                <w:b/>
                <w:bCs/>
                <w:sz w:val="26"/>
                <w:szCs w:val="26"/>
                <w:rtl/>
              </w:rPr>
              <w:t>בעניין:</w:t>
            </w:r>
          </w:p>
        </w:tc>
        <w:tc>
          <w:tcPr>
            <w:tcW w:w="4126" w:type="dxa"/>
            <w:tcBorders>
              <w:top w:val="nil"/>
              <w:left w:val="nil"/>
              <w:bottom w:val="nil"/>
              <w:right w:val="nil"/>
            </w:tcBorders>
            <w:shd w:val="clear" w:color="auto" w:fill="auto"/>
          </w:tcPr>
          <w:p w14:paraId="5F421A52" w14:textId="77777777" w:rsidR="00672FC5" w:rsidRPr="00300F58" w:rsidRDefault="00672FC5" w:rsidP="00672FC5">
            <w:pPr>
              <w:jc w:val="both"/>
              <w:rPr>
                <w:rFonts w:ascii="David" w:hAnsi="David"/>
                <w:b/>
                <w:bCs/>
                <w:sz w:val="26"/>
                <w:szCs w:val="26"/>
              </w:rPr>
            </w:pPr>
            <w:r w:rsidRPr="00300F58">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05F8B1A8" w14:textId="77777777" w:rsidR="00672FC5" w:rsidRPr="00300F58" w:rsidRDefault="00672FC5" w:rsidP="00672FC5">
            <w:pPr>
              <w:jc w:val="both"/>
              <w:rPr>
                <w:rFonts w:ascii="David" w:hAnsi="David"/>
                <w:b/>
                <w:bCs/>
                <w:sz w:val="26"/>
                <w:szCs w:val="26"/>
              </w:rPr>
            </w:pPr>
          </w:p>
        </w:tc>
      </w:tr>
      <w:bookmarkEnd w:id="1"/>
      <w:tr w:rsidR="00672FC5" w:rsidRPr="00300F58" w14:paraId="4C3A35CE" w14:textId="77777777" w:rsidTr="00672FC5">
        <w:trPr>
          <w:trHeight w:val="355"/>
          <w:jc w:val="center"/>
        </w:trPr>
        <w:tc>
          <w:tcPr>
            <w:tcW w:w="923" w:type="dxa"/>
            <w:tcBorders>
              <w:top w:val="nil"/>
              <w:left w:val="nil"/>
              <w:bottom w:val="nil"/>
              <w:right w:val="nil"/>
            </w:tcBorders>
            <w:shd w:val="clear" w:color="auto" w:fill="auto"/>
          </w:tcPr>
          <w:p w14:paraId="6F779864" w14:textId="77777777" w:rsidR="00672FC5" w:rsidRPr="00300F58" w:rsidRDefault="00672FC5" w:rsidP="00672FC5">
            <w:pPr>
              <w:jc w:val="both"/>
              <w:rPr>
                <w:rFonts w:ascii="David" w:hAnsi="David"/>
                <w:b/>
                <w:bCs/>
                <w:sz w:val="26"/>
                <w:szCs w:val="26"/>
              </w:rPr>
            </w:pPr>
          </w:p>
        </w:tc>
        <w:tc>
          <w:tcPr>
            <w:tcW w:w="4126" w:type="dxa"/>
            <w:tcBorders>
              <w:top w:val="nil"/>
              <w:left w:val="nil"/>
              <w:bottom w:val="nil"/>
              <w:right w:val="nil"/>
            </w:tcBorders>
            <w:shd w:val="clear" w:color="auto" w:fill="auto"/>
          </w:tcPr>
          <w:p w14:paraId="5A1E1B94" w14:textId="77777777" w:rsidR="00672FC5" w:rsidRPr="00300F58" w:rsidRDefault="00672FC5" w:rsidP="00672FC5">
            <w:pPr>
              <w:jc w:val="both"/>
              <w:rPr>
                <w:rFonts w:ascii="David" w:hAnsi="David"/>
                <w:b/>
                <w:bCs/>
                <w:sz w:val="26"/>
                <w:szCs w:val="26"/>
                <w:rtl/>
              </w:rPr>
            </w:pPr>
          </w:p>
        </w:tc>
        <w:tc>
          <w:tcPr>
            <w:tcW w:w="3771" w:type="dxa"/>
            <w:tcBorders>
              <w:top w:val="nil"/>
              <w:left w:val="nil"/>
              <w:bottom w:val="nil"/>
              <w:right w:val="nil"/>
            </w:tcBorders>
            <w:shd w:val="clear" w:color="auto" w:fill="auto"/>
          </w:tcPr>
          <w:p w14:paraId="5014E24B" w14:textId="77777777" w:rsidR="00672FC5" w:rsidRPr="00300F58" w:rsidRDefault="00672FC5" w:rsidP="00672FC5">
            <w:pPr>
              <w:jc w:val="both"/>
              <w:rPr>
                <w:rFonts w:ascii="David" w:hAnsi="David"/>
                <w:b/>
                <w:bCs/>
                <w:sz w:val="26"/>
                <w:szCs w:val="26"/>
                <w:rtl/>
              </w:rPr>
            </w:pPr>
            <w:r w:rsidRPr="00300F58">
              <w:rPr>
                <w:rFonts w:ascii="David" w:hAnsi="David"/>
                <w:b/>
                <w:bCs/>
                <w:sz w:val="26"/>
                <w:szCs w:val="26"/>
                <w:rtl/>
              </w:rPr>
              <w:t>המאשימה</w:t>
            </w:r>
          </w:p>
        </w:tc>
      </w:tr>
      <w:tr w:rsidR="00672FC5" w:rsidRPr="00300F58" w14:paraId="6F66057A" w14:textId="77777777" w:rsidTr="00672FC5">
        <w:trPr>
          <w:trHeight w:val="355"/>
          <w:jc w:val="center"/>
        </w:trPr>
        <w:tc>
          <w:tcPr>
            <w:tcW w:w="923" w:type="dxa"/>
            <w:tcBorders>
              <w:top w:val="nil"/>
              <w:left w:val="nil"/>
              <w:bottom w:val="nil"/>
              <w:right w:val="nil"/>
            </w:tcBorders>
            <w:shd w:val="clear" w:color="auto" w:fill="auto"/>
          </w:tcPr>
          <w:p w14:paraId="702F0284" w14:textId="77777777" w:rsidR="00672FC5" w:rsidRPr="00300F58" w:rsidRDefault="00672FC5" w:rsidP="00672FC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6806442" w14:textId="77777777" w:rsidR="00672FC5" w:rsidRPr="00300F58" w:rsidRDefault="00672FC5" w:rsidP="00672FC5">
            <w:pPr>
              <w:jc w:val="both"/>
              <w:rPr>
                <w:rFonts w:ascii="David" w:hAnsi="David"/>
                <w:b/>
                <w:bCs/>
                <w:sz w:val="26"/>
                <w:szCs w:val="26"/>
                <w:rtl/>
              </w:rPr>
            </w:pPr>
          </w:p>
          <w:p w14:paraId="16931DCF" w14:textId="77777777" w:rsidR="00672FC5" w:rsidRPr="00300F58" w:rsidRDefault="00672FC5" w:rsidP="00672FC5">
            <w:pPr>
              <w:jc w:val="both"/>
              <w:rPr>
                <w:rFonts w:ascii="David" w:hAnsi="David"/>
                <w:b/>
                <w:bCs/>
                <w:sz w:val="26"/>
                <w:szCs w:val="26"/>
                <w:rtl/>
              </w:rPr>
            </w:pPr>
            <w:r w:rsidRPr="00300F58">
              <w:rPr>
                <w:rFonts w:ascii="David" w:hAnsi="David"/>
                <w:b/>
                <w:bCs/>
                <w:sz w:val="26"/>
                <w:szCs w:val="26"/>
                <w:rtl/>
              </w:rPr>
              <w:t>נגד</w:t>
            </w:r>
          </w:p>
          <w:p w14:paraId="24EB3BE8" w14:textId="77777777" w:rsidR="00672FC5" w:rsidRPr="00300F58" w:rsidRDefault="00672FC5" w:rsidP="00672FC5">
            <w:pPr>
              <w:jc w:val="both"/>
              <w:rPr>
                <w:rFonts w:ascii="David" w:hAnsi="David"/>
                <w:b/>
                <w:bCs/>
                <w:sz w:val="26"/>
                <w:szCs w:val="26"/>
                <w:rtl/>
              </w:rPr>
            </w:pPr>
          </w:p>
        </w:tc>
      </w:tr>
      <w:tr w:rsidR="00672FC5" w:rsidRPr="00300F58" w14:paraId="1936AE5F" w14:textId="77777777" w:rsidTr="00672FC5">
        <w:trPr>
          <w:trHeight w:val="355"/>
          <w:jc w:val="center"/>
        </w:trPr>
        <w:tc>
          <w:tcPr>
            <w:tcW w:w="923" w:type="dxa"/>
            <w:tcBorders>
              <w:top w:val="nil"/>
              <w:left w:val="nil"/>
              <w:bottom w:val="nil"/>
              <w:right w:val="nil"/>
            </w:tcBorders>
            <w:shd w:val="clear" w:color="auto" w:fill="auto"/>
          </w:tcPr>
          <w:p w14:paraId="37ECFD20" w14:textId="77777777" w:rsidR="00672FC5" w:rsidRPr="00300F58" w:rsidRDefault="00672FC5" w:rsidP="00672FC5">
            <w:pPr>
              <w:jc w:val="both"/>
              <w:rPr>
                <w:rFonts w:ascii="David" w:hAnsi="David"/>
                <w:b/>
                <w:bCs/>
                <w:sz w:val="26"/>
                <w:szCs w:val="26"/>
              </w:rPr>
            </w:pPr>
          </w:p>
        </w:tc>
        <w:tc>
          <w:tcPr>
            <w:tcW w:w="4126" w:type="dxa"/>
            <w:tcBorders>
              <w:top w:val="nil"/>
              <w:left w:val="nil"/>
              <w:bottom w:val="nil"/>
              <w:right w:val="nil"/>
            </w:tcBorders>
            <w:shd w:val="clear" w:color="auto" w:fill="auto"/>
          </w:tcPr>
          <w:p w14:paraId="19B78C5E" w14:textId="77777777" w:rsidR="00672FC5" w:rsidRPr="00300F58" w:rsidRDefault="00672FC5" w:rsidP="00672FC5">
            <w:pPr>
              <w:jc w:val="both"/>
              <w:rPr>
                <w:rFonts w:ascii="David" w:hAnsi="David"/>
                <w:b/>
                <w:bCs/>
                <w:sz w:val="26"/>
                <w:szCs w:val="26"/>
                <w:rtl/>
              </w:rPr>
            </w:pPr>
            <w:r w:rsidRPr="00300F58">
              <w:rPr>
                <w:rFonts w:ascii="David" w:hAnsi="David"/>
                <w:b/>
                <w:bCs/>
                <w:sz w:val="26"/>
                <w:szCs w:val="26"/>
                <w:rtl/>
              </w:rPr>
              <w:t>שלום שי אלמלח מלכה (עציר)</w:t>
            </w:r>
          </w:p>
        </w:tc>
        <w:tc>
          <w:tcPr>
            <w:tcW w:w="3771" w:type="dxa"/>
            <w:tcBorders>
              <w:top w:val="nil"/>
              <w:left w:val="nil"/>
              <w:bottom w:val="nil"/>
              <w:right w:val="nil"/>
            </w:tcBorders>
            <w:shd w:val="clear" w:color="auto" w:fill="auto"/>
          </w:tcPr>
          <w:p w14:paraId="3190C086" w14:textId="77777777" w:rsidR="00672FC5" w:rsidRPr="00300F58" w:rsidRDefault="00672FC5" w:rsidP="00672FC5">
            <w:pPr>
              <w:jc w:val="both"/>
              <w:rPr>
                <w:rFonts w:ascii="David" w:hAnsi="David"/>
                <w:b/>
                <w:bCs/>
                <w:sz w:val="26"/>
                <w:szCs w:val="26"/>
                <w:rtl/>
              </w:rPr>
            </w:pPr>
          </w:p>
        </w:tc>
      </w:tr>
      <w:tr w:rsidR="00672FC5" w:rsidRPr="00300F58" w14:paraId="340E9DB1" w14:textId="77777777" w:rsidTr="00672FC5">
        <w:trPr>
          <w:trHeight w:val="355"/>
          <w:jc w:val="center"/>
        </w:trPr>
        <w:tc>
          <w:tcPr>
            <w:tcW w:w="923" w:type="dxa"/>
            <w:tcBorders>
              <w:top w:val="nil"/>
              <w:left w:val="nil"/>
              <w:bottom w:val="nil"/>
              <w:right w:val="nil"/>
            </w:tcBorders>
            <w:shd w:val="clear" w:color="auto" w:fill="auto"/>
          </w:tcPr>
          <w:p w14:paraId="61CC363F" w14:textId="77777777" w:rsidR="00672FC5" w:rsidRPr="00300F58" w:rsidRDefault="00672FC5" w:rsidP="00672FC5">
            <w:pPr>
              <w:jc w:val="both"/>
              <w:rPr>
                <w:rFonts w:ascii="David" w:hAnsi="David"/>
                <w:b/>
                <w:bCs/>
                <w:sz w:val="26"/>
                <w:szCs w:val="26"/>
              </w:rPr>
            </w:pPr>
          </w:p>
        </w:tc>
        <w:tc>
          <w:tcPr>
            <w:tcW w:w="4126" w:type="dxa"/>
            <w:tcBorders>
              <w:top w:val="nil"/>
              <w:left w:val="nil"/>
              <w:bottom w:val="nil"/>
              <w:right w:val="nil"/>
            </w:tcBorders>
            <w:shd w:val="clear" w:color="auto" w:fill="auto"/>
          </w:tcPr>
          <w:p w14:paraId="7249F084" w14:textId="77777777" w:rsidR="00672FC5" w:rsidRPr="00300F58" w:rsidRDefault="00672FC5" w:rsidP="00672FC5">
            <w:pPr>
              <w:jc w:val="both"/>
              <w:rPr>
                <w:rFonts w:ascii="David" w:hAnsi="David"/>
                <w:b/>
                <w:bCs/>
                <w:sz w:val="26"/>
                <w:szCs w:val="26"/>
                <w:rtl/>
              </w:rPr>
            </w:pPr>
          </w:p>
        </w:tc>
        <w:tc>
          <w:tcPr>
            <w:tcW w:w="3771" w:type="dxa"/>
            <w:tcBorders>
              <w:top w:val="nil"/>
              <w:left w:val="nil"/>
              <w:bottom w:val="nil"/>
              <w:right w:val="nil"/>
            </w:tcBorders>
            <w:shd w:val="clear" w:color="auto" w:fill="auto"/>
          </w:tcPr>
          <w:p w14:paraId="199CEBCC" w14:textId="77777777" w:rsidR="00672FC5" w:rsidRPr="00300F58" w:rsidRDefault="00672FC5" w:rsidP="00672FC5">
            <w:pPr>
              <w:jc w:val="both"/>
              <w:rPr>
                <w:rFonts w:ascii="David" w:hAnsi="David"/>
                <w:b/>
                <w:bCs/>
                <w:sz w:val="26"/>
                <w:szCs w:val="26"/>
                <w:rtl/>
              </w:rPr>
            </w:pPr>
            <w:r w:rsidRPr="00300F58">
              <w:rPr>
                <w:rFonts w:ascii="David" w:hAnsi="David"/>
                <w:b/>
                <w:bCs/>
                <w:sz w:val="26"/>
                <w:szCs w:val="26"/>
                <w:rtl/>
              </w:rPr>
              <w:t>הנאשם</w:t>
            </w:r>
          </w:p>
        </w:tc>
      </w:tr>
    </w:tbl>
    <w:p w14:paraId="2FC46C10" w14:textId="77777777" w:rsidR="00B10EE4" w:rsidRDefault="00B10EE4" w:rsidP="00300F58">
      <w:pPr>
        <w:jc w:val="both"/>
        <w:rPr>
          <w:sz w:val="26"/>
          <w:szCs w:val="26"/>
          <w:rtl/>
        </w:rPr>
      </w:pPr>
    </w:p>
    <w:p w14:paraId="1D7276B5" w14:textId="77777777" w:rsidR="00B10EE4" w:rsidRPr="00B10EE4" w:rsidRDefault="00B10EE4" w:rsidP="00B10EE4">
      <w:pPr>
        <w:spacing w:after="120" w:line="240" w:lineRule="exact"/>
        <w:ind w:left="283" w:hanging="283"/>
        <w:jc w:val="both"/>
        <w:rPr>
          <w:rFonts w:ascii="FrankRuehl" w:hAnsi="FrankRuehl" w:cs="FrankRuehl"/>
          <w:rtl/>
        </w:rPr>
      </w:pPr>
    </w:p>
    <w:p w14:paraId="4B40CFE0" w14:textId="77777777" w:rsidR="00FF0140" w:rsidRDefault="00FF0140" w:rsidP="00FF0140">
      <w:pPr>
        <w:jc w:val="both"/>
        <w:rPr>
          <w:sz w:val="26"/>
          <w:szCs w:val="26"/>
          <w:rtl/>
        </w:rPr>
      </w:pPr>
      <w:bookmarkStart w:id="2" w:name="LawTable"/>
      <w:bookmarkEnd w:id="2"/>
    </w:p>
    <w:p w14:paraId="1073A137" w14:textId="77777777" w:rsidR="00FF0140" w:rsidRPr="00FF0140" w:rsidRDefault="00FF0140" w:rsidP="00FF0140">
      <w:pPr>
        <w:spacing w:before="120" w:after="120" w:line="240" w:lineRule="exact"/>
        <w:ind w:left="283" w:hanging="283"/>
        <w:jc w:val="both"/>
        <w:rPr>
          <w:rFonts w:ascii="FrankRuehl" w:hAnsi="FrankRuehl" w:cs="FrankRuehl"/>
          <w:rtl/>
        </w:rPr>
      </w:pPr>
    </w:p>
    <w:p w14:paraId="3EFC707B" w14:textId="77777777" w:rsidR="00FF0140" w:rsidRPr="00FF0140" w:rsidRDefault="00FF0140" w:rsidP="00FF0140">
      <w:pPr>
        <w:spacing w:before="120" w:after="120" w:line="240" w:lineRule="exact"/>
        <w:ind w:left="283" w:hanging="283"/>
        <w:jc w:val="both"/>
        <w:rPr>
          <w:rFonts w:ascii="FrankRuehl" w:hAnsi="FrankRuehl" w:cs="FrankRuehl"/>
          <w:rtl/>
        </w:rPr>
      </w:pPr>
    </w:p>
    <w:p w14:paraId="7573ECAE" w14:textId="77777777" w:rsidR="00FF0140" w:rsidRPr="00FF0140" w:rsidRDefault="00FF0140" w:rsidP="00FF0140">
      <w:pPr>
        <w:spacing w:before="120" w:after="120" w:line="240" w:lineRule="exact"/>
        <w:ind w:left="283" w:hanging="283"/>
        <w:jc w:val="both"/>
        <w:rPr>
          <w:rFonts w:ascii="FrankRuehl" w:hAnsi="FrankRuehl" w:cs="FrankRuehl"/>
          <w:rtl/>
        </w:rPr>
      </w:pPr>
      <w:r w:rsidRPr="00FF0140">
        <w:rPr>
          <w:rFonts w:ascii="FrankRuehl" w:hAnsi="FrankRuehl" w:cs="FrankRuehl"/>
          <w:rtl/>
        </w:rPr>
        <w:t xml:space="preserve">חקיקה שאוזכרה: </w:t>
      </w:r>
    </w:p>
    <w:p w14:paraId="7B4BD2C8" w14:textId="77777777" w:rsidR="00FF0140" w:rsidRPr="00FF0140" w:rsidRDefault="00FF0140" w:rsidP="00FF0140">
      <w:pPr>
        <w:spacing w:before="120" w:after="120" w:line="240" w:lineRule="exact"/>
        <w:ind w:left="283" w:hanging="283"/>
        <w:jc w:val="both"/>
        <w:rPr>
          <w:rFonts w:ascii="FrankRuehl" w:hAnsi="FrankRuehl" w:cs="FrankRuehl"/>
          <w:rtl/>
        </w:rPr>
      </w:pPr>
      <w:hyperlink r:id="rId7" w:history="1">
        <w:r w:rsidRPr="00FF0140">
          <w:rPr>
            <w:rFonts w:ascii="FrankRuehl" w:hAnsi="FrankRuehl" w:cs="FrankRuehl"/>
            <w:color w:val="0000FF"/>
            <w:rtl/>
          </w:rPr>
          <w:t>חוק העונשין, תשל"ז-1977</w:t>
        </w:r>
      </w:hyperlink>
      <w:r w:rsidRPr="00FF0140">
        <w:rPr>
          <w:rFonts w:ascii="FrankRuehl" w:hAnsi="FrankRuehl" w:cs="FrankRuehl"/>
          <w:rtl/>
        </w:rPr>
        <w:t xml:space="preserve">: סע'  </w:t>
      </w:r>
      <w:hyperlink r:id="rId8" w:history="1">
        <w:r w:rsidRPr="00FF0140">
          <w:rPr>
            <w:rFonts w:ascii="FrankRuehl" w:hAnsi="FrankRuehl" w:cs="FrankRuehl"/>
            <w:color w:val="0000FF"/>
            <w:rtl/>
          </w:rPr>
          <w:t>40ב</w:t>
        </w:r>
      </w:hyperlink>
      <w:r w:rsidRPr="00FF0140">
        <w:rPr>
          <w:rFonts w:ascii="FrankRuehl" w:hAnsi="FrankRuehl" w:cs="FrankRuehl"/>
          <w:rtl/>
        </w:rPr>
        <w:t xml:space="preserve">, </w:t>
      </w:r>
      <w:hyperlink r:id="rId9" w:history="1">
        <w:r w:rsidRPr="00FF0140">
          <w:rPr>
            <w:rFonts w:ascii="FrankRuehl" w:hAnsi="FrankRuehl" w:cs="FrankRuehl"/>
            <w:color w:val="0000FF"/>
            <w:rtl/>
          </w:rPr>
          <w:t>40ג</w:t>
        </w:r>
      </w:hyperlink>
      <w:r w:rsidRPr="00FF0140">
        <w:rPr>
          <w:rFonts w:ascii="FrankRuehl" w:hAnsi="FrankRuehl" w:cs="FrankRuehl"/>
          <w:rtl/>
        </w:rPr>
        <w:t xml:space="preserve">, </w:t>
      </w:r>
      <w:hyperlink r:id="rId10" w:history="1">
        <w:r w:rsidRPr="00FF0140">
          <w:rPr>
            <w:rFonts w:ascii="FrankRuehl" w:hAnsi="FrankRuehl" w:cs="FrankRuehl"/>
            <w:color w:val="0000FF"/>
            <w:rtl/>
          </w:rPr>
          <w:t>40ט</w:t>
        </w:r>
      </w:hyperlink>
      <w:r w:rsidRPr="00FF0140">
        <w:rPr>
          <w:rFonts w:ascii="FrankRuehl" w:hAnsi="FrankRuehl" w:cs="FrankRuehl"/>
          <w:rtl/>
        </w:rPr>
        <w:t xml:space="preserve">, </w:t>
      </w:r>
      <w:hyperlink r:id="rId11" w:history="1">
        <w:r w:rsidRPr="00FF0140">
          <w:rPr>
            <w:rFonts w:ascii="FrankRuehl" w:hAnsi="FrankRuehl" w:cs="FrankRuehl"/>
            <w:color w:val="0000FF"/>
            <w:rtl/>
          </w:rPr>
          <w:t>144</w:t>
        </w:r>
      </w:hyperlink>
      <w:r w:rsidRPr="00FF0140">
        <w:rPr>
          <w:rFonts w:ascii="FrankRuehl" w:hAnsi="FrankRuehl" w:cs="FrankRuehl"/>
          <w:rtl/>
        </w:rPr>
        <w:t xml:space="preserve">, </w:t>
      </w:r>
      <w:hyperlink r:id="rId12" w:history="1">
        <w:r w:rsidRPr="00FF0140">
          <w:rPr>
            <w:rFonts w:ascii="FrankRuehl" w:hAnsi="FrankRuehl" w:cs="FrankRuehl"/>
            <w:color w:val="0000FF"/>
            <w:rtl/>
          </w:rPr>
          <w:t>144(ב)</w:t>
        </w:r>
      </w:hyperlink>
    </w:p>
    <w:p w14:paraId="26E2415D" w14:textId="77777777" w:rsidR="00FF0140" w:rsidRPr="00FF0140" w:rsidRDefault="00FF0140" w:rsidP="00FF0140">
      <w:pPr>
        <w:jc w:val="both"/>
        <w:rPr>
          <w:sz w:val="26"/>
          <w:szCs w:val="26"/>
          <w:rtl/>
        </w:rPr>
      </w:pPr>
      <w:bookmarkStart w:id="3" w:name="LawTable_End"/>
      <w:bookmarkEnd w:id="3"/>
    </w:p>
    <w:p w14:paraId="50F24641" w14:textId="77777777" w:rsidR="00672FC5" w:rsidRPr="00300F58" w:rsidRDefault="00672FC5" w:rsidP="00672FC5">
      <w:pPr>
        <w:jc w:val="both"/>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2FC5" w14:paraId="502EE534" w14:textId="77777777" w:rsidTr="00672FC5">
        <w:trPr>
          <w:trHeight w:val="355"/>
          <w:jc w:val="center"/>
        </w:trPr>
        <w:tc>
          <w:tcPr>
            <w:tcW w:w="8820" w:type="dxa"/>
            <w:tcBorders>
              <w:top w:val="nil"/>
              <w:left w:val="nil"/>
              <w:bottom w:val="nil"/>
              <w:right w:val="nil"/>
            </w:tcBorders>
            <w:shd w:val="clear" w:color="auto" w:fill="auto"/>
          </w:tcPr>
          <w:p w14:paraId="797E11AA" w14:textId="77777777" w:rsidR="00300F58" w:rsidRPr="00300F58" w:rsidRDefault="00300F58" w:rsidP="00300F58">
            <w:pPr>
              <w:jc w:val="center"/>
              <w:rPr>
                <w:rFonts w:ascii="David" w:hAnsi="David"/>
                <w:b/>
                <w:bCs/>
                <w:sz w:val="32"/>
                <w:szCs w:val="32"/>
                <w:u w:val="single"/>
                <w:rtl/>
              </w:rPr>
            </w:pPr>
            <w:bookmarkStart w:id="4" w:name="PsakDin" w:colFirst="0" w:colLast="0"/>
            <w:bookmarkEnd w:id="0"/>
            <w:r w:rsidRPr="00300F58">
              <w:rPr>
                <w:rFonts w:ascii="David" w:hAnsi="David"/>
                <w:b/>
                <w:bCs/>
                <w:sz w:val="32"/>
                <w:szCs w:val="32"/>
                <w:u w:val="single"/>
                <w:rtl/>
              </w:rPr>
              <w:t>גזר דין</w:t>
            </w:r>
          </w:p>
          <w:p w14:paraId="74788FBB" w14:textId="77777777" w:rsidR="00672FC5" w:rsidRPr="00300F58" w:rsidRDefault="00672FC5" w:rsidP="00300F58">
            <w:pPr>
              <w:jc w:val="center"/>
              <w:rPr>
                <w:rFonts w:ascii="David" w:hAnsi="David"/>
                <w:bCs/>
                <w:sz w:val="32"/>
                <w:szCs w:val="32"/>
                <w:u w:val="single"/>
              </w:rPr>
            </w:pPr>
          </w:p>
        </w:tc>
      </w:tr>
      <w:bookmarkEnd w:id="4"/>
    </w:tbl>
    <w:p w14:paraId="321BE7DD" w14:textId="77777777" w:rsidR="00672FC5" w:rsidRDefault="00672FC5" w:rsidP="00672FC5">
      <w:pPr>
        <w:jc w:val="both"/>
        <w:rPr>
          <w:rFonts w:ascii="David" w:hAnsi="David"/>
          <w:sz w:val="26"/>
          <w:szCs w:val="26"/>
          <w:rtl/>
        </w:rPr>
      </w:pPr>
    </w:p>
    <w:p w14:paraId="739AD94E" w14:textId="77777777" w:rsidR="00672FC5" w:rsidRDefault="00672FC5" w:rsidP="00672FC5">
      <w:pPr>
        <w:jc w:val="both"/>
        <w:rPr>
          <w:rFonts w:ascii="David" w:hAnsi="David"/>
          <w:sz w:val="26"/>
          <w:szCs w:val="26"/>
          <w:rtl/>
        </w:rPr>
      </w:pPr>
    </w:p>
    <w:p w14:paraId="168F853E" w14:textId="77777777" w:rsidR="00672FC5" w:rsidRDefault="00672FC5" w:rsidP="00672FC5">
      <w:pPr>
        <w:spacing w:line="360" w:lineRule="auto"/>
        <w:jc w:val="both"/>
      </w:pPr>
      <w:r>
        <w:rPr>
          <w:rFonts w:hint="cs"/>
          <w:rtl/>
        </w:rPr>
        <w:t>1</w:t>
      </w:r>
      <w:r>
        <w:rPr>
          <w:rtl/>
        </w:rPr>
        <w:t>.</w:t>
      </w:r>
      <w:bookmarkStart w:id="5" w:name="ABSTRACT_START"/>
      <w:bookmarkEnd w:id="5"/>
      <w:r>
        <w:rPr>
          <w:rtl/>
        </w:rPr>
        <w:tab/>
        <w:t>הנאשם הורשע, על יסוד הודאתו, בעובדות כתב האישום המתוקן (</w:t>
      </w:r>
      <w:r>
        <w:rPr>
          <w:rFonts w:ascii="Miriam" w:hAnsi="Miriam" w:cs="Miriam"/>
          <w:rtl/>
        </w:rPr>
        <w:t>א/1</w:t>
      </w:r>
      <w:r>
        <w:rPr>
          <w:rtl/>
        </w:rPr>
        <w:t>), במסגרת הסדר  טיעון בין הצדדים, בביצוע עבירות בנשק (נשיאה</w:t>
      </w:r>
      <w:r>
        <w:rPr>
          <w:rFonts w:hint="cs"/>
          <w:rtl/>
        </w:rPr>
        <w:t xml:space="preserve"> והובלה</w:t>
      </w:r>
      <w:r>
        <w:rPr>
          <w:rtl/>
        </w:rPr>
        <w:t xml:space="preserve">), עבירה לפי </w:t>
      </w:r>
      <w:hyperlink r:id="rId13" w:history="1">
        <w:r w:rsidR="00B10EE4" w:rsidRPr="00B10EE4">
          <w:rPr>
            <w:rStyle w:val="Hyperlink"/>
            <w:rtl/>
          </w:rPr>
          <w:t>סעיף 144(ב)</w:t>
        </w:r>
      </w:hyperlink>
      <w:r>
        <w:rPr>
          <w:rtl/>
        </w:rPr>
        <w:t xml:space="preserve"> </w:t>
      </w:r>
      <w:r>
        <w:rPr>
          <w:rFonts w:hint="cs"/>
          <w:rtl/>
        </w:rPr>
        <w:t xml:space="preserve">רישא וסיפא </w:t>
      </w:r>
      <w:r>
        <w:rPr>
          <w:rtl/>
        </w:rPr>
        <w:t>ל</w:t>
      </w:r>
      <w:hyperlink r:id="rId14" w:history="1">
        <w:r w:rsidR="00300F58" w:rsidRPr="00300F58">
          <w:rPr>
            <w:color w:val="0000FF"/>
            <w:u w:val="single"/>
            <w:rtl/>
          </w:rPr>
          <w:t>חוק העונשין</w:t>
        </w:r>
      </w:hyperlink>
      <w:r>
        <w:rPr>
          <w:rtl/>
        </w:rPr>
        <w:t xml:space="preserve">, התשל"ז-1977 (להלן: </w:t>
      </w:r>
      <w:r>
        <w:rPr>
          <w:rFonts w:ascii="Miriam" w:hAnsi="Miriam" w:cs="Miriam"/>
          <w:rtl/>
        </w:rPr>
        <w:t>חוק העונשין)</w:t>
      </w:r>
      <w:r>
        <w:rPr>
          <w:rtl/>
        </w:rPr>
        <w:t>. לא גובשה בין הצדדים הסכמה לעניין העונש</w:t>
      </w:r>
      <w:bookmarkStart w:id="6" w:name="ABSTRACT_END"/>
      <w:bookmarkEnd w:id="6"/>
      <w:r>
        <w:rPr>
          <w:rtl/>
        </w:rPr>
        <w:t>.</w:t>
      </w:r>
    </w:p>
    <w:p w14:paraId="1AF75166" w14:textId="77777777" w:rsidR="00672FC5" w:rsidRPr="004A51BE" w:rsidRDefault="00672FC5" w:rsidP="00672FC5">
      <w:pPr>
        <w:jc w:val="both"/>
        <w:rPr>
          <w:b/>
          <w:bCs/>
          <w:rtl/>
        </w:rPr>
      </w:pPr>
    </w:p>
    <w:p w14:paraId="1CFA8089" w14:textId="77777777" w:rsidR="00672FC5" w:rsidRPr="004A51BE" w:rsidRDefault="00672FC5" w:rsidP="00672FC5">
      <w:pPr>
        <w:jc w:val="both"/>
        <w:rPr>
          <w:rFonts w:ascii="Miriam" w:hAnsi="Miriam" w:cs="Miriam"/>
          <w:b/>
          <w:bCs/>
          <w:u w:val="single"/>
          <w:rtl/>
        </w:rPr>
      </w:pPr>
      <w:r w:rsidRPr="004A51BE">
        <w:rPr>
          <w:rFonts w:ascii="Miriam" w:hAnsi="Miriam" w:cs="Miriam"/>
          <w:b/>
          <w:bCs/>
          <w:u w:val="single"/>
          <w:rtl/>
        </w:rPr>
        <w:t>כתב האישום המתוקן</w:t>
      </w:r>
    </w:p>
    <w:p w14:paraId="5121D060" w14:textId="77777777" w:rsidR="00672FC5" w:rsidRDefault="00672FC5" w:rsidP="00672FC5">
      <w:pPr>
        <w:jc w:val="both"/>
        <w:rPr>
          <w:rFonts w:ascii="Miriam" w:hAnsi="Miriam" w:cs="Miriam"/>
          <w:u w:val="single"/>
          <w:rtl/>
        </w:rPr>
      </w:pPr>
    </w:p>
    <w:p w14:paraId="1943CD17" w14:textId="77777777" w:rsidR="00672FC5" w:rsidRDefault="00672FC5" w:rsidP="00672FC5">
      <w:pPr>
        <w:spacing w:line="360" w:lineRule="auto"/>
        <w:jc w:val="both"/>
        <w:rPr>
          <w:rtl/>
        </w:rPr>
      </w:pPr>
      <w:r w:rsidRPr="004A51BE">
        <w:rPr>
          <w:rFonts w:hint="cs"/>
          <w:rtl/>
        </w:rPr>
        <w:t>2.</w:t>
      </w:r>
      <w:r>
        <w:rPr>
          <w:rtl/>
        </w:rPr>
        <w:tab/>
      </w:r>
      <w:r>
        <w:rPr>
          <w:rFonts w:hint="cs"/>
          <w:rtl/>
        </w:rPr>
        <w:t xml:space="preserve">ביום 3/3/21, בשעה 2:20 או בסמוך לכך, הנאשם נסע ביחד עם האני אבו סארי (להלן: </w:t>
      </w:r>
      <w:r w:rsidRPr="0023532B">
        <w:rPr>
          <w:rFonts w:ascii="Miriam" w:hAnsi="Miriam" w:cs="Miriam"/>
          <w:rtl/>
        </w:rPr>
        <w:t>האני</w:t>
      </w:r>
      <w:r>
        <w:rPr>
          <w:rFonts w:hint="cs"/>
          <w:rtl/>
        </w:rPr>
        <w:t xml:space="preserve">), ברכב מסוג "פולקסווגן", בכביש 70 לכיוון דרום בכפר יאסיף, כשהאני נוהג ברכב והנאשם יושב לצדו במושב הנוסע הקדמי-ימני. בנסיבות האמורות, הנאשם החזיק והוביל  עמו אקדח מסוג </w:t>
      </w:r>
      <w:r>
        <w:rPr>
          <w:rFonts w:hint="cs"/>
        </w:rPr>
        <w:t>FN</w:t>
      </w:r>
      <w:r>
        <w:rPr>
          <w:rFonts w:hint="cs"/>
          <w:rtl/>
        </w:rPr>
        <w:t xml:space="preserve"> בקוטר 9 מ"מ, כשהוא טעון במחסנית עם 12 כדורים תואמים, ומוחבא בתוך גרב, בלא רשות על פי דין להחזקתם ולהובלתם. האקדח הוא כלי שסוגל לירות כדור שבכוחו להמית אדם, המחסנית </w:t>
      </w:r>
      <w:r>
        <w:rPr>
          <w:rFonts w:hint="cs"/>
          <w:rtl/>
        </w:rPr>
        <w:lastRenderedPageBreak/>
        <w:t xml:space="preserve">היא אביזר של נשק והכדורים הם תחמושת של נשק. באותה עת, בסמוך לאחר תחנת הדלק "דלק" שבכפר יאסיף על כביש 70 לכיוון דרום, עמדה ניידת משטרה גלויה, עם אורות כחולים מהבהבים (להלן: </w:t>
      </w:r>
      <w:r w:rsidRPr="0023532B">
        <w:rPr>
          <w:rFonts w:ascii="Miriam" w:hAnsi="Miriam" w:cs="Miriam"/>
          <w:rtl/>
        </w:rPr>
        <w:t>הניידת הראשונה</w:t>
      </w:r>
      <w:r>
        <w:rPr>
          <w:rFonts w:hint="cs"/>
          <w:rtl/>
        </w:rPr>
        <w:t xml:space="preserve">), ובסמוך ליציאה מתחנת הדלק, עמדה ניידת משטרה נוספת, גלויה ללא אורות (להלן: </w:t>
      </w:r>
      <w:r w:rsidRPr="0023532B">
        <w:rPr>
          <w:rFonts w:ascii="Miriam" w:hAnsi="Miriam" w:cs="Miriam"/>
          <w:rtl/>
        </w:rPr>
        <w:t>הניידת השנייה</w:t>
      </w:r>
      <w:r>
        <w:rPr>
          <w:rFonts w:hint="cs"/>
          <w:rtl/>
        </w:rPr>
        <w:t>) ובה היו שני שוטרים. בשעה 2:22, או בסמוך לכך, הנאשם והאני התקרבו לניידת הראשונה בנסיעה דרומה ברכב על כביש 70, ולפני שהגיעו אל הניידת הראשונה פנו שמאלה לתוך תחנת הדלק, בניסיון לחמוק מהניידת הראשונה. הנאשם והאני ניסו להגיע לפתח היציאה של תחנת הדלק ולנסוע לכיוון צפון, ובשלב זה, שוטר שנהג בניידת השנייה ניסה לחסום את יציאת הנאשם והאני מתחנת הדלק באמצעות נסיעה לאחור, פגע ברכב, והרכב נעצר לאחר שהתנגש במחסום בטון.</w:t>
      </w:r>
    </w:p>
    <w:p w14:paraId="591FB981" w14:textId="77777777" w:rsidR="00672FC5" w:rsidRDefault="00672FC5" w:rsidP="00672FC5">
      <w:pPr>
        <w:spacing w:line="360" w:lineRule="auto"/>
        <w:jc w:val="both"/>
        <w:rPr>
          <w:rtl/>
        </w:rPr>
      </w:pPr>
    </w:p>
    <w:p w14:paraId="311C7503" w14:textId="77777777" w:rsidR="00672FC5" w:rsidRPr="004A51BE" w:rsidRDefault="00672FC5" w:rsidP="00672FC5">
      <w:pPr>
        <w:spacing w:line="360" w:lineRule="auto"/>
        <w:jc w:val="both"/>
        <w:rPr>
          <w:rtl/>
        </w:rPr>
      </w:pPr>
      <w:r>
        <w:rPr>
          <w:rFonts w:hint="cs"/>
          <w:rtl/>
        </w:rPr>
        <w:t>השוטרים שהיו בניידת השנייה, יצאו ממנה ואחד מהם צעק לעבר הנאשם והאני "לא לזוז משטרה". בשלב זה, הנאשם, שהבחין בשוטרים, יצא מהרכב ופתח בריצה מהירה לכיוון דרום במטרה לברוח מהם, ובכוונה להפריע לשוטרים כשהם ממלאים את תפקידם כחוק או להכשילם בכך, זאת כשהוא מחזיק ונושא את האקדח, המחסנית והכדורים, בלא רשות על פי דין להחזקתם ונשיאתם. הנאשם ברח לכיוון מגרש החניה שמצדה הדרומי של תחנת הדלק כשמספר שוטרים שהיו במקום רדפו אחריו, ובסוף המגרש, כשהבחין שדרכו חסומה על ידי גדרות, הנאשם השליך את הגרב ובה האקדח, המחסנית והכדורים לכיוון כביש 70, בכוונה להפריע לשוטרים כשהם ממלאים תפקידם כחוק או להכשילם בכך. מיד לאחר האמור, נעצר הנאשם על-ידי השוטרים</w:t>
      </w:r>
    </w:p>
    <w:p w14:paraId="2BC1C431" w14:textId="77777777" w:rsidR="00672FC5" w:rsidRDefault="00672FC5" w:rsidP="00672FC5">
      <w:pPr>
        <w:spacing w:line="360" w:lineRule="auto"/>
        <w:jc w:val="both"/>
        <w:rPr>
          <w:b/>
          <w:bCs/>
          <w:u w:val="single"/>
          <w:rtl/>
        </w:rPr>
      </w:pPr>
    </w:p>
    <w:p w14:paraId="439045F2" w14:textId="77777777" w:rsidR="00672FC5" w:rsidRPr="00CB76B3" w:rsidRDefault="00672FC5" w:rsidP="00672FC5">
      <w:pPr>
        <w:spacing w:line="360" w:lineRule="auto"/>
        <w:jc w:val="both"/>
        <w:rPr>
          <w:rFonts w:ascii="Miriam" w:hAnsi="Miriam" w:cs="Miriam"/>
          <w:b/>
          <w:bCs/>
          <w:u w:val="single"/>
          <w:rtl/>
        </w:rPr>
      </w:pPr>
      <w:r w:rsidRPr="00CB76B3">
        <w:rPr>
          <w:rFonts w:ascii="Miriam" w:hAnsi="Miriam" w:cs="Miriam"/>
          <w:b/>
          <w:bCs/>
          <w:u w:val="single"/>
          <w:rtl/>
        </w:rPr>
        <w:t>הראיות לעונש וטיעוני הצדדים לעונש</w:t>
      </w:r>
    </w:p>
    <w:p w14:paraId="10D82CF5" w14:textId="77777777" w:rsidR="00672FC5" w:rsidRDefault="00672FC5" w:rsidP="00672FC5">
      <w:pPr>
        <w:spacing w:line="360" w:lineRule="auto"/>
        <w:jc w:val="both"/>
        <w:rPr>
          <w:b/>
          <w:bCs/>
          <w:u w:val="single"/>
        </w:rPr>
      </w:pPr>
    </w:p>
    <w:p w14:paraId="504176E3" w14:textId="77777777" w:rsidR="00672FC5" w:rsidRDefault="00672FC5" w:rsidP="00672FC5">
      <w:pPr>
        <w:spacing w:line="360" w:lineRule="auto"/>
        <w:jc w:val="both"/>
        <w:rPr>
          <w:rtl/>
        </w:rPr>
      </w:pPr>
      <w:r>
        <w:rPr>
          <w:rFonts w:hint="cs"/>
          <w:rtl/>
        </w:rPr>
        <w:t>3</w:t>
      </w:r>
      <w:r>
        <w:rPr>
          <w:rtl/>
        </w:rPr>
        <w:t>.</w:t>
      </w:r>
      <w:r>
        <w:rPr>
          <w:rtl/>
        </w:rPr>
        <w:tab/>
        <w:t>המאשימה הגישה</w:t>
      </w:r>
      <w:r>
        <w:rPr>
          <w:rFonts w:hint="cs"/>
          <w:rtl/>
        </w:rPr>
        <w:t>,</w:t>
      </w:r>
      <w:r>
        <w:rPr>
          <w:rtl/>
        </w:rPr>
        <w:t xml:space="preserve"> במסגרת ראיותיה לעונש</w:t>
      </w:r>
      <w:r>
        <w:rPr>
          <w:rFonts w:hint="cs"/>
          <w:rtl/>
        </w:rPr>
        <w:t>,</w:t>
      </w:r>
      <w:r>
        <w:rPr>
          <w:rtl/>
        </w:rPr>
        <w:t xml:space="preserve"> את ג</w:t>
      </w:r>
      <w:r>
        <w:rPr>
          <w:rFonts w:hint="cs"/>
          <w:rtl/>
        </w:rPr>
        <w:t>י</w:t>
      </w:r>
      <w:r>
        <w:rPr>
          <w:rtl/>
        </w:rPr>
        <w:t xml:space="preserve">ליון הרישום הפלילי של הנאשם </w:t>
      </w:r>
      <w:r w:rsidRPr="00CB76B3">
        <w:rPr>
          <w:rFonts w:ascii="Miriam" w:hAnsi="Miriam" w:cs="Miriam"/>
          <w:rtl/>
        </w:rPr>
        <w:t>(ט/1)</w:t>
      </w:r>
      <w:r>
        <w:rPr>
          <w:rtl/>
        </w:rPr>
        <w:t xml:space="preserve"> ממנו עולה כי לחובתו שני רישומים פליליים – </w:t>
      </w:r>
      <w:r>
        <w:rPr>
          <w:rFonts w:hint="cs"/>
          <w:rtl/>
        </w:rPr>
        <w:t>באחד</w:t>
      </w:r>
      <w:r>
        <w:rPr>
          <w:rtl/>
        </w:rPr>
        <w:t xml:space="preserve"> הורשע בעבירות של חבלה במזיד ברכב ואיומים ונדון ל- 8 חודשי מאסר בפועל לצד רכיבי ענישה נלווים</w:t>
      </w:r>
      <w:r>
        <w:rPr>
          <w:rFonts w:hint="cs"/>
          <w:rtl/>
        </w:rPr>
        <w:t xml:space="preserve">, ובשני </w:t>
      </w:r>
      <w:r>
        <w:rPr>
          <w:rtl/>
        </w:rPr>
        <w:t xml:space="preserve"> הושת עליו בבית המשפט לנוער בחיפה עונש שעיקרו צו של"צ, ללא הרשעה בדין, וזאת לאחר שנקבע כי ביצע בארבעה תיקים שונים עבירות רכוש רבות וכן שתי עבירות אלימות ושתי עבירות של הפרת הוראה חוקית. </w:t>
      </w:r>
    </w:p>
    <w:p w14:paraId="7A7AD208" w14:textId="77777777" w:rsidR="00672FC5" w:rsidRDefault="00672FC5" w:rsidP="00672FC5">
      <w:pPr>
        <w:spacing w:line="360" w:lineRule="auto"/>
        <w:jc w:val="both"/>
        <w:rPr>
          <w:rtl/>
        </w:rPr>
      </w:pPr>
    </w:p>
    <w:p w14:paraId="54D86881" w14:textId="77777777" w:rsidR="00672FC5" w:rsidRDefault="00672FC5" w:rsidP="00672FC5">
      <w:pPr>
        <w:spacing w:line="360" w:lineRule="auto"/>
        <w:jc w:val="both"/>
        <w:rPr>
          <w:rtl/>
        </w:rPr>
      </w:pPr>
      <w:r>
        <w:rPr>
          <w:rFonts w:hint="cs"/>
          <w:rtl/>
        </w:rPr>
        <w:t>4</w:t>
      </w:r>
      <w:r>
        <w:rPr>
          <w:rtl/>
        </w:rPr>
        <w:t>.</w:t>
      </w:r>
      <w:r>
        <w:rPr>
          <w:rtl/>
        </w:rPr>
        <w:tab/>
        <w:t>באת</w:t>
      </w:r>
      <w:r>
        <w:rPr>
          <w:rFonts w:hint="cs"/>
          <w:rtl/>
        </w:rPr>
        <w:t>-</w:t>
      </w:r>
      <w:r>
        <w:rPr>
          <w:rtl/>
        </w:rPr>
        <w:t>כ</w:t>
      </w:r>
      <w:r>
        <w:rPr>
          <w:rFonts w:hint="cs"/>
          <w:rtl/>
        </w:rPr>
        <w:t>ו</w:t>
      </w:r>
      <w:r>
        <w:rPr>
          <w:rtl/>
        </w:rPr>
        <w:t xml:space="preserve">ח המאשימה הגישה את טיעוניה לעונש בכתב </w:t>
      </w:r>
      <w:r w:rsidRPr="00CB76B3">
        <w:rPr>
          <w:rFonts w:ascii="Miriam" w:hAnsi="Miriam" w:cs="Miriam"/>
          <w:rtl/>
        </w:rPr>
        <w:t>(ט/3)</w:t>
      </w:r>
      <w:r>
        <w:rPr>
          <w:rtl/>
        </w:rPr>
        <w:t xml:space="preserve"> והוסיפה וטענה בקצרה בעל</w:t>
      </w:r>
      <w:r>
        <w:rPr>
          <w:rFonts w:hint="cs"/>
          <w:rtl/>
        </w:rPr>
        <w:t>-</w:t>
      </w:r>
      <w:r>
        <w:rPr>
          <w:rtl/>
        </w:rPr>
        <w:t>פה בדיון ביום 16/6/21. בטיעוניה לעונש הפנתה המאשימה לעברו הפלילי, כאמור</w:t>
      </w:r>
      <w:r>
        <w:rPr>
          <w:rFonts w:hint="cs"/>
          <w:rtl/>
        </w:rPr>
        <w:t>,</w:t>
      </w:r>
      <w:r>
        <w:rPr>
          <w:rtl/>
        </w:rPr>
        <w:t xml:space="preserve"> של הנאשם</w:t>
      </w:r>
      <w:r>
        <w:rPr>
          <w:rFonts w:hint="cs"/>
          <w:rtl/>
        </w:rPr>
        <w:t>,</w:t>
      </w:r>
      <w:r>
        <w:rPr>
          <w:rtl/>
        </w:rPr>
        <w:t xml:space="preserve"> וכן לעובדות כתב האישום המתוקן כדי להמחיש את חומרת מעשיו של הנאשם</w:t>
      </w:r>
      <w:r>
        <w:rPr>
          <w:rFonts w:hint="cs"/>
          <w:rtl/>
        </w:rPr>
        <w:t xml:space="preserve"> כמו גם לתמונות של האקדח והמחסנית </w:t>
      </w:r>
      <w:r w:rsidRPr="00CB76B3">
        <w:rPr>
          <w:rFonts w:ascii="Miriam" w:hAnsi="Miriam" w:cs="Miriam"/>
          <w:rtl/>
        </w:rPr>
        <w:t>(ט/2).</w:t>
      </w:r>
      <w:r>
        <w:rPr>
          <w:rtl/>
        </w:rPr>
        <w:t xml:space="preserve"> נטען כי בשנים האחרונות מגמת הפסיקה לגבי עבירות בנשק היא של החמרה תוך מתן ביטוי עונשי ההולם את הסכנה הנשקפת מעבירות אלו. עוד הדגישה המאשימה את עבירות האלימות המבוצעות באמצעות נשק</w:t>
      </w:r>
      <w:r>
        <w:rPr>
          <w:rFonts w:hint="cs"/>
          <w:rtl/>
        </w:rPr>
        <w:t>,</w:t>
      </w:r>
      <w:r>
        <w:rPr>
          <w:rtl/>
        </w:rPr>
        <w:t xml:space="preserve"> אשר התרבו לאחרונה, לרבות עבירות הרצח האכזריות, לדבריה</w:t>
      </w:r>
      <w:r>
        <w:rPr>
          <w:rFonts w:hint="cs"/>
          <w:rtl/>
        </w:rPr>
        <w:t xml:space="preserve">, </w:t>
      </w:r>
      <w:r>
        <w:rPr>
          <w:rtl/>
        </w:rPr>
        <w:t xml:space="preserve">הנגזרות באופן ישיר מהחזקת נשק בלתי חוקי על-ידי אנשים שאינם מורשים </w:t>
      </w:r>
      <w:r>
        <w:rPr>
          <w:rtl/>
        </w:rPr>
        <w:lastRenderedPageBreak/>
        <w:t>ועל-ידי גורמים עברייניים. נטען כי עסקינן בעבירות ה</w:t>
      </w:r>
      <w:r>
        <w:rPr>
          <w:rFonts w:hint="cs"/>
          <w:rtl/>
        </w:rPr>
        <w:t>מבוצעות</w:t>
      </w:r>
      <w:r>
        <w:rPr>
          <w:rtl/>
        </w:rPr>
        <w:t xml:space="preserve"> במחשכים תוך תחכום וקושי לחשוף את זהות העוסקים במלאכה</w:t>
      </w:r>
      <w:r>
        <w:rPr>
          <w:rFonts w:hint="cs"/>
          <w:rtl/>
        </w:rPr>
        <w:t xml:space="preserve">, </w:t>
      </w:r>
      <w:r>
        <w:rPr>
          <w:rtl/>
        </w:rPr>
        <w:t xml:space="preserve">ולפיכך יש להשית עונש שישמש גורם מוקיע, מתריע ומרתיע. </w:t>
      </w:r>
    </w:p>
    <w:p w14:paraId="0D2DF069" w14:textId="77777777" w:rsidR="00672FC5" w:rsidRDefault="00672FC5" w:rsidP="00672FC5">
      <w:pPr>
        <w:spacing w:line="360" w:lineRule="auto"/>
        <w:jc w:val="both"/>
        <w:rPr>
          <w:rtl/>
        </w:rPr>
      </w:pPr>
    </w:p>
    <w:p w14:paraId="366CB3ED" w14:textId="77777777" w:rsidR="00672FC5" w:rsidRDefault="00672FC5" w:rsidP="00672FC5">
      <w:pPr>
        <w:spacing w:line="360" w:lineRule="auto"/>
        <w:jc w:val="both"/>
        <w:rPr>
          <w:rtl/>
        </w:rPr>
      </w:pPr>
      <w:r>
        <w:rPr>
          <w:rFonts w:hint="cs"/>
          <w:rtl/>
        </w:rPr>
        <w:t>5</w:t>
      </w:r>
      <w:r>
        <w:rPr>
          <w:rtl/>
        </w:rPr>
        <w:t>.</w:t>
      </w:r>
      <w:r>
        <w:rPr>
          <w:rtl/>
        </w:rPr>
        <w:tab/>
        <w:t>המאשימה טוענת לערכים החברתיים הבאים</w:t>
      </w:r>
      <w:r>
        <w:rPr>
          <w:rFonts w:hint="cs"/>
          <w:rtl/>
        </w:rPr>
        <w:t xml:space="preserve"> </w:t>
      </w:r>
      <w:r>
        <w:rPr>
          <w:rtl/>
        </w:rPr>
        <w:t>שנפגעו כתוצאה מביצוע העבירה – שלום הציבור, בטחונו האישי, בריאותו ושלמות גופו וכן בטחון המדינה. נטען כי הנאשם תכנן את מעשיו וכי חלקו בביצוע העבירה מלא ומוחלט. עוד נטען כי הנאשם פעל באופן אקטיבי על מנת לברוח מהשוטרים והשליך את האקדח בזמן מנוסתו. לענ</w:t>
      </w:r>
      <w:r>
        <w:rPr>
          <w:rFonts w:hint="cs"/>
          <w:rtl/>
        </w:rPr>
        <w:t>י</w:t>
      </w:r>
      <w:r>
        <w:rPr>
          <w:rtl/>
        </w:rPr>
        <w:t xml:space="preserve">ין הנזק הצפוי מביצוע עבירות בנשק, נטען כי הנאשם הוביל ונשא את האקדח ביודעו מה המסוכנות הנשקפת ממנו. </w:t>
      </w:r>
    </w:p>
    <w:p w14:paraId="033F6564" w14:textId="77777777" w:rsidR="00672FC5" w:rsidRDefault="00672FC5" w:rsidP="00672FC5">
      <w:pPr>
        <w:spacing w:line="360" w:lineRule="auto"/>
        <w:jc w:val="both"/>
        <w:rPr>
          <w:rtl/>
        </w:rPr>
      </w:pPr>
    </w:p>
    <w:p w14:paraId="32215C16" w14:textId="77777777" w:rsidR="00672FC5" w:rsidRDefault="00672FC5" w:rsidP="00672FC5">
      <w:pPr>
        <w:spacing w:line="360" w:lineRule="auto"/>
        <w:jc w:val="both"/>
        <w:rPr>
          <w:rtl/>
        </w:rPr>
      </w:pPr>
      <w:r>
        <w:rPr>
          <w:rFonts w:hint="cs"/>
          <w:rtl/>
        </w:rPr>
        <w:t>6</w:t>
      </w:r>
      <w:r>
        <w:rPr>
          <w:rtl/>
        </w:rPr>
        <w:t>.</w:t>
      </w:r>
      <w:r>
        <w:rPr>
          <w:rtl/>
        </w:rPr>
        <w:tab/>
        <w:t xml:space="preserve">המאשימה סקרה בטיעוניה הכתובים פסיקה להמחשת עמדתה לעונש (ראו גם את אסופת הפסיקה </w:t>
      </w:r>
      <w:r w:rsidRPr="00FB4926">
        <w:rPr>
          <w:rFonts w:ascii="Miriam" w:hAnsi="Miriam" w:cs="Miriam"/>
          <w:rtl/>
        </w:rPr>
        <w:t>ט/4)</w:t>
      </w:r>
      <w:r>
        <w:rPr>
          <w:rtl/>
        </w:rPr>
        <w:t>, ובסופו של דבר טענה למתחם עונש הולם הנע בין שנתיים לארבע שנות מאסר בפועל לצד רכיבי ענישה של מאסר על תנאי ארוך ומרתיע וקנס כספי. בהינתן הודאת הנאשם והח</w:t>
      </w:r>
      <w:r>
        <w:rPr>
          <w:rFonts w:hint="cs"/>
          <w:rtl/>
        </w:rPr>
        <w:t>י</w:t>
      </w:r>
      <w:r>
        <w:rPr>
          <w:rtl/>
        </w:rPr>
        <w:t>סכון בזמן השיפוטי אל מול עברו הפלילי והעדר אפיק שיקומי, מבקשת המאשימה למקם א</w:t>
      </w:r>
      <w:r>
        <w:rPr>
          <w:rFonts w:hint="cs"/>
          <w:rtl/>
        </w:rPr>
        <w:t>ת</w:t>
      </w:r>
      <w:r>
        <w:rPr>
          <w:rtl/>
        </w:rPr>
        <w:t xml:space="preserve"> עונשו של הנאשם באמצע המתחם הנ"ל. </w:t>
      </w:r>
    </w:p>
    <w:p w14:paraId="44D678A8" w14:textId="77777777" w:rsidR="00672FC5" w:rsidRDefault="00672FC5" w:rsidP="00672FC5">
      <w:pPr>
        <w:spacing w:line="360" w:lineRule="auto"/>
        <w:jc w:val="both"/>
        <w:rPr>
          <w:rtl/>
        </w:rPr>
      </w:pPr>
    </w:p>
    <w:p w14:paraId="72DFAC81" w14:textId="77777777" w:rsidR="00672FC5" w:rsidRDefault="00672FC5" w:rsidP="00672FC5">
      <w:pPr>
        <w:spacing w:line="360" w:lineRule="auto"/>
        <w:jc w:val="both"/>
        <w:rPr>
          <w:rtl/>
        </w:rPr>
      </w:pPr>
      <w:r>
        <w:rPr>
          <w:rFonts w:hint="cs"/>
          <w:rtl/>
        </w:rPr>
        <w:t>7</w:t>
      </w:r>
      <w:r>
        <w:rPr>
          <w:rtl/>
        </w:rPr>
        <w:t>.</w:t>
      </w:r>
      <w:r>
        <w:rPr>
          <w:rtl/>
        </w:rPr>
        <w:tab/>
      </w:r>
      <w:r>
        <w:rPr>
          <w:rFonts w:hint="cs"/>
          <w:rtl/>
        </w:rPr>
        <w:t xml:space="preserve">הסנגור </w:t>
      </w:r>
      <w:r>
        <w:rPr>
          <w:rtl/>
        </w:rPr>
        <w:t xml:space="preserve"> טען לעונש בעל</w:t>
      </w:r>
      <w:r>
        <w:rPr>
          <w:rFonts w:hint="cs"/>
          <w:rtl/>
        </w:rPr>
        <w:t>-</w:t>
      </w:r>
      <w:r>
        <w:rPr>
          <w:rtl/>
        </w:rPr>
        <w:t xml:space="preserve"> פה בדיון ביום 16/6/21 ותוך כך ציין כי הנאשם היה </w:t>
      </w:r>
      <w:r>
        <w:rPr>
          <w:rFonts w:hint="cs"/>
          <w:rtl/>
        </w:rPr>
        <w:t xml:space="preserve">אך </w:t>
      </w:r>
      <w:r>
        <w:rPr>
          <w:rtl/>
        </w:rPr>
        <w:t>בן 21 בזמן ביצוע העבירה. עוד טען הסניגור כי נוכח האמור בדו"ח ועדת דורנר על בית המשפט לפעול באופן זהיר ב</w:t>
      </w:r>
      <w:r>
        <w:rPr>
          <w:rFonts w:hint="cs"/>
          <w:rtl/>
        </w:rPr>
        <w:t xml:space="preserve">הפעילו את </w:t>
      </w:r>
      <w:r>
        <w:rPr>
          <w:rtl/>
        </w:rPr>
        <w:t>שיקול ההרתעה</w:t>
      </w:r>
      <w:r>
        <w:rPr>
          <w:rFonts w:hint="cs"/>
          <w:rtl/>
        </w:rPr>
        <w:t xml:space="preserve"> ולתת לשיקול זה משקל נמוך</w:t>
      </w:r>
      <w:r>
        <w:rPr>
          <w:rtl/>
        </w:rPr>
        <w:t xml:space="preserve">. הסניגור ציין כי יש לתת את הדעת, מעבר לגילו הצעיר של הנאשם, גם לכך שבעברו אך שני רישומים פליליים קודמים בעבירות שאינן ברף חומרה גבוה. </w:t>
      </w:r>
    </w:p>
    <w:p w14:paraId="09E9CB26" w14:textId="77777777" w:rsidR="00672FC5" w:rsidRDefault="00672FC5" w:rsidP="00672FC5">
      <w:pPr>
        <w:spacing w:line="360" w:lineRule="auto"/>
        <w:jc w:val="both"/>
        <w:rPr>
          <w:rtl/>
        </w:rPr>
      </w:pPr>
    </w:p>
    <w:p w14:paraId="69233510" w14:textId="77777777" w:rsidR="00672FC5" w:rsidRDefault="00672FC5" w:rsidP="00672FC5">
      <w:pPr>
        <w:spacing w:line="360" w:lineRule="auto"/>
        <w:jc w:val="both"/>
        <w:rPr>
          <w:rtl/>
        </w:rPr>
      </w:pPr>
      <w:r>
        <w:rPr>
          <w:rFonts w:hint="cs"/>
          <w:rtl/>
        </w:rPr>
        <w:t>8</w:t>
      </w:r>
      <w:r>
        <w:rPr>
          <w:rtl/>
        </w:rPr>
        <w:t>.</w:t>
      </w:r>
      <w:r>
        <w:rPr>
          <w:rtl/>
        </w:rPr>
        <w:tab/>
        <w:t xml:space="preserve">הסניגור ביקש לאבחן בין המקרה שבפנינו לבין מקרים אחרים העולים מפסיקת המאשימה, וזאת נוכח העובדה שבמקרה דנן עסקינן, לשיטתו, בנסיבות פחות חמורות ובנשק מסוג אקדח ולא בנשק מסוכן יותר </w:t>
      </w:r>
      <w:r>
        <w:rPr>
          <w:rFonts w:hint="cs"/>
          <w:rtl/>
        </w:rPr>
        <w:t xml:space="preserve">כדוגמת </w:t>
      </w:r>
      <w:r>
        <w:rPr>
          <w:rtl/>
        </w:rPr>
        <w:t xml:space="preserve"> תת מקלע אוטומטי. לשיטת ההגנה , מתחם העונש ההולם בתיק זה נע בין עונש של 12 עד 36 חודשי מאסר בפועל. </w:t>
      </w:r>
    </w:p>
    <w:p w14:paraId="06B792DD" w14:textId="77777777" w:rsidR="00672FC5" w:rsidRDefault="00672FC5" w:rsidP="00672FC5">
      <w:pPr>
        <w:spacing w:line="360" w:lineRule="auto"/>
        <w:jc w:val="both"/>
        <w:rPr>
          <w:rtl/>
        </w:rPr>
      </w:pPr>
    </w:p>
    <w:p w14:paraId="4B89D8EA" w14:textId="77777777" w:rsidR="00672FC5" w:rsidRDefault="00672FC5" w:rsidP="00672FC5">
      <w:pPr>
        <w:spacing w:line="360" w:lineRule="auto"/>
        <w:jc w:val="both"/>
        <w:rPr>
          <w:rtl/>
        </w:rPr>
      </w:pPr>
      <w:r>
        <w:rPr>
          <w:rFonts w:hint="cs"/>
          <w:rtl/>
        </w:rPr>
        <w:t>9.</w:t>
      </w:r>
      <w:r>
        <w:rPr>
          <w:rFonts w:hint="cs"/>
          <w:rtl/>
        </w:rPr>
        <w:tab/>
      </w:r>
      <w:r>
        <w:rPr>
          <w:rtl/>
        </w:rPr>
        <w:t>הסניגור ציין, ברוב הגינות כי נוכח עברו הפלילי של הנאשם אין ההגנה עותרת להשתת עונש בתחתית מתחם העונש ההולם. אולם, בהינתן הודאת הנאשם שחסכה זמן שיפוטי וזמן יקר לצדדים, מן הראוי, לדעתו, למקם את עונשו של הנאשם מעט מעל לשליש התחתון של מתחם העונש ההולם לו עותרת ההגנה, באופן שי</w:t>
      </w:r>
      <w:r>
        <w:rPr>
          <w:rFonts w:hint="cs"/>
          <w:rtl/>
        </w:rPr>
        <w:t>ושת</w:t>
      </w:r>
      <w:r>
        <w:rPr>
          <w:rtl/>
        </w:rPr>
        <w:t xml:space="preserve"> עונש שינוע בין 15 עד 16 חודשי מאסר בפועל, וזאת תוך מתן הדעת </w:t>
      </w:r>
      <w:r>
        <w:rPr>
          <w:rFonts w:hint="cs"/>
          <w:rtl/>
        </w:rPr>
        <w:t xml:space="preserve">גם </w:t>
      </w:r>
      <w:r>
        <w:rPr>
          <w:rtl/>
        </w:rPr>
        <w:t>לנסיבותיו האישיות הקשות של הנאשם שגדל  במצב סוציו</w:t>
      </w:r>
      <w:r>
        <w:rPr>
          <w:rFonts w:hint="cs"/>
          <w:rtl/>
        </w:rPr>
        <w:t>-</w:t>
      </w:r>
      <w:r>
        <w:rPr>
          <w:rtl/>
        </w:rPr>
        <w:t xml:space="preserve">אקונומי קשה ושימש כאב לאחיו הקטנים. </w:t>
      </w:r>
    </w:p>
    <w:p w14:paraId="02535E6E" w14:textId="77777777" w:rsidR="00672FC5" w:rsidRDefault="00672FC5" w:rsidP="00672FC5">
      <w:pPr>
        <w:spacing w:line="360" w:lineRule="auto"/>
        <w:jc w:val="both"/>
        <w:rPr>
          <w:rtl/>
        </w:rPr>
      </w:pPr>
      <w:r>
        <w:rPr>
          <w:rtl/>
        </w:rPr>
        <w:t xml:space="preserve">ההגנה הותירה את </w:t>
      </w:r>
      <w:r>
        <w:rPr>
          <w:rFonts w:hint="cs"/>
          <w:rtl/>
        </w:rPr>
        <w:t xml:space="preserve">רכיב </w:t>
      </w:r>
      <w:r>
        <w:rPr>
          <w:rtl/>
        </w:rPr>
        <w:t xml:space="preserve"> </w:t>
      </w:r>
      <w:r>
        <w:rPr>
          <w:rFonts w:hint="cs"/>
          <w:rtl/>
        </w:rPr>
        <w:t>ה</w:t>
      </w:r>
      <w:r>
        <w:rPr>
          <w:rtl/>
        </w:rPr>
        <w:t xml:space="preserve">קנס לשיקול דעת בית המשפט, אך בד בבד ביקשה להתחשב במצבו הכספי הקשה של הנאשם. </w:t>
      </w:r>
    </w:p>
    <w:p w14:paraId="535A5822" w14:textId="77777777" w:rsidR="00672FC5" w:rsidRDefault="00672FC5" w:rsidP="00672FC5">
      <w:pPr>
        <w:spacing w:line="360" w:lineRule="auto"/>
        <w:jc w:val="both"/>
        <w:rPr>
          <w:rtl/>
        </w:rPr>
      </w:pPr>
    </w:p>
    <w:p w14:paraId="4BF3F6B5" w14:textId="77777777" w:rsidR="00672FC5" w:rsidRDefault="00672FC5" w:rsidP="00672FC5">
      <w:pPr>
        <w:spacing w:line="360" w:lineRule="auto"/>
        <w:jc w:val="both"/>
        <w:rPr>
          <w:rtl/>
        </w:rPr>
      </w:pPr>
      <w:r>
        <w:rPr>
          <w:rFonts w:hint="cs"/>
          <w:rtl/>
        </w:rPr>
        <w:t>10</w:t>
      </w:r>
      <w:r>
        <w:rPr>
          <w:rtl/>
        </w:rPr>
        <w:t>.</w:t>
      </w:r>
      <w:r>
        <w:rPr>
          <w:rtl/>
        </w:rPr>
        <w:tab/>
        <w:t>הנאשם</w:t>
      </w:r>
      <w:r>
        <w:rPr>
          <w:rFonts w:hint="cs"/>
          <w:rtl/>
        </w:rPr>
        <w:t>,</w:t>
      </w:r>
      <w:r>
        <w:rPr>
          <w:rtl/>
        </w:rPr>
        <w:t xml:space="preserve"> בדברו בפני בית המשפט</w:t>
      </w:r>
      <w:r>
        <w:rPr>
          <w:rFonts w:hint="cs"/>
          <w:rtl/>
        </w:rPr>
        <w:t>,</w:t>
      </w:r>
      <w:r>
        <w:rPr>
          <w:rtl/>
        </w:rPr>
        <w:t xml:space="preserve"> אמר כי הוא מתחרט על מעשיו, כי לא יחזור עליהם וכי הוא מתכנן לחיות חיים נורמטיביים. </w:t>
      </w:r>
    </w:p>
    <w:p w14:paraId="694C4CE0" w14:textId="77777777" w:rsidR="00672FC5" w:rsidRDefault="00672FC5" w:rsidP="00672FC5">
      <w:pPr>
        <w:spacing w:line="360" w:lineRule="auto"/>
        <w:jc w:val="both"/>
        <w:rPr>
          <w:rtl/>
        </w:rPr>
      </w:pPr>
    </w:p>
    <w:p w14:paraId="2F2E2663" w14:textId="77777777" w:rsidR="00672FC5" w:rsidRPr="00F91565" w:rsidRDefault="00672FC5" w:rsidP="00672FC5">
      <w:pPr>
        <w:spacing w:line="360" w:lineRule="auto"/>
        <w:jc w:val="both"/>
        <w:rPr>
          <w:rFonts w:ascii="Miriam" w:hAnsi="Miriam" w:cs="Miriam"/>
          <w:rtl/>
        </w:rPr>
      </w:pPr>
      <w:r w:rsidRPr="00F91565">
        <w:rPr>
          <w:rFonts w:ascii="Miriam" w:hAnsi="Miriam" w:cs="Miriam"/>
          <w:b/>
          <w:bCs/>
          <w:u w:val="single"/>
          <w:rtl/>
        </w:rPr>
        <w:t>דיון והכרעה</w:t>
      </w:r>
    </w:p>
    <w:p w14:paraId="188364DB" w14:textId="77777777" w:rsidR="00672FC5" w:rsidRDefault="00672FC5" w:rsidP="00672FC5">
      <w:pPr>
        <w:spacing w:line="360" w:lineRule="auto"/>
        <w:jc w:val="both"/>
        <w:rPr>
          <w:rtl/>
        </w:rPr>
      </w:pPr>
    </w:p>
    <w:p w14:paraId="03C0E494" w14:textId="77777777" w:rsidR="00672FC5" w:rsidRDefault="00672FC5" w:rsidP="00672FC5">
      <w:pPr>
        <w:spacing w:line="360" w:lineRule="auto"/>
        <w:jc w:val="both"/>
        <w:rPr>
          <w:rtl/>
        </w:rPr>
      </w:pPr>
      <w:r>
        <w:rPr>
          <w:rFonts w:hint="cs"/>
          <w:rtl/>
        </w:rPr>
        <w:t>11</w:t>
      </w:r>
      <w:r>
        <w:rPr>
          <w:rtl/>
        </w:rPr>
        <w:t>.</w:t>
      </w:r>
      <w:r>
        <w:rPr>
          <w:rtl/>
        </w:rPr>
        <w:tab/>
        <w:t xml:space="preserve">תיקון 113 </w:t>
      </w:r>
      <w:r>
        <w:rPr>
          <w:rFonts w:hint="cs"/>
          <w:rtl/>
        </w:rPr>
        <w:t>ל</w:t>
      </w:r>
      <w:hyperlink r:id="rId15" w:history="1">
        <w:r w:rsidR="00300F58" w:rsidRPr="00300F58">
          <w:rPr>
            <w:color w:val="0000FF"/>
            <w:u w:val="single"/>
            <w:rtl/>
          </w:rPr>
          <w:t>חוק העונשין</w:t>
        </w:r>
      </w:hyperlink>
      <w:r>
        <w:rPr>
          <w:rFonts w:hint="cs"/>
          <w:rtl/>
        </w:rPr>
        <w:t xml:space="preserve"> </w:t>
      </w:r>
      <w:r>
        <w:rPr>
          <w:rtl/>
        </w:rPr>
        <w:t xml:space="preserve">מתווה את העיקרון המנחה כיום את ביהמ"ש בבואו לגזור דינו של נאשם, שהינו, לפי </w:t>
      </w:r>
      <w:hyperlink r:id="rId16" w:history="1">
        <w:r w:rsidR="00B10EE4" w:rsidRPr="00B10EE4">
          <w:rPr>
            <w:rStyle w:val="Hyperlink"/>
            <w:rtl/>
          </w:rPr>
          <w:t>סעיף 40ב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17" w:history="1">
        <w:r w:rsidR="00300F58" w:rsidRPr="00300F58">
          <w:rPr>
            <w:color w:val="0000FF"/>
            <w:u w:val="single"/>
            <w:rtl/>
          </w:rPr>
          <w:t>ע"פ 1523/10</w:t>
        </w:r>
      </w:hyperlink>
      <w:r>
        <w:rPr>
          <w:rtl/>
        </w:rPr>
        <w:t xml:space="preserve"> </w:t>
      </w:r>
      <w:r>
        <w:rPr>
          <w:rFonts w:ascii="Miriam" w:hAnsi="Miriam" w:cs="Miriam"/>
          <w:sz w:val="22"/>
          <w:szCs w:val="22"/>
          <w:rtl/>
        </w:rPr>
        <w:t>פלוני נ' מדינת ישראל</w:t>
      </w:r>
      <w:r>
        <w:rPr>
          <w:rtl/>
        </w:rPr>
        <w:t xml:space="preserve">, 18/4/12). </w:t>
      </w:r>
      <w:hyperlink r:id="rId18" w:history="1">
        <w:r w:rsidR="00B10EE4" w:rsidRPr="00B10EE4">
          <w:rPr>
            <w:rStyle w:val="Hyperlink"/>
            <w:rtl/>
          </w:rPr>
          <w:t>סעיף 40ג</w:t>
        </w:r>
      </w:hyperlink>
      <w:r>
        <w:rPr>
          <w:rtl/>
        </w:rPr>
        <w:t xml:space="preserve"> ל</w:t>
      </w:r>
      <w:hyperlink r:id="rId19" w:history="1">
        <w:r w:rsidR="00300F58" w:rsidRPr="00300F58">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0" w:history="1">
        <w:r w:rsidR="00B10EE4" w:rsidRPr="00B10EE4">
          <w:rPr>
            <w:rStyle w:val="Hyperlink"/>
            <w:rtl/>
          </w:rPr>
          <w:t>בסעיף 40ט</w:t>
        </w:r>
      </w:hyperlink>
      <w:r>
        <w:rPr>
          <w:rtl/>
        </w:rPr>
        <w:t xml:space="preserve"> ל</w:t>
      </w:r>
      <w:hyperlink r:id="rId21" w:history="1">
        <w:r w:rsidR="00300F58" w:rsidRPr="00300F58">
          <w:rPr>
            <w:color w:val="0000FF"/>
            <w:u w:val="single"/>
            <w:rtl/>
          </w:rPr>
          <w:t>חוק העונשין</w:t>
        </w:r>
      </w:hyperlink>
      <w:r>
        <w:rPr>
          <w:rtl/>
        </w:rPr>
        <w:t>.</w:t>
      </w:r>
    </w:p>
    <w:p w14:paraId="1A0DAC07" w14:textId="77777777" w:rsidR="00672FC5" w:rsidRDefault="00672FC5" w:rsidP="00672FC5">
      <w:pPr>
        <w:spacing w:line="360" w:lineRule="auto"/>
        <w:jc w:val="both"/>
        <w:rPr>
          <w:rtl/>
        </w:rPr>
      </w:pPr>
    </w:p>
    <w:p w14:paraId="198D4D1B" w14:textId="77777777" w:rsidR="00672FC5" w:rsidRDefault="00672FC5" w:rsidP="00672FC5">
      <w:pPr>
        <w:spacing w:line="360" w:lineRule="auto"/>
        <w:jc w:val="both"/>
        <w:rPr>
          <w:rFonts w:ascii="David" w:hAnsi="David"/>
        </w:rPr>
      </w:pPr>
      <w:r>
        <w:rPr>
          <w:rFonts w:hint="cs"/>
          <w:rtl/>
        </w:rPr>
        <w:t>12.</w:t>
      </w:r>
      <w:r>
        <w:rPr>
          <w:rFonts w:hint="cs"/>
          <w:rtl/>
        </w:rPr>
        <w:tab/>
      </w:r>
      <w:r>
        <w:rPr>
          <w:rtl/>
        </w:rPr>
        <w:t>הער</w:t>
      </w:r>
      <w:r>
        <w:rPr>
          <w:rFonts w:hint="cs"/>
          <w:rtl/>
        </w:rPr>
        <w:t>כים</w:t>
      </w:r>
      <w:r>
        <w:rPr>
          <w:rtl/>
        </w:rPr>
        <w:t xml:space="preserve"> המוג</w:t>
      </w:r>
      <w:r>
        <w:rPr>
          <w:rFonts w:hint="cs"/>
          <w:rtl/>
        </w:rPr>
        <w:t xml:space="preserve">נים </w:t>
      </w:r>
      <w:r>
        <w:rPr>
          <w:rtl/>
        </w:rPr>
        <w:t>הנפגע</w:t>
      </w:r>
      <w:r>
        <w:rPr>
          <w:rFonts w:hint="cs"/>
          <w:rtl/>
        </w:rPr>
        <w:t>ים</w:t>
      </w:r>
      <w:r>
        <w:rPr>
          <w:rtl/>
        </w:rPr>
        <w:t xml:space="preserve"> כתוצאה מביצוע העבירה של נשיאת נשק </w:t>
      </w:r>
      <w:r>
        <w:rPr>
          <w:rFonts w:hint="cs"/>
          <w:rtl/>
        </w:rPr>
        <w:t xml:space="preserve">והובלתו </w:t>
      </w:r>
      <w:r>
        <w:rPr>
          <w:rtl/>
        </w:rPr>
        <w:t>שלא כדין ה</w:t>
      </w:r>
      <w:r>
        <w:rPr>
          <w:rFonts w:hint="cs"/>
          <w:rtl/>
        </w:rPr>
        <w:t>ם</w:t>
      </w:r>
      <w:r>
        <w:rPr>
          <w:rtl/>
        </w:rPr>
        <w:t xml:space="preserve"> שלום הציבור ובטחונו</w:t>
      </w:r>
      <w:r>
        <w:rPr>
          <w:rFonts w:hint="cs"/>
          <w:rtl/>
        </w:rPr>
        <w:t xml:space="preserve"> ואף בטחון המדינה הניזוק כתוצאה מהיקפם הגדול של כלי הנשק הלא חוקיים המוחזקים במדינה. </w:t>
      </w:r>
      <w:r>
        <w:rPr>
          <w:rtl/>
        </w:rPr>
        <w:t>"</w:t>
      </w:r>
      <w:r>
        <w:rPr>
          <w:rFonts w:ascii="Miriam" w:hAnsi="Miriam" w:cs="Miriam"/>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Pr>
          <w:rtl/>
        </w:rPr>
        <w:t>" (</w:t>
      </w:r>
      <w:hyperlink r:id="rId22" w:history="1">
        <w:r w:rsidR="00300F58" w:rsidRPr="00300F58">
          <w:rPr>
            <w:color w:val="0000FF"/>
            <w:u w:val="single"/>
            <w:rtl/>
          </w:rPr>
          <w:t>ע"פ 7502/12</w:t>
        </w:r>
      </w:hyperlink>
      <w:r>
        <w:rPr>
          <w:rtl/>
        </w:rPr>
        <w:t xml:space="preserve"> ‏</w:t>
      </w:r>
      <w:r>
        <w:rPr>
          <w:rFonts w:ascii="Miriam" w:hAnsi="Miriam" w:cs="Miriam"/>
          <w:rtl/>
        </w:rPr>
        <w:t>כוויס נ' מדינת ישראל</w:t>
      </w:r>
      <w:r>
        <w:rPr>
          <w:rFonts w:ascii="Miriam" w:hAnsi="Miriam" w:cs="Miriam"/>
          <w:sz w:val="22"/>
          <w:szCs w:val="22"/>
          <w:rtl/>
        </w:rPr>
        <w:t xml:space="preserve"> </w:t>
      </w:r>
      <w:r>
        <w:rPr>
          <w:rtl/>
        </w:rPr>
        <w:t>(25.6.2013)). דבריה הבאים של כב' השופטת ארבל שנאמרו ב</w:t>
      </w:r>
      <w:hyperlink r:id="rId23" w:history="1">
        <w:r w:rsidR="00300F58" w:rsidRPr="00300F58">
          <w:rPr>
            <w:color w:val="0000FF"/>
            <w:u w:val="single"/>
            <w:rtl/>
          </w:rPr>
          <w:t>ע"פ 4945/13</w:t>
        </w:r>
      </w:hyperlink>
      <w:r>
        <w:rPr>
          <w:rtl/>
        </w:rPr>
        <w:t xml:space="preserve"> </w:t>
      </w:r>
      <w:r>
        <w:rPr>
          <w:rFonts w:ascii="Miriam" w:hAnsi="Miriam" w:cs="Miriam"/>
          <w:rtl/>
        </w:rPr>
        <w:t>מדינת ישראל נ' עבד אלכרים סלימאן</w:t>
      </w:r>
      <w:r>
        <w:rPr>
          <w:sz w:val="22"/>
          <w:szCs w:val="22"/>
          <w:rtl/>
        </w:rPr>
        <w:t xml:space="preserve"> </w:t>
      </w:r>
      <w:r>
        <w:rPr>
          <w:rtl/>
        </w:rPr>
        <w:t xml:space="preserve">(19.01.14) (להלן: </w:t>
      </w:r>
      <w:r>
        <w:rPr>
          <w:rFonts w:ascii="Miriam" w:hAnsi="Miriam" w:cs="Miriam"/>
          <w:rtl/>
        </w:rPr>
        <w:t>עניין סלימאן</w:t>
      </w:r>
      <w:r>
        <w:rPr>
          <w:rtl/>
        </w:rPr>
        <w:t xml:space="preserve">) ממחישים </w:t>
      </w:r>
      <w:r>
        <w:rPr>
          <w:rFonts w:hint="cs"/>
          <w:rtl/>
        </w:rPr>
        <w:t xml:space="preserve">אף הם </w:t>
      </w:r>
      <w:r>
        <w:rPr>
          <w:rtl/>
        </w:rPr>
        <w:t xml:space="preserve">את המסוכנות הפוטנציאלית הטמונה בעבירות </w:t>
      </w:r>
      <w:r>
        <w:rPr>
          <w:rFonts w:hint="cs"/>
          <w:rtl/>
        </w:rPr>
        <w:t>ב</w:t>
      </w:r>
      <w:r>
        <w:rPr>
          <w:rtl/>
        </w:rPr>
        <w:t xml:space="preserve">נשק לשלום הציבור ובטחונו: </w:t>
      </w:r>
      <w:r>
        <w:rPr>
          <w:rFonts w:ascii="Miriam" w:hAnsi="Miriam" w:cs="Miriam"/>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w:t>
      </w:r>
    </w:p>
    <w:p w14:paraId="5CD3C000" w14:textId="77777777" w:rsidR="00672FC5" w:rsidRDefault="00672FC5" w:rsidP="00672FC5">
      <w:pPr>
        <w:spacing w:line="360" w:lineRule="auto"/>
        <w:jc w:val="both"/>
        <w:rPr>
          <w:rtl/>
        </w:rPr>
      </w:pPr>
    </w:p>
    <w:p w14:paraId="4279ACDF" w14:textId="77777777" w:rsidR="00672FC5" w:rsidRPr="00C420BE" w:rsidRDefault="00672FC5" w:rsidP="00672FC5">
      <w:pPr>
        <w:spacing w:line="360" w:lineRule="auto"/>
        <w:jc w:val="both"/>
        <w:rPr>
          <w:rFonts w:ascii="Miriam" w:hAnsi="Miriam" w:cs="Miriam"/>
          <w:color w:val="000000"/>
          <w:spacing w:val="10"/>
          <w:rtl/>
        </w:rPr>
      </w:pPr>
      <w:r>
        <w:rPr>
          <w:rFonts w:hint="cs"/>
          <w:rtl/>
        </w:rPr>
        <w:t>13</w:t>
      </w:r>
      <w:r>
        <w:rPr>
          <w:rtl/>
        </w:rPr>
        <w:t>.</w:t>
      </w:r>
      <w:r>
        <w:rPr>
          <w:rtl/>
        </w:rPr>
        <w:tab/>
        <w:t>במסגרת הנסיבות הקשורות בביצוע העבירה, יש לציין לחובת הנאשם את העובדה שנשא והוביל נשק מסוג אקדח כשהוא טעון במחסנית עם 12 כדורים תואמים, דבר הממחיש את המסוכנות הטמונה בעבירה שבפנינו. אין צורך להכביר במילים באשר להיות עבירות הנשק למיניהן משום תופעה נפוצה שהפכה זה מכבר למכת מדינה. אי לכך נקבע בשורה ארוכה של פסקי דין על-ידי בית המשפט העליון כי מן הראוי להחמיר בענישת מי שהורשע בעבירות בנשק כגון זו שבפנינו וזאת למען הרתעת הפרט והרבים.</w:t>
      </w:r>
      <w:r>
        <w:rPr>
          <w:rFonts w:hint="cs"/>
          <w:rtl/>
        </w:rPr>
        <w:t xml:space="preserve"> כאן</w:t>
      </w:r>
      <w:r>
        <w:rPr>
          <w:rtl/>
        </w:rPr>
        <w:t xml:space="preserve"> יפים דבריו הבאים של כב' השופט </w:t>
      </w:r>
      <w:r>
        <w:rPr>
          <w:rFonts w:ascii="David" w:hAnsi="David"/>
          <w:color w:val="000000"/>
          <w:rtl/>
        </w:rPr>
        <w:t xml:space="preserve">א' </w:t>
      </w:r>
      <w:r w:rsidRPr="00C420BE">
        <w:rPr>
          <w:rFonts w:ascii="David" w:hAnsi="David"/>
          <w:rtl/>
        </w:rPr>
        <w:t>רובינשטיין</w:t>
      </w:r>
      <w:r w:rsidR="00300F58">
        <w:rPr>
          <w:rFonts w:ascii="David" w:hAnsi="David"/>
          <w:spacing w:val="10"/>
          <w:rtl/>
        </w:rPr>
        <w:t xml:space="preserve"> </w:t>
      </w:r>
      <w:r w:rsidRPr="00C420BE">
        <w:rPr>
          <w:rFonts w:ascii="David" w:hAnsi="David"/>
          <w:spacing w:val="10"/>
          <w:rtl/>
        </w:rPr>
        <w:t xml:space="preserve">(כתוארו אז) </w:t>
      </w:r>
      <w:r>
        <w:rPr>
          <w:rFonts w:ascii="David" w:hAnsi="David" w:hint="cs"/>
          <w:spacing w:val="10"/>
          <w:rtl/>
        </w:rPr>
        <w:t xml:space="preserve">שנאמרו זה מכבר </w:t>
      </w:r>
      <w:r w:rsidRPr="00C420BE">
        <w:rPr>
          <w:rFonts w:ascii="David" w:hAnsi="David"/>
          <w:spacing w:val="10"/>
          <w:rtl/>
        </w:rPr>
        <w:t>ב-</w:t>
      </w:r>
      <w:hyperlink r:id="rId24" w:history="1">
        <w:r w:rsidR="00300F58" w:rsidRPr="00300F58">
          <w:rPr>
            <w:rFonts w:ascii="David" w:hAnsi="David"/>
            <w:color w:val="0000FF"/>
            <w:spacing w:val="10"/>
            <w:u w:val="single"/>
            <w:rtl/>
          </w:rPr>
          <w:t>ע"פ 5220/09</w:t>
        </w:r>
      </w:hyperlink>
      <w:r w:rsidR="00300F58">
        <w:rPr>
          <w:rFonts w:ascii="David" w:hAnsi="David"/>
          <w:spacing w:val="10"/>
          <w:rtl/>
        </w:rPr>
        <w:t xml:space="preserve"> </w:t>
      </w:r>
      <w:r w:rsidRPr="00C420BE">
        <w:rPr>
          <w:rFonts w:ascii="Miriam" w:hAnsi="Miriam" w:cs="Miriam"/>
          <w:rtl/>
        </w:rPr>
        <w:t>עוואודה נ' מדינת ישראל</w:t>
      </w:r>
      <w:r w:rsidRPr="00C420BE">
        <w:rPr>
          <w:rFonts w:ascii="David" w:hAnsi="David"/>
          <w:spacing w:val="10"/>
          <w:rtl/>
        </w:rPr>
        <w:t xml:space="preserve"> (30.12.2009):</w:t>
      </w:r>
      <w:r w:rsidRPr="00C420BE">
        <w:rPr>
          <w:rFonts w:ascii="Miriam" w:hAnsi="Miriam" w:cs="Miriam"/>
          <w:color w:val="000000"/>
          <w:spacing w:val="10"/>
          <w:rt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 אכן, ערים אנו לכך שלאדם בעל רקע נורמטיבי, וכזה הוא המערער, שהות במאסר אינה קלה כל עיקר, ובהיותו במעצר חווה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p>
    <w:p w14:paraId="50E9BDEE" w14:textId="77777777" w:rsidR="00672FC5" w:rsidRDefault="00300F58" w:rsidP="00672FC5">
      <w:pPr>
        <w:pStyle w:val="ruller4"/>
        <w:bidi/>
        <w:spacing w:before="0" w:beforeAutospacing="0" w:after="0" w:afterAutospacing="0"/>
        <w:jc w:val="both"/>
        <w:rPr>
          <w:rFonts w:ascii="Arial TUR" w:hAnsi="Arial TUR" w:cs="Arial TUR"/>
          <w:color w:val="000000"/>
          <w:spacing w:val="10"/>
          <w:sz w:val="22"/>
          <w:szCs w:val="22"/>
          <w:rtl/>
        </w:rPr>
      </w:pPr>
      <w:r>
        <w:rPr>
          <w:rFonts w:ascii="FrankRuehl" w:hAnsi="FrankRuehl" w:cs="FrankRuehl"/>
          <w:color w:val="000000"/>
          <w:spacing w:val="10"/>
          <w:sz w:val="28"/>
          <w:szCs w:val="28"/>
          <w:rtl/>
        </w:rPr>
        <w:t xml:space="preserve"> </w:t>
      </w:r>
    </w:p>
    <w:p w14:paraId="322821E9" w14:textId="77777777" w:rsidR="00672FC5" w:rsidRDefault="00672FC5" w:rsidP="00672FC5">
      <w:pPr>
        <w:spacing w:line="360" w:lineRule="auto"/>
        <w:jc w:val="both"/>
        <w:rPr>
          <w:rtl/>
        </w:rPr>
      </w:pPr>
    </w:p>
    <w:p w14:paraId="48A9C84D" w14:textId="77777777" w:rsidR="00672FC5" w:rsidRPr="0001416A" w:rsidRDefault="00672FC5" w:rsidP="00672FC5">
      <w:pPr>
        <w:spacing w:line="360" w:lineRule="auto"/>
        <w:jc w:val="both"/>
        <w:rPr>
          <w:rFonts w:ascii="David" w:hAnsi="David"/>
          <w:rtl/>
        </w:rPr>
      </w:pPr>
      <w:r>
        <w:rPr>
          <w:rFonts w:hint="cs"/>
          <w:rtl/>
        </w:rPr>
        <w:t>14.</w:t>
      </w:r>
      <w:r>
        <w:rPr>
          <w:rFonts w:hint="cs"/>
          <w:rtl/>
        </w:rPr>
        <w:tab/>
      </w:r>
      <w:r w:rsidRPr="0001416A">
        <w:rPr>
          <w:rFonts w:ascii="David" w:hAnsi="David"/>
          <w:rtl/>
        </w:rPr>
        <w:t>בענייננו יפה גם כוחם של הדברים שנאמרו ב</w:t>
      </w:r>
      <w:hyperlink r:id="rId25" w:history="1">
        <w:r w:rsidR="00300F58" w:rsidRPr="00300F58">
          <w:rPr>
            <w:rFonts w:ascii="David" w:hAnsi="David"/>
            <w:color w:val="0000FF"/>
            <w:u w:val="single"/>
            <w:rtl/>
          </w:rPr>
          <w:t>ע"פ 2564/19</w:t>
        </w:r>
      </w:hyperlink>
      <w:r w:rsidRPr="0001416A">
        <w:rPr>
          <w:rFonts w:ascii="David" w:hAnsi="David"/>
          <w:rtl/>
        </w:rPr>
        <w:t xml:space="preserve"> </w:t>
      </w:r>
      <w:r w:rsidRPr="0001416A">
        <w:rPr>
          <w:rFonts w:ascii="Miriam" w:hAnsi="Miriam" w:cs="Miriam"/>
          <w:rtl/>
        </w:rPr>
        <w:t>אזברגה נ' מדינת ישראל</w:t>
      </w:r>
      <w:r w:rsidRPr="0001416A">
        <w:rPr>
          <w:rFonts w:ascii="David" w:hAnsi="David"/>
          <w:rtl/>
        </w:rPr>
        <w:t xml:space="preserve"> (18/7/19) (להלן: </w:t>
      </w:r>
      <w:r w:rsidRPr="0001416A">
        <w:rPr>
          <w:rFonts w:ascii="Miriam" w:hAnsi="Miriam" w:cs="Miriam"/>
          <w:rtl/>
        </w:rPr>
        <w:t>עניין אזברגה</w:t>
      </w:r>
      <w:r w:rsidRPr="0001416A">
        <w:rPr>
          <w:rFonts w:ascii="David" w:hAnsi="David"/>
          <w:rtl/>
        </w:rPr>
        <w:t>):</w:t>
      </w:r>
    </w:p>
    <w:p w14:paraId="347617F3" w14:textId="77777777" w:rsidR="00672FC5" w:rsidRDefault="00672FC5" w:rsidP="00672FC5">
      <w:pPr>
        <w:pStyle w:val="ruller4"/>
        <w:bidi/>
        <w:spacing w:before="0" w:beforeAutospacing="0" w:after="0" w:afterAutospacing="0" w:line="330" w:lineRule="atLeast"/>
        <w:jc w:val="both"/>
        <w:rPr>
          <w:rFonts w:ascii="David" w:hAnsi="David" w:cs="David"/>
          <w:color w:val="000000"/>
          <w:spacing w:val="10"/>
          <w:rtl/>
        </w:rPr>
      </w:pPr>
      <w:r w:rsidRPr="0001416A">
        <w:rPr>
          <w:rFonts w:ascii="David" w:hAnsi="David" w:cs="David"/>
          <w:color w:val="000000"/>
          <w:spacing w:val="10"/>
          <w:rtl/>
        </w:rPr>
        <w:t>"</w:t>
      </w:r>
      <w:r w:rsidRPr="0001416A">
        <w:rPr>
          <w:rFonts w:ascii="Miriam" w:hAnsi="Miriam" w:cs="Miriam"/>
          <w:color w:val="000000"/>
          <w:spacing w:val="10"/>
          <w:rtl/>
        </w:rPr>
        <w:t>בית משפט זה עמד בשורה ארוכה של פסקי דין על חומרתן הרבה של עבירות הנשק ועל הסכנה</w:t>
      </w:r>
      <w:r w:rsidR="00300F58">
        <w:rPr>
          <w:rFonts w:ascii="Miriam" w:hAnsi="Miriam" w:cs="Miriam"/>
          <w:color w:val="000000"/>
          <w:spacing w:val="10"/>
          <w:rtl/>
        </w:rPr>
        <w:t xml:space="preserve"> </w:t>
      </w:r>
      <w:r w:rsidRPr="0001416A">
        <w:rPr>
          <w:rFonts w:ascii="Miriam" w:hAnsi="Miriam" w:cs="Miriam"/>
          <w:color w:val="000000"/>
          <w:spacing w:val="10"/>
          <w:rtl/>
        </w:rPr>
        <w:t>הגבוהה במיוחד לשלום הציבור וביטחונו הטמונה בנשיאה והחזקה של נשק.</w:t>
      </w:r>
      <w:r w:rsidR="00300F58">
        <w:rPr>
          <w:rFonts w:ascii="Miriam" w:hAnsi="Miriam" w:cs="Miriam"/>
          <w:color w:val="000000"/>
          <w:spacing w:val="10"/>
          <w:rtl/>
        </w:rPr>
        <w:t xml:space="preserve"> </w:t>
      </w:r>
      <w:r w:rsidRPr="0001416A">
        <w:rPr>
          <w:rFonts w:ascii="Miriam" w:hAnsi="Miriam" w:cs="Miriam"/>
          <w:color w:val="000000"/>
          <w:spacing w:val="10"/>
          <w:rtl/>
        </w:rPr>
        <w:t>הדבר חמור שבעתיים במציאות הישראלית שבה נשק בלתי חוקי עשוי לשמש הן לפעילות חבלנית עוינת על רקע ביטחוני הן לפעילות עבריינית...בפסיקה מגמת החמרה ברמת הענישה של המעורבים בעבירות נשק תוך</w:t>
      </w:r>
      <w:r w:rsidR="00300F58">
        <w:rPr>
          <w:rFonts w:ascii="Miriam" w:hAnsi="Miriam" w:cs="Miriam"/>
          <w:color w:val="000000"/>
          <w:spacing w:val="10"/>
          <w:rtl/>
        </w:rPr>
        <w:t xml:space="preserve"> </w:t>
      </w:r>
      <w:r w:rsidRPr="0001416A">
        <w:rPr>
          <w:rFonts w:ascii="Miriam" w:hAnsi="Miriam" w:cs="Miriam"/>
          <w:color w:val="000000"/>
          <w:spacing w:val="10"/>
          <w:rtl/>
        </w:rPr>
        <w:t>מתן ביטוי עונשי הולם לסכנה הנשקפת מהן; וזאת</w:t>
      </w:r>
      <w:r w:rsidR="00300F58">
        <w:rPr>
          <w:rFonts w:ascii="Miriam" w:hAnsi="Miriam" w:cs="Miriam"/>
          <w:color w:val="000000"/>
          <w:spacing w:val="10"/>
          <w:rtl/>
        </w:rPr>
        <w:t xml:space="preserve"> </w:t>
      </w:r>
      <w:r w:rsidRPr="0001416A">
        <w:rPr>
          <w:rFonts w:ascii="Miriam" w:hAnsi="Miriam" w:cs="Miriam"/>
          <w:color w:val="000000"/>
          <w:spacing w:val="10"/>
          <w:rtl/>
        </w:rPr>
        <w:t>במטרה להרתיע את היחיד והרבים גם יחד מפני ביצוען. ברירת המחדל בעבירות נשק היא אפוא מאסר בפועל גם כאשר הנאשם נעדר עבר פלילי כבענייננו</w:t>
      </w:r>
      <w:r w:rsidRPr="0001416A">
        <w:rPr>
          <w:rFonts w:ascii="David" w:hAnsi="David" w:cs="David"/>
          <w:color w:val="000000"/>
          <w:spacing w:val="10"/>
          <w:rtl/>
        </w:rPr>
        <w:t>".</w:t>
      </w:r>
    </w:p>
    <w:p w14:paraId="3181A749" w14:textId="77777777" w:rsidR="00672FC5" w:rsidRPr="0001416A" w:rsidRDefault="00672FC5" w:rsidP="00672FC5">
      <w:pPr>
        <w:pStyle w:val="ruller4"/>
        <w:bidi/>
        <w:spacing w:before="0" w:beforeAutospacing="0" w:after="0" w:afterAutospacing="0" w:line="330" w:lineRule="atLeast"/>
        <w:jc w:val="both"/>
        <w:rPr>
          <w:rFonts w:ascii="David" w:hAnsi="David" w:cs="David"/>
          <w:color w:val="000000"/>
          <w:spacing w:val="10"/>
          <w:rtl/>
        </w:rPr>
      </w:pPr>
    </w:p>
    <w:p w14:paraId="55FB6579" w14:textId="77777777" w:rsidR="00672FC5" w:rsidRDefault="00672FC5" w:rsidP="00672FC5">
      <w:pPr>
        <w:spacing w:line="360" w:lineRule="auto"/>
        <w:jc w:val="both"/>
        <w:rPr>
          <w:rtl/>
        </w:rPr>
      </w:pPr>
      <w:r>
        <w:rPr>
          <w:rFonts w:hint="cs"/>
          <w:rtl/>
        </w:rPr>
        <w:t>15.</w:t>
      </w:r>
      <w:r>
        <w:rPr>
          <w:rFonts w:hint="cs"/>
          <w:rtl/>
        </w:rPr>
        <w:tab/>
      </w:r>
      <w:r>
        <w:rPr>
          <w:rtl/>
        </w:rPr>
        <w:t xml:space="preserve">ומן הכלל אל הפרט: במקרה דנן אקדח טעון בכדורים עלול לשמש בסופו של דבר לירי וחלילה אף לקיפוד חיי אדם, ומשכך ברי כי יש להחמיר בענישתו של מי שהורשע בעבירה כגון זו שבפנינו, מה גם שלנשיאת והובלת הנשק נלוותה גם הימלטות של הנאשם מהשוטרים, בעודו מחזיק ונושא את הנשק, ובסופו של דבר משליך אותו, וכל זאת בכוונה להפריע לשוטרים שמילאו תפקידם כדין. התנהלות זו של הנאשם מוסיפה לנסיבות ביצוע העבירה בתיק זה נופך של חומרה. </w:t>
      </w:r>
      <w:r>
        <w:rPr>
          <w:rFonts w:hint="cs"/>
          <w:rtl/>
        </w:rPr>
        <w:t>לחומרה יש גם להוסיף את היות הנשק מוטמן בגרב, דבר המלמד על תכנון המעשים מבעוד מועד אם כי אין לדעת מה היה טווח התכנון.</w:t>
      </w:r>
    </w:p>
    <w:p w14:paraId="2870B783" w14:textId="77777777" w:rsidR="00672FC5" w:rsidRDefault="00672FC5" w:rsidP="00672FC5">
      <w:pPr>
        <w:spacing w:line="360" w:lineRule="auto"/>
        <w:jc w:val="both"/>
        <w:rPr>
          <w:rtl/>
        </w:rPr>
      </w:pPr>
    </w:p>
    <w:p w14:paraId="073CED4B" w14:textId="77777777" w:rsidR="00672FC5" w:rsidRDefault="00672FC5" w:rsidP="00672FC5">
      <w:pPr>
        <w:spacing w:line="360" w:lineRule="auto"/>
        <w:jc w:val="both"/>
        <w:rPr>
          <w:rFonts w:ascii="David" w:hAnsi="David"/>
          <w:rtl/>
        </w:rPr>
      </w:pPr>
      <w:r>
        <w:rPr>
          <w:rFonts w:ascii="David" w:hAnsi="David" w:hint="cs"/>
          <w:rtl/>
        </w:rPr>
        <w:t>16.</w:t>
      </w:r>
      <w:r>
        <w:rPr>
          <w:rFonts w:ascii="David" w:hAnsi="David" w:hint="cs"/>
          <w:rtl/>
        </w:rPr>
        <w:tab/>
      </w:r>
      <w:r>
        <w:rPr>
          <w:rFonts w:ascii="David" w:hAnsi="David"/>
          <w:rtl/>
        </w:rPr>
        <w:t>להמחשת מדיניות הענישה בעבירות נשק שעניינן נשיאת אקדח, תובא הפסיקה הבאה:</w:t>
      </w:r>
    </w:p>
    <w:p w14:paraId="4767FB69" w14:textId="77777777" w:rsidR="00672FC5" w:rsidRDefault="00672FC5" w:rsidP="00672FC5">
      <w:pPr>
        <w:spacing w:line="360" w:lineRule="auto"/>
        <w:jc w:val="both"/>
        <w:rPr>
          <w:rFonts w:ascii="David" w:hAnsi="David"/>
          <w:rtl/>
        </w:rPr>
      </w:pPr>
    </w:p>
    <w:p w14:paraId="7B24C894" w14:textId="77777777" w:rsidR="00672FC5" w:rsidRDefault="00672FC5" w:rsidP="00672FC5">
      <w:pPr>
        <w:pStyle w:val="a9"/>
        <w:numPr>
          <w:ilvl w:val="0"/>
          <w:numId w:val="1"/>
        </w:numPr>
        <w:bidi/>
        <w:spacing w:before="0" w:beforeAutospacing="0" w:after="0" w:afterAutospacing="0" w:line="330" w:lineRule="atLeast"/>
        <w:ind w:left="1080"/>
        <w:jc w:val="both"/>
        <w:rPr>
          <w:rFonts w:ascii="David" w:hAnsi="David" w:cs="David"/>
        </w:rPr>
      </w:pPr>
      <w:r w:rsidRPr="00EA7396">
        <w:rPr>
          <w:rFonts w:ascii="David" w:hAnsi="David" w:cs="David"/>
          <w:rtl/>
        </w:rPr>
        <w:t>ב</w:t>
      </w:r>
      <w:r w:rsidRPr="00EA7396">
        <w:rPr>
          <w:rFonts w:ascii="Miriam" w:hAnsi="Miriam" w:cs="Miriam"/>
          <w:rtl/>
        </w:rPr>
        <w:t xml:space="preserve">עניין אזברגה </w:t>
      </w:r>
      <w:r w:rsidRPr="00EA7396">
        <w:rPr>
          <w:rFonts w:ascii="David" w:hAnsi="David" w:cs="David"/>
          <w:rtl/>
        </w:rPr>
        <w:t xml:space="preserve">הנ"ל נדחה ערעורו של נאשם בעל עבר נקי שהורשע, מכוח הודאתו, </w:t>
      </w:r>
      <w:r w:rsidRPr="00EA7396">
        <w:rPr>
          <w:rFonts w:ascii="David" w:hAnsi="David" w:cs="David"/>
          <w:spacing w:val="10"/>
          <w:rtl/>
        </w:rPr>
        <w:t>בעבירה של נשיאת נשק לפי</w:t>
      </w:r>
      <w:r w:rsidR="00300F58">
        <w:rPr>
          <w:rFonts w:ascii="David" w:hAnsi="David" w:cs="David"/>
          <w:spacing w:val="10"/>
          <w:rtl/>
        </w:rPr>
        <w:t xml:space="preserve"> </w:t>
      </w:r>
      <w:hyperlink r:id="rId26" w:history="1">
        <w:r w:rsidR="00B10EE4" w:rsidRPr="00B10EE4">
          <w:rPr>
            <w:rStyle w:val="Hyperlink"/>
            <w:rFonts w:ascii="David" w:hAnsi="David" w:cs="David"/>
            <w:spacing w:val="10"/>
            <w:rtl/>
          </w:rPr>
          <w:t>סעיף 144(ב)</w:t>
        </w:r>
      </w:hyperlink>
      <w:r w:rsidR="00300F58">
        <w:rPr>
          <w:rFonts w:ascii="David" w:hAnsi="David" w:cs="David"/>
          <w:spacing w:val="10"/>
        </w:rPr>
        <w:t xml:space="preserve"> </w:t>
      </w:r>
      <w:r w:rsidRPr="00EA7396">
        <w:rPr>
          <w:rFonts w:ascii="David" w:hAnsi="David" w:cs="David"/>
          <w:spacing w:val="10"/>
          <w:rtl/>
        </w:rPr>
        <w:t>ל</w:t>
      </w:r>
      <w:hyperlink r:id="rId27" w:history="1">
        <w:r w:rsidR="00300F58" w:rsidRPr="00300F58">
          <w:rPr>
            <w:rFonts w:ascii="David" w:hAnsi="David" w:cs="David"/>
            <w:color w:val="0000FF"/>
            <w:spacing w:val="10"/>
            <w:u w:val="single"/>
            <w:rtl/>
          </w:rPr>
          <w:t>חוק העונשין</w:t>
        </w:r>
      </w:hyperlink>
      <w:r w:rsidRPr="00EA7396">
        <w:rPr>
          <w:rFonts w:ascii="David" w:hAnsi="David" w:cs="David"/>
          <w:spacing w:val="10"/>
        </w:rPr>
        <w:t xml:space="preserve">, </w:t>
      </w:r>
      <w:r w:rsidRPr="00EA7396">
        <w:rPr>
          <w:rFonts w:ascii="David" w:hAnsi="David" w:cs="David"/>
          <w:spacing w:val="10"/>
          <w:rtl/>
        </w:rPr>
        <w:t>התשל"ז-1977</w:t>
      </w:r>
      <w:r w:rsidR="00300F58">
        <w:rPr>
          <w:rFonts w:ascii="David" w:hAnsi="David" w:cs="David"/>
          <w:spacing w:val="10"/>
          <w:rtl/>
        </w:rPr>
        <w:t xml:space="preserve"> </w:t>
      </w:r>
      <w:r w:rsidRPr="00EA7396">
        <w:rPr>
          <w:rFonts w:ascii="David" w:hAnsi="David" w:cs="David"/>
          <w:spacing w:val="10"/>
          <w:rtl/>
        </w:rPr>
        <w:t>(נשיאת אקדח ומחסנית תואמת במשך זמן קצר) ונדון לעונש של 16 חודשי מאסר בפועל ולעונש של מאסר מותנה.</w:t>
      </w:r>
      <w:r w:rsidRPr="00EA7396">
        <w:rPr>
          <w:rFonts w:ascii="David" w:hAnsi="David" w:cs="David"/>
          <w:rtl/>
        </w:rPr>
        <w:t xml:space="preserve"> מתחם העונש ההולם שנקבע בערכאה הדיונית נע בין 40-12 חודשי מאסר בפועל.</w:t>
      </w:r>
      <w:r>
        <w:rPr>
          <w:rFonts w:ascii="David" w:hAnsi="David" w:cs="David" w:hint="cs"/>
          <w:rtl/>
        </w:rPr>
        <w:t xml:space="preserve"> </w:t>
      </w:r>
    </w:p>
    <w:p w14:paraId="4D2FC303" w14:textId="77777777" w:rsidR="00672FC5" w:rsidRPr="00EA7396" w:rsidRDefault="00672FC5" w:rsidP="00672FC5">
      <w:pPr>
        <w:spacing w:line="330" w:lineRule="atLeast"/>
        <w:ind w:left="283"/>
        <w:jc w:val="both"/>
        <w:rPr>
          <w:rFonts w:ascii="David" w:hAnsi="David"/>
        </w:rPr>
      </w:pPr>
    </w:p>
    <w:p w14:paraId="3C591DA3" w14:textId="77777777" w:rsidR="00672FC5" w:rsidRPr="00EA7396" w:rsidRDefault="00672FC5" w:rsidP="00672FC5">
      <w:pPr>
        <w:pStyle w:val="a9"/>
        <w:numPr>
          <w:ilvl w:val="0"/>
          <w:numId w:val="1"/>
        </w:numPr>
        <w:bidi/>
        <w:spacing w:before="0" w:beforeAutospacing="0" w:after="0" w:afterAutospacing="0" w:line="330" w:lineRule="atLeast"/>
        <w:ind w:left="1080"/>
        <w:jc w:val="both"/>
        <w:rPr>
          <w:rFonts w:ascii="David" w:hAnsi="David" w:cs="David"/>
          <w:rtl/>
        </w:rPr>
      </w:pPr>
      <w:r w:rsidRPr="00EA7396">
        <w:rPr>
          <w:rFonts w:ascii="David" w:hAnsi="David" w:cs="David"/>
          <w:rtl/>
        </w:rPr>
        <w:t>ב</w:t>
      </w:r>
      <w:hyperlink r:id="rId28" w:history="1">
        <w:r w:rsidR="00300F58" w:rsidRPr="00300F58">
          <w:rPr>
            <w:rFonts w:ascii="David" w:hAnsi="David" w:cs="David"/>
            <w:color w:val="0000FF"/>
            <w:u w:val="single"/>
            <w:rtl/>
          </w:rPr>
          <w:t>ע"פ 390/17</w:t>
        </w:r>
      </w:hyperlink>
      <w:r w:rsidR="00300F58">
        <w:rPr>
          <w:rFonts w:ascii="David" w:hAnsi="David" w:cs="David"/>
          <w:rtl/>
        </w:rPr>
        <w:t xml:space="preserve"> </w:t>
      </w:r>
      <w:r w:rsidR="00300F58">
        <w:rPr>
          <w:rFonts w:ascii="David" w:hAnsi="David" w:cs="David"/>
          <w:b/>
          <w:bCs/>
          <w:rtl/>
        </w:rPr>
        <w:t xml:space="preserve"> </w:t>
      </w:r>
      <w:r w:rsidRPr="00EA7396">
        <w:rPr>
          <w:rFonts w:ascii="Miriam" w:hAnsi="Miriam" w:cs="Miriam"/>
          <w:rtl/>
        </w:rPr>
        <w:t>עומר סער נ' מדינת ישראל</w:t>
      </w:r>
      <w:r w:rsidR="00300F58">
        <w:rPr>
          <w:rFonts w:ascii="Miriam" w:hAnsi="Miriam" w:cs="Miriam"/>
          <w:rtl/>
        </w:rPr>
        <w:t xml:space="preserve"> </w:t>
      </w:r>
      <w:r w:rsidRPr="00EA7396">
        <w:rPr>
          <w:rFonts w:ascii="David" w:hAnsi="David" w:cs="David"/>
          <w:rtl/>
        </w:rPr>
        <w:t xml:space="preserve">(03.07.2017), הורשע הנאשם, בעל עבר פלילי, מכוח הודאתו, בגין נשיאת אקדח בצוותא באמצעות אופנוע וכן נהיגה בקלות-דעת.  בית המשפט העליון קיבל את ערעורו של הנאשם וגזר עליו 34 חודשי מאסר בפועל חלף 40 החודשים שגזר עליו בית המשפט המחוזי תוך שנקבע מתחם עונש הולם שנע בין </w:t>
      </w:r>
      <w:r w:rsidRPr="00EA7396">
        <w:rPr>
          <w:rFonts w:ascii="David" w:hAnsi="David" w:cs="David" w:hint="cs"/>
          <w:rtl/>
        </w:rPr>
        <w:t xml:space="preserve">54-28 </w:t>
      </w:r>
      <w:r w:rsidRPr="00EA7396">
        <w:rPr>
          <w:rFonts w:ascii="David" w:hAnsi="David" w:cs="David"/>
          <w:rtl/>
        </w:rPr>
        <w:t xml:space="preserve"> חודשי מאסר בפועל.  </w:t>
      </w:r>
    </w:p>
    <w:p w14:paraId="41D2BDFF" w14:textId="77777777" w:rsidR="00672FC5" w:rsidRPr="00EA7396" w:rsidRDefault="00672FC5" w:rsidP="00672FC5">
      <w:pPr>
        <w:pStyle w:val="a9"/>
        <w:bidi/>
        <w:spacing w:before="0" w:beforeAutospacing="0" w:after="0" w:afterAutospacing="0" w:line="330" w:lineRule="atLeast"/>
        <w:ind w:left="1080"/>
        <w:jc w:val="both"/>
        <w:rPr>
          <w:rFonts w:ascii="David" w:hAnsi="David" w:cs="David"/>
          <w:rtl/>
        </w:rPr>
      </w:pPr>
    </w:p>
    <w:p w14:paraId="4CCFB9ED" w14:textId="77777777" w:rsidR="00672FC5" w:rsidRPr="00EA7396" w:rsidRDefault="00672FC5" w:rsidP="00672FC5">
      <w:pPr>
        <w:pStyle w:val="a9"/>
        <w:numPr>
          <w:ilvl w:val="0"/>
          <w:numId w:val="2"/>
        </w:numPr>
        <w:bidi/>
        <w:spacing w:before="0" w:beforeAutospacing="0" w:after="0" w:afterAutospacing="0" w:line="330" w:lineRule="atLeast"/>
        <w:jc w:val="both"/>
        <w:rPr>
          <w:rFonts w:ascii="David" w:hAnsi="David" w:cs="David"/>
          <w:rtl/>
        </w:rPr>
      </w:pPr>
      <w:r w:rsidRPr="00EA7396">
        <w:rPr>
          <w:rFonts w:ascii="David" w:hAnsi="David" w:cs="David"/>
          <w:rtl/>
        </w:rPr>
        <w:t>ב</w:t>
      </w:r>
      <w:hyperlink r:id="rId29" w:history="1">
        <w:r w:rsidR="00300F58" w:rsidRPr="00300F58">
          <w:rPr>
            <w:rFonts w:ascii="David" w:hAnsi="David" w:cs="David"/>
            <w:color w:val="0000FF"/>
            <w:u w:val="single"/>
            <w:rtl/>
          </w:rPr>
          <w:t>ת.פ (מחוזי חיפה) 61106-05-20</w:t>
        </w:r>
      </w:hyperlink>
      <w:r w:rsidRPr="00EA7396">
        <w:rPr>
          <w:rFonts w:ascii="David" w:hAnsi="David" w:cs="David"/>
          <w:rtl/>
        </w:rPr>
        <w:t xml:space="preserve"> </w:t>
      </w:r>
      <w:r w:rsidRPr="00EA7396">
        <w:rPr>
          <w:rFonts w:ascii="Miriam" w:hAnsi="Miriam" w:cs="Miriam"/>
          <w:rtl/>
        </w:rPr>
        <w:t xml:space="preserve">מדינת ישראל נ' עבד אל גני </w:t>
      </w:r>
      <w:r w:rsidRPr="00EA7396">
        <w:rPr>
          <w:rFonts w:ascii="David" w:hAnsi="David" w:cs="David"/>
          <w:rtl/>
        </w:rPr>
        <w:t xml:space="preserve">((24/5/21) נגזר </w:t>
      </w:r>
      <w:r>
        <w:rPr>
          <w:rFonts w:ascii="David" w:hAnsi="David" w:cs="David" w:hint="cs"/>
          <w:rtl/>
        </w:rPr>
        <w:t xml:space="preserve">לאחרונה </w:t>
      </w:r>
      <w:r w:rsidRPr="00EA7396">
        <w:rPr>
          <w:rFonts w:ascii="David" w:hAnsi="David" w:cs="David"/>
          <w:rtl/>
        </w:rPr>
        <w:t>עונש של מאסר בפועל למשך 22 חודשים ומאסר מותנה על נאשם בעל עבר נקי שהורשע מכוח הוד</w:t>
      </w:r>
      <w:r>
        <w:rPr>
          <w:rFonts w:ascii="David" w:hAnsi="David" w:cs="David"/>
          <w:rtl/>
        </w:rPr>
        <w:t>אתו בעבירות בנשק (נשיאה והובלה)</w:t>
      </w:r>
      <w:r>
        <w:rPr>
          <w:rFonts w:ascii="David" w:hAnsi="David" w:cs="David" w:hint="cs"/>
          <w:rtl/>
        </w:rPr>
        <w:t xml:space="preserve">. </w:t>
      </w:r>
      <w:r w:rsidRPr="00EA7396">
        <w:rPr>
          <w:rFonts w:ascii="David" w:hAnsi="David" w:cs="David"/>
          <w:rtl/>
        </w:rPr>
        <w:t xml:space="preserve"> אותו נאשם, נשא והוביל, בלא רשות על-פי דין, אקדח חצי אוטומטי מסוג יריחו ובתוכו מחסנית, אשר הוחזק בשקית, מתחת למכסה המנוע ברכב</w:t>
      </w:r>
      <w:r w:rsidRPr="00EA7396">
        <w:rPr>
          <w:rFonts w:ascii="David" w:hAnsi="David" w:cs="David"/>
        </w:rPr>
        <w:t>.</w:t>
      </w:r>
    </w:p>
    <w:p w14:paraId="581C8E37" w14:textId="77777777" w:rsidR="00672FC5" w:rsidRPr="00EA7396" w:rsidRDefault="00300F58" w:rsidP="00672FC5">
      <w:pPr>
        <w:pStyle w:val="a9"/>
        <w:bidi/>
        <w:spacing w:before="0" w:beforeAutospacing="0" w:after="0" w:afterAutospacing="0" w:line="330" w:lineRule="atLeast"/>
        <w:ind w:left="1080"/>
        <w:jc w:val="both"/>
        <w:rPr>
          <w:rFonts w:ascii="David" w:hAnsi="David" w:cs="David"/>
          <w:color w:val="000000"/>
        </w:rPr>
      </w:pPr>
      <w:r>
        <w:rPr>
          <w:rFonts w:ascii="David" w:hAnsi="David" w:cs="David"/>
          <w:color w:val="000000"/>
          <w:rtl/>
        </w:rPr>
        <w:t xml:space="preserve"> </w:t>
      </w:r>
    </w:p>
    <w:p w14:paraId="5A88BB01" w14:textId="77777777" w:rsidR="00672FC5" w:rsidRPr="000A764D" w:rsidRDefault="00672FC5" w:rsidP="00672FC5">
      <w:pPr>
        <w:pStyle w:val="a9"/>
        <w:numPr>
          <w:ilvl w:val="0"/>
          <w:numId w:val="3"/>
        </w:numPr>
        <w:bidi/>
        <w:spacing w:before="0" w:beforeAutospacing="0" w:after="0" w:afterAutospacing="0" w:line="360" w:lineRule="auto"/>
        <w:contextualSpacing/>
        <w:jc w:val="both"/>
        <w:rPr>
          <w:rFonts w:ascii="David" w:hAnsi="David" w:cs="David"/>
        </w:rPr>
      </w:pPr>
      <w:r w:rsidRPr="000A764D">
        <w:rPr>
          <w:rFonts w:ascii="David" w:hAnsi="David" w:cs="David"/>
          <w:rtl/>
        </w:rPr>
        <w:t>ב</w:t>
      </w:r>
      <w:hyperlink r:id="rId30" w:history="1">
        <w:r w:rsidR="00300F58" w:rsidRPr="00300F58">
          <w:rPr>
            <w:rFonts w:ascii="David" w:hAnsi="David" w:cs="David"/>
            <w:color w:val="0000FF"/>
            <w:u w:val="single"/>
            <w:rtl/>
          </w:rPr>
          <w:t>ת"פ (מחוזי חיפה) 31862-05-13</w:t>
        </w:r>
      </w:hyperlink>
      <w:r w:rsidRPr="000A764D">
        <w:rPr>
          <w:rFonts w:ascii="David" w:hAnsi="David" w:cs="David"/>
          <w:rtl/>
        </w:rPr>
        <w:t xml:space="preserve"> </w:t>
      </w:r>
      <w:r w:rsidRPr="000A764D">
        <w:rPr>
          <w:rFonts w:ascii="Miriam" w:hAnsi="Miriam" w:cs="Miriam"/>
          <w:rtl/>
        </w:rPr>
        <w:t>מ"י נ' מוחמד מחאמיד</w:t>
      </w:r>
      <w:r w:rsidRPr="000A764D">
        <w:rPr>
          <w:rFonts w:ascii="Miriam" w:hAnsi="Miriam" w:cs="Miriam"/>
          <w:sz w:val="22"/>
          <w:szCs w:val="22"/>
          <w:rtl/>
        </w:rPr>
        <w:t xml:space="preserve"> </w:t>
      </w:r>
      <w:r w:rsidRPr="000A764D">
        <w:rPr>
          <w:rFonts w:ascii="David" w:hAnsi="David" w:cs="David"/>
          <w:rtl/>
        </w:rPr>
        <w:t xml:space="preserve">(1/10/13) הוטל על נאשם צעיר, בן פחות מ-21, עונש של 21 חודשי מאסר בפועל בגין עבירה של נשיאת נשק (אקדח) שלא כדין לצד עבירה של הפרעה לשוטר בשעת מילוי תפקידו כדין. </w:t>
      </w:r>
    </w:p>
    <w:p w14:paraId="4A7B0C33" w14:textId="77777777" w:rsidR="00672FC5" w:rsidRPr="000A764D" w:rsidRDefault="00672FC5" w:rsidP="00672FC5">
      <w:pPr>
        <w:spacing w:line="330" w:lineRule="atLeast"/>
        <w:jc w:val="both"/>
        <w:rPr>
          <w:rFonts w:ascii="Calibri" w:hAnsi="Calibri" w:cs="Calibri"/>
          <w:color w:val="000000"/>
          <w:sz w:val="22"/>
          <w:szCs w:val="22"/>
          <w:rtl/>
        </w:rPr>
      </w:pPr>
    </w:p>
    <w:p w14:paraId="6D8FDD83" w14:textId="77777777" w:rsidR="00672FC5" w:rsidRDefault="00672FC5" w:rsidP="00672FC5">
      <w:pPr>
        <w:spacing w:line="360" w:lineRule="auto"/>
        <w:jc w:val="both"/>
        <w:rPr>
          <w:rFonts w:ascii="David" w:hAnsi="David"/>
          <w:rtl/>
        </w:rPr>
      </w:pPr>
      <w:r>
        <w:rPr>
          <w:rFonts w:ascii="David" w:hAnsi="David" w:hint="cs"/>
          <w:rtl/>
        </w:rPr>
        <w:t>17.</w:t>
      </w:r>
      <w:r>
        <w:rPr>
          <w:rFonts w:ascii="David" w:hAnsi="David" w:hint="cs"/>
          <w:rtl/>
        </w:rPr>
        <w:tab/>
      </w:r>
      <w:r>
        <w:rPr>
          <w:rFonts w:ascii="David" w:hAnsi="David"/>
          <w:rtl/>
        </w:rPr>
        <w:t>לאחר שבחנתי כאמור את הערכים החברתיים שנפגעו כתוצאה מביצוע העבירה, את נסיבות ביצועה ואת מדיניות הענישה הנהוגה, לרבות הפסיקה אליה הפנה כל אחד מהצדדים, הגעתי לכלל מסקנה כי מתחם העונש ההולם בתיק זה נע בין עונש של 18 עד 40 חודשי מאסר בפועל</w:t>
      </w:r>
      <w:r>
        <w:rPr>
          <w:rFonts w:ascii="David" w:hAnsi="David" w:hint="cs"/>
          <w:rtl/>
        </w:rPr>
        <w:t>.</w:t>
      </w:r>
    </w:p>
    <w:p w14:paraId="4331D464" w14:textId="77777777" w:rsidR="00672FC5" w:rsidRDefault="00672FC5" w:rsidP="00672FC5">
      <w:pPr>
        <w:spacing w:line="360" w:lineRule="auto"/>
        <w:jc w:val="both"/>
        <w:rPr>
          <w:rFonts w:ascii="David" w:hAnsi="David"/>
          <w:rtl/>
        </w:rPr>
      </w:pPr>
    </w:p>
    <w:p w14:paraId="69ADC616" w14:textId="77777777" w:rsidR="00672FC5" w:rsidRDefault="00672FC5" w:rsidP="00672FC5">
      <w:pPr>
        <w:spacing w:line="360" w:lineRule="auto"/>
        <w:jc w:val="both"/>
        <w:rPr>
          <w:rFonts w:ascii="David" w:hAnsi="David"/>
          <w:rtl/>
        </w:rPr>
      </w:pPr>
      <w:r>
        <w:rPr>
          <w:rFonts w:ascii="David" w:hAnsi="David" w:hint="cs"/>
          <w:rtl/>
        </w:rPr>
        <w:t>18.</w:t>
      </w:r>
      <w:r>
        <w:rPr>
          <w:rFonts w:ascii="David" w:hAnsi="David" w:hint="cs"/>
          <w:rtl/>
        </w:rPr>
        <w:tab/>
      </w:r>
      <w:r>
        <w:rPr>
          <w:rFonts w:ascii="David" w:hAnsi="David"/>
          <w:rtl/>
        </w:rPr>
        <w:t>במסגרת הנסיבות שאינן קשורות בביצוע העבירה אציין</w:t>
      </w:r>
      <w:r>
        <w:rPr>
          <w:rFonts w:ascii="David" w:hAnsi="David" w:hint="cs"/>
          <w:rtl/>
        </w:rPr>
        <w:t>,</w:t>
      </w:r>
      <w:r>
        <w:rPr>
          <w:rFonts w:ascii="David" w:hAnsi="David"/>
          <w:rtl/>
        </w:rPr>
        <w:t xml:space="preserve"> לטובת הנאשם</w:t>
      </w:r>
      <w:r>
        <w:rPr>
          <w:rFonts w:ascii="David" w:hAnsi="David" w:hint="cs"/>
          <w:rtl/>
        </w:rPr>
        <w:t>,</w:t>
      </w:r>
      <w:r>
        <w:rPr>
          <w:rFonts w:ascii="David" w:hAnsi="David"/>
          <w:rtl/>
        </w:rPr>
        <w:t xml:space="preserve"> את הודאתו בהזדמנות הראשונה בעובדות כתב האישום המתוקן, אשר חסכה את העדת העדים בתיק זה וכן חסכה מזמנו היקר של בית המשפט. לכך אוסיף לקול</w:t>
      </w:r>
      <w:r>
        <w:rPr>
          <w:rFonts w:ascii="David" w:hAnsi="David" w:hint="cs"/>
          <w:rtl/>
        </w:rPr>
        <w:t>ה</w:t>
      </w:r>
      <w:r>
        <w:rPr>
          <w:rFonts w:ascii="David" w:hAnsi="David"/>
          <w:rtl/>
        </w:rPr>
        <w:t xml:space="preserve"> את נסיבותיו האישיות הקשות של הנאשם, כפי שנטען על-ידי הסנגור, וכן את גילו הצעיר של הנאשם, שהינו </w:t>
      </w:r>
      <w:r>
        <w:rPr>
          <w:rFonts w:ascii="David" w:hAnsi="David" w:hint="cs"/>
          <w:rtl/>
        </w:rPr>
        <w:t xml:space="preserve">כאמור </w:t>
      </w:r>
      <w:r>
        <w:rPr>
          <w:rFonts w:ascii="David" w:hAnsi="David"/>
          <w:rtl/>
        </w:rPr>
        <w:t xml:space="preserve">אך בן 21. </w:t>
      </w:r>
      <w:r>
        <w:rPr>
          <w:rFonts w:ascii="David" w:hAnsi="David" w:hint="cs"/>
          <w:rtl/>
        </w:rPr>
        <w:t xml:space="preserve">עם זאת, </w:t>
      </w:r>
      <w:r>
        <w:rPr>
          <w:rFonts w:ascii="David" w:hAnsi="David"/>
          <w:rtl/>
        </w:rPr>
        <w:t>לחובת הנאשם</w:t>
      </w:r>
      <w:r>
        <w:rPr>
          <w:rFonts w:ascii="David" w:hAnsi="David" w:hint="cs"/>
          <w:rtl/>
        </w:rPr>
        <w:t>,</w:t>
      </w:r>
      <w:r>
        <w:rPr>
          <w:rFonts w:ascii="David" w:hAnsi="David"/>
          <w:rtl/>
        </w:rPr>
        <w:t xml:space="preserve"> אציין את עברו הפלילי הכולל בחובו אמנם רק שני רישומים פליליים. אולם, עסקינן ברישומים בגין עבירות רכוש רבות</w:t>
      </w:r>
      <w:r>
        <w:rPr>
          <w:rFonts w:ascii="David" w:hAnsi="David" w:hint="cs"/>
          <w:rtl/>
        </w:rPr>
        <w:t>,</w:t>
      </w:r>
      <w:r>
        <w:rPr>
          <w:rFonts w:ascii="David" w:hAnsi="David"/>
          <w:rtl/>
        </w:rPr>
        <w:t xml:space="preserve"> עבירות אלימות ו</w:t>
      </w:r>
      <w:r>
        <w:rPr>
          <w:rFonts w:ascii="David" w:hAnsi="David" w:hint="cs"/>
          <w:rtl/>
        </w:rPr>
        <w:t xml:space="preserve">שתי עבירות של </w:t>
      </w:r>
      <w:r>
        <w:rPr>
          <w:rFonts w:ascii="David" w:hAnsi="David"/>
          <w:rtl/>
        </w:rPr>
        <w:t xml:space="preserve">הפרת הוראה חוקית. כאן אציין </w:t>
      </w:r>
      <w:r>
        <w:rPr>
          <w:rFonts w:ascii="David" w:hAnsi="David" w:hint="cs"/>
          <w:rtl/>
        </w:rPr>
        <w:t xml:space="preserve">לחומרה </w:t>
      </w:r>
      <w:r>
        <w:rPr>
          <w:rFonts w:ascii="David" w:hAnsi="David"/>
          <w:rtl/>
        </w:rPr>
        <w:t>כי הנאשם נדון בגין הרשעתו מיום 12/3/20 למאסר בפועל לתקופה של 8 חודשים וביצע את העבירה שבפנינו פחות משנה לאחר שחרורו ממאסר</w:t>
      </w:r>
      <w:r>
        <w:rPr>
          <w:rFonts w:ascii="David" w:hAnsi="David" w:hint="cs"/>
          <w:rtl/>
        </w:rPr>
        <w:t>, כפי ש</w:t>
      </w:r>
      <w:r>
        <w:rPr>
          <w:rFonts w:ascii="David" w:hAnsi="David"/>
          <w:rtl/>
        </w:rPr>
        <w:t xml:space="preserve">נטען על ידי המאשימה במסגרת טיעוניה לעונש בעל-פה. </w:t>
      </w:r>
    </w:p>
    <w:p w14:paraId="4A9517F4" w14:textId="77777777" w:rsidR="00672FC5" w:rsidRDefault="00672FC5" w:rsidP="00672FC5">
      <w:pPr>
        <w:spacing w:line="360" w:lineRule="auto"/>
        <w:jc w:val="both"/>
        <w:rPr>
          <w:rFonts w:ascii="David" w:hAnsi="David"/>
          <w:rtl/>
        </w:rPr>
      </w:pPr>
    </w:p>
    <w:p w14:paraId="54C4BCF0" w14:textId="77777777" w:rsidR="00672FC5" w:rsidRDefault="00672FC5" w:rsidP="00672FC5">
      <w:pPr>
        <w:spacing w:line="360" w:lineRule="auto"/>
        <w:jc w:val="both"/>
        <w:rPr>
          <w:rFonts w:ascii="David" w:hAnsi="David"/>
          <w:rtl/>
        </w:rPr>
      </w:pPr>
      <w:r>
        <w:rPr>
          <w:rFonts w:ascii="David" w:hAnsi="David" w:hint="cs"/>
          <w:rtl/>
        </w:rPr>
        <w:t>19.</w:t>
      </w:r>
      <w:r>
        <w:rPr>
          <w:rFonts w:ascii="David" w:hAnsi="David" w:hint="cs"/>
          <w:rtl/>
        </w:rPr>
        <w:tab/>
      </w:r>
      <w:r>
        <w:rPr>
          <w:rFonts w:ascii="David" w:hAnsi="David"/>
          <w:rtl/>
        </w:rPr>
        <w:t>לאחר ששקללתי את מכלול הטעמים הנ"ל, אני בדעה כי מן הראוי להשית על הנאשם עונש של מאסר בפועל לתקופה של 24 חודשים בניכוי ימי מעצרו ו</w:t>
      </w:r>
      <w:r>
        <w:rPr>
          <w:rFonts w:ascii="David" w:hAnsi="David" w:hint="cs"/>
          <w:rtl/>
        </w:rPr>
        <w:t xml:space="preserve">כן </w:t>
      </w:r>
      <w:r>
        <w:rPr>
          <w:rFonts w:ascii="David" w:hAnsi="David"/>
          <w:rtl/>
        </w:rPr>
        <w:t xml:space="preserve"> עונש של מאסר מותנה. בהינתן מצבו הכספי הקשה של הנאשם, לא יושת עליו קנס כספי. </w:t>
      </w:r>
    </w:p>
    <w:p w14:paraId="1A91201A" w14:textId="77777777" w:rsidR="00672FC5" w:rsidRDefault="00672FC5" w:rsidP="00672FC5">
      <w:pPr>
        <w:spacing w:line="360" w:lineRule="auto"/>
        <w:jc w:val="both"/>
        <w:rPr>
          <w:rFonts w:ascii="David" w:hAnsi="David"/>
          <w:rtl/>
        </w:rPr>
      </w:pPr>
    </w:p>
    <w:p w14:paraId="4C8941E9" w14:textId="77777777" w:rsidR="00672FC5" w:rsidRDefault="00672FC5" w:rsidP="00672FC5">
      <w:pPr>
        <w:spacing w:line="360" w:lineRule="auto"/>
        <w:jc w:val="both"/>
        <w:rPr>
          <w:rtl/>
        </w:rPr>
      </w:pPr>
      <w:r>
        <w:rPr>
          <w:rFonts w:ascii="David" w:hAnsi="David" w:hint="cs"/>
          <w:rtl/>
        </w:rPr>
        <w:t>20.</w:t>
      </w:r>
      <w:r>
        <w:rPr>
          <w:rFonts w:ascii="David" w:hAnsi="David" w:hint="cs"/>
          <w:rtl/>
        </w:rPr>
        <w:tab/>
      </w:r>
      <w:r>
        <w:rPr>
          <w:rFonts w:ascii="David" w:hAnsi="David"/>
          <w:rtl/>
        </w:rPr>
        <w:t>בסיכומו של דבר אני דנה את הנאשם כדלקמן:</w:t>
      </w:r>
    </w:p>
    <w:p w14:paraId="48B277E3" w14:textId="77777777" w:rsidR="00672FC5" w:rsidRPr="00D02E0E" w:rsidRDefault="00672FC5" w:rsidP="00672FC5">
      <w:pPr>
        <w:pStyle w:val="a9"/>
        <w:numPr>
          <w:ilvl w:val="0"/>
          <w:numId w:val="3"/>
        </w:numPr>
        <w:bidi/>
        <w:spacing w:line="360" w:lineRule="auto"/>
        <w:jc w:val="both"/>
        <w:rPr>
          <w:rFonts w:ascii="David" w:hAnsi="David" w:cs="David"/>
        </w:rPr>
      </w:pPr>
      <w:r w:rsidRPr="00D02E0E">
        <w:rPr>
          <w:rFonts w:ascii="David" w:hAnsi="David" w:cs="David"/>
          <w:rtl/>
        </w:rPr>
        <w:t>למאסר בפועל לתקופה של 24 חודשים, בניכוי ימי מעצרו (מיום 3/3/21).</w:t>
      </w:r>
    </w:p>
    <w:p w14:paraId="01AE1D0E" w14:textId="77777777" w:rsidR="00672FC5" w:rsidRPr="00D02E0E" w:rsidRDefault="00672FC5" w:rsidP="00672FC5">
      <w:pPr>
        <w:pStyle w:val="a9"/>
        <w:numPr>
          <w:ilvl w:val="0"/>
          <w:numId w:val="3"/>
        </w:numPr>
        <w:bidi/>
        <w:spacing w:line="360" w:lineRule="auto"/>
        <w:jc w:val="both"/>
        <w:rPr>
          <w:rFonts w:ascii="David" w:hAnsi="David" w:cs="David"/>
        </w:rPr>
      </w:pPr>
      <w:r w:rsidRPr="00D02E0E">
        <w:rPr>
          <w:rFonts w:ascii="David" w:hAnsi="David" w:cs="David"/>
          <w:rtl/>
        </w:rPr>
        <w:t xml:space="preserve">למאסר על תנאי לתקופה של 12 חודשים למשך 3 שנים, והתנאי הוא לבל יעבור        הנאשם עבירה מסוג פשע לפי </w:t>
      </w:r>
      <w:hyperlink r:id="rId31" w:history="1">
        <w:r w:rsidR="00B10EE4" w:rsidRPr="00B10EE4">
          <w:rPr>
            <w:rStyle w:val="Hyperlink"/>
            <w:rFonts w:ascii="David" w:hAnsi="David" w:cs="David"/>
            <w:rtl/>
          </w:rPr>
          <w:t>סעיף 144</w:t>
        </w:r>
      </w:hyperlink>
      <w:r w:rsidRPr="00D02E0E">
        <w:rPr>
          <w:rFonts w:ascii="David" w:hAnsi="David" w:cs="David"/>
          <w:rtl/>
        </w:rPr>
        <w:t xml:space="preserve"> ל</w:t>
      </w:r>
      <w:hyperlink r:id="rId32" w:history="1">
        <w:r w:rsidR="00300F58" w:rsidRPr="00300F58">
          <w:rPr>
            <w:rFonts w:ascii="David" w:hAnsi="David" w:cs="David"/>
            <w:color w:val="0000FF"/>
            <w:u w:val="single"/>
            <w:rtl/>
          </w:rPr>
          <w:t>חוק העונשין</w:t>
        </w:r>
      </w:hyperlink>
      <w:r w:rsidRPr="00D02E0E">
        <w:rPr>
          <w:rFonts w:ascii="David" w:hAnsi="David" w:cs="David"/>
          <w:rtl/>
        </w:rPr>
        <w:t xml:space="preserve">, התשל"ז-1977. </w:t>
      </w:r>
    </w:p>
    <w:p w14:paraId="0F9D508B" w14:textId="77777777" w:rsidR="00672FC5" w:rsidRDefault="00672FC5" w:rsidP="00672FC5">
      <w:pPr>
        <w:pStyle w:val="a9"/>
        <w:numPr>
          <w:ilvl w:val="0"/>
          <w:numId w:val="3"/>
        </w:numPr>
        <w:bidi/>
        <w:spacing w:line="360" w:lineRule="auto"/>
        <w:jc w:val="both"/>
        <w:rPr>
          <w:rFonts w:ascii="David" w:hAnsi="David" w:cs="David"/>
        </w:rPr>
      </w:pPr>
      <w:r w:rsidRPr="00D02E0E">
        <w:rPr>
          <w:rFonts w:ascii="David" w:hAnsi="David" w:cs="David"/>
          <w:rtl/>
        </w:rPr>
        <w:t xml:space="preserve">למאסר על תנאי לתקופה של 6 חודשים למשך 3 שנים, והתנאי הוא לבל יעבור הנאשם עבירה מסוג עוון לפי </w:t>
      </w:r>
      <w:hyperlink r:id="rId33" w:history="1">
        <w:r w:rsidR="00B10EE4" w:rsidRPr="00B10EE4">
          <w:rPr>
            <w:rStyle w:val="Hyperlink"/>
            <w:rFonts w:ascii="David" w:hAnsi="David" w:cs="David"/>
            <w:rtl/>
          </w:rPr>
          <w:t>סעיף 144</w:t>
        </w:r>
      </w:hyperlink>
      <w:r w:rsidRPr="00D02E0E">
        <w:rPr>
          <w:rFonts w:ascii="David" w:hAnsi="David" w:cs="David"/>
          <w:rtl/>
        </w:rPr>
        <w:t xml:space="preserve"> ל</w:t>
      </w:r>
      <w:hyperlink r:id="rId34" w:history="1">
        <w:r w:rsidR="00300F58" w:rsidRPr="00300F58">
          <w:rPr>
            <w:rFonts w:ascii="David" w:hAnsi="David" w:cs="David"/>
            <w:color w:val="0000FF"/>
            <w:u w:val="single"/>
            <w:rtl/>
          </w:rPr>
          <w:t>חוק העונשין</w:t>
        </w:r>
      </w:hyperlink>
      <w:r w:rsidRPr="00D02E0E">
        <w:rPr>
          <w:rFonts w:ascii="David" w:hAnsi="David" w:cs="David"/>
          <w:rtl/>
        </w:rPr>
        <w:t>, התשל"ז-1977.</w:t>
      </w:r>
    </w:p>
    <w:p w14:paraId="2127AFA7" w14:textId="77777777" w:rsidR="00672FC5" w:rsidRPr="00D02E0E" w:rsidRDefault="00672FC5" w:rsidP="00672FC5">
      <w:pPr>
        <w:pStyle w:val="a9"/>
        <w:numPr>
          <w:ilvl w:val="0"/>
          <w:numId w:val="3"/>
        </w:numPr>
        <w:bidi/>
        <w:spacing w:line="360" w:lineRule="auto"/>
        <w:jc w:val="both"/>
        <w:rPr>
          <w:rFonts w:ascii="David" w:hAnsi="David" w:cs="David"/>
          <w:rtl/>
        </w:rPr>
      </w:pPr>
      <w:r>
        <w:rPr>
          <w:rFonts w:ascii="David" w:hAnsi="David" w:cs="David" w:hint="cs"/>
          <w:rtl/>
        </w:rPr>
        <w:t>לבקשת המאשימה, ניתן בזה צו להשמדת הנשק, המחסנית, הכדורים וכן הגרב וכובע הגרב שנתפסו.</w:t>
      </w:r>
    </w:p>
    <w:p w14:paraId="0A8A6B45" w14:textId="77777777" w:rsidR="00672FC5" w:rsidRDefault="00672FC5" w:rsidP="00672FC5">
      <w:pPr>
        <w:spacing w:line="360" w:lineRule="auto"/>
        <w:jc w:val="both"/>
        <w:rPr>
          <w:rFonts w:ascii="David" w:hAnsi="David"/>
          <w:rtl/>
        </w:rPr>
      </w:pPr>
    </w:p>
    <w:p w14:paraId="7B41E21F" w14:textId="77777777" w:rsidR="00672FC5" w:rsidRPr="00F8056D" w:rsidRDefault="00672FC5" w:rsidP="00672FC5">
      <w:pPr>
        <w:spacing w:line="360" w:lineRule="auto"/>
        <w:jc w:val="both"/>
        <w:rPr>
          <w:rFonts w:ascii="David" w:hAnsi="David"/>
          <w:b/>
          <w:bCs/>
          <w:rtl/>
        </w:rPr>
      </w:pPr>
      <w:r w:rsidRPr="00F8056D">
        <w:rPr>
          <w:rFonts w:ascii="David" w:hAnsi="David" w:hint="cs"/>
          <w:b/>
          <w:bCs/>
          <w:rtl/>
        </w:rPr>
        <w:t xml:space="preserve">זכות ערעור לבית המשפט העליון תוך 45 יום מהיום. </w:t>
      </w:r>
    </w:p>
    <w:p w14:paraId="298CB7F9" w14:textId="77777777" w:rsidR="00672FC5" w:rsidRDefault="00672FC5" w:rsidP="00672FC5">
      <w:pPr>
        <w:jc w:val="both"/>
        <w:rPr>
          <w:rFonts w:ascii="David" w:hAnsi="David"/>
          <w:sz w:val="26"/>
          <w:szCs w:val="26"/>
          <w:rtl/>
        </w:rPr>
      </w:pPr>
    </w:p>
    <w:p w14:paraId="167A96EA" w14:textId="77777777" w:rsidR="00672FC5" w:rsidRDefault="00672FC5" w:rsidP="00672FC5">
      <w:pPr>
        <w:jc w:val="both"/>
        <w:rPr>
          <w:rFonts w:ascii="David" w:hAnsi="David"/>
          <w:sz w:val="26"/>
          <w:szCs w:val="26"/>
          <w:rtl/>
        </w:rPr>
      </w:pPr>
    </w:p>
    <w:p w14:paraId="77FC3F1C" w14:textId="77777777" w:rsidR="00672FC5" w:rsidRPr="0045531A" w:rsidRDefault="00300F58" w:rsidP="00672FC5">
      <w:pPr>
        <w:spacing w:line="360" w:lineRule="auto"/>
        <w:jc w:val="both"/>
        <w:rPr>
          <w:rFonts w:ascii="David" w:hAnsi="David"/>
          <w:b/>
          <w:bCs/>
          <w:sz w:val="26"/>
          <w:szCs w:val="26"/>
          <w:rtl/>
        </w:rPr>
      </w:pPr>
      <w:bookmarkStart w:id="7" w:name="Nitan"/>
      <w:r w:rsidRPr="00300F58">
        <w:rPr>
          <w:rFonts w:ascii="David" w:hAnsi="David"/>
          <w:b/>
          <w:bCs/>
          <w:color w:val="FFFFFF"/>
          <w:sz w:val="2"/>
          <w:szCs w:val="2"/>
          <w:rtl/>
        </w:rPr>
        <w:t>5129371</w:t>
      </w:r>
      <w:r>
        <w:rPr>
          <w:rFonts w:ascii="David" w:hAnsi="David"/>
          <w:b/>
          <w:bCs/>
          <w:sz w:val="26"/>
          <w:szCs w:val="26"/>
          <w:rtl/>
        </w:rPr>
        <w:t xml:space="preserve">ניתן היום,  י"א תמוז תשפ"א, 21 יוני 2021, במעמד ב"כ המאשימה עו"ד אדם סרי, ב"כ </w:t>
      </w:r>
      <w:bookmarkEnd w:id="7"/>
      <w:r w:rsidR="00672FC5" w:rsidRPr="0045531A">
        <w:rPr>
          <w:rFonts w:ascii="David" w:hAnsi="David" w:hint="cs"/>
          <w:b/>
          <w:bCs/>
          <w:sz w:val="26"/>
          <w:szCs w:val="26"/>
          <w:rtl/>
        </w:rPr>
        <w:t>הנאשם</w:t>
      </w:r>
      <w:r w:rsidR="00672FC5">
        <w:rPr>
          <w:rFonts w:ascii="David" w:hAnsi="David" w:hint="cs"/>
          <w:b/>
          <w:bCs/>
          <w:sz w:val="26"/>
          <w:szCs w:val="26"/>
          <w:rtl/>
        </w:rPr>
        <w:t xml:space="preserve"> עו"ד גב' סנדי אלקבץ ו</w:t>
      </w:r>
      <w:r w:rsidR="00672FC5" w:rsidRPr="0045531A">
        <w:rPr>
          <w:rFonts w:ascii="David" w:hAnsi="David" w:hint="cs"/>
          <w:b/>
          <w:bCs/>
          <w:sz w:val="26"/>
          <w:szCs w:val="26"/>
          <w:rtl/>
        </w:rPr>
        <w:t>כן הנאשם שהובא על-ידי שב"ס.</w:t>
      </w:r>
    </w:p>
    <w:p w14:paraId="230E068A" w14:textId="77777777" w:rsidR="00672FC5" w:rsidRPr="00300F58" w:rsidRDefault="00300F58" w:rsidP="00672FC5">
      <w:pPr>
        <w:spacing w:line="360" w:lineRule="auto"/>
        <w:jc w:val="both"/>
        <w:rPr>
          <w:rFonts w:ascii="David" w:hAnsi="David"/>
          <w:color w:val="FFFFFF"/>
          <w:sz w:val="2"/>
          <w:szCs w:val="2"/>
          <w:rtl/>
        </w:rPr>
      </w:pPr>
      <w:r w:rsidRPr="00300F58">
        <w:rPr>
          <w:rFonts w:ascii="David" w:hAnsi="David"/>
          <w:color w:val="FFFFFF"/>
          <w:sz w:val="2"/>
          <w:szCs w:val="2"/>
          <w:rtl/>
        </w:rPr>
        <w:t>54678313</w:t>
      </w:r>
    </w:p>
    <w:p w14:paraId="6C1DAF3A" w14:textId="77777777" w:rsidR="00672FC5" w:rsidRDefault="00672FC5" w:rsidP="00672FC5">
      <w:pPr>
        <w:jc w:val="both"/>
        <w:rPr>
          <w:rFonts w:ascii="David" w:hAnsi="David"/>
          <w:sz w:val="26"/>
          <w:szCs w:val="26"/>
        </w:rPr>
      </w:pPr>
    </w:p>
    <w:p w14:paraId="49D82EC5" w14:textId="77777777" w:rsidR="00672FC5" w:rsidRDefault="00672FC5" w:rsidP="00300F58">
      <w:pPr>
        <w:jc w:val="both"/>
      </w:pPr>
      <w:r>
        <w:rPr>
          <w:rFonts w:ascii="David" w:hAnsi="David"/>
          <w:sz w:val="26"/>
          <w:szCs w:val="26"/>
          <w:rtl/>
        </w:rPr>
        <w:t xml:space="preserve">   </w:t>
      </w:r>
      <w:r>
        <w:rPr>
          <w:rFonts w:ascii="David" w:hAnsi="David"/>
          <w:sz w:val="26"/>
          <w:szCs w:val="26"/>
          <w:rtl/>
        </w:rPr>
        <w:tab/>
      </w:r>
      <w:r>
        <w:rPr>
          <w:rFonts w:ascii="David" w:hAnsi="David"/>
          <w:sz w:val="26"/>
          <w:szCs w:val="26"/>
          <w:rtl/>
        </w:rPr>
        <w:tab/>
      </w:r>
      <w:r>
        <w:rPr>
          <w:rFonts w:ascii="David" w:hAnsi="David"/>
          <w:sz w:val="26"/>
          <w:szCs w:val="26"/>
          <w:rtl/>
        </w:rPr>
        <w:tab/>
      </w:r>
      <w:r>
        <w:rPr>
          <w:rFonts w:ascii="David" w:hAnsi="David"/>
          <w:sz w:val="26"/>
          <w:szCs w:val="26"/>
          <w:rtl/>
        </w:rPr>
        <w:tab/>
      </w:r>
      <w:r>
        <w:rPr>
          <w:rFonts w:ascii="David" w:hAnsi="David"/>
          <w:sz w:val="26"/>
          <w:szCs w:val="26"/>
          <w:rtl/>
        </w:rPr>
        <w:tab/>
      </w:r>
    </w:p>
    <w:p w14:paraId="05870839" w14:textId="77777777" w:rsidR="00672FC5" w:rsidRDefault="00672FC5" w:rsidP="00672FC5">
      <w:pPr>
        <w:jc w:val="both"/>
        <w:rPr>
          <w:rFonts w:ascii="David" w:hAnsi="David"/>
          <w:sz w:val="26"/>
          <w:szCs w:val="26"/>
          <w:rtl/>
        </w:rPr>
      </w:pPr>
    </w:p>
    <w:p w14:paraId="28531F37" w14:textId="77777777" w:rsidR="00672FC5" w:rsidRPr="0045531A" w:rsidRDefault="00672FC5" w:rsidP="00672FC5">
      <w:pPr>
        <w:jc w:val="both"/>
        <w:rPr>
          <w:rtl/>
        </w:rPr>
      </w:pPr>
    </w:p>
    <w:p w14:paraId="17E156C7" w14:textId="77777777" w:rsidR="003E2829" w:rsidRPr="00300F58" w:rsidRDefault="003E2829" w:rsidP="00300F58">
      <w:pPr>
        <w:keepNext/>
        <w:rPr>
          <w:rFonts w:ascii="David" w:hAnsi="David"/>
          <w:color w:val="000000"/>
          <w:sz w:val="22"/>
          <w:szCs w:val="22"/>
          <w:rtl/>
        </w:rPr>
      </w:pPr>
    </w:p>
    <w:p w14:paraId="3ACAC2F2" w14:textId="77777777" w:rsidR="00300F58" w:rsidRPr="00300F58" w:rsidRDefault="00300F58" w:rsidP="00300F58">
      <w:pPr>
        <w:keepNext/>
        <w:rPr>
          <w:rFonts w:ascii="David" w:hAnsi="David"/>
          <w:color w:val="000000"/>
          <w:sz w:val="22"/>
          <w:szCs w:val="22"/>
          <w:rtl/>
        </w:rPr>
      </w:pPr>
      <w:r w:rsidRPr="00300F58">
        <w:rPr>
          <w:rFonts w:ascii="David" w:hAnsi="David"/>
          <w:color w:val="000000"/>
          <w:sz w:val="22"/>
          <w:szCs w:val="22"/>
          <w:rtl/>
        </w:rPr>
        <w:t>רונית בש 54678313</w:t>
      </w:r>
    </w:p>
    <w:p w14:paraId="0FA58FAA" w14:textId="77777777" w:rsidR="00300F58" w:rsidRDefault="00300F58" w:rsidP="00300F58">
      <w:pPr>
        <w:rPr>
          <w:rFonts w:hint="cs"/>
        </w:rPr>
      </w:pPr>
      <w:r w:rsidRPr="00300F58">
        <w:rPr>
          <w:color w:val="000000"/>
          <w:rtl/>
        </w:rPr>
        <w:t>נוסח מסמך זה כפוף לשינויי ניסוח ועריכה</w:t>
      </w:r>
      <w:r w:rsidR="00940FDD">
        <w:rPr>
          <w:rFonts w:hint="cs"/>
          <w:rtl/>
        </w:rPr>
        <w:t xml:space="preserve"> </w:t>
      </w:r>
    </w:p>
    <w:p w14:paraId="5D8526C0" w14:textId="77777777" w:rsidR="00300F58" w:rsidRDefault="00300F58" w:rsidP="00300F58">
      <w:pPr>
        <w:rPr>
          <w:rtl/>
        </w:rPr>
      </w:pPr>
    </w:p>
    <w:p w14:paraId="582C8437" w14:textId="77777777" w:rsidR="00300F58" w:rsidRDefault="00300F58" w:rsidP="00300F58">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ED92479" w14:textId="77777777" w:rsidR="00300F58" w:rsidRPr="00300F58" w:rsidRDefault="00300F58" w:rsidP="00300F58">
      <w:pPr>
        <w:jc w:val="center"/>
        <w:rPr>
          <w:color w:val="0000FF"/>
          <w:u w:val="single"/>
        </w:rPr>
      </w:pPr>
    </w:p>
    <w:sectPr w:rsidR="00300F58" w:rsidRPr="00300F58" w:rsidSect="00300F58">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4C292" w14:textId="77777777" w:rsidR="00F239D3" w:rsidRDefault="00F239D3" w:rsidP="00375B81">
      <w:r>
        <w:separator/>
      </w:r>
    </w:p>
  </w:endnote>
  <w:endnote w:type="continuationSeparator" w:id="0">
    <w:p w14:paraId="6FE9B6FA" w14:textId="77777777" w:rsidR="00F239D3" w:rsidRDefault="00F239D3" w:rsidP="00375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81E20" w14:textId="77777777" w:rsidR="00300F58" w:rsidRDefault="00300F58" w:rsidP="00300F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588B2A" w14:textId="77777777" w:rsidR="00BE5919" w:rsidRPr="00300F58" w:rsidRDefault="00300F58" w:rsidP="00300F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40BF" w14:textId="77777777" w:rsidR="00300F58" w:rsidRDefault="00300F58" w:rsidP="00300F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4044">
      <w:rPr>
        <w:rFonts w:ascii="FrankRuehl" w:hAnsi="FrankRuehl" w:cs="FrankRuehl"/>
        <w:noProof/>
        <w:rtl/>
      </w:rPr>
      <w:t>1</w:t>
    </w:r>
    <w:r>
      <w:rPr>
        <w:rFonts w:ascii="FrankRuehl" w:hAnsi="FrankRuehl" w:cs="FrankRuehl"/>
        <w:rtl/>
      </w:rPr>
      <w:fldChar w:fldCharType="end"/>
    </w:r>
  </w:p>
  <w:p w14:paraId="5AC0AC1D" w14:textId="77777777" w:rsidR="00BE5919" w:rsidRPr="00300F58" w:rsidRDefault="00300F58" w:rsidP="00300F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E495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4F4CA" w14:textId="77777777" w:rsidR="00F239D3" w:rsidRDefault="00F239D3" w:rsidP="00375B81">
      <w:r>
        <w:separator/>
      </w:r>
    </w:p>
  </w:footnote>
  <w:footnote w:type="continuationSeparator" w:id="0">
    <w:p w14:paraId="5B3D3B8B" w14:textId="77777777" w:rsidR="00F239D3" w:rsidRDefault="00F239D3" w:rsidP="00375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EDD11" w14:textId="77777777" w:rsidR="00300F58" w:rsidRPr="00300F58" w:rsidRDefault="00300F58" w:rsidP="00300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31811-03-21</w:t>
    </w:r>
    <w:r>
      <w:rPr>
        <w:rFonts w:ascii="David" w:hAnsi="David"/>
        <w:color w:val="000000"/>
        <w:sz w:val="22"/>
        <w:szCs w:val="22"/>
        <w:rtl/>
      </w:rPr>
      <w:tab/>
      <w:t xml:space="preserve"> מדינת ישראל נ' שלום שי אלמלח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F17FD" w14:textId="77777777" w:rsidR="00300F58" w:rsidRPr="00300F58" w:rsidRDefault="00300F58" w:rsidP="00300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31811-03-21</w:t>
    </w:r>
    <w:r>
      <w:rPr>
        <w:rFonts w:ascii="David" w:hAnsi="David"/>
        <w:color w:val="000000"/>
        <w:sz w:val="22"/>
        <w:szCs w:val="22"/>
        <w:rtl/>
      </w:rPr>
      <w:tab/>
      <w:t xml:space="preserve"> מדינת ישראל נ' שלום שי אלמלח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65832"/>
    <w:multiLevelType w:val="hybridMultilevel"/>
    <w:tmpl w:val="1E529C96"/>
    <w:lvl w:ilvl="0" w:tplc="29AE7A9C">
      <w:start w:val="7"/>
      <w:numFmt w:val="bullet"/>
      <w:lvlText w:val=""/>
      <w:lvlJc w:val="left"/>
      <w:pPr>
        <w:ind w:left="1069" w:hanging="360"/>
      </w:pPr>
      <w:rPr>
        <w:rFonts w:ascii="Symbol" w:eastAsia="Times New Roman" w:hAnsi="Symbol" w:cs="David"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 w15:restartNumberingAfterBreak="0">
    <w:nsid w:val="16E74A6A"/>
    <w:multiLevelType w:val="hybridMultilevel"/>
    <w:tmpl w:val="F44A4F5E"/>
    <w:lvl w:ilvl="0" w:tplc="563EDDD4">
      <w:start w:val="1"/>
      <w:numFmt w:val="bullet"/>
      <w:lvlText w:val=""/>
      <w:lvlJc w:val="left"/>
      <w:pPr>
        <w:ind w:left="1069" w:hanging="360"/>
      </w:pPr>
      <w:rPr>
        <w:rFonts w:ascii="Symbol" w:hAnsi="Symbol" w:hint="default"/>
        <w:lang w:bidi="he-IL"/>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2" w15:restartNumberingAfterBreak="0">
    <w:nsid w:val="7CD12E33"/>
    <w:multiLevelType w:val="hybridMultilevel"/>
    <w:tmpl w:val="ADB6B458"/>
    <w:lvl w:ilvl="0" w:tplc="3B8A6D6A">
      <w:start w:val="1"/>
      <w:numFmt w:val="bullet"/>
      <w:lvlText w:val=""/>
      <w:lvlJc w:val="left"/>
      <w:pPr>
        <w:ind w:left="643"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32863224">
    <w:abstractNumId w:val="2"/>
  </w:num>
  <w:num w:numId="2" w16cid:durableId="1201211799">
    <w:abstractNumId w:val="1"/>
  </w:num>
  <w:num w:numId="3" w16cid:durableId="68144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2FC5"/>
    <w:rsid w:val="000D5159"/>
    <w:rsid w:val="001B5A3B"/>
    <w:rsid w:val="00300F58"/>
    <w:rsid w:val="00324044"/>
    <w:rsid w:val="00375B81"/>
    <w:rsid w:val="003E2829"/>
    <w:rsid w:val="00672FC5"/>
    <w:rsid w:val="00940FDD"/>
    <w:rsid w:val="00A90D0B"/>
    <w:rsid w:val="00B10EE4"/>
    <w:rsid w:val="00B7193F"/>
    <w:rsid w:val="00BE5919"/>
    <w:rsid w:val="00E50730"/>
    <w:rsid w:val="00E74E50"/>
    <w:rsid w:val="00F239D3"/>
    <w:rsid w:val="00F46CBB"/>
    <w:rsid w:val="00FF0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524B14"/>
  <w15:chartTrackingRefBased/>
  <w15:docId w15:val="{C7480943-972D-4C36-A4C4-1508A81C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2F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2FC5"/>
    <w:pPr>
      <w:tabs>
        <w:tab w:val="center" w:pos="4153"/>
        <w:tab w:val="right" w:pos="8306"/>
      </w:tabs>
    </w:pPr>
  </w:style>
  <w:style w:type="character" w:customStyle="1" w:styleId="a4">
    <w:name w:val="כותרת עליונה תו"/>
    <w:link w:val="a3"/>
    <w:rsid w:val="00672FC5"/>
    <w:rPr>
      <w:rFonts w:ascii="Times New Roman" w:eastAsia="Times New Roman" w:hAnsi="Times New Roman" w:cs="David"/>
      <w:sz w:val="24"/>
      <w:szCs w:val="24"/>
    </w:rPr>
  </w:style>
  <w:style w:type="paragraph" w:styleId="a5">
    <w:name w:val="footer"/>
    <w:basedOn w:val="a"/>
    <w:link w:val="a6"/>
    <w:rsid w:val="00672FC5"/>
    <w:pPr>
      <w:tabs>
        <w:tab w:val="center" w:pos="4153"/>
        <w:tab w:val="right" w:pos="8306"/>
      </w:tabs>
    </w:pPr>
  </w:style>
  <w:style w:type="character" w:customStyle="1" w:styleId="a6">
    <w:name w:val="כותרת תחתונה תו"/>
    <w:link w:val="a5"/>
    <w:rsid w:val="00672FC5"/>
    <w:rPr>
      <w:rFonts w:ascii="Times New Roman" w:eastAsia="Times New Roman" w:hAnsi="Times New Roman" w:cs="David"/>
      <w:sz w:val="24"/>
      <w:szCs w:val="24"/>
    </w:rPr>
  </w:style>
  <w:style w:type="table" w:styleId="a7">
    <w:name w:val="Table Grid"/>
    <w:basedOn w:val="a1"/>
    <w:rsid w:val="00672F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72FC5"/>
  </w:style>
  <w:style w:type="character" w:styleId="Hyperlink">
    <w:name w:val="Hyperlink"/>
    <w:rsid w:val="00672FC5"/>
    <w:rPr>
      <w:color w:val="0000FF"/>
      <w:u w:val="single"/>
    </w:rPr>
  </w:style>
  <w:style w:type="paragraph" w:styleId="a9">
    <w:name w:val="List Paragraph"/>
    <w:basedOn w:val="a"/>
    <w:qFormat/>
    <w:rsid w:val="00672FC5"/>
    <w:pPr>
      <w:bidi w:val="0"/>
      <w:spacing w:before="100" w:beforeAutospacing="1" w:after="100" w:afterAutospacing="1"/>
    </w:pPr>
    <w:rPr>
      <w:rFonts w:cs="Times New Roman"/>
    </w:rPr>
  </w:style>
  <w:style w:type="paragraph" w:customStyle="1" w:styleId="ruller4">
    <w:name w:val="ruller4"/>
    <w:basedOn w:val="a"/>
    <w:rsid w:val="00672FC5"/>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c" TargetMode="External"/><Relationship Id="rId26" Type="http://schemas.openxmlformats.org/officeDocument/2006/relationships/hyperlink" Target="http://www.nevo.co.il/law/70301/144.b"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law/70301/40i" TargetMode="External"/><Relationship Id="rId29" Type="http://schemas.openxmlformats.org/officeDocument/2006/relationships/hyperlink" Target="http://www.nevo.co.il/case/2670766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case/6000182"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2137915" TargetMode="External"/><Relationship Id="rId36" Type="http://schemas.openxmlformats.org/officeDocument/2006/relationships/header" Target="header1.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60150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7840699"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6243627" TargetMode="External"/><Relationship Id="rId25" Type="http://schemas.openxmlformats.org/officeDocument/2006/relationships/hyperlink" Target="http://www.nevo.co.il/case/25612982" TargetMode="External"/><Relationship Id="rId33" Type="http://schemas.openxmlformats.org/officeDocument/2006/relationships/hyperlink" Target="http://www.nevo.co.il/law/70301/14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2303</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13791</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3932277</vt:i4>
      </vt:variant>
      <vt:variant>
        <vt:i4>69</vt:i4>
      </vt:variant>
      <vt:variant>
        <vt:i4>0</vt:i4>
      </vt:variant>
      <vt:variant>
        <vt:i4>5</vt:i4>
      </vt:variant>
      <vt:variant>
        <vt:lpwstr>http://www.nevo.co.il/case/7840699</vt:lpwstr>
      </vt:variant>
      <vt:variant>
        <vt:lpwstr/>
      </vt:variant>
      <vt:variant>
        <vt:i4>3407988</vt:i4>
      </vt:variant>
      <vt:variant>
        <vt:i4>66</vt:i4>
      </vt:variant>
      <vt:variant>
        <vt:i4>0</vt:i4>
      </vt:variant>
      <vt:variant>
        <vt:i4>5</vt:i4>
      </vt:variant>
      <vt:variant>
        <vt:lpwstr>http://www.nevo.co.il/case/26707667</vt:lpwstr>
      </vt:variant>
      <vt:variant>
        <vt:lpwstr/>
      </vt:variant>
      <vt:variant>
        <vt:i4>3473532</vt:i4>
      </vt:variant>
      <vt:variant>
        <vt:i4>63</vt:i4>
      </vt:variant>
      <vt:variant>
        <vt:i4>0</vt:i4>
      </vt:variant>
      <vt:variant>
        <vt:i4>5</vt:i4>
      </vt:variant>
      <vt:variant>
        <vt:lpwstr>http://www.nevo.co.il/case/22137915</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4063353</vt:i4>
      </vt:variant>
      <vt:variant>
        <vt:i4>54</vt:i4>
      </vt:variant>
      <vt:variant>
        <vt:i4>0</vt:i4>
      </vt:variant>
      <vt:variant>
        <vt:i4>5</vt:i4>
      </vt:variant>
      <vt:variant>
        <vt:lpwstr>http://www.nevo.co.il/case/25612982</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3342451</vt:i4>
      </vt:variant>
      <vt:variant>
        <vt:i4>45</vt:i4>
      </vt:variant>
      <vt:variant>
        <vt:i4>0</vt:i4>
      </vt:variant>
      <vt:variant>
        <vt:i4>5</vt:i4>
      </vt:variant>
      <vt:variant>
        <vt:lpwstr>http://www.nevo.co.il/case/5601503</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3342455</vt:i4>
      </vt:variant>
      <vt:variant>
        <vt:i4>30</vt:i4>
      </vt:variant>
      <vt:variant>
        <vt:i4>0</vt:i4>
      </vt:variant>
      <vt:variant>
        <vt:i4>5</vt:i4>
      </vt:variant>
      <vt:variant>
        <vt:lpwstr>http://www.nevo.co.il/case/6243627</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31811</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שלום שי אלמלח מלכה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20210621</vt:lpwstr>
  </property>
  <property fmtid="{D5CDD505-2E9C-101B-9397-08002B2CF9AE}" pid="13" name="TYPE_N_DATE">
    <vt:lpwstr>39020210621</vt:lpwstr>
  </property>
  <property fmtid="{D5CDD505-2E9C-101B-9397-08002B2CF9AE}" pid="14" name="WORDNUMPAGES">
    <vt:lpwstr>7</vt:lpwstr>
  </property>
  <property fmtid="{D5CDD505-2E9C-101B-9397-08002B2CF9AE}" pid="15" name="TYPE_ABS_DATE">
    <vt:lpwstr>390020210621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6243627;5601503;7791493;6000182;25612982;22137915;26707667;7840699</vt:lpwstr>
  </property>
  <property fmtid="{D5CDD505-2E9C-101B-9397-08002B2CF9AE}" pid="36" name="LAWLISTTMP1">
    <vt:lpwstr>70301/144.b:2;040b;040c;040i;144:2</vt:lpwstr>
  </property>
</Properties>
</file>