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4311"/>
        <w:gridCol w:w="1209"/>
        <w:gridCol w:w="2458"/>
        <w:gridCol w:w="99"/>
      </w:tblGrid>
      <w:tr w:rsidR="00DF731F" w:rsidRPr="007E72A6" w14:paraId="0CD3AACF" w14:textId="77777777" w:rsidTr="003409F6">
        <w:trPr>
          <w:gridAfter w:val="1"/>
          <w:wAfter w:w="99" w:type="dxa"/>
          <w:trHeight w:hRule="exact" w:val="418"/>
          <w:jc w:val="center"/>
        </w:trPr>
        <w:tc>
          <w:tcPr>
            <w:tcW w:w="8721" w:type="dxa"/>
            <w:gridSpan w:val="4"/>
          </w:tcPr>
          <w:p w14:paraId="0B13ACAA" w14:textId="77777777" w:rsidR="00DF731F" w:rsidRPr="007E72A6" w:rsidRDefault="00DF731F" w:rsidP="00545CE4">
            <w:pPr>
              <w:pStyle w:val="a3"/>
              <w:jc w:val="center"/>
              <w:rPr>
                <w:rFonts w:ascii="Tahoma" w:hAnsi="Tahoma" w:cs="Tahoma"/>
                <w:color w:val="000080"/>
                <w:rtl/>
              </w:rPr>
            </w:pPr>
            <w:bookmarkStart w:id="0" w:name="FirstLawyer"/>
            <w:bookmarkStart w:id="1" w:name="LastJudge"/>
            <w:r w:rsidRPr="007E72A6">
              <w:rPr>
                <w:rFonts w:ascii="Tahoma" w:hAnsi="Tahoma" w:cs="Tahoma"/>
                <w:b/>
                <w:bCs/>
                <w:color w:val="000080"/>
                <w:rtl/>
              </w:rPr>
              <w:t>בית המשפט המחוזי בירושלים</w:t>
            </w:r>
          </w:p>
        </w:tc>
      </w:tr>
      <w:tr w:rsidR="00DF731F" w:rsidRPr="007E72A6" w14:paraId="32EA476F" w14:textId="77777777" w:rsidTr="003409F6">
        <w:trPr>
          <w:gridAfter w:val="1"/>
          <w:wAfter w:w="99" w:type="dxa"/>
          <w:trHeight w:val="337"/>
          <w:jc w:val="center"/>
        </w:trPr>
        <w:tc>
          <w:tcPr>
            <w:tcW w:w="5054" w:type="dxa"/>
            <w:gridSpan w:val="2"/>
          </w:tcPr>
          <w:p w14:paraId="2F4C91C1" w14:textId="77777777" w:rsidR="00DF731F" w:rsidRPr="007E72A6" w:rsidRDefault="00DF731F" w:rsidP="00545CE4">
            <w:pPr>
              <w:rPr>
                <w:rFonts w:cs="FrankRuehl"/>
                <w:sz w:val="28"/>
                <w:szCs w:val="28"/>
                <w:rtl/>
              </w:rPr>
            </w:pPr>
            <w:r w:rsidRPr="007E72A6">
              <w:rPr>
                <w:rFonts w:cs="FrankRuehl"/>
                <w:sz w:val="28"/>
                <w:szCs w:val="28"/>
                <w:rtl/>
              </w:rPr>
              <w:t>ת"פ</w:t>
            </w:r>
            <w:r w:rsidRPr="007E72A6">
              <w:rPr>
                <w:rFonts w:cs="FrankRuehl" w:hint="cs"/>
                <w:sz w:val="28"/>
                <w:szCs w:val="28"/>
                <w:rtl/>
              </w:rPr>
              <w:t xml:space="preserve"> </w:t>
            </w:r>
            <w:r w:rsidRPr="007E72A6">
              <w:rPr>
                <w:rFonts w:cs="FrankRuehl"/>
                <w:sz w:val="28"/>
                <w:szCs w:val="28"/>
                <w:rtl/>
              </w:rPr>
              <w:t>54460-03-21</w:t>
            </w:r>
            <w:r w:rsidRPr="007E72A6">
              <w:rPr>
                <w:rFonts w:cs="FrankRuehl" w:hint="cs"/>
                <w:sz w:val="28"/>
                <w:szCs w:val="28"/>
                <w:rtl/>
              </w:rPr>
              <w:t xml:space="preserve"> </w:t>
            </w:r>
            <w:r w:rsidRPr="007E72A6">
              <w:rPr>
                <w:rFonts w:cs="FrankRuehl"/>
                <w:sz w:val="28"/>
                <w:szCs w:val="28"/>
                <w:rtl/>
              </w:rPr>
              <w:t>מדינת ישראל נ' טסמה</w:t>
            </w:r>
          </w:p>
          <w:p w14:paraId="278068B0" w14:textId="77777777" w:rsidR="00DF731F" w:rsidRPr="007E72A6" w:rsidRDefault="00DF731F" w:rsidP="00545CE4">
            <w:pPr>
              <w:pStyle w:val="a3"/>
              <w:rPr>
                <w:rFonts w:cs="FrankRuehl"/>
                <w:sz w:val="28"/>
                <w:szCs w:val="28"/>
                <w:rtl/>
              </w:rPr>
            </w:pPr>
          </w:p>
        </w:tc>
        <w:tc>
          <w:tcPr>
            <w:tcW w:w="3667" w:type="dxa"/>
            <w:gridSpan w:val="2"/>
          </w:tcPr>
          <w:p w14:paraId="043CFE09" w14:textId="77777777" w:rsidR="00DF731F" w:rsidRPr="007E72A6" w:rsidRDefault="00DF731F" w:rsidP="00545CE4">
            <w:pPr>
              <w:pStyle w:val="a3"/>
              <w:jc w:val="right"/>
              <w:rPr>
                <w:rFonts w:cs="FrankRuehl"/>
                <w:sz w:val="28"/>
                <w:szCs w:val="28"/>
                <w:rtl/>
              </w:rPr>
            </w:pPr>
          </w:p>
        </w:tc>
      </w:tr>
      <w:tr w:rsidR="00DF731F" w:rsidRPr="007E72A6" w14:paraId="2F6DACEA" w14:textId="77777777" w:rsidTr="003409F6">
        <w:tblPrEx>
          <w:tblLook w:val="01E0" w:firstRow="1" w:lastRow="1" w:firstColumn="1" w:lastColumn="1" w:noHBand="0" w:noVBand="0"/>
        </w:tblPrEx>
        <w:trPr>
          <w:jc w:val="center"/>
        </w:trPr>
        <w:tc>
          <w:tcPr>
            <w:tcW w:w="743" w:type="dxa"/>
            <w:shd w:val="clear" w:color="auto" w:fill="auto"/>
          </w:tcPr>
          <w:p w14:paraId="60C32E96" w14:textId="77777777" w:rsidR="00DF731F" w:rsidRPr="007E72A6" w:rsidRDefault="00DF731F" w:rsidP="00DF731F">
            <w:pPr>
              <w:suppressLineNumbers/>
              <w:jc w:val="both"/>
              <w:rPr>
                <w:rFonts w:ascii="FrankRuehl" w:hAnsi="FrankRuehl" w:cs="FrankRuehl"/>
                <w:b/>
                <w:bCs/>
                <w:sz w:val="30"/>
                <w:szCs w:val="30"/>
                <w:rtl/>
              </w:rPr>
            </w:pPr>
            <w:r w:rsidRPr="007E72A6">
              <w:rPr>
                <w:rFonts w:hint="cs"/>
                <w:rtl/>
              </w:rPr>
              <w:t xml:space="preserve"> </w:t>
            </w:r>
            <w:r w:rsidRPr="007E72A6">
              <w:rPr>
                <w:rFonts w:ascii="FrankRuehl" w:hAnsi="FrankRuehl" w:cs="FrankRuehl"/>
                <w:b/>
                <w:bCs/>
                <w:sz w:val="30"/>
                <w:szCs w:val="30"/>
                <w:rtl/>
              </w:rPr>
              <w:t xml:space="preserve">בפני </w:t>
            </w:r>
          </w:p>
        </w:tc>
        <w:tc>
          <w:tcPr>
            <w:tcW w:w="8077" w:type="dxa"/>
            <w:gridSpan w:val="4"/>
            <w:shd w:val="clear" w:color="auto" w:fill="auto"/>
          </w:tcPr>
          <w:p w14:paraId="3ADF1259"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t>כב' השופט אילן סלע</w:t>
            </w:r>
          </w:p>
          <w:p w14:paraId="1ACFC2B7" w14:textId="77777777" w:rsidR="00DF731F" w:rsidRPr="007E72A6" w:rsidRDefault="00DF731F" w:rsidP="00DF731F">
            <w:pPr>
              <w:suppressLineNumbers/>
              <w:rPr>
                <w:rFonts w:ascii="FrankRuehl" w:hAnsi="FrankRuehl" w:cs="FrankRuehl"/>
                <w:sz w:val="30"/>
                <w:szCs w:val="30"/>
                <w:rtl/>
              </w:rPr>
            </w:pPr>
          </w:p>
        </w:tc>
      </w:tr>
      <w:tr w:rsidR="00DF731F" w:rsidRPr="007E72A6" w14:paraId="29798827" w14:textId="77777777" w:rsidTr="003409F6">
        <w:tblPrEx>
          <w:tblLook w:val="01E0" w:firstRow="1" w:lastRow="1" w:firstColumn="1" w:lastColumn="1" w:noHBand="0" w:noVBand="0"/>
        </w:tblPrEx>
        <w:trPr>
          <w:jc w:val="center"/>
        </w:trPr>
        <w:tc>
          <w:tcPr>
            <w:tcW w:w="6263" w:type="dxa"/>
            <w:gridSpan w:val="3"/>
            <w:shd w:val="clear" w:color="auto" w:fill="auto"/>
          </w:tcPr>
          <w:p w14:paraId="1D8F5CF5" w14:textId="77777777" w:rsidR="00DF731F" w:rsidRPr="007E72A6" w:rsidRDefault="00DF731F" w:rsidP="00DF731F">
            <w:pPr>
              <w:suppressLineNumbers/>
              <w:rPr>
                <w:rFonts w:ascii="FrankRuehl" w:hAnsi="FrankRuehl" w:cs="FrankRuehl"/>
                <w:sz w:val="30"/>
                <w:szCs w:val="30"/>
              </w:rPr>
            </w:pPr>
            <w:bookmarkStart w:id="2" w:name="FirstAppellant"/>
          </w:p>
          <w:p w14:paraId="1FEDF594"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t>מדינת ישראל</w:t>
            </w:r>
            <w:r w:rsidRPr="007E72A6">
              <w:rPr>
                <w:rFonts w:ascii="FrankRuehl" w:hAnsi="FrankRuehl" w:cs="FrankRuehl"/>
                <w:b/>
                <w:bCs/>
                <w:sz w:val="30"/>
                <w:szCs w:val="30"/>
                <w:rtl/>
              </w:rPr>
              <w:br/>
              <w:t>באמצעות פרקליטות מחוז ירושלים (פלילי),</w:t>
            </w:r>
            <w:r w:rsidRPr="007E72A6">
              <w:rPr>
                <w:rFonts w:ascii="FrankRuehl" w:hAnsi="FrankRuehl" w:cs="FrankRuehl"/>
                <w:b/>
                <w:bCs/>
                <w:sz w:val="30"/>
                <w:szCs w:val="30"/>
                <w:rtl/>
              </w:rPr>
              <w:br/>
              <w:t xml:space="preserve">ע"י עו"ד </w:t>
            </w:r>
            <w:r w:rsidRPr="007E72A6">
              <w:rPr>
                <w:rFonts w:ascii="FrankRuehl" w:hAnsi="FrankRuehl" w:cs="FrankRuehl" w:hint="cs"/>
                <w:b/>
                <w:bCs/>
                <w:sz w:val="30"/>
                <w:szCs w:val="30"/>
                <w:rtl/>
              </w:rPr>
              <w:t>שני טביב</w:t>
            </w:r>
          </w:p>
        </w:tc>
        <w:tc>
          <w:tcPr>
            <w:tcW w:w="2557" w:type="dxa"/>
            <w:gridSpan w:val="2"/>
            <w:shd w:val="clear" w:color="auto" w:fill="auto"/>
          </w:tcPr>
          <w:p w14:paraId="06F2E8B0" w14:textId="77777777" w:rsidR="00DF731F" w:rsidRPr="007E72A6" w:rsidRDefault="00DF731F" w:rsidP="00DF731F">
            <w:pPr>
              <w:suppressLineNumbers/>
              <w:rPr>
                <w:rFonts w:ascii="FrankRuehl" w:hAnsi="FrankRuehl" w:cs="FrankRuehl"/>
                <w:noProof/>
                <w:sz w:val="30"/>
                <w:szCs w:val="30"/>
                <w:rtl/>
              </w:rPr>
            </w:pPr>
          </w:p>
          <w:p w14:paraId="2FD56B13"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br/>
            </w:r>
            <w:r w:rsidRPr="007E72A6">
              <w:rPr>
                <w:rFonts w:ascii="FrankRuehl" w:hAnsi="FrankRuehl" w:cs="FrankRuehl"/>
                <w:b/>
                <w:bCs/>
                <w:sz w:val="30"/>
                <w:szCs w:val="30"/>
                <w:rtl/>
              </w:rPr>
              <w:br/>
              <w:t>המאשימה</w:t>
            </w:r>
          </w:p>
        </w:tc>
      </w:tr>
      <w:bookmarkEnd w:id="2"/>
      <w:tr w:rsidR="00DF731F" w:rsidRPr="007E72A6" w14:paraId="7C8C0D95" w14:textId="77777777" w:rsidTr="003409F6">
        <w:tblPrEx>
          <w:tblLook w:val="01E0" w:firstRow="1" w:lastRow="1" w:firstColumn="1" w:lastColumn="1" w:noHBand="0" w:noVBand="0"/>
        </w:tblPrEx>
        <w:trPr>
          <w:jc w:val="center"/>
        </w:trPr>
        <w:tc>
          <w:tcPr>
            <w:tcW w:w="8820" w:type="dxa"/>
            <w:gridSpan w:val="5"/>
            <w:shd w:val="clear" w:color="auto" w:fill="auto"/>
          </w:tcPr>
          <w:p w14:paraId="36690840" w14:textId="77777777" w:rsidR="00DF731F" w:rsidRPr="007E72A6" w:rsidRDefault="00DF731F" w:rsidP="00DF731F">
            <w:pPr>
              <w:suppressLineNumbers/>
              <w:rPr>
                <w:rFonts w:ascii="FrankRuehl" w:hAnsi="FrankRuehl" w:cs="FrankRuehl"/>
                <w:b/>
                <w:bCs/>
                <w:sz w:val="30"/>
                <w:szCs w:val="30"/>
              </w:rPr>
            </w:pPr>
          </w:p>
          <w:p w14:paraId="766E4F0C" w14:textId="77777777" w:rsidR="00DF731F" w:rsidRPr="007E72A6" w:rsidRDefault="00DF731F" w:rsidP="00DF731F">
            <w:pPr>
              <w:suppressLineNumbers/>
              <w:jc w:val="center"/>
              <w:rPr>
                <w:rFonts w:ascii="FrankRuehl" w:hAnsi="FrankRuehl" w:cs="FrankRuehl"/>
                <w:b/>
                <w:bCs/>
                <w:sz w:val="30"/>
                <w:szCs w:val="30"/>
                <w:rtl/>
              </w:rPr>
            </w:pPr>
            <w:r w:rsidRPr="007E72A6">
              <w:rPr>
                <w:rFonts w:ascii="FrankRuehl" w:hAnsi="FrankRuehl" w:cs="FrankRuehl"/>
                <w:b/>
                <w:bCs/>
                <w:sz w:val="30"/>
                <w:szCs w:val="30"/>
                <w:rtl/>
              </w:rPr>
              <w:t>נגד</w:t>
            </w:r>
          </w:p>
          <w:p w14:paraId="00DB6A5C" w14:textId="77777777" w:rsidR="00DF731F" w:rsidRPr="007E72A6" w:rsidRDefault="00DF731F" w:rsidP="00DF731F">
            <w:pPr>
              <w:suppressLineNumbers/>
              <w:rPr>
                <w:rFonts w:ascii="FrankRuehl" w:hAnsi="FrankRuehl" w:cs="FrankRuehl"/>
                <w:b/>
                <w:bCs/>
                <w:sz w:val="30"/>
                <w:szCs w:val="30"/>
                <w:rtl/>
              </w:rPr>
            </w:pPr>
          </w:p>
        </w:tc>
      </w:tr>
      <w:tr w:rsidR="00DF731F" w:rsidRPr="007E72A6" w14:paraId="0BC6F9EC" w14:textId="77777777" w:rsidTr="003409F6">
        <w:tblPrEx>
          <w:tblLook w:val="01E0" w:firstRow="1" w:lastRow="1" w:firstColumn="1" w:lastColumn="1" w:noHBand="0" w:noVBand="0"/>
        </w:tblPrEx>
        <w:trPr>
          <w:jc w:val="center"/>
        </w:trPr>
        <w:tc>
          <w:tcPr>
            <w:tcW w:w="6263" w:type="dxa"/>
            <w:gridSpan w:val="3"/>
            <w:shd w:val="clear" w:color="auto" w:fill="auto"/>
          </w:tcPr>
          <w:p w14:paraId="23F1F5E2" w14:textId="77777777" w:rsidR="00DF731F" w:rsidRPr="007E72A6" w:rsidRDefault="00DF731F" w:rsidP="00DF731F">
            <w:pPr>
              <w:suppressLineNumbers/>
              <w:rPr>
                <w:rFonts w:ascii="FrankRuehl" w:hAnsi="FrankRuehl" w:cs="FrankRuehl"/>
                <w:b/>
                <w:bCs/>
                <w:sz w:val="30"/>
                <w:szCs w:val="30"/>
              </w:rPr>
            </w:pPr>
            <w:r w:rsidRPr="007E72A6">
              <w:rPr>
                <w:rFonts w:ascii="FrankRuehl" w:hAnsi="FrankRuehl" w:cs="FrankRuehl"/>
                <w:b/>
                <w:bCs/>
                <w:sz w:val="30"/>
                <w:szCs w:val="30"/>
                <w:rtl/>
              </w:rPr>
              <w:t>סלומון טסמה</w:t>
            </w:r>
            <w:r w:rsidRPr="007E72A6">
              <w:rPr>
                <w:rFonts w:ascii="FrankRuehl" w:hAnsi="FrankRuehl" w:cs="FrankRuehl"/>
                <w:b/>
                <w:bCs/>
                <w:sz w:val="30"/>
                <w:szCs w:val="30"/>
                <w:rtl/>
              </w:rPr>
              <w:br/>
              <w:t>ע"י ב"כ עו"ד מיכאל עירוני</w:t>
            </w:r>
          </w:p>
        </w:tc>
        <w:tc>
          <w:tcPr>
            <w:tcW w:w="2557" w:type="dxa"/>
            <w:gridSpan w:val="2"/>
            <w:shd w:val="clear" w:color="auto" w:fill="auto"/>
          </w:tcPr>
          <w:p w14:paraId="14729B92" w14:textId="77777777" w:rsidR="00DF731F" w:rsidRPr="007E72A6" w:rsidRDefault="00DF731F" w:rsidP="00DF731F">
            <w:pPr>
              <w:suppressLineNumbers/>
              <w:rPr>
                <w:rFonts w:ascii="FrankRuehl" w:hAnsi="FrankRuehl" w:cs="FrankRuehl"/>
                <w:b/>
                <w:bCs/>
                <w:sz w:val="30"/>
                <w:szCs w:val="30"/>
              </w:rPr>
            </w:pPr>
            <w:r w:rsidRPr="007E72A6">
              <w:rPr>
                <w:rFonts w:ascii="FrankRuehl" w:hAnsi="FrankRuehl" w:cs="FrankRuehl"/>
                <w:b/>
                <w:bCs/>
                <w:sz w:val="30"/>
                <w:szCs w:val="30"/>
                <w:rtl/>
              </w:rPr>
              <w:br/>
              <w:t>הנאשם</w:t>
            </w:r>
          </w:p>
        </w:tc>
      </w:tr>
    </w:tbl>
    <w:p w14:paraId="6B6E89F4" w14:textId="77777777" w:rsidR="003409F6" w:rsidRDefault="003409F6" w:rsidP="007E72A6">
      <w:pPr>
        <w:jc w:val="center"/>
        <w:rPr>
          <w:rFonts w:ascii="FrankRuehl" w:hAnsi="FrankRuehl" w:cs="FrankRuehl"/>
          <w:sz w:val="36"/>
          <w:szCs w:val="36"/>
          <w:rtl/>
        </w:rPr>
      </w:pPr>
    </w:p>
    <w:p w14:paraId="0AAF50D4" w14:textId="77777777" w:rsidR="003409F6" w:rsidRPr="003409F6" w:rsidRDefault="003409F6" w:rsidP="003409F6">
      <w:pPr>
        <w:spacing w:after="120" w:line="240" w:lineRule="exact"/>
        <w:ind w:left="283" w:hanging="283"/>
        <w:jc w:val="both"/>
        <w:rPr>
          <w:rFonts w:ascii="FrankRuehl" w:hAnsi="FrankRuehl" w:cs="FrankRuehl"/>
          <w:rtl/>
        </w:rPr>
      </w:pPr>
    </w:p>
    <w:p w14:paraId="02BC79CF" w14:textId="77777777" w:rsidR="009F3AE5" w:rsidRPr="009F3AE5" w:rsidRDefault="009F3AE5" w:rsidP="009F3AE5">
      <w:pPr>
        <w:spacing w:before="120" w:after="120" w:line="240" w:lineRule="exact"/>
        <w:ind w:left="283" w:hanging="283"/>
        <w:jc w:val="both"/>
        <w:rPr>
          <w:rFonts w:ascii="FrankRuehl" w:hAnsi="FrankRuehl" w:cs="FrankRuehl"/>
          <w:rtl/>
        </w:rPr>
      </w:pPr>
    </w:p>
    <w:p w14:paraId="1399B4CC" w14:textId="77777777" w:rsidR="004E55EE" w:rsidRDefault="004E55EE" w:rsidP="004E55EE">
      <w:pPr>
        <w:jc w:val="center"/>
        <w:rPr>
          <w:rFonts w:ascii="FrankRuehl" w:hAnsi="FrankRuehl" w:cs="FrankRuehl"/>
          <w:sz w:val="36"/>
          <w:szCs w:val="36"/>
          <w:rtl/>
        </w:rPr>
      </w:pPr>
      <w:bookmarkStart w:id="3" w:name="LawTable"/>
      <w:bookmarkEnd w:id="3"/>
    </w:p>
    <w:p w14:paraId="0AB9AB3D" w14:textId="77777777" w:rsidR="004E55EE" w:rsidRPr="004E55EE" w:rsidRDefault="004E55EE" w:rsidP="004E55EE">
      <w:pPr>
        <w:spacing w:before="120" w:after="120" w:line="240" w:lineRule="exact"/>
        <w:ind w:left="283" w:hanging="283"/>
        <w:jc w:val="both"/>
        <w:rPr>
          <w:rFonts w:ascii="FrankRuehl" w:hAnsi="FrankRuehl" w:cs="FrankRuehl"/>
          <w:rtl/>
        </w:rPr>
      </w:pPr>
    </w:p>
    <w:p w14:paraId="0FEB0553" w14:textId="77777777" w:rsidR="004E55EE" w:rsidRPr="004E55EE" w:rsidRDefault="004E55EE" w:rsidP="004E55EE">
      <w:pPr>
        <w:spacing w:before="120" w:after="120" w:line="240" w:lineRule="exact"/>
        <w:ind w:left="283" w:hanging="283"/>
        <w:jc w:val="both"/>
        <w:rPr>
          <w:rFonts w:ascii="FrankRuehl" w:hAnsi="FrankRuehl" w:cs="FrankRuehl"/>
          <w:rtl/>
        </w:rPr>
      </w:pPr>
    </w:p>
    <w:p w14:paraId="4638038A" w14:textId="77777777" w:rsidR="004E55EE" w:rsidRPr="004E55EE" w:rsidRDefault="004E55EE" w:rsidP="004E55EE">
      <w:pPr>
        <w:spacing w:before="120" w:after="120" w:line="240" w:lineRule="exact"/>
        <w:ind w:left="283" w:hanging="283"/>
        <w:jc w:val="both"/>
        <w:rPr>
          <w:rFonts w:ascii="FrankRuehl" w:hAnsi="FrankRuehl" w:cs="FrankRuehl"/>
          <w:rtl/>
        </w:rPr>
      </w:pPr>
      <w:r w:rsidRPr="004E55EE">
        <w:rPr>
          <w:rFonts w:ascii="FrankRuehl" w:hAnsi="FrankRuehl" w:cs="FrankRuehl"/>
          <w:rtl/>
        </w:rPr>
        <w:t xml:space="preserve">חקיקה שאוזכרה: </w:t>
      </w:r>
    </w:p>
    <w:p w14:paraId="6DEC9C6C" w14:textId="77777777" w:rsidR="004E55EE" w:rsidRPr="004E55EE" w:rsidRDefault="004E55EE" w:rsidP="004E55EE">
      <w:pPr>
        <w:spacing w:before="120" w:after="120" w:line="240" w:lineRule="exact"/>
        <w:ind w:left="283" w:hanging="283"/>
        <w:jc w:val="both"/>
        <w:rPr>
          <w:rFonts w:ascii="FrankRuehl" w:hAnsi="FrankRuehl" w:cs="FrankRuehl"/>
          <w:rtl/>
        </w:rPr>
      </w:pPr>
      <w:hyperlink r:id="rId7" w:history="1">
        <w:r w:rsidRPr="004E55EE">
          <w:rPr>
            <w:rFonts w:ascii="FrankRuehl" w:hAnsi="FrankRuehl" w:cs="FrankRuehl"/>
            <w:color w:val="0000FF"/>
            <w:rtl/>
          </w:rPr>
          <w:t>פקודת הסמים המסוכנים [נוסח חדש], תשל"ג-1973</w:t>
        </w:r>
      </w:hyperlink>
      <w:r w:rsidRPr="004E55EE">
        <w:rPr>
          <w:rFonts w:ascii="FrankRuehl" w:hAnsi="FrankRuehl" w:cs="FrankRuehl"/>
          <w:rtl/>
        </w:rPr>
        <w:t xml:space="preserve">: סע'  </w:t>
      </w:r>
      <w:hyperlink r:id="rId8" w:history="1">
        <w:r w:rsidRPr="004E55EE">
          <w:rPr>
            <w:rFonts w:ascii="FrankRuehl" w:hAnsi="FrankRuehl" w:cs="FrankRuehl"/>
            <w:color w:val="0000FF"/>
            <w:rtl/>
          </w:rPr>
          <w:t>7(א)</w:t>
        </w:r>
      </w:hyperlink>
      <w:r w:rsidRPr="004E55EE">
        <w:rPr>
          <w:rFonts w:ascii="FrankRuehl" w:hAnsi="FrankRuehl" w:cs="FrankRuehl"/>
          <w:rtl/>
        </w:rPr>
        <w:t xml:space="preserve">, </w:t>
      </w:r>
      <w:hyperlink r:id="rId9" w:history="1">
        <w:r w:rsidRPr="004E55EE">
          <w:rPr>
            <w:rFonts w:ascii="FrankRuehl" w:hAnsi="FrankRuehl" w:cs="FrankRuehl"/>
            <w:color w:val="0000FF"/>
            <w:rtl/>
          </w:rPr>
          <w:t>7(ג)</w:t>
        </w:r>
      </w:hyperlink>
      <w:r w:rsidRPr="004E55EE">
        <w:rPr>
          <w:rFonts w:ascii="FrankRuehl" w:hAnsi="FrankRuehl" w:cs="FrankRuehl"/>
          <w:rtl/>
        </w:rPr>
        <w:t xml:space="preserve">, </w:t>
      </w:r>
      <w:hyperlink r:id="rId10" w:history="1">
        <w:r w:rsidRPr="004E55EE">
          <w:rPr>
            <w:rFonts w:ascii="FrankRuehl" w:hAnsi="FrankRuehl" w:cs="FrankRuehl"/>
            <w:color w:val="0000FF"/>
            <w:rtl/>
          </w:rPr>
          <w:t>13</w:t>
        </w:r>
      </w:hyperlink>
      <w:r w:rsidRPr="004E55EE">
        <w:rPr>
          <w:rFonts w:ascii="FrankRuehl" w:hAnsi="FrankRuehl" w:cs="FrankRuehl"/>
          <w:rtl/>
        </w:rPr>
        <w:t xml:space="preserve">, </w:t>
      </w:r>
      <w:hyperlink r:id="rId11" w:history="1">
        <w:r w:rsidRPr="004E55EE">
          <w:rPr>
            <w:rFonts w:ascii="FrankRuehl" w:hAnsi="FrankRuehl" w:cs="FrankRuehl"/>
            <w:color w:val="0000FF"/>
            <w:rtl/>
          </w:rPr>
          <w:t>19א'</w:t>
        </w:r>
      </w:hyperlink>
    </w:p>
    <w:p w14:paraId="2939CC87" w14:textId="77777777" w:rsidR="004E55EE" w:rsidRPr="004E55EE" w:rsidRDefault="004E55EE" w:rsidP="004E55EE">
      <w:pPr>
        <w:spacing w:before="120" w:after="120" w:line="240" w:lineRule="exact"/>
        <w:ind w:left="283" w:hanging="283"/>
        <w:jc w:val="both"/>
        <w:rPr>
          <w:rFonts w:ascii="FrankRuehl" w:hAnsi="FrankRuehl" w:cs="FrankRuehl"/>
          <w:rtl/>
        </w:rPr>
      </w:pPr>
      <w:hyperlink r:id="rId12" w:history="1">
        <w:r w:rsidRPr="004E55EE">
          <w:rPr>
            <w:rFonts w:ascii="FrankRuehl" w:hAnsi="FrankRuehl" w:cs="FrankRuehl"/>
            <w:color w:val="0000FF"/>
            <w:rtl/>
          </w:rPr>
          <w:t>חוק העונשין, תשל"ז-1977</w:t>
        </w:r>
      </w:hyperlink>
      <w:r w:rsidRPr="004E55EE">
        <w:rPr>
          <w:rFonts w:ascii="FrankRuehl" w:hAnsi="FrankRuehl" w:cs="FrankRuehl"/>
          <w:rtl/>
        </w:rPr>
        <w:t xml:space="preserve">: סע'  </w:t>
      </w:r>
      <w:hyperlink r:id="rId13" w:history="1">
        <w:r w:rsidRPr="004E55EE">
          <w:rPr>
            <w:rFonts w:ascii="FrankRuehl" w:hAnsi="FrankRuehl" w:cs="FrankRuehl"/>
            <w:color w:val="0000FF"/>
            <w:rtl/>
          </w:rPr>
          <w:t>40ב'</w:t>
        </w:r>
      </w:hyperlink>
      <w:r w:rsidRPr="004E55EE">
        <w:rPr>
          <w:rFonts w:ascii="FrankRuehl" w:hAnsi="FrankRuehl" w:cs="FrankRuehl"/>
          <w:rtl/>
        </w:rPr>
        <w:t xml:space="preserve">, </w:t>
      </w:r>
      <w:hyperlink r:id="rId14" w:history="1">
        <w:r w:rsidRPr="004E55EE">
          <w:rPr>
            <w:rFonts w:ascii="FrankRuehl" w:hAnsi="FrankRuehl" w:cs="FrankRuehl"/>
            <w:color w:val="0000FF"/>
            <w:rtl/>
          </w:rPr>
          <w:t>40ד'</w:t>
        </w:r>
      </w:hyperlink>
      <w:r w:rsidRPr="004E55EE">
        <w:rPr>
          <w:rFonts w:ascii="FrankRuehl" w:hAnsi="FrankRuehl" w:cs="FrankRuehl"/>
          <w:rtl/>
        </w:rPr>
        <w:t xml:space="preserve">, </w:t>
      </w:r>
      <w:hyperlink r:id="rId15" w:history="1">
        <w:r w:rsidRPr="004E55EE">
          <w:rPr>
            <w:rFonts w:ascii="FrankRuehl" w:hAnsi="FrankRuehl" w:cs="FrankRuehl"/>
            <w:color w:val="0000FF"/>
            <w:rtl/>
          </w:rPr>
          <w:t>144</w:t>
        </w:r>
      </w:hyperlink>
      <w:r w:rsidRPr="004E55EE">
        <w:rPr>
          <w:rFonts w:ascii="FrankRuehl" w:hAnsi="FrankRuehl" w:cs="FrankRuehl"/>
          <w:rtl/>
        </w:rPr>
        <w:t xml:space="preserve">, </w:t>
      </w:r>
      <w:hyperlink r:id="rId16" w:history="1">
        <w:r w:rsidRPr="004E55EE">
          <w:rPr>
            <w:rFonts w:ascii="FrankRuehl" w:hAnsi="FrankRuehl" w:cs="FrankRuehl"/>
            <w:color w:val="0000FF"/>
            <w:rtl/>
          </w:rPr>
          <w:t>144(ב)</w:t>
        </w:r>
      </w:hyperlink>
      <w:r w:rsidRPr="004E55EE">
        <w:rPr>
          <w:rFonts w:ascii="FrankRuehl" w:hAnsi="FrankRuehl" w:cs="FrankRuehl"/>
          <w:rtl/>
        </w:rPr>
        <w:t xml:space="preserve">, </w:t>
      </w:r>
      <w:hyperlink r:id="rId17" w:history="1">
        <w:r w:rsidRPr="004E55EE">
          <w:rPr>
            <w:rFonts w:ascii="FrankRuehl" w:hAnsi="FrankRuehl" w:cs="FrankRuehl"/>
            <w:color w:val="0000FF"/>
            <w:rtl/>
          </w:rPr>
          <w:t>144(ב2)</w:t>
        </w:r>
      </w:hyperlink>
      <w:r w:rsidRPr="004E55EE">
        <w:rPr>
          <w:rFonts w:ascii="FrankRuehl" w:hAnsi="FrankRuehl" w:cs="FrankRuehl"/>
          <w:rtl/>
        </w:rPr>
        <w:t xml:space="preserve">, </w:t>
      </w:r>
      <w:hyperlink r:id="rId18" w:history="1">
        <w:r w:rsidRPr="004E55EE">
          <w:rPr>
            <w:rFonts w:ascii="FrankRuehl" w:hAnsi="FrankRuehl" w:cs="FrankRuehl"/>
            <w:color w:val="0000FF"/>
            <w:rtl/>
          </w:rPr>
          <w:t>144ב'</w:t>
        </w:r>
      </w:hyperlink>
    </w:p>
    <w:p w14:paraId="29682319" w14:textId="77777777" w:rsidR="004E55EE" w:rsidRPr="004E55EE" w:rsidRDefault="004E55EE" w:rsidP="004E55EE">
      <w:pPr>
        <w:jc w:val="center"/>
        <w:rPr>
          <w:rFonts w:ascii="FrankRuehl" w:hAnsi="FrankRuehl" w:cs="FrankRuehl"/>
          <w:sz w:val="36"/>
          <w:szCs w:val="36"/>
          <w:rtl/>
        </w:rPr>
      </w:pPr>
      <w:bookmarkStart w:id="4" w:name="LawTable_End"/>
      <w:bookmarkEnd w:id="4"/>
    </w:p>
    <w:p w14:paraId="1B173792" w14:textId="77777777" w:rsidR="003409F6" w:rsidRPr="009F3AE5" w:rsidRDefault="003409F6" w:rsidP="009F3AE5">
      <w:pPr>
        <w:jc w:val="center"/>
        <w:rPr>
          <w:rFonts w:ascii="FrankRuehl" w:hAnsi="FrankRuehl" w:cs="FrankRuehl"/>
          <w:sz w:val="36"/>
          <w:szCs w:val="36"/>
          <w:rtl/>
        </w:rPr>
      </w:pPr>
    </w:p>
    <w:p w14:paraId="64BBAC6F" w14:textId="77777777" w:rsidR="003409F6" w:rsidRPr="007E72A6" w:rsidRDefault="003409F6" w:rsidP="007E72A6">
      <w:pPr>
        <w:bidi w:val="0"/>
        <w:jc w:val="center"/>
        <w:rPr>
          <w:rFonts w:ascii="FrankRuehl" w:hAnsi="FrankRuehl" w:cs="FrankRuehl"/>
          <w:b/>
          <w:bCs/>
          <w:sz w:val="36"/>
          <w:szCs w:val="36"/>
          <w:u w:val="single"/>
          <w:rtl/>
        </w:rPr>
      </w:pPr>
      <w:bookmarkStart w:id="5" w:name="PsakDin"/>
      <w:r w:rsidRPr="007E72A6">
        <w:rPr>
          <w:rFonts w:ascii="FrankRuehl" w:hAnsi="FrankRuehl" w:cs="FrankRuehl"/>
          <w:b/>
          <w:bCs/>
          <w:sz w:val="36"/>
          <w:szCs w:val="36"/>
          <w:u w:val="single"/>
          <w:rtl/>
        </w:rPr>
        <w:t>גזר דין</w:t>
      </w:r>
    </w:p>
    <w:bookmarkEnd w:id="5"/>
    <w:p w14:paraId="0ED31AB5" w14:textId="77777777" w:rsidR="003409F6" w:rsidRPr="00DF731F" w:rsidRDefault="003409F6" w:rsidP="00DF731F">
      <w:pPr>
        <w:bidi w:val="0"/>
        <w:jc w:val="center"/>
        <w:rPr>
          <w:rFonts w:ascii="Arial" w:hAnsi="Arial"/>
          <w:b/>
          <w:bCs/>
          <w:sz w:val="28"/>
          <w:szCs w:val="28"/>
          <w:u w:val="single"/>
          <w:rtl/>
        </w:rPr>
      </w:pPr>
    </w:p>
    <w:p w14:paraId="53B4594F" w14:textId="77777777" w:rsidR="00DF731F" w:rsidRPr="009921B8" w:rsidRDefault="00DF731F" w:rsidP="00DF731F">
      <w:pPr>
        <w:spacing w:line="360" w:lineRule="auto"/>
        <w:jc w:val="both"/>
        <w:rPr>
          <w:rFonts w:ascii="FrankRuehl" w:hAnsi="FrankRuehl" w:cs="FrankRuehl"/>
          <w:b/>
          <w:bCs/>
          <w:sz w:val="28"/>
          <w:szCs w:val="28"/>
          <w:u w:val="single"/>
          <w:rtl/>
        </w:rPr>
      </w:pPr>
      <w:bookmarkStart w:id="6" w:name="NGCSBookmark"/>
      <w:bookmarkEnd w:id="0"/>
      <w:bookmarkEnd w:id="1"/>
      <w:bookmarkEnd w:id="6"/>
    </w:p>
    <w:p w14:paraId="48D31772" w14:textId="77777777" w:rsidR="00DF731F" w:rsidRPr="009921B8" w:rsidRDefault="00DF731F" w:rsidP="00DF731F">
      <w:pPr>
        <w:spacing w:line="360" w:lineRule="auto"/>
        <w:jc w:val="both"/>
        <w:rPr>
          <w:rFonts w:ascii="FrankRuehl" w:hAnsi="FrankRuehl" w:cs="FrankRuehl"/>
          <w:b/>
          <w:bCs/>
          <w:sz w:val="28"/>
          <w:szCs w:val="28"/>
          <w:u w:val="single"/>
        </w:rPr>
      </w:pPr>
      <w:r w:rsidRPr="009921B8">
        <w:rPr>
          <w:rFonts w:ascii="FrankRuehl" w:hAnsi="FrankRuehl" w:cs="FrankRuehl" w:hint="cs"/>
          <w:b/>
          <w:bCs/>
          <w:sz w:val="28"/>
          <w:szCs w:val="28"/>
          <w:u w:val="single"/>
          <w:rtl/>
        </w:rPr>
        <w:t>הכרעת הדין</w:t>
      </w:r>
    </w:p>
    <w:p w14:paraId="653751E5" w14:textId="77777777" w:rsidR="00DF731F" w:rsidRDefault="00DF731F" w:rsidP="00DF731F">
      <w:pPr>
        <w:spacing w:line="360" w:lineRule="auto"/>
        <w:jc w:val="both"/>
        <w:rPr>
          <w:rFonts w:ascii="FrankRuehl" w:hAnsi="FrankRuehl" w:cs="FrankRuehl"/>
          <w:noProof/>
          <w:sz w:val="28"/>
          <w:szCs w:val="28"/>
          <w:rtl/>
        </w:rPr>
      </w:pPr>
      <w:r>
        <w:rPr>
          <w:rFonts w:ascii="FrankRuehl" w:hAnsi="FrankRuehl" w:cs="FrankRuehl" w:hint="cs"/>
          <w:sz w:val="28"/>
          <w:szCs w:val="28"/>
          <w:rtl/>
        </w:rPr>
        <w:t>1.</w:t>
      </w:r>
      <w:r>
        <w:rPr>
          <w:rFonts w:ascii="FrankRuehl" w:hAnsi="FrankRuehl" w:cs="FrankRuehl"/>
          <w:sz w:val="28"/>
          <w:szCs w:val="28"/>
          <w:rtl/>
        </w:rPr>
        <w:tab/>
      </w:r>
      <w:bookmarkStart w:id="7" w:name="ABSTRACT_START"/>
      <w:bookmarkEnd w:id="7"/>
      <w:r>
        <w:rPr>
          <w:rFonts w:ascii="FrankRuehl" w:hAnsi="FrankRuehl" w:cs="FrankRuehl" w:hint="cs"/>
          <w:sz w:val="28"/>
          <w:szCs w:val="28"/>
          <w:rtl/>
        </w:rPr>
        <w:t xml:space="preserve">הנאשם הורשע </w:t>
      </w:r>
      <w:r>
        <w:rPr>
          <w:rFonts w:ascii="FrankRuehl" w:hAnsi="FrankRuehl" w:cs="FrankRuehl"/>
          <w:sz w:val="28"/>
          <w:szCs w:val="28"/>
          <w:rtl/>
        </w:rPr>
        <w:t>על פי הודאתו</w:t>
      </w:r>
      <w:r>
        <w:rPr>
          <w:rFonts w:ascii="FrankRuehl" w:hAnsi="FrankRuehl" w:cs="FrankRuehl" w:hint="cs"/>
          <w:sz w:val="28"/>
          <w:szCs w:val="28"/>
          <w:rtl/>
        </w:rPr>
        <w:t>,</w:t>
      </w:r>
      <w:r>
        <w:rPr>
          <w:rFonts w:ascii="FrankRuehl" w:hAnsi="FrankRuehl" w:cs="FrankRuehl"/>
          <w:sz w:val="28"/>
          <w:szCs w:val="28"/>
          <w:rtl/>
        </w:rPr>
        <w:t xml:space="preserve"> בעבירות שיוחסו לו בכתב האישום שתוקן במסגרת הסדר טיעון: חמש עבירות של סחר בסמים מסוכנים לפי </w:t>
      </w:r>
      <w:hyperlink r:id="rId19" w:history="1">
        <w:r w:rsidR="003409F6" w:rsidRPr="003409F6">
          <w:rPr>
            <w:rStyle w:val="Hyperlink"/>
            <w:rFonts w:ascii="FrankRuehl" w:hAnsi="FrankRuehl" w:cs="FrankRuehl"/>
            <w:sz w:val="28"/>
            <w:szCs w:val="28"/>
            <w:rtl/>
          </w:rPr>
          <w:t>סעיפים 13</w:t>
        </w:r>
      </w:hyperlink>
      <w:r>
        <w:rPr>
          <w:rFonts w:ascii="FrankRuehl" w:hAnsi="FrankRuehl" w:cs="FrankRuehl"/>
          <w:sz w:val="28"/>
          <w:szCs w:val="28"/>
          <w:rtl/>
        </w:rPr>
        <w:t xml:space="preserve"> ו-</w:t>
      </w:r>
      <w:hyperlink r:id="rId20" w:history="1">
        <w:r w:rsidR="003409F6" w:rsidRPr="003409F6">
          <w:rPr>
            <w:rStyle w:val="Hyperlink"/>
            <w:rFonts w:ascii="FrankRuehl" w:hAnsi="FrankRuehl" w:cs="FrankRuehl"/>
            <w:sz w:val="28"/>
            <w:szCs w:val="28"/>
            <w:rtl/>
          </w:rPr>
          <w:t>19א'</w:t>
        </w:r>
      </w:hyperlink>
      <w:r>
        <w:rPr>
          <w:rFonts w:ascii="FrankRuehl" w:hAnsi="FrankRuehl" w:cs="FrankRuehl"/>
          <w:sz w:val="28"/>
          <w:szCs w:val="28"/>
          <w:rtl/>
        </w:rPr>
        <w:t xml:space="preserve"> ל</w:t>
      </w:r>
      <w:hyperlink r:id="rId21" w:history="1">
        <w:r w:rsidR="007E72A6" w:rsidRPr="007E72A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תשל"ג-1973</w:t>
      </w:r>
      <w:r>
        <w:rPr>
          <w:rFonts w:ascii="FrankRuehl" w:hAnsi="FrankRuehl" w:cs="FrankRuehl" w:hint="cs"/>
          <w:sz w:val="28"/>
          <w:szCs w:val="28"/>
          <w:rtl/>
        </w:rPr>
        <w:t xml:space="preserve"> (להלן: "פקודת הסמים המסוכנים")</w:t>
      </w:r>
      <w:r>
        <w:rPr>
          <w:rFonts w:ascii="FrankRuehl" w:hAnsi="FrankRuehl" w:cs="FrankRuehl"/>
          <w:sz w:val="28"/>
          <w:szCs w:val="28"/>
          <w:rtl/>
        </w:rPr>
        <w:t xml:space="preserve">, שתי עבירות של סחר בנשק ותחמושת לפי </w:t>
      </w:r>
      <w:hyperlink r:id="rId22" w:history="1">
        <w:r w:rsidR="003409F6" w:rsidRPr="003409F6">
          <w:rPr>
            <w:rStyle w:val="Hyperlink"/>
            <w:rFonts w:ascii="FrankRuehl" w:hAnsi="FrankRuehl" w:cs="FrankRuehl"/>
            <w:sz w:val="28"/>
            <w:szCs w:val="28"/>
            <w:rtl/>
          </w:rPr>
          <w:t>סעיף 144(ב2)</w:t>
        </w:r>
      </w:hyperlink>
      <w:r>
        <w:rPr>
          <w:rFonts w:ascii="FrankRuehl" w:hAnsi="FrankRuehl" w:cs="FrankRuehl"/>
          <w:sz w:val="28"/>
          <w:szCs w:val="28"/>
          <w:rtl/>
        </w:rPr>
        <w:t xml:space="preserve"> ל</w:t>
      </w:r>
      <w:hyperlink r:id="rId23" w:history="1">
        <w:r w:rsidR="007E72A6" w:rsidRPr="007E72A6">
          <w:rPr>
            <w:rFonts w:ascii="FrankRuehl" w:hAnsi="FrankRuehl" w:cs="FrankRuehl"/>
            <w:color w:val="0000FF"/>
            <w:sz w:val="28"/>
            <w:szCs w:val="28"/>
            <w:u w:val="single"/>
            <w:rtl/>
          </w:rPr>
          <w:t>חוק העונשין</w:t>
        </w:r>
      </w:hyperlink>
      <w:r>
        <w:rPr>
          <w:rFonts w:ascii="FrankRuehl" w:hAnsi="FrankRuehl" w:cs="FrankRuehl"/>
          <w:sz w:val="28"/>
          <w:szCs w:val="28"/>
          <w:rtl/>
        </w:rPr>
        <w:t>, התשל"ז-1977</w:t>
      </w:r>
      <w:r>
        <w:rPr>
          <w:rFonts w:ascii="FrankRuehl" w:hAnsi="FrankRuehl" w:cs="FrankRuehl" w:hint="cs"/>
          <w:sz w:val="28"/>
          <w:szCs w:val="28"/>
          <w:rtl/>
        </w:rPr>
        <w:t xml:space="preserve"> (להלן: "החוק")</w:t>
      </w:r>
      <w:r>
        <w:rPr>
          <w:rFonts w:ascii="FrankRuehl" w:hAnsi="FrankRuehl" w:cs="FrankRuehl"/>
          <w:sz w:val="28"/>
          <w:szCs w:val="28"/>
          <w:rtl/>
        </w:rPr>
        <w:t xml:space="preserve">, שתי עבירות של נשיאת נשק לפי </w:t>
      </w:r>
      <w:hyperlink r:id="rId24" w:history="1">
        <w:r w:rsidR="003409F6" w:rsidRPr="003409F6">
          <w:rPr>
            <w:rStyle w:val="Hyperlink"/>
            <w:rFonts w:ascii="FrankRuehl" w:hAnsi="FrankRuehl" w:cs="FrankRuehl"/>
            <w:sz w:val="28"/>
            <w:szCs w:val="28"/>
            <w:rtl/>
          </w:rPr>
          <w:t>סעיף 144ב'</w:t>
        </w:r>
      </w:hyperlink>
      <w:r>
        <w:rPr>
          <w:rFonts w:ascii="FrankRuehl" w:hAnsi="FrankRuehl" w:cs="FrankRuehl"/>
          <w:sz w:val="28"/>
          <w:szCs w:val="28"/>
          <w:rtl/>
        </w:rPr>
        <w:t xml:space="preserve"> לחוק ושתי עבירות של נשיא</w:t>
      </w:r>
      <w:r>
        <w:rPr>
          <w:rFonts w:ascii="FrankRuehl" w:hAnsi="FrankRuehl" w:cs="FrankRuehl" w:hint="cs"/>
          <w:sz w:val="28"/>
          <w:szCs w:val="28"/>
          <w:rtl/>
        </w:rPr>
        <w:t>ה</w:t>
      </w:r>
      <w:r>
        <w:rPr>
          <w:rFonts w:ascii="FrankRuehl" w:hAnsi="FrankRuehl" w:cs="FrankRuehl"/>
          <w:sz w:val="28"/>
          <w:szCs w:val="28"/>
          <w:rtl/>
        </w:rPr>
        <w:t xml:space="preserve"> והובלת תחמושת ואביזר תחמושת לפי </w:t>
      </w:r>
      <w:hyperlink r:id="rId25" w:history="1">
        <w:r w:rsidR="003409F6" w:rsidRPr="003409F6">
          <w:rPr>
            <w:rStyle w:val="Hyperlink"/>
            <w:rFonts w:ascii="FrankRuehl" w:hAnsi="FrankRuehl" w:cs="FrankRuehl"/>
            <w:sz w:val="28"/>
            <w:szCs w:val="28"/>
            <w:rtl/>
          </w:rPr>
          <w:t>סעיף 144(ב)</w:t>
        </w:r>
      </w:hyperlink>
      <w:r>
        <w:rPr>
          <w:rFonts w:ascii="FrankRuehl" w:hAnsi="FrankRuehl" w:cs="FrankRuehl"/>
          <w:sz w:val="28"/>
          <w:szCs w:val="28"/>
          <w:rtl/>
        </w:rPr>
        <w:t xml:space="preserve"> סיפא לחוק</w:t>
      </w:r>
      <w:bookmarkStart w:id="8" w:name="ABSTRACT_END"/>
      <w:bookmarkEnd w:id="8"/>
      <w:r>
        <w:rPr>
          <w:rFonts w:ascii="FrankRuehl" w:hAnsi="FrankRuehl" w:cs="FrankRuehl"/>
          <w:sz w:val="28"/>
          <w:szCs w:val="28"/>
          <w:rtl/>
        </w:rPr>
        <w:t>.</w:t>
      </w:r>
      <w:r>
        <w:rPr>
          <w:rFonts w:ascii="FrankRuehl" w:hAnsi="FrankRuehl" w:cs="FrankRuehl" w:hint="cs"/>
          <w:noProof/>
          <w:sz w:val="28"/>
          <w:szCs w:val="28"/>
          <w:rtl/>
        </w:rPr>
        <w:t xml:space="preserve"> בהמשך צרף הנאשם תיק נוסף (</w:t>
      </w:r>
      <w:hyperlink r:id="rId26" w:history="1">
        <w:r w:rsidR="007E72A6" w:rsidRPr="007E72A6">
          <w:rPr>
            <w:rFonts w:ascii="FrankRuehl" w:hAnsi="FrankRuehl" w:cs="FrankRuehl"/>
            <w:noProof/>
            <w:color w:val="0000FF"/>
            <w:sz w:val="28"/>
            <w:szCs w:val="28"/>
            <w:u w:val="single"/>
            <w:rtl/>
          </w:rPr>
          <w:t>ת"פ 15443-04-20</w:t>
        </w:r>
      </w:hyperlink>
      <w:r>
        <w:rPr>
          <w:rFonts w:ascii="FrankRuehl" w:hAnsi="FrankRuehl" w:cs="FrankRuehl" w:hint="cs"/>
          <w:noProof/>
          <w:sz w:val="28"/>
          <w:szCs w:val="28"/>
          <w:rtl/>
        </w:rPr>
        <w:t xml:space="preserve">) והוא הודה </w:t>
      </w:r>
      <w:r>
        <w:rPr>
          <w:rFonts w:ascii="FrankRuehl" w:hAnsi="FrankRuehl" w:cs="FrankRuehl" w:hint="cs"/>
          <w:noProof/>
          <w:sz w:val="28"/>
          <w:szCs w:val="28"/>
          <w:rtl/>
        </w:rPr>
        <w:lastRenderedPageBreak/>
        <w:t xml:space="preserve">והורשע בו, בעבירה של החזקה ושימוש בסמים לצריכה עצמית, עבירה לפי </w:t>
      </w:r>
      <w:hyperlink r:id="rId27" w:history="1">
        <w:r w:rsidR="003409F6" w:rsidRPr="003409F6">
          <w:rPr>
            <w:rStyle w:val="Hyperlink"/>
            <w:rFonts w:ascii="FrankRuehl" w:hAnsi="FrankRuehl" w:cs="FrankRuehl" w:hint="eastAsia"/>
            <w:noProof/>
            <w:sz w:val="28"/>
            <w:szCs w:val="28"/>
            <w:rtl/>
          </w:rPr>
          <w:t>סעיף</w:t>
        </w:r>
        <w:r w:rsidR="003409F6" w:rsidRPr="003409F6">
          <w:rPr>
            <w:rStyle w:val="Hyperlink"/>
            <w:rFonts w:ascii="FrankRuehl" w:hAnsi="FrankRuehl" w:cs="FrankRuehl"/>
            <w:noProof/>
            <w:sz w:val="28"/>
            <w:szCs w:val="28"/>
            <w:rtl/>
          </w:rPr>
          <w:t xml:space="preserve"> 7(א)</w:t>
        </w:r>
      </w:hyperlink>
      <w:r>
        <w:rPr>
          <w:rFonts w:ascii="FrankRuehl" w:hAnsi="FrankRuehl" w:cs="FrankRuehl" w:hint="cs"/>
          <w:noProof/>
          <w:sz w:val="28"/>
          <w:szCs w:val="28"/>
          <w:rtl/>
        </w:rPr>
        <w:t xml:space="preserve"> ו-</w:t>
      </w:r>
      <w:hyperlink r:id="rId28" w:history="1">
        <w:r w:rsidR="003409F6" w:rsidRPr="003409F6">
          <w:rPr>
            <w:rStyle w:val="Hyperlink"/>
            <w:rFonts w:ascii="FrankRuehl" w:hAnsi="FrankRuehl" w:cs="FrankRuehl"/>
            <w:noProof/>
            <w:sz w:val="28"/>
            <w:szCs w:val="28"/>
            <w:rtl/>
          </w:rPr>
          <w:t>7(ג)</w:t>
        </w:r>
      </w:hyperlink>
      <w:r>
        <w:rPr>
          <w:rFonts w:ascii="FrankRuehl" w:hAnsi="FrankRuehl" w:cs="FrankRuehl" w:hint="cs"/>
          <w:noProof/>
          <w:sz w:val="28"/>
          <w:szCs w:val="28"/>
          <w:rtl/>
        </w:rPr>
        <w:t xml:space="preserve"> סיפא ל</w:t>
      </w:r>
      <w:hyperlink r:id="rId29" w:history="1">
        <w:r w:rsidR="007E72A6" w:rsidRPr="007E72A6">
          <w:rPr>
            <w:rFonts w:ascii="FrankRuehl" w:hAnsi="FrankRuehl" w:cs="FrankRuehl"/>
            <w:noProof/>
            <w:color w:val="0000FF"/>
            <w:sz w:val="28"/>
            <w:szCs w:val="28"/>
            <w:u w:val="single"/>
            <w:rtl/>
          </w:rPr>
          <w:t>פקודת הסמים המסוכנים</w:t>
        </w:r>
      </w:hyperlink>
      <w:r>
        <w:rPr>
          <w:rFonts w:ascii="FrankRuehl" w:hAnsi="FrankRuehl" w:cs="FrankRuehl" w:hint="cs"/>
          <w:noProof/>
          <w:sz w:val="28"/>
          <w:szCs w:val="28"/>
          <w:rtl/>
        </w:rPr>
        <w:t>/</w:t>
      </w:r>
    </w:p>
    <w:p w14:paraId="164DA419" w14:textId="77777777" w:rsidR="00DF731F" w:rsidRDefault="00DF731F" w:rsidP="00DF731F">
      <w:pPr>
        <w:spacing w:line="360" w:lineRule="auto"/>
        <w:jc w:val="both"/>
        <w:rPr>
          <w:rFonts w:ascii="FrankRuehl" w:hAnsi="FrankRuehl" w:cs="FrankRuehl"/>
          <w:sz w:val="28"/>
          <w:szCs w:val="28"/>
          <w:rtl/>
        </w:rPr>
      </w:pPr>
    </w:p>
    <w:p w14:paraId="3B9D07C2"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בכתב האישום מפורטים שישה אישומים</w:t>
      </w:r>
      <w:r>
        <w:rPr>
          <w:rFonts w:ascii="FrankRuehl" w:hAnsi="FrankRuehl" w:cs="FrankRuehl" w:hint="cs"/>
          <w:sz w:val="28"/>
          <w:szCs w:val="28"/>
          <w:rtl/>
        </w:rPr>
        <w:t>. ארבעה מהם עניינם ב</w:t>
      </w:r>
      <w:r>
        <w:rPr>
          <w:rFonts w:ascii="FrankRuehl" w:hAnsi="FrankRuehl" w:cs="FrankRuehl"/>
          <w:sz w:val="28"/>
          <w:szCs w:val="28"/>
          <w:rtl/>
        </w:rPr>
        <w:t>ביצוע עסקאות סמים עם סוכן שפעל בשליחות משטרת ישראל</w:t>
      </w:r>
      <w:r>
        <w:rPr>
          <w:rFonts w:ascii="FrankRuehl" w:hAnsi="FrankRuehl" w:cs="FrankRuehl" w:hint="cs"/>
          <w:sz w:val="28"/>
          <w:szCs w:val="28"/>
          <w:rtl/>
        </w:rPr>
        <w:t>, ושניים עניינם בביצוע עסקאות נשק עם אותו סוכן</w:t>
      </w:r>
      <w:r>
        <w:rPr>
          <w:rFonts w:ascii="FrankRuehl" w:hAnsi="FrankRuehl" w:cs="FrankRuehl"/>
          <w:sz w:val="28"/>
          <w:szCs w:val="28"/>
          <w:rtl/>
        </w:rPr>
        <w:t>. באישום הראשון, מכר הנאשם ל</w:t>
      </w:r>
      <w:r>
        <w:rPr>
          <w:rFonts w:ascii="FrankRuehl" w:hAnsi="FrankRuehl" w:cs="FrankRuehl" w:hint="cs"/>
          <w:sz w:val="28"/>
          <w:szCs w:val="28"/>
          <w:rtl/>
        </w:rPr>
        <w:t>"</w:t>
      </w:r>
      <w:r>
        <w:rPr>
          <w:rFonts w:ascii="FrankRuehl" w:hAnsi="FrankRuehl" w:cs="FrankRuehl"/>
          <w:sz w:val="28"/>
          <w:szCs w:val="28"/>
          <w:rtl/>
        </w:rPr>
        <w:t>סוכן</w:t>
      </w:r>
      <w:r>
        <w:rPr>
          <w:rFonts w:ascii="FrankRuehl" w:hAnsi="FrankRuehl" w:cs="FrankRuehl" w:hint="cs"/>
          <w:sz w:val="28"/>
          <w:szCs w:val="28"/>
          <w:rtl/>
        </w:rPr>
        <w:t>" מטעם משטרת ישראל (להלן: "הסוכן"), ביום 2.12.20,</w:t>
      </w:r>
      <w:r>
        <w:rPr>
          <w:rFonts w:ascii="FrankRuehl" w:hAnsi="FrankRuehl" w:cs="FrankRuehl"/>
          <w:sz w:val="28"/>
          <w:szCs w:val="28"/>
          <w:rtl/>
        </w:rPr>
        <w:t xml:space="preserve">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w:t>
      </w:r>
      <w:r>
        <w:rPr>
          <w:rFonts w:ascii="FrankRuehl" w:hAnsi="FrankRuehl" w:cs="FrankRuehl" w:hint="cs"/>
          <w:sz w:val="28"/>
          <w:szCs w:val="28"/>
          <w:rtl/>
        </w:rPr>
        <w:t xml:space="preserve">במשקל 9.70 גרם, </w:t>
      </w:r>
      <w:r>
        <w:rPr>
          <w:rFonts w:ascii="FrankRuehl" w:hAnsi="FrankRuehl" w:cs="FrankRuehl"/>
          <w:sz w:val="28"/>
          <w:szCs w:val="28"/>
          <w:rtl/>
        </w:rPr>
        <w:t xml:space="preserve">בתמורה לסך של 4,500 ₪. באישום השני, </w:t>
      </w:r>
      <w:r>
        <w:rPr>
          <w:rFonts w:ascii="FrankRuehl" w:hAnsi="FrankRuehl" w:cs="FrankRuehl" w:hint="cs"/>
          <w:sz w:val="28"/>
          <w:szCs w:val="28"/>
          <w:rtl/>
        </w:rPr>
        <w:t xml:space="preserve">ביום 7.12.20 </w:t>
      </w:r>
      <w:r>
        <w:rPr>
          <w:rFonts w:ascii="FrankRuehl" w:hAnsi="FrankRuehl" w:cs="FrankRuehl"/>
          <w:sz w:val="28"/>
          <w:szCs w:val="28"/>
          <w:rtl/>
        </w:rPr>
        <w:t xml:space="preserve">מכר הנאשם לסוכן 9.99 גרם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בתמורה לסך של 4,300 ₪. באישום השלישי, </w:t>
      </w:r>
      <w:r>
        <w:rPr>
          <w:rFonts w:ascii="FrankRuehl" w:hAnsi="FrankRuehl" w:cs="FrankRuehl" w:hint="cs"/>
          <w:sz w:val="28"/>
          <w:szCs w:val="28"/>
          <w:rtl/>
        </w:rPr>
        <w:t xml:space="preserve">ביום 10.12.20 </w:t>
      </w:r>
      <w:r>
        <w:rPr>
          <w:rFonts w:ascii="FrankRuehl" w:hAnsi="FrankRuehl" w:cs="FrankRuehl"/>
          <w:sz w:val="28"/>
          <w:szCs w:val="28"/>
          <w:rtl/>
        </w:rPr>
        <w:t xml:space="preserve">מכר הנאשם לסוכן 9.9396 גרם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בתמורה לסך של 4,300 ₪. באישום החמישי, </w:t>
      </w:r>
      <w:r>
        <w:rPr>
          <w:rFonts w:ascii="FrankRuehl" w:hAnsi="FrankRuehl" w:cs="FrankRuehl" w:hint="cs"/>
          <w:sz w:val="28"/>
          <w:szCs w:val="28"/>
          <w:rtl/>
        </w:rPr>
        <w:t xml:space="preserve">ביום 15.01.20, </w:t>
      </w:r>
      <w:r>
        <w:rPr>
          <w:rFonts w:ascii="FrankRuehl" w:hAnsi="FrankRuehl" w:cs="FrankRuehl"/>
          <w:sz w:val="28"/>
          <w:szCs w:val="28"/>
          <w:rtl/>
        </w:rPr>
        <w:t xml:space="preserve">מכר הנאשם לסוכן 0.82 גרם </w:t>
      </w:r>
      <w:r>
        <w:rPr>
          <w:rFonts w:ascii="FrankRuehl" w:hAnsi="FrankRuehl" w:cs="FrankRuehl" w:hint="cs"/>
          <w:sz w:val="28"/>
          <w:szCs w:val="28"/>
          <w:rtl/>
        </w:rPr>
        <w:t xml:space="preserve">סם מסוכן מסוג </w:t>
      </w:r>
      <w:r>
        <w:rPr>
          <w:rFonts w:ascii="FrankRuehl" w:hAnsi="FrankRuehl" w:cs="FrankRuehl"/>
          <w:sz w:val="28"/>
          <w:szCs w:val="28"/>
          <w:rtl/>
        </w:rPr>
        <w:t>קוקאין בתמורה לסך 300 ₪, וכמו כן העביר הסוכן עבור הנאשם קוקאין</w:t>
      </w:r>
      <w:r>
        <w:rPr>
          <w:rFonts w:ascii="FrankRuehl" w:hAnsi="FrankRuehl" w:cs="FrankRuehl" w:hint="cs"/>
          <w:sz w:val="28"/>
          <w:szCs w:val="28"/>
          <w:rtl/>
        </w:rPr>
        <w:t xml:space="preserve"> בכמות שאינה ידועה</w:t>
      </w:r>
      <w:r>
        <w:rPr>
          <w:rFonts w:ascii="FrankRuehl" w:hAnsi="FrankRuehl" w:cs="FrankRuehl"/>
          <w:sz w:val="28"/>
          <w:szCs w:val="28"/>
          <w:rtl/>
        </w:rPr>
        <w:t xml:space="preserve"> לאדם אחר תמורת סך של 700 ₪ מתוכם העביר 300 ₪ לסוכן.</w:t>
      </w:r>
      <w:r>
        <w:rPr>
          <w:rFonts w:ascii="FrankRuehl" w:hAnsi="FrankRuehl" w:cs="FrankRuehl" w:hint="cs"/>
          <w:sz w:val="28"/>
          <w:szCs w:val="28"/>
          <w:rtl/>
        </w:rPr>
        <w:t xml:space="preserve"> בתיק שהנאשם צרף הוא הורשע בשל כך ש</w:t>
      </w:r>
      <w:r>
        <w:rPr>
          <w:rFonts w:ascii="FrankRuehl" w:hAnsi="FrankRuehl" w:cs="FrankRuehl" w:hint="cs"/>
          <w:noProof/>
          <w:sz w:val="28"/>
          <w:szCs w:val="28"/>
          <w:rtl/>
        </w:rPr>
        <w:t xml:space="preserve">ביום 20.11.19 בשעת לילה מאוחרת, הוא נשא על גופו סם מסוג </w:t>
      </w:r>
      <w:r w:rsidRPr="00DF731F">
        <w:rPr>
          <w:rFonts w:cs="Times New Roman"/>
          <w:noProof/>
          <w:sz w:val="22"/>
          <w:szCs w:val="22"/>
        </w:rPr>
        <w:t>KETAMINE</w:t>
      </w:r>
      <w:r>
        <w:rPr>
          <w:rFonts w:ascii="FrankRuehl" w:hAnsi="FrankRuehl" w:cs="FrankRuehl" w:hint="cs"/>
          <w:noProof/>
          <w:sz w:val="28"/>
          <w:szCs w:val="28"/>
          <w:rtl/>
        </w:rPr>
        <w:t xml:space="preserve"> במשקל נטו של 1.96 גרם, המחולק לשתי אריזות פלסטיק סגורות בסגר.    </w:t>
      </w:r>
      <w:r>
        <w:rPr>
          <w:rFonts w:ascii="FrankRuehl" w:hAnsi="FrankRuehl" w:cs="FrankRuehl" w:hint="cs"/>
          <w:sz w:val="28"/>
          <w:szCs w:val="28"/>
          <w:rtl/>
        </w:rPr>
        <w:t xml:space="preserve"> </w:t>
      </w:r>
    </w:p>
    <w:p w14:paraId="123F6B8E" w14:textId="77777777" w:rsidR="00DF731F" w:rsidRDefault="00DF731F" w:rsidP="00DF731F">
      <w:pPr>
        <w:spacing w:line="360" w:lineRule="auto"/>
        <w:jc w:val="both"/>
        <w:rPr>
          <w:rFonts w:ascii="FrankRuehl" w:hAnsi="FrankRuehl" w:cs="FrankRuehl"/>
          <w:sz w:val="28"/>
          <w:szCs w:val="28"/>
          <w:rtl/>
        </w:rPr>
      </w:pPr>
    </w:p>
    <w:p w14:paraId="260DE467"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 xml:space="preserve">בנוסף, כאמור שני אישומים עניינם בעסקאות נשק מול הסוכן. </w:t>
      </w:r>
      <w:r>
        <w:rPr>
          <w:rFonts w:ascii="FrankRuehl" w:hAnsi="FrankRuehl" w:cs="FrankRuehl"/>
          <w:sz w:val="28"/>
          <w:szCs w:val="28"/>
          <w:rtl/>
        </w:rPr>
        <w:t>באישום הרביעי</w:t>
      </w:r>
      <w:r>
        <w:rPr>
          <w:rFonts w:ascii="FrankRuehl" w:hAnsi="FrankRuehl" w:cs="FrankRuehl" w:hint="cs"/>
          <w:sz w:val="28"/>
          <w:szCs w:val="28"/>
          <w:rtl/>
        </w:rPr>
        <w:t xml:space="preserve"> צוין</w:t>
      </w:r>
      <w:r>
        <w:rPr>
          <w:rFonts w:ascii="FrankRuehl" w:hAnsi="FrankRuehl" w:cs="FrankRuehl"/>
          <w:sz w:val="28"/>
          <w:szCs w:val="28"/>
          <w:rtl/>
        </w:rPr>
        <w:t xml:space="preserve">, </w:t>
      </w:r>
      <w:r>
        <w:rPr>
          <w:rFonts w:ascii="FrankRuehl" w:hAnsi="FrankRuehl" w:cs="FrankRuehl" w:hint="cs"/>
          <w:sz w:val="28"/>
          <w:szCs w:val="28"/>
          <w:rtl/>
        </w:rPr>
        <w:t>כי עובר ליום 1.01.21 שוחחו הסוכן והנאשם על כך שהסוכן מעוניין לרכוש נשק. הנאשם בדק אפשרות מכירת נשק לסוכן ועדכן אותו כי השיג עבורו אקדח 9 מ"מ קצר שמחירו 37,000 ₪. הסוכן ביקש הנחה במחיר. ביום 4.01.21 נפגשו השניים וה</w:t>
      </w:r>
      <w:r>
        <w:rPr>
          <w:rFonts w:ascii="FrankRuehl" w:hAnsi="FrankRuehl" w:cs="FrankRuehl"/>
          <w:sz w:val="28"/>
          <w:szCs w:val="28"/>
          <w:rtl/>
        </w:rPr>
        <w:t xml:space="preserve">נאשם </w:t>
      </w:r>
      <w:r>
        <w:rPr>
          <w:rFonts w:ascii="FrankRuehl" w:hAnsi="FrankRuehl" w:cs="FrankRuehl" w:hint="cs"/>
          <w:sz w:val="28"/>
          <w:szCs w:val="28"/>
          <w:rtl/>
        </w:rPr>
        <w:t xml:space="preserve">העביר </w:t>
      </w:r>
      <w:r>
        <w:rPr>
          <w:rFonts w:ascii="FrankRuehl" w:hAnsi="FrankRuehl" w:cs="FrankRuehl"/>
          <w:sz w:val="28"/>
          <w:szCs w:val="28"/>
          <w:rtl/>
        </w:rPr>
        <w:t xml:space="preserve">לסוכן אקדח הזנקה מסוג </w:t>
      </w:r>
      <w:r>
        <w:rPr>
          <w:rFonts w:ascii="FrankRuehl" w:hAnsi="FrankRuehl" w:cs="FrankRuehl"/>
        </w:rPr>
        <w:t>R</w:t>
      </w:r>
      <w:r>
        <w:rPr>
          <w:rFonts w:ascii="FrankRuehl" w:hAnsi="FrankRuehl" w:cs="FrankRuehl"/>
          <w:sz w:val="28"/>
          <w:szCs w:val="28"/>
        </w:rPr>
        <w:t>etay</w:t>
      </w:r>
      <w:r>
        <w:rPr>
          <w:rFonts w:ascii="FrankRuehl" w:hAnsi="FrankRuehl" w:cs="FrankRuehl"/>
          <w:sz w:val="28"/>
          <w:szCs w:val="28"/>
          <w:rtl/>
        </w:rPr>
        <w:t xml:space="preserve"> שהוסב לירי תחמושת קליעים בקליבר 9 מ"מ קצר עם מחסנית תואמת וכדורי 9 מ"מ בתמורה לסך של 37,000 ₪, ותוספת של 1,300 ₪ דמי תיווך לנאשם.</w:t>
      </w:r>
      <w:r>
        <w:rPr>
          <w:rFonts w:ascii="FrankRuehl" w:hAnsi="FrankRuehl" w:cs="FrankRuehl" w:hint="cs"/>
          <w:sz w:val="28"/>
          <w:szCs w:val="28"/>
          <w:rtl/>
        </w:rPr>
        <w:t xml:space="preserve"> בהמשך נסעו השניים למוצא ושם ירה הסוכן ירייה אחת באוויר לבדיקת תקינות הנשק. </w:t>
      </w:r>
    </w:p>
    <w:p w14:paraId="7E0017A2" w14:textId="77777777" w:rsidR="00DF731F" w:rsidRDefault="00DF731F" w:rsidP="00DF731F">
      <w:pPr>
        <w:spacing w:line="360" w:lineRule="auto"/>
        <w:jc w:val="both"/>
        <w:rPr>
          <w:rFonts w:ascii="FrankRuehl" w:hAnsi="FrankRuehl" w:cs="FrankRuehl"/>
          <w:sz w:val="28"/>
          <w:szCs w:val="28"/>
          <w:rtl/>
        </w:rPr>
      </w:pPr>
    </w:p>
    <w:p w14:paraId="6497A859"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Pr>
          <w:rFonts w:ascii="FrankRuehl" w:hAnsi="FrankRuehl" w:cs="FrankRuehl"/>
          <w:sz w:val="28"/>
          <w:szCs w:val="28"/>
          <w:rtl/>
        </w:rPr>
        <w:t>באישום השישי</w:t>
      </w:r>
      <w:r>
        <w:rPr>
          <w:rFonts w:ascii="FrankRuehl" w:hAnsi="FrankRuehl" w:cs="FrankRuehl" w:hint="cs"/>
          <w:sz w:val="28"/>
          <w:szCs w:val="28"/>
          <w:rtl/>
        </w:rPr>
        <w:t xml:space="preserve"> צוין, כי עובר ליום 19.01.21 התקשר הנאשם לסוכן ועדכן אותו באפשרות להשיג עבורו אקדח חדש במחיר של 40,000 ₪ ועמלת תיווך בסך של 2,500 ₪. בהמשך, ביום 20.01.21, נפגשו השניים במוצא, במקום בו בדקו את הנשק בעבר. שם, מכר </w:t>
      </w:r>
      <w:r>
        <w:rPr>
          <w:rFonts w:ascii="FrankRuehl" w:hAnsi="FrankRuehl" w:cs="FrankRuehl"/>
          <w:sz w:val="28"/>
          <w:szCs w:val="28"/>
          <w:rtl/>
        </w:rPr>
        <w:t xml:space="preserve">הנאשם לסוכן אקדח הזנקה </w:t>
      </w:r>
      <w:r w:rsidRPr="00DF731F">
        <w:rPr>
          <w:rFonts w:cs="Times New Roman"/>
          <w:sz w:val="22"/>
          <w:szCs w:val="22"/>
        </w:rPr>
        <w:t>BLOW</w:t>
      </w:r>
      <w:r>
        <w:rPr>
          <w:rFonts w:ascii="FrankRuehl" w:hAnsi="FrankRuehl" w:cs="FrankRuehl"/>
          <w:sz w:val="28"/>
          <w:szCs w:val="28"/>
          <w:rtl/>
        </w:rPr>
        <w:t xml:space="preserve"> שהוסב לירי תחמושת קליעים בקליבר 9 מ"מ יחד עם מחסנית תואמת ושני כדורי 9 מ"מ בתמורה לסך של 42,000 ₪, ותוספת של 2,500 ₪ דמי תיווך לנאשם.    </w:t>
      </w:r>
    </w:p>
    <w:p w14:paraId="292239F9" w14:textId="77777777" w:rsidR="00DF731F" w:rsidRPr="009921B8" w:rsidRDefault="00DF731F" w:rsidP="00DF731F">
      <w:pPr>
        <w:spacing w:line="360" w:lineRule="auto"/>
        <w:jc w:val="both"/>
        <w:rPr>
          <w:rFonts w:ascii="FrankRuehl" w:hAnsi="FrankRuehl" w:cs="FrankRuehl"/>
          <w:b/>
          <w:bCs/>
          <w:sz w:val="28"/>
          <w:szCs w:val="28"/>
          <w:u w:val="single"/>
          <w:rtl/>
        </w:rPr>
      </w:pPr>
    </w:p>
    <w:p w14:paraId="2116BE8E" w14:textId="77777777" w:rsidR="00DF731F" w:rsidRPr="009921B8" w:rsidRDefault="00DF731F" w:rsidP="00DF731F">
      <w:pPr>
        <w:spacing w:line="360" w:lineRule="auto"/>
        <w:jc w:val="both"/>
        <w:rPr>
          <w:rFonts w:ascii="FrankRuehl" w:hAnsi="FrankRuehl" w:cs="FrankRuehl"/>
          <w:b/>
          <w:bCs/>
          <w:sz w:val="28"/>
          <w:szCs w:val="28"/>
          <w:u w:val="single"/>
          <w:rtl/>
        </w:rPr>
      </w:pPr>
      <w:r w:rsidRPr="009921B8">
        <w:rPr>
          <w:rFonts w:ascii="FrankRuehl" w:hAnsi="FrankRuehl" w:cs="FrankRuehl" w:hint="cs"/>
          <w:b/>
          <w:bCs/>
          <w:sz w:val="28"/>
          <w:szCs w:val="28"/>
          <w:u w:val="single"/>
          <w:rtl/>
        </w:rPr>
        <w:t>תסקיר שירות המבחן</w:t>
      </w:r>
    </w:p>
    <w:p w14:paraId="009910CD" w14:textId="77777777" w:rsidR="00DF731F" w:rsidRDefault="00DF731F" w:rsidP="00DF731F">
      <w:pPr>
        <w:spacing w:line="360" w:lineRule="auto"/>
        <w:jc w:val="both"/>
        <w:rPr>
          <w:rFonts w:ascii="FrankRuehl" w:hAnsi="FrankRuehl" w:cs="FrankRuehl"/>
          <w:noProof/>
          <w:sz w:val="28"/>
          <w:szCs w:val="28"/>
          <w:rtl/>
        </w:rPr>
      </w:pPr>
      <w:r>
        <w:rPr>
          <w:rFonts w:ascii="FrankRuehl" w:hAnsi="FrankRuehl" w:cs="FrankRuehl" w:hint="cs"/>
          <w:sz w:val="28"/>
          <w:szCs w:val="28"/>
          <w:rtl/>
        </w:rPr>
        <w:lastRenderedPageBreak/>
        <w:t>5.</w:t>
      </w:r>
      <w:r>
        <w:rPr>
          <w:rFonts w:ascii="FrankRuehl" w:hAnsi="FrankRuehl" w:cs="FrankRuehl" w:hint="cs"/>
          <w:sz w:val="28"/>
          <w:szCs w:val="28"/>
          <w:rtl/>
        </w:rPr>
        <w:tab/>
        <w:t xml:space="preserve">מתסקיר שירות המבחן שהוגש בעניינו של הנאשם, נלמדו </w:t>
      </w:r>
      <w:r>
        <w:rPr>
          <w:rFonts w:ascii="FrankRuehl" w:hAnsi="FrankRuehl" w:cs="FrankRuehl"/>
          <w:sz w:val="28"/>
          <w:szCs w:val="28"/>
          <w:rtl/>
        </w:rPr>
        <w:t>נסיבות חייו הקשות</w:t>
      </w:r>
      <w:r>
        <w:rPr>
          <w:rFonts w:ascii="FrankRuehl" w:hAnsi="FrankRuehl" w:cs="FrankRuehl" w:hint="cs"/>
          <w:sz w:val="28"/>
          <w:szCs w:val="28"/>
          <w:rtl/>
        </w:rPr>
        <w:t>,</w:t>
      </w:r>
      <w:r>
        <w:rPr>
          <w:rFonts w:ascii="FrankRuehl" w:hAnsi="FrankRuehl" w:cs="FrankRuehl"/>
          <w:sz w:val="28"/>
          <w:szCs w:val="28"/>
          <w:rtl/>
        </w:rPr>
        <w:t xml:space="preserve"> מאז עלייתו ארצה עם בני משפחתו מאתיופיה בהיותו בן שנתיים. על מנת שלא לפגוע בצנעת הפרט של הנאשם ומשפחתו אסתפק בכך שהנאשם חי את כל ילדותו תחת קשיים רבים ומשמעותיים. בכלל זה, בבית ובבתי הספר השונים בהם למד. גם קשיים כלכליים משמעותיים לא פסחו על הנאשם ומשפחתו. </w:t>
      </w:r>
    </w:p>
    <w:p w14:paraId="0B263954" w14:textId="77777777" w:rsidR="00DF731F" w:rsidRDefault="00DF731F" w:rsidP="00DF731F">
      <w:pPr>
        <w:spacing w:line="360" w:lineRule="auto"/>
        <w:jc w:val="both"/>
        <w:rPr>
          <w:rFonts w:ascii="FrankRuehl" w:hAnsi="FrankRuehl" w:cs="FrankRuehl"/>
          <w:sz w:val="28"/>
          <w:szCs w:val="28"/>
          <w:rtl/>
        </w:rPr>
      </w:pPr>
    </w:p>
    <w:p w14:paraId="54720F7A"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sz w:val="28"/>
          <w:szCs w:val="28"/>
          <w:rtl/>
        </w:rPr>
        <w:t>.</w:t>
      </w:r>
      <w:r>
        <w:rPr>
          <w:rFonts w:ascii="FrankRuehl" w:hAnsi="FrankRuehl" w:cs="FrankRuehl"/>
          <w:sz w:val="28"/>
          <w:szCs w:val="28"/>
          <w:rtl/>
        </w:rPr>
        <w:tab/>
      </w:r>
      <w:r>
        <w:rPr>
          <w:rFonts w:ascii="FrankRuehl" w:hAnsi="FrankRuehl" w:cs="FrankRuehl" w:hint="cs"/>
          <w:sz w:val="28"/>
          <w:szCs w:val="28"/>
          <w:rtl/>
        </w:rPr>
        <w:t xml:space="preserve">מהתסקיר נלמד גם, </w:t>
      </w:r>
      <w:r>
        <w:rPr>
          <w:rFonts w:ascii="FrankRuehl" w:hAnsi="FrankRuehl" w:cs="FrankRuehl"/>
          <w:sz w:val="28"/>
          <w:szCs w:val="28"/>
          <w:rtl/>
        </w:rPr>
        <w:t>כי הנאשם צרך סמים מגיל צעיר מאוד</w:t>
      </w:r>
      <w:r>
        <w:rPr>
          <w:rFonts w:ascii="FrankRuehl" w:hAnsi="FrankRuehl" w:cs="FrankRuehl" w:hint="cs"/>
          <w:sz w:val="28"/>
          <w:szCs w:val="28"/>
          <w:rtl/>
        </w:rPr>
        <w:t>,</w:t>
      </w:r>
      <w:r>
        <w:rPr>
          <w:rFonts w:ascii="FrankRuehl" w:hAnsi="FrankRuehl" w:cs="FrankRuehl"/>
          <w:sz w:val="28"/>
          <w:szCs w:val="28"/>
          <w:rtl/>
        </w:rPr>
        <w:t xml:space="preserve"> אז גם החל את מעורבותו בפלילים. תחילה צרך סמים מסוג קנאביס והוא העמיק את צריכתו בהדרגה עד לכדי שימוש אינטנסיבי, בכלל זה בסמים קשים מסוג קוקאין. טיפול שקיבל </w:t>
      </w:r>
      <w:r>
        <w:rPr>
          <w:rFonts w:ascii="FrankRuehl" w:hAnsi="FrankRuehl" w:cs="FrankRuehl" w:hint="cs"/>
          <w:sz w:val="28"/>
          <w:szCs w:val="28"/>
          <w:rtl/>
        </w:rPr>
        <w:t xml:space="preserve">הנאשם </w:t>
      </w:r>
      <w:r>
        <w:rPr>
          <w:rFonts w:ascii="FrankRuehl" w:hAnsi="FrankRuehl" w:cs="FrankRuehl"/>
          <w:sz w:val="28"/>
          <w:szCs w:val="28"/>
          <w:rtl/>
        </w:rPr>
        <w:t xml:space="preserve">לאחר שהיה אסיר בשל עבירות סמים </w:t>
      </w:r>
      <w:r>
        <w:rPr>
          <w:rFonts w:ascii="FrankRuehl" w:hAnsi="FrankRuehl" w:cs="FrankRuehl" w:hint="cs"/>
          <w:sz w:val="28"/>
          <w:szCs w:val="28"/>
          <w:rtl/>
        </w:rPr>
        <w:t xml:space="preserve">קודמות שביצע, </w:t>
      </w:r>
      <w:r>
        <w:rPr>
          <w:rFonts w:ascii="FrankRuehl" w:hAnsi="FrankRuehl" w:cs="FrankRuehl"/>
          <w:sz w:val="28"/>
          <w:szCs w:val="28"/>
          <w:rtl/>
        </w:rPr>
        <w:t>לא צלח</w:t>
      </w:r>
      <w:r>
        <w:rPr>
          <w:rFonts w:ascii="FrankRuehl" w:hAnsi="FrankRuehl" w:cs="FrankRuehl" w:hint="cs"/>
          <w:sz w:val="28"/>
          <w:szCs w:val="28"/>
          <w:rtl/>
        </w:rPr>
        <w:t>,</w:t>
      </w:r>
      <w:r>
        <w:rPr>
          <w:rFonts w:ascii="FrankRuehl" w:hAnsi="FrankRuehl" w:cs="FrankRuehl"/>
          <w:sz w:val="28"/>
          <w:szCs w:val="28"/>
          <w:rtl/>
        </w:rPr>
        <w:t xml:space="preserve"> בשל סירובו ל</w:t>
      </w:r>
      <w:r>
        <w:rPr>
          <w:rFonts w:ascii="FrankRuehl" w:hAnsi="FrankRuehl" w:cs="FrankRuehl" w:hint="cs"/>
          <w:sz w:val="28"/>
          <w:szCs w:val="28"/>
          <w:rtl/>
        </w:rPr>
        <w:t xml:space="preserve">שתף פעולה </w:t>
      </w:r>
      <w:r>
        <w:rPr>
          <w:rFonts w:ascii="FrankRuehl" w:hAnsi="FrankRuehl" w:cs="FrankRuehl"/>
          <w:sz w:val="28"/>
          <w:szCs w:val="28"/>
          <w:rtl/>
        </w:rPr>
        <w:t xml:space="preserve">מאחר ולא תפס את עצמו כמכור וכמי שנזקק לטיפול.  </w:t>
      </w:r>
    </w:p>
    <w:p w14:paraId="36C896FF" w14:textId="77777777" w:rsidR="00DF731F" w:rsidRDefault="00DF731F" w:rsidP="00DF731F">
      <w:pPr>
        <w:spacing w:line="360" w:lineRule="auto"/>
        <w:jc w:val="both"/>
        <w:rPr>
          <w:rFonts w:ascii="FrankRuehl" w:hAnsi="FrankRuehl" w:cs="FrankRuehl"/>
          <w:sz w:val="28"/>
          <w:szCs w:val="28"/>
          <w:rtl/>
        </w:rPr>
      </w:pPr>
    </w:p>
    <w:p w14:paraId="4855845C"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sz w:val="28"/>
          <w:szCs w:val="28"/>
          <w:rtl/>
        </w:rPr>
        <w:tab/>
      </w:r>
      <w:r>
        <w:rPr>
          <w:rFonts w:ascii="FrankRuehl" w:hAnsi="FrankRuehl" w:cs="FrankRuehl" w:hint="cs"/>
          <w:sz w:val="28"/>
          <w:szCs w:val="28"/>
          <w:rtl/>
        </w:rPr>
        <w:t xml:space="preserve">ואולם, במסגרת הליך זה, ביטא הנאשם </w:t>
      </w:r>
      <w:r>
        <w:rPr>
          <w:rFonts w:ascii="FrankRuehl" w:hAnsi="FrankRuehl" w:cs="FrankRuehl"/>
          <w:sz w:val="28"/>
          <w:szCs w:val="28"/>
          <w:rtl/>
        </w:rPr>
        <w:t xml:space="preserve">מוטיבציה </w:t>
      </w:r>
      <w:r>
        <w:rPr>
          <w:rFonts w:ascii="FrankRuehl" w:hAnsi="FrankRuehl" w:cs="FrankRuehl" w:hint="cs"/>
          <w:sz w:val="28"/>
          <w:szCs w:val="28"/>
          <w:rtl/>
        </w:rPr>
        <w:t xml:space="preserve">ראשונית </w:t>
      </w:r>
      <w:r>
        <w:rPr>
          <w:rFonts w:ascii="FrankRuehl" w:hAnsi="FrankRuehl" w:cs="FrankRuehl"/>
          <w:sz w:val="28"/>
          <w:szCs w:val="28"/>
          <w:rtl/>
        </w:rPr>
        <w:t>להשתלב בהליך טיפולי ייעודי בתחום ההתמכרויות</w:t>
      </w:r>
      <w:r>
        <w:rPr>
          <w:rFonts w:ascii="FrankRuehl" w:hAnsi="FrankRuehl" w:cs="FrankRuehl" w:hint="cs"/>
          <w:sz w:val="28"/>
          <w:szCs w:val="28"/>
          <w:rtl/>
        </w:rPr>
        <w:t xml:space="preserve">, והביע מוכנות להתחיל בתהליך טיפולי ארוך טווח בתחום ההתמכרויות. בשל כך, ביום 23.01.22 הוריתי על שילובו בקהילת "מלכישוע". שם, כפי שעלה מתסקיר שירות המבחן, הוא ערך עבודה על דפוסי ההתנהגות והחשיבה שלו וחולל בתוכו שינויים משמעותיים. בהמשך, הומלץ על העברתו להוסטל השייך לקהילה במסגרת תכנית טיפולית המשכית, שם הוא נמצא עד היום. הנאשם הביע סיפוק מהתהליך על אף קשייו המשמעותיים בריחוקו מבני משפחתו, בפרט מאמו, ולצד זה הביע את הבנתו לכך שהתמכרותו דורשת המשך ליווי וטיפול ואת נכונותו להתמיד בתהליך זה. </w:t>
      </w:r>
    </w:p>
    <w:p w14:paraId="13C3A174" w14:textId="77777777" w:rsidR="00DF731F" w:rsidRDefault="00DF731F" w:rsidP="00DF731F">
      <w:pPr>
        <w:spacing w:line="360" w:lineRule="auto"/>
        <w:jc w:val="both"/>
        <w:rPr>
          <w:rFonts w:ascii="FrankRuehl" w:hAnsi="FrankRuehl" w:cs="FrankRuehl"/>
          <w:sz w:val="28"/>
          <w:szCs w:val="28"/>
          <w:rtl/>
        </w:rPr>
      </w:pPr>
    </w:p>
    <w:p w14:paraId="5315A56C"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הנאשם נטל אחריות על מעשיו בפני קצין המבחן, וציין את קשריו השוליים הבעייתיים שעמדו בבסיס מעשיו.</w:t>
      </w:r>
    </w:p>
    <w:p w14:paraId="0078089D" w14:textId="77777777" w:rsidR="00DF731F" w:rsidRDefault="00DF731F" w:rsidP="00DF731F">
      <w:pPr>
        <w:spacing w:line="360" w:lineRule="auto"/>
        <w:jc w:val="both"/>
        <w:rPr>
          <w:rFonts w:ascii="FrankRuehl" w:hAnsi="FrankRuehl" w:cs="FrankRuehl"/>
          <w:sz w:val="28"/>
          <w:szCs w:val="28"/>
          <w:rtl/>
        </w:rPr>
      </w:pPr>
    </w:p>
    <w:p w14:paraId="17EF237D"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בשולי התסקיר ונוכח האמור בו, בא קצין המבחן בהמלצה להשית על הנאשם עונש מאסר בעבודות שירות, על מנת לאפשר לנאשם לשמר את שהשיג עד כה. </w:t>
      </w:r>
    </w:p>
    <w:p w14:paraId="4C312B95" w14:textId="77777777" w:rsidR="00DF731F" w:rsidRDefault="00DF731F" w:rsidP="00DF731F">
      <w:pPr>
        <w:spacing w:line="360" w:lineRule="auto"/>
        <w:jc w:val="both"/>
        <w:rPr>
          <w:rFonts w:ascii="FrankRuehl" w:hAnsi="FrankRuehl" w:cs="FrankRuehl"/>
          <w:sz w:val="28"/>
          <w:szCs w:val="28"/>
          <w:rtl/>
        </w:rPr>
      </w:pPr>
    </w:p>
    <w:p w14:paraId="1561C8D0" w14:textId="77777777" w:rsidR="00DF731F" w:rsidRDefault="00DF731F" w:rsidP="00DF731F">
      <w:pPr>
        <w:spacing w:line="360" w:lineRule="auto"/>
        <w:jc w:val="both"/>
        <w:rPr>
          <w:rFonts w:ascii="FrankRuehl" w:hAnsi="FrankRuehl" w:cs="FrankRuehl"/>
          <w:b/>
          <w:bCs/>
          <w:sz w:val="28"/>
          <w:szCs w:val="28"/>
          <w:u w:val="single"/>
          <w:rtl/>
        </w:rPr>
      </w:pPr>
      <w:r w:rsidRPr="009921B8">
        <w:rPr>
          <w:rFonts w:ascii="FrankRuehl" w:hAnsi="FrankRuehl" w:cs="FrankRuehl" w:hint="cs"/>
          <w:b/>
          <w:bCs/>
          <w:sz w:val="28"/>
          <w:szCs w:val="28"/>
          <w:u w:val="single"/>
          <w:rtl/>
        </w:rPr>
        <w:t>טיעוני ב"כ הצדדים לעונש</w:t>
      </w:r>
    </w:p>
    <w:p w14:paraId="63618EE7" w14:textId="77777777" w:rsidR="00DF731F" w:rsidRPr="00AF080F" w:rsidRDefault="00DF731F" w:rsidP="00DF731F">
      <w:pPr>
        <w:spacing w:line="360" w:lineRule="auto"/>
        <w:jc w:val="both"/>
        <w:rPr>
          <w:rFonts w:ascii="FrankRuehl" w:hAnsi="FrankRuehl" w:cs="FrankRuehl"/>
          <w:b/>
          <w:bCs/>
          <w:sz w:val="28"/>
          <w:szCs w:val="28"/>
          <w:u w:val="single"/>
          <w:rtl/>
        </w:rPr>
      </w:pPr>
      <w:r>
        <w:rPr>
          <w:rFonts w:ascii="FrankRuehl" w:hAnsi="FrankRuehl" w:cs="FrankRuehl" w:hint="cs"/>
          <w:sz w:val="28"/>
          <w:szCs w:val="28"/>
          <w:rtl/>
        </w:rPr>
        <w:t>10.</w:t>
      </w:r>
      <w:r>
        <w:rPr>
          <w:rFonts w:ascii="FrankRuehl" w:hAnsi="FrankRuehl" w:cs="FrankRuehl" w:hint="cs"/>
          <w:sz w:val="28"/>
          <w:szCs w:val="28"/>
          <w:rtl/>
        </w:rPr>
        <w:tab/>
        <w:t xml:space="preserve">בטיעוניה לעונש, </w:t>
      </w:r>
      <w:r w:rsidRPr="007C3B25">
        <w:rPr>
          <w:rFonts w:ascii="FrankRuehl" w:hAnsi="FrankRuehl" w:cs="FrankRuehl" w:hint="cs"/>
          <w:sz w:val="28"/>
          <w:szCs w:val="28"/>
          <w:rtl/>
        </w:rPr>
        <w:t>עמדה ב"כ המאשימה על הערכים המוגנים בעבירות הסמים ובעבירות הנשק. היא הצביעה על הנסיבות החמורות של העבירות: ארבע עסקאות שנעשו בתקופה קצרה יחסית של סחר בכמות גדולה ב</w:t>
      </w:r>
      <w:r>
        <w:rPr>
          <w:rFonts w:ascii="FrankRuehl" w:hAnsi="FrankRuehl" w:cs="FrankRuehl" w:hint="cs"/>
          <w:sz w:val="28"/>
          <w:szCs w:val="28"/>
          <w:rtl/>
        </w:rPr>
        <w:t>סם מ</w:t>
      </w:r>
      <w:r w:rsidRPr="007C3B25">
        <w:rPr>
          <w:rFonts w:ascii="FrankRuehl" w:hAnsi="FrankRuehl" w:cs="FrankRuehl" w:hint="cs"/>
          <w:sz w:val="28"/>
          <w:szCs w:val="28"/>
          <w:rtl/>
        </w:rPr>
        <w:t>סוג קשה של קוקאין, כשהנאשם הרוויח מהן כ-14,000 ₪</w:t>
      </w:r>
      <w:r>
        <w:rPr>
          <w:rFonts w:ascii="FrankRuehl" w:hAnsi="FrankRuehl" w:cs="FrankRuehl" w:hint="cs"/>
          <w:sz w:val="28"/>
          <w:szCs w:val="28"/>
          <w:rtl/>
        </w:rPr>
        <w:t xml:space="preserve">. זאת, </w:t>
      </w:r>
      <w:r w:rsidRPr="007C3B25">
        <w:rPr>
          <w:rFonts w:ascii="FrankRuehl" w:hAnsi="FrankRuehl" w:cs="FrankRuehl" w:hint="cs"/>
          <w:sz w:val="28"/>
          <w:szCs w:val="28"/>
          <w:rtl/>
        </w:rPr>
        <w:t xml:space="preserve">לצד </w:t>
      </w:r>
      <w:r>
        <w:rPr>
          <w:rFonts w:ascii="FrankRuehl" w:hAnsi="FrankRuehl" w:cs="FrankRuehl" w:hint="cs"/>
          <w:sz w:val="28"/>
          <w:szCs w:val="28"/>
          <w:rtl/>
        </w:rPr>
        <w:t xml:space="preserve">עסקאות הנשק החמורות שהניבו רווח של </w:t>
      </w:r>
      <w:r w:rsidRPr="007C3B25">
        <w:rPr>
          <w:rFonts w:ascii="FrankRuehl" w:hAnsi="FrankRuehl" w:cs="FrankRuehl" w:hint="cs"/>
          <w:sz w:val="28"/>
          <w:szCs w:val="28"/>
          <w:rtl/>
        </w:rPr>
        <w:t>עשרות אלפי שקלים</w:t>
      </w:r>
      <w:r>
        <w:rPr>
          <w:rFonts w:ascii="FrankRuehl" w:hAnsi="FrankRuehl" w:cs="FrankRuehl" w:hint="cs"/>
          <w:sz w:val="28"/>
          <w:szCs w:val="28"/>
          <w:rtl/>
        </w:rPr>
        <w:t>.</w:t>
      </w:r>
      <w:r w:rsidRPr="007C3B25">
        <w:rPr>
          <w:rFonts w:ascii="FrankRuehl" w:hAnsi="FrankRuehl" w:cs="FrankRuehl" w:hint="cs"/>
          <w:sz w:val="28"/>
          <w:szCs w:val="28"/>
          <w:rtl/>
        </w:rPr>
        <w:t xml:space="preserve"> היא </w:t>
      </w:r>
      <w:r>
        <w:rPr>
          <w:rFonts w:ascii="FrankRuehl" w:hAnsi="FrankRuehl" w:cs="FrankRuehl" w:hint="cs"/>
          <w:sz w:val="28"/>
          <w:szCs w:val="28"/>
          <w:rtl/>
        </w:rPr>
        <w:t xml:space="preserve">גם </w:t>
      </w:r>
      <w:r w:rsidRPr="007C3B25">
        <w:rPr>
          <w:rFonts w:ascii="FrankRuehl" w:hAnsi="FrankRuehl" w:cs="FrankRuehl" w:hint="cs"/>
          <w:sz w:val="28"/>
          <w:szCs w:val="28"/>
          <w:rtl/>
        </w:rPr>
        <w:t>הצביע</w:t>
      </w:r>
      <w:r>
        <w:rPr>
          <w:rFonts w:ascii="FrankRuehl" w:hAnsi="FrankRuehl" w:cs="FrankRuehl" w:hint="cs"/>
          <w:sz w:val="28"/>
          <w:szCs w:val="28"/>
          <w:rtl/>
        </w:rPr>
        <w:t>ה</w:t>
      </w:r>
      <w:r w:rsidRPr="007C3B25">
        <w:rPr>
          <w:rFonts w:ascii="FrankRuehl" w:hAnsi="FrankRuehl" w:cs="FrankRuehl" w:hint="cs"/>
          <w:sz w:val="28"/>
          <w:szCs w:val="28"/>
          <w:rtl/>
        </w:rPr>
        <w:t xml:space="preserve"> על כך שבאישום השישי מתואר שהנאשם נשא את הנשק בירושלים באמצע היום, דבר שיכול היה להביא לאסון של ממש. </w:t>
      </w:r>
      <w:r>
        <w:rPr>
          <w:rFonts w:ascii="FrankRuehl" w:hAnsi="FrankRuehl" w:cs="FrankRuehl" w:hint="cs"/>
          <w:sz w:val="28"/>
          <w:szCs w:val="28"/>
          <w:rtl/>
        </w:rPr>
        <w:t>ב"כ המאשימה עמדה על חומרת עבירות הנשק והיותן</w:t>
      </w:r>
      <w:r w:rsidRPr="007C3B25">
        <w:rPr>
          <w:rFonts w:ascii="FrankRuehl" w:hAnsi="FrankRuehl" w:cs="FrankRuehl" w:hint="cs"/>
          <w:sz w:val="28"/>
          <w:szCs w:val="28"/>
          <w:rtl/>
        </w:rPr>
        <w:t xml:space="preserve"> מכת מדינה, ו</w:t>
      </w:r>
      <w:r>
        <w:rPr>
          <w:rFonts w:ascii="FrankRuehl" w:hAnsi="FrankRuehl" w:cs="FrankRuehl" w:hint="cs"/>
          <w:sz w:val="28"/>
          <w:szCs w:val="28"/>
          <w:rtl/>
        </w:rPr>
        <w:t>הצביעה ע</w:t>
      </w:r>
      <w:r w:rsidRPr="007C3B25">
        <w:rPr>
          <w:rFonts w:ascii="FrankRuehl" w:hAnsi="FrankRuehl" w:cs="FrankRuehl" w:hint="cs"/>
          <w:sz w:val="28"/>
          <w:szCs w:val="28"/>
          <w:rtl/>
        </w:rPr>
        <w:t>ל</w:t>
      </w:r>
      <w:r>
        <w:rPr>
          <w:rFonts w:ascii="FrankRuehl" w:hAnsi="FrankRuehl" w:cs="FrankRuehl" w:hint="cs"/>
          <w:sz w:val="28"/>
          <w:szCs w:val="28"/>
          <w:rtl/>
        </w:rPr>
        <w:t xml:space="preserve"> </w:t>
      </w:r>
      <w:r w:rsidRPr="007C3B25">
        <w:rPr>
          <w:rFonts w:ascii="FrankRuehl" w:hAnsi="FrankRuehl" w:cs="FrankRuehl" w:hint="cs"/>
          <w:sz w:val="28"/>
          <w:szCs w:val="28"/>
          <w:rtl/>
        </w:rPr>
        <w:t>מגמת ההחמרה בענישת עברייני הנשק</w:t>
      </w:r>
      <w:r>
        <w:rPr>
          <w:rFonts w:ascii="FrankRuehl" w:hAnsi="FrankRuehl" w:cs="FrankRuehl" w:hint="cs"/>
          <w:sz w:val="28"/>
          <w:szCs w:val="28"/>
          <w:rtl/>
        </w:rPr>
        <w:t>, ו</w:t>
      </w:r>
      <w:r w:rsidRPr="007C3B25">
        <w:rPr>
          <w:rFonts w:ascii="FrankRuehl" w:hAnsi="FrankRuehl" w:cs="FrankRuehl" w:hint="cs"/>
          <w:sz w:val="28"/>
          <w:szCs w:val="28"/>
          <w:rtl/>
        </w:rPr>
        <w:t xml:space="preserve">חשיבות הרתעת הרבים והיחיד </w:t>
      </w:r>
      <w:r>
        <w:rPr>
          <w:rFonts w:ascii="FrankRuehl" w:hAnsi="FrankRuehl" w:cs="FrankRuehl" w:hint="cs"/>
          <w:sz w:val="28"/>
          <w:szCs w:val="28"/>
          <w:rtl/>
        </w:rPr>
        <w:t xml:space="preserve">למיגור </w:t>
      </w:r>
      <w:r w:rsidRPr="007C3B25">
        <w:rPr>
          <w:rFonts w:ascii="FrankRuehl" w:hAnsi="FrankRuehl" w:cs="FrankRuehl" w:hint="cs"/>
          <w:sz w:val="28"/>
          <w:szCs w:val="28"/>
          <w:rtl/>
        </w:rPr>
        <w:t xml:space="preserve">עבירות אלו. </w:t>
      </w:r>
    </w:p>
    <w:p w14:paraId="30B42EBA" w14:textId="77777777" w:rsidR="00DF731F" w:rsidRDefault="00DF731F" w:rsidP="00DF731F">
      <w:pPr>
        <w:spacing w:line="360" w:lineRule="auto"/>
        <w:jc w:val="both"/>
        <w:rPr>
          <w:rFonts w:ascii="FrankRuehl" w:hAnsi="FrankRuehl" w:cs="FrankRuehl"/>
          <w:sz w:val="28"/>
          <w:szCs w:val="28"/>
          <w:rtl/>
        </w:rPr>
      </w:pPr>
    </w:p>
    <w:p w14:paraId="0B716440" w14:textId="77777777" w:rsidR="00DF731F" w:rsidRPr="007C3B25"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sidRPr="007C3B25">
        <w:rPr>
          <w:rFonts w:ascii="FrankRuehl" w:hAnsi="FrankRuehl" w:cs="FrankRuehl" w:hint="cs"/>
          <w:sz w:val="28"/>
          <w:szCs w:val="28"/>
          <w:rtl/>
        </w:rPr>
        <w:t xml:space="preserve">ב"כ המאשימה עתרה למתחם עונש הולם אחד לכלל עבירות הסמים, מתחם הנע מ-30 </w:t>
      </w:r>
      <w:r>
        <w:rPr>
          <w:rFonts w:ascii="FrankRuehl" w:hAnsi="FrankRuehl" w:cs="FrankRuehl" w:hint="cs"/>
          <w:sz w:val="28"/>
          <w:szCs w:val="28"/>
          <w:rtl/>
        </w:rPr>
        <w:t xml:space="preserve">ועד </w:t>
      </w:r>
      <w:r w:rsidRPr="007C3B25">
        <w:rPr>
          <w:rFonts w:ascii="FrankRuehl" w:hAnsi="FrankRuehl" w:cs="FrankRuehl" w:hint="cs"/>
          <w:sz w:val="28"/>
          <w:szCs w:val="28"/>
          <w:rtl/>
        </w:rPr>
        <w:t>50 חודשי מאסר בפועל, ומתחם עונש הולם נוסף לעבירות הסחר בנשק ובתחמושת, מתחם הנע בין 5 ל-10 שנות מאסר בפועל.</w:t>
      </w:r>
      <w:r>
        <w:rPr>
          <w:rFonts w:ascii="FrankRuehl" w:hAnsi="FrankRuehl" w:cs="FrankRuehl" w:hint="cs"/>
          <w:sz w:val="28"/>
          <w:szCs w:val="28"/>
          <w:rtl/>
        </w:rPr>
        <w:t xml:space="preserve"> זאת לצד עונשים נלווים.</w:t>
      </w:r>
      <w:r w:rsidRPr="007C3B25">
        <w:rPr>
          <w:rFonts w:ascii="FrankRuehl" w:hAnsi="FrankRuehl" w:cs="FrankRuehl" w:hint="cs"/>
          <w:sz w:val="28"/>
          <w:szCs w:val="28"/>
          <w:rtl/>
        </w:rPr>
        <w:t xml:space="preserve"> </w:t>
      </w:r>
    </w:p>
    <w:p w14:paraId="181F9417" w14:textId="77777777" w:rsidR="00DF731F" w:rsidRPr="007C3B25" w:rsidRDefault="00DF731F" w:rsidP="00DF731F">
      <w:pPr>
        <w:spacing w:line="360" w:lineRule="auto"/>
        <w:jc w:val="both"/>
        <w:rPr>
          <w:rFonts w:ascii="FrankRuehl" w:hAnsi="FrankRuehl" w:cs="FrankRuehl"/>
          <w:sz w:val="28"/>
          <w:szCs w:val="28"/>
          <w:rtl/>
        </w:rPr>
      </w:pPr>
    </w:p>
    <w:p w14:paraId="0E80E99C" w14:textId="77777777" w:rsidR="00DF731F" w:rsidRPr="00D87D78" w:rsidRDefault="00DF731F" w:rsidP="00DF731F">
      <w:pPr>
        <w:spacing w:line="360" w:lineRule="auto"/>
        <w:jc w:val="both"/>
        <w:rPr>
          <w:rFonts w:ascii="FrankRuehl" w:hAnsi="FrankRuehl" w:cs="FrankRuehl"/>
          <w:color w:val="FF0000"/>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B57D09">
        <w:rPr>
          <w:rFonts w:ascii="FrankRuehl" w:hAnsi="FrankRuehl" w:cs="FrankRuehl" w:hint="cs"/>
          <w:sz w:val="28"/>
          <w:szCs w:val="28"/>
          <w:rtl/>
        </w:rPr>
        <w:t>באשר לנאשם היא ציינה את עברו הפלילי, הכולל הרשעה בעבירה של החזקה ושימוש בסם שלא לצריכה עצמית בחודש מרץ 2020 בגינו הושת עליו גם עונש מאסר על תנאי בר הפעלה, שלא מנע מהנאשם לשוב ולבצע עבירות. כן ציינה את הרשעותיו הקודמות: מחודש ספטמבר 2018 בעבירה של שימוש בסם; מחודש יוני 2018 בעבירה של סחר בסם ובעבירה של החזקת סם שלא לצריכה עצמית, בגינם נגזרו עליו 15 חודשי מאסר בפועל; ומחודש מרץ 2018 בעבירה של החזקת סם לצריכה עצמית. הנאשם גם ביצע עבירות גניבה, תקיפה ואיומים בהיותו קטין בשנים 2010 ו-2</w:t>
      </w:r>
      <w:r>
        <w:rPr>
          <w:rFonts w:ascii="FrankRuehl" w:hAnsi="FrankRuehl" w:cs="FrankRuehl" w:hint="cs"/>
          <w:sz w:val="28"/>
          <w:szCs w:val="28"/>
          <w:rtl/>
        </w:rPr>
        <w:t>013</w:t>
      </w:r>
      <w:r w:rsidRPr="00B57D09">
        <w:rPr>
          <w:rFonts w:ascii="FrankRuehl" w:hAnsi="FrankRuehl" w:cs="FrankRuehl" w:hint="cs"/>
          <w:sz w:val="28"/>
          <w:szCs w:val="28"/>
          <w:rtl/>
        </w:rPr>
        <w:t xml:space="preserve">. ב"כ המאשימה עמדה על כך, שלמרות גילו הצעיר, באמתחתו עבר פלילי מכביד והוא ריצה מספר עונשי מאסר.  </w:t>
      </w:r>
    </w:p>
    <w:p w14:paraId="028EC271" w14:textId="77777777" w:rsidR="00DF731F" w:rsidRPr="002B00DD" w:rsidRDefault="00DF731F" w:rsidP="00DF731F">
      <w:pPr>
        <w:spacing w:line="360" w:lineRule="auto"/>
        <w:jc w:val="both"/>
        <w:rPr>
          <w:rFonts w:ascii="FrankRuehl" w:hAnsi="FrankRuehl" w:cs="FrankRuehl"/>
          <w:sz w:val="28"/>
          <w:szCs w:val="28"/>
          <w:rtl/>
        </w:rPr>
      </w:pPr>
    </w:p>
    <w:p w14:paraId="39C62871"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 xml:space="preserve">ב"כ המאשימה עמדה על </w:t>
      </w:r>
      <w:r w:rsidRPr="002B00DD">
        <w:rPr>
          <w:rFonts w:ascii="FrankRuehl" w:hAnsi="FrankRuehl" w:cs="FrankRuehl" w:hint="cs"/>
          <w:sz w:val="28"/>
          <w:szCs w:val="28"/>
          <w:rtl/>
        </w:rPr>
        <w:t>עברו הפלילי של הנאשם</w:t>
      </w:r>
      <w:r>
        <w:rPr>
          <w:rFonts w:ascii="FrankRuehl" w:hAnsi="FrankRuehl" w:cs="FrankRuehl" w:hint="cs"/>
          <w:sz w:val="28"/>
          <w:szCs w:val="28"/>
          <w:rtl/>
        </w:rPr>
        <w:t xml:space="preserve"> המצדיק החמרה בענישה. </w:t>
      </w:r>
      <w:r w:rsidRPr="002B00DD">
        <w:rPr>
          <w:rFonts w:ascii="FrankRuehl" w:hAnsi="FrankRuehl" w:cs="FrankRuehl" w:hint="cs"/>
          <w:sz w:val="28"/>
          <w:szCs w:val="28"/>
          <w:rtl/>
        </w:rPr>
        <w:t>לצד</w:t>
      </w:r>
      <w:r>
        <w:rPr>
          <w:rFonts w:ascii="FrankRuehl" w:hAnsi="FrankRuehl" w:cs="FrankRuehl" w:hint="cs"/>
          <w:sz w:val="28"/>
          <w:szCs w:val="28"/>
          <w:rtl/>
        </w:rPr>
        <w:t xml:space="preserve"> </w:t>
      </w:r>
      <w:r w:rsidRPr="002B00DD">
        <w:rPr>
          <w:rFonts w:ascii="FrankRuehl" w:hAnsi="FrankRuehl" w:cs="FrankRuehl" w:hint="cs"/>
          <w:sz w:val="28"/>
          <w:szCs w:val="28"/>
          <w:rtl/>
        </w:rPr>
        <w:t xml:space="preserve">זאת היא ציינה כי </w:t>
      </w:r>
      <w:r>
        <w:rPr>
          <w:rFonts w:ascii="FrankRuehl" w:hAnsi="FrankRuehl" w:cs="FrankRuehl" w:hint="cs"/>
          <w:sz w:val="28"/>
          <w:szCs w:val="28"/>
          <w:rtl/>
        </w:rPr>
        <w:t xml:space="preserve">הנאשם צעיר, </w:t>
      </w:r>
      <w:r w:rsidRPr="002B00DD">
        <w:rPr>
          <w:rFonts w:ascii="FrankRuehl" w:hAnsi="FrankRuehl" w:cs="FrankRuehl" w:hint="cs"/>
          <w:sz w:val="28"/>
          <w:szCs w:val="28"/>
          <w:rtl/>
        </w:rPr>
        <w:t xml:space="preserve">הודה בפתח </w:t>
      </w:r>
      <w:r>
        <w:rPr>
          <w:rFonts w:ascii="FrankRuehl" w:hAnsi="FrankRuehl" w:cs="FrankRuehl" w:hint="cs"/>
          <w:sz w:val="28"/>
          <w:szCs w:val="28"/>
          <w:rtl/>
        </w:rPr>
        <w:t xml:space="preserve">ישיבת </w:t>
      </w:r>
      <w:r w:rsidRPr="002B00DD">
        <w:rPr>
          <w:rFonts w:ascii="FrankRuehl" w:hAnsi="FrankRuehl" w:cs="FrankRuehl" w:hint="cs"/>
          <w:sz w:val="28"/>
          <w:szCs w:val="28"/>
          <w:rtl/>
        </w:rPr>
        <w:t xml:space="preserve">ההוכחות וחסך זמן שיפוטי. הנאשם אכן עבר הליך שיקומי, והשיקום הוא אחד משיקולי הענישה, אך הוא רק חלק ממערך שיקולים שאמורים להיות בפני בית המשפט. </w:t>
      </w:r>
      <w:r>
        <w:rPr>
          <w:rFonts w:ascii="FrankRuehl" w:hAnsi="FrankRuehl" w:cs="FrankRuehl" w:hint="cs"/>
          <w:sz w:val="28"/>
          <w:szCs w:val="28"/>
          <w:rtl/>
        </w:rPr>
        <w:t xml:space="preserve">לדבריה, </w:t>
      </w:r>
      <w:r w:rsidRPr="002B00DD">
        <w:rPr>
          <w:rFonts w:ascii="FrankRuehl" w:hAnsi="FrankRuehl" w:cs="FrankRuehl" w:hint="cs"/>
          <w:sz w:val="28"/>
          <w:szCs w:val="28"/>
          <w:rtl/>
        </w:rPr>
        <w:t xml:space="preserve">השיקום שעבר הנאשם במקרה זה מצדיק </w:t>
      </w:r>
      <w:r>
        <w:rPr>
          <w:rFonts w:ascii="FrankRuehl" w:hAnsi="FrankRuehl" w:cs="FrankRuehl" w:hint="cs"/>
          <w:sz w:val="28"/>
          <w:szCs w:val="28"/>
          <w:rtl/>
        </w:rPr>
        <w:t xml:space="preserve">אמנם </w:t>
      </w:r>
      <w:r w:rsidRPr="002B00DD">
        <w:rPr>
          <w:rFonts w:ascii="FrankRuehl" w:hAnsi="FrankRuehl" w:cs="FrankRuehl" w:hint="cs"/>
          <w:sz w:val="28"/>
          <w:szCs w:val="28"/>
          <w:rtl/>
        </w:rPr>
        <w:t>הקלה בעונשו של הנאשם, אך יש לגזור את עונשו בתחומי המתחם.</w:t>
      </w:r>
    </w:p>
    <w:p w14:paraId="020A4429" w14:textId="77777777" w:rsidR="00DF731F" w:rsidRDefault="00DF731F" w:rsidP="00DF731F">
      <w:pPr>
        <w:spacing w:line="360" w:lineRule="auto"/>
        <w:jc w:val="both"/>
        <w:rPr>
          <w:rFonts w:ascii="FrankRuehl" w:hAnsi="FrankRuehl" w:cs="FrankRuehl"/>
          <w:sz w:val="28"/>
          <w:szCs w:val="28"/>
          <w:rtl/>
        </w:rPr>
      </w:pPr>
    </w:p>
    <w:p w14:paraId="5EE5797D"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sz w:val="28"/>
          <w:szCs w:val="28"/>
          <w:rtl/>
        </w:rPr>
        <w:tab/>
      </w:r>
      <w:r>
        <w:rPr>
          <w:rFonts w:ascii="FrankRuehl" w:hAnsi="FrankRuehl" w:cs="FrankRuehl" w:hint="cs"/>
          <w:sz w:val="28"/>
          <w:szCs w:val="28"/>
          <w:rtl/>
        </w:rPr>
        <w:t>לשיטת המאשימה, שקלול הנתונים מביא ל</w:t>
      </w:r>
      <w:r w:rsidRPr="002B00DD">
        <w:rPr>
          <w:rFonts w:ascii="FrankRuehl" w:hAnsi="FrankRuehl" w:cs="FrankRuehl" w:hint="cs"/>
          <w:sz w:val="28"/>
          <w:szCs w:val="28"/>
          <w:rtl/>
        </w:rPr>
        <w:t>מיקום עונשו הראוי של הנאשם בתוך המתחם, במחצית המתחם של עבירות הסם ובסמוך לרף התחתון של המתחם בעבירות הנשק. בסופו של יום, תוך חפיפה מסוימת של העונשים היא עתרה להשית על הנאשם עונש של 6 שנות מאסר, ולאחר הפעלת התנאי של 6 חודשי מאסר</w:t>
      </w:r>
      <w:r>
        <w:rPr>
          <w:rFonts w:ascii="FrankRuehl" w:hAnsi="FrankRuehl" w:cs="FrankRuehl" w:hint="cs"/>
          <w:sz w:val="28"/>
          <w:szCs w:val="28"/>
          <w:rtl/>
        </w:rPr>
        <w:t xml:space="preserve"> התלוי ועומד כנגד הנאשם</w:t>
      </w:r>
      <w:r w:rsidRPr="002B00DD">
        <w:rPr>
          <w:rFonts w:ascii="FrankRuehl" w:hAnsi="FrankRuehl" w:cs="FrankRuehl" w:hint="cs"/>
          <w:sz w:val="28"/>
          <w:szCs w:val="28"/>
          <w:rtl/>
        </w:rPr>
        <w:t>, להשית עליו עונש כולל של 6 וחצי שנות מאסר</w:t>
      </w:r>
      <w:r>
        <w:rPr>
          <w:rFonts w:ascii="FrankRuehl" w:hAnsi="FrankRuehl" w:cs="FrankRuehl" w:hint="cs"/>
          <w:sz w:val="28"/>
          <w:szCs w:val="28"/>
          <w:rtl/>
        </w:rPr>
        <w:t>, לצד ענישה נלווית</w:t>
      </w:r>
      <w:r w:rsidRPr="002B00DD">
        <w:rPr>
          <w:rFonts w:ascii="FrankRuehl" w:hAnsi="FrankRuehl" w:cs="FrankRuehl" w:hint="cs"/>
          <w:sz w:val="28"/>
          <w:szCs w:val="28"/>
          <w:rtl/>
        </w:rPr>
        <w:t xml:space="preserve">. </w:t>
      </w:r>
    </w:p>
    <w:p w14:paraId="24728AC7" w14:textId="77777777" w:rsidR="00DF731F" w:rsidRPr="002B00DD" w:rsidRDefault="00DF731F" w:rsidP="00DF731F">
      <w:pPr>
        <w:spacing w:line="360" w:lineRule="auto"/>
        <w:jc w:val="both"/>
        <w:rPr>
          <w:rFonts w:ascii="FrankRuehl" w:hAnsi="FrankRuehl" w:cs="FrankRuehl"/>
          <w:sz w:val="28"/>
          <w:szCs w:val="28"/>
          <w:rtl/>
        </w:rPr>
      </w:pPr>
    </w:p>
    <w:p w14:paraId="5942C105"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 xml:space="preserve">כן נתבקש להכריז על הנאשם כסוחר סמים ולחלט </w:t>
      </w:r>
      <w:r w:rsidRPr="002B00DD">
        <w:rPr>
          <w:rFonts w:ascii="FrankRuehl" w:hAnsi="FrankRuehl" w:cs="FrankRuehl" w:hint="cs"/>
          <w:sz w:val="28"/>
          <w:szCs w:val="28"/>
          <w:rtl/>
        </w:rPr>
        <w:t xml:space="preserve">את הכסף שנתפס על הנאשם ובחשבון הבנק שלו, כמו גם את האופנוע שלו שנתפס. </w:t>
      </w:r>
    </w:p>
    <w:p w14:paraId="70F3B6A7" w14:textId="77777777" w:rsidR="00DF731F" w:rsidRPr="002B00DD" w:rsidRDefault="00DF731F" w:rsidP="00DF731F">
      <w:pPr>
        <w:spacing w:line="360" w:lineRule="auto"/>
        <w:jc w:val="both"/>
        <w:rPr>
          <w:rFonts w:ascii="FrankRuehl" w:hAnsi="FrankRuehl" w:cs="FrankRuehl"/>
          <w:sz w:val="28"/>
          <w:szCs w:val="28"/>
          <w:rtl/>
        </w:rPr>
      </w:pPr>
    </w:p>
    <w:p w14:paraId="50B31CB4"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2B00DD">
        <w:rPr>
          <w:rFonts w:ascii="FrankRuehl" w:hAnsi="FrankRuehl" w:cs="FrankRuehl" w:hint="cs"/>
          <w:sz w:val="28"/>
          <w:szCs w:val="28"/>
          <w:rtl/>
        </w:rPr>
        <w:t>מנגד</w:t>
      </w:r>
      <w:r>
        <w:rPr>
          <w:rFonts w:ascii="FrankRuehl" w:hAnsi="FrankRuehl" w:cs="FrankRuehl" w:hint="cs"/>
          <w:sz w:val="28"/>
          <w:szCs w:val="28"/>
          <w:rtl/>
        </w:rPr>
        <w:t>,</w:t>
      </w:r>
      <w:r w:rsidRPr="002B00DD">
        <w:rPr>
          <w:rFonts w:ascii="FrankRuehl" w:hAnsi="FrankRuehl" w:cs="FrankRuehl" w:hint="cs"/>
          <w:sz w:val="28"/>
          <w:szCs w:val="28"/>
          <w:rtl/>
        </w:rPr>
        <w:t xml:space="preserve"> ב"כ הנאשם הדגיש בטיעוניו את נסיבות חייו </w:t>
      </w:r>
      <w:r>
        <w:rPr>
          <w:rFonts w:ascii="FrankRuehl" w:hAnsi="FrankRuehl" w:cs="FrankRuehl" w:hint="cs"/>
          <w:sz w:val="28"/>
          <w:szCs w:val="28"/>
          <w:rtl/>
        </w:rPr>
        <w:t xml:space="preserve">הקשות </w:t>
      </w:r>
      <w:r w:rsidRPr="002B00DD">
        <w:rPr>
          <w:rFonts w:ascii="FrankRuehl" w:hAnsi="FrankRuehl" w:cs="FrankRuehl" w:hint="cs"/>
          <w:sz w:val="28"/>
          <w:szCs w:val="28"/>
          <w:rtl/>
        </w:rPr>
        <w:t>של הנאשם.</w:t>
      </w:r>
      <w:r>
        <w:rPr>
          <w:rFonts w:ascii="FrankRuehl" w:hAnsi="FrankRuehl" w:cs="FrankRuehl" w:hint="cs"/>
          <w:sz w:val="28"/>
          <w:szCs w:val="28"/>
          <w:rtl/>
        </w:rPr>
        <w:t xml:space="preserve"> הוא ציין, כי מדובר במי </w:t>
      </w:r>
      <w:r w:rsidRPr="000F47B8">
        <w:rPr>
          <w:rFonts w:ascii="FrankRuehl" w:hAnsi="FrankRuehl" w:cs="FrankRuehl" w:hint="cs"/>
          <w:sz w:val="28"/>
          <w:szCs w:val="28"/>
          <w:rtl/>
        </w:rPr>
        <w:t>שגדל באשפתות, בעוני מחפיר, התדרדר לסמים בגיל צעיר ולמעשה הפך לנרקומן, שבשביל להשיג את מנת הסם שלו</w:t>
      </w:r>
      <w:r>
        <w:rPr>
          <w:rFonts w:ascii="FrankRuehl" w:hAnsi="FrankRuehl" w:cs="FrankRuehl" w:hint="cs"/>
          <w:sz w:val="28"/>
          <w:szCs w:val="28"/>
          <w:rtl/>
        </w:rPr>
        <w:t>,</w:t>
      </w:r>
      <w:r w:rsidRPr="000F47B8">
        <w:rPr>
          <w:rFonts w:ascii="FrankRuehl" w:hAnsi="FrankRuehl" w:cs="FrankRuehl" w:hint="cs"/>
          <w:sz w:val="28"/>
          <w:szCs w:val="28"/>
          <w:rtl/>
        </w:rPr>
        <w:t xml:space="preserve"> היה מוכ</w:t>
      </w:r>
      <w:r>
        <w:rPr>
          <w:rFonts w:ascii="FrankRuehl" w:hAnsi="FrankRuehl" w:cs="FrankRuehl" w:hint="cs"/>
          <w:sz w:val="28"/>
          <w:szCs w:val="28"/>
          <w:rtl/>
        </w:rPr>
        <w:t>ן</w:t>
      </w:r>
      <w:r w:rsidRPr="000F47B8">
        <w:rPr>
          <w:rFonts w:ascii="FrankRuehl" w:hAnsi="FrankRuehl" w:cs="FrankRuehl" w:hint="cs"/>
          <w:sz w:val="28"/>
          <w:szCs w:val="28"/>
          <w:rtl/>
        </w:rPr>
        <w:t xml:space="preserve"> אפילו לחפות על סוחרי נשק</w:t>
      </w:r>
      <w:r>
        <w:rPr>
          <w:rFonts w:ascii="FrankRuehl" w:hAnsi="FrankRuehl" w:cs="FrankRuehl" w:hint="cs"/>
          <w:sz w:val="28"/>
          <w:szCs w:val="28"/>
          <w:rtl/>
        </w:rPr>
        <w:t xml:space="preserve">. הוא ציין, כי תמורת כלי הנשק הגיעה אל מוכרי הנשק </w:t>
      </w:r>
      <w:r w:rsidRPr="000F47B8">
        <w:rPr>
          <w:rFonts w:ascii="FrankRuehl" w:hAnsi="FrankRuehl" w:cs="FrankRuehl" w:hint="cs"/>
          <w:sz w:val="28"/>
          <w:szCs w:val="28"/>
          <w:rtl/>
        </w:rPr>
        <w:t>ולא לכיסו של הנאשם, אשר זכה בתמורה של מאות שקלים בלבד</w:t>
      </w:r>
      <w:r>
        <w:rPr>
          <w:rFonts w:ascii="FrankRuehl" w:hAnsi="FrankRuehl" w:cs="FrankRuehl" w:hint="cs"/>
          <w:sz w:val="28"/>
          <w:szCs w:val="28"/>
          <w:rtl/>
        </w:rPr>
        <w:t xml:space="preserve"> בגין תיווכו בעסקאות</w:t>
      </w:r>
      <w:r w:rsidRPr="000F47B8">
        <w:rPr>
          <w:rFonts w:ascii="FrankRuehl" w:hAnsi="FrankRuehl" w:cs="FrankRuehl" w:hint="cs"/>
          <w:sz w:val="28"/>
          <w:szCs w:val="28"/>
          <w:rtl/>
        </w:rPr>
        <w:t xml:space="preserve">. </w:t>
      </w:r>
      <w:r>
        <w:rPr>
          <w:rFonts w:ascii="FrankRuehl" w:hAnsi="FrankRuehl" w:cs="FrankRuehl" w:hint="cs"/>
          <w:sz w:val="28"/>
          <w:szCs w:val="28"/>
          <w:rtl/>
        </w:rPr>
        <w:t xml:space="preserve">הוא הדגיש, כי אכן </w:t>
      </w:r>
      <w:r w:rsidRPr="000F47B8">
        <w:rPr>
          <w:rFonts w:ascii="FrankRuehl" w:hAnsi="FrankRuehl" w:cs="FrankRuehl" w:hint="cs"/>
          <w:sz w:val="28"/>
          <w:szCs w:val="28"/>
          <w:rtl/>
        </w:rPr>
        <w:t xml:space="preserve">מדובר בנאשם צעיר שריצה כבר מספר </w:t>
      </w:r>
      <w:r>
        <w:rPr>
          <w:rFonts w:ascii="FrankRuehl" w:hAnsi="FrankRuehl" w:cs="FrankRuehl" w:hint="cs"/>
          <w:sz w:val="28"/>
          <w:szCs w:val="28"/>
          <w:rtl/>
        </w:rPr>
        <w:t xml:space="preserve">עונשי </w:t>
      </w:r>
      <w:r w:rsidRPr="000F47B8">
        <w:rPr>
          <w:rFonts w:ascii="FrankRuehl" w:hAnsi="FrankRuehl" w:cs="FrankRuehl" w:hint="cs"/>
          <w:sz w:val="28"/>
          <w:szCs w:val="28"/>
          <w:rtl/>
        </w:rPr>
        <w:t>מאסר, ו</w:t>
      </w:r>
      <w:r>
        <w:rPr>
          <w:rFonts w:ascii="FrankRuehl" w:hAnsi="FrankRuehl" w:cs="FrankRuehl" w:hint="cs"/>
          <w:sz w:val="28"/>
          <w:szCs w:val="28"/>
          <w:rtl/>
        </w:rPr>
        <w:t xml:space="preserve">אולם </w:t>
      </w:r>
      <w:r w:rsidRPr="000F47B8">
        <w:rPr>
          <w:rFonts w:ascii="FrankRuehl" w:hAnsi="FrankRuehl" w:cs="FrankRuehl" w:hint="cs"/>
          <w:sz w:val="28"/>
          <w:szCs w:val="28"/>
          <w:rtl/>
        </w:rPr>
        <w:t xml:space="preserve">על אף מצבו, הוא </w:t>
      </w:r>
      <w:r>
        <w:rPr>
          <w:rFonts w:ascii="FrankRuehl" w:hAnsi="FrankRuehl" w:cs="FrankRuehl" w:hint="cs"/>
          <w:sz w:val="28"/>
          <w:szCs w:val="28"/>
          <w:rtl/>
        </w:rPr>
        <w:t xml:space="preserve">לא ויתר, </w:t>
      </w:r>
      <w:r w:rsidRPr="000F47B8">
        <w:rPr>
          <w:rFonts w:ascii="FrankRuehl" w:hAnsi="FrankRuehl" w:cs="FrankRuehl" w:hint="cs"/>
          <w:sz w:val="28"/>
          <w:szCs w:val="28"/>
          <w:rtl/>
        </w:rPr>
        <w:t xml:space="preserve">תפס את עצמו, קיבל החלטה לערוך שינוי בחייו, עבר טיפול בשנה בה שהה בכלא במעצר, ובהמשך השלים הליך טיפולי שיקומי לא קל בקהילת "מלכישוע". </w:t>
      </w:r>
    </w:p>
    <w:p w14:paraId="0260FEEF" w14:textId="77777777" w:rsidR="00DF731F" w:rsidRPr="000F47B8" w:rsidRDefault="00DF731F" w:rsidP="00DF731F">
      <w:pPr>
        <w:spacing w:line="360" w:lineRule="auto"/>
        <w:jc w:val="both"/>
        <w:rPr>
          <w:rFonts w:ascii="FrankRuehl" w:hAnsi="FrankRuehl" w:cs="FrankRuehl"/>
          <w:sz w:val="28"/>
          <w:szCs w:val="28"/>
          <w:rtl/>
        </w:rPr>
      </w:pPr>
    </w:p>
    <w:p w14:paraId="5E20CC9F"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לדברי ב"כ הנאשם</w:t>
      </w:r>
      <w:r w:rsidRPr="000F47B8">
        <w:rPr>
          <w:rFonts w:ascii="FrankRuehl" w:hAnsi="FrankRuehl" w:cs="FrankRuehl" w:hint="cs"/>
          <w:sz w:val="28"/>
          <w:szCs w:val="28"/>
          <w:rtl/>
        </w:rPr>
        <w:t>, יש לסייע לנאשם לצמוח ולהמשיך בתהליך שהחל בו</w:t>
      </w:r>
      <w:r>
        <w:rPr>
          <w:rFonts w:ascii="FrankRuehl" w:hAnsi="FrankRuehl" w:cs="FrankRuehl" w:hint="cs"/>
          <w:sz w:val="28"/>
          <w:szCs w:val="28"/>
          <w:rtl/>
        </w:rPr>
        <w:t>. לטענתו</w:t>
      </w:r>
      <w:r w:rsidRPr="000F47B8">
        <w:rPr>
          <w:rFonts w:ascii="FrankRuehl" w:hAnsi="FrankRuehl" w:cs="FrankRuehl" w:hint="cs"/>
          <w:sz w:val="28"/>
          <w:szCs w:val="28"/>
          <w:rtl/>
        </w:rPr>
        <w:t xml:space="preserve">, עמדת המאשימה מתעלמת לחלוטין מאינטרס הציבורי של שיקום אנשים דוגמת הנאשם ומניעת חזרתם לעולם הפשע. הוא ביקש אפוא, לאמץ את המלצות שירות המבחן ולהשית על הנאשם עונש מאסר בעבודות שירות. </w:t>
      </w:r>
    </w:p>
    <w:p w14:paraId="2B56D9A4" w14:textId="77777777" w:rsidR="00DF731F" w:rsidRPr="000F47B8" w:rsidRDefault="00DF731F" w:rsidP="00DF731F">
      <w:pPr>
        <w:spacing w:line="360" w:lineRule="auto"/>
        <w:jc w:val="both"/>
        <w:rPr>
          <w:rFonts w:ascii="FrankRuehl" w:hAnsi="FrankRuehl" w:cs="FrankRuehl"/>
          <w:sz w:val="28"/>
          <w:szCs w:val="28"/>
          <w:rtl/>
        </w:rPr>
      </w:pPr>
    </w:p>
    <w:p w14:paraId="3DE825F2"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הנאשם בדבריו בפני בית המשפט ציין את ההליך ה</w:t>
      </w:r>
      <w:r w:rsidRPr="000F47B8">
        <w:rPr>
          <w:rFonts w:ascii="FrankRuehl" w:hAnsi="FrankRuehl" w:cs="FrankRuehl" w:hint="cs"/>
          <w:sz w:val="28"/>
          <w:szCs w:val="28"/>
          <w:rtl/>
        </w:rPr>
        <w:t xml:space="preserve">טיפולי </w:t>
      </w:r>
      <w:r>
        <w:rPr>
          <w:rFonts w:ascii="FrankRuehl" w:hAnsi="FrankRuehl" w:cs="FrankRuehl" w:hint="cs"/>
          <w:sz w:val="28"/>
          <w:szCs w:val="28"/>
          <w:rtl/>
        </w:rPr>
        <w:t xml:space="preserve">שעבר במשך שנה, את מאמציו לצאת מהעולם בו היה, כשעשה כל דבר כדי להשיג מעט סם. הוא הביע חרטה על מעשיו ואת רצונו להמשיך בדרך החדשה בה החל. הוא פרט גם את שעבר עליו בתקופת המעצר כאשר נכווה </w:t>
      </w:r>
      <w:r w:rsidRPr="000F47B8">
        <w:rPr>
          <w:rFonts w:ascii="FrankRuehl" w:hAnsi="FrankRuehl" w:cs="FrankRuehl" w:hint="cs"/>
          <w:sz w:val="28"/>
          <w:szCs w:val="28"/>
          <w:rtl/>
        </w:rPr>
        <w:t xml:space="preserve">משמן </w:t>
      </w:r>
      <w:r>
        <w:rPr>
          <w:rFonts w:ascii="FrankRuehl" w:hAnsi="FrankRuehl" w:cs="FrankRuehl" w:hint="cs"/>
          <w:sz w:val="28"/>
          <w:szCs w:val="28"/>
          <w:rtl/>
        </w:rPr>
        <w:t xml:space="preserve">ואושפז לתקופה של </w:t>
      </w:r>
      <w:r w:rsidRPr="000F47B8">
        <w:rPr>
          <w:rFonts w:ascii="FrankRuehl" w:hAnsi="FrankRuehl" w:cs="FrankRuehl" w:hint="cs"/>
          <w:sz w:val="28"/>
          <w:szCs w:val="28"/>
          <w:rtl/>
        </w:rPr>
        <w:t>כשבועיים</w:t>
      </w:r>
      <w:r>
        <w:rPr>
          <w:rFonts w:ascii="FrankRuehl" w:hAnsi="FrankRuehl" w:cs="FrankRuehl" w:hint="cs"/>
          <w:sz w:val="28"/>
          <w:szCs w:val="28"/>
          <w:rtl/>
        </w:rPr>
        <w:t xml:space="preserve">, כשהוא קשור </w:t>
      </w:r>
      <w:r w:rsidRPr="000F47B8">
        <w:rPr>
          <w:rFonts w:ascii="FrankRuehl" w:hAnsi="FrankRuehl" w:cs="FrankRuehl" w:hint="cs"/>
          <w:sz w:val="28"/>
          <w:szCs w:val="28"/>
          <w:rtl/>
        </w:rPr>
        <w:t>למיטה</w:t>
      </w:r>
      <w:r>
        <w:rPr>
          <w:rFonts w:ascii="FrankRuehl" w:hAnsi="FrankRuehl" w:cs="FrankRuehl" w:hint="cs"/>
          <w:sz w:val="28"/>
          <w:szCs w:val="28"/>
          <w:rtl/>
        </w:rPr>
        <w:t xml:space="preserve">. </w:t>
      </w:r>
    </w:p>
    <w:p w14:paraId="0E0485B1" w14:textId="77777777" w:rsidR="00DF731F" w:rsidRDefault="00DF731F" w:rsidP="00DF731F">
      <w:pPr>
        <w:spacing w:line="360" w:lineRule="auto"/>
        <w:jc w:val="both"/>
        <w:rPr>
          <w:rFonts w:ascii="FrankRuehl" w:hAnsi="FrankRuehl" w:cs="FrankRuehl"/>
          <w:sz w:val="28"/>
          <w:szCs w:val="28"/>
          <w:rtl/>
        </w:rPr>
      </w:pPr>
    </w:p>
    <w:p w14:paraId="5E89836F" w14:textId="77777777" w:rsidR="00DF731F" w:rsidRPr="00ED66D1" w:rsidRDefault="00DF731F" w:rsidP="00DF731F">
      <w:pPr>
        <w:spacing w:line="360" w:lineRule="auto"/>
        <w:jc w:val="both"/>
        <w:rPr>
          <w:rFonts w:ascii="FrankRuehl" w:hAnsi="FrankRuehl" w:cs="FrankRuehl"/>
          <w:b/>
          <w:bCs/>
          <w:sz w:val="28"/>
          <w:szCs w:val="28"/>
          <w:u w:val="single"/>
          <w:rtl/>
        </w:rPr>
      </w:pPr>
      <w:r w:rsidRPr="00ED66D1">
        <w:rPr>
          <w:rFonts w:ascii="FrankRuehl" w:hAnsi="FrankRuehl" w:cs="FrankRuehl" w:hint="cs"/>
          <w:b/>
          <w:bCs/>
          <w:sz w:val="28"/>
          <w:szCs w:val="28"/>
          <w:u w:val="single"/>
          <w:rtl/>
        </w:rPr>
        <w:t>דיון והכרעה</w:t>
      </w:r>
    </w:p>
    <w:p w14:paraId="5C8412A3"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ראשית יצוין, כי צודקת ב"כ המאשימה שנכון לקבוע במקרה זה מתחם עונש הולם אחד לכלל עבירות הסמים שנעשו מול אותו סוכן בסמיכות זמנים, בין התאריכים 2.12.20 ו-15.01.21, ומתחם אחד לעבירות הנשק שבוצעו מול אותו סוכן בחודש ינואר 2021.    </w:t>
      </w:r>
    </w:p>
    <w:p w14:paraId="51CBE4D6" w14:textId="77777777" w:rsidR="00DF731F" w:rsidRDefault="00DF731F" w:rsidP="00DF731F">
      <w:pPr>
        <w:spacing w:line="360" w:lineRule="auto"/>
        <w:jc w:val="both"/>
        <w:rPr>
          <w:rFonts w:ascii="FrankRuehl" w:hAnsi="FrankRuehl" w:cs="FrankRuehl"/>
          <w:sz w:val="28"/>
          <w:szCs w:val="28"/>
          <w:rtl/>
        </w:rPr>
      </w:pPr>
    </w:p>
    <w:p w14:paraId="1616B59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באשר לעבירות הסמים. </w:t>
      </w:r>
    </w:p>
    <w:p w14:paraId="00423A01" w14:textId="77777777" w:rsidR="00DF731F" w:rsidRDefault="00DF731F" w:rsidP="00DF731F">
      <w:pPr>
        <w:spacing w:line="360" w:lineRule="auto"/>
        <w:jc w:val="both"/>
        <w:rPr>
          <w:rFonts w:ascii="FrankRuehl" w:hAnsi="FrankRuehl" w:cs="FrankRuehl"/>
          <w:sz w:val="28"/>
          <w:szCs w:val="28"/>
          <w:rtl/>
        </w:rPr>
      </w:pPr>
    </w:p>
    <w:p w14:paraId="07B7F668"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color w:val="000000"/>
          <w:sz w:val="28"/>
          <w:szCs w:val="28"/>
          <w:rtl/>
        </w:rPr>
        <w:t>20.</w:t>
      </w:r>
      <w:r>
        <w:rPr>
          <w:rFonts w:ascii="FrankRuehl" w:hAnsi="FrankRuehl" w:cs="FrankRuehl" w:hint="cs"/>
          <w:color w:val="000000"/>
          <w:sz w:val="28"/>
          <w:szCs w:val="28"/>
          <w:rtl/>
        </w:rPr>
        <w:tab/>
        <w:t>ע</w:t>
      </w:r>
      <w:r w:rsidRPr="00680DD3">
        <w:rPr>
          <w:rFonts w:ascii="FrankRuehl" w:hAnsi="FrankRuehl" w:cs="FrankRuehl"/>
          <w:color w:val="000000"/>
          <w:sz w:val="28"/>
          <w:szCs w:val="28"/>
          <w:rtl/>
        </w:rPr>
        <w:t xml:space="preserve">בירות של ביצוע עסקאות בסמים הנן עבירות קשות וחמורות אשר תוצאותיהן הרות אסון </w:t>
      </w:r>
      <w:r>
        <w:rPr>
          <w:rFonts w:ascii="FrankRuehl" w:hAnsi="FrankRuehl" w:cs="FrankRuehl" w:hint="cs"/>
          <w:color w:val="000000"/>
          <w:sz w:val="28"/>
          <w:szCs w:val="28"/>
          <w:rtl/>
        </w:rPr>
        <w:t>למשתמשים ו</w:t>
      </w:r>
      <w:r w:rsidRPr="00680DD3">
        <w:rPr>
          <w:rFonts w:ascii="FrankRuehl" w:hAnsi="FrankRuehl" w:cs="FrankRuehl"/>
          <w:color w:val="000000"/>
          <w:sz w:val="28"/>
          <w:szCs w:val="28"/>
          <w:rtl/>
        </w:rPr>
        <w:t xml:space="preserve">לחברה כולה. </w:t>
      </w:r>
      <w:r w:rsidRPr="00622161">
        <w:rPr>
          <w:rFonts w:ascii="FrankRuehl" w:hAnsi="FrankRuehl" w:cs="FrankRuehl" w:hint="cs"/>
          <w:color w:val="000000"/>
          <w:sz w:val="28"/>
          <w:szCs w:val="28"/>
          <w:rtl/>
        </w:rPr>
        <w:t xml:space="preserve">מדובר בנגע של ממש (ראו: </w:t>
      </w:r>
      <w:hyperlink r:id="rId30" w:history="1">
        <w:r w:rsidR="007E72A6" w:rsidRPr="007E72A6">
          <w:rPr>
            <w:rFonts w:ascii="FrankRuehl" w:hAnsi="FrankRuehl" w:cs="FrankRuehl"/>
            <w:color w:val="0000FF"/>
            <w:sz w:val="28"/>
            <w:szCs w:val="28"/>
            <w:u w:val="single"/>
            <w:rtl/>
          </w:rPr>
          <w:t>ע"פ 972/11</w:t>
        </w:r>
      </w:hyperlink>
      <w:r w:rsidRPr="00622161">
        <w:rPr>
          <w:rFonts w:ascii="FrankRuehl" w:hAnsi="FrankRuehl" w:cs="FrankRuehl" w:hint="cs"/>
          <w:color w:val="000000"/>
          <w:sz w:val="28"/>
          <w:szCs w:val="28"/>
          <w:rtl/>
        </w:rPr>
        <w:t xml:space="preserve"> </w:t>
      </w:r>
      <w:r w:rsidRPr="00ED66D1">
        <w:rPr>
          <w:rFonts w:ascii="FrankRuehl" w:hAnsi="FrankRuehl" w:cs="FrankRuehl" w:hint="cs"/>
          <w:b/>
          <w:bCs/>
          <w:color w:val="000000"/>
          <w:sz w:val="28"/>
          <w:szCs w:val="28"/>
          <w:rtl/>
        </w:rPr>
        <w:t>מדינת ישראל נ' יונה</w:t>
      </w:r>
      <w:r w:rsidRPr="00622161">
        <w:rPr>
          <w:rFonts w:ascii="FrankRuehl" w:hAnsi="FrankRuehl" w:cs="FrankRuehl" w:hint="cs"/>
          <w:color w:val="000000"/>
          <w:sz w:val="28"/>
          <w:szCs w:val="28"/>
          <w:rtl/>
        </w:rPr>
        <w:t xml:space="preserve"> (4.07.12)). </w:t>
      </w:r>
      <w:r w:rsidRPr="00680DD3">
        <w:rPr>
          <w:rFonts w:ascii="FrankRuehl" w:hAnsi="FrankRuehl" w:cs="FrankRuehl"/>
          <w:color w:val="000000"/>
          <w:sz w:val="28"/>
          <w:szCs w:val="28"/>
          <w:rtl/>
        </w:rPr>
        <w:t>עבירות הסמים נועדו להגן על שלום הציבור ובריאותו ומניעת התופעות השליליות הנלוות לצריכת הסמים, ביניהן עבירות אלימות ורכוש.</w:t>
      </w:r>
      <w:r w:rsidR="007E72A6">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השימוש בסם </w:t>
      </w:r>
      <w:r w:rsidRPr="00622161">
        <w:rPr>
          <w:rFonts w:ascii="FrankRuehl" w:hAnsi="FrankRuehl" w:cs="FrankRuehl" w:hint="cs"/>
          <w:color w:val="000000"/>
          <w:sz w:val="28"/>
          <w:szCs w:val="28"/>
          <w:rtl/>
        </w:rPr>
        <w:t xml:space="preserve">מוביל </w:t>
      </w:r>
      <w:r>
        <w:rPr>
          <w:rFonts w:ascii="FrankRuehl" w:hAnsi="FrankRuehl" w:cs="FrankRuehl" w:hint="cs"/>
          <w:color w:val="000000"/>
          <w:sz w:val="28"/>
          <w:szCs w:val="28"/>
          <w:rtl/>
        </w:rPr>
        <w:t>במקרים רבים לעבירות רכוש המבוצעות</w:t>
      </w:r>
      <w:r w:rsidRPr="00622161">
        <w:rPr>
          <w:rFonts w:ascii="FrankRuehl" w:hAnsi="FrankRuehl" w:cs="FrankRuehl" w:hint="cs"/>
          <w:color w:val="000000"/>
          <w:sz w:val="28"/>
          <w:szCs w:val="28"/>
          <w:rtl/>
        </w:rPr>
        <w:t xml:space="preserve"> על ידי המשתמשים</w:t>
      </w:r>
      <w:r>
        <w:rPr>
          <w:rFonts w:ascii="FrankRuehl" w:hAnsi="FrankRuehl" w:cs="FrankRuehl" w:hint="cs"/>
          <w:sz w:val="28"/>
          <w:szCs w:val="28"/>
          <w:rtl/>
        </w:rPr>
        <w:t xml:space="preserve"> בסמים </w:t>
      </w:r>
      <w:r>
        <w:rPr>
          <w:rFonts w:ascii="FrankRuehl" w:hAnsi="FrankRuehl" w:cs="FrankRuehl"/>
          <w:sz w:val="28"/>
          <w:szCs w:val="28"/>
          <w:rtl/>
        </w:rPr>
        <w:t>–</w:t>
      </w:r>
      <w:r>
        <w:rPr>
          <w:rFonts w:ascii="FrankRuehl" w:hAnsi="FrankRuehl" w:cs="FrankRuehl" w:hint="cs"/>
          <w:sz w:val="28"/>
          <w:szCs w:val="28"/>
          <w:rtl/>
        </w:rPr>
        <w:t xml:space="preserve"> אם הסוחר עצמו ואם הרוכשים ממנו </w:t>
      </w:r>
      <w:r>
        <w:rPr>
          <w:rFonts w:ascii="FrankRuehl" w:hAnsi="FrankRuehl" w:cs="FrankRuehl"/>
          <w:sz w:val="28"/>
          <w:szCs w:val="28"/>
          <w:rtl/>
        </w:rPr>
        <w:t>–</w:t>
      </w:r>
      <w:r>
        <w:rPr>
          <w:rFonts w:ascii="FrankRuehl" w:hAnsi="FrankRuehl" w:cs="FrankRuehl" w:hint="cs"/>
          <w:sz w:val="28"/>
          <w:szCs w:val="28"/>
          <w:rtl/>
        </w:rPr>
        <w:t xml:space="preserve"> כדי לממן את צריכת הסמים. ההתמכרות והצורך בכסף למימון הסם, מביאים לא פעם לעבירות חמורות יותר, כמו, למשל, סחר בנשק, כבמקרה זה. המלחמה בנגע הסמים היא אינטרס ציבורי משמעותי (</w:t>
      </w:r>
      <w:hyperlink r:id="rId31" w:history="1">
        <w:r w:rsidR="007E72A6" w:rsidRPr="007E72A6">
          <w:rPr>
            <w:rFonts w:ascii="FrankRuehl" w:hAnsi="FrankRuehl" w:cs="FrankRuehl"/>
            <w:color w:val="0000FF"/>
            <w:sz w:val="28"/>
            <w:szCs w:val="28"/>
            <w:u w:val="single"/>
            <w:rtl/>
          </w:rPr>
          <w:t>רע"פ 1720/11</w:t>
        </w:r>
      </w:hyperlink>
      <w:r>
        <w:rPr>
          <w:rFonts w:ascii="FrankRuehl" w:hAnsi="FrankRuehl" w:cs="FrankRuehl" w:hint="cs"/>
          <w:sz w:val="28"/>
          <w:szCs w:val="28"/>
          <w:rtl/>
        </w:rPr>
        <w:t xml:space="preserve"> </w:t>
      </w:r>
      <w:r w:rsidRPr="00BB1B58">
        <w:rPr>
          <w:rFonts w:ascii="FrankRuehl" w:hAnsi="FrankRuehl" w:cs="FrankRuehl" w:hint="cs"/>
          <w:b/>
          <w:bCs/>
          <w:sz w:val="28"/>
          <w:szCs w:val="28"/>
          <w:rtl/>
        </w:rPr>
        <w:t>גליק נ' מדינת ישראל</w:t>
      </w:r>
      <w:r>
        <w:rPr>
          <w:rFonts w:ascii="FrankRuehl" w:hAnsi="FrankRuehl" w:cs="FrankRuehl" w:hint="cs"/>
          <w:sz w:val="28"/>
          <w:szCs w:val="28"/>
          <w:rtl/>
        </w:rPr>
        <w:t xml:space="preserve"> (7.03.11)). </w:t>
      </w:r>
    </w:p>
    <w:p w14:paraId="3774B68B" w14:textId="77777777" w:rsidR="00DF731F" w:rsidRDefault="00DF731F" w:rsidP="00DF731F">
      <w:pPr>
        <w:spacing w:line="360" w:lineRule="auto"/>
        <w:jc w:val="both"/>
        <w:rPr>
          <w:rFonts w:ascii="FrankRuehl" w:hAnsi="FrankRuehl" w:cs="FrankRuehl"/>
          <w:sz w:val="28"/>
          <w:szCs w:val="28"/>
          <w:rtl/>
        </w:rPr>
      </w:pPr>
    </w:p>
    <w:p w14:paraId="138BD4A5"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 xml:space="preserve">במקרה זה עסקינן בארבעה אישומים בעבירות של סחר בסמים בכמות לא מבוטלת. בשלושה מהאישומים מדובר במכירה של כ-10 גרם סם מסוכן מסוג קוקאין. התמורה שנתקבלה היא של אלפי שקלים. אך במקרה, וכמובן שלא בידיעת הנאשם, הסמים נמכרו לסוכן משטרתי שלא עשה בהם שימוש. </w:t>
      </w:r>
    </w:p>
    <w:p w14:paraId="7669868B" w14:textId="77777777" w:rsidR="00DF731F" w:rsidRDefault="00DF731F" w:rsidP="00DF731F">
      <w:pPr>
        <w:spacing w:line="360" w:lineRule="auto"/>
        <w:jc w:val="both"/>
        <w:rPr>
          <w:rFonts w:ascii="FrankRuehl" w:hAnsi="FrankRuehl" w:cs="FrankRuehl"/>
          <w:sz w:val="28"/>
          <w:szCs w:val="28"/>
          <w:rtl/>
        </w:rPr>
      </w:pPr>
    </w:p>
    <w:p w14:paraId="495B8313"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t>בחינת הפסיקה הנוהגת מעלה כי מתחם העונש ההולם מקרה זה בנסיבותיו, בכל הנוגע לעבירות הסחר בסמים, נע מ-15 עד 30 חודשי מאסר בפועל. ראו למשל:</w:t>
      </w:r>
    </w:p>
    <w:p w14:paraId="56C03E0D"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2" w:history="1">
        <w:r w:rsidRPr="007E72A6">
          <w:rPr>
            <w:rFonts w:ascii="FrankRuehl" w:hAnsi="FrankRuehl" w:cs="FrankRuehl"/>
            <w:color w:val="0000FF"/>
            <w:sz w:val="28"/>
            <w:szCs w:val="28"/>
            <w:u w:val="single"/>
            <w:rtl/>
          </w:rPr>
          <w:t>רע"פ 6286/20</w:t>
        </w:r>
      </w:hyperlink>
      <w:r w:rsidR="00DF731F">
        <w:rPr>
          <w:rFonts w:ascii="FrankRuehl" w:hAnsi="FrankRuehl" w:cs="FrankRuehl" w:hint="cs"/>
          <w:sz w:val="28"/>
          <w:szCs w:val="28"/>
          <w:rtl/>
        </w:rPr>
        <w:t xml:space="preserve"> </w:t>
      </w:r>
      <w:r w:rsidR="00DF731F" w:rsidRPr="00AF51B8">
        <w:rPr>
          <w:rFonts w:ascii="FrankRuehl" w:hAnsi="FrankRuehl" w:cs="FrankRuehl" w:hint="cs"/>
          <w:b/>
          <w:bCs/>
          <w:sz w:val="28"/>
          <w:szCs w:val="28"/>
          <w:rtl/>
        </w:rPr>
        <w:t>פלוני נ' מדינת ישראל</w:t>
      </w:r>
      <w:r w:rsidR="00DF731F">
        <w:rPr>
          <w:rFonts w:ascii="FrankRuehl" w:hAnsi="FrankRuehl" w:cs="FrankRuehl" w:hint="cs"/>
          <w:sz w:val="28"/>
          <w:szCs w:val="28"/>
          <w:rtl/>
        </w:rPr>
        <w:t xml:space="preserve"> (22.09.20) אושר מתחם עונש הנע מ-18 עד 36 חודשי מאסר, בגין עבירה של החזקת 92 גרם סם מסוכן מסוג קוקאין ושתי עבירות של מכירת 50 גרם סם מסוג הרואין כל אחת. </w:t>
      </w:r>
    </w:p>
    <w:p w14:paraId="281963DF" w14:textId="77777777" w:rsidR="00DF731F" w:rsidRDefault="00DF731F" w:rsidP="00DF731F">
      <w:pPr>
        <w:pStyle w:val="a9"/>
        <w:numPr>
          <w:ilvl w:val="0"/>
          <w:numId w:val="1"/>
        </w:numPr>
        <w:bidi/>
        <w:spacing w:line="360" w:lineRule="auto"/>
        <w:jc w:val="both"/>
        <w:rPr>
          <w:rFonts w:ascii="FrankRuehl" w:hAnsi="FrankRuehl" w:cs="FrankRuehl"/>
          <w:sz w:val="28"/>
          <w:szCs w:val="28"/>
        </w:rPr>
      </w:pPr>
      <w:r>
        <w:rPr>
          <w:rFonts w:ascii="FrankRuehl" w:hAnsi="FrankRuehl" w:cs="FrankRuehl" w:hint="cs"/>
          <w:sz w:val="28"/>
          <w:szCs w:val="28"/>
          <w:rtl/>
        </w:rPr>
        <w:t xml:space="preserve">רע"פ 6872/19 </w:t>
      </w:r>
      <w:r w:rsidRPr="00AF51B8">
        <w:rPr>
          <w:rFonts w:ascii="FrankRuehl" w:hAnsi="FrankRuehl" w:cs="FrankRuehl" w:hint="cs"/>
          <w:b/>
          <w:bCs/>
          <w:sz w:val="28"/>
          <w:szCs w:val="28"/>
          <w:rtl/>
        </w:rPr>
        <w:t>אבו טעיא נ' מדינת ישראל</w:t>
      </w:r>
      <w:r>
        <w:rPr>
          <w:rFonts w:ascii="FrankRuehl" w:hAnsi="FrankRuehl" w:cs="FrankRuehl" w:hint="cs"/>
          <w:sz w:val="28"/>
          <w:szCs w:val="28"/>
          <w:rtl/>
        </w:rPr>
        <w:t xml:space="preserve"> (18.11.19) אושר עונש של 24 חודשי מאסר בפועל בגין שתי עבירות של מכירת 20 גרם סם מסוג קוקאין כל אחת לסוכן משטרתי. </w:t>
      </w:r>
    </w:p>
    <w:p w14:paraId="7119321B" w14:textId="77777777" w:rsidR="00DF731F" w:rsidRPr="00622161" w:rsidRDefault="00DF731F" w:rsidP="00DF731F">
      <w:pPr>
        <w:pStyle w:val="a9"/>
        <w:numPr>
          <w:ilvl w:val="0"/>
          <w:numId w:val="1"/>
        </w:numPr>
        <w:bidi/>
        <w:spacing w:line="360" w:lineRule="auto"/>
        <w:jc w:val="both"/>
        <w:rPr>
          <w:rFonts w:ascii="FrankRuehl" w:hAnsi="FrankRuehl" w:cs="FrankRuehl"/>
          <w:sz w:val="28"/>
          <w:szCs w:val="28"/>
          <w:rtl/>
        </w:rPr>
      </w:pPr>
      <w:r w:rsidRPr="00622161">
        <w:rPr>
          <w:rFonts w:ascii="FrankRuehl" w:hAnsi="FrankRuehl" w:cs="FrankRuehl" w:hint="cs"/>
          <w:sz w:val="28"/>
          <w:szCs w:val="28"/>
          <w:rtl/>
        </w:rPr>
        <w:t>ב</w:t>
      </w:r>
      <w:hyperlink r:id="rId33" w:history="1">
        <w:r w:rsidR="007E72A6" w:rsidRPr="007E72A6">
          <w:rPr>
            <w:rFonts w:ascii="FrankRuehl" w:hAnsi="FrankRuehl" w:cs="FrankRuehl"/>
            <w:color w:val="0000FF"/>
            <w:sz w:val="28"/>
            <w:szCs w:val="28"/>
            <w:u w:val="single"/>
            <w:rtl/>
          </w:rPr>
          <w:t>עפ"ג (מרכז) 5501-09-17</w:t>
        </w:r>
      </w:hyperlink>
      <w:r w:rsidRPr="00622161">
        <w:rPr>
          <w:rFonts w:ascii="FrankRuehl" w:hAnsi="FrankRuehl" w:cs="FrankRuehl" w:hint="cs"/>
          <w:sz w:val="28"/>
          <w:szCs w:val="28"/>
          <w:rtl/>
        </w:rPr>
        <w:t xml:space="preserve"> </w:t>
      </w:r>
      <w:r w:rsidRPr="00622161">
        <w:rPr>
          <w:rFonts w:ascii="FrankRuehl" w:hAnsi="FrankRuehl" w:cs="FrankRuehl" w:hint="cs"/>
          <w:b/>
          <w:bCs/>
          <w:sz w:val="28"/>
          <w:szCs w:val="28"/>
          <w:rtl/>
        </w:rPr>
        <w:t>סמאדה נ' מדינת ישראל</w:t>
      </w:r>
      <w:r w:rsidRPr="00622161">
        <w:rPr>
          <w:rFonts w:ascii="FrankRuehl" w:hAnsi="FrankRuehl" w:cs="FrankRuehl" w:hint="cs"/>
          <w:sz w:val="28"/>
          <w:szCs w:val="28"/>
          <w:rtl/>
        </w:rPr>
        <w:t xml:space="preserve"> (6.02.18) אושר מתחם של 12-24 חודשים במקרה בו מדובר היה בשלוש עבירות של סחר בקוקאין במשקלים שנעו מ-10 גרם ועד 23 גרם. </w:t>
      </w:r>
    </w:p>
    <w:p w14:paraId="6EA43CAD"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4" w:history="1">
        <w:r w:rsidRPr="007E72A6">
          <w:rPr>
            <w:rFonts w:ascii="FrankRuehl" w:hAnsi="FrankRuehl" w:cs="FrankRuehl"/>
            <w:color w:val="0000FF"/>
            <w:sz w:val="28"/>
            <w:szCs w:val="28"/>
            <w:u w:val="single"/>
            <w:rtl/>
          </w:rPr>
          <w:t>רע"פ 8408/15</w:t>
        </w:r>
      </w:hyperlink>
      <w:r w:rsidR="00DF731F" w:rsidRPr="00622161">
        <w:rPr>
          <w:rFonts w:ascii="FrankRuehl" w:hAnsi="FrankRuehl" w:cs="FrankRuehl" w:hint="cs"/>
          <w:sz w:val="28"/>
          <w:szCs w:val="28"/>
          <w:rtl/>
        </w:rPr>
        <w:t xml:space="preserve"> </w:t>
      </w:r>
      <w:r w:rsidR="00DF731F" w:rsidRPr="00622161">
        <w:rPr>
          <w:rFonts w:ascii="FrankRuehl" w:hAnsi="FrankRuehl" w:cs="FrankRuehl" w:hint="cs"/>
          <w:b/>
          <w:bCs/>
          <w:sz w:val="28"/>
          <w:szCs w:val="28"/>
          <w:rtl/>
        </w:rPr>
        <w:t>חביב נ' מדינת ישראל</w:t>
      </w:r>
      <w:r w:rsidR="00DF731F" w:rsidRPr="00622161">
        <w:rPr>
          <w:rFonts w:ascii="FrankRuehl" w:hAnsi="FrankRuehl" w:cs="FrankRuehl" w:hint="cs"/>
          <w:sz w:val="28"/>
          <w:szCs w:val="28"/>
          <w:rtl/>
        </w:rPr>
        <w:t xml:space="preserve"> (9.12.15) אושר עונש של 17 חודשי מאסר בפועל בגין שתי עבירות של סחר בקוקאין במשקל של 1.1 גרם. </w:t>
      </w:r>
    </w:p>
    <w:p w14:paraId="2DB8B741"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5" w:history="1">
        <w:r w:rsidRPr="007E72A6">
          <w:rPr>
            <w:rFonts w:ascii="FrankRuehl" w:hAnsi="FrankRuehl" w:cs="FrankRuehl"/>
            <w:color w:val="0000FF"/>
            <w:sz w:val="28"/>
            <w:szCs w:val="28"/>
            <w:u w:val="single"/>
            <w:rtl/>
          </w:rPr>
          <w:t>רע"פ 126/15</w:t>
        </w:r>
      </w:hyperlink>
      <w:r w:rsidR="00DF731F" w:rsidRPr="00622161">
        <w:rPr>
          <w:rFonts w:ascii="FrankRuehl" w:hAnsi="FrankRuehl" w:cs="FrankRuehl" w:hint="cs"/>
          <w:sz w:val="28"/>
          <w:szCs w:val="28"/>
          <w:rtl/>
        </w:rPr>
        <w:t xml:space="preserve"> </w:t>
      </w:r>
      <w:r w:rsidR="00DF731F" w:rsidRPr="00622161">
        <w:rPr>
          <w:rFonts w:ascii="FrankRuehl" w:hAnsi="FrankRuehl" w:cs="FrankRuehl" w:hint="cs"/>
          <w:b/>
          <w:bCs/>
          <w:sz w:val="28"/>
          <w:szCs w:val="28"/>
          <w:rtl/>
        </w:rPr>
        <w:t>חביף נ' מדינת ישראל</w:t>
      </w:r>
      <w:r w:rsidR="00DF731F" w:rsidRPr="00622161">
        <w:rPr>
          <w:rFonts w:ascii="FrankRuehl" w:hAnsi="FrankRuehl" w:cs="FrankRuehl" w:hint="cs"/>
          <w:sz w:val="28"/>
          <w:szCs w:val="28"/>
          <w:rtl/>
        </w:rPr>
        <w:t xml:space="preserve"> (13.01.15) אושר עונש של 16 חודשי מאסר בגין שלוש עבירות של סחר בסם מסוג קוקאין, במשקל כולל של כ-14 גרם. </w:t>
      </w:r>
    </w:p>
    <w:p w14:paraId="225AFC93"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אך הדגש במקרה זה צריך להיות על עבירות הנשק, להן נודעת חומרה רבה יותר. </w:t>
      </w:r>
    </w:p>
    <w:p w14:paraId="17986394" w14:textId="77777777" w:rsidR="00DF731F" w:rsidRPr="00EE2D7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4C30E5E1" w14:textId="77777777" w:rsidR="00DF731F" w:rsidRPr="00EE2D78" w:rsidRDefault="00DF731F" w:rsidP="00DF731F">
      <w:pPr>
        <w:spacing w:line="360" w:lineRule="auto"/>
        <w:jc w:val="both"/>
        <w:rPr>
          <w:rFonts w:ascii="FrankRuehl" w:hAnsi="FrankRuehl" w:cs="FrankRuehl"/>
          <w:sz w:val="28"/>
          <w:szCs w:val="28"/>
        </w:rPr>
      </w:pPr>
      <w:r>
        <w:rPr>
          <w:rFonts w:ascii="FrankRuehl" w:hAnsi="FrankRuehl" w:cs="FrankRuehl" w:hint="cs"/>
          <w:sz w:val="28"/>
          <w:szCs w:val="28"/>
          <w:rtl/>
        </w:rPr>
        <w:t>23.</w:t>
      </w:r>
      <w:r>
        <w:rPr>
          <w:rFonts w:ascii="FrankRuehl" w:hAnsi="FrankRuehl" w:cs="FrankRuehl"/>
          <w:sz w:val="28"/>
          <w:szCs w:val="28"/>
          <w:rtl/>
        </w:rPr>
        <w:tab/>
      </w:r>
      <w:r>
        <w:rPr>
          <w:rFonts w:ascii="FrankRuehl" w:hAnsi="FrankRuehl" w:cs="FrankRuehl" w:hint="cs"/>
          <w:sz w:val="28"/>
          <w:szCs w:val="28"/>
          <w:rtl/>
        </w:rPr>
        <w:t>ה</w:t>
      </w:r>
      <w:r w:rsidRPr="00EE2D78">
        <w:rPr>
          <w:rFonts w:ascii="FrankRuehl" w:hAnsi="FrankRuehl" w:cs="FrankRuehl"/>
          <w:sz w:val="28"/>
          <w:szCs w:val="28"/>
          <w:rtl/>
        </w:rPr>
        <w:t>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פע</w:t>
      </w:r>
      <w:r>
        <w:rPr>
          <w:rFonts w:ascii="FrankRuehl" w:hAnsi="FrankRuehl" w:cs="FrankRuehl" w:hint="cs"/>
          <w:sz w:val="28"/>
          <w:szCs w:val="28"/>
          <w:rtl/>
        </w:rPr>
        <w:t>מי</w:t>
      </w:r>
      <w:r w:rsidRPr="00EE2D78">
        <w:rPr>
          <w:rFonts w:ascii="FrankRuehl" w:hAnsi="FrankRuehl" w:cs="FrankRuehl"/>
          <w:sz w:val="28"/>
          <w:szCs w:val="28"/>
          <w:rtl/>
        </w:rPr>
        <w:t xml:space="preserve">ם </w:t>
      </w:r>
      <w:r>
        <w:rPr>
          <w:rFonts w:ascii="FrankRuehl" w:hAnsi="FrankRuehl" w:cs="FrankRuehl" w:hint="cs"/>
          <w:sz w:val="28"/>
          <w:szCs w:val="28"/>
          <w:rtl/>
        </w:rPr>
        <w:t xml:space="preserve">רבות, </w:t>
      </w:r>
      <w:r w:rsidRPr="00EE2D78">
        <w:rPr>
          <w:rFonts w:ascii="FrankRuehl" w:hAnsi="FrankRuehl" w:cs="FrankRuehl"/>
          <w:sz w:val="28"/>
          <w:szCs w:val="28"/>
          <w:rtl/>
        </w:rPr>
        <w:t>נשק שנעשה בו שימוש מעין זה מוצא את דרכו לידיים עברייניות שעושות בו שימוש פלילי ואף בטחוני.</w:t>
      </w:r>
    </w:p>
    <w:p w14:paraId="0AEFBCA9" w14:textId="77777777" w:rsidR="00DF731F" w:rsidRPr="00EE2D78" w:rsidRDefault="00DF731F" w:rsidP="00DF731F">
      <w:pPr>
        <w:spacing w:line="360" w:lineRule="auto"/>
        <w:jc w:val="both"/>
        <w:rPr>
          <w:rFonts w:ascii="FrankRuehl" w:hAnsi="FrankRuehl" w:cs="FrankRuehl"/>
          <w:sz w:val="28"/>
          <w:szCs w:val="28"/>
          <w:rtl/>
        </w:rPr>
      </w:pPr>
    </w:p>
    <w:p w14:paraId="2A2563A8" w14:textId="77777777" w:rsidR="00DF731F" w:rsidRPr="00386BEB" w:rsidRDefault="00DF731F" w:rsidP="00DF731F">
      <w:pPr>
        <w:spacing w:line="360" w:lineRule="auto"/>
        <w:jc w:val="both"/>
        <w:rPr>
          <w:rFonts w:ascii="FrankRuehl" w:hAnsi="FrankRuehl" w:cs="FrankRuehl"/>
          <w:color w:val="000000"/>
          <w:sz w:val="28"/>
          <w:szCs w:val="28"/>
          <w:rtl/>
        </w:rPr>
      </w:pPr>
      <w:r>
        <w:rPr>
          <w:rFonts w:ascii="FrankRuehl" w:hAnsi="FrankRuehl" w:cs="FrankRuehl" w:hint="cs"/>
          <w:sz w:val="28"/>
          <w:szCs w:val="28"/>
          <w:rtl/>
        </w:rPr>
        <w:t>24</w:t>
      </w:r>
      <w:r w:rsidRPr="00EE2D78">
        <w:rPr>
          <w:rFonts w:ascii="FrankRuehl" w:hAnsi="FrankRuehl" w:cs="FrankRuehl"/>
          <w:sz w:val="28"/>
          <w:szCs w:val="28"/>
          <w:rtl/>
        </w:rPr>
        <w:t>.</w:t>
      </w:r>
      <w:r w:rsidR="007E72A6">
        <w:rPr>
          <w:rFonts w:ascii="FrankRuehl" w:hAnsi="FrankRuehl" w:cs="FrankRuehl"/>
          <w:sz w:val="28"/>
          <w:szCs w:val="28"/>
          <w:rtl/>
        </w:rPr>
        <w:t xml:space="preserve">     </w:t>
      </w:r>
      <w:r w:rsidRPr="00EE2D78">
        <w:rPr>
          <w:rFonts w:ascii="FrankRuehl" w:hAnsi="FrankRuehl" w:cs="FrankRuehl"/>
          <w:sz w:val="28"/>
          <w:szCs w:val="28"/>
          <w:rtl/>
        </w:rPr>
        <w:t>פסיקה עקבית עומדת על כך</w:t>
      </w:r>
      <w:r w:rsidRPr="009667E6">
        <w:rPr>
          <w:rFonts w:ascii="FrankRuehl" w:hAnsi="FrankRuehl" w:cs="FrankRuehl"/>
          <w:color w:val="000000"/>
          <w:sz w:val="28"/>
          <w:szCs w:val="28"/>
          <w:rtl/>
        </w:rPr>
        <w:t xml:space="preserve"> שעבירות נשק לסוגיהן הן "מכת מדינה" המשקפת סכנה חמורה ומי</w:t>
      </w:r>
      <w:r>
        <w:rPr>
          <w:rFonts w:ascii="FrankRuehl" w:hAnsi="FrankRuehl" w:cs="FrankRuehl" w:hint="cs"/>
          <w:color w:val="000000"/>
          <w:sz w:val="28"/>
          <w:szCs w:val="28"/>
          <w:rtl/>
        </w:rPr>
        <w:t>י</w:t>
      </w:r>
      <w:r w:rsidRPr="009667E6">
        <w:rPr>
          <w:rFonts w:ascii="FrankRuehl" w:hAnsi="FrankRuehl" w:cs="FrankRuehl"/>
          <w:color w:val="000000"/>
          <w:sz w:val="28"/>
          <w:szCs w:val="28"/>
          <w:rtl/>
        </w:rPr>
        <w:t>דית לביטחון הציבור</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ולשלומו</w:t>
      </w:r>
      <w:r>
        <w:rPr>
          <w:rFonts w:ascii="FrankRuehl" w:hAnsi="FrankRuehl" w:cs="FrankRuehl" w:hint="cs"/>
          <w:color w:val="000000"/>
          <w:sz w:val="28"/>
          <w:szCs w:val="28"/>
          <w:rtl/>
        </w:rPr>
        <w:t xml:space="preserve">, </w:t>
      </w:r>
      <w:r w:rsidRPr="009667E6">
        <w:rPr>
          <w:rFonts w:ascii="FrankRuehl" w:hAnsi="FrankRuehl" w:cs="FrankRuehl"/>
          <w:color w:val="000000"/>
          <w:sz w:val="28"/>
          <w:szCs w:val="28"/>
          <w:rtl/>
        </w:rPr>
        <w:t>על הצורך בענישה מחמירה בעבירות אלו, ובהעלאת רף הענישה בעבירות הנשק לסוגיהן (ראו אך לדוגמה:</w:t>
      </w:r>
      <w:r>
        <w:rPr>
          <w:rFonts w:ascii="FrankRuehl" w:hAnsi="FrankRuehl" w:cs="FrankRuehl" w:hint="cs"/>
          <w:color w:val="000000"/>
          <w:sz w:val="28"/>
          <w:szCs w:val="28"/>
          <w:rtl/>
        </w:rPr>
        <w:t xml:space="preserve"> </w:t>
      </w:r>
      <w:hyperlink r:id="rId36" w:history="1">
        <w:r w:rsidR="007E72A6" w:rsidRPr="007E72A6">
          <w:rPr>
            <w:rFonts w:ascii="FrankRuehl" w:hAnsi="FrankRuehl" w:cs="FrankRuehl"/>
            <w:color w:val="0000FF"/>
            <w:sz w:val="28"/>
            <w:szCs w:val="28"/>
            <w:u w:val="single"/>
            <w:rtl/>
          </w:rPr>
          <w:t>ע"פ 2761/21</w:t>
        </w:r>
      </w:hyperlink>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עואלי נ' מדינת</w:t>
      </w:r>
      <w:r>
        <w:rPr>
          <w:rFonts w:ascii="FrankRuehl" w:hAnsi="FrankRuehl" w:cs="FrankRuehl" w:hint="cs"/>
          <w:b/>
          <w:bCs/>
          <w:color w:val="000000"/>
          <w:sz w:val="28"/>
          <w:szCs w:val="28"/>
          <w:rtl/>
        </w:rPr>
        <w:t xml:space="preserve"> ישראל </w:t>
      </w:r>
      <w:r w:rsidRPr="00BB1B58">
        <w:rPr>
          <w:rFonts w:ascii="FrankRuehl" w:hAnsi="FrankRuehl" w:cs="FrankRuehl" w:hint="cs"/>
          <w:color w:val="000000"/>
          <w:sz w:val="28"/>
          <w:szCs w:val="28"/>
          <w:rtl/>
        </w:rPr>
        <w:t>(22.08.21)</w:t>
      </w:r>
      <w:r w:rsidRPr="009667E6">
        <w:rPr>
          <w:rFonts w:ascii="FrankRuehl" w:hAnsi="FrankRuehl" w:cs="FrankRuehl"/>
          <w:color w:val="000000"/>
          <w:sz w:val="28"/>
          <w:szCs w:val="28"/>
          <w:rtl/>
        </w:rPr>
        <w:t>;</w:t>
      </w:r>
      <w:r>
        <w:rPr>
          <w:rFonts w:ascii="FrankRuehl" w:hAnsi="FrankRuehl" w:cs="FrankRuehl" w:hint="cs"/>
          <w:color w:val="000000"/>
          <w:sz w:val="28"/>
          <w:szCs w:val="28"/>
          <w:rtl/>
        </w:rPr>
        <w:t xml:space="preserve"> </w:t>
      </w:r>
      <w:hyperlink r:id="rId37" w:history="1">
        <w:r w:rsidR="007E72A6" w:rsidRPr="007E72A6">
          <w:rPr>
            <w:rFonts w:ascii="FrankRuehl" w:hAnsi="FrankRuehl" w:cs="FrankRuehl"/>
            <w:color w:val="0000FF"/>
            <w:sz w:val="28"/>
            <w:szCs w:val="28"/>
            <w:u w:val="single"/>
            <w:rtl/>
          </w:rPr>
          <w:t>ע"פ 4207/21</w:t>
        </w:r>
      </w:hyperlink>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עמאר בעראני נורי נ' מדינת ישראל</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(28.07.21)). 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(ראו:</w:t>
      </w:r>
      <w:r>
        <w:rPr>
          <w:rFonts w:ascii="FrankRuehl" w:hAnsi="FrankRuehl" w:cs="FrankRuehl" w:hint="cs"/>
          <w:color w:val="000000"/>
          <w:sz w:val="28"/>
          <w:szCs w:val="28"/>
          <w:rtl/>
        </w:rPr>
        <w:t xml:space="preserve"> </w:t>
      </w:r>
      <w:hyperlink r:id="rId38" w:history="1">
        <w:r w:rsidR="007E72A6" w:rsidRPr="007E72A6">
          <w:rPr>
            <w:rFonts w:ascii="FrankRuehl" w:hAnsi="FrankRuehl" w:cs="FrankRuehl"/>
            <w:color w:val="0000FF"/>
            <w:sz w:val="28"/>
            <w:szCs w:val="28"/>
            <w:u w:val="single"/>
            <w:rtl/>
          </w:rPr>
          <w:t>ע"פ 6068/21</w:t>
        </w:r>
      </w:hyperlink>
      <w:r w:rsidR="007E72A6">
        <w:rPr>
          <w:rFonts w:ascii="FrankRuehl" w:hAnsi="FrankRuehl" w:cs="FrankRuehl"/>
          <w:b/>
          <w:bCs/>
          <w:color w:val="000000"/>
          <w:sz w:val="28"/>
          <w:szCs w:val="28"/>
          <w:rtl/>
        </w:rPr>
        <w:t xml:space="preserve"> </w:t>
      </w:r>
      <w:r w:rsidRPr="009667E6">
        <w:rPr>
          <w:rFonts w:ascii="FrankRuehl" w:hAnsi="FrankRuehl" w:cs="FrankRuehl"/>
          <w:b/>
          <w:bCs/>
          <w:color w:val="000000"/>
          <w:sz w:val="28"/>
          <w:szCs w:val="28"/>
          <w:rtl/>
        </w:rPr>
        <w:t>מדינת ישראל נ' פקיה</w:t>
      </w:r>
      <w:r w:rsidR="007E72A6">
        <w:rPr>
          <w:rFonts w:ascii="FrankRuehl" w:hAnsi="FrankRuehl" w:cs="FrankRuehl"/>
          <w:color w:val="000000"/>
          <w:sz w:val="28"/>
          <w:szCs w:val="28"/>
          <w:rtl/>
        </w:rPr>
        <w:t xml:space="preserve"> </w:t>
      </w:r>
      <w:r>
        <w:rPr>
          <w:rFonts w:ascii="FrankRuehl" w:hAnsi="FrankRuehl" w:cs="FrankRuehl"/>
          <w:color w:val="000000"/>
          <w:sz w:val="28"/>
          <w:szCs w:val="28"/>
          <w:rtl/>
        </w:rPr>
        <w:t>(</w:t>
      </w:r>
      <w:r w:rsidRPr="009667E6">
        <w:rPr>
          <w:rFonts w:ascii="FrankRuehl" w:hAnsi="FrankRuehl" w:cs="FrankRuehl"/>
          <w:color w:val="000000"/>
          <w:sz w:val="28"/>
          <w:szCs w:val="28"/>
          <w:rtl/>
        </w:rPr>
        <w:t>19.12.21);</w:t>
      </w:r>
      <w:r>
        <w:rPr>
          <w:rFonts w:ascii="FrankRuehl" w:hAnsi="FrankRuehl" w:cs="FrankRuehl" w:hint="cs"/>
          <w:color w:val="000000"/>
          <w:sz w:val="28"/>
          <w:szCs w:val="28"/>
          <w:rtl/>
        </w:rPr>
        <w:t xml:space="preserve"> </w:t>
      </w:r>
      <w:hyperlink r:id="rId39" w:history="1">
        <w:r w:rsidR="007E72A6" w:rsidRPr="007E72A6">
          <w:rPr>
            <w:rFonts w:ascii="FrankRuehl" w:hAnsi="FrankRuehl" w:cs="FrankRuehl"/>
            <w:color w:val="0000FF"/>
            <w:sz w:val="28"/>
            <w:szCs w:val="28"/>
            <w:u w:val="single"/>
            <w:rtl/>
          </w:rPr>
          <w:t>ע"פ 4406/19</w:t>
        </w:r>
      </w:hyperlink>
      <w:r w:rsidR="007E72A6">
        <w:rPr>
          <w:rFonts w:ascii="FrankRuehl" w:hAnsi="FrankRuehl" w:cs="FrankRuehl"/>
          <w:color w:val="000000"/>
          <w:sz w:val="28"/>
          <w:szCs w:val="28"/>
          <w:rtl/>
        </w:rPr>
        <w:t xml:space="preserve"> </w:t>
      </w:r>
      <w:r w:rsidRPr="00386BEB">
        <w:rPr>
          <w:rFonts w:ascii="FrankRuehl" w:hAnsi="FrankRuehl" w:cs="FrankRuehl"/>
          <w:b/>
          <w:bCs/>
          <w:color w:val="000000"/>
          <w:sz w:val="28"/>
          <w:szCs w:val="28"/>
          <w:rtl/>
        </w:rPr>
        <w:t>מדינת ישראל נ' סובח</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(5.11.19)).</w:t>
      </w:r>
    </w:p>
    <w:p w14:paraId="776CE9B6" w14:textId="77777777" w:rsidR="00DF731F" w:rsidRDefault="00DF731F" w:rsidP="00DF731F">
      <w:pPr>
        <w:spacing w:line="360" w:lineRule="auto"/>
        <w:jc w:val="both"/>
        <w:rPr>
          <w:rFonts w:ascii="FrankRuehl" w:hAnsi="FrankRuehl" w:cs="FrankRuehl"/>
          <w:color w:val="000000"/>
          <w:sz w:val="28"/>
          <w:szCs w:val="28"/>
          <w:rtl/>
        </w:rPr>
      </w:pPr>
    </w:p>
    <w:p w14:paraId="284EE879" w14:textId="77777777" w:rsidR="00DF731F" w:rsidRPr="00386BEB"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25</w:t>
      </w:r>
      <w:r w:rsidRPr="009667E6">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 xml:space="preserve"> לאחרונה, אף ציין בית המשפט העליון כי מצויים אנו לעת הזאת במצב חירום של ממש ב</w:t>
      </w:r>
      <w:r>
        <w:rPr>
          <w:rFonts w:ascii="FrankRuehl" w:hAnsi="FrankRuehl" w:cs="FrankRuehl" w:hint="cs"/>
          <w:color w:val="000000"/>
          <w:sz w:val="28"/>
          <w:szCs w:val="28"/>
          <w:rtl/>
        </w:rPr>
        <w:t>כל הנוגע ל</w:t>
      </w:r>
      <w:r w:rsidRPr="009667E6">
        <w:rPr>
          <w:rFonts w:ascii="FrankRuehl" w:hAnsi="FrankRuehl" w:cs="FrankRuehl"/>
          <w:color w:val="000000"/>
          <w:sz w:val="28"/>
          <w:szCs w:val="28"/>
          <w:rtl/>
        </w:rPr>
        <w:t xml:space="preserve">עבירות </w:t>
      </w:r>
      <w:r>
        <w:rPr>
          <w:rFonts w:ascii="FrankRuehl" w:hAnsi="FrankRuehl" w:cs="FrankRuehl" w:hint="cs"/>
          <w:color w:val="000000"/>
          <w:sz w:val="28"/>
          <w:szCs w:val="28"/>
          <w:rtl/>
        </w:rPr>
        <w:t>ה</w:t>
      </w:r>
      <w:r w:rsidRPr="009667E6">
        <w:rPr>
          <w:rFonts w:ascii="FrankRuehl" w:hAnsi="FrankRuehl" w:cs="FrankRuehl"/>
          <w:color w:val="000000"/>
          <w:sz w:val="28"/>
          <w:szCs w:val="28"/>
          <w:rtl/>
        </w:rPr>
        <w:t>נשק</w:t>
      </w:r>
      <w:r>
        <w:rPr>
          <w:rFonts w:ascii="FrankRuehl" w:hAnsi="FrankRuehl" w:cs="FrankRuehl" w:hint="cs"/>
          <w:color w:val="000000"/>
          <w:sz w:val="28"/>
          <w:szCs w:val="28"/>
          <w:rtl/>
        </w:rPr>
        <w:t xml:space="preserve"> (</w:t>
      </w:r>
      <w:hyperlink r:id="rId40" w:history="1">
        <w:r w:rsidR="007E72A6" w:rsidRPr="007E72A6">
          <w:rPr>
            <w:rFonts w:ascii="FrankRuehl" w:hAnsi="FrankRuehl" w:cs="FrankRuehl"/>
            <w:color w:val="0000FF"/>
            <w:sz w:val="28"/>
            <w:szCs w:val="28"/>
            <w:u w:val="single"/>
            <w:rtl/>
          </w:rPr>
          <w:t>ע"פ 5602/22</w:t>
        </w:r>
      </w:hyperlink>
      <w:r>
        <w:rPr>
          <w:rFonts w:ascii="FrankRuehl" w:hAnsi="FrankRuehl" w:cs="FrankRuehl" w:hint="cs"/>
          <w:color w:val="000000"/>
          <w:sz w:val="28"/>
          <w:szCs w:val="28"/>
          <w:rtl/>
        </w:rPr>
        <w:t xml:space="preserve"> </w:t>
      </w:r>
      <w:r w:rsidRPr="00BB1B58">
        <w:rPr>
          <w:rFonts w:ascii="FrankRuehl" w:hAnsi="FrankRuehl" w:cs="FrankRuehl" w:hint="cs"/>
          <w:b/>
          <w:bCs/>
          <w:color w:val="000000"/>
          <w:sz w:val="28"/>
          <w:szCs w:val="28"/>
          <w:rtl/>
        </w:rPr>
        <w:t>מדינת ישראל נ' פלוני</w:t>
      </w:r>
      <w:r>
        <w:rPr>
          <w:rFonts w:ascii="FrankRuehl" w:hAnsi="FrankRuehl" w:cs="FrankRuehl" w:hint="cs"/>
          <w:color w:val="000000"/>
          <w:sz w:val="28"/>
          <w:szCs w:val="28"/>
          <w:rtl/>
        </w:rPr>
        <w:t xml:space="preserve"> (14.09.22); </w:t>
      </w:r>
      <w:hyperlink r:id="rId41" w:history="1">
        <w:r w:rsidR="007E72A6" w:rsidRPr="007E72A6">
          <w:rPr>
            <w:rFonts w:ascii="FrankRuehl" w:hAnsi="FrankRuehl" w:cs="FrankRuehl"/>
            <w:color w:val="0000FF"/>
            <w:sz w:val="28"/>
            <w:szCs w:val="28"/>
            <w:u w:val="single"/>
            <w:rtl/>
          </w:rPr>
          <w:t>ע"פ 2251/21</w:t>
        </w:r>
      </w:hyperlink>
      <w:r w:rsidR="007E72A6">
        <w:rPr>
          <w:rFonts w:ascii="FrankRuehl" w:hAnsi="FrankRuehl" w:cs="FrankRuehl"/>
          <w:color w:val="000000"/>
          <w:sz w:val="28"/>
          <w:szCs w:val="28"/>
          <w:rtl/>
        </w:rPr>
        <w:t xml:space="preserve"> </w:t>
      </w:r>
      <w:r w:rsidRPr="00386BEB">
        <w:rPr>
          <w:rFonts w:ascii="FrankRuehl" w:hAnsi="FrankRuehl" w:cs="FrankRuehl"/>
          <w:b/>
          <w:bCs/>
          <w:color w:val="000000"/>
          <w:sz w:val="28"/>
          <w:szCs w:val="28"/>
          <w:rtl/>
        </w:rPr>
        <w:t>אבו עראר נ' מדינת ישראל</w:t>
      </w:r>
      <w:r w:rsidR="007E72A6">
        <w:rPr>
          <w:rFonts w:ascii="FrankRuehl" w:hAnsi="FrankRuehl" w:cs="FrankRuehl"/>
          <w:color w:val="000000"/>
          <w:sz w:val="28"/>
          <w:szCs w:val="28"/>
          <w:rtl/>
        </w:rPr>
        <w:t xml:space="preserve"> </w:t>
      </w:r>
      <w:r>
        <w:rPr>
          <w:rFonts w:ascii="FrankRuehl" w:hAnsi="FrankRuehl" w:cs="FrankRuehl"/>
          <w:color w:val="000000"/>
          <w:sz w:val="28"/>
          <w:szCs w:val="28"/>
          <w:rtl/>
        </w:rPr>
        <w:t>(15.12.21))</w:t>
      </w:r>
      <w:r>
        <w:rPr>
          <w:rFonts w:ascii="FrankRuehl" w:hAnsi="FrankRuehl" w:cs="FrankRuehl" w:hint="cs"/>
          <w:color w:val="000000"/>
          <w:sz w:val="28"/>
          <w:szCs w:val="28"/>
          <w:rtl/>
        </w:rPr>
        <w:t>. בית המשפט ציין (ב</w:t>
      </w:r>
      <w:hyperlink r:id="rId42" w:history="1">
        <w:r w:rsidR="007E72A6" w:rsidRPr="007E72A6">
          <w:rPr>
            <w:rFonts w:ascii="FrankRuehl" w:hAnsi="FrankRuehl" w:cs="FrankRuehl"/>
            <w:color w:val="0000FF"/>
            <w:sz w:val="28"/>
            <w:szCs w:val="28"/>
            <w:u w:val="single"/>
            <w:rtl/>
          </w:rPr>
          <w:t>ע"פ 6383/21</w:t>
        </w:r>
      </w:hyperlink>
      <w:r w:rsidR="007E72A6">
        <w:rPr>
          <w:rFonts w:ascii="FrankRuehl" w:hAnsi="FrankRuehl" w:cs="FrankRuehl"/>
          <w:b/>
          <w:bCs/>
          <w:color w:val="000000"/>
          <w:sz w:val="28"/>
          <w:szCs w:val="28"/>
          <w:rtl/>
        </w:rPr>
        <w:t xml:space="preserve"> </w:t>
      </w:r>
      <w:r w:rsidRPr="00386BEB">
        <w:rPr>
          <w:rFonts w:ascii="FrankRuehl" w:hAnsi="FrankRuehl" w:cs="FrankRuehl"/>
          <w:b/>
          <w:bCs/>
          <w:color w:val="000000"/>
          <w:sz w:val="28"/>
          <w:szCs w:val="28"/>
          <w:rtl/>
        </w:rPr>
        <w:t>קריף נ' מדינת ישראל</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(13.02.22)</w:t>
      </w:r>
      <w:r>
        <w:rPr>
          <w:rFonts w:ascii="FrankRuehl" w:hAnsi="FrankRuehl" w:cs="FrankRuehl" w:hint="cs"/>
          <w:color w:val="000000"/>
          <w:sz w:val="28"/>
          <w:szCs w:val="28"/>
          <w:rtl/>
        </w:rPr>
        <w:t>)</w:t>
      </w:r>
      <w:r w:rsidRPr="009667E6">
        <w:rPr>
          <w:rFonts w:ascii="FrankRuehl" w:hAnsi="FrankRuehl" w:cs="FrankRuehl"/>
          <w:color w:val="000000"/>
          <w:sz w:val="28"/>
          <w:szCs w:val="28"/>
          <w:rtl/>
        </w:rPr>
        <w:t xml:space="preserve"> כי:</w:t>
      </w:r>
    </w:p>
    <w:p w14:paraId="76393F72" w14:textId="77777777" w:rsidR="00DF731F" w:rsidRPr="00386BEB" w:rsidRDefault="00DF731F" w:rsidP="00DF731F">
      <w:pPr>
        <w:spacing w:after="160" w:line="360" w:lineRule="atLeast"/>
        <w:ind w:left="680" w:right="680"/>
        <w:jc w:val="both"/>
        <w:rPr>
          <w:rFonts w:cs="Times New Roman"/>
          <w:color w:val="000000"/>
          <w:rtl/>
        </w:rPr>
      </w:pPr>
      <w:r w:rsidRPr="00386BEB">
        <w:rPr>
          <w:rFonts w:ascii="Miriam" w:hAnsi="Miriam" w:cs="Miriam"/>
          <w:color w:val="000000"/>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w:t>
      </w:r>
      <w:r w:rsidRPr="00386BEB">
        <w:rPr>
          <w:rFonts w:ascii="Miriam" w:hAnsi="Miriam" w:cs="Miriam" w:hint="cs"/>
          <w:color w:val="000000"/>
          <w:rtl/>
        </w:rPr>
        <w:t>י</w:t>
      </w:r>
      <w:r w:rsidRPr="00386BEB">
        <w:rPr>
          <w:rFonts w:ascii="Miriam" w:hAnsi="Miriam" w:cs="Miriam"/>
          <w:color w:val="000000"/>
          <w:rtl/>
        </w:rPr>
        <w:t>טחון הפרט דורשת ענישה מחמירה, מעבר לזו שהייתה נקוטה בעבר.</w:t>
      </w:r>
    </w:p>
    <w:p w14:paraId="0D440249" w14:textId="77777777" w:rsidR="00DF731F" w:rsidRDefault="00DF731F" w:rsidP="00DF731F">
      <w:pPr>
        <w:spacing w:after="160" w:line="360" w:lineRule="atLeast"/>
        <w:jc w:val="both"/>
        <w:rPr>
          <w:rFonts w:ascii="FrankRuehl" w:hAnsi="FrankRuehl" w:cs="FrankRuehl"/>
          <w:color w:val="000000"/>
          <w:sz w:val="28"/>
          <w:szCs w:val="28"/>
          <w:rtl/>
        </w:rPr>
      </w:pPr>
    </w:p>
    <w:p w14:paraId="05186664" w14:textId="77777777" w:rsidR="00DF731F" w:rsidRDefault="00DF731F" w:rsidP="00DF731F">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26.</w:t>
      </w:r>
      <w:r>
        <w:rPr>
          <w:rFonts w:ascii="FrankRuehl" w:hAnsi="FrankRuehl" w:cs="FrankRuehl"/>
          <w:color w:val="000000"/>
          <w:sz w:val="28"/>
          <w:szCs w:val="28"/>
          <w:rtl/>
        </w:rPr>
        <w:tab/>
      </w:r>
      <w:r>
        <w:rPr>
          <w:rFonts w:ascii="FrankRuehl" w:hAnsi="FrankRuehl" w:cs="FrankRuehl" w:hint="cs"/>
          <w:color w:val="000000"/>
          <w:sz w:val="28"/>
          <w:szCs w:val="28"/>
          <w:rtl/>
        </w:rPr>
        <w:t>ה</w:t>
      </w:r>
      <w:r w:rsidRPr="009667E6">
        <w:rPr>
          <w:rFonts w:ascii="FrankRuehl" w:hAnsi="FrankRuehl" w:cs="FrankRuehl"/>
          <w:color w:val="000000"/>
          <w:sz w:val="28"/>
          <w:szCs w:val="28"/>
          <w:rtl/>
        </w:rPr>
        <w:t>מחוקק אף ראה לנכון לעגן מגמת החמרה זו בחקיקה, כשבמסגרת תיקון החוק</w:t>
      </w:r>
      <w:r>
        <w:rPr>
          <w:rFonts w:ascii="FrankRuehl" w:hAnsi="FrankRuehl" w:cs="FrankRuehl" w:hint="cs"/>
          <w:color w:val="000000"/>
          <w:sz w:val="28"/>
          <w:szCs w:val="28"/>
          <w:rtl/>
        </w:rPr>
        <w:t xml:space="preserve"> (</w:t>
      </w:r>
      <w:hyperlink r:id="rId43" w:history="1">
        <w:r w:rsidR="007E72A6" w:rsidRPr="007E72A6">
          <w:rPr>
            <w:rFonts w:ascii="FrankRuehl" w:hAnsi="FrankRuehl" w:cs="FrankRuehl"/>
            <w:color w:val="0000FF"/>
            <w:sz w:val="28"/>
            <w:szCs w:val="28"/>
            <w:u w:val="single"/>
            <w:rtl/>
          </w:rPr>
          <w:t>חוק העונשין</w:t>
        </w:r>
      </w:hyperlink>
      <w:r w:rsidRPr="009667E6">
        <w:rPr>
          <w:rFonts w:ascii="FrankRuehl" w:hAnsi="FrankRuehl" w:cs="FrankRuehl"/>
          <w:color w:val="000000"/>
          <w:sz w:val="28"/>
          <w:szCs w:val="28"/>
          <w:rtl/>
        </w:rPr>
        <w:t xml:space="preserve"> (תיקון מס' 140 – הוראת שעה), התשפ"ב-2021, נקבע עונש מינימום של רבע מהעונש</w:t>
      </w:r>
      <w:r>
        <w:rPr>
          <w:rFonts w:ascii="Arial" w:hAnsi="Arial" w:cs="Arial" w:hint="cs"/>
          <w:color w:val="008080"/>
          <w:sz w:val="27"/>
          <w:szCs w:val="27"/>
          <w:rtl/>
        </w:rPr>
        <w:t xml:space="preserve"> </w:t>
      </w:r>
      <w:r w:rsidRPr="009667E6">
        <w:rPr>
          <w:rFonts w:ascii="FrankRuehl" w:hAnsi="FrankRuehl" w:cs="FrankRuehl"/>
          <w:color w:val="000000"/>
          <w:sz w:val="28"/>
          <w:szCs w:val="28"/>
          <w:rtl/>
        </w:rPr>
        <w:t>המרבי, למי שהורשע בעבירות של החזקה, נשיאה וסחר בנשק. לפי דברי ההסבר לתיקון, התיקון נעשה נוכח התפשטות ההתחמשות של קבוצות גדולות באוכלוסייה בנשק בלתי חוקי, ייחודיות התופעה והשלכותיה החמורות, ובפרט המחיר שהיא גובה בחיי אדם.</w:t>
      </w:r>
      <w:r>
        <w:rPr>
          <w:rFonts w:ascii="FrankRuehl" w:hAnsi="FrankRuehl" w:cs="FrankRuehl" w:hint="cs"/>
          <w:color w:val="000000"/>
          <w:sz w:val="28"/>
          <w:szCs w:val="28"/>
          <w:rtl/>
        </w:rPr>
        <w:t xml:space="preserve"> וכך נאמר בעניין זה:</w:t>
      </w:r>
    </w:p>
    <w:p w14:paraId="141CC2D4" w14:textId="77777777" w:rsidR="00DF731F" w:rsidRPr="00D52E67" w:rsidRDefault="00DF731F" w:rsidP="00DF731F">
      <w:pPr>
        <w:spacing w:line="360" w:lineRule="auto"/>
        <w:ind w:left="680" w:right="680"/>
        <w:jc w:val="both"/>
        <w:rPr>
          <w:rFonts w:ascii="Miriam" w:hAnsi="Miriam" w:cs="Miriam"/>
          <w:rtl/>
        </w:rPr>
      </w:pPr>
      <w:r w:rsidRPr="00D52E67">
        <w:rPr>
          <w:rFonts w:ascii="Miriam" w:hAnsi="Miriam" w:cs="Miriam"/>
          <w:rtl/>
        </w:rPr>
        <w:t>נוסף על הנזק הישיר של עבירות הנשק, השימוש הנרחב בנשק ובאמצעי לחימה בלתי חוקיים והימצאותם בחברה האזרחית פוגעים בתחושת הביטחון של הציבור ותורמים לעליית הביקוש לנשק בלתי חוקי. מאפיין מחמיר נוסף של עבירות אלה הוא הקלות שבה סכסוך של מה בכך עלול להסלים במהירות לאירוע קטלני א</w:t>
      </w:r>
      <w:r>
        <w:rPr>
          <w:rFonts w:ascii="Miriam" w:hAnsi="Miriam" w:cs="Miriam"/>
          <w:rtl/>
        </w:rPr>
        <w:t>ך ורק בשל קיומו של נשק בהישג יד</w:t>
      </w:r>
      <w:r>
        <w:rPr>
          <w:rFonts w:ascii="Miriam" w:hAnsi="Miriam" w:cs="Miriam" w:hint="cs"/>
          <w:rtl/>
        </w:rPr>
        <w:t>.</w:t>
      </w:r>
      <w:r w:rsidRPr="00D52E67">
        <w:rPr>
          <w:rFonts w:ascii="Miriam" w:hAnsi="Miriam" w:cs="Miriam"/>
          <w:rtl/>
        </w:rPr>
        <w:t xml:space="preserve"> </w:t>
      </w:r>
    </w:p>
    <w:p w14:paraId="2E6AF0D8" w14:textId="77777777" w:rsidR="00DF731F" w:rsidRDefault="00DF731F" w:rsidP="00DF731F">
      <w:pPr>
        <w:spacing w:after="160" w:line="360" w:lineRule="auto"/>
        <w:jc w:val="both"/>
        <w:rPr>
          <w:rFonts w:ascii="FrankRuehl" w:hAnsi="FrankRuehl" w:cs="FrankRuehl"/>
          <w:color w:val="000000"/>
          <w:sz w:val="28"/>
          <w:szCs w:val="28"/>
          <w:rtl/>
        </w:rPr>
      </w:pPr>
    </w:p>
    <w:p w14:paraId="57A6604A" w14:textId="77777777" w:rsidR="00DF731F" w:rsidRDefault="00DF731F" w:rsidP="00DF731F">
      <w:pPr>
        <w:spacing w:after="160" w:line="360" w:lineRule="auto"/>
        <w:jc w:val="both"/>
        <w:rPr>
          <w:rFonts w:ascii="FrankRuehl" w:hAnsi="FrankRuehl" w:cs="FrankRuehl"/>
          <w:sz w:val="28"/>
          <w:szCs w:val="28"/>
          <w:rtl/>
        </w:rPr>
      </w:pPr>
      <w:r>
        <w:rPr>
          <w:rFonts w:ascii="FrankRuehl" w:hAnsi="FrankRuehl" w:cs="FrankRuehl" w:hint="cs"/>
          <w:color w:val="000000"/>
          <w:sz w:val="28"/>
          <w:szCs w:val="28"/>
          <w:rtl/>
        </w:rPr>
        <w:t>27.</w:t>
      </w:r>
      <w:r>
        <w:rPr>
          <w:rFonts w:ascii="FrankRuehl" w:hAnsi="FrankRuehl" w:cs="FrankRuehl" w:hint="cs"/>
          <w:color w:val="000000"/>
          <w:sz w:val="28"/>
          <w:szCs w:val="28"/>
          <w:rtl/>
        </w:rPr>
        <w:tab/>
      </w:r>
      <w:r w:rsidRPr="009667E6">
        <w:rPr>
          <w:rFonts w:ascii="FrankRuehl" w:hAnsi="FrankRuehl" w:cs="FrankRuehl"/>
          <w:color w:val="000000"/>
          <w:sz w:val="28"/>
          <w:szCs w:val="28"/>
          <w:rtl/>
        </w:rPr>
        <w:t xml:space="preserve">תיקון זה </w:t>
      </w:r>
      <w:r>
        <w:rPr>
          <w:rFonts w:ascii="FrankRuehl" w:hAnsi="FrankRuehl" w:cs="FrankRuehl" w:hint="cs"/>
          <w:color w:val="000000"/>
          <w:sz w:val="28"/>
          <w:szCs w:val="28"/>
          <w:rtl/>
        </w:rPr>
        <w:t xml:space="preserve">אמנם </w:t>
      </w:r>
      <w:r w:rsidRPr="009667E6">
        <w:rPr>
          <w:rFonts w:ascii="FrankRuehl" w:hAnsi="FrankRuehl" w:cs="FrankRuehl"/>
          <w:color w:val="000000"/>
          <w:sz w:val="28"/>
          <w:szCs w:val="28"/>
          <w:rtl/>
        </w:rPr>
        <w:t>אינו חל על הנאשם, אולם יש בו כדי ללמד על ה</w:t>
      </w:r>
      <w:r>
        <w:rPr>
          <w:rFonts w:ascii="FrankRuehl" w:hAnsi="FrankRuehl" w:cs="FrankRuehl" w:hint="cs"/>
          <w:color w:val="000000"/>
          <w:sz w:val="28"/>
          <w:szCs w:val="28"/>
          <w:rtl/>
        </w:rPr>
        <w:t xml:space="preserve">משקל הרב שיש לתת </w:t>
      </w:r>
      <w:r w:rsidRPr="009667E6">
        <w:rPr>
          <w:rFonts w:ascii="FrankRuehl" w:hAnsi="FrankRuehl" w:cs="FrankRuehl"/>
          <w:color w:val="000000"/>
          <w:sz w:val="28"/>
          <w:szCs w:val="28"/>
          <w:rtl/>
        </w:rPr>
        <w:t>לאינטרס הציבורי ולשיקולי ההרתעה על פני נסיבותיו של הנאשם בקביעת העונש בעבירות אלו</w:t>
      </w:r>
      <w:r>
        <w:rPr>
          <w:rFonts w:ascii="FrankRuehl" w:hAnsi="FrankRuehl" w:cs="FrankRuehl" w:hint="cs"/>
          <w:color w:val="000000"/>
          <w:sz w:val="28"/>
          <w:szCs w:val="28"/>
          <w:rtl/>
        </w:rPr>
        <w:t>, וכפי שנקבע בפסיקה</w:t>
      </w:r>
      <w:r w:rsidRPr="009667E6">
        <w:rPr>
          <w:rFonts w:ascii="FrankRuehl" w:hAnsi="FrankRuehl" w:cs="FrankRuehl"/>
          <w:color w:val="000000"/>
          <w:sz w:val="28"/>
          <w:szCs w:val="28"/>
          <w:rtl/>
        </w:rPr>
        <w:t xml:space="preserve"> (ראו:</w:t>
      </w:r>
      <w:r>
        <w:rPr>
          <w:rFonts w:ascii="FrankRuehl" w:hAnsi="FrankRuehl" w:cs="FrankRuehl" w:hint="cs"/>
          <w:color w:val="000000"/>
          <w:sz w:val="28"/>
          <w:szCs w:val="28"/>
          <w:rtl/>
        </w:rPr>
        <w:t xml:space="preserve"> </w:t>
      </w:r>
      <w:hyperlink r:id="rId44" w:history="1">
        <w:r w:rsidR="007E72A6" w:rsidRPr="007E72A6">
          <w:rPr>
            <w:rFonts w:ascii="FrankRuehl" w:hAnsi="FrankRuehl" w:cs="FrankRuehl"/>
            <w:color w:val="0000FF"/>
            <w:sz w:val="28"/>
            <w:szCs w:val="28"/>
            <w:u w:val="single"/>
            <w:rtl/>
          </w:rPr>
          <w:t>ע"פ 5602/22</w:t>
        </w:r>
      </w:hyperlink>
      <w:r>
        <w:rPr>
          <w:rFonts w:ascii="FrankRuehl" w:hAnsi="FrankRuehl" w:cs="FrankRuehl" w:hint="cs"/>
          <w:color w:val="000000"/>
          <w:sz w:val="28"/>
          <w:szCs w:val="28"/>
          <w:rtl/>
        </w:rPr>
        <w:t xml:space="preserve"> בעניין </w:t>
      </w:r>
      <w:r w:rsidRPr="001F305A">
        <w:rPr>
          <w:rFonts w:ascii="FrankRuehl" w:hAnsi="FrankRuehl" w:cs="FrankRuehl" w:hint="cs"/>
          <w:b/>
          <w:bCs/>
          <w:color w:val="000000"/>
          <w:sz w:val="28"/>
          <w:szCs w:val="28"/>
          <w:rtl/>
        </w:rPr>
        <w:t>פלוני</w:t>
      </w:r>
      <w:r>
        <w:rPr>
          <w:rFonts w:ascii="FrankRuehl" w:hAnsi="FrankRuehl" w:cs="FrankRuehl" w:hint="cs"/>
          <w:color w:val="000000"/>
          <w:sz w:val="28"/>
          <w:szCs w:val="28"/>
          <w:rtl/>
        </w:rPr>
        <w:t xml:space="preserve">; </w:t>
      </w:r>
      <w:hyperlink r:id="rId45" w:history="1">
        <w:r w:rsidR="007E72A6" w:rsidRPr="007E72A6">
          <w:rPr>
            <w:rFonts w:ascii="FrankRuehl" w:hAnsi="FrankRuehl" w:cs="FrankRuehl"/>
            <w:color w:val="0000FF"/>
            <w:sz w:val="28"/>
            <w:szCs w:val="28"/>
            <w:u w:val="single"/>
            <w:rtl/>
          </w:rPr>
          <w:t>ע"פ 2761/21</w:t>
        </w:r>
      </w:hyperlink>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עואלי</w:t>
      </w:r>
      <w:r w:rsidRPr="009667E6">
        <w:rPr>
          <w:rFonts w:ascii="FrankRuehl" w:hAnsi="FrankRuehl" w:cs="FrankRuehl"/>
          <w:color w:val="000000"/>
          <w:sz w:val="28"/>
          <w:szCs w:val="28"/>
          <w:rtl/>
        </w:rPr>
        <w:t>;</w:t>
      </w:r>
      <w:r>
        <w:rPr>
          <w:rFonts w:ascii="FrankRuehl" w:hAnsi="FrankRuehl" w:cs="FrankRuehl" w:hint="cs"/>
          <w:color w:val="000000"/>
          <w:sz w:val="28"/>
          <w:szCs w:val="28"/>
          <w:rtl/>
        </w:rPr>
        <w:t xml:space="preserve"> </w:t>
      </w:r>
      <w:hyperlink r:id="rId46" w:history="1">
        <w:r w:rsidR="007E72A6" w:rsidRPr="007E72A6">
          <w:rPr>
            <w:rFonts w:ascii="FrankRuehl" w:hAnsi="FrankRuehl" w:cs="FrankRuehl"/>
            <w:color w:val="0000FF"/>
            <w:sz w:val="28"/>
            <w:szCs w:val="28"/>
            <w:u w:val="single"/>
            <w:rtl/>
          </w:rPr>
          <w:t>ע"פ 2251/21</w:t>
        </w:r>
      </w:hyperlink>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אבו עראר</w:t>
      </w:r>
      <w:r w:rsidRPr="009667E6">
        <w:rPr>
          <w:rFonts w:ascii="FrankRuehl" w:hAnsi="FrankRuehl" w:cs="FrankRuehl"/>
          <w:color w:val="000000"/>
          <w:sz w:val="28"/>
          <w:szCs w:val="28"/>
          <w:rtl/>
        </w:rPr>
        <w:t>).</w:t>
      </w:r>
      <w:r>
        <w:rPr>
          <w:rFonts w:cs="Times New Roman" w:hint="cs"/>
          <w:color w:val="000000"/>
          <w:sz w:val="27"/>
          <w:szCs w:val="27"/>
          <w:rtl/>
        </w:rPr>
        <w:t xml:space="preserve"> </w:t>
      </w:r>
    </w:p>
    <w:p w14:paraId="24C8DE36" w14:textId="77777777" w:rsidR="00DF731F" w:rsidRDefault="00DF731F" w:rsidP="00DF731F">
      <w:pPr>
        <w:spacing w:after="160" w:line="360" w:lineRule="auto"/>
        <w:jc w:val="both"/>
        <w:rPr>
          <w:rFonts w:ascii="FrankRuehl" w:hAnsi="FrankRuehl" w:cs="FrankRuehl"/>
          <w:sz w:val="28"/>
          <w:szCs w:val="28"/>
          <w:rtl/>
        </w:rPr>
      </w:pPr>
    </w:p>
    <w:p w14:paraId="4901839A" w14:textId="77777777" w:rsidR="00DF731F" w:rsidRDefault="00DF731F" w:rsidP="00DF731F">
      <w:pPr>
        <w:spacing w:after="160"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 xml:space="preserve">עבירות הנשק </w:t>
      </w:r>
      <w:hyperlink r:id="rId47" w:history="1">
        <w:r w:rsidR="003409F6" w:rsidRPr="003409F6">
          <w:rPr>
            <w:rStyle w:val="Hyperlink"/>
            <w:rFonts w:ascii="FrankRuehl" w:hAnsi="FrankRuehl" w:cs="FrankRuehl" w:hint="eastAsia"/>
            <w:sz w:val="28"/>
            <w:szCs w:val="28"/>
            <w:rtl/>
          </w:rPr>
          <w:t>שבסעיף</w:t>
        </w:r>
        <w:r w:rsidR="003409F6" w:rsidRPr="003409F6">
          <w:rPr>
            <w:rStyle w:val="Hyperlink"/>
            <w:rFonts w:ascii="FrankRuehl" w:hAnsi="FrankRuehl" w:cs="FrankRuehl"/>
            <w:sz w:val="28"/>
            <w:szCs w:val="28"/>
            <w:rtl/>
          </w:rPr>
          <w:t xml:space="preserve"> 144(ב2)</w:t>
        </w:r>
      </w:hyperlink>
      <w:r>
        <w:rPr>
          <w:rFonts w:ascii="FrankRuehl" w:hAnsi="FrankRuehl" w:cs="FrankRuehl" w:hint="cs"/>
          <w:sz w:val="28"/>
          <w:szCs w:val="28"/>
          <w:rtl/>
        </w:rPr>
        <w:t xml:space="preserve"> לחוק, בהן הורשע הנאשם, מצויות במדרג החומרה הגבוה ביותר מכלל עבירות הנשק, כשהן נעשות ללא שימוש בנשק. זאת משום שפוטנציאל הנזק שעלול היה להיגרם ממכירת כלי הנשק על ידי הנאשם הוא עצום. הנאשם לא ידע כי הוא מוכר את הנשק לסוכן משטרתי, ובנקל יכולים היו כלי הנשק להתגלגל לידי ידיים עברייניות, ומשם קצרה הדרך לפגיעה בחיי אדם, על רקע לאומני או פלילי. תמורת הנשק הועברו לידי הנאשם סכומים של עשרות אלפי שקלים, הגם שהוא עצמו שימש אך כמתווך בעסקה וחלקו בה הגיע למאות שקלים.</w:t>
      </w:r>
    </w:p>
    <w:p w14:paraId="5A227772" w14:textId="77777777" w:rsidR="00DF731F" w:rsidRDefault="00DF731F" w:rsidP="00DF731F">
      <w:pPr>
        <w:spacing w:line="360" w:lineRule="auto"/>
        <w:jc w:val="both"/>
        <w:rPr>
          <w:rFonts w:ascii="FrankRuehl" w:hAnsi="FrankRuehl" w:cs="FrankRuehl"/>
          <w:sz w:val="28"/>
          <w:szCs w:val="28"/>
          <w:rtl/>
        </w:rPr>
      </w:pPr>
    </w:p>
    <w:p w14:paraId="774D3BB5" w14:textId="77777777" w:rsidR="00DF731F" w:rsidRPr="00B44E90" w:rsidRDefault="00DF731F" w:rsidP="00DF731F">
      <w:pPr>
        <w:spacing w:after="160" w:line="360" w:lineRule="auto"/>
        <w:jc w:val="both"/>
        <w:rPr>
          <w:rFonts w:cs="Times New Roman"/>
          <w:color w:val="000000"/>
          <w:sz w:val="27"/>
          <w:szCs w:val="27"/>
        </w:rPr>
      </w:pPr>
      <w:r>
        <w:rPr>
          <w:rFonts w:ascii="FrankRuehl" w:hAnsi="FrankRuehl" w:cs="FrankRuehl" w:hint="cs"/>
          <w:color w:val="000000"/>
          <w:sz w:val="28"/>
          <w:szCs w:val="28"/>
          <w:rtl/>
        </w:rPr>
        <w:t>29.</w:t>
      </w:r>
      <w:r>
        <w:rPr>
          <w:rFonts w:ascii="FrankRuehl" w:hAnsi="FrankRuehl" w:cs="FrankRuehl" w:hint="cs"/>
          <w:color w:val="000000"/>
          <w:sz w:val="28"/>
          <w:szCs w:val="28"/>
          <w:rtl/>
        </w:rPr>
        <w:tab/>
      </w:r>
      <w:r w:rsidRPr="009667E6">
        <w:rPr>
          <w:rFonts w:ascii="FrankRuehl" w:hAnsi="FrankRuehl" w:cs="FrankRuehl"/>
          <w:color w:val="000000"/>
          <w:sz w:val="28"/>
          <w:szCs w:val="28"/>
          <w:rtl/>
        </w:rPr>
        <w:t>בחינת מדיניות הענישה הנוהגת מעלה מנעד רחב של עונשים בעבירות נשק שונות, אשר נגזרים, בין היתר, מנסיבות ביצוע העבירה, בכלל זה סוג הנשק, היקף העסקאות, הצדדים לעסקה ועוד, ולצד זאת הנסיבות האישיות השונות של העבריין.</w:t>
      </w:r>
    </w:p>
    <w:p w14:paraId="68F89326" w14:textId="77777777" w:rsidR="00DF731F" w:rsidRDefault="00DF731F" w:rsidP="00DF731F">
      <w:pPr>
        <w:pStyle w:val="a9"/>
        <w:numPr>
          <w:ilvl w:val="0"/>
          <w:numId w:val="2"/>
        </w:numPr>
        <w:bidi/>
        <w:spacing w:line="360" w:lineRule="auto"/>
        <w:jc w:val="both"/>
        <w:rPr>
          <w:rFonts w:ascii="FrankRuehl" w:hAnsi="FrankRuehl" w:cs="FrankRuehl"/>
          <w:sz w:val="28"/>
          <w:szCs w:val="28"/>
        </w:rPr>
      </w:pPr>
      <w:r>
        <w:rPr>
          <w:rFonts w:ascii="FrankRuehl" w:hAnsi="FrankRuehl" w:cs="FrankRuehl" w:hint="cs"/>
          <w:sz w:val="28"/>
          <w:szCs w:val="28"/>
          <w:rtl/>
        </w:rPr>
        <w:t>ב</w:t>
      </w:r>
      <w:hyperlink r:id="rId48" w:history="1">
        <w:r w:rsidR="007E72A6" w:rsidRPr="007E72A6">
          <w:rPr>
            <w:rFonts w:ascii="FrankRuehl" w:hAnsi="FrankRuehl" w:cs="FrankRuehl"/>
            <w:color w:val="0000FF"/>
            <w:sz w:val="28"/>
            <w:szCs w:val="28"/>
            <w:u w:val="single"/>
            <w:rtl/>
          </w:rPr>
          <w:t>ע"פ 5602/22</w:t>
        </w:r>
      </w:hyperlink>
      <w:r>
        <w:rPr>
          <w:rFonts w:ascii="FrankRuehl" w:hAnsi="FrankRuehl" w:cs="FrankRuehl" w:hint="cs"/>
          <w:sz w:val="28"/>
          <w:szCs w:val="28"/>
          <w:rtl/>
        </w:rPr>
        <w:t xml:space="preserve"> בעניין </w:t>
      </w:r>
      <w:r w:rsidRPr="00BB1B58">
        <w:rPr>
          <w:rFonts w:ascii="FrankRuehl" w:hAnsi="FrankRuehl" w:cs="FrankRuehl" w:hint="cs"/>
          <w:b/>
          <w:bCs/>
          <w:sz w:val="28"/>
          <w:szCs w:val="28"/>
          <w:rtl/>
        </w:rPr>
        <w:t>פלוני</w:t>
      </w:r>
      <w:r w:rsidRPr="00B44E90">
        <w:rPr>
          <w:rFonts w:ascii="FrankRuehl" w:hAnsi="FrankRuehl" w:cs="FrankRuehl" w:hint="cs"/>
          <w:sz w:val="28"/>
          <w:szCs w:val="28"/>
          <w:rtl/>
        </w:rPr>
        <w:t xml:space="preserve"> קבע בית המשפט כי מתחם העונש ההולם בגין נשיאה בלתי חוקית של נשק חם במרחב הציבורי נע בין 30 ל-42 חודשי מאסר בפועל</w:t>
      </w:r>
      <w:r>
        <w:rPr>
          <w:rFonts w:ascii="FrankRuehl" w:hAnsi="FrankRuehl" w:cs="FrankRuehl" w:hint="cs"/>
          <w:sz w:val="28"/>
          <w:szCs w:val="28"/>
          <w:rtl/>
        </w:rPr>
        <w:t>.</w:t>
      </w:r>
    </w:p>
    <w:p w14:paraId="23321783" w14:textId="77777777" w:rsidR="00DF731F" w:rsidRDefault="00DF731F" w:rsidP="00DF731F">
      <w:pPr>
        <w:pStyle w:val="a9"/>
        <w:numPr>
          <w:ilvl w:val="0"/>
          <w:numId w:val="2"/>
        </w:numPr>
        <w:bidi/>
        <w:spacing w:line="360" w:lineRule="auto"/>
        <w:jc w:val="both"/>
        <w:rPr>
          <w:rFonts w:ascii="FrankRuehl" w:hAnsi="FrankRuehl" w:cs="FrankRuehl"/>
          <w:sz w:val="28"/>
          <w:szCs w:val="28"/>
        </w:rPr>
      </w:pPr>
      <w:r w:rsidRPr="00B44E90">
        <w:rPr>
          <w:rFonts w:ascii="FrankRuehl" w:hAnsi="FrankRuehl" w:cs="FrankRuehl" w:hint="cs"/>
          <w:color w:val="000000"/>
          <w:sz w:val="28"/>
          <w:szCs w:val="28"/>
          <w:shd w:val="clear" w:color="auto" w:fill="FFFFFF"/>
          <w:rtl/>
        </w:rPr>
        <w:t>ב</w:t>
      </w:r>
      <w:hyperlink r:id="rId49" w:history="1">
        <w:r w:rsidR="007E72A6" w:rsidRPr="007E72A6">
          <w:rPr>
            <w:rFonts w:ascii="FrankRuehl" w:hAnsi="FrankRuehl" w:cs="FrankRuehl"/>
            <w:color w:val="0000FF"/>
            <w:sz w:val="28"/>
            <w:szCs w:val="28"/>
            <w:u w:val="single"/>
            <w:shd w:val="clear" w:color="auto" w:fill="FFFFFF"/>
            <w:rtl/>
          </w:rPr>
          <w:t>ע"פ 6383/21</w:t>
        </w:r>
      </w:hyperlink>
      <w:r w:rsidR="007E72A6">
        <w:rPr>
          <w:rFonts w:ascii="FrankRuehl" w:hAnsi="FrankRuehl" w:cs="FrankRuehl"/>
          <w:color w:val="000000"/>
          <w:sz w:val="28"/>
          <w:szCs w:val="28"/>
          <w:rtl/>
        </w:rPr>
        <w:t xml:space="preserve"> </w:t>
      </w:r>
      <w:r w:rsidRPr="00B44E90">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B44E90">
        <w:rPr>
          <w:rFonts w:ascii="FrankRuehl" w:hAnsi="FrankRuehl" w:cs="FrankRuehl"/>
          <w:b/>
          <w:bCs/>
          <w:color w:val="000000"/>
          <w:sz w:val="28"/>
          <w:szCs w:val="28"/>
          <w:rtl/>
        </w:rPr>
        <w:t>קריף</w:t>
      </w:r>
      <w:r w:rsidRPr="00B44E90">
        <w:rPr>
          <w:rFonts w:ascii="FrankRuehl" w:hAnsi="FrankRuehl" w:cs="FrankRuehl"/>
          <w:color w:val="000000"/>
          <w:sz w:val="28"/>
          <w:szCs w:val="28"/>
          <w:rtl/>
        </w:rPr>
        <w:t xml:space="preserve">, אושר עונש של 36 חודש לנאשם שהורשע בעבירה אחת של עסקה אחרת בנשק. </w:t>
      </w:r>
    </w:p>
    <w:p w14:paraId="53BCB5FC" w14:textId="77777777" w:rsidR="00DF731F" w:rsidRPr="00B44E90" w:rsidRDefault="00DF731F" w:rsidP="00DF731F">
      <w:pPr>
        <w:pStyle w:val="a9"/>
        <w:numPr>
          <w:ilvl w:val="0"/>
          <w:numId w:val="2"/>
        </w:numPr>
        <w:bidi/>
        <w:spacing w:line="360" w:lineRule="auto"/>
        <w:jc w:val="both"/>
        <w:rPr>
          <w:rFonts w:ascii="FrankRuehl" w:hAnsi="FrankRuehl" w:cs="FrankRuehl"/>
          <w:sz w:val="28"/>
          <w:szCs w:val="28"/>
          <w:rtl/>
        </w:rPr>
      </w:pPr>
      <w:r w:rsidRPr="00B44E90">
        <w:rPr>
          <w:rFonts w:ascii="FrankRuehl" w:hAnsi="FrankRuehl" w:cs="FrankRuehl" w:hint="cs"/>
          <w:sz w:val="28"/>
          <w:szCs w:val="28"/>
          <w:rtl/>
        </w:rPr>
        <w:t>ב</w:t>
      </w:r>
      <w:hyperlink r:id="rId50" w:history="1">
        <w:r w:rsidR="007E72A6" w:rsidRPr="007E72A6">
          <w:rPr>
            <w:rFonts w:ascii="FrankRuehl" w:hAnsi="FrankRuehl" w:cs="FrankRuehl"/>
            <w:color w:val="0000FF"/>
            <w:sz w:val="28"/>
            <w:szCs w:val="28"/>
            <w:u w:val="single"/>
            <w:rtl/>
          </w:rPr>
          <w:t>ת"פ (מחוזי-חי') 52188-03-22</w:t>
        </w:r>
      </w:hyperlink>
      <w:r w:rsidRPr="00B44E90">
        <w:rPr>
          <w:rFonts w:ascii="FrankRuehl" w:hAnsi="FrankRuehl" w:cs="FrankRuehl" w:hint="cs"/>
          <w:sz w:val="28"/>
          <w:szCs w:val="28"/>
          <w:rtl/>
        </w:rPr>
        <w:t xml:space="preserve"> </w:t>
      </w:r>
      <w:r w:rsidRPr="00990710">
        <w:rPr>
          <w:rFonts w:ascii="FrankRuehl" w:hAnsi="FrankRuehl" w:cs="FrankRuehl" w:hint="cs"/>
          <w:b/>
          <w:bCs/>
          <w:sz w:val="28"/>
          <w:szCs w:val="28"/>
          <w:rtl/>
        </w:rPr>
        <w:t xml:space="preserve">מדינת ישראל נ' כבהה </w:t>
      </w:r>
      <w:r>
        <w:rPr>
          <w:rFonts w:ascii="FrankRuehl" w:hAnsi="FrankRuehl" w:cs="FrankRuehl" w:hint="cs"/>
          <w:sz w:val="28"/>
          <w:szCs w:val="28"/>
          <w:rtl/>
        </w:rPr>
        <w:t xml:space="preserve">(18.10.22) </w:t>
      </w:r>
      <w:r w:rsidRPr="00B44E90">
        <w:rPr>
          <w:rFonts w:ascii="FrankRuehl" w:hAnsi="FrankRuehl" w:cs="FrankRuehl" w:hint="cs"/>
          <w:sz w:val="28"/>
          <w:szCs w:val="28"/>
          <w:rtl/>
        </w:rPr>
        <w:t xml:space="preserve">נקבע </w:t>
      </w:r>
      <w:r>
        <w:rPr>
          <w:rFonts w:ascii="FrankRuehl" w:hAnsi="FrankRuehl" w:cs="FrankRuehl" w:hint="cs"/>
          <w:sz w:val="28"/>
          <w:szCs w:val="28"/>
          <w:rtl/>
        </w:rPr>
        <w:t>מ</w:t>
      </w:r>
      <w:r w:rsidRPr="00B44E90">
        <w:rPr>
          <w:rFonts w:ascii="FrankRuehl" w:hAnsi="FrankRuehl" w:cs="FrankRuehl" w:hint="cs"/>
          <w:sz w:val="28"/>
          <w:szCs w:val="28"/>
          <w:rtl/>
        </w:rPr>
        <w:t xml:space="preserve">תחם של 5 עד 8 שנות מאסר </w:t>
      </w:r>
      <w:r>
        <w:rPr>
          <w:rFonts w:ascii="FrankRuehl" w:hAnsi="FrankRuehl" w:cs="FrankRuehl" w:hint="cs"/>
          <w:sz w:val="28"/>
          <w:szCs w:val="28"/>
          <w:rtl/>
        </w:rPr>
        <w:t>בגין א</w:t>
      </w:r>
      <w:r w:rsidRPr="00B44E90">
        <w:rPr>
          <w:rFonts w:ascii="FrankRuehl" w:hAnsi="FrankRuehl" w:cs="FrankRuehl" w:hint="cs"/>
          <w:sz w:val="28"/>
          <w:szCs w:val="28"/>
          <w:rtl/>
        </w:rPr>
        <w:t>רבע עבירות של סחר בנשק ו</w:t>
      </w:r>
      <w:r>
        <w:rPr>
          <w:rFonts w:ascii="FrankRuehl" w:hAnsi="FrankRuehl" w:cs="FrankRuehl" w:hint="cs"/>
          <w:sz w:val="28"/>
          <w:szCs w:val="28"/>
          <w:rtl/>
        </w:rPr>
        <w:t>א</w:t>
      </w:r>
      <w:r w:rsidRPr="00B44E90">
        <w:rPr>
          <w:rFonts w:ascii="FrankRuehl" w:hAnsi="FrankRuehl" w:cs="FrankRuehl" w:hint="cs"/>
          <w:sz w:val="28"/>
          <w:szCs w:val="28"/>
          <w:rtl/>
        </w:rPr>
        <w:t>רבע עבירות של הח</w:t>
      </w:r>
      <w:r>
        <w:rPr>
          <w:rFonts w:ascii="FrankRuehl" w:hAnsi="FrankRuehl" w:cs="FrankRuehl" w:hint="cs"/>
          <w:sz w:val="28"/>
          <w:szCs w:val="28"/>
          <w:rtl/>
        </w:rPr>
        <w:t>ז</w:t>
      </w:r>
      <w:r w:rsidRPr="00B44E90">
        <w:rPr>
          <w:rFonts w:ascii="FrankRuehl" w:hAnsi="FrankRuehl" w:cs="FrankRuehl" w:hint="cs"/>
          <w:sz w:val="28"/>
          <w:szCs w:val="28"/>
          <w:rtl/>
        </w:rPr>
        <w:t xml:space="preserve">קת נשק ונשיאתו. </w:t>
      </w:r>
    </w:p>
    <w:p w14:paraId="099E63A2" w14:textId="77777777" w:rsidR="00DF731F" w:rsidRDefault="00DF731F" w:rsidP="00DF731F">
      <w:pPr>
        <w:pStyle w:val="a9"/>
        <w:numPr>
          <w:ilvl w:val="0"/>
          <w:numId w:val="2"/>
        </w:numPr>
        <w:bidi/>
        <w:spacing w:after="160" w:line="360" w:lineRule="auto"/>
        <w:jc w:val="both"/>
        <w:rPr>
          <w:rFonts w:ascii="FrankRuehl" w:hAnsi="FrankRuehl" w:cs="FrankRuehl"/>
          <w:color w:val="000000"/>
          <w:sz w:val="28"/>
          <w:szCs w:val="28"/>
          <w:shd w:val="clear" w:color="auto" w:fill="FFFFFF"/>
        </w:rPr>
      </w:pPr>
      <w:r w:rsidRPr="00990710">
        <w:rPr>
          <w:rFonts w:ascii="FrankRuehl" w:hAnsi="FrankRuehl" w:cs="FrankRuehl" w:hint="cs"/>
          <w:sz w:val="28"/>
          <w:szCs w:val="28"/>
          <w:rtl/>
        </w:rPr>
        <w:t>ב</w:t>
      </w:r>
      <w:hyperlink r:id="rId51" w:history="1">
        <w:r w:rsidR="007E72A6" w:rsidRPr="007E72A6">
          <w:rPr>
            <w:rFonts w:ascii="FrankRuehl" w:hAnsi="FrankRuehl" w:cs="FrankRuehl"/>
            <w:color w:val="0000FF"/>
            <w:sz w:val="28"/>
            <w:szCs w:val="28"/>
            <w:u w:val="single"/>
            <w:rtl/>
          </w:rPr>
          <w:t>ת"פ (מחוזי-י-ם) 16161-04-21</w:t>
        </w:r>
      </w:hyperlink>
      <w:r w:rsidRPr="00990710">
        <w:rPr>
          <w:rFonts w:ascii="FrankRuehl" w:hAnsi="FrankRuehl" w:cs="FrankRuehl" w:hint="cs"/>
          <w:sz w:val="28"/>
          <w:szCs w:val="28"/>
          <w:rtl/>
        </w:rPr>
        <w:t xml:space="preserve"> </w:t>
      </w:r>
      <w:r w:rsidRPr="00990710">
        <w:rPr>
          <w:rFonts w:ascii="FrankRuehl" w:hAnsi="FrankRuehl" w:cs="FrankRuehl" w:hint="cs"/>
          <w:b/>
          <w:bCs/>
          <w:sz w:val="28"/>
          <w:szCs w:val="28"/>
          <w:rtl/>
        </w:rPr>
        <w:t>מדינת ישראל נ' ג'ולאני</w:t>
      </w:r>
      <w:r w:rsidRPr="00990710">
        <w:rPr>
          <w:rFonts w:ascii="FrankRuehl" w:hAnsi="FrankRuehl" w:cs="FrankRuehl" w:hint="cs"/>
          <w:sz w:val="28"/>
          <w:szCs w:val="28"/>
          <w:rtl/>
        </w:rPr>
        <w:t xml:space="preserve"> (12.04.22) נקבע מתחם של 5 עד 8 שנות מאסר בגין שלוש עסקאות נשק שנערכו עם סוכן משטרתי. וראו הסקירה הנרחבת שם של הפסיקה הנוהגת. </w:t>
      </w:r>
    </w:p>
    <w:p w14:paraId="1C610496" w14:textId="77777777" w:rsidR="00DF731F" w:rsidRPr="00990710" w:rsidRDefault="00DF731F" w:rsidP="00DF731F">
      <w:pPr>
        <w:pStyle w:val="a9"/>
        <w:numPr>
          <w:ilvl w:val="0"/>
          <w:numId w:val="2"/>
        </w:numPr>
        <w:bidi/>
        <w:spacing w:after="160" w:line="360" w:lineRule="auto"/>
        <w:jc w:val="both"/>
        <w:rPr>
          <w:rFonts w:ascii="FrankRuehl" w:hAnsi="FrankRuehl" w:cs="FrankRuehl"/>
          <w:color w:val="000000"/>
          <w:sz w:val="28"/>
          <w:szCs w:val="28"/>
          <w:shd w:val="clear" w:color="auto" w:fill="FFFFFF"/>
          <w:rtl/>
        </w:rPr>
      </w:pPr>
      <w:r w:rsidRPr="00990710">
        <w:rPr>
          <w:rFonts w:ascii="FrankRuehl" w:hAnsi="FrankRuehl" w:cs="FrankRuehl" w:hint="cs"/>
          <w:color w:val="000000"/>
          <w:sz w:val="28"/>
          <w:szCs w:val="28"/>
          <w:shd w:val="clear" w:color="auto" w:fill="FFFFFF"/>
          <w:rtl/>
        </w:rPr>
        <w:t>ב</w:t>
      </w:r>
      <w:hyperlink r:id="rId52" w:history="1">
        <w:r w:rsidR="007E72A6" w:rsidRPr="007E72A6">
          <w:rPr>
            <w:rFonts w:ascii="FrankRuehl" w:hAnsi="FrankRuehl" w:cs="FrankRuehl"/>
            <w:color w:val="0000FF"/>
            <w:sz w:val="28"/>
            <w:szCs w:val="28"/>
            <w:u w:val="single"/>
            <w:shd w:val="clear" w:color="auto" w:fill="FFFFFF"/>
            <w:rtl/>
          </w:rPr>
          <w:t>ע"פ 500/21</w:t>
        </w:r>
      </w:hyperlink>
      <w:r w:rsidR="007E72A6">
        <w:rPr>
          <w:rFonts w:ascii="FrankRuehl" w:hAnsi="FrankRuehl" w:cs="FrankRuehl"/>
          <w:b/>
          <w:bCs/>
          <w:color w:val="000000"/>
          <w:sz w:val="28"/>
          <w:szCs w:val="28"/>
          <w:rtl/>
        </w:rPr>
        <w:t xml:space="preserve"> </w:t>
      </w:r>
      <w:r w:rsidRPr="00990710">
        <w:rPr>
          <w:rFonts w:ascii="FrankRuehl" w:hAnsi="FrankRuehl" w:cs="FrankRuehl"/>
          <w:b/>
          <w:bCs/>
          <w:color w:val="000000"/>
          <w:sz w:val="28"/>
          <w:szCs w:val="28"/>
          <w:rtl/>
        </w:rPr>
        <w:t>פלוני נ' מדינת ישראל</w:t>
      </w:r>
      <w:r w:rsidR="007E72A6">
        <w:rPr>
          <w:rFonts w:ascii="FrankRuehl" w:hAnsi="FrankRuehl" w:cs="FrankRuehl"/>
          <w:b/>
          <w:bCs/>
          <w:color w:val="000000"/>
          <w:sz w:val="28"/>
          <w:szCs w:val="28"/>
          <w:rtl/>
        </w:rPr>
        <w:t xml:space="preserve"> </w:t>
      </w:r>
      <w:r w:rsidRPr="00990710">
        <w:rPr>
          <w:rFonts w:ascii="FrankRuehl" w:hAnsi="FrankRuehl" w:cs="FrankRuehl"/>
          <w:color w:val="000000"/>
          <w:sz w:val="28"/>
          <w:szCs w:val="28"/>
          <w:rtl/>
        </w:rPr>
        <w:t>(31.</w:t>
      </w:r>
      <w:r w:rsidRPr="00990710">
        <w:rPr>
          <w:rFonts w:ascii="FrankRuehl" w:hAnsi="FrankRuehl" w:cs="FrankRuehl" w:hint="cs"/>
          <w:color w:val="000000"/>
          <w:sz w:val="28"/>
          <w:szCs w:val="28"/>
          <w:rtl/>
        </w:rPr>
        <w:t>0</w:t>
      </w:r>
      <w:r w:rsidRPr="00990710">
        <w:rPr>
          <w:rFonts w:ascii="FrankRuehl" w:hAnsi="FrankRuehl" w:cs="FrankRuehl"/>
          <w:color w:val="000000"/>
          <w:sz w:val="28"/>
          <w:szCs w:val="28"/>
          <w:rtl/>
        </w:rPr>
        <w:t>5.21), אושר עונש של 50 חודשים בגין שתי עבירות של סחר בנשק לסוכן משטרתי</w:t>
      </w:r>
      <w:r w:rsidRPr="00990710">
        <w:rPr>
          <w:rFonts w:ascii="FrankRuehl" w:hAnsi="FrankRuehl" w:cs="FrankRuehl" w:hint="cs"/>
          <w:color w:val="000000"/>
          <w:sz w:val="28"/>
          <w:szCs w:val="28"/>
          <w:rtl/>
        </w:rPr>
        <w:t>.</w:t>
      </w:r>
    </w:p>
    <w:p w14:paraId="50F9B3F3" w14:textId="77777777" w:rsidR="00DF731F" w:rsidRPr="00325904" w:rsidRDefault="00DF731F" w:rsidP="00DF731F">
      <w:pPr>
        <w:pStyle w:val="a9"/>
        <w:numPr>
          <w:ilvl w:val="0"/>
          <w:numId w:val="2"/>
        </w:numPr>
        <w:bidi/>
        <w:spacing w:after="160" w:line="360" w:lineRule="auto"/>
        <w:jc w:val="both"/>
        <w:rPr>
          <w:color w:val="000000"/>
          <w:sz w:val="27"/>
          <w:szCs w:val="27"/>
        </w:rPr>
      </w:pPr>
      <w:r w:rsidRPr="00990710">
        <w:rPr>
          <w:rFonts w:ascii="FrankRuehl" w:hAnsi="FrankRuehl" w:cs="FrankRuehl"/>
          <w:color w:val="000000"/>
          <w:sz w:val="28"/>
          <w:szCs w:val="28"/>
          <w:shd w:val="clear" w:color="auto" w:fill="FFFFFF"/>
          <w:rtl/>
        </w:rPr>
        <w:t>בע"פ 7973/20</w:t>
      </w:r>
      <w:r w:rsidR="007E72A6">
        <w:rPr>
          <w:rFonts w:ascii="FrankRuehl" w:hAnsi="FrankRuehl" w:cs="FrankRuehl"/>
          <w:b/>
          <w:bCs/>
          <w:color w:val="000000"/>
          <w:sz w:val="28"/>
          <w:szCs w:val="28"/>
          <w:rtl/>
        </w:rPr>
        <w:t xml:space="preserve"> </w:t>
      </w:r>
      <w:r w:rsidRPr="00990710">
        <w:rPr>
          <w:rFonts w:ascii="FrankRuehl" w:hAnsi="FrankRuehl" w:cs="FrankRuehl"/>
          <w:b/>
          <w:bCs/>
          <w:color w:val="000000"/>
          <w:sz w:val="28"/>
          <w:szCs w:val="28"/>
          <w:rtl/>
        </w:rPr>
        <w:t>מורייחי נ' מדינת ישראל</w:t>
      </w:r>
      <w:r w:rsidR="007E72A6">
        <w:rPr>
          <w:rFonts w:ascii="FrankRuehl" w:hAnsi="FrankRuehl" w:cs="FrankRuehl"/>
          <w:b/>
          <w:bCs/>
          <w:color w:val="000000"/>
          <w:sz w:val="28"/>
          <w:szCs w:val="28"/>
          <w:rtl/>
        </w:rPr>
        <w:t xml:space="preserve"> </w:t>
      </w:r>
      <w:r w:rsidRPr="00990710">
        <w:rPr>
          <w:rFonts w:ascii="FrankRuehl" w:hAnsi="FrankRuehl" w:cs="FrankRuehl"/>
          <w:color w:val="000000"/>
          <w:sz w:val="28"/>
          <w:szCs w:val="28"/>
          <w:rtl/>
        </w:rPr>
        <w:t>(23.11.20) אושר עונש של 30 חודשי מאסר בגין הרשעה בעבירה אחת של ניסיון לעסקה אחרת בנשק</w:t>
      </w:r>
      <w:r w:rsidRPr="00990710">
        <w:rPr>
          <w:rFonts w:ascii="FrankRuehl" w:hAnsi="FrankRuehl" w:cs="FrankRuehl" w:hint="cs"/>
          <w:color w:val="000000"/>
          <w:sz w:val="28"/>
          <w:szCs w:val="28"/>
          <w:rtl/>
        </w:rPr>
        <w:t>.</w:t>
      </w:r>
      <w:r w:rsidRPr="00325904">
        <w:rPr>
          <w:rFonts w:ascii="FrankRuehl" w:hAnsi="FrankRuehl" w:cs="FrankRuehl"/>
          <w:color w:val="000000"/>
          <w:sz w:val="28"/>
          <w:szCs w:val="28"/>
          <w:rtl/>
        </w:rPr>
        <w:t xml:space="preserve"> </w:t>
      </w:r>
    </w:p>
    <w:p w14:paraId="167959BB" w14:textId="77777777" w:rsidR="00DF731F" w:rsidRPr="00990710" w:rsidRDefault="00DF731F" w:rsidP="00DF731F">
      <w:pPr>
        <w:pStyle w:val="a9"/>
        <w:numPr>
          <w:ilvl w:val="0"/>
          <w:numId w:val="2"/>
        </w:numPr>
        <w:bidi/>
        <w:spacing w:after="160" w:line="360" w:lineRule="auto"/>
        <w:jc w:val="both"/>
        <w:rPr>
          <w:color w:val="000000"/>
          <w:sz w:val="27"/>
          <w:szCs w:val="27"/>
          <w:rtl/>
        </w:rPr>
      </w:pPr>
      <w:r w:rsidRPr="00680DD3">
        <w:rPr>
          <w:rFonts w:ascii="FrankRuehl" w:hAnsi="FrankRuehl" w:cs="FrankRuehl"/>
          <w:color w:val="000000"/>
          <w:sz w:val="28"/>
          <w:szCs w:val="28"/>
          <w:rtl/>
        </w:rPr>
        <w:t>ב</w:t>
      </w:r>
      <w:hyperlink r:id="rId53" w:history="1">
        <w:r w:rsidR="007E72A6" w:rsidRPr="007E72A6">
          <w:rPr>
            <w:rFonts w:ascii="FrankRuehl" w:hAnsi="FrankRuehl" w:cs="FrankRuehl"/>
            <w:color w:val="0000FF"/>
            <w:sz w:val="28"/>
            <w:szCs w:val="28"/>
            <w:u w:val="single"/>
            <w:rtl/>
          </w:rPr>
          <w:t>ת"פ (מחוזי-י-ם) 66430-05-20</w:t>
        </w:r>
      </w:hyperlink>
      <w:r>
        <w:rPr>
          <w:rFonts w:ascii="FrankRuehl" w:hAnsi="FrankRuehl" w:cs="FrankRuehl" w:hint="cs"/>
          <w:b/>
          <w:bCs/>
          <w:color w:val="000000"/>
          <w:sz w:val="28"/>
          <w:szCs w:val="28"/>
          <w:rtl/>
        </w:rPr>
        <w:t xml:space="preserve"> </w:t>
      </w:r>
      <w:r w:rsidRPr="00680DD3">
        <w:rPr>
          <w:rFonts w:ascii="FrankRuehl" w:hAnsi="FrankRuehl" w:cs="FrankRuehl"/>
          <w:b/>
          <w:bCs/>
          <w:color w:val="000000"/>
          <w:sz w:val="28"/>
          <w:szCs w:val="28"/>
          <w:rtl/>
        </w:rPr>
        <w:t>מדינת ישראל נ' נסאר</w:t>
      </w:r>
      <w:r w:rsidR="007E72A6">
        <w:rPr>
          <w:rFonts w:ascii="FrankRuehl" w:hAnsi="FrankRuehl" w:cs="FrankRuehl"/>
          <w:b/>
          <w:bCs/>
          <w:color w:val="000000"/>
          <w:sz w:val="28"/>
          <w:szCs w:val="28"/>
          <w:rtl/>
        </w:rPr>
        <w:t xml:space="preserve"> </w:t>
      </w:r>
      <w:r w:rsidRPr="00680DD3">
        <w:rPr>
          <w:rFonts w:ascii="FrankRuehl" w:hAnsi="FrankRuehl" w:cs="FrankRuehl"/>
          <w:color w:val="000000"/>
          <w:sz w:val="28"/>
          <w:szCs w:val="28"/>
          <w:rtl/>
        </w:rPr>
        <w:t xml:space="preserve">(15.11.20) נקבע מתחם שנע בין 20 ועד ל-40 חודשי מאסר בפועל, </w:t>
      </w:r>
      <w:r>
        <w:rPr>
          <w:rFonts w:ascii="FrankRuehl" w:hAnsi="FrankRuehl" w:cs="FrankRuehl" w:hint="cs"/>
          <w:color w:val="000000"/>
          <w:sz w:val="28"/>
          <w:szCs w:val="28"/>
          <w:rtl/>
        </w:rPr>
        <w:t>בגין מ</w:t>
      </w:r>
      <w:r w:rsidRPr="00680DD3">
        <w:rPr>
          <w:rFonts w:ascii="FrankRuehl" w:hAnsi="FrankRuehl" w:cs="FrankRuehl"/>
          <w:color w:val="000000"/>
          <w:sz w:val="28"/>
          <w:szCs w:val="28"/>
          <w:rtl/>
        </w:rPr>
        <w:t>כירת אקדח ותחמושת, ועל הנאשם נגזרו 24 חודשי מאסר בפועל, לצד מאסר על תנאי וקנס בסך 5,000 ₪.</w:t>
      </w:r>
    </w:p>
    <w:p w14:paraId="4874165A" w14:textId="77777777" w:rsidR="00DF731F" w:rsidRPr="00990710" w:rsidRDefault="00DF731F" w:rsidP="00DF731F">
      <w:pPr>
        <w:pStyle w:val="a9"/>
        <w:numPr>
          <w:ilvl w:val="0"/>
          <w:numId w:val="2"/>
        </w:numPr>
        <w:bidi/>
        <w:spacing w:line="360" w:lineRule="auto"/>
        <w:jc w:val="both"/>
        <w:rPr>
          <w:rFonts w:ascii="FrankRuehl" w:hAnsi="FrankRuehl" w:cs="FrankRuehl"/>
          <w:sz w:val="28"/>
          <w:szCs w:val="28"/>
        </w:rPr>
      </w:pPr>
      <w:r w:rsidRPr="000B2321">
        <w:rPr>
          <w:rFonts w:ascii="FrankRuehl" w:hAnsi="FrankRuehl" w:cs="FrankRuehl" w:hint="cs"/>
          <w:color w:val="000000"/>
          <w:sz w:val="28"/>
          <w:szCs w:val="28"/>
          <w:rtl/>
        </w:rPr>
        <w:t>ב</w:t>
      </w:r>
      <w:hyperlink r:id="rId54" w:history="1">
        <w:r w:rsidR="007E72A6" w:rsidRPr="007E72A6">
          <w:rPr>
            <w:rFonts w:ascii="FrankRuehl" w:hAnsi="FrankRuehl" w:cs="FrankRuehl"/>
            <w:color w:val="0000FF"/>
            <w:sz w:val="28"/>
            <w:szCs w:val="28"/>
            <w:u w:val="single"/>
            <w:rtl/>
          </w:rPr>
          <w:t>ת"פ (מחוזי-י-ם) 58524-11-19</w:t>
        </w:r>
      </w:hyperlink>
      <w:r w:rsidR="007E72A6">
        <w:rPr>
          <w:rFonts w:ascii="FrankRuehl" w:hAnsi="FrankRuehl" w:cs="FrankRuehl"/>
          <w:color w:val="000000"/>
          <w:sz w:val="28"/>
          <w:szCs w:val="28"/>
          <w:rtl/>
        </w:rPr>
        <w:t xml:space="preserve"> </w:t>
      </w:r>
      <w:r w:rsidRPr="000B2321">
        <w:rPr>
          <w:rFonts w:ascii="FrankRuehl" w:hAnsi="FrankRuehl" w:cs="FrankRuehl"/>
          <w:b/>
          <w:bCs/>
          <w:color w:val="000000"/>
          <w:sz w:val="28"/>
          <w:szCs w:val="28"/>
          <w:rtl/>
        </w:rPr>
        <w:t>מדינת ישראל נ' עודה</w:t>
      </w:r>
      <w:r w:rsidR="007E72A6">
        <w:rPr>
          <w:rFonts w:ascii="FrankRuehl" w:hAnsi="FrankRuehl" w:cs="FrankRuehl"/>
          <w:color w:val="000000"/>
          <w:sz w:val="28"/>
          <w:szCs w:val="28"/>
          <w:rtl/>
        </w:rPr>
        <w:t xml:space="preserve"> </w:t>
      </w:r>
      <w:r w:rsidRPr="000B2321">
        <w:rPr>
          <w:rFonts w:ascii="FrankRuehl" w:hAnsi="FrankRuehl" w:cs="FrankRuehl"/>
          <w:color w:val="000000"/>
          <w:sz w:val="28"/>
          <w:szCs w:val="28"/>
          <w:rtl/>
        </w:rPr>
        <w:t xml:space="preserve">(2.12.20), נקבע מתחם שנע בין </w:t>
      </w:r>
      <w:r>
        <w:rPr>
          <w:rFonts w:ascii="FrankRuehl" w:hAnsi="FrankRuehl" w:cs="FrankRuehl" w:hint="cs"/>
          <w:color w:val="000000"/>
          <w:sz w:val="28"/>
          <w:szCs w:val="28"/>
          <w:rtl/>
        </w:rPr>
        <w:t xml:space="preserve">20 ל-40 </w:t>
      </w:r>
      <w:r w:rsidRPr="000B2321">
        <w:rPr>
          <w:rFonts w:ascii="FrankRuehl" w:hAnsi="FrankRuehl" w:cs="FrankRuehl"/>
          <w:color w:val="000000"/>
          <w:sz w:val="28"/>
          <w:szCs w:val="28"/>
          <w:rtl/>
        </w:rPr>
        <w:t>חודש</w:t>
      </w:r>
      <w:r>
        <w:rPr>
          <w:rFonts w:ascii="FrankRuehl" w:hAnsi="FrankRuehl" w:cs="FrankRuehl" w:hint="cs"/>
          <w:color w:val="000000"/>
          <w:sz w:val="28"/>
          <w:szCs w:val="28"/>
          <w:rtl/>
        </w:rPr>
        <w:t>י מאסר</w:t>
      </w:r>
      <w:r w:rsidRPr="000B2321">
        <w:rPr>
          <w:rFonts w:ascii="FrankRuehl" w:hAnsi="FrankRuehl" w:cs="FrankRuehl"/>
          <w:color w:val="000000"/>
          <w:sz w:val="28"/>
          <w:szCs w:val="28"/>
          <w:rtl/>
        </w:rPr>
        <w:t>, לגבי עבירת סחר בודד באקדח שנמכר לסוכן משטרה</w:t>
      </w:r>
      <w:r w:rsidRPr="000B2321">
        <w:rPr>
          <w:rFonts w:ascii="FrankRuehl" w:hAnsi="FrankRuehl" w:cs="FrankRuehl" w:hint="cs"/>
          <w:color w:val="000000"/>
          <w:sz w:val="28"/>
          <w:szCs w:val="28"/>
          <w:rtl/>
        </w:rPr>
        <w:t>.</w:t>
      </w:r>
    </w:p>
    <w:p w14:paraId="288A561C"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color w:val="000000"/>
          <w:sz w:val="28"/>
          <w:szCs w:val="28"/>
          <w:rtl/>
        </w:rPr>
        <w:t>ב</w:t>
      </w:r>
      <w:hyperlink r:id="rId55" w:history="1">
        <w:r w:rsidR="007E72A6" w:rsidRPr="007E72A6">
          <w:rPr>
            <w:rFonts w:ascii="FrankRuehl" w:hAnsi="FrankRuehl" w:cs="FrankRuehl"/>
            <w:color w:val="0000FF"/>
            <w:sz w:val="28"/>
            <w:szCs w:val="28"/>
            <w:u w:val="single"/>
            <w:rtl/>
          </w:rPr>
          <w:t>ת"פ (מחוזי-י-ם) 35608-04-18</w:t>
        </w:r>
      </w:hyperlink>
      <w:r w:rsidRPr="00325904">
        <w:rPr>
          <w:rFonts w:ascii="FrankRuehl" w:hAnsi="FrankRuehl" w:cs="FrankRuehl" w:hint="cs"/>
          <w:b/>
          <w:bCs/>
          <w:color w:val="000000"/>
          <w:sz w:val="28"/>
          <w:szCs w:val="28"/>
          <w:rtl/>
        </w:rPr>
        <w:t xml:space="preserve"> </w:t>
      </w:r>
      <w:r w:rsidRPr="00325904">
        <w:rPr>
          <w:rFonts w:ascii="FrankRuehl" w:hAnsi="FrankRuehl" w:cs="FrankRuehl"/>
          <w:b/>
          <w:bCs/>
          <w:color w:val="000000"/>
          <w:sz w:val="28"/>
          <w:szCs w:val="28"/>
          <w:rtl/>
        </w:rPr>
        <w:t>מדינת ישראל נ' יזן קורד</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(28.</w:t>
      </w:r>
      <w:r w:rsidRPr="00325904">
        <w:rPr>
          <w:rFonts w:ascii="FrankRuehl" w:hAnsi="FrankRuehl" w:cs="FrankRuehl" w:hint="cs"/>
          <w:color w:val="000000"/>
          <w:sz w:val="28"/>
          <w:szCs w:val="28"/>
          <w:rtl/>
        </w:rPr>
        <w:t>0</w:t>
      </w:r>
      <w:r w:rsidRPr="00325904">
        <w:rPr>
          <w:rFonts w:ascii="FrankRuehl" w:hAnsi="FrankRuehl" w:cs="FrankRuehl"/>
          <w:color w:val="000000"/>
          <w:sz w:val="28"/>
          <w:szCs w:val="28"/>
          <w:rtl/>
        </w:rPr>
        <w:t>2.19) הוטלו על נאשם 34 חודשי מאסר בפועל, בגין עסקה לרכישת אקדח ועסקה לרכישת רובה</w:t>
      </w:r>
      <w:r w:rsidR="007E72A6">
        <w:rPr>
          <w:rFonts w:ascii="FrankRuehl" w:hAnsi="FrankRuehl" w:cs="FrankRuehl"/>
          <w:color w:val="000000"/>
          <w:sz w:val="28"/>
          <w:szCs w:val="28"/>
          <w:rtl/>
        </w:rPr>
        <w:t xml:space="preserve"> </w:t>
      </w:r>
      <w:r w:rsidRPr="00325904">
        <w:rPr>
          <w:color w:val="000000"/>
          <w:sz w:val="22"/>
          <w:szCs w:val="22"/>
        </w:rPr>
        <w:t>M</w:t>
      </w:r>
      <w:r w:rsidRPr="00325904">
        <w:rPr>
          <w:rFonts w:ascii="FrankRuehl" w:hAnsi="FrankRuehl" w:cs="FrankRuehl"/>
          <w:color w:val="000000"/>
          <w:sz w:val="28"/>
          <w:szCs w:val="28"/>
        </w:rPr>
        <w:t>-16</w:t>
      </w:r>
      <w:r w:rsidRPr="00325904">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באותו עניין נקבע כי המתחם עבור שתי העבירות נע משנתיים ועד שש שנות מאסר בפועל.</w:t>
      </w:r>
    </w:p>
    <w:p w14:paraId="5E163AB9"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color w:val="000000"/>
          <w:sz w:val="28"/>
          <w:szCs w:val="28"/>
          <w:rtl/>
        </w:rPr>
        <w:t>ב</w:t>
      </w:r>
      <w:hyperlink r:id="rId56" w:history="1">
        <w:r w:rsidR="007E72A6" w:rsidRPr="007E72A6">
          <w:rPr>
            <w:rFonts w:ascii="FrankRuehl" w:hAnsi="FrankRuehl" w:cs="FrankRuehl"/>
            <w:color w:val="0000FF"/>
            <w:sz w:val="28"/>
            <w:szCs w:val="28"/>
            <w:u w:val="single"/>
            <w:rtl/>
          </w:rPr>
          <w:t>ע"פ 2834/18</w:t>
        </w:r>
      </w:hyperlink>
      <w:r w:rsidRPr="00325904">
        <w:rPr>
          <w:rFonts w:ascii="FrankRuehl" w:hAnsi="FrankRuehl" w:cs="FrankRuehl" w:hint="cs"/>
          <w:b/>
          <w:bCs/>
          <w:color w:val="000000"/>
          <w:sz w:val="28"/>
          <w:szCs w:val="28"/>
          <w:rtl/>
        </w:rPr>
        <w:t xml:space="preserve"> </w:t>
      </w:r>
      <w:r w:rsidRPr="00325904">
        <w:rPr>
          <w:rFonts w:ascii="FrankRuehl" w:hAnsi="FrankRuehl" w:cs="FrankRuehl"/>
          <w:b/>
          <w:bCs/>
          <w:color w:val="000000"/>
          <w:sz w:val="28"/>
          <w:szCs w:val="28"/>
          <w:rtl/>
        </w:rPr>
        <w:t>ג'אבר נ' מדינת ישראל</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(15.01.19) אושר עונש של שבע שנות מאסר שהושת על מי שהורשע בשלוש עבירות של סחר בנשק, בעבירה של נשיאת נשק וסחר בסמים מול סוכן משטרתי</w:t>
      </w:r>
      <w:r w:rsidRPr="00325904">
        <w:rPr>
          <w:rFonts w:ascii="FrankRuehl" w:hAnsi="FrankRuehl" w:cs="FrankRuehl" w:hint="cs"/>
          <w:color w:val="000000"/>
          <w:sz w:val="28"/>
          <w:szCs w:val="28"/>
          <w:shd w:val="clear" w:color="auto" w:fill="FFFFFF"/>
          <w:rtl/>
        </w:rPr>
        <w:t>.</w:t>
      </w:r>
      <w:r w:rsidRPr="00325904">
        <w:rPr>
          <w:rFonts w:ascii="FrankRuehl" w:hAnsi="FrankRuehl" w:cs="FrankRuehl" w:hint="cs"/>
          <w:sz w:val="28"/>
          <w:szCs w:val="28"/>
          <w:rtl/>
        </w:rPr>
        <w:t xml:space="preserve"> </w:t>
      </w:r>
    </w:p>
    <w:p w14:paraId="15D7C126"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hint="cs"/>
          <w:color w:val="000000"/>
          <w:sz w:val="28"/>
          <w:szCs w:val="28"/>
          <w:rtl/>
        </w:rPr>
        <w:t>בת</w:t>
      </w:r>
      <w:r w:rsidRPr="00325904">
        <w:rPr>
          <w:rFonts w:ascii="FrankRuehl" w:hAnsi="FrankRuehl" w:cs="FrankRuehl"/>
          <w:color w:val="000000"/>
          <w:sz w:val="28"/>
          <w:szCs w:val="28"/>
          <w:rtl/>
        </w:rPr>
        <w:t>"פ 50551-03-18</w:t>
      </w:r>
      <w:r w:rsidRPr="00325904">
        <w:rPr>
          <w:rFonts w:ascii="FrankRuehl" w:hAnsi="FrankRuehl" w:cs="FrankRuehl" w:hint="cs"/>
          <w:color w:val="000000"/>
          <w:sz w:val="28"/>
          <w:szCs w:val="28"/>
          <w:rtl/>
        </w:rPr>
        <w:t xml:space="preserve"> </w:t>
      </w:r>
      <w:r w:rsidRPr="00325904">
        <w:rPr>
          <w:rFonts w:ascii="FrankRuehl" w:hAnsi="FrankRuehl" w:cs="FrankRuehl"/>
          <w:color w:val="000000"/>
          <w:sz w:val="28"/>
          <w:szCs w:val="28"/>
          <w:rtl/>
        </w:rPr>
        <w:t>(מחוזי-י-ם)</w:t>
      </w:r>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מדינת ישראל נ' עג'אג'</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 xml:space="preserve">(8.10.18), הורשע נאשם במכירת אקדח ותחמושת לסוכן משטרתי. גם באותו עניין, נקבע מתחם של 20 ועד 40 חודשי מאסר בפועל. </w:t>
      </w:r>
    </w:p>
    <w:p w14:paraId="11197E8A"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hint="cs"/>
          <w:color w:val="000000"/>
          <w:sz w:val="28"/>
          <w:szCs w:val="28"/>
          <w:rtl/>
        </w:rPr>
        <w:t>ב</w:t>
      </w:r>
      <w:hyperlink r:id="rId57" w:history="1">
        <w:r w:rsidR="007E72A6" w:rsidRPr="007E72A6">
          <w:rPr>
            <w:rFonts w:ascii="FrankRuehl" w:hAnsi="FrankRuehl" w:cs="FrankRuehl"/>
            <w:color w:val="0000FF"/>
            <w:sz w:val="28"/>
            <w:szCs w:val="28"/>
            <w:u w:val="single"/>
            <w:rtl/>
          </w:rPr>
          <w:t>ת"פ (מחוזי-י-ם) 56177-03-18</w:t>
        </w:r>
      </w:hyperlink>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מדינת ישראל נ' אלה</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(29.</w:t>
      </w:r>
      <w:r w:rsidRPr="00325904">
        <w:rPr>
          <w:rFonts w:ascii="FrankRuehl" w:hAnsi="FrankRuehl" w:cs="FrankRuehl" w:hint="cs"/>
          <w:color w:val="000000"/>
          <w:sz w:val="28"/>
          <w:szCs w:val="28"/>
          <w:rtl/>
        </w:rPr>
        <w:t>0</w:t>
      </w:r>
      <w:r w:rsidRPr="00325904">
        <w:rPr>
          <w:rFonts w:ascii="FrankRuehl" w:hAnsi="FrankRuehl" w:cs="FrankRuehl"/>
          <w:color w:val="000000"/>
          <w:sz w:val="28"/>
          <w:szCs w:val="28"/>
          <w:rtl/>
        </w:rPr>
        <w:t>4.19)</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נקבע מתחם עונש עבור הרשעה בעבירה בודדת של סחר בנשק שנגעה למכירת אקדח שנע מ-20 עד 40 חודשי מאסר בפועל, זאת</w:t>
      </w:r>
      <w:r w:rsidRPr="00325904">
        <w:rPr>
          <w:rFonts w:hint="cs"/>
          <w:color w:val="000000"/>
          <w:sz w:val="27"/>
          <w:szCs w:val="27"/>
          <w:rtl/>
        </w:rPr>
        <w:t xml:space="preserve"> </w:t>
      </w:r>
      <w:r w:rsidRPr="00325904">
        <w:rPr>
          <w:rFonts w:ascii="FrankRuehl" w:hAnsi="FrankRuehl" w:cs="FrankRuehl"/>
          <w:color w:val="000000"/>
          <w:sz w:val="28"/>
          <w:szCs w:val="28"/>
          <w:rtl/>
        </w:rPr>
        <w:t xml:space="preserve">בעקבות פסק הדין </w:t>
      </w:r>
      <w:r w:rsidRPr="00325904">
        <w:rPr>
          <w:rFonts w:ascii="FrankRuehl" w:hAnsi="FrankRuehl" w:cs="FrankRuehl" w:hint="cs"/>
          <w:color w:val="000000"/>
          <w:sz w:val="28"/>
          <w:szCs w:val="28"/>
          <w:rtl/>
        </w:rPr>
        <w:t>ב</w:t>
      </w:r>
      <w:hyperlink r:id="rId58" w:history="1">
        <w:r w:rsidR="007E72A6" w:rsidRPr="007E72A6">
          <w:rPr>
            <w:rFonts w:ascii="FrankRuehl" w:hAnsi="FrankRuehl" w:cs="FrankRuehl"/>
            <w:color w:val="0000FF"/>
            <w:sz w:val="28"/>
            <w:szCs w:val="28"/>
            <w:u w:val="single"/>
            <w:rtl/>
          </w:rPr>
          <w:t>ע"פ 8045/17</w:t>
        </w:r>
      </w:hyperlink>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בראנסי נ' מדינ</w:t>
      </w:r>
      <w:r w:rsidRPr="00325904">
        <w:rPr>
          <w:rFonts w:ascii="FrankRuehl" w:hAnsi="FrankRuehl" w:cs="FrankRuehl" w:hint="cs"/>
          <w:b/>
          <w:bCs/>
          <w:color w:val="000000"/>
          <w:sz w:val="28"/>
          <w:szCs w:val="28"/>
          <w:rtl/>
        </w:rPr>
        <w:t>ת ישראל</w:t>
      </w:r>
      <w:r w:rsidRPr="00325904">
        <w:rPr>
          <w:rFonts w:ascii="FrankRuehl" w:hAnsi="FrankRuehl" w:cs="FrankRuehl" w:hint="cs"/>
          <w:color w:val="000000"/>
          <w:sz w:val="28"/>
          <w:szCs w:val="28"/>
          <w:rtl/>
        </w:rPr>
        <w:t xml:space="preserve"> (16.08.18). על </w:t>
      </w:r>
      <w:r>
        <w:rPr>
          <w:rFonts w:ascii="FrankRuehl" w:hAnsi="FrankRuehl" w:cs="FrankRuehl" w:hint="cs"/>
          <w:color w:val="000000"/>
          <w:sz w:val="28"/>
          <w:szCs w:val="28"/>
          <w:rtl/>
        </w:rPr>
        <w:t>ה</w:t>
      </w:r>
      <w:r w:rsidRPr="00325904">
        <w:rPr>
          <w:rFonts w:ascii="FrankRuehl" w:hAnsi="FrankRuehl" w:cs="FrankRuehl"/>
          <w:color w:val="000000"/>
          <w:sz w:val="28"/>
          <w:szCs w:val="28"/>
          <w:rtl/>
        </w:rPr>
        <w:t>נאשם נגזרו 33 חודשי מאסר בפועל בגין שתי עבירות</w:t>
      </w:r>
      <w:r w:rsidRPr="00325904">
        <w:rPr>
          <w:rFonts w:hint="cs"/>
          <w:color w:val="000000"/>
          <w:sz w:val="27"/>
          <w:szCs w:val="27"/>
          <w:rtl/>
        </w:rPr>
        <w:t>.</w:t>
      </w:r>
    </w:p>
    <w:p w14:paraId="1A181C4C" w14:textId="77777777" w:rsidR="00DF731F" w:rsidRPr="00680DD3" w:rsidRDefault="00DF731F" w:rsidP="00DF731F">
      <w:pPr>
        <w:spacing w:after="160" w:line="360" w:lineRule="auto"/>
        <w:jc w:val="both"/>
        <w:rPr>
          <w:rFonts w:cs="Times New Roman"/>
          <w:color w:val="000000"/>
          <w:sz w:val="27"/>
          <w:szCs w:val="27"/>
          <w:rtl/>
        </w:rPr>
      </w:pPr>
      <w:r>
        <w:rPr>
          <w:rFonts w:ascii="FrankRuehl" w:hAnsi="FrankRuehl" w:cs="FrankRuehl" w:hint="cs"/>
          <w:color w:val="000000"/>
          <w:sz w:val="28"/>
          <w:szCs w:val="28"/>
          <w:rtl/>
        </w:rPr>
        <w:t>30</w:t>
      </w:r>
      <w:r w:rsidRPr="00680DD3">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680DD3">
        <w:rPr>
          <w:rFonts w:ascii="FrankRuehl" w:hAnsi="FrankRuehl" w:cs="FrankRuehl"/>
          <w:color w:val="000000"/>
          <w:sz w:val="28"/>
          <w:szCs w:val="28"/>
          <w:rtl/>
        </w:rPr>
        <w:t xml:space="preserve"> בשים לב לכל האמור, לאינטרסים המוגנים שנפגעו ומידת</w:t>
      </w:r>
      <w:r>
        <w:rPr>
          <w:rFonts w:ascii="FrankRuehl" w:hAnsi="FrankRuehl" w:cs="FrankRuehl"/>
          <w:color w:val="000000"/>
          <w:sz w:val="28"/>
          <w:szCs w:val="28"/>
          <w:rtl/>
        </w:rPr>
        <w:t xml:space="preserve"> הפגיעה בהם, נסיבות ביצוע העביר</w:t>
      </w:r>
      <w:r>
        <w:rPr>
          <w:rFonts w:ascii="FrankRuehl" w:hAnsi="FrankRuehl" w:cs="FrankRuehl" w:hint="cs"/>
          <w:color w:val="000000"/>
          <w:sz w:val="28"/>
          <w:szCs w:val="28"/>
          <w:rtl/>
        </w:rPr>
        <w:t>ות</w:t>
      </w:r>
      <w:r w:rsidRPr="00680DD3">
        <w:rPr>
          <w:rFonts w:ascii="FrankRuehl" w:hAnsi="FrankRuehl" w:cs="FrankRuehl"/>
          <w:color w:val="000000"/>
          <w:sz w:val="28"/>
          <w:szCs w:val="28"/>
          <w:rtl/>
        </w:rPr>
        <w:t xml:space="preserve"> והפסיקה הנוהגת, אני סבור כי מתחם העונש ההולם מקרה זה בנסיבותיו,</w:t>
      </w:r>
      <w:r>
        <w:rPr>
          <w:rFonts w:ascii="FrankRuehl" w:hAnsi="FrankRuehl" w:cs="FrankRuehl" w:hint="cs"/>
          <w:color w:val="000000"/>
          <w:sz w:val="28"/>
          <w:szCs w:val="28"/>
          <w:rtl/>
        </w:rPr>
        <w:t xml:space="preserve"> בכל הנוגע לעבירות הנשק,</w:t>
      </w:r>
      <w:r w:rsidRPr="00680DD3">
        <w:rPr>
          <w:rFonts w:ascii="FrankRuehl" w:hAnsi="FrankRuehl" w:cs="FrankRuehl"/>
          <w:color w:val="000000"/>
          <w:sz w:val="28"/>
          <w:szCs w:val="28"/>
          <w:rtl/>
        </w:rPr>
        <w:t xml:space="preserve"> נע מ-</w:t>
      </w:r>
      <w:r>
        <w:rPr>
          <w:rFonts w:ascii="FrankRuehl" w:hAnsi="FrankRuehl" w:cs="FrankRuehl" w:hint="cs"/>
          <w:color w:val="000000"/>
          <w:sz w:val="28"/>
          <w:szCs w:val="28"/>
          <w:rtl/>
        </w:rPr>
        <w:t>30</w:t>
      </w:r>
      <w:r>
        <w:rPr>
          <w:rFonts w:ascii="FrankRuehl" w:hAnsi="FrankRuehl" w:cs="FrankRuehl"/>
          <w:color w:val="000000"/>
          <w:sz w:val="28"/>
          <w:szCs w:val="28"/>
          <w:rtl/>
        </w:rPr>
        <w:t xml:space="preserve"> ועד ל-</w:t>
      </w:r>
      <w:r>
        <w:rPr>
          <w:rFonts w:ascii="FrankRuehl" w:hAnsi="FrankRuehl" w:cs="FrankRuehl" w:hint="cs"/>
          <w:color w:val="000000"/>
          <w:sz w:val="28"/>
          <w:szCs w:val="28"/>
          <w:rtl/>
        </w:rPr>
        <w:t>6</w:t>
      </w:r>
      <w:r w:rsidRPr="00680DD3">
        <w:rPr>
          <w:rFonts w:ascii="FrankRuehl" w:hAnsi="FrankRuehl" w:cs="FrankRuehl"/>
          <w:color w:val="000000"/>
          <w:sz w:val="28"/>
          <w:szCs w:val="28"/>
          <w:rtl/>
        </w:rPr>
        <w:t>0 חודשי מאסר, לצד מאסר מותנה וקנס.</w:t>
      </w:r>
    </w:p>
    <w:p w14:paraId="2A0250E0" w14:textId="77777777" w:rsidR="00DF731F" w:rsidRDefault="00DF731F" w:rsidP="00DF731F">
      <w:pPr>
        <w:spacing w:line="360" w:lineRule="auto"/>
        <w:jc w:val="both"/>
        <w:rPr>
          <w:rFonts w:ascii="FrankRuehl" w:hAnsi="FrankRuehl" w:cs="FrankRuehl"/>
          <w:sz w:val="28"/>
          <w:szCs w:val="28"/>
          <w:rtl/>
        </w:rPr>
      </w:pPr>
    </w:p>
    <w:p w14:paraId="35E55CD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ומכאן לנאשם.</w:t>
      </w:r>
    </w:p>
    <w:p w14:paraId="3B289308" w14:textId="77777777" w:rsidR="00DF731F" w:rsidRDefault="00DF731F" w:rsidP="00DF731F">
      <w:pPr>
        <w:spacing w:line="360" w:lineRule="auto"/>
        <w:jc w:val="both"/>
        <w:rPr>
          <w:rFonts w:ascii="FrankRuehl" w:hAnsi="FrankRuehl" w:cs="FrankRuehl"/>
          <w:sz w:val="28"/>
          <w:szCs w:val="28"/>
          <w:rtl/>
        </w:rPr>
      </w:pPr>
    </w:p>
    <w:p w14:paraId="1E9D6057"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31.</w:t>
      </w:r>
      <w:r>
        <w:rPr>
          <w:rFonts w:ascii="FrankRuehl" w:hAnsi="FrankRuehl" w:cs="FrankRuehl" w:hint="cs"/>
          <w:sz w:val="28"/>
          <w:szCs w:val="28"/>
          <w:rtl/>
        </w:rPr>
        <w:tab/>
        <w:t xml:space="preserve">הנאשם יליד 1998, כיום </w:t>
      </w:r>
      <w:r w:rsidRPr="00B57D09">
        <w:rPr>
          <w:rFonts w:ascii="FrankRuehl" w:hAnsi="FrankRuehl" w:cs="FrankRuehl" w:hint="cs"/>
          <w:sz w:val="28"/>
          <w:szCs w:val="28"/>
          <w:rtl/>
        </w:rPr>
        <w:t xml:space="preserve">בן 24, בעברו כאמור 4 הרשעות בעבירות סמים, בכללן גם הרשעה אחת בעבירה של סחר בסמים. הוא ביצע בעבר, בהיותו קטין, גם עבירות אלימות ורכוש. הוא </w:t>
      </w:r>
      <w:r>
        <w:rPr>
          <w:rFonts w:ascii="FrankRuehl" w:hAnsi="FrankRuehl" w:cs="FrankRuehl" w:hint="cs"/>
          <w:sz w:val="28"/>
          <w:szCs w:val="28"/>
          <w:rtl/>
        </w:rPr>
        <w:t xml:space="preserve">ביצע את העבירות מושא הליך זה כשמאסר מותנה של 6 חודשים תלוי ועומד כנגדו. כל אלו יש לזקוף לחובתו. מאידך, הנאשם הודה ונטל אחריות על מעשיו. זאת יש לזקוף לזכותו. </w:t>
      </w:r>
      <w:r>
        <w:rPr>
          <w:rFonts w:ascii="FrankRuehl" w:hAnsi="FrankRuehl" w:cs="FrankRuehl"/>
          <w:sz w:val="28"/>
          <w:szCs w:val="28"/>
          <w:rtl/>
        </w:rPr>
        <w:t>גדילתו בתנאי הזנחה רגשית וחינוכית מבלי שהיה לו גב תומך ומכוון יש לה חלק לא מבוטל, ושמא מכריע, בנפילתו למקומות אליהם הגיע. בכלל זה, התדרדרותו, כבר בגיל צעיר מאוד, לשימוש בסמים, גם סמים קשים. בהעדר גב תומך, גם ניסיונות הגמילה בעבר כשלו.</w:t>
      </w:r>
      <w:r>
        <w:rPr>
          <w:rFonts w:ascii="FrankRuehl" w:hAnsi="FrankRuehl" w:cs="FrankRuehl" w:hint="cs"/>
          <w:sz w:val="28"/>
          <w:szCs w:val="28"/>
          <w:rtl/>
        </w:rPr>
        <w:t xml:space="preserve"> גם נסיבות חייו אלו, מצדיקות הקלה בעונשו.</w:t>
      </w:r>
    </w:p>
    <w:p w14:paraId="1685B98F" w14:textId="77777777" w:rsidR="00DF731F" w:rsidRDefault="00DF731F" w:rsidP="00DF731F">
      <w:pPr>
        <w:spacing w:line="360" w:lineRule="auto"/>
        <w:jc w:val="both"/>
        <w:rPr>
          <w:rFonts w:ascii="FrankRuehl" w:hAnsi="FrankRuehl" w:cs="FrankRuehl"/>
          <w:sz w:val="28"/>
          <w:szCs w:val="28"/>
          <w:rtl/>
        </w:rPr>
      </w:pPr>
    </w:p>
    <w:p w14:paraId="232C4F29"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32.</w:t>
      </w:r>
      <w:r>
        <w:rPr>
          <w:rFonts w:ascii="FrankRuehl" w:hAnsi="FrankRuehl" w:cs="FrankRuehl" w:hint="cs"/>
          <w:sz w:val="28"/>
          <w:szCs w:val="28"/>
          <w:rtl/>
        </w:rPr>
        <w:tab/>
        <w:t xml:space="preserve">ברגיל אפוא, על יסוד עקרון ההלימה שהוא העיקרון המנחה בענישה כמותווה </w:t>
      </w:r>
      <w:hyperlink r:id="rId59" w:history="1">
        <w:r w:rsidR="003409F6" w:rsidRPr="003409F6">
          <w:rPr>
            <w:rStyle w:val="Hyperlink"/>
            <w:rFonts w:ascii="FrankRuehl" w:hAnsi="FrankRuehl" w:cs="FrankRuehl" w:hint="eastAsia"/>
            <w:sz w:val="28"/>
            <w:szCs w:val="28"/>
            <w:rtl/>
          </w:rPr>
          <w:t>בסעיף</w:t>
        </w:r>
        <w:r w:rsidR="003409F6" w:rsidRPr="003409F6">
          <w:rPr>
            <w:rStyle w:val="Hyperlink"/>
            <w:rFonts w:ascii="FrankRuehl" w:hAnsi="FrankRuehl" w:cs="FrankRuehl"/>
            <w:sz w:val="28"/>
            <w:szCs w:val="28"/>
            <w:rtl/>
          </w:rPr>
          <w:t xml:space="preserve"> 40ב'</w:t>
        </w:r>
      </w:hyperlink>
      <w:r>
        <w:rPr>
          <w:rFonts w:ascii="FrankRuehl" w:hAnsi="FrankRuehl" w:cs="FrankRuehl" w:hint="cs"/>
          <w:sz w:val="28"/>
          <w:szCs w:val="28"/>
          <w:rtl/>
        </w:rPr>
        <w:t xml:space="preserve"> לחוק, היה מקום לחפוף חפיפת מה בין שני המתחמים (15 עד 30 חודשי מאסר בגין עבירות הסמים ו-30 עד 60 חודשי מאסר בעבירות הנשק) ולגזור את עונשו בסמוך למחצית המתחם. </w:t>
      </w:r>
    </w:p>
    <w:p w14:paraId="75E591D0" w14:textId="77777777" w:rsidR="00DF731F" w:rsidRDefault="00DF731F" w:rsidP="00DF731F">
      <w:pPr>
        <w:spacing w:line="360" w:lineRule="auto"/>
        <w:jc w:val="both"/>
        <w:rPr>
          <w:rFonts w:ascii="FrankRuehl" w:hAnsi="FrankRuehl" w:cs="FrankRuehl"/>
          <w:sz w:val="28"/>
          <w:szCs w:val="28"/>
          <w:rtl/>
        </w:rPr>
      </w:pPr>
    </w:p>
    <w:p w14:paraId="0317C211"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hint="cs"/>
          <w:sz w:val="28"/>
          <w:szCs w:val="28"/>
          <w:rtl/>
        </w:rPr>
        <w:tab/>
        <w:t xml:space="preserve">ואולם, מקרה זה שונה. במקרה זה הנאשם עבר הליך שיקומי, וגם אם לא נכון לומר כי הוא כבר השתקם לחלוטין, ברי, כפי שעולה מתסקיר שירות המבחן יש סיכוי של ממש שהוא ישלים את הליך השיקום שעבר. כאמור, הנאשם היה מכור לסמים שאת השימוש בהם הוא החל בגיל צעיר מאוד. אלו עמדו בבסיס העבירות שביצע. למעשה, גם עבירות הנשק הן תוצאה של השימוש בסמים, כשהנאשם סחר בנשק מול מי שסחר מולו בסמים, והצורך הכספי של הנאשם נועד למימון השימוש בסמים. בשלב זה, חרף עברו של הנאשם, הוא לא אמר נואש. הוא פתח פתח צר להליך טיפולו, וכשזה נפתח עבורו, תחילה בבית המעצר, ובהמשך בקהילה הטיפולית במלכישוע, הוא צעד בו, על אף הקשיים הרבים הכרוכים בכך. הוא עמד בהצלחה באתגר, וערך שינוי משמעותי בחייו. לאחר מכן, המשיך את התהליך הטיפולי בהוסטל השייך לקהילה. קצין המבחן המליץ על ענישה שלא בבית הסוהר נוכח תהליך זה. </w:t>
      </w:r>
    </w:p>
    <w:p w14:paraId="417CB010" w14:textId="77777777" w:rsidR="00DF731F" w:rsidRDefault="00DF731F" w:rsidP="00DF731F">
      <w:pPr>
        <w:spacing w:line="360" w:lineRule="auto"/>
        <w:jc w:val="both"/>
        <w:rPr>
          <w:rFonts w:ascii="FrankRuehl" w:hAnsi="FrankRuehl" w:cs="FrankRuehl"/>
          <w:sz w:val="28"/>
          <w:szCs w:val="28"/>
          <w:rtl/>
        </w:rPr>
      </w:pPr>
    </w:p>
    <w:p w14:paraId="677B1DE5"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34.</w:t>
      </w:r>
      <w:r>
        <w:rPr>
          <w:rFonts w:ascii="FrankRuehl" w:hAnsi="FrankRuehl" w:cs="FrankRuehl" w:hint="cs"/>
          <w:sz w:val="28"/>
          <w:szCs w:val="28"/>
          <w:rtl/>
        </w:rPr>
        <w:tab/>
        <w:t xml:space="preserve">עובדות אלו מציבות את הנאשם תחת </w:t>
      </w:r>
      <w:hyperlink r:id="rId60" w:history="1">
        <w:r w:rsidR="003409F6" w:rsidRPr="003409F6">
          <w:rPr>
            <w:rStyle w:val="Hyperlink"/>
            <w:rFonts w:ascii="FrankRuehl" w:hAnsi="FrankRuehl" w:cs="FrankRuehl" w:hint="eastAsia"/>
            <w:sz w:val="28"/>
            <w:szCs w:val="28"/>
            <w:rtl/>
          </w:rPr>
          <w:t>סעיף</w:t>
        </w:r>
        <w:r w:rsidR="003409F6" w:rsidRPr="003409F6">
          <w:rPr>
            <w:rStyle w:val="Hyperlink"/>
            <w:rFonts w:ascii="FrankRuehl" w:hAnsi="FrankRuehl" w:cs="FrankRuehl"/>
            <w:sz w:val="28"/>
            <w:szCs w:val="28"/>
            <w:rtl/>
          </w:rPr>
          <w:t xml:space="preserve"> 40ד'</w:t>
        </w:r>
      </w:hyperlink>
      <w:r>
        <w:rPr>
          <w:rFonts w:ascii="FrankRuehl" w:hAnsi="FrankRuehl" w:cs="FrankRuehl" w:hint="cs"/>
          <w:sz w:val="28"/>
          <w:szCs w:val="28"/>
          <w:rtl/>
        </w:rPr>
        <w:t xml:space="preserve"> לחוק, לפיו יש לקבוע את עונשו של הנאשם לפי שיקולי שיקומו ולא על יסוד עקרון ההלימה. במקרה זה, ברי כי יש הצדקה של ממש לחריגה ממתחם העונש ההולם. </w:t>
      </w:r>
      <w:r>
        <w:rPr>
          <w:rFonts w:ascii="FrankRuehl" w:hAnsi="FrankRuehl" w:cs="FrankRuehl"/>
          <w:color w:val="000000"/>
          <w:sz w:val="28"/>
          <w:szCs w:val="28"/>
          <w:rtl/>
        </w:rPr>
        <w:t>יש לסייע בידי הנאשם ולתמוך בו להמשיך בדרך החדשה ש</w:t>
      </w:r>
      <w:r>
        <w:rPr>
          <w:rFonts w:ascii="FrankRuehl" w:hAnsi="FrankRuehl" w:cs="FrankRuehl" w:hint="cs"/>
          <w:color w:val="000000"/>
          <w:sz w:val="28"/>
          <w:szCs w:val="28"/>
          <w:rtl/>
        </w:rPr>
        <w:t>החל בה זה מכבר וצעד בה מרחק ניכר ומשמעותי, ו</w:t>
      </w:r>
      <w:r>
        <w:rPr>
          <w:rFonts w:ascii="FrankRuehl" w:hAnsi="FrankRuehl" w:cs="FrankRuehl"/>
          <w:color w:val="000000"/>
          <w:sz w:val="28"/>
          <w:szCs w:val="28"/>
          <w:rtl/>
        </w:rPr>
        <w:t>להסיר כל אבן נגף העלולה להחזירו לדרך האחרת</w:t>
      </w:r>
      <w:r>
        <w:rPr>
          <w:rFonts w:ascii="FrankRuehl" w:hAnsi="FrankRuehl" w:cs="FrankRuehl" w:hint="cs"/>
          <w:color w:val="000000"/>
          <w:sz w:val="28"/>
          <w:szCs w:val="28"/>
          <w:rtl/>
        </w:rPr>
        <w:t>, הישנה</w:t>
      </w:r>
      <w:r>
        <w:rPr>
          <w:rFonts w:ascii="FrankRuehl" w:hAnsi="FrankRuehl" w:cs="FrankRuehl"/>
          <w:color w:val="000000"/>
          <w:sz w:val="28"/>
          <w:szCs w:val="28"/>
          <w:rtl/>
        </w:rPr>
        <w:t>. יש לזכור כי שיקומו של נאשם, בפרט בעבירות סמים, אינו רק אינטרס אישי שלו. שיקולי שיקום הם חלק מהאינטרס הציבורי</w:t>
      </w:r>
      <w:r>
        <w:rPr>
          <w:rFonts w:ascii="FrankRuehl" w:hAnsi="FrankRuehl" w:cs="FrankRuehl" w:hint="cs"/>
          <w:color w:val="000000"/>
          <w:sz w:val="28"/>
          <w:szCs w:val="28"/>
          <w:rtl/>
        </w:rPr>
        <w:t>, גם זה ש</w:t>
      </w:r>
      <w:r>
        <w:rPr>
          <w:rFonts w:ascii="FrankRuehl" w:hAnsi="FrankRuehl" w:cs="FrankRuehl"/>
          <w:color w:val="000000"/>
          <w:sz w:val="28"/>
          <w:szCs w:val="28"/>
          <w:rtl/>
        </w:rPr>
        <w:t>עניינו</w:t>
      </w:r>
      <w:r>
        <w:rPr>
          <w:rFonts w:ascii="FrankRuehl" w:hAnsi="FrankRuehl" w:cs="FrankRuehl" w:hint="cs"/>
          <w:color w:val="000000"/>
          <w:sz w:val="28"/>
          <w:szCs w:val="28"/>
          <w:rtl/>
        </w:rPr>
        <w:t xml:space="preserve"> ב</w:t>
      </w:r>
      <w:r>
        <w:rPr>
          <w:rFonts w:ascii="FrankRuehl" w:hAnsi="FrankRuehl" w:cs="FrankRuehl"/>
          <w:color w:val="000000"/>
          <w:sz w:val="28"/>
          <w:szCs w:val="28"/>
          <w:rtl/>
        </w:rPr>
        <w:t xml:space="preserve">מציאת דרכים נכונות ויעילות להפחתת הפשיעה. לאמור, שיקומו של נאשם משתלב עם האינטרס הציבורי, אשר ייצא נשכר </w:t>
      </w:r>
      <w:r>
        <w:rPr>
          <w:rFonts w:ascii="FrankRuehl" w:hAnsi="FrankRuehl" w:cs="FrankRuehl" w:hint="cs"/>
          <w:color w:val="000000"/>
          <w:sz w:val="28"/>
          <w:szCs w:val="28"/>
          <w:rtl/>
        </w:rPr>
        <w:t xml:space="preserve">הן </w:t>
      </w:r>
      <w:r>
        <w:rPr>
          <w:rFonts w:ascii="FrankRuehl" w:hAnsi="FrankRuehl" w:cs="FrankRuehl"/>
          <w:color w:val="000000"/>
          <w:sz w:val="28"/>
          <w:szCs w:val="28"/>
          <w:rtl/>
        </w:rPr>
        <w:t>מכך שהנאשם ייגמל מסמים</w:t>
      </w:r>
      <w:r>
        <w:rPr>
          <w:rFonts w:ascii="FrankRuehl" w:hAnsi="FrankRuehl" w:cs="FrankRuehl" w:hint="cs"/>
          <w:color w:val="000000"/>
          <w:sz w:val="28"/>
          <w:szCs w:val="28"/>
          <w:rtl/>
        </w:rPr>
        <w:t xml:space="preserve">, ובכך יימנע מלעשות עבירות נוספות, והן מכך שהנאשם יעלה על דרך טובה </w:t>
      </w:r>
      <w:r>
        <w:rPr>
          <w:rFonts w:ascii="FrankRuehl" w:hAnsi="FrankRuehl" w:cs="FrankRuehl"/>
          <w:sz w:val="28"/>
          <w:szCs w:val="28"/>
          <w:rtl/>
        </w:rPr>
        <w:t xml:space="preserve">(ראו: </w:t>
      </w:r>
      <w:hyperlink r:id="rId61" w:history="1">
        <w:r w:rsidR="007E72A6" w:rsidRPr="007E72A6">
          <w:rPr>
            <w:rFonts w:ascii="FrankRuehl" w:hAnsi="FrankRuehl" w:cs="FrankRuehl"/>
            <w:color w:val="0000FF"/>
            <w:sz w:val="28"/>
            <w:szCs w:val="28"/>
            <w:u w:val="single"/>
            <w:rtl/>
          </w:rPr>
          <w:t>ע"פ 8087/03</w:t>
        </w:r>
      </w:hyperlink>
      <w:r>
        <w:rPr>
          <w:rFonts w:ascii="FrankRuehl" w:hAnsi="FrankRuehl" w:cs="FrankRuehl"/>
          <w:sz w:val="28"/>
          <w:szCs w:val="28"/>
          <w:rtl/>
        </w:rPr>
        <w:t xml:space="preserve"> </w:t>
      </w:r>
      <w:r>
        <w:rPr>
          <w:rFonts w:ascii="FrankRuehl" w:hAnsi="FrankRuehl" w:cs="FrankRuehl"/>
          <w:b/>
          <w:bCs/>
          <w:sz w:val="28"/>
          <w:szCs w:val="28"/>
          <w:rtl/>
        </w:rPr>
        <w:t>כהן נ' מדינת ישראל</w:t>
      </w:r>
      <w:r>
        <w:rPr>
          <w:rFonts w:ascii="FrankRuehl" w:hAnsi="FrankRuehl" w:cs="FrankRuehl"/>
          <w:sz w:val="28"/>
          <w:szCs w:val="28"/>
          <w:rtl/>
        </w:rPr>
        <w:t xml:space="preserve"> (1.02.06); </w:t>
      </w:r>
      <w:hyperlink r:id="rId62" w:history="1">
        <w:r w:rsidR="007E72A6" w:rsidRPr="007E72A6">
          <w:rPr>
            <w:rFonts w:ascii="FrankRuehl" w:hAnsi="FrankRuehl" w:cs="FrankRuehl"/>
            <w:color w:val="0000FF"/>
            <w:sz w:val="28"/>
            <w:szCs w:val="28"/>
            <w:u w:val="single"/>
            <w:rtl/>
          </w:rPr>
          <w:t>ת"פ (מחוזי-חי') 23069-08-09</w:t>
        </w:r>
      </w:hyperlink>
      <w:r>
        <w:rPr>
          <w:rFonts w:ascii="FrankRuehl" w:hAnsi="FrankRuehl" w:cs="FrankRuehl"/>
          <w:sz w:val="28"/>
          <w:szCs w:val="28"/>
          <w:rtl/>
        </w:rPr>
        <w:t xml:space="preserve"> </w:t>
      </w:r>
      <w:r>
        <w:rPr>
          <w:rFonts w:ascii="FrankRuehl" w:hAnsi="FrankRuehl" w:cs="FrankRuehl"/>
          <w:b/>
          <w:bCs/>
          <w:sz w:val="28"/>
          <w:szCs w:val="28"/>
          <w:rtl/>
        </w:rPr>
        <w:t>מדינת ישראל נ' בריטש רזפטר</w:t>
      </w:r>
      <w:r>
        <w:rPr>
          <w:rFonts w:ascii="FrankRuehl" w:hAnsi="FrankRuehl" w:cs="FrankRuehl"/>
          <w:sz w:val="28"/>
          <w:szCs w:val="28"/>
          <w:rtl/>
        </w:rPr>
        <w:t xml:space="preserve"> (3.06.10); </w:t>
      </w:r>
      <w:hyperlink r:id="rId63" w:history="1">
        <w:r w:rsidR="007E72A6" w:rsidRPr="007E72A6">
          <w:rPr>
            <w:rFonts w:ascii="FrankRuehl" w:hAnsi="FrankRuehl" w:cs="FrankRuehl"/>
            <w:color w:val="0000FF"/>
            <w:sz w:val="28"/>
            <w:szCs w:val="28"/>
            <w:u w:val="single"/>
            <w:rtl/>
          </w:rPr>
          <w:t>ע"פ 2420/15</w:t>
        </w:r>
      </w:hyperlink>
      <w:r>
        <w:rPr>
          <w:rFonts w:ascii="FrankRuehl" w:hAnsi="FrankRuehl" w:cs="FrankRuehl"/>
          <w:sz w:val="28"/>
          <w:szCs w:val="28"/>
          <w:rtl/>
        </w:rPr>
        <w:t xml:space="preserve"> </w:t>
      </w:r>
      <w:r>
        <w:rPr>
          <w:rFonts w:ascii="FrankRuehl" w:hAnsi="FrankRuehl" w:cs="FrankRuehl"/>
          <w:b/>
          <w:bCs/>
          <w:sz w:val="28"/>
          <w:szCs w:val="28"/>
          <w:rtl/>
        </w:rPr>
        <w:t xml:space="preserve">אבטליון נ' מדינת ישראל </w:t>
      </w:r>
      <w:r>
        <w:rPr>
          <w:rFonts w:ascii="FrankRuehl" w:hAnsi="FrankRuehl" w:cs="FrankRuehl"/>
          <w:sz w:val="28"/>
          <w:szCs w:val="28"/>
          <w:rtl/>
        </w:rPr>
        <w:t xml:space="preserve">(29.11.15)). </w:t>
      </w:r>
    </w:p>
    <w:p w14:paraId="7936C0FD" w14:textId="77777777" w:rsidR="00DF731F" w:rsidRDefault="00DF731F" w:rsidP="00DF731F">
      <w:pPr>
        <w:spacing w:line="360" w:lineRule="auto"/>
        <w:jc w:val="both"/>
        <w:rPr>
          <w:rFonts w:ascii="FrankRuehl" w:hAnsi="FrankRuehl" w:cs="FrankRuehl"/>
          <w:sz w:val="28"/>
          <w:szCs w:val="28"/>
          <w:rtl/>
        </w:rPr>
      </w:pPr>
    </w:p>
    <w:p w14:paraId="4496B234"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35.</w:t>
      </w:r>
      <w:r>
        <w:rPr>
          <w:rFonts w:ascii="FrankRuehl" w:hAnsi="FrankRuehl" w:cs="FrankRuehl" w:hint="cs"/>
          <w:sz w:val="28"/>
          <w:szCs w:val="28"/>
          <w:rtl/>
        </w:rPr>
        <w:tab/>
        <w:t>הנה כי כן, "ככל שעולה כי השמת הנידון מאחורי סורג ובריח עלולה לאיין את ההליך השיקומי או לפגוע בו באופן ניכר, יש לבכר את שיקולי השיקום" (</w:t>
      </w:r>
      <w:hyperlink r:id="rId64" w:history="1">
        <w:r w:rsidR="007E72A6" w:rsidRPr="007E72A6">
          <w:rPr>
            <w:rFonts w:ascii="FrankRuehl" w:hAnsi="FrankRuehl" w:cs="FrankRuehl"/>
            <w:color w:val="0000FF"/>
            <w:sz w:val="28"/>
            <w:szCs w:val="28"/>
            <w:u w:val="single"/>
            <w:rtl/>
          </w:rPr>
          <w:t>ע"פ 4425/14</w:t>
        </w:r>
      </w:hyperlink>
      <w:r>
        <w:rPr>
          <w:rFonts w:ascii="FrankRuehl" w:hAnsi="FrankRuehl" w:cs="FrankRuehl" w:hint="cs"/>
          <w:sz w:val="28"/>
          <w:szCs w:val="28"/>
          <w:rtl/>
        </w:rPr>
        <w:t xml:space="preserve"> </w:t>
      </w:r>
      <w:r w:rsidRPr="00031111">
        <w:rPr>
          <w:rFonts w:ascii="FrankRuehl" w:hAnsi="FrankRuehl" w:cs="FrankRuehl" w:hint="cs"/>
          <w:b/>
          <w:bCs/>
          <w:sz w:val="28"/>
          <w:szCs w:val="28"/>
          <w:rtl/>
        </w:rPr>
        <w:t>פלוני נ' מדינת ישראל</w:t>
      </w:r>
      <w:r>
        <w:rPr>
          <w:rFonts w:ascii="FrankRuehl" w:hAnsi="FrankRuehl" w:cs="FrankRuehl" w:hint="cs"/>
          <w:sz w:val="28"/>
          <w:szCs w:val="28"/>
          <w:rtl/>
        </w:rPr>
        <w:t xml:space="preserve"> (25.11.14)). בוודאי יש למנוע מצב בו גם יפגעו שיקולי השיקום וגם ייפגע עקרון ההלימה (ראו: אורן גזל-אייל "חריגה ממתחם העונש ההולם", </w:t>
      </w:r>
      <w:r w:rsidRPr="00031111">
        <w:rPr>
          <w:rFonts w:ascii="FrankRuehl" w:hAnsi="FrankRuehl" w:cs="FrankRuehl" w:hint="cs"/>
          <w:b/>
          <w:bCs/>
          <w:sz w:val="28"/>
          <w:szCs w:val="28"/>
          <w:rtl/>
        </w:rPr>
        <w:t>ספר דורית בייניש</w:t>
      </w:r>
      <w:r>
        <w:rPr>
          <w:rFonts w:ascii="FrankRuehl" w:hAnsi="FrankRuehl" w:cs="FrankRuehl" w:hint="cs"/>
          <w:sz w:val="28"/>
          <w:szCs w:val="28"/>
          <w:rtl/>
        </w:rPr>
        <w:t xml:space="preserve"> (אוניברסיטת בר אילן-נבו (תשע"ח-2018), 539, בעמ' 551). </w:t>
      </w:r>
    </w:p>
    <w:p w14:paraId="643F5E50" w14:textId="77777777" w:rsidR="00DF731F" w:rsidRDefault="00DF731F" w:rsidP="00DF731F">
      <w:pPr>
        <w:spacing w:line="360" w:lineRule="auto"/>
        <w:jc w:val="both"/>
        <w:rPr>
          <w:rFonts w:ascii="FrankRuehl" w:hAnsi="FrankRuehl" w:cs="FrankRuehl"/>
          <w:color w:val="000000"/>
          <w:sz w:val="28"/>
          <w:szCs w:val="28"/>
          <w:rtl/>
        </w:rPr>
      </w:pPr>
    </w:p>
    <w:p w14:paraId="6E1212B4" w14:textId="77777777" w:rsidR="00DF731F"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36.</w:t>
      </w:r>
      <w:r>
        <w:rPr>
          <w:rFonts w:ascii="FrankRuehl" w:hAnsi="FrankRuehl" w:cs="FrankRuehl" w:hint="cs"/>
          <w:color w:val="000000"/>
          <w:sz w:val="28"/>
          <w:szCs w:val="28"/>
          <w:rtl/>
        </w:rPr>
        <w:tab/>
        <w:t xml:space="preserve">בצדק נטען, כי השתת העונש לו עותרת המאשימה </w:t>
      </w:r>
      <w:r>
        <w:rPr>
          <w:rFonts w:ascii="FrankRuehl" w:hAnsi="FrankRuehl" w:cs="FrankRuehl"/>
          <w:color w:val="000000"/>
          <w:sz w:val="28"/>
          <w:szCs w:val="28"/>
          <w:rtl/>
        </w:rPr>
        <w:t>–</w:t>
      </w:r>
      <w:r>
        <w:rPr>
          <w:rFonts w:ascii="FrankRuehl" w:hAnsi="FrankRuehl" w:cs="FrankRuehl" w:hint="cs"/>
          <w:color w:val="000000"/>
          <w:sz w:val="28"/>
          <w:szCs w:val="28"/>
          <w:rtl/>
        </w:rPr>
        <w:t xml:space="preserve"> שש וחצי שנות מאסר </w:t>
      </w:r>
      <w:r>
        <w:rPr>
          <w:rFonts w:ascii="FrankRuehl" w:hAnsi="FrankRuehl" w:cs="FrankRuehl"/>
          <w:color w:val="000000"/>
          <w:sz w:val="28"/>
          <w:szCs w:val="28"/>
          <w:rtl/>
        </w:rPr>
        <w:t>–</w:t>
      </w:r>
      <w:r>
        <w:rPr>
          <w:rFonts w:ascii="FrankRuehl" w:hAnsi="FrankRuehl" w:cs="FrankRuehl" w:hint="cs"/>
          <w:color w:val="000000"/>
          <w:sz w:val="28"/>
          <w:szCs w:val="28"/>
          <w:rtl/>
        </w:rPr>
        <w:t xml:space="preserve"> אין בה נתינת משקל כלשהו לשיקולי השיקום. עונש שכזה משמעותו איון כל התהליך שעבר הנאשם, השגתו לאחור, ונוכח המאמץ שהשקיע, התוצאה יכולה להיות חמורה עוד יותר. הפחתה של מספר חודשים במסגרת המתחם בשל שיקום, כשהתוצאה היא השמתו של הנאשם מאחורי סורג ובריח לשנים רבות, מאיינת לחלוטין את שיקול השיקום, וממילא הפגיעה בעיקרון ההלימה הנגרמת מכך, גם היא חסרת כל הצדקה.  </w:t>
      </w:r>
    </w:p>
    <w:p w14:paraId="466475F5" w14:textId="77777777" w:rsidR="00DF731F" w:rsidRDefault="00DF731F" w:rsidP="00DF731F">
      <w:pPr>
        <w:spacing w:line="360" w:lineRule="auto"/>
        <w:jc w:val="both"/>
        <w:rPr>
          <w:rFonts w:ascii="FrankRuehl" w:hAnsi="FrankRuehl" w:cs="FrankRuehl"/>
          <w:color w:val="000000"/>
          <w:sz w:val="28"/>
          <w:szCs w:val="28"/>
          <w:rtl/>
        </w:rPr>
      </w:pPr>
    </w:p>
    <w:p w14:paraId="170E0781" w14:textId="77777777" w:rsidR="00DF731F" w:rsidRPr="00664B53" w:rsidRDefault="00DF731F" w:rsidP="00DF731F">
      <w:pPr>
        <w:spacing w:line="360" w:lineRule="auto"/>
        <w:jc w:val="both"/>
        <w:rPr>
          <w:rFonts w:ascii="FrankRuehl" w:hAnsi="FrankRuehl" w:cs="FrankRuehl"/>
          <w:sz w:val="28"/>
          <w:szCs w:val="28"/>
        </w:rPr>
      </w:pPr>
      <w:r>
        <w:rPr>
          <w:rFonts w:ascii="FrankRuehl" w:hAnsi="FrankRuehl" w:cs="FrankRuehl" w:hint="cs"/>
          <w:sz w:val="28"/>
          <w:szCs w:val="28"/>
          <w:rtl/>
        </w:rPr>
        <w:t>37.</w:t>
      </w:r>
      <w:r>
        <w:rPr>
          <w:rFonts w:ascii="FrankRuehl" w:hAnsi="FrankRuehl" w:cs="FrankRuehl" w:hint="cs"/>
          <w:sz w:val="28"/>
          <w:szCs w:val="28"/>
          <w:rtl/>
        </w:rPr>
        <w:tab/>
        <w:t xml:space="preserve">מאידך, לא ניתן להתעלם מחומרת העבירות ומשיקולי הענישה האחרים. על כן, גם לא ניתן לאמץ במקרה זה את המלצת שירות המבחן ולהימנע מהשתת עונש מאסר של ממש. במקרים של עבירות חמורות, בפרט כשקיים אינטרס ציבורי משמעותי בהחמרת הענישה באותן עבירות, לא נכון ליתן את כל המשקל לאינטרס השיקום של הנאשם. גם כאשר מדובר בקטינים שהשיקול השיקומי הוא השיקול בעל המשקל הרב יותר, </w:t>
      </w:r>
      <w:r w:rsidRPr="00664B53">
        <w:rPr>
          <w:rFonts w:ascii="FrankRuehl" w:hAnsi="FrankRuehl" w:cs="FrankRuehl"/>
          <w:sz w:val="28"/>
          <w:szCs w:val="28"/>
          <w:rtl/>
        </w:rPr>
        <w:t>שיקולי השיקום אינם עומדים לבדם</w:t>
      </w:r>
      <w:r w:rsidRPr="00664B53">
        <w:rPr>
          <w:rFonts w:ascii="FrankRuehl" w:hAnsi="FrankRuehl" w:cs="FrankRuehl" w:hint="cs"/>
          <w:sz w:val="28"/>
          <w:szCs w:val="28"/>
          <w:rtl/>
        </w:rPr>
        <w:t xml:space="preserve">, ויש לאזנם עם </w:t>
      </w:r>
      <w:r w:rsidRPr="00664B53">
        <w:rPr>
          <w:rFonts w:ascii="FrankRuehl" w:hAnsi="FrankRuehl" w:cs="FrankRuehl"/>
          <w:sz w:val="28"/>
          <w:szCs w:val="28"/>
          <w:rtl/>
        </w:rPr>
        <w:t>שיקולי ענישה נוספים, ובהם עיקרון ההלימה בין חומרת העבירות למידת העונש</w:t>
      </w:r>
      <w:r>
        <w:rPr>
          <w:rFonts w:ascii="FrankRuehl" w:hAnsi="FrankRuehl" w:cs="FrankRuehl" w:hint="cs"/>
          <w:sz w:val="28"/>
          <w:szCs w:val="28"/>
          <w:rtl/>
        </w:rPr>
        <w:t xml:space="preserve"> (ראו: </w:t>
      </w:r>
      <w:hyperlink r:id="rId65" w:history="1">
        <w:r w:rsidR="007E72A6" w:rsidRPr="007E72A6">
          <w:rPr>
            <w:rFonts w:ascii="FrankRuehl" w:hAnsi="FrankRuehl" w:cs="FrankRuehl"/>
            <w:color w:val="0000FF"/>
            <w:sz w:val="28"/>
            <w:szCs w:val="28"/>
            <w:u w:val="single"/>
            <w:rtl/>
          </w:rPr>
          <w:t>ע"פ 3582/22</w:t>
        </w:r>
      </w:hyperlink>
      <w:r w:rsidRPr="00664B53">
        <w:rPr>
          <w:rFonts w:ascii="FrankRuehl" w:hAnsi="FrankRuehl" w:cs="FrankRuehl" w:hint="cs"/>
          <w:sz w:val="28"/>
          <w:szCs w:val="28"/>
          <w:rtl/>
        </w:rPr>
        <w:t xml:space="preserve"> </w:t>
      </w:r>
      <w:r w:rsidRPr="00664B53">
        <w:rPr>
          <w:rFonts w:ascii="FrankRuehl" w:hAnsi="FrankRuehl" w:cs="FrankRuehl" w:hint="cs"/>
          <w:b/>
          <w:bCs/>
          <w:sz w:val="28"/>
          <w:szCs w:val="28"/>
          <w:rtl/>
        </w:rPr>
        <w:t>פלוני נ' מדינת ישראל</w:t>
      </w:r>
      <w:r w:rsidRPr="00664B53">
        <w:rPr>
          <w:rFonts w:ascii="FrankRuehl" w:hAnsi="FrankRuehl" w:cs="FrankRuehl" w:hint="cs"/>
          <w:sz w:val="28"/>
          <w:szCs w:val="28"/>
          <w:rtl/>
        </w:rPr>
        <w:t xml:space="preserve"> (12.01.23))</w:t>
      </w:r>
      <w:r w:rsidRPr="00664B53">
        <w:rPr>
          <w:rFonts w:ascii="FrankRuehl" w:hAnsi="FrankRuehl" w:cs="FrankRuehl"/>
          <w:sz w:val="28"/>
          <w:szCs w:val="28"/>
          <w:rtl/>
        </w:rPr>
        <w:t xml:space="preserve">. </w:t>
      </w:r>
      <w:r w:rsidRPr="00664B53">
        <w:rPr>
          <w:rFonts w:ascii="FrankRuehl" w:hAnsi="FrankRuehl" w:cs="FrankRuehl" w:hint="cs"/>
          <w:sz w:val="28"/>
          <w:szCs w:val="28"/>
          <w:rtl/>
        </w:rPr>
        <w:t xml:space="preserve">כך הוא גם בבגיר שהשתקם או שיש סיכוי של ממש לשיקומו, שיקולי השיקום יאוזנו עם שאר שיקולי הענישה. </w:t>
      </w:r>
    </w:p>
    <w:p w14:paraId="1042AEF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693FF28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38.</w:t>
      </w:r>
      <w:r>
        <w:rPr>
          <w:rFonts w:ascii="FrankRuehl" w:hAnsi="FrankRuehl" w:cs="FrankRuehl" w:hint="cs"/>
          <w:sz w:val="28"/>
          <w:szCs w:val="28"/>
          <w:rtl/>
        </w:rPr>
        <w:tab/>
        <w:t>הדבר נכון בפרט כשמדובר בעבירות נשק, ועל אחת כמה וכמה בעבירות של סחר בנשק. לגבי עבירות אלו נקבע (ב</w:t>
      </w:r>
      <w:hyperlink r:id="rId66" w:history="1">
        <w:r w:rsidR="007E72A6" w:rsidRPr="007E72A6">
          <w:rPr>
            <w:rFonts w:ascii="FrankRuehl" w:hAnsi="FrankRuehl" w:cs="FrankRuehl"/>
            <w:color w:val="0000FF"/>
            <w:sz w:val="28"/>
            <w:szCs w:val="28"/>
            <w:u w:val="single"/>
            <w:rtl/>
          </w:rPr>
          <w:t>ע"פ 4406/19</w:t>
        </w:r>
      </w:hyperlink>
      <w:r>
        <w:rPr>
          <w:rFonts w:ascii="FrankRuehl" w:hAnsi="FrankRuehl" w:cs="FrankRuehl" w:hint="cs"/>
          <w:sz w:val="28"/>
          <w:szCs w:val="28"/>
          <w:rtl/>
        </w:rPr>
        <w:t xml:space="preserve"> </w:t>
      </w:r>
      <w:r w:rsidRPr="007246E5">
        <w:rPr>
          <w:rFonts w:ascii="FrankRuehl" w:hAnsi="FrankRuehl" w:cs="FrankRuehl" w:hint="cs"/>
          <w:b/>
          <w:bCs/>
          <w:sz w:val="28"/>
          <w:szCs w:val="28"/>
          <w:rtl/>
        </w:rPr>
        <w:t xml:space="preserve">מדינת ישראל נ' סובח </w:t>
      </w:r>
      <w:r>
        <w:rPr>
          <w:rFonts w:ascii="FrankRuehl" w:hAnsi="FrankRuehl" w:cs="FrankRuehl" w:hint="cs"/>
          <w:sz w:val="28"/>
          <w:szCs w:val="28"/>
          <w:rtl/>
        </w:rPr>
        <w:t xml:space="preserve">(15.11.19)) כי: </w:t>
      </w:r>
    </w:p>
    <w:p w14:paraId="554918D6" w14:textId="77777777" w:rsidR="00DF731F" w:rsidRPr="007246E5" w:rsidRDefault="00DF731F" w:rsidP="00DF731F">
      <w:pPr>
        <w:spacing w:line="360" w:lineRule="auto"/>
        <w:ind w:left="680" w:right="680"/>
        <w:jc w:val="both"/>
        <w:rPr>
          <w:rFonts w:ascii="FrankRuehl" w:hAnsi="FrankRuehl" w:cs="FrankRuehl"/>
          <w:sz w:val="28"/>
          <w:szCs w:val="28"/>
          <w:rtl/>
        </w:rPr>
      </w:pPr>
      <w:r w:rsidRPr="007246E5">
        <w:rPr>
          <w:rFonts w:ascii="Miriam" w:hAnsi="Miriam" w:cs="Miriam"/>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w:t>
      </w:r>
      <w:r>
        <w:rPr>
          <w:rFonts w:ascii="Miriam" w:hAnsi="Miriam" w:cs="Miriam" w:hint="cs"/>
          <w:rtl/>
        </w:rPr>
        <w:t xml:space="preserve"> </w:t>
      </w:r>
      <w:r w:rsidRPr="007246E5">
        <w:rPr>
          <w:rFonts w:ascii="Miriam" w:hAnsi="Miriam" w:cs="Miriam"/>
          <w:rtl/>
        </w:rPr>
        <w:t>נשק בלתי חוקי באשר הן, וכל שכן מקום שנעשה בנשק כזה שימוש בביצוע עבירות אלימות לסוגיהן.</w:t>
      </w:r>
    </w:p>
    <w:p w14:paraId="704AAF1E" w14:textId="77777777" w:rsidR="00DF731F" w:rsidRDefault="007E72A6" w:rsidP="00DF731F">
      <w:pPr>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7C2D08E2"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בשל כך נקבע, כי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w:t>
      </w:r>
      <w:hyperlink r:id="rId67" w:history="1">
        <w:r w:rsidR="007E72A6" w:rsidRPr="007E72A6">
          <w:rPr>
            <w:rFonts w:ascii="FrankRuehl" w:hAnsi="FrankRuehl" w:cs="FrankRuehl"/>
            <w:color w:val="0000FF"/>
            <w:sz w:val="28"/>
            <w:szCs w:val="28"/>
            <w:u w:val="single"/>
            <w:rtl/>
          </w:rPr>
          <w:t>ע"פ 4077/22</w:t>
        </w:r>
      </w:hyperlink>
      <w:r>
        <w:rPr>
          <w:rFonts w:ascii="FrankRuehl" w:hAnsi="FrankRuehl" w:cs="FrankRuehl" w:hint="cs"/>
          <w:sz w:val="28"/>
          <w:szCs w:val="28"/>
          <w:rtl/>
        </w:rPr>
        <w:t xml:space="preserve"> </w:t>
      </w:r>
      <w:r w:rsidRPr="007246E5">
        <w:rPr>
          <w:rFonts w:ascii="FrankRuehl" w:hAnsi="FrankRuehl" w:cs="FrankRuehl" w:hint="cs"/>
          <w:b/>
          <w:bCs/>
          <w:sz w:val="28"/>
          <w:szCs w:val="28"/>
          <w:rtl/>
        </w:rPr>
        <w:t>פלוני נ' מדינת ישראל</w:t>
      </w:r>
      <w:r>
        <w:rPr>
          <w:rFonts w:ascii="FrankRuehl" w:hAnsi="FrankRuehl" w:cs="FrankRuehl" w:hint="cs"/>
          <w:sz w:val="28"/>
          <w:szCs w:val="28"/>
          <w:rtl/>
        </w:rPr>
        <w:t xml:space="preserve"> (28.07.22). וראו גם: </w:t>
      </w:r>
      <w:hyperlink r:id="rId68" w:history="1">
        <w:r w:rsidR="007E72A6" w:rsidRPr="007E72A6">
          <w:rPr>
            <w:rFonts w:ascii="FrankRuehl" w:hAnsi="FrankRuehl" w:cs="FrankRuehl"/>
            <w:color w:val="0000FF"/>
            <w:sz w:val="28"/>
            <w:szCs w:val="28"/>
            <w:u w:val="single"/>
            <w:rtl/>
          </w:rPr>
          <w:t>ע"פ 5602/22</w:t>
        </w:r>
      </w:hyperlink>
      <w:r>
        <w:rPr>
          <w:rFonts w:ascii="FrankRuehl" w:hAnsi="FrankRuehl" w:cs="FrankRuehl" w:hint="cs"/>
          <w:sz w:val="28"/>
          <w:szCs w:val="28"/>
          <w:rtl/>
        </w:rPr>
        <w:t xml:space="preserve"> בעניין </w:t>
      </w:r>
      <w:r w:rsidRPr="007246E5">
        <w:rPr>
          <w:rFonts w:ascii="FrankRuehl" w:hAnsi="FrankRuehl" w:cs="FrankRuehl" w:hint="cs"/>
          <w:b/>
          <w:bCs/>
          <w:sz w:val="28"/>
          <w:szCs w:val="28"/>
          <w:rtl/>
        </w:rPr>
        <w:t>פלוני</w:t>
      </w:r>
      <w:r>
        <w:rPr>
          <w:rFonts w:ascii="FrankRuehl" w:hAnsi="FrankRuehl" w:cs="FrankRuehl" w:hint="cs"/>
          <w:sz w:val="28"/>
          <w:szCs w:val="28"/>
          <w:rtl/>
        </w:rPr>
        <w:t xml:space="preserve">).   </w:t>
      </w:r>
    </w:p>
    <w:p w14:paraId="66BAB106" w14:textId="77777777" w:rsidR="00DF731F" w:rsidRDefault="00DF731F" w:rsidP="00DF731F">
      <w:pPr>
        <w:spacing w:line="360" w:lineRule="auto"/>
        <w:jc w:val="both"/>
        <w:rPr>
          <w:rFonts w:ascii="FrankRuehl" w:hAnsi="FrankRuehl" w:cs="FrankRuehl"/>
          <w:sz w:val="28"/>
          <w:szCs w:val="28"/>
          <w:rtl/>
        </w:rPr>
      </w:pPr>
    </w:p>
    <w:p w14:paraId="232614D0"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39.</w:t>
      </w:r>
      <w:r>
        <w:rPr>
          <w:rFonts w:ascii="FrankRuehl" w:hAnsi="FrankRuehl" w:cs="FrankRuehl" w:hint="cs"/>
          <w:sz w:val="28"/>
          <w:szCs w:val="28"/>
          <w:rtl/>
        </w:rPr>
        <w:tab/>
        <w:t>ואולם, כאשר מדובר בנאשם שכבר עבר דרך ארוכה ומצוי עמוק בתהליך השיקום, לא ניתן להתעלם לחלוטין משיקולי השיקום. אכן, במקרים מעין אלו שיקולי שיקום, גם כאלו המצדיקים חריגה ממתחם העונש ההולם, אינם מאיינים לחלוטין את שאר שיקולי הענישה, בכלל זה עקרון ההלימה ושיקולי הרתעת הרבים. במקרים שכאלו, יש לאזן בין שיקולי ההלימה והרתעת הציבור לבין שיקולי השיקום, אך אין לפגוע בהליך השיקום ולאיינו, דבר שיש בו כדי לפגוע פגיעה של ממש, לא אך בנאשם אלא גם באינטרס הציבורי. האיזון צריך להביא לענישה שיש בה כדי להביע את חומרת העבירות בהיבט של האינטרס הציבורי מחד, אך לא יהיה בה כדי להציב מחסום של ממש בפני הנאשם וההליך השיקומי שעבר.</w:t>
      </w:r>
    </w:p>
    <w:p w14:paraId="06F93D0B" w14:textId="77777777" w:rsidR="00DF731F" w:rsidRDefault="00DF731F" w:rsidP="00DF731F">
      <w:pPr>
        <w:spacing w:line="360" w:lineRule="auto"/>
        <w:jc w:val="both"/>
        <w:rPr>
          <w:rFonts w:ascii="FrankRuehl" w:hAnsi="FrankRuehl" w:cs="FrankRuehl"/>
          <w:sz w:val="28"/>
          <w:szCs w:val="28"/>
          <w:rtl/>
        </w:rPr>
      </w:pPr>
    </w:p>
    <w:p w14:paraId="22A77B6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40.</w:t>
      </w:r>
      <w:r>
        <w:rPr>
          <w:rFonts w:ascii="FrankRuehl" w:hAnsi="FrankRuehl" w:cs="FrankRuehl" w:hint="cs"/>
          <w:sz w:val="28"/>
          <w:szCs w:val="28"/>
          <w:rtl/>
        </w:rPr>
        <w:tab/>
        <w:t xml:space="preserve">על כן, </w:t>
      </w:r>
      <w:r>
        <w:rPr>
          <w:rFonts w:ascii="FrankRuehl" w:hAnsi="FrankRuehl" w:cs="FrankRuehl" w:hint="cs"/>
          <w:color w:val="000000"/>
          <w:sz w:val="28"/>
          <w:szCs w:val="28"/>
          <w:rtl/>
        </w:rPr>
        <w:t xml:space="preserve">גם אם אין מנוס מלהשית על הנאשם עונש מאסר בפועל, נוכח חומרת העבירות שביצע, והאינטרס הציבורי בהשתת עונש חמור על מבצעי עבירות אלו, תקופת המאסר צריכה להיות כזו, שהנאשם יוכל לראות את האור בקצה המנהרה, את התועלת בהליך שעבר וביכולתו לשמרו עד לריצוי עונשו, שגם הוא חלק משיקומו, בתשלום חובו על מעשיו. כל זאת, לצד מענה שיקומי </w:t>
      </w:r>
      <w:r>
        <w:rPr>
          <w:rFonts w:ascii="FrankRuehl" w:hAnsi="FrankRuehl" w:cs="FrankRuehl" w:hint="cs"/>
          <w:sz w:val="28"/>
          <w:szCs w:val="28"/>
          <w:rtl/>
        </w:rPr>
        <w:t xml:space="preserve">בבית הכלא, שיהיה בו לא אך לשמר את הדרך שעשה הנאשם והמקום אליו הגיע, אלא אף לסייע בידו להמשיך בדרך החדשה בה בחר, ולהכשירו לחיים שלאחר ריצוי העונש, לבל ייסוג אחור. </w:t>
      </w:r>
    </w:p>
    <w:p w14:paraId="0E36F9CA" w14:textId="77777777" w:rsidR="00DF731F" w:rsidRDefault="00DF731F" w:rsidP="00DF731F">
      <w:pPr>
        <w:spacing w:line="360" w:lineRule="auto"/>
        <w:jc w:val="both"/>
        <w:rPr>
          <w:rFonts w:ascii="FrankRuehl" w:hAnsi="FrankRuehl" w:cs="FrankRuehl"/>
          <w:color w:val="000000"/>
          <w:sz w:val="28"/>
          <w:szCs w:val="28"/>
          <w:rtl/>
        </w:rPr>
      </w:pPr>
    </w:p>
    <w:p w14:paraId="6E197127" w14:textId="77777777" w:rsidR="00DF731F"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41.</w:t>
      </w:r>
      <w:r>
        <w:rPr>
          <w:rFonts w:ascii="FrankRuehl" w:hAnsi="FrankRuehl" w:cs="FrankRuehl" w:hint="cs"/>
          <w:color w:val="000000"/>
          <w:sz w:val="28"/>
          <w:szCs w:val="28"/>
          <w:rtl/>
        </w:rPr>
        <w:tab/>
        <w:t>בשים לב לכל האמור, לאחר שנתתי דעתי למכלול הנתונים הנדרשים, בכללם לאינטרסים המוגנים בעבירות שביצע הנאשם, נסיבות ביצוע העבירות, נסיבותיו של הנאשם, שיקולי הענישה השונים ביניהם עקרון ההלימה, הרתעת הרבים ושיקום הנאשם, העובדה כי הנאשם היה במעצר מאחורי סורג ובריח תקופה של כ-10 וחצי חודשים, ולאחר מכן שהה בקהילה הטיפולית מלכישוע תקופה של כשנה  ושאר השיקולים לקולא ולחומרא, אני משית על הנאשם את העונשים הבאים:</w:t>
      </w:r>
    </w:p>
    <w:p w14:paraId="6116DCE7" w14:textId="77777777" w:rsidR="00DF731F" w:rsidRDefault="00DF731F" w:rsidP="00DF731F">
      <w:pPr>
        <w:spacing w:line="360" w:lineRule="auto"/>
        <w:jc w:val="both"/>
        <w:rPr>
          <w:rFonts w:ascii="FrankRuehl" w:hAnsi="FrankRuehl" w:cs="FrankRuehl"/>
          <w:color w:val="000000"/>
          <w:sz w:val="28"/>
          <w:szCs w:val="28"/>
          <w:rtl/>
        </w:rPr>
      </w:pPr>
    </w:p>
    <w:p w14:paraId="45256DF2"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Pr>
          <w:rFonts w:ascii="FrankRuehl" w:hAnsi="FrankRuehl" w:cs="FrankRuehl" w:hint="cs"/>
          <w:color w:val="000000"/>
          <w:sz w:val="28"/>
          <w:szCs w:val="28"/>
          <w:rtl/>
        </w:rPr>
        <w:t xml:space="preserve">30 </w:t>
      </w:r>
      <w:r w:rsidRPr="0081619B">
        <w:rPr>
          <w:rFonts w:ascii="FrankRuehl" w:hAnsi="FrankRuehl" w:cs="FrankRuehl"/>
          <w:color w:val="000000"/>
          <w:sz w:val="28"/>
          <w:szCs w:val="28"/>
          <w:rtl/>
        </w:rPr>
        <w:t>חודשי מאסר</w:t>
      </w:r>
      <w:r>
        <w:rPr>
          <w:rFonts w:ascii="FrankRuehl" w:hAnsi="FrankRuehl" w:cs="FrankRuehl" w:hint="cs"/>
          <w:color w:val="000000"/>
          <w:sz w:val="28"/>
          <w:szCs w:val="28"/>
          <w:rtl/>
        </w:rPr>
        <w:t xml:space="preserve"> בפועל, בניכוי ימי מעצרו מיום 15.03.21 עד יום 26.01.22. </w:t>
      </w:r>
    </w:p>
    <w:p w14:paraId="47F7C98F" w14:textId="77777777" w:rsidR="00DF731F" w:rsidRPr="00AC3A65" w:rsidRDefault="00DF731F" w:rsidP="00DF731F">
      <w:pPr>
        <w:pStyle w:val="a9"/>
        <w:bidi/>
        <w:spacing w:line="360" w:lineRule="auto"/>
        <w:ind w:left="720"/>
        <w:jc w:val="both"/>
        <w:rPr>
          <w:rFonts w:ascii="FrankRuehl" w:hAnsi="FrankRuehl" w:cs="FrankRuehl"/>
          <w:color w:val="000000"/>
          <w:sz w:val="28"/>
          <w:szCs w:val="28"/>
        </w:rPr>
      </w:pPr>
      <w:r>
        <w:rPr>
          <w:rFonts w:ascii="FrankRuehl" w:hAnsi="FrankRuehl" w:cs="FrankRuehl" w:hint="cs"/>
          <w:color w:val="000000"/>
          <w:sz w:val="28"/>
          <w:szCs w:val="28"/>
          <w:rtl/>
        </w:rPr>
        <w:t>הנאשם י</w:t>
      </w:r>
      <w:r w:rsidRPr="00AC3A65">
        <w:rPr>
          <w:rFonts w:ascii="FrankRuehl" w:hAnsi="FrankRuehl" w:cs="FrankRuehl"/>
          <w:color w:val="000000"/>
          <w:sz w:val="28"/>
          <w:szCs w:val="28"/>
          <w:rtl/>
        </w:rPr>
        <w:t>תייצב למאסרו בבית סוהר</w:t>
      </w:r>
      <w:r>
        <w:rPr>
          <w:rFonts w:ascii="FrankRuehl" w:hAnsi="FrankRuehl" w:cs="FrankRuehl" w:hint="cs"/>
          <w:color w:val="000000"/>
          <w:sz w:val="28"/>
          <w:szCs w:val="28"/>
          <w:rtl/>
        </w:rPr>
        <w:t xml:space="preserve"> ניצן ביום 26.02.23 </w:t>
      </w:r>
      <w:r w:rsidRPr="00AC3A65">
        <w:rPr>
          <w:rFonts w:ascii="FrankRuehl" w:hAnsi="FrankRuehl" w:cs="FrankRuehl"/>
          <w:color w:val="000000"/>
          <w:sz w:val="28"/>
          <w:szCs w:val="28"/>
          <w:rtl/>
        </w:rPr>
        <w:t xml:space="preserve">עד השעה 10:00, או על פי החלטת שב"ס, כשברשותו תעודת זהות או דרכון. </w:t>
      </w:r>
    </w:p>
    <w:p w14:paraId="07FC5B54" w14:textId="77777777" w:rsidR="00DF731F" w:rsidRPr="00AC3A65" w:rsidRDefault="00DF731F" w:rsidP="00DF731F">
      <w:pPr>
        <w:pStyle w:val="a9"/>
        <w:bidi/>
        <w:spacing w:line="360" w:lineRule="auto"/>
        <w:ind w:left="720"/>
        <w:jc w:val="both"/>
        <w:rPr>
          <w:rFonts w:ascii="FrankRuehl" w:hAnsi="FrankRuehl" w:cs="FrankRuehl"/>
          <w:color w:val="000000"/>
          <w:sz w:val="28"/>
          <w:szCs w:val="28"/>
          <w:rtl/>
        </w:rPr>
      </w:pPr>
      <w:r w:rsidRPr="00AC3A65">
        <w:rPr>
          <w:rFonts w:ascii="FrankRuehl" w:hAnsi="FrankRuehl" w:cs="FrankRuehl"/>
          <w:color w:val="000000"/>
          <w:sz w:val="28"/>
          <w:szCs w:val="28"/>
          <w:rtl/>
        </w:rPr>
        <w:t>על הנ</w:t>
      </w:r>
      <w:r>
        <w:rPr>
          <w:rFonts w:ascii="FrankRuehl" w:hAnsi="FrankRuehl" w:cs="FrankRuehl" w:hint="cs"/>
          <w:color w:val="000000"/>
          <w:sz w:val="28"/>
          <w:szCs w:val="28"/>
          <w:rtl/>
        </w:rPr>
        <w:t>אשם</w:t>
      </w:r>
      <w:r w:rsidRPr="00AC3A65">
        <w:rPr>
          <w:rFonts w:ascii="FrankRuehl" w:hAnsi="FrankRuehl" w:cs="FrankRuehl"/>
          <w:color w:val="000000"/>
          <w:sz w:val="28"/>
          <w:szCs w:val="28"/>
          <w:rtl/>
        </w:rPr>
        <w:t xml:space="preserve"> לתאם את הכניסה למאסר, כולל האפשרות למיון מוקדם, עם ענף אבחון ומיון של שב"ס, טלפונים: 08-9787377, 08-9787336 וכן להתעדכן באתר האינטרנט של שב"ס, ברשימת הציוד הר</w:t>
      </w:r>
      <w:r>
        <w:rPr>
          <w:rFonts w:ascii="FrankRuehl" w:hAnsi="FrankRuehl" w:cs="FrankRuehl"/>
          <w:color w:val="000000"/>
          <w:sz w:val="28"/>
          <w:szCs w:val="28"/>
          <w:rtl/>
        </w:rPr>
        <w:t>אשוני שניתן להביא בעת ההתייצבות</w:t>
      </w:r>
      <w:r w:rsidRPr="00AC3A65">
        <w:rPr>
          <w:rFonts w:ascii="FrankRuehl" w:hAnsi="FrankRuehl" w:cs="FrankRuehl"/>
          <w:color w:val="000000"/>
          <w:sz w:val="28"/>
          <w:szCs w:val="28"/>
          <w:rtl/>
        </w:rPr>
        <w:t>.</w:t>
      </w:r>
    </w:p>
    <w:p w14:paraId="774859F6"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171ACF">
        <w:rPr>
          <w:rFonts w:ascii="FrankRuehl" w:hAnsi="FrankRuehl" w:cs="FrankRuehl"/>
          <w:color w:val="000000"/>
          <w:sz w:val="28"/>
          <w:szCs w:val="28"/>
          <w:rtl/>
        </w:rPr>
        <w:t xml:space="preserve">אני מפעיל את המאסר על תנאי של </w:t>
      </w:r>
      <w:r w:rsidRPr="00171ACF">
        <w:rPr>
          <w:rFonts w:ascii="FrankRuehl" w:hAnsi="FrankRuehl" w:cs="FrankRuehl" w:hint="cs"/>
          <w:color w:val="000000"/>
          <w:sz w:val="28"/>
          <w:szCs w:val="28"/>
          <w:rtl/>
        </w:rPr>
        <w:t>6</w:t>
      </w:r>
      <w:r w:rsidRPr="00171ACF">
        <w:rPr>
          <w:rFonts w:ascii="FrankRuehl" w:hAnsi="FrankRuehl" w:cs="FrankRuehl"/>
          <w:color w:val="000000"/>
          <w:sz w:val="28"/>
          <w:szCs w:val="28"/>
          <w:rtl/>
        </w:rPr>
        <w:t xml:space="preserve"> חודשים שהושת על הנאשם</w:t>
      </w:r>
      <w:r w:rsidRPr="00171ACF">
        <w:rPr>
          <w:rFonts w:ascii="FrankRuehl" w:hAnsi="FrankRuehl" w:cs="FrankRuehl" w:hint="cs"/>
          <w:color w:val="000000"/>
          <w:sz w:val="28"/>
          <w:szCs w:val="28"/>
          <w:rtl/>
        </w:rPr>
        <w:t xml:space="preserve"> ב</w:t>
      </w:r>
      <w:r>
        <w:rPr>
          <w:rFonts w:ascii="FrankRuehl" w:hAnsi="FrankRuehl" w:cs="FrankRuehl" w:hint="cs"/>
          <w:color w:val="000000"/>
          <w:sz w:val="28"/>
          <w:szCs w:val="28"/>
          <w:rtl/>
        </w:rPr>
        <w:t>יום 30.03.20 ב</w:t>
      </w:r>
      <w:hyperlink r:id="rId69" w:history="1">
        <w:r w:rsidR="007E72A6" w:rsidRPr="007E72A6">
          <w:rPr>
            <w:rFonts w:ascii="FrankRuehl" w:hAnsi="FrankRuehl" w:cs="FrankRuehl"/>
            <w:color w:val="0000FF"/>
            <w:sz w:val="28"/>
            <w:szCs w:val="28"/>
            <w:u w:val="single"/>
            <w:rtl/>
          </w:rPr>
          <w:t>ת"פ (רח') 17834-02-20</w:t>
        </w:r>
      </w:hyperlink>
      <w:r>
        <w:rPr>
          <w:rFonts w:ascii="FrankRuehl" w:hAnsi="FrankRuehl" w:cs="FrankRuehl" w:hint="cs"/>
          <w:color w:val="000000"/>
          <w:sz w:val="28"/>
          <w:szCs w:val="28"/>
          <w:rtl/>
        </w:rPr>
        <w:t xml:space="preserve">. ואולם, </w:t>
      </w:r>
      <w:r w:rsidRPr="00171ACF">
        <w:rPr>
          <w:rFonts w:ascii="FrankRuehl" w:hAnsi="FrankRuehl" w:cs="FrankRuehl" w:hint="cs"/>
          <w:color w:val="000000"/>
          <w:sz w:val="28"/>
          <w:szCs w:val="28"/>
          <w:rtl/>
        </w:rPr>
        <w:t>מאחר שמדובר במאסר מותנה בעבירות סמים, א</w:t>
      </w:r>
      <w:r>
        <w:rPr>
          <w:rFonts w:ascii="FrankRuehl" w:hAnsi="FrankRuehl" w:cs="FrankRuehl" w:hint="cs"/>
          <w:color w:val="000000"/>
          <w:sz w:val="28"/>
          <w:szCs w:val="28"/>
          <w:rtl/>
        </w:rPr>
        <w:t>זי בשים לב לשיקום שעבר הנאשם בת</w:t>
      </w:r>
      <w:r w:rsidRPr="00171ACF">
        <w:rPr>
          <w:rFonts w:ascii="FrankRuehl" w:hAnsi="FrankRuehl" w:cs="FrankRuehl" w:hint="cs"/>
          <w:color w:val="000000"/>
          <w:sz w:val="28"/>
          <w:szCs w:val="28"/>
          <w:rtl/>
        </w:rPr>
        <w:t xml:space="preserve">חום זה, </w:t>
      </w:r>
      <w:r>
        <w:rPr>
          <w:rFonts w:ascii="FrankRuehl" w:hAnsi="FrankRuehl" w:cs="FrankRuehl" w:hint="cs"/>
          <w:color w:val="000000"/>
          <w:sz w:val="28"/>
          <w:szCs w:val="28"/>
          <w:rtl/>
        </w:rPr>
        <w:t xml:space="preserve">בעטיו, לו היה מדובר בהרשעה בעבירות סמים בלבד, היה מקום לשקול גם את הארכת התנאי, </w:t>
      </w:r>
      <w:r w:rsidRPr="00171ACF">
        <w:rPr>
          <w:rFonts w:ascii="FrankRuehl" w:hAnsi="FrankRuehl" w:cs="FrankRuehl" w:hint="cs"/>
          <w:color w:val="000000"/>
          <w:sz w:val="28"/>
          <w:szCs w:val="28"/>
          <w:rtl/>
        </w:rPr>
        <w:t>הנאשם י</w:t>
      </w:r>
      <w:r w:rsidRPr="00171ACF">
        <w:rPr>
          <w:rFonts w:ascii="FrankRuehl" w:hAnsi="FrankRuehl" w:cs="FrankRuehl"/>
          <w:color w:val="000000"/>
          <w:sz w:val="28"/>
          <w:szCs w:val="28"/>
          <w:rtl/>
        </w:rPr>
        <w:t xml:space="preserve">רצה </w:t>
      </w:r>
      <w:r w:rsidRPr="00171ACF">
        <w:rPr>
          <w:rFonts w:ascii="FrankRuehl" w:hAnsi="FrankRuehl" w:cs="FrankRuehl" w:hint="cs"/>
          <w:color w:val="000000"/>
          <w:sz w:val="28"/>
          <w:szCs w:val="28"/>
          <w:rtl/>
        </w:rPr>
        <w:t xml:space="preserve">את עונש המאסר הזה בחופף לעונש המאסר שהושת עליו בהליך זה. </w:t>
      </w:r>
    </w:p>
    <w:p w14:paraId="2DB03844"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171ACF">
        <w:rPr>
          <w:rFonts w:ascii="FrankRuehl" w:hAnsi="FrankRuehl" w:cs="FrankRuehl"/>
          <w:color w:val="000000"/>
          <w:sz w:val="28"/>
          <w:szCs w:val="28"/>
          <w:rtl/>
        </w:rPr>
        <w:t>9 חודשי מאסר אשר לא ירוצו אלא אם כן הנאשם יעבור עבירת נשק לפי</w:t>
      </w:r>
      <w:r w:rsidRPr="00171ACF">
        <w:rPr>
          <w:rFonts w:ascii="FrankRuehl" w:hAnsi="FrankRuehl" w:cs="FrankRuehl" w:hint="cs"/>
          <w:color w:val="000000"/>
          <w:sz w:val="28"/>
          <w:szCs w:val="28"/>
          <w:rtl/>
        </w:rPr>
        <w:t xml:space="preserve"> </w:t>
      </w:r>
      <w:hyperlink r:id="rId70" w:history="1">
        <w:r w:rsidR="003409F6" w:rsidRPr="003409F6">
          <w:rPr>
            <w:rStyle w:val="Hyperlink"/>
            <w:rFonts w:ascii="FrankRuehl" w:hAnsi="FrankRuehl" w:cs="FrankRuehl" w:hint="eastAsia"/>
            <w:sz w:val="28"/>
            <w:szCs w:val="28"/>
            <w:rtl/>
          </w:rPr>
          <w:t>סעיף</w:t>
        </w:r>
        <w:r w:rsidR="003409F6" w:rsidRPr="003409F6">
          <w:rPr>
            <w:rStyle w:val="Hyperlink"/>
            <w:rFonts w:ascii="FrankRuehl" w:hAnsi="FrankRuehl" w:cs="FrankRuehl"/>
            <w:sz w:val="28"/>
            <w:szCs w:val="28"/>
            <w:rtl/>
          </w:rPr>
          <w:t xml:space="preserve"> 144</w:t>
        </w:r>
      </w:hyperlink>
      <w:r w:rsidRPr="00171ACF">
        <w:rPr>
          <w:rFonts w:ascii="FrankRuehl" w:hAnsi="FrankRuehl" w:cs="FrankRuehl" w:hint="cs"/>
          <w:color w:val="000000"/>
          <w:sz w:val="28"/>
          <w:szCs w:val="28"/>
          <w:rtl/>
        </w:rPr>
        <w:t xml:space="preserve"> ל</w:t>
      </w:r>
      <w:hyperlink r:id="rId71" w:history="1">
        <w:r w:rsidR="007E72A6" w:rsidRPr="007E72A6">
          <w:rPr>
            <w:rFonts w:ascii="FrankRuehl" w:hAnsi="FrankRuehl" w:cs="FrankRuehl"/>
            <w:color w:val="0000FF"/>
            <w:sz w:val="28"/>
            <w:szCs w:val="28"/>
            <w:u w:val="single"/>
            <w:rtl/>
          </w:rPr>
          <w:t>חוק העונשין</w:t>
        </w:r>
      </w:hyperlink>
      <w:r w:rsidRPr="00171ACF">
        <w:rPr>
          <w:rFonts w:ascii="FrankRuehl" w:hAnsi="FrankRuehl" w:cs="FrankRuehl" w:hint="cs"/>
          <w:color w:val="000000"/>
          <w:sz w:val="28"/>
          <w:szCs w:val="28"/>
          <w:rtl/>
        </w:rPr>
        <w:t xml:space="preserve">, בתקופה של </w:t>
      </w:r>
      <w:r w:rsidRPr="00171ACF">
        <w:rPr>
          <w:rFonts w:ascii="FrankRuehl" w:hAnsi="FrankRuehl" w:cs="FrankRuehl"/>
          <w:color w:val="000000"/>
          <w:sz w:val="28"/>
          <w:szCs w:val="28"/>
          <w:rtl/>
        </w:rPr>
        <w:t>שלוש שנים מיום</w:t>
      </w:r>
      <w:r w:rsidRPr="00171ACF">
        <w:rPr>
          <w:rFonts w:ascii="FrankRuehl" w:hAnsi="FrankRuehl" w:cs="FrankRuehl" w:hint="cs"/>
          <w:color w:val="000000"/>
          <w:sz w:val="28"/>
          <w:szCs w:val="28"/>
          <w:rtl/>
        </w:rPr>
        <w:t xml:space="preserve"> שחרורו מהכלא</w:t>
      </w:r>
      <w:r>
        <w:rPr>
          <w:rFonts w:ascii="FrankRuehl" w:hAnsi="FrankRuehl" w:cs="FrankRuehl" w:hint="cs"/>
          <w:color w:val="000000"/>
          <w:sz w:val="28"/>
          <w:szCs w:val="28"/>
          <w:rtl/>
        </w:rPr>
        <w:t>.</w:t>
      </w:r>
    </w:p>
    <w:p w14:paraId="5C6B52F5" w14:textId="77777777" w:rsidR="00DF731F" w:rsidRPr="00D33DBD" w:rsidRDefault="00DF731F" w:rsidP="00DF731F">
      <w:pPr>
        <w:pStyle w:val="a9"/>
        <w:numPr>
          <w:ilvl w:val="0"/>
          <w:numId w:val="3"/>
        </w:numPr>
        <w:bidi/>
        <w:spacing w:line="360" w:lineRule="auto"/>
        <w:jc w:val="both"/>
        <w:rPr>
          <w:rFonts w:ascii="FrankRuehl" w:hAnsi="FrankRuehl" w:cs="FrankRuehl"/>
          <w:color w:val="000000"/>
          <w:sz w:val="28"/>
          <w:szCs w:val="28"/>
        </w:rPr>
      </w:pPr>
      <w:r w:rsidRPr="00D33DBD">
        <w:rPr>
          <w:rFonts w:ascii="FrankRuehl" w:hAnsi="FrankRuehl" w:cs="FrankRuehl" w:hint="cs"/>
          <w:color w:val="000000"/>
          <w:sz w:val="28"/>
          <w:szCs w:val="28"/>
          <w:rtl/>
        </w:rPr>
        <w:t>9</w:t>
      </w:r>
      <w:r w:rsidRPr="00D33DBD">
        <w:rPr>
          <w:rFonts w:ascii="FrankRuehl" w:hAnsi="FrankRuehl" w:cs="FrankRuehl"/>
          <w:color w:val="000000"/>
          <w:sz w:val="28"/>
          <w:szCs w:val="28"/>
          <w:rtl/>
        </w:rPr>
        <w:t xml:space="preserve"> חודשי מאסר, אותם לא ירצה הנאשם אלא אם כן הוא יעבור במשך שלוש שנים מיום</w:t>
      </w:r>
      <w:r w:rsidRPr="00D33DBD">
        <w:rPr>
          <w:rFonts w:ascii="FrankRuehl" w:hAnsi="FrankRuehl" w:cs="FrankRuehl" w:hint="cs"/>
          <w:color w:val="000000"/>
          <w:sz w:val="28"/>
          <w:szCs w:val="28"/>
          <w:rtl/>
        </w:rPr>
        <w:t xml:space="preserve"> שחרורו ממאסר </w:t>
      </w:r>
      <w:r w:rsidRPr="00D33DBD">
        <w:rPr>
          <w:rFonts w:ascii="FrankRuehl" w:hAnsi="FrankRuehl" w:cs="FrankRuehl"/>
          <w:color w:val="000000"/>
          <w:sz w:val="28"/>
          <w:szCs w:val="28"/>
          <w:rtl/>
        </w:rPr>
        <w:t>עבירה לפי פקודת הסמים מסוג פשע.</w:t>
      </w:r>
      <w:r w:rsidRPr="00D33DBD">
        <w:rPr>
          <w:rFonts w:ascii="FrankRuehl" w:hAnsi="FrankRuehl" w:cs="FrankRuehl" w:hint="cs"/>
          <w:color w:val="000000"/>
          <w:sz w:val="28"/>
          <w:szCs w:val="28"/>
          <w:rtl/>
        </w:rPr>
        <w:t xml:space="preserve"> </w:t>
      </w:r>
    </w:p>
    <w:p w14:paraId="1C5A5B12"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Pr>
          <w:rFonts w:ascii="FrankRuehl" w:hAnsi="FrankRuehl" w:cs="FrankRuehl" w:hint="cs"/>
          <w:color w:val="000000"/>
          <w:sz w:val="28"/>
          <w:szCs w:val="28"/>
          <w:rtl/>
        </w:rPr>
        <w:t>6</w:t>
      </w:r>
      <w:r w:rsidRPr="00D33DBD">
        <w:rPr>
          <w:rFonts w:ascii="FrankRuehl" w:hAnsi="FrankRuehl" w:cs="FrankRuehl"/>
          <w:color w:val="000000"/>
          <w:sz w:val="28"/>
          <w:szCs w:val="28"/>
          <w:rtl/>
        </w:rPr>
        <w:t xml:space="preserve"> חודשי מאסר, אותם לא ירצה הנאשם, אלא א</w:t>
      </w:r>
      <w:r>
        <w:rPr>
          <w:rFonts w:ascii="FrankRuehl" w:hAnsi="FrankRuehl" w:cs="FrankRuehl"/>
          <w:color w:val="000000"/>
          <w:sz w:val="28"/>
          <w:szCs w:val="28"/>
          <w:rtl/>
        </w:rPr>
        <w:t>ם כן הוא יעבור במשך שלוש שנים מ</w:t>
      </w:r>
      <w:r w:rsidRPr="00D33DBD">
        <w:rPr>
          <w:rFonts w:ascii="FrankRuehl" w:hAnsi="FrankRuehl" w:cs="FrankRuehl"/>
          <w:color w:val="000000"/>
          <w:sz w:val="28"/>
          <w:szCs w:val="28"/>
          <w:rtl/>
        </w:rPr>
        <w:t>יום</w:t>
      </w:r>
      <w:r>
        <w:rPr>
          <w:rFonts w:ascii="FrankRuehl" w:hAnsi="FrankRuehl" w:cs="FrankRuehl" w:hint="cs"/>
          <w:color w:val="000000"/>
          <w:sz w:val="28"/>
          <w:szCs w:val="28"/>
          <w:rtl/>
        </w:rPr>
        <w:t xml:space="preserve"> שחרורו ממאסר</w:t>
      </w:r>
      <w:r w:rsidR="007E72A6">
        <w:rPr>
          <w:rFonts w:ascii="FrankRuehl" w:hAnsi="FrankRuehl" w:cs="FrankRuehl"/>
          <w:color w:val="000000"/>
          <w:sz w:val="28"/>
          <w:szCs w:val="28"/>
          <w:rtl/>
        </w:rPr>
        <w:t xml:space="preserve"> </w:t>
      </w:r>
      <w:r w:rsidRPr="00D33DBD">
        <w:rPr>
          <w:rFonts w:ascii="FrankRuehl" w:hAnsi="FrankRuehl" w:cs="FrankRuehl"/>
          <w:color w:val="000000"/>
          <w:sz w:val="28"/>
          <w:szCs w:val="28"/>
          <w:rtl/>
        </w:rPr>
        <w:t>עבירה לפי פקודת הסמים מסוג עוון.</w:t>
      </w:r>
    </w:p>
    <w:p w14:paraId="516481C0"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D33DBD">
        <w:rPr>
          <w:rFonts w:ascii="FrankRuehl" w:hAnsi="FrankRuehl" w:cs="FrankRuehl"/>
          <w:color w:val="000000"/>
          <w:sz w:val="28"/>
          <w:szCs w:val="28"/>
          <w:rtl/>
        </w:rPr>
        <w:t>אני מכריז על הנאשם כ"סוחר סמים" כמשמעות המונח</w:t>
      </w:r>
      <w:r>
        <w:rPr>
          <w:rFonts w:ascii="FrankRuehl" w:hAnsi="FrankRuehl" w:cs="FrankRuehl" w:hint="cs"/>
          <w:color w:val="000000"/>
          <w:sz w:val="28"/>
          <w:szCs w:val="28"/>
          <w:rtl/>
        </w:rPr>
        <w:t xml:space="preserve"> ב</w:t>
      </w:r>
      <w:hyperlink r:id="rId72" w:history="1">
        <w:r w:rsidR="007E72A6" w:rsidRPr="007E72A6">
          <w:rPr>
            <w:rFonts w:ascii="FrankRuehl" w:hAnsi="FrankRuehl" w:cs="FrankRuehl"/>
            <w:color w:val="0000FF"/>
            <w:sz w:val="28"/>
            <w:szCs w:val="28"/>
            <w:u w:val="single"/>
            <w:rtl/>
          </w:rPr>
          <w:t>פקודת הסמים המסוכנים</w:t>
        </w:r>
      </w:hyperlink>
      <w:r>
        <w:rPr>
          <w:rFonts w:ascii="FrankRuehl" w:hAnsi="FrankRuehl" w:cs="FrankRuehl" w:hint="cs"/>
          <w:color w:val="000000"/>
          <w:sz w:val="28"/>
          <w:szCs w:val="28"/>
          <w:rtl/>
        </w:rPr>
        <w:t xml:space="preserve">, </w:t>
      </w:r>
      <w:r w:rsidRPr="00D33DBD">
        <w:rPr>
          <w:rFonts w:ascii="FrankRuehl" w:hAnsi="FrankRuehl" w:cs="FrankRuehl"/>
          <w:color w:val="000000"/>
          <w:sz w:val="28"/>
          <w:szCs w:val="28"/>
          <w:rtl/>
        </w:rPr>
        <w:t>ומורה על חילוט הרכוש ש</w:t>
      </w:r>
      <w:r w:rsidRPr="00D33DBD">
        <w:rPr>
          <w:rFonts w:ascii="FrankRuehl" w:hAnsi="FrankRuehl" w:cs="FrankRuehl" w:hint="cs"/>
          <w:color w:val="000000"/>
          <w:sz w:val="28"/>
          <w:szCs w:val="28"/>
          <w:rtl/>
        </w:rPr>
        <w:t>נתפס אצל הנאשם: 6,000 ₪ שנתפסו עליו במזומן; 6,000 ₪ שנתפסו בחשבון הבנק שלו;</w:t>
      </w:r>
      <w:r>
        <w:rPr>
          <w:rFonts w:ascii="FrankRuehl" w:hAnsi="FrankRuehl" w:cs="FrankRuehl" w:hint="cs"/>
          <w:color w:val="000000"/>
          <w:sz w:val="28"/>
          <w:szCs w:val="28"/>
          <w:rtl/>
        </w:rPr>
        <w:t xml:space="preserve"> אופנוע מ.ר. 1041870. </w:t>
      </w:r>
    </w:p>
    <w:p w14:paraId="17D29624" w14:textId="77777777" w:rsidR="00DF731F" w:rsidRPr="00D33DBD" w:rsidRDefault="007E72A6" w:rsidP="00DF731F">
      <w:pPr>
        <w:pStyle w:val="a9"/>
        <w:bidi/>
        <w:spacing w:line="360" w:lineRule="auto"/>
        <w:ind w:left="720"/>
        <w:jc w:val="both"/>
        <w:rPr>
          <w:rFonts w:ascii="FrankRuehl" w:hAnsi="FrankRuehl" w:cs="FrankRuehl"/>
          <w:color w:val="000000"/>
          <w:sz w:val="28"/>
          <w:szCs w:val="28"/>
          <w:rtl/>
        </w:rPr>
      </w:pPr>
      <w:r w:rsidRPr="007E72A6">
        <w:rPr>
          <w:rFonts w:ascii="FrankRuehl" w:hAnsi="FrankRuehl" w:cs="FrankRuehl"/>
          <w:color w:val="FFFFFF"/>
          <w:sz w:val="2"/>
          <w:szCs w:val="2"/>
          <w:rtl/>
        </w:rPr>
        <w:t>5129371</w:t>
      </w:r>
      <w:r w:rsidR="00DF731F" w:rsidRPr="00D33DBD">
        <w:rPr>
          <w:rFonts w:ascii="FrankRuehl" w:hAnsi="FrankRuehl" w:cs="FrankRuehl" w:hint="cs"/>
          <w:color w:val="000000"/>
          <w:sz w:val="28"/>
          <w:szCs w:val="28"/>
          <w:rtl/>
        </w:rPr>
        <w:t xml:space="preserve">בשים לב לעונשי המאסר ולמצבו של הנאשם לא מצאתי לנכון להשית עונש קנס. </w:t>
      </w:r>
    </w:p>
    <w:p w14:paraId="04D6B26E" w14:textId="77777777" w:rsidR="00DF731F" w:rsidRDefault="007E72A6" w:rsidP="00DF731F">
      <w:pPr>
        <w:pStyle w:val="a9"/>
        <w:bidi/>
        <w:spacing w:line="360" w:lineRule="auto"/>
        <w:ind w:left="720"/>
        <w:jc w:val="both"/>
        <w:rPr>
          <w:rFonts w:ascii="FrankRuehl" w:hAnsi="FrankRuehl" w:cs="FrankRuehl"/>
          <w:color w:val="000000"/>
          <w:sz w:val="28"/>
          <w:szCs w:val="28"/>
          <w:rtl/>
        </w:rPr>
      </w:pPr>
      <w:r w:rsidRPr="007E72A6">
        <w:rPr>
          <w:rFonts w:ascii="FrankRuehl" w:hAnsi="FrankRuehl" w:cs="FrankRuehl"/>
          <w:color w:val="FFFFFF"/>
          <w:sz w:val="2"/>
          <w:szCs w:val="2"/>
          <w:rtl/>
        </w:rPr>
        <w:t>54678313</w:t>
      </w:r>
      <w:r w:rsidR="00DF731F">
        <w:rPr>
          <w:rFonts w:ascii="FrankRuehl" w:hAnsi="FrankRuehl" w:cs="FrankRuehl" w:hint="cs"/>
          <w:color w:val="000000"/>
          <w:sz w:val="28"/>
          <w:szCs w:val="28"/>
          <w:rtl/>
        </w:rPr>
        <w:t xml:space="preserve">שב"ס יפעל לשבץ את הנאשם במסגרת טיפולית בכלא, בשים לב להליך שהנאשם כבר עבר עד עתה. </w:t>
      </w:r>
    </w:p>
    <w:p w14:paraId="3B87E726" w14:textId="77777777" w:rsidR="00DF731F" w:rsidRPr="00D33DBD" w:rsidRDefault="00DF731F" w:rsidP="00DF731F">
      <w:pPr>
        <w:pStyle w:val="a9"/>
        <w:bidi/>
        <w:spacing w:line="360" w:lineRule="auto"/>
        <w:ind w:left="720"/>
        <w:jc w:val="both"/>
        <w:rPr>
          <w:rFonts w:ascii="FrankRuehl" w:hAnsi="FrankRuehl" w:cs="FrankRuehl"/>
          <w:color w:val="000000"/>
          <w:sz w:val="28"/>
          <w:szCs w:val="28"/>
          <w:rtl/>
        </w:rPr>
      </w:pPr>
      <w:r>
        <w:rPr>
          <w:rFonts w:ascii="FrankRuehl" w:hAnsi="FrankRuehl" w:cs="FrankRuehl" w:hint="cs"/>
          <w:color w:val="000000"/>
          <w:sz w:val="28"/>
          <w:szCs w:val="28"/>
          <w:rtl/>
        </w:rPr>
        <w:t xml:space="preserve">זכות ערעור לבית המשפט העליון בתוך 45 יום מהיום. </w:t>
      </w:r>
    </w:p>
    <w:p w14:paraId="67BB77B1" w14:textId="77777777" w:rsidR="00DF731F" w:rsidRPr="000F2247" w:rsidRDefault="007E72A6" w:rsidP="00DF731F">
      <w:pPr>
        <w:spacing w:line="360" w:lineRule="auto"/>
        <w:rPr>
          <w:rFonts w:ascii="Arial" w:hAnsi="Arial"/>
          <w:b/>
          <w:bCs/>
          <w:sz w:val="26"/>
          <w:szCs w:val="26"/>
          <w:rtl/>
        </w:rPr>
      </w:pPr>
      <w:bookmarkStart w:id="9" w:name="Nitan"/>
      <w:r>
        <w:rPr>
          <w:rFonts w:ascii="FrankRuehl" w:hAnsi="FrankRuehl" w:cs="FrankRuehl"/>
          <w:color w:val="000000"/>
          <w:sz w:val="28"/>
          <w:szCs w:val="28"/>
          <w:rtl/>
        </w:rPr>
        <w:t xml:space="preserve">ניתן היום,  ח' שבט תשפ"ג, 30 ינואר 2023, במעמד המתייצבים. </w:t>
      </w:r>
      <w:bookmarkEnd w:id="9"/>
    </w:p>
    <w:p w14:paraId="1DEBA7CE" w14:textId="77777777" w:rsidR="00DF731F" w:rsidRPr="000F2247" w:rsidRDefault="00DF731F" w:rsidP="007E72A6">
      <w:pPr>
        <w:spacing w:line="360" w:lineRule="auto"/>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914FE4" w14:textId="77777777" w:rsidR="00DF731F" w:rsidRPr="003409F6" w:rsidRDefault="003409F6" w:rsidP="00DF731F">
      <w:pPr>
        <w:spacing w:line="360" w:lineRule="auto"/>
        <w:jc w:val="center"/>
        <w:rPr>
          <w:rFonts w:ascii="Arial" w:hAnsi="Arial"/>
          <w:b/>
          <w:bCs/>
          <w:color w:val="FFFFFF"/>
          <w:sz w:val="2"/>
          <w:szCs w:val="2"/>
          <w:rtl/>
        </w:rPr>
      </w:pPr>
      <w:r w:rsidRPr="003409F6">
        <w:rPr>
          <w:rFonts w:ascii="Arial" w:hAnsi="Arial"/>
          <w:b/>
          <w:bCs/>
          <w:color w:val="FFFFFF"/>
          <w:sz w:val="2"/>
          <w:szCs w:val="2"/>
          <w:rtl/>
        </w:rPr>
        <w:t>5129371</w:t>
      </w:r>
    </w:p>
    <w:p w14:paraId="05B2D7AA" w14:textId="77777777" w:rsidR="00D235F9" w:rsidRPr="003409F6" w:rsidRDefault="003409F6" w:rsidP="007E72A6">
      <w:pPr>
        <w:keepNext/>
        <w:rPr>
          <w:rFonts w:ascii="David" w:hAnsi="David"/>
          <w:color w:val="FFFFFF"/>
          <w:sz w:val="2"/>
          <w:szCs w:val="2"/>
          <w:rtl/>
        </w:rPr>
      </w:pPr>
      <w:r w:rsidRPr="003409F6">
        <w:rPr>
          <w:rFonts w:ascii="David" w:hAnsi="David"/>
          <w:color w:val="FFFFFF"/>
          <w:sz w:val="2"/>
          <w:szCs w:val="2"/>
          <w:rtl/>
        </w:rPr>
        <w:t>54678313</w:t>
      </w:r>
    </w:p>
    <w:p w14:paraId="390855B9" w14:textId="77777777" w:rsidR="007E72A6" w:rsidRDefault="007E72A6" w:rsidP="007E72A6">
      <w:pPr>
        <w:rPr>
          <w:rtl/>
        </w:rPr>
      </w:pPr>
    </w:p>
    <w:p w14:paraId="0FCD6031" w14:textId="77777777" w:rsidR="007E72A6" w:rsidRDefault="007E72A6" w:rsidP="007E72A6">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54F0044D" w14:textId="77777777" w:rsidR="003409F6" w:rsidRPr="003409F6" w:rsidRDefault="003409F6" w:rsidP="003409F6">
      <w:pPr>
        <w:keepNext/>
        <w:rPr>
          <w:rFonts w:ascii="David" w:hAnsi="David"/>
          <w:color w:val="000000"/>
          <w:sz w:val="22"/>
          <w:szCs w:val="22"/>
          <w:rtl/>
        </w:rPr>
      </w:pPr>
    </w:p>
    <w:p w14:paraId="16E1E946" w14:textId="77777777" w:rsidR="003409F6" w:rsidRPr="003409F6" w:rsidRDefault="003409F6" w:rsidP="003409F6">
      <w:pPr>
        <w:keepNext/>
        <w:rPr>
          <w:rFonts w:ascii="David" w:hAnsi="David"/>
          <w:color w:val="000000"/>
          <w:sz w:val="22"/>
          <w:szCs w:val="22"/>
          <w:rtl/>
        </w:rPr>
      </w:pPr>
      <w:r w:rsidRPr="003409F6">
        <w:rPr>
          <w:rFonts w:ascii="David" w:hAnsi="David"/>
          <w:color w:val="000000"/>
          <w:sz w:val="22"/>
          <w:szCs w:val="22"/>
          <w:rtl/>
        </w:rPr>
        <w:t>אילן סלע 54678313-/</w:t>
      </w:r>
    </w:p>
    <w:p w14:paraId="73BEDA19" w14:textId="77777777" w:rsidR="007E72A6" w:rsidRPr="007E72A6" w:rsidRDefault="003409F6" w:rsidP="003409F6">
      <w:pPr>
        <w:rPr>
          <w:color w:val="0000FF"/>
          <w:u w:val="single"/>
        </w:rPr>
      </w:pPr>
      <w:r w:rsidRPr="003409F6">
        <w:rPr>
          <w:color w:val="000000"/>
          <w:u w:val="single"/>
          <w:rtl/>
        </w:rPr>
        <w:t>נוסח מסמך זה כפוף לשינויי ניסוח ועריכה</w:t>
      </w:r>
    </w:p>
    <w:sectPr w:rsidR="007E72A6" w:rsidRPr="007E72A6" w:rsidSect="003409F6">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2737F" w14:textId="77777777" w:rsidR="00BA2174" w:rsidRDefault="00BA2174" w:rsidP="00804466">
      <w:r>
        <w:separator/>
      </w:r>
    </w:p>
  </w:endnote>
  <w:endnote w:type="continuationSeparator" w:id="0">
    <w:p w14:paraId="46151339" w14:textId="77777777" w:rsidR="00BA2174" w:rsidRDefault="00BA2174" w:rsidP="0080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3A397" w14:textId="77777777" w:rsidR="003409F6" w:rsidRDefault="003409F6" w:rsidP="003409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47C9F9" w14:textId="77777777" w:rsidR="00545CE4" w:rsidRPr="003409F6" w:rsidRDefault="003409F6" w:rsidP="003409F6">
    <w:pPr>
      <w:pStyle w:val="a5"/>
      <w:pBdr>
        <w:top w:val="single" w:sz="4" w:space="1" w:color="auto"/>
        <w:between w:val="single" w:sz="4" w:space="0" w:color="auto"/>
      </w:pBdr>
      <w:spacing w:after="60"/>
      <w:jc w:val="center"/>
      <w:rPr>
        <w:rFonts w:ascii="FrankRuehl" w:hAnsi="FrankRuehl" w:cs="FrankRuehl"/>
        <w:color w:val="000000"/>
      </w:rPr>
    </w:pPr>
    <w:r w:rsidRPr="003409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B8036" w14:textId="77777777" w:rsidR="003409F6" w:rsidRDefault="003409F6" w:rsidP="003409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50CC">
      <w:rPr>
        <w:rFonts w:ascii="FrankRuehl" w:hAnsi="FrankRuehl" w:cs="FrankRuehl"/>
        <w:noProof/>
        <w:rtl/>
      </w:rPr>
      <w:t>1</w:t>
    </w:r>
    <w:r>
      <w:rPr>
        <w:rFonts w:ascii="FrankRuehl" w:hAnsi="FrankRuehl" w:cs="FrankRuehl"/>
        <w:rtl/>
      </w:rPr>
      <w:fldChar w:fldCharType="end"/>
    </w:r>
  </w:p>
  <w:p w14:paraId="03B245C7" w14:textId="77777777" w:rsidR="00545CE4" w:rsidRPr="003409F6" w:rsidRDefault="003409F6" w:rsidP="003409F6">
    <w:pPr>
      <w:pStyle w:val="a5"/>
      <w:pBdr>
        <w:top w:val="single" w:sz="4" w:space="1" w:color="auto"/>
        <w:between w:val="single" w:sz="4" w:space="0" w:color="auto"/>
      </w:pBdr>
      <w:spacing w:after="60"/>
      <w:jc w:val="center"/>
      <w:rPr>
        <w:rFonts w:ascii="FrankRuehl" w:hAnsi="FrankRuehl" w:cs="FrankRuehl"/>
        <w:color w:val="000000"/>
      </w:rPr>
    </w:pPr>
    <w:r w:rsidRPr="003409F6">
      <w:rPr>
        <w:rFonts w:ascii="FrankRuehl" w:hAnsi="FrankRuehl" w:cs="FrankRuehl"/>
        <w:color w:val="000000"/>
      </w:rPr>
      <w:pict w14:anchorId="4DF13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5F20E" w14:textId="77777777" w:rsidR="00BA2174" w:rsidRDefault="00BA2174" w:rsidP="00804466">
      <w:r>
        <w:separator/>
      </w:r>
    </w:p>
  </w:footnote>
  <w:footnote w:type="continuationSeparator" w:id="0">
    <w:p w14:paraId="27F0196C" w14:textId="77777777" w:rsidR="00BA2174" w:rsidRDefault="00BA2174" w:rsidP="0080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92FDB" w14:textId="77777777" w:rsidR="007E72A6" w:rsidRPr="003409F6" w:rsidRDefault="003409F6" w:rsidP="003409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54460-03-21</w:t>
    </w:r>
    <w:r>
      <w:rPr>
        <w:rFonts w:ascii="David" w:hAnsi="David"/>
        <w:color w:val="000000"/>
        <w:sz w:val="22"/>
        <w:szCs w:val="22"/>
        <w:rtl/>
      </w:rPr>
      <w:tab/>
      <w:t xml:space="preserve"> מדינת ישראל  נ' סלומון טסמה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E20BA" w14:textId="77777777" w:rsidR="007E72A6" w:rsidRPr="003409F6" w:rsidRDefault="003409F6" w:rsidP="003409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54460-03-21</w:t>
    </w:r>
    <w:r>
      <w:rPr>
        <w:rFonts w:ascii="David" w:hAnsi="David"/>
        <w:color w:val="000000"/>
        <w:sz w:val="22"/>
        <w:szCs w:val="22"/>
        <w:rtl/>
      </w:rPr>
      <w:tab/>
      <w:t xml:space="preserve"> מדינת ישראל  נ' סלומון טסמה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36823"/>
    <w:multiLevelType w:val="hybridMultilevel"/>
    <w:tmpl w:val="63367900"/>
    <w:lvl w:ilvl="0" w:tplc="67687DA4">
      <w:start w:val="19"/>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21EB0"/>
    <w:multiLevelType w:val="hybridMultilevel"/>
    <w:tmpl w:val="0F50CEB0"/>
    <w:lvl w:ilvl="0" w:tplc="5E8C97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929C5"/>
    <w:multiLevelType w:val="hybridMultilevel"/>
    <w:tmpl w:val="32C4DA88"/>
    <w:lvl w:ilvl="0" w:tplc="2B64FA3A">
      <w:start w:val="48"/>
      <w:numFmt w:val="bullet"/>
      <w:lvlText w:val=""/>
      <w:lvlJc w:val="left"/>
      <w:pPr>
        <w:ind w:left="720" w:hanging="360"/>
      </w:pPr>
      <w:rPr>
        <w:rFonts w:ascii="Symbol" w:eastAsia="Times New Roman" w:hAnsi="Symbol" w:cs="FrankRueh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98454">
    <w:abstractNumId w:val="2"/>
  </w:num>
  <w:num w:numId="2" w16cid:durableId="1801024666">
    <w:abstractNumId w:val="0"/>
  </w:num>
  <w:num w:numId="3" w16cid:durableId="37396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31F"/>
    <w:rsid w:val="001B5A3B"/>
    <w:rsid w:val="002850CC"/>
    <w:rsid w:val="003409F6"/>
    <w:rsid w:val="004E55EE"/>
    <w:rsid w:val="00545CE4"/>
    <w:rsid w:val="007E72A6"/>
    <w:rsid w:val="00804466"/>
    <w:rsid w:val="009F3AE5"/>
    <w:rsid w:val="00A70ECE"/>
    <w:rsid w:val="00B25792"/>
    <w:rsid w:val="00BA2174"/>
    <w:rsid w:val="00C176D3"/>
    <w:rsid w:val="00D235F9"/>
    <w:rsid w:val="00D815DB"/>
    <w:rsid w:val="00DF731F"/>
    <w:rsid w:val="00F30A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848BDE"/>
  <w15:chartTrackingRefBased/>
  <w15:docId w15:val="{56281F64-9477-424D-8120-F3812754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3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731F"/>
    <w:pPr>
      <w:tabs>
        <w:tab w:val="center" w:pos="4153"/>
        <w:tab w:val="right" w:pos="8306"/>
      </w:tabs>
    </w:pPr>
  </w:style>
  <w:style w:type="character" w:customStyle="1" w:styleId="a4">
    <w:name w:val="כותרת עליונה תו"/>
    <w:link w:val="a3"/>
    <w:rsid w:val="00DF731F"/>
    <w:rPr>
      <w:rFonts w:ascii="Times New Roman" w:eastAsia="Times New Roman" w:hAnsi="Times New Roman" w:cs="David"/>
      <w:sz w:val="24"/>
      <w:szCs w:val="24"/>
    </w:rPr>
  </w:style>
  <w:style w:type="paragraph" w:styleId="a5">
    <w:name w:val="footer"/>
    <w:basedOn w:val="a"/>
    <w:link w:val="a6"/>
    <w:rsid w:val="00DF731F"/>
    <w:pPr>
      <w:tabs>
        <w:tab w:val="center" w:pos="4153"/>
        <w:tab w:val="right" w:pos="8306"/>
      </w:tabs>
    </w:pPr>
  </w:style>
  <w:style w:type="character" w:customStyle="1" w:styleId="a6">
    <w:name w:val="כותרת תחתונה תו"/>
    <w:link w:val="a5"/>
    <w:rsid w:val="00DF731F"/>
    <w:rPr>
      <w:rFonts w:ascii="Times New Roman" w:eastAsia="Times New Roman" w:hAnsi="Times New Roman" w:cs="David"/>
      <w:sz w:val="24"/>
      <w:szCs w:val="24"/>
    </w:rPr>
  </w:style>
  <w:style w:type="table" w:styleId="a7">
    <w:name w:val="Table Grid"/>
    <w:basedOn w:val="a1"/>
    <w:rsid w:val="00DF73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731F"/>
  </w:style>
  <w:style w:type="paragraph" w:styleId="a9">
    <w:name w:val="List Paragraph"/>
    <w:basedOn w:val="a"/>
    <w:qFormat/>
    <w:rsid w:val="00DF731F"/>
    <w:pPr>
      <w:bidi w:val="0"/>
      <w:spacing w:before="100" w:beforeAutospacing="1" w:after="100" w:afterAutospacing="1"/>
    </w:pPr>
    <w:rPr>
      <w:rFonts w:cs="Times New Roman"/>
    </w:rPr>
  </w:style>
  <w:style w:type="character" w:styleId="Hyperlink">
    <w:name w:val="Hyperlink"/>
    <w:rsid w:val="007E7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599877"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7925239" TargetMode="External"/><Relationship Id="rId47" Type="http://schemas.openxmlformats.org/officeDocument/2006/relationships/hyperlink" Target="http://www.nevo.co.il/law/70301/144.b2" TargetMode="External"/><Relationship Id="rId63" Type="http://schemas.openxmlformats.org/officeDocument/2006/relationships/hyperlink" Target="http://www.nevo.co.il/case/20157961" TargetMode="External"/><Relationship Id="rId68" Type="http://schemas.openxmlformats.org/officeDocument/2006/relationships/hyperlink" Target="http://www.nevo.co.il/case/28883087" TargetMode="External"/><Relationship Id="rId16" Type="http://schemas.openxmlformats.org/officeDocument/2006/relationships/hyperlink" Target="http://www.nevo.co.il/law/70301/144.b"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6986940" TargetMode="External"/><Relationship Id="rId37" Type="http://schemas.openxmlformats.org/officeDocument/2006/relationships/hyperlink" Target="http://www.nevo.co.il/case/27708542"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7567095" TargetMode="External"/><Relationship Id="rId53" Type="http://schemas.openxmlformats.org/officeDocument/2006/relationships/hyperlink" Target="http://www.nevo.co.il/case/26714450" TargetMode="External"/><Relationship Id="rId58" Type="http://schemas.openxmlformats.org/officeDocument/2006/relationships/hyperlink" Target="http://www.nevo.co.il/case/23750625" TargetMode="External"/><Relationship Id="rId66" Type="http://schemas.openxmlformats.org/officeDocument/2006/relationships/hyperlink" Target="http://www.nevo.co.il/case/25824863"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6120447"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1879336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8883087" TargetMode="External"/><Relationship Id="rId56" Type="http://schemas.openxmlformats.org/officeDocument/2006/relationships/hyperlink" Target="http://www.nevo.co.il/case/23850993" TargetMode="External"/><Relationship Id="rId64" Type="http://schemas.openxmlformats.org/officeDocument/2006/relationships/hyperlink" Target="http://www.nevo.co.il/case/17016911" TargetMode="External"/><Relationship Id="rId69" Type="http://schemas.openxmlformats.org/officeDocument/2006/relationships/hyperlink" Target="http://www.nevo.co.il/case/26433775" TargetMode="External"/><Relationship Id="rId77"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7527570"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23133293" TargetMode="External"/><Relationship Id="rId38" Type="http://schemas.openxmlformats.org/officeDocument/2006/relationships/hyperlink" Target="http://www.nevo.co.il/case/27915710" TargetMode="External"/><Relationship Id="rId46" Type="http://schemas.openxmlformats.org/officeDocument/2006/relationships/hyperlink" Target="http://www.nevo.co.il/case/27513376" TargetMode="External"/><Relationship Id="rId59" Type="http://schemas.openxmlformats.org/officeDocument/2006/relationships/hyperlink" Target="http://www.nevo.co.il/law/70301/40b" TargetMode="External"/><Relationship Id="rId67" Type="http://schemas.openxmlformats.org/officeDocument/2006/relationships/hyperlink" Target="http://www.nevo.co.il/case/28697227"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7513376" TargetMode="External"/><Relationship Id="rId54" Type="http://schemas.openxmlformats.org/officeDocument/2006/relationships/hyperlink" Target="http://www.nevo.co.il/case/26216601" TargetMode="External"/><Relationship Id="rId62" Type="http://schemas.openxmlformats.org/officeDocument/2006/relationships/hyperlink" Target="http://www.nevo.co.il/case/4840313" TargetMode="External"/><Relationship Id="rId70" Type="http://schemas.openxmlformats.org/officeDocument/2006/relationships/hyperlink" Target="http://www.nevo.co.il/law/70301/144"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27567095" TargetMode="External"/><Relationship Id="rId49" Type="http://schemas.openxmlformats.org/officeDocument/2006/relationships/hyperlink" Target="http://www.nevo.co.il/case/27925239" TargetMode="External"/><Relationship Id="rId57" Type="http://schemas.openxmlformats.org/officeDocument/2006/relationships/hyperlink" Target="http://www.nevo.co.il/case/23817771"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87128"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27347604" TargetMode="External"/><Relationship Id="rId60" Type="http://schemas.openxmlformats.org/officeDocument/2006/relationships/hyperlink" Target="http://www.nevo.co.il/law/70301/40d" TargetMode="External"/><Relationship Id="rId65" Type="http://schemas.openxmlformats.org/officeDocument/2006/relationships/hyperlink" Target="http://www.nevo.co.il/case/28645587"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5824863" TargetMode="External"/><Relationship Id="rId34" Type="http://schemas.openxmlformats.org/officeDocument/2006/relationships/hyperlink" Target="http://www.nevo.co.il/case/20787902" TargetMode="External"/><Relationship Id="rId50" Type="http://schemas.openxmlformats.org/officeDocument/2006/relationships/hyperlink" Target="http://www.nevo.co.il/case/28426085" TargetMode="External"/><Relationship Id="rId55" Type="http://schemas.openxmlformats.org/officeDocument/2006/relationships/hyperlink" Target="http://www.nevo.co.il/case/23877165" TargetMode="External"/><Relationship Id="rId76"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4472</Words>
  <Characters>22364</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26783</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6357092</vt:i4>
      </vt:variant>
      <vt:variant>
        <vt:i4>189</vt:i4>
      </vt:variant>
      <vt:variant>
        <vt:i4>0</vt:i4>
      </vt:variant>
      <vt:variant>
        <vt:i4>5</vt:i4>
      </vt:variant>
      <vt:variant>
        <vt:lpwstr>http://www.nevo.co.il/law/70301/144</vt:lpwstr>
      </vt:variant>
      <vt:variant>
        <vt:lpwstr/>
      </vt:variant>
      <vt:variant>
        <vt:i4>3276918</vt:i4>
      </vt:variant>
      <vt:variant>
        <vt:i4>186</vt:i4>
      </vt:variant>
      <vt:variant>
        <vt:i4>0</vt:i4>
      </vt:variant>
      <vt:variant>
        <vt:i4>5</vt:i4>
      </vt:variant>
      <vt:variant>
        <vt:lpwstr>http://www.nevo.co.il/case/26433775</vt:lpwstr>
      </vt:variant>
      <vt:variant>
        <vt:lpwstr/>
      </vt:variant>
      <vt:variant>
        <vt:i4>3211380</vt:i4>
      </vt:variant>
      <vt:variant>
        <vt:i4>183</vt:i4>
      </vt:variant>
      <vt:variant>
        <vt:i4>0</vt:i4>
      </vt:variant>
      <vt:variant>
        <vt:i4>5</vt:i4>
      </vt:variant>
      <vt:variant>
        <vt:lpwstr>http://www.nevo.co.il/case/28883087</vt:lpwstr>
      </vt:variant>
      <vt:variant>
        <vt:lpwstr/>
      </vt:variant>
      <vt:variant>
        <vt:i4>3211383</vt:i4>
      </vt:variant>
      <vt:variant>
        <vt:i4>180</vt:i4>
      </vt:variant>
      <vt:variant>
        <vt:i4>0</vt:i4>
      </vt:variant>
      <vt:variant>
        <vt:i4>5</vt:i4>
      </vt:variant>
      <vt:variant>
        <vt:lpwstr>http://www.nevo.co.il/case/28697227</vt:lpwstr>
      </vt:variant>
      <vt:variant>
        <vt:lpwstr/>
      </vt:variant>
      <vt:variant>
        <vt:i4>3670139</vt:i4>
      </vt:variant>
      <vt:variant>
        <vt:i4>177</vt:i4>
      </vt:variant>
      <vt:variant>
        <vt:i4>0</vt:i4>
      </vt:variant>
      <vt:variant>
        <vt:i4>5</vt:i4>
      </vt:variant>
      <vt:variant>
        <vt:lpwstr>http://www.nevo.co.il/case/25824863</vt:lpwstr>
      </vt:variant>
      <vt:variant>
        <vt:lpwstr/>
      </vt:variant>
      <vt:variant>
        <vt:i4>3735677</vt:i4>
      </vt:variant>
      <vt:variant>
        <vt:i4>174</vt:i4>
      </vt:variant>
      <vt:variant>
        <vt:i4>0</vt:i4>
      </vt:variant>
      <vt:variant>
        <vt:i4>5</vt:i4>
      </vt:variant>
      <vt:variant>
        <vt:lpwstr>http://www.nevo.co.il/case/28645587</vt:lpwstr>
      </vt:variant>
      <vt:variant>
        <vt:lpwstr/>
      </vt:variant>
      <vt:variant>
        <vt:i4>3539067</vt:i4>
      </vt:variant>
      <vt:variant>
        <vt:i4>171</vt:i4>
      </vt:variant>
      <vt:variant>
        <vt:i4>0</vt:i4>
      </vt:variant>
      <vt:variant>
        <vt:i4>5</vt:i4>
      </vt:variant>
      <vt:variant>
        <vt:lpwstr>http://www.nevo.co.il/case/17016911</vt:lpwstr>
      </vt:variant>
      <vt:variant>
        <vt:lpwstr/>
      </vt:variant>
      <vt:variant>
        <vt:i4>3276920</vt:i4>
      </vt:variant>
      <vt:variant>
        <vt:i4>168</vt:i4>
      </vt:variant>
      <vt:variant>
        <vt:i4>0</vt:i4>
      </vt:variant>
      <vt:variant>
        <vt:i4>5</vt:i4>
      </vt:variant>
      <vt:variant>
        <vt:lpwstr>http://www.nevo.co.il/case/20157961</vt:lpwstr>
      </vt:variant>
      <vt:variant>
        <vt:lpwstr/>
      </vt:variant>
      <vt:variant>
        <vt:i4>3145853</vt:i4>
      </vt:variant>
      <vt:variant>
        <vt:i4>165</vt:i4>
      </vt:variant>
      <vt:variant>
        <vt:i4>0</vt:i4>
      </vt:variant>
      <vt:variant>
        <vt:i4>5</vt:i4>
      </vt:variant>
      <vt:variant>
        <vt:lpwstr>http://www.nevo.co.il/case/4840313</vt:lpwstr>
      </vt:variant>
      <vt:variant>
        <vt:lpwstr/>
      </vt:variant>
      <vt:variant>
        <vt:i4>3604593</vt:i4>
      </vt:variant>
      <vt:variant>
        <vt:i4>162</vt:i4>
      </vt:variant>
      <vt:variant>
        <vt:i4>0</vt:i4>
      </vt:variant>
      <vt:variant>
        <vt:i4>5</vt:i4>
      </vt:variant>
      <vt:variant>
        <vt:lpwstr>http://www.nevo.co.il/case/6120447</vt:lpwstr>
      </vt:variant>
      <vt:variant>
        <vt:lpwstr/>
      </vt:variant>
      <vt:variant>
        <vt:i4>6619233</vt:i4>
      </vt:variant>
      <vt:variant>
        <vt:i4>159</vt:i4>
      </vt:variant>
      <vt:variant>
        <vt:i4>0</vt:i4>
      </vt:variant>
      <vt:variant>
        <vt:i4>5</vt:i4>
      </vt:variant>
      <vt:variant>
        <vt:lpwstr>http://www.nevo.co.il/law/70301/40d</vt:lpwstr>
      </vt:variant>
      <vt:variant>
        <vt:lpwstr/>
      </vt:variant>
      <vt:variant>
        <vt:i4>6619233</vt:i4>
      </vt:variant>
      <vt:variant>
        <vt:i4>156</vt:i4>
      </vt:variant>
      <vt:variant>
        <vt:i4>0</vt:i4>
      </vt:variant>
      <vt:variant>
        <vt:i4>5</vt:i4>
      </vt:variant>
      <vt:variant>
        <vt:lpwstr>http://www.nevo.co.il/law/70301/40b</vt:lpwstr>
      </vt:variant>
      <vt:variant>
        <vt:lpwstr/>
      </vt:variant>
      <vt:variant>
        <vt:i4>3604596</vt:i4>
      </vt:variant>
      <vt:variant>
        <vt:i4>153</vt:i4>
      </vt:variant>
      <vt:variant>
        <vt:i4>0</vt:i4>
      </vt:variant>
      <vt:variant>
        <vt:i4>5</vt:i4>
      </vt:variant>
      <vt:variant>
        <vt:lpwstr>http://www.nevo.co.il/case/23750625</vt:lpwstr>
      </vt:variant>
      <vt:variant>
        <vt:lpwstr/>
      </vt:variant>
      <vt:variant>
        <vt:i4>3801201</vt:i4>
      </vt:variant>
      <vt:variant>
        <vt:i4>150</vt:i4>
      </vt:variant>
      <vt:variant>
        <vt:i4>0</vt:i4>
      </vt:variant>
      <vt:variant>
        <vt:i4>5</vt:i4>
      </vt:variant>
      <vt:variant>
        <vt:lpwstr>http://www.nevo.co.il/case/23817771</vt:lpwstr>
      </vt:variant>
      <vt:variant>
        <vt:lpwstr/>
      </vt:variant>
      <vt:variant>
        <vt:i4>3342459</vt:i4>
      </vt:variant>
      <vt:variant>
        <vt:i4>147</vt:i4>
      </vt:variant>
      <vt:variant>
        <vt:i4>0</vt:i4>
      </vt:variant>
      <vt:variant>
        <vt:i4>5</vt:i4>
      </vt:variant>
      <vt:variant>
        <vt:lpwstr>http://www.nevo.co.il/case/23850993</vt:lpwstr>
      </vt:variant>
      <vt:variant>
        <vt:lpwstr/>
      </vt:variant>
      <vt:variant>
        <vt:i4>3866737</vt:i4>
      </vt:variant>
      <vt:variant>
        <vt:i4>144</vt:i4>
      </vt:variant>
      <vt:variant>
        <vt:i4>0</vt:i4>
      </vt:variant>
      <vt:variant>
        <vt:i4>5</vt:i4>
      </vt:variant>
      <vt:variant>
        <vt:lpwstr>http://www.nevo.co.il/case/23877165</vt:lpwstr>
      </vt:variant>
      <vt:variant>
        <vt:lpwstr/>
      </vt:variant>
      <vt:variant>
        <vt:i4>3539061</vt:i4>
      </vt:variant>
      <vt:variant>
        <vt:i4>141</vt:i4>
      </vt:variant>
      <vt:variant>
        <vt:i4>0</vt:i4>
      </vt:variant>
      <vt:variant>
        <vt:i4>5</vt:i4>
      </vt:variant>
      <vt:variant>
        <vt:lpwstr>http://www.nevo.co.il/case/26216601</vt:lpwstr>
      </vt:variant>
      <vt:variant>
        <vt:lpwstr/>
      </vt:variant>
      <vt:variant>
        <vt:i4>3407991</vt:i4>
      </vt:variant>
      <vt:variant>
        <vt:i4>138</vt:i4>
      </vt:variant>
      <vt:variant>
        <vt:i4>0</vt:i4>
      </vt:variant>
      <vt:variant>
        <vt:i4>5</vt:i4>
      </vt:variant>
      <vt:variant>
        <vt:lpwstr>http://www.nevo.co.il/case/26714450</vt:lpwstr>
      </vt:variant>
      <vt:variant>
        <vt:lpwstr/>
      </vt:variant>
      <vt:variant>
        <vt:i4>3539057</vt:i4>
      </vt:variant>
      <vt:variant>
        <vt:i4>135</vt:i4>
      </vt:variant>
      <vt:variant>
        <vt:i4>0</vt:i4>
      </vt:variant>
      <vt:variant>
        <vt:i4>5</vt:i4>
      </vt:variant>
      <vt:variant>
        <vt:lpwstr>http://www.nevo.co.il/case/27347604</vt:lpwstr>
      </vt:variant>
      <vt:variant>
        <vt:lpwstr/>
      </vt:variant>
      <vt:variant>
        <vt:i4>3604596</vt:i4>
      </vt:variant>
      <vt:variant>
        <vt:i4>132</vt:i4>
      </vt:variant>
      <vt:variant>
        <vt:i4>0</vt:i4>
      </vt:variant>
      <vt:variant>
        <vt:i4>5</vt:i4>
      </vt:variant>
      <vt:variant>
        <vt:lpwstr>http://www.nevo.co.il/case/27527570</vt:lpwstr>
      </vt:variant>
      <vt:variant>
        <vt:lpwstr/>
      </vt:variant>
      <vt:variant>
        <vt:i4>3670142</vt:i4>
      </vt:variant>
      <vt:variant>
        <vt:i4>129</vt:i4>
      </vt:variant>
      <vt:variant>
        <vt:i4>0</vt:i4>
      </vt:variant>
      <vt:variant>
        <vt:i4>5</vt:i4>
      </vt:variant>
      <vt:variant>
        <vt:lpwstr>http://www.nevo.co.il/case/28426085</vt:lpwstr>
      </vt:variant>
      <vt:variant>
        <vt:lpwstr/>
      </vt:variant>
      <vt:variant>
        <vt:i4>3997811</vt:i4>
      </vt:variant>
      <vt:variant>
        <vt:i4>126</vt:i4>
      </vt:variant>
      <vt:variant>
        <vt:i4>0</vt:i4>
      </vt:variant>
      <vt:variant>
        <vt:i4>5</vt:i4>
      </vt:variant>
      <vt:variant>
        <vt:lpwstr>http://www.nevo.co.il/case/27925239</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3342449</vt:i4>
      </vt:variant>
      <vt:variant>
        <vt:i4>117</vt:i4>
      </vt:variant>
      <vt:variant>
        <vt:i4>0</vt:i4>
      </vt:variant>
      <vt:variant>
        <vt:i4>5</vt:i4>
      </vt:variant>
      <vt:variant>
        <vt:lpwstr>http://www.nevo.co.il/case/27513376</vt:lpwstr>
      </vt:variant>
      <vt:variant>
        <vt:lpwstr/>
      </vt:variant>
      <vt:variant>
        <vt:i4>3735669</vt:i4>
      </vt:variant>
      <vt:variant>
        <vt:i4>114</vt:i4>
      </vt:variant>
      <vt:variant>
        <vt:i4>0</vt:i4>
      </vt:variant>
      <vt:variant>
        <vt:i4>5</vt:i4>
      </vt:variant>
      <vt:variant>
        <vt:lpwstr>http://www.nevo.co.il/case/27567095</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3997811</vt:i4>
      </vt:variant>
      <vt:variant>
        <vt:i4>105</vt:i4>
      </vt:variant>
      <vt:variant>
        <vt:i4>0</vt:i4>
      </vt:variant>
      <vt:variant>
        <vt:i4>5</vt:i4>
      </vt:variant>
      <vt:variant>
        <vt:lpwstr>http://www.nevo.co.il/case/27925239</vt:lpwstr>
      </vt:variant>
      <vt:variant>
        <vt:lpwstr/>
      </vt:variant>
      <vt:variant>
        <vt:i4>3342449</vt:i4>
      </vt:variant>
      <vt:variant>
        <vt:i4>102</vt:i4>
      </vt:variant>
      <vt:variant>
        <vt:i4>0</vt:i4>
      </vt:variant>
      <vt:variant>
        <vt:i4>5</vt:i4>
      </vt:variant>
      <vt:variant>
        <vt:lpwstr>http://www.nevo.co.il/case/27513376</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4128885</vt:i4>
      </vt:variant>
      <vt:variant>
        <vt:i4>93</vt:i4>
      </vt:variant>
      <vt:variant>
        <vt:i4>0</vt:i4>
      </vt:variant>
      <vt:variant>
        <vt:i4>5</vt:i4>
      </vt:variant>
      <vt:variant>
        <vt:lpwstr>http://www.nevo.co.il/case/27915710</vt:lpwstr>
      </vt:variant>
      <vt:variant>
        <vt:lpwstr/>
      </vt:variant>
      <vt:variant>
        <vt:i4>3735670</vt:i4>
      </vt:variant>
      <vt:variant>
        <vt:i4>90</vt:i4>
      </vt:variant>
      <vt:variant>
        <vt:i4>0</vt:i4>
      </vt:variant>
      <vt:variant>
        <vt:i4>5</vt:i4>
      </vt:variant>
      <vt:variant>
        <vt:lpwstr>http://www.nevo.co.il/case/27708542</vt:lpwstr>
      </vt:variant>
      <vt:variant>
        <vt:lpwstr/>
      </vt:variant>
      <vt:variant>
        <vt:i4>3735669</vt:i4>
      </vt:variant>
      <vt:variant>
        <vt:i4>87</vt:i4>
      </vt:variant>
      <vt:variant>
        <vt:i4>0</vt:i4>
      </vt:variant>
      <vt:variant>
        <vt:i4>5</vt:i4>
      </vt:variant>
      <vt:variant>
        <vt:lpwstr>http://www.nevo.co.il/case/27567095</vt:lpwstr>
      </vt:variant>
      <vt:variant>
        <vt:lpwstr/>
      </vt:variant>
      <vt:variant>
        <vt:i4>3342454</vt:i4>
      </vt:variant>
      <vt:variant>
        <vt:i4>84</vt:i4>
      </vt:variant>
      <vt:variant>
        <vt:i4>0</vt:i4>
      </vt:variant>
      <vt:variant>
        <vt:i4>5</vt:i4>
      </vt:variant>
      <vt:variant>
        <vt:lpwstr>http://www.nevo.co.il/case/18793360</vt:lpwstr>
      </vt:variant>
      <vt:variant>
        <vt:lpwstr/>
      </vt:variant>
      <vt:variant>
        <vt:i4>3276917</vt:i4>
      </vt:variant>
      <vt:variant>
        <vt:i4>81</vt:i4>
      </vt:variant>
      <vt:variant>
        <vt:i4>0</vt:i4>
      </vt:variant>
      <vt:variant>
        <vt:i4>5</vt:i4>
      </vt:variant>
      <vt:variant>
        <vt:lpwstr>http://www.nevo.co.il/case/20787902</vt:lpwstr>
      </vt:variant>
      <vt:variant>
        <vt:lpwstr/>
      </vt:variant>
      <vt:variant>
        <vt:i4>3735670</vt:i4>
      </vt:variant>
      <vt:variant>
        <vt:i4>78</vt:i4>
      </vt:variant>
      <vt:variant>
        <vt:i4>0</vt:i4>
      </vt:variant>
      <vt:variant>
        <vt:i4>5</vt:i4>
      </vt:variant>
      <vt:variant>
        <vt:lpwstr>http://www.nevo.co.il/case/23133293</vt:lpwstr>
      </vt:variant>
      <vt:variant>
        <vt:lpwstr/>
      </vt:variant>
      <vt:variant>
        <vt:i4>3735667</vt:i4>
      </vt:variant>
      <vt:variant>
        <vt:i4>75</vt:i4>
      </vt:variant>
      <vt:variant>
        <vt:i4>0</vt:i4>
      </vt:variant>
      <vt:variant>
        <vt:i4>5</vt:i4>
      </vt:variant>
      <vt:variant>
        <vt:lpwstr>http://www.nevo.co.il/case/26986940</vt:lpwstr>
      </vt:variant>
      <vt:variant>
        <vt:lpwstr/>
      </vt:variant>
      <vt:variant>
        <vt:i4>3407990</vt:i4>
      </vt:variant>
      <vt:variant>
        <vt:i4>72</vt:i4>
      </vt:variant>
      <vt:variant>
        <vt:i4>0</vt:i4>
      </vt:variant>
      <vt:variant>
        <vt:i4>5</vt:i4>
      </vt:variant>
      <vt:variant>
        <vt:lpwstr>http://www.nevo.co.il/case/5787128</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3735667</vt:i4>
      </vt:variant>
      <vt:variant>
        <vt:i4>57</vt:i4>
      </vt:variant>
      <vt:variant>
        <vt:i4>0</vt:i4>
      </vt:variant>
      <vt:variant>
        <vt:i4>5</vt:i4>
      </vt:variant>
      <vt:variant>
        <vt:lpwstr>http://www.nevo.co.il/case/26599877</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196688</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196688</vt:i4>
      </vt:variant>
      <vt:variant>
        <vt:i4>33</vt:i4>
      </vt:variant>
      <vt:variant>
        <vt:i4>0</vt:i4>
      </vt:variant>
      <vt:variant>
        <vt:i4>5</vt:i4>
      </vt:variant>
      <vt:variant>
        <vt:lpwstr>http://www.nevo.co.il/law/70301/144b</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54460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סלומון טסמה</vt:lpwstr>
  </property>
  <property fmtid="{D5CDD505-2E9C-101B-9397-08002B2CF9AE}" pid="10" name="LAWYER">
    <vt:lpwstr>מיכאל עירוני;שני טביב</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20230130</vt:lpwstr>
  </property>
  <property fmtid="{D5CDD505-2E9C-101B-9397-08002B2CF9AE}" pid="14" name="TYPE_N_DATE">
    <vt:lpwstr>39020230130</vt:lpwstr>
  </property>
  <property fmtid="{D5CDD505-2E9C-101B-9397-08002B2CF9AE}" pid="15" name="WORDNUMPAGES">
    <vt:lpwstr>14</vt:lpwstr>
  </property>
  <property fmtid="{D5CDD505-2E9C-101B-9397-08002B2CF9AE}" pid="16" name="TYPE_ABS_DATE">
    <vt:lpwstr>390020230130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26599877;5738608;5787128;26986940;23133293;20787902;18793360;27567095:2;27708542;27915710;25824863:2;28883087:4;27513376:2;27925239:2;28426085;27527570;27347604;26714450;26216601;23877165;23850993;23817771;23750625;6120447;4840313;20157961;17016911</vt:lpwstr>
  </property>
  <property fmtid="{D5CDD505-2E9C-101B-9397-08002B2CF9AE}" pid="36" name="CASESLISTTMP2">
    <vt:lpwstr>28645587;28697227;26433775</vt:lpwstr>
  </property>
  <property fmtid="{D5CDD505-2E9C-101B-9397-08002B2CF9AE}" pid="37" name="LAWLISTTMP1">
    <vt:lpwstr>4216/013;019a;007.a;007.c</vt:lpwstr>
  </property>
  <property fmtid="{D5CDD505-2E9C-101B-9397-08002B2CF9AE}" pid="38" name="LAWLISTTMP2">
    <vt:lpwstr>70301/144.b2:2;144b;144.b;040b;040d;144</vt:lpwstr>
  </property>
</Properties>
</file>