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4F3ADD" w:rsidRPr="00867169" w14:paraId="7C2F483D" w14:textId="77777777" w:rsidTr="00AB6047">
        <w:trPr>
          <w:gridAfter w:val="1"/>
          <w:wAfter w:w="99" w:type="dxa"/>
          <w:trHeight w:hRule="exact" w:val="418"/>
          <w:jc w:val="center"/>
        </w:trPr>
        <w:tc>
          <w:tcPr>
            <w:tcW w:w="8721" w:type="dxa"/>
            <w:gridSpan w:val="4"/>
          </w:tcPr>
          <w:p w14:paraId="0D547593" w14:textId="77777777" w:rsidR="004F3ADD" w:rsidRPr="00867169" w:rsidRDefault="004F3ADD" w:rsidP="00917B2C">
            <w:pPr>
              <w:pStyle w:val="a4"/>
              <w:jc w:val="center"/>
              <w:rPr>
                <w:rFonts w:ascii="Tahoma" w:hAnsi="Tahoma" w:cs="Tahoma"/>
                <w:color w:val="000080"/>
                <w:rtl/>
              </w:rPr>
            </w:pPr>
            <w:bookmarkStart w:id="0" w:name="LastJudge"/>
            <w:r w:rsidRPr="00867169">
              <w:rPr>
                <w:rFonts w:ascii="Tahoma" w:hAnsi="Tahoma" w:cs="Tahoma"/>
                <w:b/>
                <w:bCs/>
                <w:color w:val="000080"/>
                <w:rtl/>
              </w:rPr>
              <w:t>בית המשפט המחוזי מרכז-לוד</w:t>
            </w:r>
          </w:p>
        </w:tc>
      </w:tr>
      <w:tr w:rsidR="004F3ADD" w:rsidRPr="00867169" w14:paraId="3C8CF22A" w14:textId="77777777" w:rsidTr="00AB6047">
        <w:trPr>
          <w:gridAfter w:val="1"/>
          <w:wAfter w:w="99" w:type="dxa"/>
          <w:trHeight w:val="337"/>
          <w:jc w:val="center"/>
        </w:trPr>
        <w:tc>
          <w:tcPr>
            <w:tcW w:w="5054" w:type="dxa"/>
            <w:gridSpan w:val="3"/>
          </w:tcPr>
          <w:p w14:paraId="3CF34312" w14:textId="77777777" w:rsidR="004F3ADD" w:rsidRPr="00867169" w:rsidRDefault="004F3ADD" w:rsidP="00917B2C">
            <w:pPr>
              <w:rPr>
                <w:rFonts w:cs="FrankRuehl"/>
                <w:sz w:val="28"/>
                <w:szCs w:val="28"/>
                <w:rtl/>
              </w:rPr>
            </w:pPr>
            <w:r w:rsidRPr="00867169">
              <w:rPr>
                <w:rFonts w:cs="FrankRuehl"/>
                <w:sz w:val="28"/>
                <w:szCs w:val="28"/>
                <w:rtl/>
              </w:rPr>
              <w:t>ת"פ</w:t>
            </w:r>
            <w:r w:rsidRPr="00867169">
              <w:rPr>
                <w:rFonts w:cs="FrankRuehl" w:hint="cs"/>
                <w:sz w:val="28"/>
                <w:szCs w:val="28"/>
                <w:rtl/>
              </w:rPr>
              <w:t xml:space="preserve"> </w:t>
            </w:r>
            <w:r w:rsidRPr="00867169">
              <w:rPr>
                <w:rFonts w:cs="FrankRuehl"/>
                <w:sz w:val="28"/>
                <w:szCs w:val="28"/>
                <w:rtl/>
              </w:rPr>
              <w:t>54852-03-21</w:t>
            </w:r>
            <w:r w:rsidRPr="00867169">
              <w:rPr>
                <w:rFonts w:cs="FrankRuehl" w:hint="cs"/>
                <w:sz w:val="28"/>
                <w:szCs w:val="28"/>
                <w:rtl/>
              </w:rPr>
              <w:t xml:space="preserve"> </w:t>
            </w:r>
            <w:r w:rsidRPr="00867169">
              <w:rPr>
                <w:rFonts w:cs="FrankRuehl"/>
                <w:sz w:val="28"/>
                <w:szCs w:val="28"/>
                <w:rtl/>
              </w:rPr>
              <w:t>מדינת ישראל נ' עבד אל רחים</w:t>
            </w:r>
          </w:p>
          <w:p w14:paraId="5B60ED91" w14:textId="77777777" w:rsidR="004F3ADD" w:rsidRPr="00867169" w:rsidRDefault="004F3ADD" w:rsidP="00917B2C">
            <w:pPr>
              <w:pStyle w:val="a4"/>
              <w:rPr>
                <w:rFonts w:cs="FrankRuehl"/>
                <w:sz w:val="28"/>
                <w:szCs w:val="28"/>
                <w:rtl/>
              </w:rPr>
            </w:pPr>
          </w:p>
        </w:tc>
        <w:tc>
          <w:tcPr>
            <w:tcW w:w="3667" w:type="dxa"/>
          </w:tcPr>
          <w:p w14:paraId="3086C053" w14:textId="77777777" w:rsidR="004F3ADD" w:rsidRPr="00867169" w:rsidRDefault="004F3ADD" w:rsidP="00917B2C">
            <w:pPr>
              <w:pStyle w:val="a4"/>
              <w:jc w:val="right"/>
              <w:rPr>
                <w:rFonts w:cs="FrankRuehl"/>
                <w:sz w:val="28"/>
                <w:szCs w:val="28"/>
                <w:rtl/>
              </w:rPr>
            </w:pPr>
          </w:p>
        </w:tc>
      </w:tr>
      <w:tr w:rsidR="004F3ADD" w:rsidRPr="00867169" w14:paraId="58E760A5" w14:textId="77777777" w:rsidTr="00AB60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06331013" w14:textId="77777777" w:rsidR="004F3ADD" w:rsidRPr="00867169" w:rsidRDefault="004F3ADD" w:rsidP="004F3ADD">
            <w:pPr>
              <w:jc w:val="both"/>
              <w:rPr>
                <w:rFonts w:ascii="David" w:hAnsi="David"/>
                <w:sz w:val="26"/>
                <w:szCs w:val="26"/>
              </w:rPr>
            </w:pPr>
            <w:r w:rsidRPr="00867169">
              <w:rPr>
                <w:rFonts w:hint="cs"/>
                <w:rtl/>
              </w:rPr>
              <w:t xml:space="preserve"> </w:t>
            </w:r>
            <w:r w:rsidRPr="00867169">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6FFC6212" w14:textId="77777777" w:rsidR="004F3ADD" w:rsidRPr="00867169" w:rsidRDefault="004F3ADD" w:rsidP="00917B2C">
            <w:pPr>
              <w:rPr>
                <w:rFonts w:ascii="David" w:hAnsi="David"/>
                <w:b/>
                <w:bCs/>
                <w:sz w:val="26"/>
                <w:szCs w:val="26"/>
                <w:rtl/>
              </w:rPr>
            </w:pPr>
            <w:r w:rsidRPr="00867169">
              <w:rPr>
                <w:rFonts w:ascii="David" w:hAnsi="David"/>
                <w:b/>
                <w:bCs/>
                <w:sz w:val="26"/>
                <w:szCs w:val="26"/>
                <w:rtl/>
              </w:rPr>
              <w:t>כבוד השופטת  מרב גרינברג</w:t>
            </w:r>
          </w:p>
          <w:p w14:paraId="404B3D15" w14:textId="77777777" w:rsidR="004F3ADD" w:rsidRPr="00867169" w:rsidRDefault="004F3ADD" w:rsidP="00917B2C">
            <w:pPr>
              <w:rPr>
                <w:rFonts w:ascii="David" w:hAnsi="David"/>
                <w:sz w:val="26"/>
                <w:szCs w:val="26"/>
                <w:rtl/>
              </w:rPr>
            </w:pPr>
          </w:p>
          <w:p w14:paraId="217321E0" w14:textId="77777777" w:rsidR="004F3ADD" w:rsidRPr="00867169" w:rsidRDefault="004F3ADD" w:rsidP="004F3ADD">
            <w:pPr>
              <w:jc w:val="both"/>
              <w:rPr>
                <w:rFonts w:ascii="David" w:hAnsi="David"/>
                <w:sz w:val="26"/>
                <w:szCs w:val="26"/>
              </w:rPr>
            </w:pPr>
          </w:p>
        </w:tc>
      </w:tr>
      <w:tr w:rsidR="004F3ADD" w:rsidRPr="00867169" w14:paraId="5B68598E" w14:textId="77777777" w:rsidTr="00AB60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F7384B7" w14:textId="77777777" w:rsidR="004F3ADD" w:rsidRPr="00867169" w:rsidRDefault="004F3ADD" w:rsidP="004F3ADD">
            <w:pPr>
              <w:jc w:val="both"/>
              <w:rPr>
                <w:rFonts w:ascii="David" w:hAnsi="David"/>
                <w:sz w:val="26"/>
                <w:szCs w:val="26"/>
              </w:rPr>
            </w:pPr>
            <w:bookmarkStart w:id="1" w:name="FirstAppellant"/>
            <w:bookmarkStart w:id="2" w:name="FirstLawyer"/>
            <w:r w:rsidRPr="00867169">
              <w:rPr>
                <w:rFonts w:ascii="David" w:hAnsi="David"/>
                <w:sz w:val="26"/>
                <w:szCs w:val="26"/>
                <w:rtl/>
              </w:rPr>
              <w:t>בעניין:</w:t>
            </w:r>
          </w:p>
        </w:tc>
        <w:tc>
          <w:tcPr>
            <w:tcW w:w="3219" w:type="dxa"/>
            <w:tcBorders>
              <w:top w:val="nil"/>
              <w:left w:val="nil"/>
              <w:bottom w:val="nil"/>
              <w:right w:val="nil"/>
            </w:tcBorders>
            <w:shd w:val="clear" w:color="auto" w:fill="auto"/>
          </w:tcPr>
          <w:p w14:paraId="4DB7341A" w14:textId="77777777" w:rsidR="004F3ADD" w:rsidRPr="00867169" w:rsidRDefault="004F3ADD" w:rsidP="004F3ADD">
            <w:pPr>
              <w:suppressLineNumbers/>
            </w:pPr>
            <w:r w:rsidRPr="00867169">
              <w:rPr>
                <w:rFonts w:ascii="Arial" w:hAnsi="Arial" w:hint="cs"/>
                <w:b/>
                <w:bCs/>
                <w:sz w:val="26"/>
                <w:szCs w:val="26"/>
                <w:rtl/>
              </w:rPr>
              <w:t>ה</w:t>
            </w:r>
            <w:r w:rsidRPr="00867169">
              <w:rPr>
                <w:rFonts w:ascii="Arial" w:hAnsi="Arial"/>
                <w:b/>
                <w:bCs/>
                <w:sz w:val="26"/>
                <w:szCs w:val="26"/>
                <w:rtl/>
              </w:rPr>
              <w:t>מאשימה</w:t>
            </w:r>
          </w:p>
          <w:p w14:paraId="08569833" w14:textId="77777777" w:rsidR="004F3ADD" w:rsidRPr="00867169" w:rsidRDefault="004F3ADD" w:rsidP="00917B2C">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D198C54" w14:textId="77777777" w:rsidR="004F3ADD" w:rsidRPr="00867169" w:rsidRDefault="004F3ADD" w:rsidP="004F3ADD">
            <w:pPr>
              <w:suppressLineNumbers/>
              <w:rPr>
                <w:rFonts w:ascii="Arial" w:hAnsi="Arial"/>
                <w:b/>
                <w:bCs/>
                <w:sz w:val="26"/>
                <w:szCs w:val="26"/>
                <w:rtl/>
              </w:rPr>
            </w:pPr>
            <w:r w:rsidRPr="00867169">
              <w:rPr>
                <w:rFonts w:ascii="Arial" w:hAnsi="Arial"/>
                <w:b/>
                <w:bCs/>
                <w:sz w:val="26"/>
                <w:szCs w:val="26"/>
                <w:rtl/>
              </w:rPr>
              <w:t>מדינת ישראל</w:t>
            </w:r>
            <w:r w:rsidRPr="00867169">
              <w:rPr>
                <w:rFonts w:ascii="Arial" w:hAnsi="Arial" w:hint="cs"/>
                <w:b/>
                <w:bCs/>
                <w:sz w:val="26"/>
                <w:szCs w:val="26"/>
                <w:rtl/>
              </w:rPr>
              <w:t xml:space="preserve"> </w:t>
            </w:r>
          </w:p>
          <w:p w14:paraId="58296E5F" w14:textId="77777777" w:rsidR="004F3ADD" w:rsidRPr="00867169" w:rsidRDefault="004F3ADD" w:rsidP="004F3ADD">
            <w:pPr>
              <w:suppressLineNumbers/>
              <w:rPr>
                <w:b/>
                <w:bCs/>
              </w:rPr>
            </w:pPr>
            <w:r w:rsidRPr="00867169">
              <w:rPr>
                <w:rFonts w:ascii="Arial" w:hAnsi="Arial"/>
                <w:b/>
                <w:bCs/>
                <w:sz w:val="26"/>
                <w:szCs w:val="26"/>
                <w:rtl/>
              </w:rPr>
              <w:t>ע"י ב"כ עוה"ד</w:t>
            </w:r>
            <w:r w:rsidRPr="00867169">
              <w:rPr>
                <w:rFonts w:hint="cs"/>
                <w:b/>
                <w:bCs/>
                <w:rtl/>
              </w:rPr>
              <w:t xml:space="preserve"> ליטל שירי</w:t>
            </w:r>
          </w:p>
          <w:p w14:paraId="487C1617" w14:textId="77777777" w:rsidR="004F3ADD" w:rsidRPr="00867169" w:rsidRDefault="004F3ADD" w:rsidP="00917B2C">
            <w:pPr>
              <w:rPr>
                <w:rFonts w:ascii="David" w:hAnsi="David"/>
                <w:sz w:val="26"/>
                <w:szCs w:val="26"/>
              </w:rPr>
            </w:pPr>
          </w:p>
        </w:tc>
      </w:tr>
      <w:bookmarkEnd w:id="1"/>
      <w:bookmarkEnd w:id="2"/>
      <w:tr w:rsidR="004F3ADD" w:rsidRPr="00867169" w14:paraId="2D44F11E" w14:textId="77777777" w:rsidTr="00AB60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D407753" w14:textId="77777777" w:rsidR="004F3ADD" w:rsidRPr="00867169" w:rsidRDefault="004F3ADD" w:rsidP="004F3ADD">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D2E83B8" w14:textId="77777777" w:rsidR="004F3ADD" w:rsidRPr="00867169" w:rsidRDefault="004F3ADD" w:rsidP="004F3ADD">
            <w:pPr>
              <w:jc w:val="center"/>
              <w:rPr>
                <w:rFonts w:ascii="David" w:hAnsi="David"/>
                <w:b/>
                <w:bCs/>
                <w:sz w:val="26"/>
                <w:szCs w:val="26"/>
                <w:rtl/>
              </w:rPr>
            </w:pPr>
          </w:p>
          <w:p w14:paraId="3C7FF825" w14:textId="77777777" w:rsidR="004F3ADD" w:rsidRPr="00867169" w:rsidRDefault="004F3ADD" w:rsidP="004F3ADD">
            <w:pPr>
              <w:jc w:val="center"/>
              <w:rPr>
                <w:rFonts w:ascii="David" w:hAnsi="David"/>
                <w:b/>
                <w:bCs/>
                <w:sz w:val="26"/>
                <w:szCs w:val="26"/>
                <w:rtl/>
              </w:rPr>
            </w:pPr>
            <w:r w:rsidRPr="00867169">
              <w:rPr>
                <w:rFonts w:ascii="David" w:hAnsi="David"/>
                <w:b/>
                <w:bCs/>
                <w:sz w:val="26"/>
                <w:szCs w:val="26"/>
                <w:rtl/>
              </w:rPr>
              <w:t>נגד</w:t>
            </w:r>
          </w:p>
          <w:p w14:paraId="145F762A" w14:textId="77777777" w:rsidR="004F3ADD" w:rsidRPr="00867169" w:rsidRDefault="004F3ADD" w:rsidP="004F3ADD">
            <w:pPr>
              <w:jc w:val="both"/>
              <w:rPr>
                <w:rFonts w:ascii="David" w:hAnsi="David"/>
                <w:sz w:val="26"/>
                <w:szCs w:val="26"/>
              </w:rPr>
            </w:pPr>
          </w:p>
        </w:tc>
      </w:tr>
      <w:tr w:rsidR="004F3ADD" w:rsidRPr="00867169" w14:paraId="4E9D809E" w14:textId="77777777" w:rsidTr="00AB60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8E2C6CB" w14:textId="77777777" w:rsidR="004F3ADD" w:rsidRPr="00867169" w:rsidRDefault="004F3ADD" w:rsidP="00917B2C">
            <w:pPr>
              <w:rPr>
                <w:rFonts w:ascii="David" w:hAnsi="David"/>
                <w:sz w:val="26"/>
                <w:szCs w:val="26"/>
                <w:rtl/>
              </w:rPr>
            </w:pPr>
          </w:p>
        </w:tc>
        <w:tc>
          <w:tcPr>
            <w:tcW w:w="3219" w:type="dxa"/>
            <w:tcBorders>
              <w:top w:val="nil"/>
              <w:left w:val="nil"/>
              <w:bottom w:val="nil"/>
              <w:right w:val="nil"/>
            </w:tcBorders>
            <w:shd w:val="clear" w:color="auto" w:fill="auto"/>
          </w:tcPr>
          <w:p w14:paraId="3EF12ABE" w14:textId="77777777" w:rsidR="004F3ADD" w:rsidRPr="00867169" w:rsidRDefault="004F3ADD" w:rsidP="00917B2C">
            <w:pPr>
              <w:rPr>
                <w:rFonts w:ascii="Arial" w:hAnsi="Arial"/>
                <w:b/>
                <w:bCs/>
                <w:sz w:val="26"/>
                <w:szCs w:val="26"/>
                <w:rtl/>
              </w:rPr>
            </w:pPr>
            <w:r w:rsidRPr="00867169">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4501A26D" w14:textId="77777777" w:rsidR="004F3ADD" w:rsidRPr="00867169" w:rsidRDefault="004F3ADD" w:rsidP="004F3ADD">
            <w:pPr>
              <w:suppressLineNumbers/>
              <w:rPr>
                <w:rFonts w:ascii="Arial" w:hAnsi="Arial"/>
                <w:b/>
                <w:bCs/>
                <w:sz w:val="26"/>
                <w:szCs w:val="26"/>
                <w:rtl/>
              </w:rPr>
            </w:pPr>
            <w:r w:rsidRPr="00867169">
              <w:rPr>
                <w:rFonts w:ascii="Arial" w:hAnsi="Arial"/>
                <w:b/>
                <w:bCs/>
                <w:sz w:val="26"/>
                <w:szCs w:val="26"/>
                <w:rtl/>
              </w:rPr>
              <w:t>איהב עבד אל רחים</w:t>
            </w:r>
            <w:r w:rsidRPr="00867169">
              <w:rPr>
                <w:rFonts w:ascii="Arial" w:hAnsi="Arial" w:hint="cs"/>
                <w:b/>
                <w:bCs/>
                <w:sz w:val="26"/>
                <w:szCs w:val="26"/>
                <w:rtl/>
              </w:rPr>
              <w:t xml:space="preserve"> </w:t>
            </w:r>
          </w:p>
          <w:p w14:paraId="6AC0FC8C" w14:textId="77777777" w:rsidR="004F3ADD" w:rsidRPr="00867169" w:rsidRDefault="004F3ADD" w:rsidP="004F3ADD">
            <w:pPr>
              <w:suppressLineNumbers/>
              <w:rPr>
                <w:b/>
                <w:bCs/>
              </w:rPr>
            </w:pPr>
            <w:r w:rsidRPr="00867169">
              <w:rPr>
                <w:rFonts w:ascii="Arial" w:hAnsi="Arial"/>
                <w:b/>
                <w:bCs/>
                <w:sz w:val="26"/>
                <w:szCs w:val="26"/>
                <w:rtl/>
              </w:rPr>
              <w:t>ע"י ב"כ עוה"ד</w:t>
            </w:r>
            <w:r w:rsidRPr="00867169">
              <w:rPr>
                <w:rFonts w:hint="cs"/>
                <w:rtl/>
              </w:rPr>
              <w:t xml:space="preserve"> </w:t>
            </w:r>
            <w:r w:rsidRPr="00867169">
              <w:rPr>
                <w:rFonts w:hint="cs"/>
                <w:b/>
                <w:bCs/>
                <w:rtl/>
              </w:rPr>
              <w:t>איהאב ג'לג'ולי</w:t>
            </w:r>
          </w:p>
          <w:p w14:paraId="08A5759B" w14:textId="77777777" w:rsidR="004F3ADD" w:rsidRPr="00867169" w:rsidRDefault="004F3ADD" w:rsidP="00917B2C">
            <w:pPr>
              <w:rPr>
                <w:rFonts w:ascii="David" w:hAnsi="David"/>
                <w:sz w:val="26"/>
                <w:szCs w:val="26"/>
              </w:rPr>
            </w:pPr>
          </w:p>
        </w:tc>
      </w:tr>
    </w:tbl>
    <w:p w14:paraId="0B5C07EA" w14:textId="77777777" w:rsidR="00AB6047" w:rsidRDefault="00AB6047" w:rsidP="00867169">
      <w:pPr>
        <w:rPr>
          <w:sz w:val="26"/>
          <w:szCs w:val="26"/>
          <w:rtl/>
        </w:rPr>
      </w:pPr>
    </w:p>
    <w:p w14:paraId="64A85FAB" w14:textId="77777777" w:rsidR="00AB6047" w:rsidRPr="00AB6047" w:rsidRDefault="00AB6047" w:rsidP="00AB6047">
      <w:pPr>
        <w:spacing w:after="120" w:line="240" w:lineRule="exact"/>
        <w:ind w:left="283" w:hanging="283"/>
        <w:jc w:val="both"/>
        <w:rPr>
          <w:rFonts w:ascii="FrankRuehl" w:hAnsi="FrankRuehl" w:cs="FrankRuehl"/>
          <w:rtl/>
        </w:rPr>
      </w:pPr>
    </w:p>
    <w:p w14:paraId="2A6AFDC9" w14:textId="77777777" w:rsidR="00900C84" w:rsidRPr="00900C84" w:rsidRDefault="00900C84" w:rsidP="00900C84">
      <w:pPr>
        <w:spacing w:before="120" w:after="120" w:line="240" w:lineRule="exact"/>
        <w:ind w:left="283" w:hanging="283"/>
        <w:jc w:val="both"/>
        <w:rPr>
          <w:rFonts w:ascii="FrankRuehl" w:hAnsi="FrankRuehl" w:cs="FrankRuehl"/>
          <w:rtl/>
        </w:rPr>
      </w:pPr>
    </w:p>
    <w:p w14:paraId="6596D99D" w14:textId="77777777" w:rsidR="00977FC5" w:rsidRDefault="00977FC5" w:rsidP="00977FC5">
      <w:pPr>
        <w:rPr>
          <w:sz w:val="26"/>
          <w:szCs w:val="26"/>
          <w:rtl/>
        </w:rPr>
      </w:pPr>
      <w:bookmarkStart w:id="3" w:name="LawTable"/>
      <w:bookmarkEnd w:id="3"/>
    </w:p>
    <w:p w14:paraId="672754D1" w14:textId="77777777" w:rsidR="00977FC5" w:rsidRPr="00977FC5" w:rsidRDefault="00977FC5" w:rsidP="00977FC5">
      <w:pPr>
        <w:spacing w:before="120" w:after="120" w:line="240" w:lineRule="exact"/>
        <w:ind w:left="283" w:hanging="283"/>
        <w:jc w:val="both"/>
        <w:rPr>
          <w:rFonts w:ascii="FrankRuehl" w:hAnsi="FrankRuehl" w:cs="FrankRuehl"/>
          <w:rtl/>
        </w:rPr>
      </w:pPr>
    </w:p>
    <w:p w14:paraId="6AEDCEA2" w14:textId="77777777" w:rsidR="00977FC5" w:rsidRPr="00977FC5" w:rsidRDefault="00977FC5" w:rsidP="00977FC5">
      <w:pPr>
        <w:spacing w:before="120" w:after="120" w:line="240" w:lineRule="exact"/>
        <w:ind w:left="283" w:hanging="283"/>
        <w:jc w:val="both"/>
        <w:rPr>
          <w:rFonts w:ascii="FrankRuehl" w:hAnsi="FrankRuehl" w:cs="FrankRuehl"/>
          <w:rtl/>
        </w:rPr>
      </w:pPr>
    </w:p>
    <w:p w14:paraId="401D0E98" w14:textId="77777777" w:rsidR="00977FC5" w:rsidRPr="00977FC5" w:rsidRDefault="00977FC5" w:rsidP="00977FC5">
      <w:pPr>
        <w:spacing w:before="120" w:after="120" w:line="240" w:lineRule="exact"/>
        <w:ind w:left="283" w:hanging="283"/>
        <w:jc w:val="both"/>
        <w:rPr>
          <w:rFonts w:ascii="FrankRuehl" w:hAnsi="FrankRuehl" w:cs="FrankRuehl"/>
          <w:rtl/>
        </w:rPr>
      </w:pPr>
      <w:r w:rsidRPr="00977FC5">
        <w:rPr>
          <w:rFonts w:ascii="FrankRuehl" w:hAnsi="FrankRuehl" w:cs="FrankRuehl"/>
          <w:rtl/>
        </w:rPr>
        <w:t xml:space="preserve">חקיקה שאוזכרה: </w:t>
      </w:r>
    </w:p>
    <w:p w14:paraId="35C5ACDE" w14:textId="77777777" w:rsidR="00977FC5" w:rsidRPr="00977FC5" w:rsidRDefault="00977FC5" w:rsidP="00977FC5">
      <w:pPr>
        <w:spacing w:before="120" w:after="120" w:line="240" w:lineRule="exact"/>
        <w:ind w:left="283" w:hanging="283"/>
        <w:jc w:val="both"/>
        <w:rPr>
          <w:rFonts w:ascii="FrankRuehl" w:hAnsi="FrankRuehl" w:cs="FrankRuehl"/>
          <w:rtl/>
        </w:rPr>
      </w:pPr>
      <w:hyperlink r:id="rId7" w:history="1">
        <w:r w:rsidRPr="00977FC5">
          <w:rPr>
            <w:rFonts w:ascii="FrankRuehl" w:hAnsi="FrankRuehl" w:cs="FrankRuehl"/>
            <w:color w:val="0000FF"/>
            <w:rtl/>
          </w:rPr>
          <w:t>חוק העונשין, תשל"ז-1977</w:t>
        </w:r>
      </w:hyperlink>
      <w:r w:rsidRPr="00977FC5">
        <w:rPr>
          <w:rFonts w:ascii="FrankRuehl" w:hAnsi="FrankRuehl" w:cs="FrankRuehl"/>
          <w:rtl/>
        </w:rPr>
        <w:t xml:space="preserve">: סע'  </w:t>
      </w:r>
      <w:hyperlink r:id="rId8" w:history="1">
        <w:r w:rsidRPr="00977FC5">
          <w:rPr>
            <w:rFonts w:ascii="FrankRuehl" w:hAnsi="FrankRuehl" w:cs="FrankRuehl"/>
            <w:color w:val="0000FF"/>
            <w:rtl/>
          </w:rPr>
          <w:t>144(ב)</w:t>
        </w:r>
      </w:hyperlink>
    </w:p>
    <w:p w14:paraId="7B859DB5" w14:textId="77777777" w:rsidR="00977FC5" w:rsidRPr="00977FC5" w:rsidRDefault="00977FC5" w:rsidP="00977FC5">
      <w:pPr>
        <w:rPr>
          <w:sz w:val="26"/>
          <w:szCs w:val="26"/>
          <w:rtl/>
        </w:rPr>
      </w:pPr>
      <w:bookmarkStart w:id="4" w:name="LawTable_End"/>
      <w:bookmarkEnd w:id="4"/>
    </w:p>
    <w:p w14:paraId="50001985" w14:textId="77777777" w:rsidR="004F3ADD" w:rsidRPr="00900C84" w:rsidRDefault="004F3ADD" w:rsidP="00900C84">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F3ADD" w14:paraId="0AFA5082" w14:textId="77777777" w:rsidTr="004F3ADD">
        <w:trPr>
          <w:trHeight w:val="355"/>
          <w:jc w:val="center"/>
        </w:trPr>
        <w:tc>
          <w:tcPr>
            <w:tcW w:w="8820" w:type="dxa"/>
            <w:tcBorders>
              <w:top w:val="nil"/>
              <w:left w:val="nil"/>
              <w:bottom w:val="nil"/>
              <w:right w:val="nil"/>
            </w:tcBorders>
            <w:shd w:val="clear" w:color="auto" w:fill="auto"/>
          </w:tcPr>
          <w:p w14:paraId="2EDFEB65" w14:textId="77777777" w:rsidR="00867169" w:rsidRPr="00867169" w:rsidRDefault="00867169" w:rsidP="00867169">
            <w:pPr>
              <w:jc w:val="center"/>
              <w:rPr>
                <w:rFonts w:ascii="David" w:hAnsi="David"/>
                <w:b/>
                <w:bCs/>
                <w:sz w:val="32"/>
                <w:szCs w:val="32"/>
                <w:u w:val="single"/>
                <w:rtl/>
              </w:rPr>
            </w:pPr>
            <w:bookmarkStart w:id="5" w:name="PsakDin" w:colFirst="0" w:colLast="0"/>
            <w:bookmarkEnd w:id="0"/>
            <w:r w:rsidRPr="00867169">
              <w:rPr>
                <w:rFonts w:ascii="David" w:hAnsi="David"/>
                <w:b/>
                <w:bCs/>
                <w:sz w:val="32"/>
                <w:szCs w:val="32"/>
                <w:u w:val="single"/>
                <w:rtl/>
              </w:rPr>
              <w:t>גזר דין</w:t>
            </w:r>
          </w:p>
          <w:p w14:paraId="5F5640A1" w14:textId="77777777" w:rsidR="004F3ADD" w:rsidRPr="00867169" w:rsidRDefault="004F3ADD" w:rsidP="00867169">
            <w:pPr>
              <w:jc w:val="center"/>
              <w:rPr>
                <w:rFonts w:ascii="David" w:hAnsi="David"/>
                <w:bCs/>
                <w:sz w:val="32"/>
                <w:szCs w:val="32"/>
                <w:u w:val="single"/>
                <w:rtl/>
              </w:rPr>
            </w:pPr>
          </w:p>
        </w:tc>
      </w:tr>
      <w:bookmarkEnd w:id="5"/>
    </w:tbl>
    <w:p w14:paraId="3FEF53E8" w14:textId="77777777" w:rsidR="004F3ADD" w:rsidRDefault="004F3ADD" w:rsidP="004F3ADD">
      <w:pPr>
        <w:rPr>
          <w:rFonts w:ascii="Arial" w:hAnsi="Arial"/>
          <w:b/>
          <w:bCs/>
          <w:sz w:val="26"/>
          <w:szCs w:val="26"/>
          <w:rtl/>
        </w:rPr>
      </w:pPr>
    </w:p>
    <w:p w14:paraId="5B72CC76" w14:textId="77777777" w:rsidR="004F3ADD" w:rsidRDefault="004F3ADD" w:rsidP="004F3ADD">
      <w:pPr>
        <w:rPr>
          <w:rFonts w:ascii="Arial" w:hAnsi="Arial"/>
          <w:b/>
          <w:bCs/>
          <w:sz w:val="26"/>
          <w:szCs w:val="26"/>
          <w:rtl/>
        </w:rPr>
      </w:pPr>
    </w:p>
    <w:p w14:paraId="5E1ABB42" w14:textId="77777777" w:rsidR="004F3ADD" w:rsidRDefault="004F3ADD" w:rsidP="004F3ADD">
      <w:pPr>
        <w:pStyle w:val="aa"/>
        <w:numPr>
          <w:ilvl w:val="0"/>
          <w:numId w:val="2"/>
        </w:numPr>
        <w:spacing w:line="360" w:lineRule="auto"/>
        <w:jc w:val="both"/>
      </w:pPr>
      <w:bookmarkStart w:id="6" w:name="ABSTRACT_START"/>
      <w:bookmarkEnd w:id="6"/>
      <w:r>
        <w:rPr>
          <w:rFonts w:hint="cs"/>
          <w:rtl/>
        </w:rPr>
        <w:t xml:space="preserve">הנאשם הורשע במסגרת הסדר טיעון בעובדות כתב אישום מתוקן </w:t>
      </w:r>
      <w:r>
        <w:rPr>
          <w:rFonts w:hint="cs"/>
          <w:b/>
          <w:bCs/>
          <w:rtl/>
        </w:rPr>
        <w:t xml:space="preserve">בעבירת נשיאה והובלת נשק ותחמושת לפי </w:t>
      </w:r>
      <w:hyperlink r:id="rId9" w:history="1">
        <w:r w:rsidR="00AB6047" w:rsidRPr="00AB6047">
          <w:rPr>
            <w:rStyle w:val="Hyperlink"/>
            <w:rFonts w:hint="eastAsia"/>
            <w:b/>
            <w:bCs/>
            <w:rtl/>
          </w:rPr>
          <w:t>סעיף</w:t>
        </w:r>
        <w:r w:rsidR="00AB6047" w:rsidRPr="00AB6047">
          <w:rPr>
            <w:rStyle w:val="Hyperlink"/>
            <w:b/>
            <w:bCs/>
            <w:rtl/>
          </w:rPr>
          <w:t xml:space="preserve"> 144(ב)</w:t>
        </w:r>
      </w:hyperlink>
      <w:r>
        <w:rPr>
          <w:rFonts w:hint="cs"/>
          <w:b/>
          <w:bCs/>
          <w:rtl/>
        </w:rPr>
        <w:t xml:space="preserve"> רישא וסיפא ל</w:t>
      </w:r>
      <w:hyperlink r:id="rId10" w:history="1">
        <w:r w:rsidR="00867169" w:rsidRPr="00867169">
          <w:rPr>
            <w:b/>
            <w:bCs/>
            <w:color w:val="0000FF"/>
            <w:u w:val="single"/>
            <w:rtl/>
          </w:rPr>
          <w:t>חוק העונשין</w:t>
        </w:r>
      </w:hyperlink>
      <w:r>
        <w:rPr>
          <w:rFonts w:hint="cs"/>
          <w:b/>
          <w:bCs/>
          <w:rtl/>
        </w:rPr>
        <w:t>, תשל"ז-1977</w:t>
      </w:r>
      <w:r>
        <w:rPr>
          <w:rFonts w:hint="cs"/>
          <w:rtl/>
        </w:rPr>
        <w:t xml:space="preserve"> (להלן-החוק). </w:t>
      </w:r>
    </w:p>
    <w:p w14:paraId="428EBE80" w14:textId="77777777" w:rsidR="004F3ADD" w:rsidRDefault="004F3ADD" w:rsidP="004F3ADD">
      <w:pPr>
        <w:pStyle w:val="aa"/>
        <w:spacing w:line="360" w:lineRule="auto"/>
        <w:jc w:val="both"/>
      </w:pPr>
    </w:p>
    <w:p w14:paraId="792F0113" w14:textId="77777777" w:rsidR="004F3ADD" w:rsidRDefault="004F3ADD" w:rsidP="004F3ADD">
      <w:pPr>
        <w:pStyle w:val="aa"/>
        <w:numPr>
          <w:ilvl w:val="0"/>
          <w:numId w:val="2"/>
        </w:numPr>
        <w:spacing w:line="360" w:lineRule="auto"/>
        <w:jc w:val="both"/>
        <w:rPr>
          <w:rtl/>
        </w:rPr>
      </w:pPr>
      <w:r>
        <w:rPr>
          <w:rFonts w:hint="cs"/>
          <w:rtl/>
        </w:rPr>
        <w:t xml:space="preserve">כמפורט בעובדות כתב האישום המתוקן, ביום 11.12.20 או בסמוך לכך, נשא הנאשם נשק מסוג שאינו ידוע, והצטלם עמו מספר תמונות בעודו רעול פנים. במועד זה העביר אחר את התמונות לטלפון הנייד של הנאשם באמצעות יישומון "ווטסאפ".  </w:t>
      </w:r>
    </w:p>
    <w:p w14:paraId="1B49282C" w14:textId="77777777" w:rsidR="004F3ADD" w:rsidRDefault="004F3ADD" w:rsidP="004F3ADD">
      <w:pPr>
        <w:pStyle w:val="aa"/>
      </w:pPr>
    </w:p>
    <w:p w14:paraId="6096D39C" w14:textId="77777777" w:rsidR="004F3ADD" w:rsidRDefault="004F3ADD" w:rsidP="004F3ADD">
      <w:pPr>
        <w:pStyle w:val="aa"/>
        <w:numPr>
          <w:ilvl w:val="0"/>
          <w:numId w:val="2"/>
        </w:numPr>
        <w:spacing w:line="360" w:lineRule="auto"/>
        <w:jc w:val="both"/>
        <w:rPr>
          <w:rtl/>
        </w:rPr>
      </w:pPr>
      <w:bookmarkStart w:id="7" w:name="ABSTRACT_END"/>
      <w:bookmarkEnd w:id="7"/>
      <w:r>
        <w:rPr>
          <w:rFonts w:hint="cs"/>
          <w:rtl/>
        </w:rPr>
        <w:t xml:space="preserve">ביום 14.9.21 הציגו הצדדים הסדר טיעון דיוני, במסגרתו הודה והורשע הנאשם בעובדות כתב האישום המתוקן והופנה לתסקיר חובה של שירות המבחן. </w:t>
      </w:r>
    </w:p>
    <w:p w14:paraId="1540E749" w14:textId="77777777" w:rsidR="004F3ADD" w:rsidRDefault="004F3ADD" w:rsidP="004F3ADD">
      <w:pPr>
        <w:pStyle w:val="aa"/>
        <w:spacing w:line="360" w:lineRule="auto"/>
        <w:jc w:val="both"/>
      </w:pPr>
    </w:p>
    <w:p w14:paraId="75F5864D" w14:textId="77777777" w:rsidR="004F3ADD" w:rsidRDefault="004F3ADD" w:rsidP="004F3ADD">
      <w:pPr>
        <w:spacing w:line="360" w:lineRule="auto"/>
        <w:jc w:val="both"/>
        <w:rPr>
          <w:b/>
          <w:bCs/>
          <w:u w:val="single"/>
          <w:rtl/>
        </w:rPr>
      </w:pPr>
      <w:r>
        <w:rPr>
          <w:rFonts w:hint="cs"/>
          <w:b/>
          <w:bCs/>
          <w:u w:val="single"/>
          <w:rtl/>
        </w:rPr>
        <w:t>תסקירי שירות המבחן</w:t>
      </w:r>
    </w:p>
    <w:p w14:paraId="672E2D4F" w14:textId="77777777" w:rsidR="004F3ADD" w:rsidRDefault="004F3ADD" w:rsidP="004F3ADD">
      <w:pPr>
        <w:pStyle w:val="aa"/>
        <w:numPr>
          <w:ilvl w:val="0"/>
          <w:numId w:val="2"/>
        </w:numPr>
        <w:spacing w:line="360" w:lineRule="auto"/>
        <w:jc w:val="both"/>
        <w:rPr>
          <w:rtl/>
        </w:rPr>
      </w:pPr>
      <w:r>
        <w:rPr>
          <w:rFonts w:hint="cs"/>
          <w:rtl/>
        </w:rPr>
        <w:lastRenderedPageBreak/>
        <w:t xml:space="preserve">על פי התסקיר הראשון (15.6.22) הנאשם בן 20, רווק, סיים 12 שנות לימוד במגמת קונדיטוריה,  במקביל ללימודיו החל לעבוד כדי  לסייע בפרנסת המשפחה. לפני כשנתיים אובחן כחולה בסכרת נעורים והתמודד עם משבר בריאותי גופני ורגשי וסבל מדימוי עצמי נמוך. לדבריו, מצא את הנשק באופן מקרי במהלך בילוי עם חברים והצטלם עמו מתוך סקרנות ולהוכחת גבריות כשבזמן אמת לא חשב על השלכות מעשיו. הנאשם הביע חרטה על ביצוע העבירה וביטא הבנה להשלכותיה וחומרת מעורבותו בה. עוד תיאר את תקופת מעצרו בבית המעצר, כחודשיים וחצי, כטראומטית, בה התקשה להסתגל לתנאיו וחווה תחושות של פחד וחרדה. במהלך ההליך המשפטי ניתק קשרים חברתיים בעייתיים. הנאשם היה נתון בתנאי איזוק ושולב בקבוצת עצורי בית, טרם מעצרו נהג להשתמש בסמים קלים אך מזה כשמונה חודשים שומר על תפקוד תקין. עם זאת, לא התייצב לבדיקות שתן אליהן זומן ועל כן ביקש  שירות המבחן שהות של חודשיים לבדיקת הנושא וגיבוש עמדה והמלצות סופיות. </w:t>
      </w:r>
    </w:p>
    <w:p w14:paraId="718D1AEB" w14:textId="77777777" w:rsidR="004F3ADD" w:rsidRDefault="004F3ADD" w:rsidP="004F3ADD">
      <w:pPr>
        <w:pStyle w:val="aa"/>
        <w:spacing w:line="360" w:lineRule="auto"/>
        <w:jc w:val="both"/>
      </w:pPr>
    </w:p>
    <w:p w14:paraId="4D4EA6CD" w14:textId="77777777" w:rsidR="004F3ADD" w:rsidRDefault="004F3ADD" w:rsidP="004F3ADD">
      <w:pPr>
        <w:pStyle w:val="aa"/>
        <w:numPr>
          <w:ilvl w:val="0"/>
          <w:numId w:val="2"/>
        </w:numPr>
        <w:spacing w:line="360" w:lineRule="auto"/>
        <w:jc w:val="both"/>
      </w:pPr>
      <w:r>
        <w:rPr>
          <w:rFonts w:hint="cs"/>
          <w:rtl/>
        </w:rPr>
        <w:t xml:space="preserve">מהתסקיר המשלים (3.10.22), עולה שהנאשם מסר שלוש בדיקות שתן נקיות ולשני מועדים לא התייצב עקב התדרדרות מצבו הבריאותי, בעקבותיה אף התפטר מעבודתו ונקבעו לו  45% נכות רפואית. להערכת שירות המבחן מדובר בנאשם צעיר בעל אישיות בלתי בשלה ומגובשת, שומר על תפקוד תקין ובעל מוטיבציה להשתלב בתכנית טיפולית. על כן, באו בהמלצה להסתפק בענישת עבודות שירות ברף נמוך ולהעמידו בצו מבחן.  </w:t>
      </w:r>
    </w:p>
    <w:p w14:paraId="5D61E302" w14:textId="77777777" w:rsidR="004F3ADD" w:rsidRDefault="004F3ADD" w:rsidP="004F3ADD">
      <w:pPr>
        <w:spacing w:line="360" w:lineRule="auto"/>
        <w:jc w:val="both"/>
        <w:rPr>
          <w:rtl/>
        </w:rPr>
      </w:pPr>
    </w:p>
    <w:p w14:paraId="0F4EAA15" w14:textId="77777777" w:rsidR="004F3ADD" w:rsidRDefault="004F3ADD" w:rsidP="004F3ADD">
      <w:pPr>
        <w:spacing w:line="360" w:lineRule="auto"/>
        <w:jc w:val="both"/>
        <w:rPr>
          <w:b/>
          <w:bCs/>
          <w:u w:val="single"/>
        </w:rPr>
      </w:pPr>
      <w:r>
        <w:rPr>
          <w:rFonts w:hint="cs"/>
          <w:b/>
          <w:bCs/>
          <w:u w:val="single"/>
          <w:rtl/>
        </w:rPr>
        <w:t>תמצית הטיעונים לעונש</w:t>
      </w:r>
    </w:p>
    <w:p w14:paraId="57DF9FC0" w14:textId="77777777" w:rsidR="004F3ADD" w:rsidRDefault="004F3ADD" w:rsidP="004F3ADD">
      <w:pPr>
        <w:pStyle w:val="aa"/>
        <w:numPr>
          <w:ilvl w:val="0"/>
          <w:numId w:val="2"/>
        </w:numPr>
        <w:spacing w:line="360" w:lineRule="auto"/>
        <w:jc w:val="both"/>
        <w:rPr>
          <w:rtl/>
        </w:rPr>
      </w:pPr>
      <w:r>
        <w:rPr>
          <w:rFonts w:hint="cs"/>
          <w:rtl/>
        </w:rPr>
        <w:t xml:space="preserve">המאשימה, באמצעות ב"כ עו"ד פינק, עמדה בטיעוניה על חומרת מעשיו, פגיעתם בערכים המוגנים של הגנה על שלום הציבור וביטחונו והסיכון הרב הגלום בהם. עוד עמדה על מגמת ההחמרה בענישה בעבירות נשק המשתקפת בפסיקת בית המשפט העליון ותיקון החוק. לפיכך עתרה למתחם ענישה הנע בין 48-24 חודשי מאסר בפועל, בצד ענישה נלווית של מאסר על תנאי וקנס בסך 10,000 ₪. ב"כ המאשימה ציינה לקולה את הודאת הנאשם, גילו הצעיר והיעדר עבר פלילי אך סבורה שהמלצת שירות המבחן לענישה שיקומית אינה מבוססת והנאשם לא שולב בהליך טיפולי.  </w:t>
      </w:r>
    </w:p>
    <w:p w14:paraId="39006477" w14:textId="77777777" w:rsidR="004F3ADD" w:rsidRDefault="004F3ADD" w:rsidP="004F3ADD">
      <w:pPr>
        <w:pStyle w:val="aa"/>
        <w:spacing w:line="360" w:lineRule="auto"/>
        <w:jc w:val="both"/>
      </w:pPr>
    </w:p>
    <w:p w14:paraId="5F1AE94B" w14:textId="77777777" w:rsidR="004F3ADD" w:rsidRDefault="004F3ADD" w:rsidP="004F3ADD">
      <w:pPr>
        <w:pStyle w:val="aa"/>
        <w:spacing w:line="360" w:lineRule="auto"/>
        <w:jc w:val="both"/>
        <w:rPr>
          <w:rtl/>
        </w:rPr>
      </w:pPr>
      <w:r>
        <w:rPr>
          <w:rFonts w:hint="cs"/>
          <w:rtl/>
        </w:rPr>
        <w:t xml:space="preserve">המאשימה הגישה אסופת פסיקה לתמיכה בעתירתה העונשית. </w:t>
      </w:r>
    </w:p>
    <w:p w14:paraId="2674C7B3" w14:textId="77777777" w:rsidR="004F3ADD" w:rsidRDefault="004F3ADD" w:rsidP="004F3ADD">
      <w:pPr>
        <w:pStyle w:val="aa"/>
        <w:spacing w:line="360" w:lineRule="auto"/>
        <w:jc w:val="both"/>
        <w:rPr>
          <w:rtl/>
        </w:rPr>
      </w:pPr>
    </w:p>
    <w:p w14:paraId="691DF59E" w14:textId="77777777" w:rsidR="004F3ADD" w:rsidRDefault="004F3ADD" w:rsidP="004F3ADD">
      <w:pPr>
        <w:pStyle w:val="aa"/>
        <w:numPr>
          <w:ilvl w:val="0"/>
          <w:numId w:val="2"/>
        </w:numPr>
        <w:spacing w:line="360" w:lineRule="auto"/>
        <w:jc w:val="both"/>
      </w:pPr>
      <w:r>
        <w:rPr>
          <w:rFonts w:hint="cs"/>
          <w:rtl/>
        </w:rPr>
        <w:t xml:space="preserve">ב"כ הנאשם, עו"ד א. ג'לג'ולי, ביקש לאמץ את המלצת שירות המבחן, סבור שמדובר בעבירת נשק ברף נמוך ועמדת המאשימה מחמירה יתר על המידה. עוד עמד על גילו הצעיר של הנאשם, עברו הנקי, מצבו הרפואי וחריגות המעשה בנוף חייו. </w:t>
      </w:r>
    </w:p>
    <w:p w14:paraId="3D649533" w14:textId="77777777" w:rsidR="004F3ADD" w:rsidRDefault="004F3ADD" w:rsidP="004F3ADD">
      <w:pPr>
        <w:pStyle w:val="aa"/>
        <w:rPr>
          <w:b/>
          <w:bCs/>
          <w:u w:val="single"/>
          <w:rtl/>
        </w:rPr>
      </w:pPr>
    </w:p>
    <w:p w14:paraId="56BCA775" w14:textId="77777777" w:rsidR="004F3ADD" w:rsidRDefault="004F3ADD" w:rsidP="004F3ADD">
      <w:pPr>
        <w:spacing w:line="360" w:lineRule="auto"/>
        <w:jc w:val="both"/>
        <w:rPr>
          <w:b/>
          <w:bCs/>
          <w:u w:val="single"/>
          <w:rtl/>
        </w:rPr>
      </w:pPr>
      <w:r>
        <w:rPr>
          <w:rFonts w:hint="cs"/>
          <w:b/>
          <w:bCs/>
          <w:u w:val="single"/>
          <w:rtl/>
        </w:rPr>
        <w:t>דיון והכרעה</w:t>
      </w:r>
    </w:p>
    <w:p w14:paraId="1E711CDB" w14:textId="77777777" w:rsidR="004F3ADD" w:rsidRDefault="004F3ADD" w:rsidP="004F3ADD">
      <w:pPr>
        <w:spacing w:line="360" w:lineRule="auto"/>
        <w:jc w:val="both"/>
        <w:rPr>
          <w:b/>
          <w:bCs/>
          <w:u w:val="single"/>
          <w:rtl/>
        </w:rPr>
      </w:pPr>
      <w:r>
        <w:rPr>
          <w:rFonts w:hint="cs"/>
          <w:b/>
          <w:bCs/>
          <w:u w:val="single"/>
          <w:rtl/>
        </w:rPr>
        <w:t>מתחם העונש ההולם</w:t>
      </w:r>
    </w:p>
    <w:p w14:paraId="746CBFDE" w14:textId="77777777" w:rsidR="004F3ADD" w:rsidRDefault="004F3ADD" w:rsidP="004F3ADD">
      <w:pPr>
        <w:pStyle w:val="aa"/>
        <w:numPr>
          <w:ilvl w:val="0"/>
          <w:numId w:val="2"/>
        </w:numPr>
        <w:spacing w:line="360" w:lineRule="auto"/>
        <w:jc w:val="both"/>
        <w:rPr>
          <w:rFonts w:ascii="Times New Roman" w:eastAsia="Times New Roman" w:hAnsi="Times New Roman"/>
          <w:rtl/>
        </w:rPr>
      </w:pPr>
      <w:r>
        <w:rPr>
          <w:rFonts w:ascii="Times New Roman" w:eastAsia="Times New Roman" w:hAnsi="Times New Roman" w:hint="cs"/>
          <w:rtl/>
        </w:rPr>
        <w:lastRenderedPageBreak/>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0B099E57" w14:textId="77777777" w:rsidR="004F3ADD" w:rsidRDefault="004F3ADD" w:rsidP="004F3ADD">
      <w:pPr>
        <w:pStyle w:val="aa"/>
        <w:numPr>
          <w:ilvl w:val="0"/>
          <w:numId w:val="2"/>
        </w:numPr>
        <w:spacing w:after="160" w:line="360" w:lineRule="auto"/>
        <w:jc w:val="both"/>
      </w:pPr>
      <w:r>
        <w:rPr>
          <w:rFonts w:hint="cs"/>
          <w:rtl/>
        </w:rPr>
        <w:t>דומה שאין צורך להכביר מילים ביחס לחומרתן של עבירות הנשק והסיכון הנשקף מהן לשלום הציבור וביטחונו, למרבה הצער עבירות בנשק חם הפכו להיות תופעה נפוצה במחוזותינו ולעיתים תכופות אנו עדי לנזקי עבירות אלו, בדמות פגיעות בגוף או בנפש, ואף אובדן חיי אדם (</w:t>
      </w:r>
      <w:hyperlink r:id="rId11" w:history="1">
        <w:r w:rsidR="00867169" w:rsidRPr="00867169">
          <w:rPr>
            <w:color w:val="0000FF"/>
            <w:u w:val="single"/>
            <w:rtl/>
          </w:rPr>
          <w:t>ע"פ 4456/21</w:t>
        </w:r>
      </w:hyperlink>
      <w:r>
        <w:rPr>
          <w:rFonts w:hint="cs"/>
          <w:rtl/>
        </w:rPr>
        <w:t xml:space="preserve"> </w:t>
      </w:r>
      <w:r>
        <w:rPr>
          <w:rFonts w:hint="cs"/>
          <w:b/>
          <w:bCs/>
          <w:rtl/>
        </w:rPr>
        <w:t>מדינת ישראל נ' אבו עבסה</w:t>
      </w:r>
      <w:r>
        <w:rPr>
          <w:rFonts w:hint="cs"/>
          <w:rtl/>
        </w:rPr>
        <w:t xml:space="preserve"> (23.1.2022). נוכח מימדיה המדאיגים של התופעה נרתמו גם בית המשפט למאבק למיגורה הניכר במגמת החמרה מובהקת ברמת הענישה ומתן משקל בכורה לשיקול ההרתעתי. </w:t>
      </w:r>
      <w:r w:rsidRPr="004F3ADD">
        <w:rPr>
          <w:rFonts w:ascii="Calibri" w:eastAsia="Calibri" w:hAnsi="Calibri" w:hint="cs"/>
          <w:rtl/>
        </w:rPr>
        <w:t>"</w:t>
      </w:r>
      <w:r w:rsidRPr="004F3ADD">
        <w:rPr>
          <w:rFonts w:eastAsia="Calibri" w:hint="cs"/>
          <w:b/>
          <w:bCs/>
          <w:rtl/>
        </w:rPr>
        <w:t>ההלכה כי בעת גזירת עונשו של מי שהורשע בעבירות נשק, על בית המשפט לבכר את האינטרס הציבורי שבהרתעת הרבים, על פני נסיבותיו האישיות של הנידון</w:t>
      </w:r>
      <w:r w:rsidRPr="004F3ADD">
        <w:rPr>
          <w:rFonts w:eastAsia="Calibri" w:hint="cs"/>
          <w:rtl/>
        </w:rPr>
        <w:t>" (</w:t>
      </w:r>
      <w:hyperlink r:id="rId12" w:history="1">
        <w:r w:rsidR="00867169" w:rsidRPr="00867169">
          <w:rPr>
            <w:rFonts w:eastAsia="Calibri"/>
            <w:color w:val="0000FF"/>
            <w:u w:val="single"/>
            <w:rtl/>
          </w:rPr>
          <w:t>ע"פ 587/22</w:t>
        </w:r>
      </w:hyperlink>
      <w:r w:rsidRPr="004F3ADD">
        <w:rPr>
          <w:rFonts w:eastAsia="Calibri" w:hint="cs"/>
          <w:rtl/>
        </w:rPr>
        <w:t xml:space="preserve"> </w:t>
      </w:r>
      <w:r w:rsidRPr="004F3ADD">
        <w:rPr>
          <w:rFonts w:eastAsia="Calibri" w:hint="cs"/>
          <w:b/>
          <w:bCs/>
          <w:rtl/>
        </w:rPr>
        <w:t>עדאב אבו נאעסה נ' מדינת ישראל</w:t>
      </w:r>
      <w:r w:rsidRPr="004F3ADD">
        <w:rPr>
          <w:rFonts w:eastAsia="Calibri" w:hint="cs"/>
          <w:rtl/>
        </w:rPr>
        <w:t xml:space="preserve"> פסקה 13 (22.5.2022)) </w:t>
      </w:r>
      <w:r>
        <w:rPr>
          <w:rFonts w:hint="cs"/>
          <w:rtl/>
        </w:rPr>
        <w:t>(</w:t>
      </w:r>
      <w:hyperlink r:id="rId13" w:history="1">
        <w:r w:rsidR="00867169" w:rsidRPr="00867169">
          <w:rPr>
            <w:color w:val="0000FF"/>
            <w:u w:val="single"/>
            <w:rtl/>
          </w:rPr>
          <w:t>ע"פ 2482/22</w:t>
        </w:r>
      </w:hyperlink>
      <w:r>
        <w:rPr>
          <w:rFonts w:hint="cs"/>
          <w:rtl/>
        </w:rPr>
        <w:t xml:space="preserve"> </w:t>
      </w:r>
      <w:r>
        <w:rPr>
          <w:rFonts w:hint="cs"/>
          <w:b/>
          <w:bCs/>
          <w:rtl/>
        </w:rPr>
        <w:t>מדינת ישראל נ' אחמד קדורה</w:t>
      </w:r>
      <w:r>
        <w:rPr>
          <w:rFonts w:hint="cs"/>
          <w:rtl/>
        </w:rPr>
        <w:t xml:space="preserve">, פסקה 5-6 (14.4.2022); </w:t>
      </w:r>
      <w:hyperlink r:id="rId14" w:history="1">
        <w:r w:rsidR="00867169" w:rsidRPr="00867169">
          <w:rPr>
            <w:color w:val="0000FF"/>
            <w:u w:val="single"/>
            <w:rtl/>
          </w:rPr>
          <w:t>ע"פ 5813/21</w:t>
        </w:r>
      </w:hyperlink>
      <w:r>
        <w:rPr>
          <w:rFonts w:hint="cs"/>
          <w:rtl/>
        </w:rPr>
        <w:t xml:space="preserve"> </w:t>
      </w:r>
      <w:r>
        <w:rPr>
          <w:rFonts w:hint="cs"/>
          <w:b/>
          <w:bCs/>
          <w:rtl/>
        </w:rPr>
        <w:t>מוחמד ג'בארין נ' מדינת ישראל</w:t>
      </w:r>
      <w:r>
        <w:rPr>
          <w:rFonts w:hint="cs"/>
          <w:rtl/>
        </w:rPr>
        <w:t>, פסקה 14</w:t>
      </w:r>
      <w:r>
        <w:rPr>
          <w:rFonts w:hint="cs"/>
          <w:b/>
          <w:bCs/>
          <w:rtl/>
        </w:rPr>
        <w:t xml:space="preserve"> </w:t>
      </w:r>
      <w:r>
        <w:rPr>
          <w:rFonts w:hint="cs"/>
          <w:rtl/>
        </w:rPr>
        <w:t xml:space="preserve">(31.5.2022); </w:t>
      </w:r>
      <w:hyperlink r:id="rId15" w:history="1">
        <w:r w:rsidR="00867169" w:rsidRPr="00867169">
          <w:rPr>
            <w:color w:val="0000FF"/>
            <w:u w:val="single"/>
            <w:rtl/>
          </w:rPr>
          <w:t>ע"פ 6011/21</w:t>
        </w:r>
      </w:hyperlink>
      <w:r>
        <w:rPr>
          <w:rFonts w:hint="cs"/>
          <w:rtl/>
        </w:rPr>
        <w:t xml:space="preserve"> </w:t>
      </w:r>
      <w:r>
        <w:rPr>
          <w:rFonts w:hint="cs"/>
          <w:b/>
          <w:bCs/>
          <w:rtl/>
        </w:rPr>
        <w:t>חאלד דסוקי נ' מדינת ישראל</w:t>
      </w:r>
      <w:r>
        <w:rPr>
          <w:rFonts w:hint="cs"/>
          <w:rtl/>
        </w:rPr>
        <w:t xml:space="preserve">  (25.11.2021); </w:t>
      </w:r>
      <w:hyperlink r:id="rId16" w:history="1">
        <w:r w:rsidR="00867169" w:rsidRPr="00867169">
          <w:rPr>
            <w:color w:val="0000FF"/>
            <w:spacing w:val="10"/>
            <w:sz w:val="20"/>
            <w:u w:val="single"/>
            <w:shd w:val="clear" w:color="auto" w:fill="FFFFFF"/>
            <w:rtl/>
          </w:rPr>
          <w:t>ע"פ 8320/21</w:t>
        </w:r>
      </w:hyperlink>
      <w:r>
        <w:rPr>
          <w:rFonts w:hint="cs"/>
          <w:spacing w:val="10"/>
          <w:sz w:val="20"/>
          <w:shd w:val="clear" w:color="auto" w:fill="FFFFFF"/>
          <w:rtl/>
        </w:rPr>
        <w:t xml:space="preserve"> </w:t>
      </w:r>
      <w:r>
        <w:rPr>
          <w:rFonts w:hint="cs"/>
          <w:b/>
          <w:bCs/>
          <w:spacing w:val="10"/>
          <w:sz w:val="20"/>
          <w:shd w:val="clear" w:color="auto" w:fill="FFFFFF"/>
          <w:rtl/>
        </w:rPr>
        <w:t>מדינת ישראל נ' מחמד בסילה</w:t>
      </w:r>
      <w:r>
        <w:rPr>
          <w:rFonts w:hint="cs"/>
          <w:spacing w:val="10"/>
          <w:sz w:val="20"/>
          <w:shd w:val="clear" w:color="auto" w:fill="FFFFFF"/>
          <w:rtl/>
        </w:rPr>
        <w:t>, פסקה 10 (28.12.2021)</w:t>
      </w:r>
      <w:r>
        <w:rPr>
          <w:rFonts w:hint="cs"/>
          <w:rtl/>
        </w:rPr>
        <w:t xml:space="preserve">; </w:t>
      </w:r>
      <w:hyperlink r:id="rId17" w:history="1">
        <w:r w:rsidR="00867169" w:rsidRPr="00867169">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(31.7.2022); </w:t>
      </w:r>
      <w:hyperlink r:id="rId18" w:history="1">
        <w:r w:rsidR="00867169" w:rsidRPr="00867169">
          <w:rPr>
            <w:color w:val="0000FF"/>
            <w:u w:val="single"/>
            <w:rtl/>
          </w:rPr>
          <w:t>ע"פ 78/21</w:t>
        </w:r>
      </w:hyperlink>
      <w:r>
        <w:rPr>
          <w:rFonts w:hint="cs"/>
          <w:rtl/>
        </w:rPr>
        <w:t xml:space="preserve"> </w:t>
      </w:r>
      <w:r>
        <w:rPr>
          <w:rFonts w:hint="cs"/>
          <w:b/>
          <w:bCs/>
          <w:rtl/>
        </w:rPr>
        <w:t>פלוני נ' מדינת</w:t>
      </w:r>
      <w:r>
        <w:rPr>
          <w:rFonts w:hint="cs"/>
          <w:rtl/>
        </w:rPr>
        <w:t xml:space="preserve"> </w:t>
      </w:r>
      <w:r>
        <w:rPr>
          <w:rFonts w:hint="cs"/>
          <w:b/>
          <w:bCs/>
          <w:rtl/>
        </w:rPr>
        <w:t>ישראל</w:t>
      </w:r>
      <w:r>
        <w:rPr>
          <w:rFonts w:hint="cs"/>
          <w:rtl/>
        </w:rPr>
        <w:t xml:space="preserve"> (26.7.2022)). בהקשר זה נזכיר את התיקון לחוק (תיקון 140-הוראה שעה) התשפ"ב-2021, אשר אמנם אינו חל בענייננו אך רוחו שורה גם על עבירות שבוצעו בתקופות קודמות לו ומשקפת את רצון המחוקק בהחמרת הענישה בעבירות ממין דא.</w:t>
      </w:r>
    </w:p>
    <w:p w14:paraId="0B0C184C" w14:textId="77777777" w:rsidR="004F3ADD" w:rsidRDefault="004F3ADD" w:rsidP="004F3ADD">
      <w:pPr>
        <w:pStyle w:val="aa"/>
        <w:rPr>
          <w:color w:val="000000"/>
          <w:spacing w:val="10"/>
          <w:rtl/>
        </w:rPr>
      </w:pPr>
    </w:p>
    <w:p w14:paraId="6A0CC0EC" w14:textId="77777777" w:rsidR="004F3ADD" w:rsidRDefault="004F3ADD" w:rsidP="004F3ADD">
      <w:pPr>
        <w:pStyle w:val="aa"/>
        <w:rPr>
          <w:color w:val="000000"/>
          <w:spacing w:val="10"/>
          <w:rtl/>
        </w:rPr>
      </w:pPr>
    </w:p>
    <w:p w14:paraId="0652091C" w14:textId="77777777" w:rsidR="004F3ADD" w:rsidRDefault="004F3ADD" w:rsidP="004F3ADD">
      <w:pPr>
        <w:pStyle w:val="aa"/>
        <w:numPr>
          <w:ilvl w:val="0"/>
          <w:numId w:val="2"/>
        </w:numPr>
        <w:spacing w:after="160" w:line="360" w:lineRule="auto"/>
        <w:jc w:val="both"/>
        <w:rPr>
          <w:rtl/>
        </w:rPr>
      </w:pPr>
      <w:r>
        <w:rPr>
          <w:rFonts w:hint="cs"/>
          <w:rtl/>
        </w:rPr>
        <w:t xml:space="preserve">בענייננו </w:t>
      </w:r>
      <w:r>
        <w:rPr>
          <w:rFonts w:ascii="Times New Roman" w:eastAsia="Times New Roman" w:hAnsi="Times New Roman" w:hint="cs"/>
          <w:rtl/>
        </w:rPr>
        <w:t xml:space="preserve">נסיבות המעשה אינן מן החמורות, </w:t>
      </w:r>
      <w:r>
        <w:rPr>
          <w:rFonts w:hint="cs"/>
          <w:rtl/>
        </w:rPr>
        <w:t xml:space="preserve">הנאשם אחז בנשק ובעודו רעול פנים הצטלם מספר תמונות, בהמשך לכך הועברו התמונות לטלפון הנייד שלו על ידי אחר שזהותו אינה ידועה.  לדברי הנאשם מצא את הנשק באקראי והצטלם איתו מתוך סקרנות, אין בכך כדי להפחית מחומרת מעשיו וזה אף לא הבהיר מדוע בחר להותיר את הנשק בחזקתו ולא העבירו למשטרה. מנסיבות המעשה המפורטות בכתב האישום לא הובהרה תקופת הזמן שהנאשם נשא את הנשק, אף סוגו אינו ידוע ולא טיב התחמושת שהחזיק, אניח לטובתו שמדובר היה בנשיאה קצרת מועד שלא לצורך שימוש בו למטרות פליליות. בצד זאת, הנאשם היה מודע היטב לחומרת מעשיו, לא בכדי הצטלם רעול פנים והורשע גם בהחזקת תחמושת. בהחזקת נשק או נשיאתו גלום פוטנציאל סיכון רב, זמינותו של הנשק מעלה את הסיכון שיעשה בו שימוש למטרות פסולות. </w:t>
      </w:r>
    </w:p>
    <w:p w14:paraId="143435D1" w14:textId="77777777" w:rsidR="004F3ADD" w:rsidRDefault="004F3ADD" w:rsidP="004F3ADD">
      <w:pPr>
        <w:pStyle w:val="aa"/>
        <w:spacing w:after="160" w:line="360" w:lineRule="auto"/>
        <w:jc w:val="both"/>
      </w:pPr>
    </w:p>
    <w:p w14:paraId="320140B5" w14:textId="77777777" w:rsidR="004F3ADD" w:rsidRDefault="004F3ADD" w:rsidP="004F3ADD">
      <w:pPr>
        <w:pStyle w:val="aa"/>
        <w:numPr>
          <w:ilvl w:val="0"/>
          <w:numId w:val="2"/>
        </w:numPr>
        <w:spacing w:after="120" w:line="360" w:lineRule="auto"/>
        <w:jc w:val="both"/>
        <w:rPr>
          <w:rFonts w:ascii="Times New Roman" w:eastAsia="Times New Roman" w:hAnsi="Times New Roman"/>
          <w:rtl/>
        </w:rPr>
      </w:pPr>
      <w:r>
        <w:rPr>
          <w:rFonts w:ascii="Times New Roman" w:eastAsia="Times New Roman" w:hAnsi="Times New Roman" w:hint="cs"/>
          <w:rtl/>
        </w:rPr>
        <w:t xml:space="preserve">בחינת מידת פגיעת מעשי הנאשם בערכים המוגנים מובילה למסקנה כי היא </w:t>
      </w:r>
      <w:r>
        <w:rPr>
          <w:rFonts w:ascii="Times New Roman" w:eastAsia="Times New Roman" w:hAnsi="Times New Roman" w:hint="cs"/>
          <w:b/>
          <w:bCs/>
          <w:rtl/>
        </w:rPr>
        <w:t>ברף הבינוני-נמוך</w:t>
      </w:r>
      <w:r>
        <w:rPr>
          <w:rFonts w:ascii="Times New Roman" w:eastAsia="Times New Roman" w:hAnsi="Times New Roman" w:hint="cs"/>
          <w:rtl/>
        </w:rPr>
        <w:t>. בהקשר זה נתתי דעתי</w:t>
      </w:r>
      <w:r>
        <w:rPr>
          <w:rFonts w:ascii="Times New Roman" w:eastAsia="Times New Roman" w:hAnsi="Times New Roman" w:hint="cs"/>
          <w:b/>
          <w:bCs/>
          <w:rtl/>
        </w:rPr>
        <w:t xml:space="preserve"> </w:t>
      </w:r>
      <w:r>
        <w:rPr>
          <w:rFonts w:ascii="Times New Roman" w:eastAsia="Times New Roman" w:hAnsi="Times New Roman" w:hint="cs"/>
          <w:rtl/>
        </w:rPr>
        <w:t>למטרת נשיאת הנשק ולהעדר אינדיקציות לשימוש בו.</w:t>
      </w:r>
    </w:p>
    <w:p w14:paraId="751C38EA" w14:textId="77777777" w:rsidR="004F3ADD" w:rsidRDefault="004F3ADD" w:rsidP="004F3ADD">
      <w:pPr>
        <w:pStyle w:val="aa"/>
        <w:rPr>
          <w:rFonts w:ascii="Times New Roman" w:eastAsia="Times New Roman" w:hAnsi="Times New Roman"/>
          <w:rtl/>
        </w:rPr>
      </w:pPr>
    </w:p>
    <w:p w14:paraId="56C06F0E" w14:textId="77777777" w:rsidR="004F3ADD" w:rsidRDefault="004F3ADD" w:rsidP="004F3ADD">
      <w:pPr>
        <w:spacing w:line="360" w:lineRule="auto"/>
        <w:rPr>
          <w:rtl/>
        </w:rPr>
      </w:pPr>
      <w:r>
        <w:rPr>
          <w:rFonts w:hint="cs"/>
          <w:b/>
          <w:bCs/>
          <w:u w:val="single"/>
          <w:rtl/>
        </w:rPr>
        <w:t>מדיניות הענישה הנוהגת</w:t>
      </w:r>
    </w:p>
    <w:p w14:paraId="2F714447" w14:textId="77777777" w:rsidR="004F3ADD" w:rsidRDefault="004F3ADD" w:rsidP="004F3ADD">
      <w:pPr>
        <w:pStyle w:val="aa"/>
        <w:numPr>
          <w:ilvl w:val="0"/>
          <w:numId w:val="2"/>
        </w:numPr>
        <w:spacing w:after="160" w:line="360" w:lineRule="auto"/>
        <w:jc w:val="both"/>
        <w:rPr>
          <w:rtl/>
        </w:rPr>
      </w:pPr>
      <w:r>
        <w:rPr>
          <w:rFonts w:hint="cs"/>
          <w:rtl/>
        </w:rPr>
        <w:t xml:space="preserve">בפסיקה ענפה הושתו על נושאי נשק עונשי מאסר מאחורי סורג ובריח לתקופות לא קצרות. הפסיקה אינה מקלה עם נאשמים צעירים שזו להם הסתבכותם הראשונה עם החוק, אף בעבירות שבוצעו בנסיבות ברף חומרה בינוני-נמוך, ללמדנו כי הענישה מבכרת את האינטרס הציבורי על פני נסיבותיו האישיות של הנאשם, לרבות במקרי שיקום: </w:t>
      </w:r>
      <w:r>
        <w:rPr>
          <w:rFonts w:hint="cs"/>
          <w:b/>
          <w:bCs/>
          <w:rtl/>
        </w:rPr>
        <w:t xml:space="preserve">"המסר העונשי הנגזר ממדיניות הענישה האמורה הוא כי שומר נפשו ושלומו – ירחק מעבירות הנשק באשר הן, קלות כחמורות" </w:t>
      </w:r>
      <w:r>
        <w:rPr>
          <w:rFonts w:hint="cs"/>
          <w:rtl/>
        </w:rPr>
        <w:t>(</w:t>
      </w:r>
      <w:hyperlink r:id="rId19" w:history="1">
        <w:r w:rsidR="00867169" w:rsidRPr="00867169">
          <w:rPr>
            <w:color w:val="0000FF"/>
            <w:u w:val="single"/>
            <w:rtl/>
          </w:rPr>
          <w:t>ע"פ 78/21</w:t>
        </w:r>
      </w:hyperlink>
      <w:r>
        <w:rPr>
          <w:rFonts w:hint="cs"/>
          <w:b/>
          <w:bCs/>
          <w:rtl/>
        </w:rPr>
        <w:t xml:space="preserve"> פלוני נ' מדינת ישראל </w:t>
      </w:r>
      <w:r>
        <w:rPr>
          <w:rFonts w:hint="cs"/>
          <w:rtl/>
        </w:rPr>
        <w:t>פסקה 10</w:t>
      </w:r>
      <w:r>
        <w:rPr>
          <w:rFonts w:hint="cs"/>
          <w:b/>
          <w:bCs/>
          <w:rtl/>
        </w:rPr>
        <w:t xml:space="preserve"> </w:t>
      </w:r>
      <w:r>
        <w:rPr>
          <w:rFonts w:hint="cs"/>
          <w:rtl/>
        </w:rPr>
        <w:t>(26.7.2022) (להלן-</w:t>
      </w:r>
      <w:r>
        <w:rPr>
          <w:rFonts w:hint="cs"/>
          <w:b/>
          <w:bCs/>
          <w:rtl/>
        </w:rPr>
        <w:t>עניין פלוני</w:t>
      </w:r>
      <w:r>
        <w:rPr>
          <w:rFonts w:hint="cs"/>
          <w:rtl/>
        </w:rPr>
        <w:t xml:space="preserve">)). </w:t>
      </w:r>
    </w:p>
    <w:p w14:paraId="2755299E" w14:textId="77777777" w:rsidR="004F3ADD" w:rsidRDefault="004F3ADD" w:rsidP="004F3ADD">
      <w:pPr>
        <w:pStyle w:val="aa"/>
        <w:spacing w:after="160" w:line="360" w:lineRule="auto"/>
        <w:jc w:val="both"/>
      </w:pPr>
    </w:p>
    <w:p w14:paraId="092A535D" w14:textId="77777777" w:rsidR="004F3ADD" w:rsidRDefault="004F3ADD" w:rsidP="004F3ADD">
      <w:pPr>
        <w:pStyle w:val="aa"/>
        <w:spacing w:line="360" w:lineRule="auto"/>
        <w:jc w:val="both"/>
        <w:rPr>
          <w:rFonts w:ascii="Times New Roman" w:hAnsi="Times New Roman"/>
          <w:rtl/>
        </w:rPr>
      </w:pPr>
      <w:r>
        <w:rPr>
          <w:rFonts w:ascii="Times New Roman" w:hAnsi="Times New Roman" w:hint="cs"/>
          <w:rtl/>
        </w:rPr>
        <w:t>ב</w:t>
      </w:r>
      <w:hyperlink r:id="rId20" w:history="1">
        <w:r w:rsidR="00867169" w:rsidRPr="00867169">
          <w:rPr>
            <w:rFonts w:ascii="Times New Roman" w:hAnsi="Times New Roman"/>
            <w:color w:val="0000FF"/>
            <w:u w:val="single"/>
            <w:rtl/>
          </w:rPr>
          <w:t>ע"פ 2141/21</w:t>
        </w:r>
      </w:hyperlink>
      <w:r>
        <w:rPr>
          <w:rFonts w:ascii="Times New Roman" w:hAnsi="Times New Roman"/>
          <w:rtl/>
        </w:rPr>
        <w:t xml:space="preserve"> </w:t>
      </w:r>
      <w:r>
        <w:rPr>
          <w:rFonts w:ascii="Times New Roman" w:hAnsi="Times New Roman" w:hint="cs"/>
          <w:b/>
          <w:bCs/>
          <w:rtl/>
        </w:rPr>
        <w:t>חניני נ' מדינת ישראל</w:t>
      </w:r>
      <w:r>
        <w:rPr>
          <w:rFonts w:ascii="Times New Roman" w:hAnsi="Times New Roman" w:hint="cs"/>
          <w:rtl/>
        </w:rPr>
        <w:t xml:space="preserve"> ((27.5.21) נדחה ערעורו של נאשם שהצטייד באקדח אוויר שבוצעו בו שינויים שמאפשרים ירי של תחמושת. הוא נתפס בחצר קרובה לביתו בשעת לילה מאוחרת, כשהוא נושא את האקדח על גופו ובתוכו ארבעה כדורים. נדון למאסר בן 20 חודשים;</w:t>
      </w:r>
    </w:p>
    <w:p w14:paraId="37CCDCC5" w14:textId="77777777" w:rsidR="004F3ADD" w:rsidRDefault="004F3ADD" w:rsidP="004F3ADD">
      <w:pPr>
        <w:pStyle w:val="aa"/>
        <w:spacing w:line="360" w:lineRule="auto"/>
        <w:jc w:val="both"/>
        <w:rPr>
          <w:rFonts w:ascii="Times New Roman" w:hAnsi="Times New Roman"/>
          <w:rtl/>
        </w:rPr>
      </w:pPr>
    </w:p>
    <w:p w14:paraId="493E3E11" w14:textId="77777777" w:rsidR="004F3ADD" w:rsidRDefault="004F3ADD" w:rsidP="004F3ADD">
      <w:pPr>
        <w:pStyle w:val="aa"/>
        <w:spacing w:after="160" w:line="360" w:lineRule="auto"/>
        <w:jc w:val="both"/>
        <w:rPr>
          <w:rtl/>
        </w:rPr>
      </w:pPr>
      <w:r>
        <w:rPr>
          <w:rFonts w:hint="cs"/>
          <w:rtl/>
        </w:rPr>
        <w:t>ב</w:t>
      </w:r>
      <w:r>
        <w:rPr>
          <w:rFonts w:hint="cs"/>
          <w:b/>
          <w:bCs/>
          <w:rtl/>
        </w:rPr>
        <w:t xml:space="preserve">עניין פלוני </w:t>
      </w:r>
      <w:r>
        <w:rPr>
          <w:rFonts w:hint="cs"/>
          <w:rtl/>
        </w:rPr>
        <w:t xml:space="preserve">נדחה ערעור המערער, ללא עבר, שנשא והוביל ברכבו אקדח גלוק מוסלק, בנסיבות קשירת קשר עם אחר לביצוע עסקת נשק. בית המשפט המחוזי קבע מתחם ענישה הנע בין 36-16 חודשי מאסר. נדון למאסר בן 16 חודשים; </w:t>
      </w:r>
    </w:p>
    <w:p w14:paraId="73DFFD78" w14:textId="77777777" w:rsidR="004F3ADD" w:rsidRDefault="004F3ADD" w:rsidP="004F3ADD">
      <w:pPr>
        <w:pStyle w:val="aa"/>
        <w:spacing w:after="160" w:line="360" w:lineRule="auto"/>
        <w:jc w:val="both"/>
        <w:rPr>
          <w:rtl/>
        </w:rPr>
      </w:pPr>
    </w:p>
    <w:p w14:paraId="730BE8FD" w14:textId="77777777" w:rsidR="004F3ADD" w:rsidRDefault="004F3ADD" w:rsidP="004F3ADD">
      <w:pPr>
        <w:pStyle w:val="aa"/>
        <w:spacing w:after="160" w:line="360" w:lineRule="auto"/>
        <w:jc w:val="both"/>
        <w:rPr>
          <w:rtl/>
        </w:rPr>
      </w:pPr>
      <w:r>
        <w:rPr>
          <w:rFonts w:hint="cs"/>
          <w:rtl/>
        </w:rPr>
        <w:t>ב</w:t>
      </w:r>
      <w:hyperlink r:id="rId21" w:history="1">
        <w:r w:rsidR="00867169" w:rsidRPr="00867169">
          <w:rPr>
            <w:color w:val="0000FF"/>
            <w:u w:val="single"/>
            <w:rtl/>
          </w:rPr>
          <w:t>ע"פ 6021/21</w:t>
        </w:r>
      </w:hyperlink>
      <w:r>
        <w:rPr>
          <w:rFonts w:hint="cs"/>
          <w:rtl/>
        </w:rPr>
        <w:t xml:space="preserve"> </w:t>
      </w:r>
      <w:r>
        <w:rPr>
          <w:rFonts w:hint="cs"/>
          <w:b/>
          <w:bCs/>
          <w:rtl/>
        </w:rPr>
        <w:t>עבוד נ' מדינת ישראל</w:t>
      </w:r>
      <w:r>
        <w:rPr>
          <w:rFonts w:hint="cs"/>
          <w:rtl/>
        </w:rPr>
        <w:t xml:space="preserve"> (19.12.21) נדחה ערעור המערער, ללא עבר, שהורשע בנשיאת נשק מסוג 16-</w:t>
      </w:r>
      <w:r>
        <w:t>M</w:t>
      </w:r>
      <w:r>
        <w:rPr>
          <w:rFonts w:hint="cs"/>
          <w:rtl/>
        </w:rPr>
        <w:t xml:space="preserve"> והפרעה לשוטר. בית המשפט המחוזי קבע מתחם ענישה הנע בין 50-24 חודשי מאסר. נדון למאסר בן 30 חודשים;</w:t>
      </w:r>
    </w:p>
    <w:p w14:paraId="2AF6309E" w14:textId="77777777" w:rsidR="004F3ADD" w:rsidRDefault="004F3ADD" w:rsidP="004F3ADD">
      <w:pPr>
        <w:spacing w:line="360" w:lineRule="auto"/>
        <w:ind w:left="720"/>
        <w:contextualSpacing/>
        <w:jc w:val="both"/>
      </w:pPr>
    </w:p>
    <w:p w14:paraId="41B3D6DE" w14:textId="77777777" w:rsidR="004F3ADD" w:rsidRDefault="004F3ADD" w:rsidP="004F3ADD">
      <w:pPr>
        <w:spacing w:line="360" w:lineRule="auto"/>
        <w:ind w:left="720"/>
        <w:contextualSpacing/>
        <w:jc w:val="both"/>
        <w:rPr>
          <w:rtl/>
        </w:rPr>
      </w:pPr>
      <w:r>
        <w:rPr>
          <w:rFonts w:hint="cs"/>
          <w:rtl/>
        </w:rPr>
        <w:t>ב</w:t>
      </w:r>
      <w:hyperlink r:id="rId22" w:history="1">
        <w:r w:rsidR="00867169" w:rsidRPr="00867169">
          <w:rPr>
            <w:color w:val="0000FF"/>
            <w:u w:val="single"/>
            <w:rtl/>
          </w:rPr>
          <w:t>ע"פ 2033/21</w:t>
        </w:r>
      </w:hyperlink>
      <w:r>
        <w:rPr>
          <w:rFonts w:hint="cs"/>
          <w:rtl/>
        </w:rPr>
        <w:t xml:space="preserve"> </w:t>
      </w:r>
      <w:r>
        <w:rPr>
          <w:rFonts w:hint="cs"/>
          <w:b/>
          <w:bCs/>
          <w:rtl/>
        </w:rPr>
        <w:t>זועבי נ' מדינת ישראל</w:t>
      </w:r>
      <w:r>
        <w:rPr>
          <w:rFonts w:hint="cs"/>
          <w:rtl/>
        </w:rPr>
        <w:t xml:space="preserve"> ((30.8.21) נדחה ערעורו המערער, בן 51, ללא עבר, חולה טרשת נפוצה שנדון בגין נשיאת שני אקדחים על רקע סכסוך פעיל למאסר בן 24 חודשים. נקבע כי סולחה שנערכה בין המשפחות ומצבו הרפואי לא מצדיקים חריגה מהמתחם.  </w:t>
      </w:r>
    </w:p>
    <w:p w14:paraId="2B46E8B4" w14:textId="77777777" w:rsidR="004F3ADD" w:rsidRDefault="004F3ADD" w:rsidP="004F3ADD">
      <w:pPr>
        <w:spacing w:line="360" w:lineRule="auto"/>
        <w:ind w:left="720"/>
        <w:contextualSpacing/>
        <w:jc w:val="both"/>
        <w:rPr>
          <w:rtl/>
        </w:rPr>
      </w:pPr>
    </w:p>
    <w:p w14:paraId="5A5A0400" w14:textId="77777777" w:rsidR="004F3ADD" w:rsidRDefault="004F3ADD" w:rsidP="004F3ADD">
      <w:pPr>
        <w:spacing w:line="360" w:lineRule="auto"/>
        <w:ind w:left="720"/>
        <w:contextualSpacing/>
        <w:jc w:val="both"/>
        <w:rPr>
          <w:rtl/>
        </w:rPr>
      </w:pPr>
      <w:r>
        <w:rPr>
          <w:rFonts w:hint="cs"/>
          <w:rtl/>
        </w:rPr>
        <w:t>ב</w:t>
      </w:r>
      <w:hyperlink r:id="rId23" w:history="1">
        <w:r w:rsidR="00867169" w:rsidRPr="00867169">
          <w:rPr>
            <w:color w:val="0000FF"/>
            <w:u w:val="single"/>
            <w:rtl/>
          </w:rPr>
          <w:t>ע"פ 1658/22</w:t>
        </w:r>
      </w:hyperlink>
      <w:r>
        <w:rPr>
          <w:rFonts w:hint="cs"/>
          <w:rtl/>
        </w:rPr>
        <w:t xml:space="preserve"> </w:t>
      </w:r>
      <w:r>
        <w:rPr>
          <w:rFonts w:hint="cs"/>
          <w:b/>
          <w:bCs/>
          <w:rtl/>
        </w:rPr>
        <w:t>נח'אש נ' מדינת ישראל</w:t>
      </w:r>
      <w:r>
        <w:rPr>
          <w:rFonts w:hint="cs"/>
          <w:rtl/>
        </w:rPr>
        <w:t xml:space="preserve"> (19.6.22) נדחה ערעור המערער שהורשע בעבירת נשיאה והובלה של תת מקלע "עוזי" ומחסנית למאסר בן 26 חודשים. המערער, ללא עבר פלילי, רכש לטענתו את הנשק לשם הגנה עצמית ועבר הליך טיפולי. </w:t>
      </w:r>
    </w:p>
    <w:p w14:paraId="4A586032" w14:textId="77777777" w:rsidR="004F3ADD" w:rsidRDefault="004F3ADD" w:rsidP="004F3ADD">
      <w:pPr>
        <w:spacing w:line="360" w:lineRule="auto"/>
        <w:ind w:left="720"/>
        <w:contextualSpacing/>
        <w:jc w:val="both"/>
        <w:rPr>
          <w:rtl/>
        </w:rPr>
      </w:pPr>
    </w:p>
    <w:p w14:paraId="3B6F4318" w14:textId="77777777" w:rsidR="004F3ADD" w:rsidRDefault="004F3ADD" w:rsidP="004F3ADD">
      <w:pPr>
        <w:spacing w:line="360" w:lineRule="auto"/>
        <w:ind w:left="720"/>
        <w:contextualSpacing/>
        <w:jc w:val="both"/>
        <w:rPr>
          <w:rtl/>
        </w:rPr>
      </w:pPr>
      <w:r>
        <w:rPr>
          <w:rFonts w:hint="cs"/>
          <w:rtl/>
        </w:rPr>
        <w:t>ב</w:t>
      </w:r>
      <w:hyperlink r:id="rId24" w:history="1">
        <w:r w:rsidR="00867169" w:rsidRPr="00867169">
          <w:rPr>
            <w:color w:val="0000FF"/>
            <w:u w:val="single"/>
            <w:rtl/>
          </w:rPr>
          <w:t>ע"פ 930/22</w:t>
        </w:r>
      </w:hyperlink>
      <w:r>
        <w:rPr>
          <w:rFonts w:hint="cs"/>
          <w:rtl/>
        </w:rPr>
        <w:t xml:space="preserve"> </w:t>
      </w:r>
      <w:r>
        <w:rPr>
          <w:rFonts w:hint="cs"/>
          <w:b/>
          <w:bCs/>
          <w:rtl/>
        </w:rPr>
        <w:t xml:space="preserve">חטיב נ' מדינת ישראל </w:t>
      </w:r>
      <w:r>
        <w:rPr>
          <w:rFonts w:hint="cs"/>
          <w:rtl/>
        </w:rPr>
        <w:t xml:space="preserve">(31.7.22) נדחה ערעור נאשם אשר זוכה מעבירת סחר באקדח ומחסנית ריקה, והורשע חלף זאת בנשיאת והובלת האקדח ברכבו. בית המשפט המחוזי קבע מתחם ענישה הנע בין 30-16 חודשי מאסר. נדון למאסר בן 23 חודשים; </w:t>
      </w:r>
    </w:p>
    <w:p w14:paraId="366DBCE5" w14:textId="77777777" w:rsidR="004F3ADD" w:rsidRDefault="004F3ADD" w:rsidP="004F3ADD">
      <w:pPr>
        <w:spacing w:line="360" w:lineRule="auto"/>
        <w:jc w:val="both"/>
        <w:rPr>
          <w:rFonts w:ascii="Century" w:hAnsi="Century" w:cs="FrankRuehl"/>
          <w:spacing w:val="10"/>
          <w:szCs w:val="28"/>
          <w:rtl/>
        </w:rPr>
      </w:pPr>
    </w:p>
    <w:p w14:paraId="2AF47A7B" w14:textId="77777777" w:rsidR="004F3ADD" w:rsidRDefault="004F3ADD" w:rsidP="004F3ADD">
      <w:pPr>
        <w:pStyle w:val="aa"/>
        <w:spacing w:after="160" w:line="360" w:lineRule="auto"/>
        <w:jc w:val="both"/>
        <w:rPr>
          <w:rtl/>
        </w:rPr>
      </w:pPr>
      <w:r>
        <w:rPr>
          <w:rFonts w:hint="cs"/>
          <w:rtl/>
        </w:rPr>
        <w:t>ב</w:t>
      </w:r>
      <w:hyperlink r:id="rId25" w:history="1">
        <w:r w:rsidR="00867169" w:rsidRPr="00867169">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(31.7.22) נדחה ערעור המערער, ללא עבר, שנשא אקדח ומחסנית ריקה מוסלקים ברכבו, לאחר שהחזיקם במשך שנה וחצי לפחות. בית המשפט המחוזי קבע מתחם ענישה הנע בין 40-18 חודשי מאסר. נדון למאסר בן 18 חודשים; </w:t>
      </w:r>
    </w:p>
    <w:p w14:paraId="000B79A2" w14:textId="77777777" w:rsidR="004F3ADD" w:rsidRDefault="004F3ADD" w:rsidP="004F3ADD">
      <w:pPr>
        <w:pStyle w:val="aa"/>
        <w:spacing w:after="160" w:line="360" w:lineRule="auto"/>
        <w:jc w:val="both"/>
        <w:rPr>
          <w:rtl/>
        </w:rPr>
      </w:pPr>
    </w:p>
    <w:p w14:paraId="5345F120" w14:textId="77777777" w:rsidR="004F3ADD" w:rsidRDefault="004F3ADD" w:rsidP="004F3ADD">
      <w:pPr>
        <w:pStyle w:val="a"/>
        <w:numPr>
          <w:ilvl w:val="0"/>
          <w:numId w:val="0"/>
        </w:numPr>
        <w:tabs>
          <w:tab w:val="left" w:pos="720"/>
        </w:tabs>
        <w:ind w:left="720" w:right="0"/>
        <w:jc w:val="both"/>
        <w:rPr>
          <w:rFonts w:eastAsia="David"/>
          <w:rtl/>
        </w:rPr>
      </w:pPr>
      <w:r>
        <w:rPr>
          <w:rFonts w:eastAsia="David"/>
          <w:rtl/>
        </w:rPr>
        <w:t>ב</w:t>
      </w:r>
      <w:hyperlink r:id="rId26" w:history="1">
        <w:r w:rsidR="00867169" w:rsidRPr="00867169">
          <w:rPr>
            <w:rFonts w:eastAsia="David"/>
            <w:color w:val="0000FF"/>
            <w:u w:val="single"/>
            <w:rtl/>
          </w:rPr>
          <w:t>ע"פ 4290/21</w:t>
        </w:r>
      </w:hyperlink>
      <w:r>
        <w:rPr>
          <w:rFonts w:eastAsia="David"/>
          <w:rtl/>
        </w:rPr>
        <w:t xml:space="preserve"> </w:t>
      </w:r>
      <w:r>
        <w:rPr>
          <w:rFonts w:eastAsia="David" w:hint="cs"/>
          <w:b/>
          <w:bCs/>
          <w:rtl/>
        </w:rPr>
        <w:t>זרבאילוב נ' מדינת ישראל</w:t>
      </w:r>
      <w:r>
        <w:rPr>
          <w:rFonts w:eastAsia="David" w:hint="cs"/>
          <w:rtl/>
        </w:rPr>
        <w:t xml:space="preserve">  (6.12.21) דחה בית המשפט העליון את ערעור המערער שנהג ברכבו ונשא בתא המטען שני אקדחים טעונים במחסנית. בית המשפט המחוזי קבע מתחם ענישה הנע בין 36-16 חודשי מאסר. לחובת הנאשם הרשעה אחת שהתיישנה. נדון למאסר בן 18 חודשים. </w:t>
      </w:r>
    </w:p>
    <w:p w14:paraId="3D403816" w14:textId="77777777" w:rsidR="004F3ADD" w:rsidRDefault="004F3ADD" w:rsidP="004F3ADD">
      <w:pPr>
        <w:pStyle w:val="a"/>
        <w:numPr>
          <w:ilvl w:val="0"/>
          <w:numId w:val="0"/>
        </w:numPr>
        <w:tabs>
          <w:tab w:val="left" w:pos="720"/>
        </w:tabs>
        <w:ind w:left="720" w:right="0"/>
        <w:jc w:val="both"/>
        <w:rPr>
          <w:rFonts w:eastAsia="David"/>
          <w:rtl/>
        </w:rPr>
      </w:pPr>
    </w:p>
    <w:p w14:paraId="63B474D7" w14:textId="77777777" w:rsidR="004F3ADD" w:rsidRDefault="004F3ADD" w:rsidP="004F3ADD">
      <w:pPr>
        <w:pStyle w:val="a"/>
        <w:numPr>
          <w:ilvl w:val="0"/>
          <w:numId w:val="2"/>
        </w:numPr>
        <w:tabs>
          <w:tab w:val="left" w:pos="720"/>
        </w:tabs>
        <w:ind w:right="0"/>
        <w:jc w:val="both"/>
        <w:rPr>
          <w:rFonts w:eastAsia="David"/>
          <w:rtl/>
        </w:rPr>
      </w:pPr>
      <w:r>
        <w:rPr>
          <w:rFonts w:eastAsia="David"/>
          <w:rtl/>
        </w:rPr>
        <w:t xml:space="preserve">לאחר שבחנתי את נסיבות ביצוע העבירה, מידת הפגיעה בערכים המוגנים ומדיניות הענישה הנוהגת, אני קובעת </w:t>
      </w:r>
      <w:r>
        <w:rPr>
          <w:rFonts w:eastAsia="David"/>
          <w:b/>
          <w:bCs/>
          <w:rtl/>
        </w:rPr>
        <w:t>מתחם ענישה הנע בין 20-40 חודשי מאסר בפועל</w:t>
      </w:r>
      <w:r>
        <w:rPr>
          <w:rFonts w:eastAsia="David"/>
          <w:rtl/>
        </w:rPr>
        <w:t xml:space="preserve">. בהקשר זה מצאתי ליתן משקל לכך שנסיבות נשיאת הנשק לא מצביעות על כוונה לשימוש בו למטרה פלילית וזאת מבלי להפחית ממידת הסיכון הגלום במעשה. </w:t>
      </w:r>
    </w:p>
    <w:p w14:paraId="1CF33593" w14:textId="77777777" w:rsidR="004F3ADD" w:rsidRDefault="004F3ADD" w:rsidP="004F3ADD">
      <w:pPr>
        <w:spacing w:after="160" w:line="360" w:lineRule="auto"/>
        <w:jc w:val="both"/>
        <w:rPr>
          <w:rFonts w:eastAsia="David"/>
          <w:b/>
          <w:bCs/>
          <w:u w:val="single"/>
        </w:rPr>
      </w:pPr>
    </w:p>
    <w:p w14:paraId="395AF73C" w14:textId="77777777" w:rsidR="004F3ADD" w:rsidRDefault="004F3ADD" w:rsidP="004F3ADD">
      <w:pPr>
        <w:spacing w:after="160" w:line="360" w:lineRule="auto"/>
        <w:ind w:firstLine="360"/>
        <w:jc w:val="both"/>
        <w:rPr>
          <w:b/>
          <w:bCs/>
          <w:u w:val="single"/>
          <w:rtl/>
        </w:rPr>
      </w:pPr>
      <w:r>
        <w:rPr>
          <w:rFonts w:hint="cs"/>
          <w:b/>
          <w:bCs/>
          <w:u w:val="single"/>
          <w:rtl/>
        </w:rPr>
        <w:t>גזירת העונש המתאים לנאשם</w:t>
      </w:r>
    </w:p>
    <w:p w14:paraId="71CB806D" w14:textId="77777777" w:rsidR="004F3ADD" w:rsidRDefault="004F3ADD" w:rsidP="004F3ADD">
      <w:pPr>
        <w:pStyle w:val="aa"/>
        <w:numPr>
          <w:ilvl w:val="0"/>
          <w:numId w:val="2"/>
        </w:numPr>
        <w:spacing w:after="160" w:line="360" w:lineRule="auto"/>
        <w:jc w:val="both"/>
        <w:rPr>
          <w:rtl/>
        </w:rPr>
      </w:pPr>
      <w:r>
        <w:rPr>
          <w:rFonts w:hint="cs"/>
          <w:rtl/>
        </w:rPr>
        <w:t xml:space="preserve">הנאשם בחור צעיר, בן למשפחה טובה ונעדר עבר, מתמודד עם מחלת סכרת נעורים. הנאשם היה עצור לראשונה בחייו במסגרת הליך זה כשלושה חודשים ולאחר מכן היה נתון תקופה במעצר בתנאי איזוק. תסקיריו חיוביים ומלמדים על נאשם המביע חרטה ותובנה לחומרת מעשיו, נכון לשאת את עונשו ובעל מוטיבציה טיפולית אך אין מדובר בתסקיר שיקומי, הנאשם אף לא שולב בטיפול משמעותי. נתוניו של הנאשם: גיל צעיר, עבר נקי והעדר דפוסים עברייניים מאפיינים, למרבה הצער, את הפרופיל החדש של מבצעי עבירות בנשק בלתי חוקי ועניינו של הנאשם אינו חריג ואף אינו כולל נתונים יוצאי דופן. עוד אינני מתעלמת מכך שמדובר בנאשם הסובל ממחלה כרונית וכי בתקופת מעצרו חווה קשיים רבים. </w:t>
      </w:r>
    </w:p>
    <w:p w14:paraId="270AC851" w14:textId="77777777" w:rsidR="004F3ADD" w:rsidRDefault="004F3ADD" w:rsidP="004F3ADD">
      <w:pPr>
        <w:pStyle w:val="aa"/>
        <w:spacing w:after="160" w:line="360" w:lineRule="auto"/>
        <w:jc w:val="both"/>
      </w:pPr>
    </w:p>
    <w:p w14:paraId="63B3827F" w14:textId="77777777" w:rsidR="004F3ADD" w:rsidRDefault="004F3ADD" w:rsidP="004F3ADD">
      <w:pPr>
        <w:pStyle w:val="aa"/>
        <w:numPr>
          <w:ilvl w:val="0"/>
          <w:numId w:val="2"/>
        </w:numPr>
        <w:spacing w:after="160" w:line="360" w:lineRule="auto"/>
        <w:jc w:val="both"/>
      </w:pPr>
      <w:r>
        <w:rPr>
          <w:rFonts w:hint="cs"/>
          <w:rtl/>
        </w:rPr>
        <w:t xml:space="preserve">צו השעה הוא להחמיר עם מבצעי עבירות בנשק בלתי חוקי וליתן משקל מכריע לאינטרס הציבורי ולשיקולי ההרתעה. המסר העונשי לעברייני הנשק הוא חד ונחרץ: </w:t>
      </w:r>
      <w:r>
        <w:rPr>
          <w:rFonts w:hint="cs"/>
          <w:b/>
          <w:bCs/>
          <w:rtl/>
        </w:rPr>
        <w:t xml:space="preserve">"שומה עלינו לזכור כי מדובר במשחק-סכום-אפס: שופט שמרחם על עבריין נשק ומקל בעונשו אינו מרחם על הקורבן הבא" </w:t>
      </w:r>
      <w:r>
        <w:rPr>
          <w:rFonts w:hint="cs"/>
          <w:rtl/>
        </w:rPr>
        <w:t xml:space="preserve">(פסק דינו של כב' השופט שטיין, </w:t>
      </w:r>
      <w:hyperlink r:id="rId27" w:history="1">
        <w:r w:rsidR="00867169" w:rsidRPr="00867169">
          <w:rPr>
            <w:color w:val="0000FF"/>
            <w:u w:val="single"/>
            <w:rtl/>
          </w:rPr>
          <w:t>ע"פ 7850/21</w:t>
        </w:r>
      </w:hyperlink>
      <w:r>
        <w:rPr>
          <w:rFonts w:hint="cs"/>
          <w:rtl/>
        </w:rPr>
        <w:t xml:space="preserve"> </w:t>
      </w:r>
      <w:r>
        <w:rPr>
          <w:rFonts w:hint="cs"/>
          <w:b/>
          <w:bCs/>
          <w:rtl/>
        </w:rPr>
        <w:t>דסוקי נ' מדינת ישראל</w:t>
      </w:r>
      <w:r>
        <w:rPr>
          <w:rFonts w:hint="cs"/>
          <w:rtl/>
        </w:rPr>
        <w:t xml:space="preserve">  (25.11.21)). לא שוכנעתי כי לנאשם נסיבות מיוחדות המצדיקות חריגה ממתחם הענישה, גם בהינתן המלצה חיובית של שירות המבחן. המלצה זו, כידוע, אינה מחייבת את בית המשפט וביכולתו לסטות ממנה מטעמים מוצדקים (</w:t>
      </w:r>
      <w:hyperlink r:id="rId28" w:history="1">
        <w:r w:rsidR="00867169" w:rsidRPr="00867169">
          <w:rPr>
            <w:color w:val="0000FF"/>
            <w:u w:val="single"/>
            <w:rtl/>
          </w:rPr>
          <w:t>ע"פ 2260/22</w:t>
        </w:r>
      </w:hyperlink>
      <w:r>
        <w:rPr>
          <w:rFonts w:hint="cs"/>
          <w:rtl/>
        </w:rPr>
        <w:t xml:space="preserve"> </w:t>
      </w:r>
      <w:r>
        <w:rPr>
          <w:rFonts w:hint="cs"/>
          <w:b/>
          <w:bCs/>
          <w:rtl/>
        </w:rPr>
        <w:t xml:space="preserve">פלוני נ' מדינת ישראל </w:t>
      </w:r>
      <w:r>
        <w:rPr>
          <w:rFonts w:hint="cs"/>
          <w:rtl/>
        </w:rPr>
        <w:t xml:space="preserve">פסקה 10 (18.7.22)). </w:t>
      </w:r>
    </w:p>
    <w:p w14:paraId="78A22F61" w14:textId="77777777" w:rsidR="004F3ADD" w:rsidRDefault="004F3ADD" w:rsidP="004F3ADD">
      <w:pPr>
        <w:pStyle w:val="aa"/>
        <w:spacing w:after="160" w:line="360" w:lineRule="auto"/>
        <w:jc w:val="both"/>
      </w:pPr>
    </w:p>
    <w:p w14:paraId="01009600" w14:textId="77777777" w:rsidR="004F3ADD" w:rsidRDefault="004F3ADD" w:rsidP="004F3ADD">
      <w:pPr>
        <w:pStyle w:val="aa"/>
        <w:numPr>
          <w:ilvl w:val="0"/>
          <w:numId w:val="2"/>
        </w:numPr>
        <w:spacing w:after="160" w:line="360" w:lineRule="auto"/>
        <w:jc w:val="both"/>
      </w:pPr>
      <w:r>
        <w:rPr>
          <w:rFonts w:hint="cs"/>
          <w:rtl/>
        </w:rPr>
        <w:t xml:space="preserve">לאחר שבחנתי את כלל השיקולים מצאתי למקמו ברף התחתון של המתחם. נתוניו טובים; הסיכון שיחזור על מעשיו אינו גבוה ומאז ביצוע העבירה חלפו כשנתיים. באשר לגובה הקנס, אתחשב במצבו הכלכלי והבריאותי ובכך שאינו עובד.  </w:t>
      </w:r>
    </w:p>
    <w:p w14:paraId="0E8737EC" w14:textId="77777777" w:rsidR="004F3ADD" w:rsidRDefault="004F3ADD" w:rsidP="004F3ADD">
      <w:pPr>
        <w:spacing w:line="360" w:lineRule="auto"/>
        <w:jc w:val="both"/>
        <w:rPr>
          <w:rtl/>
        </w:rPr>
      </w:pPr>
      <w:r>
        <w:rPr>
          <w:rFonts w:hint="cs"/>
          <w:b/>
          <w:bCs/>
          <w:u w:val="single"/>
          <w:rtl/>
        </w:rPr>
        <w:t>סוף דבר</w:t>
      </w:r>
    </w:p>
    <w:p w14:paraId="74791BDE" w14:textId="77777777" w:rsidR="004F3ADD" w:rsidRDefault="004F3ADD" w:rsidP="004F3ADD">
      <w:pPr>
        <w:pStyle w:val="aa"/>
        <w:numPr>
          <w:ilvl w:val="0"/>
          <w:numId w:val="2"/>
        </w:numPr>
        <w:spacing w:after="160" w:line="360" w:lineRule="auto"/>
        <w:jc w:val="both"/>
        <w:rPr>
          <w:b/>
          <w:bCs/>
          <w:rtl/>
        </w:rPr>
      </w:pPr>
      <w:r>
        <w:rPr>
          <w:rFonts w:hint="cs"/>
          <w:b/>
          <w:bCs/>
          <w:rtl/>
        </w:rPr>
        <w:t>אני גוזרת על הנאשם את העונשים הבאים:</w:t>
      </w:r>
    </w:p>
    <w:p w14:paraId="652F15C2" w14:textId="77777777" w:rsidR="004F3ADD" w:rsidRDefault="004F3ADD" w:rsidP="004F3ADD">
      <w:pPr>
        <w:pStyle w:val="aa"/>
      </w:pPr>
    </w:p>
    <w:p w14:paraId="5A62B0AE" w14:textId="77777777" w:rsidR="004F3ADD" w:rsidRDefault="004F3ADD" w:rsidP="004F3ADD">
      <w:pPr>
        <w:pStyle w:val="aa"/>
        <w:numPr>
          <w:ilvl w:val="0"/>
          <w:numId w:val="3"/>
        </w:numPr>
        <w:spacing w:after="160" w:line="360" w:lineRule="auto"/>
        <w:jc w:val="both"/>
        <w:rPr>
          <w:rtl/>
        </w:rPr>
      </w:pPr>
      <w:r>
        <w:rPr>
          <w:rFonts w:hint="cs"/>
          <w:rtl/>
        </w:rPr>
        <w:t xml:space="preserve">20 חודשי מאסר בפועל, בניכוי ימי מעצרו 06.06.21-21.03.21. </w:t>
      </w:r>
    </w:p>
    <w:p w14:paraId="1720F10F" w14:textId="77777777" w:rsidR="004F3ADD" w:rsidRDefault="004F3ADD" w:rsidP="004F3ADD">
      <w:pPr>
        <w:pStyle w:val="aa"/>
        <w:numPr>
          <w:ilvl w:val="0"/>
          <w:numId w:val="3"/>
        </w:numPr>
        <w:spacing w:after="160" w:line="360" w:lineRule="auto"/>
        <w:jc w:val="both"/>
      </w:pPr>
      <w:r>
        <w:rPr>
          <w:rFonts w:hint="cs"/>
          <w:rtl/>
        </w:rPr>
        <w:t xml:space="preserve">מאסר על תנאי בן 12 חודשים לבל יעבור הנאשם עבירת נשק תוך 3 שנים מיום שחרורו. </w:t>
      </w:r>
    </w:p>
    <w:p w14:paraId="65CC8ADD" w14:textId="77777777" w:rsidR="004F3ADD" w:rsidRDefault="004F3ADD" w:rsidP="004F3ADD">
      <w:pPr>
        <w:pStyle w:val="aa"/>
        <w:numPr>
          <w:ilvl w:val="0"/>
          <w:numId w:val="3"/>
        </w:numPr>
        <w:spacing w:after="160" w:line="360" w:lineRule="auto"/>
        <w:jc w:val="both"/>
      </w:pPr>
      <w:r>
        <w:rPr>
          <w:rFonts w:hint="cs"/>
          <w:rtl/>
        </w:rPr>
        <w:t xml:space="preserve">קנס בסך 4,000 ₪ או 45 ימי מאסר תמורתו. הקנס ישולם בארבעה תשלומים החל מיום 1.2.23.  </w:t>
      </w:r>
    </w:p>
    <w:p w14:paraId="72F825E3" w14:textId="77777777" w:rsidR="004F3ADD" w:rsidRDefault="004F3ADD" w:rsidP="004F3ADD">
      <w:pPr>
        <w:pStyle w:val="aa"/>
        <w:numPr>
          <w:ilvl w:val="0"/>
          <w:numId w:val="3"/>
        </w:numPr>
        <w:spacing w:after="160" w:line="360" w:lineRule="auto"/>
        <w:jc w:val="both"/>
      </w:pPr>
      <w:r>
        <w:rPr>
          <w:rFonts w:hint="cs"/>
          <w:rtl/>
        </w:rPr>
        <w:t xml:space="preserve">הנאשם יתייצב לריצוי מאסרו ביום 30.1.23 עד השעה 10:00 בבית מעצר "הדרים". לצורך הבטחת התייצבותו יעמדו הערבויות שהופקדו בהליך המעצר, צו עיכוב יציאה מהארץ יוותר על כנו. </w:t>
      </w:r>
    </w:p>
    <w:p w14:paraId="34D25AFE" w14:textId="77777777" w:rsidR="004F3ADD" w:rsidRDefault="004F3ADD" w:rsidP="004F3ADD">
      <w:pPr>
        <w:spacing w:line="360" w:lineRule="auto"/>
        <w:jc w:val="both"/>
        <w:rPr>
          <w:b/>
          <w:bCs/>
          <w:rtl/>
        </w:rPr>
      </w:pPr>
    </w:p>
    <w:p w14:paraId="04F9A0E9" w14:textId="77777777" w:rsidR="004F3ADD" w:rsidRDefault="004F3ADD" w:rsidP="004F3ADD">
      <w:pPr>
        <w:spacing w:line="360" w:lineRule="auto"/>
        <w:jc w:val="both"/>
        <w:rPr>
          <w:b/>
          <w:bCs/>
        </w:rPr>
      </w:pPr>
      <w:r>
        <w:rPr>
          <w:rFonts w:hint="cs"/>
          <w:b/>
          <w:bCs/>
          <w:rtl/>
        </w:rPr>
        <w:t xml:space="preserve">עותק מהחלטתי יועבר לשירות המבחן. </w:t>
      </w:r>
    </w:p>
    <w:p w14:paraId="779ECDED" w14:textId="77777777" w:rsidR="004F3ADD" w:rsidRDefault="004F3ADD" w:rsidP="004F3ADD">
      <w:pPr>
        <w:spacing w:line="360" w:lineRule="auto"/>
        <w:jc w:val="both"/>
        <w:rPr>
          <w:b/>
          <w:bCs/>
          <w:rtl/>
        </w:rPr>
      </w:pPr>
      <w:r>
        <w:rPr>
          <w:rFonts w:hint="cs"/>
          <w:b/>
          <w:bCs/>
          <w:rtl/>
        </w:rPr>
        <w:t xml:space="preserve">זכות ערעור לבית המשפט העליון תוך 45 יום. </w:t>
      </w:r>
    </w:p>
    <w:p w14:paraId="224F01A6" w14:textId="77777777" w:rsidR="004F3ADD" w:rsidRDefault="004F3ADD" w:rsidP="004F3ADD">
      <w:pPr>
        <w:pStyle w:val="Ruller40"/>
        <w:textAlignment w:val="baseline"/>
        <w:rPr>
          <w:rFonts w:ascii="Times New Roman" w:hAnsi="Times New Roman" w:cs="David"/>
          <w:spacing w:val="0"/>
          <w:sz w:val="24"/>
          <w:szCs w:val="24"/>
        </w:rPr>
      </w:pPr>
    </w:p>
    <w:p w14:paraId="4BFEFD38" w14:textId="77777777" w:rsidR="004F3ADD" w:rsidRDefault="004F3ADD" w:rsidP="004F3ADD">
      <w:pPr>
        <w:pStyle w:val="Ruller40"/>
        <w:textAlignment w:val="baseline"/>
        <w:rPr>
          <w:rFonts w:ascii="Times New Roman" w:hAnsi="Times New Roman" w:cs="David"/>
          <w:spacing w:val="0"/>
          <w:sz w:val="24"/>
          <w:szCs w:val="24"/>
          <w:rtl/>
        </w:rPr>
      </w:pPr>
    </w:p>
    <w:p w14:paraId="104524DD" w14:textId="77777777" w:rsidR="004F3ADD" w:rsidRDefault="004F3ADD" w:rsidP="004F3ADD">
      <w:pPr>
        <w:pStyle w:val="Ruller40"/>
        <w:textAlignment w:val="baseline"/>
        <w:rPr>
          <w:rFonts w:ascii="Times New Roman" w:hAnsi="Times New Roman" w:cs="David"/>
          <w:spacing w:val="0"/>
          <w:sz w:val="24"/>
          <w:szCs w:val="24"/>
          <w:rtl/>
        </w:rPr>
      </w:pPr>
    </w:p>
    <w:p w14:paraId="47A3EBC1" w14:textId="77777777" w:rsidR="004F3ADD" w:rsidRDefault="004F3ADD" w:rsidP="004F3ADD">
      <w:pPr>
        <w:rPr>
          <w:rFonts w:ascii="Arial" w:hAnsi="Arial"/>
          <w:b/>
          <w:bCs/>
          <w:sz w:val="26"/>
          <w:szCs w:val="26"/>
          <w:rtl/>
        </w:rPr>
      </w:pPr>
    </w:p>
    <w:p w14:paraId="7698312A" w14:textId="77777777" w:rsidR="004F3ADD" w:rsidRDefault="004F3ADD" w:rsidP="004F3ADD">
      <w:pPr>
        <w:rPr>
          <w:rFonts w:ascii="Arial" w:hAnsi="Arial"/>
          <w:b/>
          <w:bCs/>
          <w:sz w:val="26"/>
          <w:szCs w:val="26"/>
          <w:rtl/>
        </w:rPr>
      </w:pPr>
    </w:p>
    <w:p w14:paraId="47A3013B" w14:textId="77777777" w:rsidR="004F3ADD" w:rsidRDefault="004F3ADD" w:rsidP="004F3ADD">
      <w:pPr>
        <w:rPr>
          <w:rFonts w:ascii="Arial" w:hAnsi="Arial"/>
          <w:b/>
          <w:bCs/>
          <w:sz w:val="26"/>
          <w:szCs w:val="26"/>
          <w:rtl/>
        </w:rPr>
      </w:pPr>
    </w:p>
    <w:p w14:paraId="537320B4" w14:textId="77777777" w:rsidR="004F3ADD" w:rsidRPr="000F2247" w:rsidRDefault="004F3ADD" w:rsidP="004F3ADD">
      <w:pPr>
        <w:rPr>
          <w:rFonts w:ascii="Arial" w:hAnsi="Arial"/>
          <w:b/>
          <w:bCs/>
          <w:sz w:val="26"/>
          <w:szCs w:val="26"/>
          <w:rtl/>
        </w:rPr>
      </w:pPr>
    </w:p>
    <w:p w14:paraId="02BA854B" w14:textId="77777777" w:rsidR="004F3ADD" w:rsidRPr="00867169" w:rsidRDefault="00867169" w:rsidP="004F3ADD">
      <w:pPr>
        <w:rPr>
          <w:rFonts w:ascii="Arial" w:hAnsi="Arial"/>
          <w:b/>
          <w:bCs/>
          <w:color w:val="FFFFFF"/>
          <w:sz w:val="2"/>
          <w:szCs w:val="2"/>
          <w:rtl/>
        </w:rPr>
      </w:pPr>
      <w:r w:rsidRPr="00867169">
        <w:rPr>
          <w:rFonts w:ascii="Arial" w:hAnsi="Arial"/>
          <w:b/>
          <w:bCs/>
          <w:color w:val="FFFFFF"/>
          <w:sz w:val="2"/>
          <w:szCs w:val="2"/>
          <w:rtl/>
        </w:rPr>
        <w:t>5129371</w:t>
      </w:r>
    </w:p>
    <w:p w14:paraId="489830F0" w14:textId="77777777" w:rsidR="004F3ADD" w:rsidRPr="00867169" w:rsidRDefault="00867169" w:rsidP="004F3ADD">
      <w:pPr>
        <w:rPr>
          <w:rFonts w:ascii="Arial" w:hAnsi="Arial"/>
          <w:b/>
          <w:bCs/>
          <w:color w:val="FFFFFF"/>
          <w:sz w:val="2"/>
          <w:szCs w:val="2"/>
          <w:rtl/>
        </w:rPr>
      </w:pPr>
      <w:r w:rsidRPr="00867169">
        <w:rPr>
          <w:rFonts w:ascii="Arial" w:hAnsi="Arial"/>
          <w:b/>
          <w:bCs/>
          <w:color w:val="FFFFFF"/>
          <w:sz w:val="2"/>
          <w:szCs w:val="2"/>
          <w:rtl/>
        </w:rPr>
        <w:t>54678313</w:t>
      </w:r>
    </w:p>
    <w:p w14:paraId="119A44DA" w14:textId="77777777" w:rsidR="004F3ADD" w:rsidRPr="000F2247" w:rsidRDefault="004F3ADD" w:rsidP="004F3ADD">
      <w:pPr>
        <w:rPr>
          <w:rFonts w:ascii="Arial" w:hAnsi="Arial"/>
          <w:b/>
          <w:bCs/>
          <w:sz w:val="26"/>
          <w:szCs w:val="26"/>
          <w:rtl/>
        </w:rPr>
      </w:pPr>
    </w:p>
    <w:p w14:paraId="66502B9F" w14:textId="77777777" w:rsidR="004F3ADD" w:rsidRPr="000F2247" w:rsidRDefault="00867169" w:rsidP="004F3ADD">
      <w:pPr>
        <w:rPr>
          <w:rFonts w:ascii="Arial" w:hAnsi="Arial"/>
          <w:b/>
          <w:bCs/>
          <w:sz w:val="26"/>
          <w:szCs w:val="26"/>
          <w:rtl/>
        </w:rPr>
      </w:pPr>
      <w:bookmarkStart w:id="8" w:name="Nitan"/>
      <w:r>
        <w:rPr>
          <w:rFonts w:ascii="Arial" w:hAnsi="Arial"/>
          <w:b/>
          <w:bCs/>
          <w:sz w:val="26"/>
          <w:szCs w:val="26"/>
          <w:rtl/>
        </w:rPr>
        <w:t xml:space="preserve">ניתן היום,  ד' כסלו תשפ"ג, 28 נובמבר 2022. </w:t>
      </w:r>
      <w:bookmarkEnd w:id="8"/>
    </w:p>
    <w:p w14:paraId="2CA65718" w14:textId="77777777" w:rsidR="00867169" w:rsidRDefault="00867169" w:rsidP="00867169">
      <w:pPr>
        <w:rPr>
          <w:rtl/>
        </w:rPr>
      </w:pPr>
    </w:p>
    <w:p w14:paraId="0467EF84" w14:textId="77777777" w:rsidR="00867169" w:rsidRDefault="00867169" w:rsidP="00867169">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225C4C7C" w14:textId="77777777" w:rsidR="00AB6047" w:rsidRPr="00AB6047" w:rsidRDefault="00AB6047" w:rsidP="00AB6047">
      <w:pPr>
        <w:keepNext/>
        <w:rPr>
          <w:rFonts w:ascii="David" w:hAnsi="David"/>
          <w:color w:val="000000"/>
          <w:sz w:val="22"/>
          <w:szCs w:val="22"/>
          <w:rtl/>
        </w:rPr>
      </w:pPr>
    </w:p>
    <w:p w14:paraId="49EEE6FF" w14:textId="77777777" w:rsidR="00AB6047" w:rsidRPr="00AB6047" w:rsidRDefault="00AB6047" w:rsidP="00AB6047">
      <w:pPr>
        <w:keepNext/>
        <w:rPr>
          <w:rFonts w:ascii="David" w:hAnsi="David"/>
          <w:color w:val="000000"/>
          <w:sz w:val="22"/>
          <w:szCs w:val="22"/>
          <w:rtl/>
        </w:rPr>
      </w:pPr>
      <w:r w:rsidRPr="00AB6047">
        <w:rPr>
          <w:rFonts w:ascii="David" w:hAnsi="David"/>
          <w:color w:val="000000"/>
          <w:sz w:val="22"/>
          <w:szCs w:val="22"/>
          <w:rtl/>
        </w:rPr>
        <w:t>מרב גרינברג 54678313-/</w:t>
      </w:r>
    </w:p>
    <w:p w14:paraId="6D209615" w14:textId="77777777" w:rsidR="00867169" w:rsidRPr="00867169" w:rsidRDefault="00AB6047" w:rsidP="00AB6047">
      <w:pPr>
        <w:rPr>
          <w:color w:val="0000FF"/>
          <w:u w:val="single"/>
        </w:rPr>
      </w:pPr>
      <w:r w:rsidRPr="00AB6047">
        <w:rPr>
          <w:color w:val="000000"/>
          <w:u w:val="single"/>
          <w:rtl/>
        </w:rPr>
        <w:t>נוסח מסמך זה כפוף לשינויי ניסוח ועריכה</w:t>
      </w:r>
    </w:p>
    <w:sectPr w:rsidR="00867169" w:rsidRPr="00867169" w:rsidSect="00AB6047">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21361" w14:textId="77777777" w:rsidR="00B61DBB" w:rsidRDefault="00B61DBB" w:rsidP="00EF17EC">
      <w:r>
        <w:separator/>
      </w:r>
    </w:p>
  </w:endnote>
  <w:endnote w:type="continuationSeparator" w:id="0">
    <w:p w14:paraId="4E7604D7" w14:textId="77777777" w:rsidR="00B61DBB" w:rsidRDefault="00B61DBB" w:rsidP="00EF1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50DAA" w14:textId="77777777" w:rsidR="00AB6047" w:rsidRDefault="00AB6047" w:rsidP="00AB6047">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80A12F7" w14:textId="77777777" w:rsidR="00917B2C" w:rsidRPr="00AB6047" w:rsidRDefault="00AB6047" w:rsidP="00AB6047">
    <w:pPr>
      <w:pStyle w:val="a6"/>
      <w:pBdr>
        <w:top w:val="single" w:sz="4" w:space="1" w:color="auto"/>
        <w:between w:val="single" w:sz="4" w:space="0" w:color="auto"/>
      </w:pBdr>
      <w:spacing w:after="60"/>
      <w:jc w:val="center"/>
      <w:rPr>
        <w:rFonts w:ascii="FrankRuehl" w:hAnsi="FrankRuehl" w:cs="FrankRuehl"/>
        <w:color w:val="000000"/>
      </w:rPr>
    </w:pPr>
    <w:r w:rsidRPr="00AB604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8D8EB6" w14:textId="77777777" w:rsidR="00AB6047" w:rsidRDefault="00AB6047" w:rsidP="00AB6047">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23B9F">
      <w:rPr>
        <w:rFonts w:ascii="FrankRuehl" w:hAnsi="FrankRuehl" w:cs="FrankRuehl"/>
        <w:noProof/>
        <w:rtl/>
      </w:rPr>
      <w:t>1</w:t>
    </w:r>
    <w:r>
      <w:rPr>
        <w:rFonts w:ascii="FrankRuehl" w:hAnsi="FrankRuehl" w:cs="FrankRuehl"/>
        <w:rtl/>
      </w:rPr>
      <w:fldChar w:fldCharType="end"/>
    </w:r>
  </w:p>
  <w:p w14:paraId="6EA8A3F9" w14:textId="77777777" w:rsidR="00917B2C" w:rsidRPr="00AB6047" w:rsidRDefault="00AB6047" w:rsidP="00AB6047">
    <w:pPr>
      <w:pStyle w:val="a6"/>
      <w:pBdr>
        <w:top w:val="single" w:sz="4" w:space="1" w:color="auto"/>
        <w:between w:val="single" w:sz="4" w:space="0" w:color="auto"/>
      </w:pBdr>
      <w:spacing w:after="60"/>
      <w:jc w:val="center"/>
      <w:rPr>
        <w:rFonts w:ascii="FrankRuehl" w:hAnsi="FrankRuehl" w:cs="FrankRuehl"/>
        <w:color w:val="000000"/>
      </w:rPr>
    </w:pPr>
    <w:r w:rsidRPr="00AB6047">
      <w:rPr>
        <w:rFonts w:ascii="FrankRuehl" w:hAnsi="FrankRuehl" w:cs="FrankRuehl"/>
        <w:color w:val="000000"/>
      </w:rPr>
      <w:pict w14:anchorId="2B09C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8B90E" w14:textId="77777777" w:rsidR="00B61DBB" w:rsidRDefault="00B61DBB" w:rsidP="00EF17EC">
      <w:r>
        <w:separator/>
      </w:r>
    </w:p>
  </w:footnote>
  <w:footnote w:type="continuationSeparator" w:id="0">
    <w:p w14:paraId="4A2760E7" w14:textId="77777777" w:rsidR="00B61DBB" w:rsidRDefault="00B61DBB" w:rsidP="00EF17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E7417" w14:textId="77777777" w:rsidR="00867169" w:rsidRPr="00AB6047" w:rsidRDefault="00AB6047" w:rsidP="00AB6047">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54852-03-21</w:t>
    </w:r>
    <w:r>
      <w:rPr>
        <w:rFonts w:ascii="David" w:hAnsi="David"/>
        <w:color w:val="000000"/>
        <w:sz w:val="22"/>
        <w:szCs w:val="22"/>
        <w:rtl/>
      </w:rPr>
      <w:tab/>
      <w:t xml:space="preserve"> מדינת ישראל נ' איהב עבד אל רחים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FB653" w14:textId="77777777" w:rsidR="00867169" w:rsidRPr="00AB6047" w:rsidRDefault="00AB6047" w:rsidP="00AB6047">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54852-03-21</w:t>
    </w:r>
    <w:r>
      <w:rPr>
        <w:rFonts w:ascii="David" w:hAnsi="David"/>
        <w:color w:val="000000"/>
        <w:sz w:val="22"/>
        <w:szCs w:val="22"/>
        <w:rtl/>
      </w:rPr>
      <w:tab/>
      <w:t xml:space="preserve"> מדינת ישראל נ' איהב עבד אל רחים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EF30ADF8"/>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426A0D32"/>
    <w:multiLevelType w:val="hybridMultilevel"/>
    <w:tmpl w:val="98E4CE56"/>
    <w:lvl w:ilvl="0" w:tplc="BEDC841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EC356E9"/>
    <w:multiLevelType w:val="hybridMultilevel"/>
    <w:tmpl w:val="76AABD24"/>
    <w:lvl w:ilvl="0" w:tplc="3E76A852">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763328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12297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296001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F3ADD"/>
    <w:rsid w:val="0003405B"/>
    <w:rsid w:val="001875A2"/>
    <w:rsid w:val="00252C9E"/>
    <w:rsid w:val="004F3ADD"/>
    <w:rsid w:val="007E6625"/>
    <w:rsid w:val="007F50F0"/>
    <w:rsid w:val="00867169"/>
    <w:rsid w:val="00900C84"/>
    <w:rsid w:val="00917B2C"/>
    <w:rsid w:val="00977FC5"/>
    <w:rsid w:val="009A4E4C"/>
    <w:rsid w:val="00AB6047"/>
    <w:rsid w:val="00B23B9F"/>
    <w:rsid w:val="00B61DBB"/>
    <w:rsid w:val="00BA7F52"/>
    <w:rsid w:val="00EF17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D71FB6C"/>
  <w15:chartTrackingRefBased/>
  <w15:docId w15:val="{9E7109F9-66AB-4013-8F64-6EE29AD1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4F3ADD"/>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4F3ADD"/>
    <w:pPr>
      <w:tabs>
        <w:tab w:val="center" w:pos="4153"/>
        <w:tab w:val="right" w:pos="8306"/>
      </w:tabs>
    </w:pPr>
  </w:style>
  <w:style w:type="character" w:customStyle="1" w:styleId="a5">
    <w:name w:val="כותרת עליונה תו"/>
    <w:link w:val="a4"/>
    <w:rsid w:val="004F3ADD"/>
    <w:rPr>
      <w:rFonts w:ascii="Times New Roman" w:eastAsia="Times New Roman" w:hAnsi="Times New Roman" w:cs="David"/>
      <w:sz w:val="24"/>
      <w:szCs w:val="24"/>
    </w:rPr>
  </w:style>
  <w:style w:type="paragraph" w:styleId="a6">
    <w:name w:val="footer"/>
    <w:basedOn w:val="a0"/>
    <w:link w:val="a7"/>
    <w:rsid w:val="004F3ADD"/>
    <w:pPr>
      <w:tabs>
        <w:tab w:val="center" w:pos="4153"/>
        <w:tab w:val="right" w:pos="8306"/>
      </w:tabs>
    </w:pPr>
  </w:style>
  <w:style w:type="character" w:customStyle="1" w:styleId="a7">
    <w:name w:val="כותרת תחתונה תו"/>
    <w:link w:val="a6"/>
    <w:rsid w:val="004F3ADD"/>
    <w:rPr>
      <w:rFonts w:ascii="Times New Roman" w:eastAsia="Times New Roman" w:hAnsi="Times New Roman" w:cs="David"/>
      <w:sz w:val="24"/>
      <w:szCs w:val="24"/>
    </w:rPr>
  </w:style>
  <w:style w:type="table" w:styleId="a8">
    <w:name w:val="Table Grid"/>
    <w:basedOn w:val="a2"/>
    <w:rsid w:val="004F3AD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4F3ADD"/>
  </w:style>
  <w:style w:type="paragraph" w:styleId="a">
    <w:name w:val="List Number"/>
    <w:basedOn w:val="a0"/>
    <w:rsid w:val="004F3ADD"/>
    <w:pPr>
      <w:numPr>
        <w:numId w:val="1"/>
      </w:numPr>
      <w:spacing w:after="120" w:line="360" w:lineRule="auto"/>
      <w:ind w:right="360"/>
    </w:pPr>
  </w:style>
  <w:style w:type="paragraph" w:styleId="aa">
    <w:name w:val="List Paragraph"/>
    <w:basedOn w:val="a0"/>
    <w:qFormat/>
    <w:rsid w:val="004F3ADD"/>
    <w:pPr>
      <w:ind w:left="720"/>
      <w:contextualSpacing/>
    </w:pPr>
    <w:rPr>
      <w:rFonts w:ascii="David" w:eastAsia="David" w:hAnsi="David"/>
    </w:rPr>
  </w:style>
  <w:style w:type="character" w:customStyle="1" w:styleId="Ruller4">
    <w:name w:val="Ruller4 תו"/>
    <w:link w:val="Ruller40"/>
    <w:locked/>
    <w:rsid w:val="004F3ADD"/>
    <w:rPr>
      <w:rFonts w:ascii="Arial TUR" w:hAnsi="Arial TUR" w:cs="FrankRuehl"/>
      <w:spacing w:val="10"/>
      <w:szCs w:val="28"/>
    </w:rPr>
  </w:style>
  <w:style w:type="paragraph" w:customStyle="1" w:styleId="Ruller40">
    <w:name w:val="Ruller4"/>
    <w:basedOn w:val="a0"/>
    <w:link w:val="Ruller4"/>
    <w:rsid w:val="004F3ADD"/>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styleId="Hyperlink">
    <w:name w:val="Hyperlink"/>
    <w:rsid w:val="004F3A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8513828" TargetMode="External"/><Relationship Id="rId18" Type="http://schemas.openxmlformats.org/officeDocument/2006/relationships/hyperlink" Target="http://www.nevo.co.il/case/27305799" TargetMode="External"/><Relationship Id="rId26" Type="http://schemas.openxmlformats.org/officeDocument/2006/relationships/hyperlink" Target="http://www.nevo.co.il/case/27716369" TargetMode="External"/><Relationship Id="rId3" Type="http://schemas.openxmlformats.org/officeDocument/2006/relationships/settings" Target="settings.xml"/><Relationship Id="rId21" Type="http://schemas.openxmlformats.org/officeDocument/2006/relationships/hyperlink" Target="http://www.nevo.co.il/case/27911655" TargetMode="External"/><Relationship Id="rId34"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case/28268880" TargetMode="External"/><Relationship Id="rId17" Type="http://schemas.openxmlformats.org/officeDocument/2006/relationships/hyperlink" Target="http://www.nevo.co.il/case/28452933" TargetMode="External"/><Relationship Id="rId25" Type="http://schemas.openxmlformats.org/officeDocument/2006/relationships/hyperlink" Target="http://www.nevo.co.il/case/28452933"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28152132" TargetMode="External"/><Relationship Id="rId20" Type="http://schemas.openxmlformats.org/officeDocument/2006/relationships/hyperlink" Target="http://www.nevo.co.il/case/27502726"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7734980" TargetMode="External"/><Relationship Id="rId24" Type="http://schemas.openxmlformats.org/officeDocument/2006/relationships/hyperlink" Target="http://www.nevo.co.il/case/28300349"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27911638" TargetMode="External"/><Relationship Id="rId23" Type="http://schemas.openxmlformats.org/officeDocument/2006/relationships/hyperlink" Target="http://www.nevo.co.il/case/28380863" TargetMode="External"/><Relationship Id="rId28" Type="http://schemas.openxmlformats.org/officeDocument/2006/relationships/hyperlink" Target="http://www.nevo.co.il/case/28452957"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27305799"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7894608" TargetMode="External"/><Relationship Id="rId22" Type="http://schemas.openxmlformats.org/officeDocument/2006/relationships/hyperlink" Target="http://www.nevo.co.il/case/27494821" TargetMode="External"/><Relationship Id="rId27" Type="http://schemas.openxmlformats.org/officeDocument/2006/relationships/hyperlink" Target="http://www.nevo.co.il/case/28096675"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1889</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11312</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3211376</vt:i4>
      </vt:variant>
      <vt:variant>
        <vt:i4>63</vt:i4>
      </vt:variant>
      <vt:variant>
        <vt:i4>0</vt:i4>
      </vt:variant>
      <vt:variant>
        <vt:i4>5</vt:i4>
      </vt:variant>
      <vt:variant>
        <vt:lpwstr>http://www.nevo.co.il/case/28452957</vt:lpwstr>
      </vt:variant>
      <vt:variant>
        <vt:lpwstr/>
      </vt:variant>
      <vt:variant>
        <vt:i4>3342451</vt:i4>
      </vt:variant>
      <vt:variant>
        <vt:i4>60</vt:i4>
      </vt:variant>
      <vt:variant>
        <vt:i4>0</vt:i4>
      </vt:variant>
      <vt:variant>
        <vt:i4>5</vt:i4>
      </vt:variant>
      <vt:variant>
        <vt:lpwstr>http://www.nevo.co.il/case/28096675</vt:lpwstr>
      </vt:variant>
      <vt:variant>
        <vt:lpwstr/>
      </vt:variant>
      <vt:variant>
        <vt:i4>3473521</vt:i4>
      </vt:variant>
      <vt:variant>
        <vt:i4>57</vt:i4>
      </vt:variant>
      <vt:variant>
        <vt:i4>0</vt:i4>
      </vt:variant>
      <vt:variant>
        <vt:i4>5</vt:i4>
      </vt:variant>
      <vt:variant>
        <vt:lpwstr>http://www.nevo.co.il/case/27716369</vt:lpwstr>
      </vt:variant>
      <vt:variant>
        <vt:lpwstr/>
      </vt:variant>
      <vt:variant>
        <vt:i4>3604592</vt:i4>
      </vt:variant>
      <vt:variant>
        <vt:i4>54</vt:i4>
      </vt:variant>
      <vt:variant>
        <vt:i4>0</vt:i4>
      </vt:variant>
      <vt:variant>
        <vt:i4>5</vt:i4>
      </vt:variant>
      <vt:variant>
        <vt:lpwstr>http://www.nevo.co.il/case/28452933</vt:lpwstr>
      </vt:variant>
      <vt:variant>
        <vt:lpwstr/>
      </vt:variant>
      <vt:variant>
        <vt:i4>3473535</vt:i4>
      </vt:variant>
      <vt:variant>
        <vt:i4>51</vt:i4>
      </vt:variant>
      <vt:variant>
        <vt:i4>0</vt:i4>
      </vt:variant>
      <vt:variant>
        <vt:i4>5</vt:i4>
      </vt:variant>
      <vt:variant>
        <vt:lpwstr>http://www.nevo.co.il/case/28300349</vt:lpwstr>
      </vt:variant>
      <vt:variant>
        <vt:lpwstr/>
      </vt:variant>
      <vt:variant>
        <vt:i4>3604604</vt:i4>
      </vt:variant>
      <vt:variant>
        <vt:i4>48</vt:i4>
      </vt:variant>
      <vt:variant>
        <vt:i4>0</vt:i4>
      </vt:variant>
      <vt:variant>
        <vt:i4>5</vt:i4>
      </vt:variant>
      <vt:variant>
        <vt:lpwstr>http://www.nevo.co.il/case/28380863</vt:lpwstr>
      </vt:variant>
      <vt:variant>
        <vt:lpwstr/>
      </vt:variant>
      <vt:variant>
        <vt:i4>3145842</vt:i4>
      </vt:variant>
      <vt:variant>
        <vt:i4>45</vt:i4>
      </vt:variant>
      <vt:variant>
        <vt:i4>0</vt:i4>
      </vt:variant>
      <vt:variant>
        <vt:i4>5</vt:i4>
      </vt:variant>
      <vt:variant>
        <vt:lpwstr>http://www.nevo.co.il/case/27494821</vt:lpwstr>
      </vt:variant>
      <vt:variant>
        <vt:lpwstr/>
      </vt:variant>
      <vt:variant>
        <vt:i4>4128884</vt:i4>
      </vt:variant>
      <vt:variant>
        <vt:i4>42</vt:i4>
      </vt:variant>
      <vt:variant>
        <vt:i4>0</vt:i4>
      </vt:variant>
      <vt:variant>
        <vt:i4>5</vt:i4>
      </vt:variant>
      <vt:variant>
        <vt:lpwstr>http://www.nevo.co.il/case/27911655</vt:lpwstr>
      </vt:variant>
      <vt:variant>
        <vt:lpwstr/>
      </vt:variant>
      <vt:variant>
        <vt:i4>3604596</vt:i4>
      </vt:variant>
      <vt:variant>
        <vt:i4>39</vt:i4>
      </vt:variant>
      <vt:variant>
        <vt:i4>0</vt:i4>
      </vt:variant>
      <vt:variant>
        <vt:i4>5</vt:i4>
      </vt:variant>
      <vt:variant>
        <vt:lpwstr>http://www.nevo.co.il/case/27502726</vt:lpwstr>
      </vt:variant>
      <vt:variant>
        <vt:lpwstr/>
      </vt:variant>
      <vt:variant>
        <vt:i4>3997812</vt:i4>
      </vt:variant>
      <vt:variant>
        <vt:i4>36</vt:i4>
      </vt:variant>
      <vt:variant>
        <vt:i4>0</vt:i4>
      </vt:variant>
      <vt:variant>
        <vt:i4>5</vt:i4>
      </vt:variant>
      <vt:variant>
        <vt:lpwstr>http://www.nevo.co.il/case/27305799</vt:lpwstr>
      </vt:variant>
      <vt:variant>
        <vt:lpwstr/>
      </vt:variant>
      <vt:variant>
        <vt:i4>3997812</vt:i4>
      </vt:variant>
      <vt:variant>
        <vt:i4>33</vt:i4>
      </vt:variant>
      <vt:variant>
        <vt:i4>0</vt:i4>
      </vt:variant>
      <vt:variant>
        <vt:i4>5</vt:i4>
      </vt:variant>
      <vt:variant>
        <vt:lpwstr>http://www.nevo.co.il/case/27305799</vt:lpwstr>
      </vt:variant>
      <vt:variant>
        <vt:lpwstr/>
      </vt:variant>
      <vt:variant>
        <vt:i4>3604592</vt:i4>
      </vt:variant>
      <vt:variant>
        <vt:i4>30</vt:i4>
      </vt:variant>
      <vt:variant>
        <vt:i4>0</vt:i4>
      </vt:variant>
      <vt:variant>
        <vt:i4>5</vt:i4>
      </vt:variant>
      <vt:variant>
        <vt:lpwstr>http://www.nevo.co.il/case/28452933</vt:lpwstr>
      </vt:variant>
      <vt:variant>
        <vt:lpwstr/>
      </vt:variant>
      <vt:variant>
        <vt:i4>3276920</vt:i4>
      </vt:variant>
      <vt:variant>
        <vt:i4>27</vt:i4>
      </vt:variant>
      <vt:variant>
        <vt:i4>0</vt:i4>
      </vt:variant>
      <vt:variant>
        <vt:i4>5</vt:i4>
      </vt:variant>
      <vt:variant>
        <vt:lpwstr>http://www.nevo.co.il/case/28152132</vt:lpwstr>
      </vt:variant>
      <vt:variant>
        <vt:lpwstr/>
      </vt:variant>
      <vt:variant>
        <vt:i4>3735668</vt:i4>
      </vt:variant>
      <vt:variant>
        <vt:i4>24</vt:i4>
      </vt:variant>
      <vt:variant>
        <vt:i4>0</vt:i4>
      </vt:variant>
      <vt:variant>
        <vt:i4>5</vt:i4>
      </vt:variant>
      <vt:variant>
        <vt:lpwstr>http://www.nevo.co.il/case/27911638</vt:lpwstr>
      </vt:variant>
      <vt:variant>
        <vt:lpwstr/>
      </vt:variant>
      <vt:variant>
        <vt:i4>4063356</vt:i4>
      </vt:variant>
      <vt:variant>
        <vt:i4>21</vt:i4>
      </vt:variant>
      <vt:variant>
        <vt:i4>0</vt:i4>
      </vt:variant>
      <vt:variant>
        <vt:i4>5</vt:i4>
      </vt:variant>
      <vt:variant>
        <vt:lpwstr>http://www.nevo.co.il/case/27894608</vt:lpwstr>
      </vt:variant>
      <vt:variant>
        <vt:lpwstr/>
      </vt:variant>
      <vt:variant>
        <vt:i4>3539061</vt:i4>
      </vt:variant>
      <vt:variant>
        <vt:i4>18</vt:i4>
      </vt:variant>
      <vt:variant>
        <vt:i4>0</vt:i4>
      </vt:variant>
      <vt:variant>
        <vt:i4>5</vt:i4>
      </vt:variant>
      <vt:variant>
        <vt:lpwstr>http://www.nevo.co.il/case/28513828</vt:lpwstr>
      </vt:variant>
      <vt:variant>
        <vt:lpwstr/>
      </vt:variant>
      <vt:variant>
        <vt:i4>3145842</vt:i4>
      </vt:variant>
      <vt:variant>
        <vt:i4>15</vt:i4>
      </vt:variant>
      <vt:variant>
        <vt:i4>0</vt:i4>
      </vt:variant>
      <vt:variant>
        <vt:i4>5</vt:i4>
      </vt:variant>
      <vt:variant>
        <vt:lpwstr>http://www.nevo.co.il/case/28268880</vt:lpwstr>
      </vt:variant>
      <vt:variant>
        <vt:lpwstr/>
      </vt:variant>
      <vt:variant>
        <vt:i4>3735673</vt:i4>
      </vt:variant>
      <vt:variant>
        <vt:i4>12</vt:i4>
      </vt:variant>
      <vt:variant>
        <vt:i4>0</vt:i4>
      </vt:variant>
      <vt:variant>
        <vt:i4>5</vt:i4>
      </vt:variant>
      <vt:variant>
        <vt:lpwstr>http://www.nevo.co.il/case/27734980</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2025-01-19T16:41:00Z</dcterms:created>
  <dcterms:modified xsi:type="dcterms:W3CDTF">2025-01-19T16:41:00Z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54852</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איהב עבד אל רחים</vt:lpwstr>
  </property>
  <property fmtid="{D5CDD505-2E9C-101B-9397-08002B2CF9AE}" pid="10" name="LAWYER">
    <vt:lpwstr>ליטל שירי;איהאב ג'לג'ולי</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20221128</vt:lpwstr>
  </property>
  <property fmtid="{D5CDD505-2E9C-101B-9397-08002B2CF9AE}" pid="14" name="TYPE_N_DATE">
    <vt:lpwstr>39020221128</vt:lpwstr>
  </property>
  <property fmtid="{D5CDD505-2E9C-101B-9397-08002B2CF9AE}" pid="15" name="WORDNUMPAGES">
    <vt:lpwstr>6</vt:lpwstr>
  </property>
  <property fmtid="{D5CDD505-2E9C-101B-9397-08002B2CF9AE}" pid="16" name="TYPE_ABS_DATE">
    <vt:lpwstr>390020221128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27734980;28268880;28513828;27894608;27911638;28152132;28452933:2;27305799:2;27502726;27911655;27494821;28380863;28300349;27716369;28096675;28452957</vt:lpwstr>
  </property>
  <property fmtid="{D5CDD505-2E9C-101B-9397-08002B2CF9AE}" pid="36" name="LAWLISTTMP1">
    <vt:lpwstr>70301/144.b</vt:lpwstr>
  </property>
</Properties>
</file>