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4126"/>
        <w:gridCol w:w="11"/>
        <w:gridCol w:w="3661"/>
        <w:gridCol w:w="99"/>
      </w:tblGrid>
      <w:tr w:rsidR="00A60B38" w:rsidRPr="005F67E7" w14:paraId="37E6432F" w14:textId="77777777" w:rsidTr="00445323">
        <w:trPr>
          <w:gridAfter w:val="1"/>
          <w:wAfter w:w="99" w:type="dxa"/>
          <w:trHeight w:hRule="exact" w:val="418"/>
          <w:jc w:val="center"/>
        </w:trPr>
        <w:tc>
          <w:tcPr>
            <w:tcW w:w="8721" w:type="dxa"/>
            <w:gridSpan w:val="4"/>
          </w:tcPr>
          <w:p w14:paraId="392E14F1" w14:textId="77777777" w:rsidR="00A60B38" w:rsidRPr="005F67E7" w:rsidRDefault="00A60B38" w:rsidP="00ED2A8F">
            <w:pPr>
              <w:pStyle w:val="a3"/>
              <w:jc w:val="center"/>
              <w:rPr>
                <w:rFonts w:ascii="Tahoma" w:hAnsi="Tahoma" w:cs="Tahoma"/>
                <w:color w:val="000080"/>
                <w:rtl/>
              </w:rPr>
            </w:pPr>
            <w:bookmarkStart w:id="0" w:name="FirstLawyer"/>
            <w:bookmarkStart w:id="1" w:name="LastJudge"/>
            <w:r w:rsidRPr="005F67E7">
              <w:rPr>
                <w:rFonts w:ascii="Tahoma" w:hAnsi="Tahoma" w:cs="Tahoma"/>
                <w:b/>
                <w:bCs/>
                <w:color w:val="000080"/>
                <w:rtl/>
              </w:rPr>
              <w:t>בית המשפט המחוזי בירושלים</w:t>
            </w:r>
          </w:p>
        </w:tc>
      </w:tr>
      <w:tr w:rsidR="00A60B38" w:rsidRPr="005F67E7" w14:paraId="150785B8" w14:textId="77777777" w:rsidTr="00445323">
        <w:trPr>
          <w:gridAfter w:val="1"/>
          <w:wAfter w:w="99" w:type="dxa"/>
          <w:trHeight w:val="337"/>
          <w:jc w:val="center"/>
        </w:trPr>
        <w:tc>
          <w:tcPr>
            <w:tcW w:w="5060" w:type="dxa"/>
            <w:gridSpan w:val="3"/>
          </w:tcPr>
          <w:p w14:paraId="17AC2F8E" w14:textId="77777777" w:rsidR="00A60B38" w:rsidRPr="005F67E7" w:rsidRDefault="00A60B38" w:rsidP="00ED2A8F">
            <w:pPr>
              <w:rPr>
                <w:rFonts w:cs="FrankRuehl"/>
                <w:sz w:val="28"/>
                <w:szCs w:val="28"/>
                <w:rtl/>
              </w:rPr>
            </w:pPr>
            <w:r w:rsidRPr="005F67E7">
              <w:rPr>
                <w:rFonts w:cs="FrankRuehl"/>
                <w:sz w:val="28"/>
                <w:szCs w:val="28"/>
                <w:rtl/>
              </w:rPr>
              <w:t>ת"פ</w:t>
            </w:r>
            <w:r w:rsidRPr="005F67E7">
              <w:rPr>
                <w:rFonts w:cs="FrankRuehl" w:hint="cs"/>
                <w:sz w:val="28"/>
                <w:szCs w:val="28"/>
                <w:rtl/>
              </w:rPr>
              <w:t xml:space="preserve"> </w:t>
            </w:r>
            <w:r w:rsidRPr="005F67E7">
              <w:rPr>
                <w:rFonts w:cs="FrankRuehl"/>
                <w:sz w:val="28"/>
                <w:szCs w:val="28"/>
                <w:rtl/>
              </w:rPr>
              <w:t>7053-03-21</w:t>
            </w:r>
            <w:r w:rsidRPr="005F67E7">
              <w:rPr>
                <w:rFonts w:cs="FrankRuehl" w:hint="cs"/>
                <w:sz w:val="28"/>
                <w:szCs w:val="28"/>
                <w:rtl/>
              </w:rPr>
              <w:t xml:space="preserve"> </w:t>
            </w:r>
            <w:r w:rsidRPr="005F67E7">
              <w:rPr>
                <w:rFonts w:cs="FrankRuehl"/>
                <w:sz w:val="28"/>
                <w:szCs w:val="28"/>
                <w:rtl/>
              </w:rPr>
              <w:t>מדינת ישראל נ' רבאיעה(עציר)</w:t>
            </w:r>
          </w:p>
          <w:p w14:paraId="43A90705" w14:textId="77777777" w:rsidR="00A60B38" w:rsidRPr="005F67E7" w:rsidRDefault="00A60B38" w:rsidP="00ED2A8F">
            <w:pPr>
              <w:pStyle w:val="a3"/>
              <w:rPr>
                <w:rFonts w:cs="FrankRuehl"/>
                <w:sz w:val="28"/>
                <w:szCs w:val="28"/>
                <w:rtl/>
              </w:rPr>
            </w:pPr>
          </w:p>
        </w:tc>
        <w:tc>
          <w:tcPr>
            <w:tcW w:w="3661" w:type="dxa"/>
          </w:tcPr>
          <w:p w14:paraId="467F19A4" w14:textId="77777777" w:rsidR="00A60B38" w:rsidRPr="005F67E7" w:rsidRDefault="00A60B38" w:rsidP="00ED2A8F">
            <w:pPr>
              <w:pStyle w:val="a3"/>
              <w:jc w:val="right"/>
              <w:rPr>
                <w:rFonts w:cs="FrankRuehl"/>
                <w:sz w:val="28"/>
                <w:szCs w:val="28"/>
                <w:rtl/>
              </w:rPr>
            </w:pPr>
          </w:p>
        </w:tc>
      </w:tr>
      <w:tr w:rsidR="00A60B38" w:rsidRPr="005F67E7" w14:paraId="1A63C5F3" w14:textId="77777777" w:rsidTr="004453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5CA18EDA" w14:textId="77777777" w:rsidR="00A60B38" w:rsidRPr="005F67E7" w:rsidRDefault="00A60B38" w:rsidP="00A60B38">
            <w:pPr>
              <w:jc w:val="both"/>
              <w:rPr>
                <w:rFonts w:ascii="David" w:hAnsi="David"/>
                <w:b/>
                <w:bCs/>
                <w:sz w:val="26"/>
                <w:szCs w:val="26"/>
              </w:rPr>
            </w:pPr>
            <w:r w:rsidRPr="005F67E7">
              <w:rPr>
                <w:rFonts w:hint="cs"/>
                <w:rtl/>
              </w:rPr>
              <w:t xml:space="preserve"> </w:t>
            </w:r>
            <w:r w:rsidRPr="005F67E7">
              <w:rPr>
                <w:rFonts w:ascii="David" w:hAnsi="David"/>
                <w:b/>
                <w:bCs/>
                <w:sz w:val="26"/>
                <w:szCs w:val="26"/>
                <w:rtl/>
              </w:rPr>
              <w:t xml:space="preserve">בפני </w:t>
            </w:r>
          </w:p>
        </w:tc>
        <w:tc>
          <w:tcPr>
            <w:tcW w:w="7897" w:type="dxa"/>
            <w:gridSpan w:val="4"/>
            <w:tcBorders>
              <w:top w:val="nil"/>
              <w:left w:val="nil"/>
              <w:bottom w:val="nil"/>
              <w:right w:val="nil"/>
            </w:tcBorders>
            <w:shd w:val="clear" w:color="auto" w:fill="auto"/>
          </w:tcPr>
          <w:p w14:paraId="3CF22513" w14:textId="77777777" w:rsidR="00A60B38" w:rsidRPr="005F67E7" w:rsidRDefault="00A60B38" w:rsidP="00ED2A8F">
            <w:pPr>
              <w:rPr>
                <w:rFonts w:ascii="David" w:hAnsi="David"/>
                <w:b/>
                <w:bCs/>
                <w:sz w:val="26"/>
                <w:szCs w:val="26"/>
                <w:rtl/>
              </w:rPr>
            </w:pPr>
            <w:r w:rsidRPr="005F67E7">
              <w:rPr>
                <w:rFonts w:ascii="David" w:hAnsi="David"/>
                <w:b/>
                <w:bCs/>
                <w:sz w:val="26"/>
                <w:szCs w:val="26"/>
                <w:rtl/>
              </w:rPr>
              <w:t>כבוד השופטת  חגית מאק-קלמנוביץ</w:t>
            </w:r>
            <w:r w:rsidRPr="005F67E7">
              <w:rPr>
                <w:rFonts w:ascii="David" w:hAnsi="David"/>
                <w:b/>
                <w:bCs/>
                <w:sz w:val="26"/>
                <w:szCs w:val="26"/>
                <w:rtl/>
              </w:rPr>
              <w:br/>
            </w:r>
          </w:p>
          <w:p w14:paraId="3085289D" w14:textId="77777777" w:rsidR="00A60B38" w:rsidRPr="005F67E7" w:rsidRDefault="00A60B38" w:rsidP="00ED2A8F">
            <w:pPr>
              <w:rPr>
                <w:rFonts w:ascii="David" w:hAnsi="David"/>
                <w:b/>
                <w:bCs/>
                <w:sz w:val="26"/>
                <w:szCs w:val="26"/>
                <w:rtl/>
              </w:rPr>
            </w:pPr>
          </w:p>
          <w:p w14:paraId="7F73D949" w14:textId="77777777" w:rsidR="00A60B38" w:rsidRPr="005F67E7" w:rsidRDefault="00A60B38" w:rsidP="00A60B38">
            <w:pPr>
              <w:jc w:val="both"/>
              <w:rPr>
                <w:rFonts w:ascii="David" w:hAnsi="David"/>
                <w:b/>
                <w:bCs/>
                <w:sz w:val="26"/>
                <w:szCs w:val="26"/>
              </w:rPr>
            </w:pPr>
          </w:p>
        </w:tc>
      </w:tr>
      <w:tr w:rsidR="00A60B38" w:rsidRPr="005F67E7" w14:paraId="56715BBF" w14:textId="77777777" w:rsidTr="004453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0ADBBA5" w14:textId="77777777" w:rsidR="00A60B38" w:rsidRPr="005F67E7" w:rsidRDefault="00A60B38" w:rsidP="00A60B38">
            <w:pPr>
              <w:jc w:val="both"/>
              <w:rPr>
                <w:rFonts w:ascii="David" w:hAnsi="David"/>
                <w:b/>
                <w:bCs/>
                <w:sz w:val="26"/>
                <w:szCs w:val="26"/>
              </w:rPr>
            </w:pPr>
            <w:bookmarkStart w:id="2" w:name="FirstAppellant"/>
            <w:r w:rsidRPr="005F67E7">
              <w:rPr>
                <w:rFonts w:ascii="David" w:hAnsi="David"/>
                <w:b/>
                <w:bCs/>
                <w:sz w:val="26"/>
                <w:szCs w:val="26"/>
                <w:rtl/>
              </w:rPr>
              <w:t>בעניין:</w:t>
            </w:r>
          </w:p>
        </w:tc>
        <w:tc>
          <w:tcPr>
            <w:tcW w:w="4126" w:type="dxa"/>
            <w:tcBorders>
              <w:top w:val="nil"/>
              <w:left w:val="nil"/>
              <w:bottom w:val="nil"/>
              <w:right w:val="nil"/>
            </w:tcBorders>
            <w:shd w:val="clear" w:color="auto" w:fill="auto"/>
          </w:tcPr>
          <w:p w14:paraId="24045D8B" w14:textId="77777777" w:rsidR="00A60B38" w:rsidRPr="005F67E7" w:rsidRDefault="00A60B38" w:rsidP="00ED2A8F">
            <w:pPr>
              <w:rPr>
                <w:rFonts w:ascii="David" w:hAnsi="David"/>
                <w:b/>
                <w:bCs/>
                <w:sz w:val="26"/>
                <w:szCs w:val="26"/>
              </w:rPr>
            </w:pPr>
            <w:r w:rsidRPr="005F67E7">
              <w:rPr>
                <w:rFonts w:ascii="David" w:hAnsi="David"/>
                <w:b/>
                <w:bCs/>
                <w:sz w:val="26"/>
                <w:szCs w:val="26"/>
                <w:rtl/>
              </w:rPr>
              <w:t>מדינת ישראל</w:t>
            </w:r>
            <w:r w:rsidRPr="005F67E7">
              <w:rPr>
                <w:rFonts w:ascii="David" w:hAnsi="David"/>
                <w:b/>
                <w:bCs/>
                <w:sz w:val="26"/>
                <w:szCs w:val="26"/>
                <w:rtl/>
              </w:rPr>
              <w:br/>
            </w:r>
            <w:r w:rsidRPr="005F67E7">
              <w:rPr>
                <w:rFonts w:ascii="David" w:hAnsi="David" w:hint="cs"/>
                <w:b/>
                <w:bCs/>
                <w:sz w:val="26"/>
                <w:szCs w:val="26"/>
                <w:rtl/>
              </w:rPr>
              <w:t>ע"י ב"כ עו"ד הדס עמיר</w:t>
            </w:r>
            <w:r w:rsidRPr="005F67E7">
              <w:rPr>
                <w:rFonts w:ascii="David" w:hAnsi="David"/>
                <w:b/>
                <w:bCs/>
                <w:sz w:val="26"/>
                <w:szCs w:val="26"/>
                <w:rtl/>
              </w:rPr>
              <w:br/>
            </w:r>
            <w:r w:rsidRPr="005F67E7">
              <w:rPr>
                <w:rFonts w:ascii="David" w:hAnsi="David" w:hint="cs"/>
                <w:b/>
                <w:bCs/>
                <w:sz w:val="26"/>
                <w:szCs w:val="26"/>
                <w:rtl/>
              </w:rPr>
              <w:t>מפרקליטות מחוז ירושלים (פלילי)</w:t>
            </w:r>
            <w:r w:rsidRPr="005F67E7">
              <w:rPr>
                <w:rFonts w:ascii="David" w:hAnsi="David"/>
                <w:b/>
                <w:bCs/>
                <w:sz w:val="26"/>
                <w:szCs w:val="26"/>
                <w:rtl/>
              </w:rPr>
              <w:br/>
            </w:r>
          </w:p>
        </w:tc>
        <w:tc>
          <w:tcPr>
            <w:tcW w:w="3771" w:type="dxa"/>
            <w:gridSpan w:val="3"/>
            <w:tcBorders>
              <w:top w:val="nil"/>
              <w:left w:val="nil"/>
              <w:bottom w:val="nil"/>
              <w:right w:val="nil"/>
            </w:tcBorders>
            <w:shd w:val="clear" w:color="auto" w:fill="auto"/>
          </w:tcPr>
          <w:p w14:paraId="5685649A" w14:textId="77777777" w:rsidR="00A60B38" w:rsidRPr="005F67E7" w:rsidRDefault="00A60B38" w:rsidP="00A60B38">
            <w:pPr>
              <w:jc w:val="both"/>
              <w:rPr>
                <w:rFonts w:ascii="David" w:hAnsi="David"/>
                <w:b/>
                <w:bCs/>
                <w:sz w:val="26"/>
                <w:szCs w:val="26"/>
              </w:rPr>
            </w:pPr>
          </w:p>
        </w:tc>
      </w:tr>
      <w:bookmarkEnd w:id="2"/>
      <w:tr w:rsidR="00A60B38" w:rsidRPr="005F67E7" w14:paraId="70F03C0C" w14:textId="77777777" w:rsidTr="004453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5D990D7" w14:textId="77777777" w:rsidR="00A60B38" w:rsidRPr="005F67E7" w:rsidRDefault="00A60B38" w:rsidP="00A60B38">
            <w:pPr>
              <w:jc w:val="both"/>
              <w:rPr>
                <w:rFonts w:ascii="David" w:hAnsi="David"/>
                <w:b/>
                <w:bCs/>
                <w:sz w:val="26"/>
                <w:szCs w:val="26"/>
                <w:rtl/>
              </w:rPr>
            </w:pPr>
          </w:p>
        </w:tc>
        <w:tc>
          <w:tcPr>
            <w:tcW w:w="4126" w:type="dxa"/>
            <w:tcBorders>
              <w:top w:val="nil"/>
              <w:left w:val="nil"/>
              <w:bottom w:val="nil"/>
              <w:right w:val="nil"/>
            </w:tcBorders>
            <w:shd w:val="clear" w:color="auto" w:fill="auto"/>
          </w:tcPr>
          <w:p w14:paraId="16967BDF" w14:textId="77777777" w:rsidR="00A60B38" w:rsidRPr="005F67E7" w:rsidRDefault="00A60B38" w:rsidP="00A60B38">
            <w:pPr>
              <w:jc w:val="both"/>
              <w:rPr>
                <w:rFonts w:ascii="David" w:hAnsi="David"/>
                <w:b/>
                <w:bCs/>
                <w:sz w:val="26"/>
                <w:szCs w:val="26"/>
                <w:rtl/>
              </w:rPr>
            </w:pPr>
          </w:p>
        </w:tc>
        <w:tc>
          <w:tcPr>
            <w:tcW w:w="3771" w:type="dxa"/>
            <w:gridSpan w:val="3"/>
            <w:tcBorders>
              <w:top w:val="nil"/>
              <w:left w:val="nil"/>
              <w:bottom w:val="nil"/>
              <w:right w:val="nil"/>
            </w:tcBorders>
            <w:shd w:val="clear" w:color="auto" w:fill="auto"/>
          </w:tcPr>
          <w:p w14:paraId="261AE5D7" w14:textId="77777777" w:rsidR="00A60B38" w:rsidRPr="005F67E7" w:rsidRDefault="00A60B38" w:rsidP="00A60B38">
            <w:pPr>
              <w:jc w:val="right"/>
              <w:rPr>
                <w:rFonts w:ascii="David" w:hAnsi="David"/>
                <w:b/>
                <w:bCs/>
                <w:sz w:val="26"/>
                <w:szCs w:val="26"/>
                <w:rtl/>
              </w:rPr>
            </w:pPr>
            <w:r w:rsidRPr="005F67E7">
              <w:rPr>
                <w:rFonts w:ascii="David" w:hAnsi="David"/>
                <w:b/>
                <w:bCs/>
                <w:sz w:val="26"/>
                <w:szCs w:val="26"/>
                <w:rtl/>
              </w:rPr>
              <w:t>המאשימה</w:t>
            </w:r>
          </w:p>
        </w:tc>
      </w:tr>
      <w:tr w:rsidR="00A60B38" w:rsidRPr="005F67E7" w14:paraId="514DFBCC" w14:textId="77777777" w:rsidTr="004453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B3C9B7C" w14:textId="77777777" w:rsidR="00A60B38" w:rsidRPr="005F67E7" w:rsidRDefault="00A60B38" w:rsidP="00A60B38">
            <w:pPr>
              <w:jc w:val="both"/>
              <w:rPr>
                <w:rFonts w:ascii="David" w:hAnsi="David"/>
                <w:b/>
                <w:bCs/>
                <w:sz w:val="26"/>
                <w:szCs w:val="26"/>
                <w:rtl/>
              </w:rPr>
            </w:pPr>
          </w:p>
        </w:tc>
        <w:tc>
          <w:tcPr>
            <w:tcW w:w="7897" w:type="dxa"/>
            <w:gridSpan w:val="4"/>
            <w:tcBorders>
              <w:top w:val="nil"/>
              <w:left w:val="nil"/>
              <w:bottom w:val="nil"/>
              <w:right w:val="nil"/>
            </w:tcBorders>
            <w:shd w:val="clear" w:color="auto" w:fill="auto"/>
          </w:tcPr>
          <w:p w14:paraId="6F25B917" w14:textId="77777777" w:rsidR="00A60B38" w:rsidRPr="005F67E7" w:rsidRDefault="00A60B38" w:rsidP="00A60B38">
            <w:pPr>
              <w:jc w:val="center"/>
              <w:rPr>
                <w:rFonts w:ascii="David" w:hAnsi="David"/>
                <w:b/>
                <w:bCs/>
                <w:sz w:val="26"/>
                <w:szCs w:val="26"/>
                <w:rtl/>
              </w:rPr>
            </w:pPr>
          </w:p>
          <w:p w14:paraId="153A876B" w14:textId="77777777" w:rsidR="00A60B38" w:rsidRPr="005F67E7" w:rsidRDefault="00A60B38" w:rsidP="00A60B38">
            <w:pPr>
              <w:jc w:val="center"/>
              <w:rPr>
                <w:rFonts w:ascii="David" w:hAnsi="David"/>
                <w:b/>
                <w:bCs/>
                <w:sz w:val="26"/>
                <w:szCs w:val="26"/>
                <w:rtl/>
              </w:rPr>
            </w:pPr>
            <w:r w:rsidRPr="005F67E7">
              <w:rPr>
                <w:rFonts w:ascii="David" w:hAnsi="David"/>
                <w:b/>
                <w:bCs/>
                <w:sz w:val="26"/>
                <w:szCs w:val="26"/>
                <w:rtl/>
              </w:rPr>
              <w:t>נגד</w:t>
            </w:r>
          </w:p>
          <w:p w14:paraId="0169C241" w14:textId="77777777" w:rsidR="00A60B38" w:rsidRPr="005F67E7" w:rsidRDefault="00A60B38" w:rsidP="00A60B38">
            <w:pPr>
              <w:jc w:val="both"/>
              <w:rPr>
                <w:rFonts w:ascii="David" w:hAnsi="David"/>
                <w:b/>
                <w:bCs/>
                <w:sz w:val="26"/>
                <w:szCs w:val="26"/>
              </w:rPr>
            </w:pPr>
          </w:p>
        </w:tc>
      </w:tr>
      <w:tr w:rsidR="00A60B38" w:rsidRPr="005F67E7" w14:paraId="1F186209" w14:textId="77777777" w:rsidTr="004453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7C1A631" w14:textId="77777777" w:rsidR="00A60B38" w:rsidRPr="005F67E7" w:rsidRDefault="00A60B38" w:rsidP="00ED2A8F">
            <w:pPr>
              <w:rPr>
                <w:rFonts w:ascii="David" w:hAnsi="David"/>
                <w:b/>
                <w:bCs/>
                <w:sz w:val="26"/>
                <w:szCs w:val="26"/>
                <w:rtl/>
              </w:rPr>
            </w:pPr>
          </w:p>
        </w:tc>
        <w:tc>
          <w:tcPr>
            <w:tcW w:w="4126" w:type="dxa"/>
            <w:tcBorders>
              <w:top w:val="nil"/>
              <w:left w:val="nil"/>
              <w:bottom w:val="nil"/>
              <w:right w:val="nil"/>
            </w:tcBorders>
            <w:shd w:val="clear" w:color="auto" w:fill="auto"/>
          </w:tcPr>
          <w:p w14:paraId="1B116604" w14:textId="77777777" w:rsidR="00A60B38" w:rsidRPr="005F67E7" w:rsidRDefault="00A60B38" w:rsidP="00ED2A8F">
            <w:pPr>
              <w:rPr>
                <w:rFonts w:ascii="David" w:hAnsi="David"/>
                <w:b/>
                <w:bCs/>
                <w:sz w:val="26"/>
                <w:szCs w:val="26"/>
                <w:rtl/>
              </w:rPr>
            </w:pPr>
            <w:r w:rsidRPr="005F67E7">
              <w:rPr>
                <w:rFonts w:ascii="David" w:hAnsi="David"/>
                <w:b/>
                <w:bCs/>
                <w:sz w:val="26"/>
                <w:szCs w:val="26"/>
                <w:rtl/>
              </w:rPr>
              <w:t>חליל רבאיעה (עציר)</w:t>
            </w:r>
            <w:r w:rsidRPr="005F67E7">
              <w:rPr>
                <w:rFonts w:ascii="David" w:hAnsi="David"/>
                <w:b/>
                <w:bCs/>
                <w:sz w:val="26"/>
                <w:szCs w:val="26"/>
                <w:rtl/>
              </w:rPr>
              <w:br/>
            </w:r>
            <w:r w:rsidRPr="005F67E7">
              <w:rPr>
                <w:rFonts w:ascii="David" w:hAnsi="David" w:hint="cs"/>
                <w:b/>
                <w:bCs/>
                <w:sz w:val="26"/>
                <w:szCs w:val="26"/>
                <w:rtl/>
              </w:rPr>
              <w:t>ע"ח ב"כ עו"ד וסים דראושה</w:t>
            </w:r>
          </w:p>
        </w:tc>
        <w:tc>
          <w:tcPr>
            <w:tcW w:w="3771" w:type="dxa"/>
            <w:gridSpan w:val="3"/>
            <w:tcBorders>
              <w:top w:val="nil"/>
              <w:left w:val="nil"/>
              <w:bottom w:val="nil"/>
              <w:right w:val="nil"/>
            </w:tcBorders>
            <w:shd w:val="clear" w:color="auto" w:fill="auto"/>
          </w:tcPr>
          <w:p w14:paraId="0583747C" w14:textId="77777777" w:rsidR="00A60B38" w:rsidRPr="005F67E7" w:rsidRDefault="00A60B38" w:rsidP="00A60B38">
            <w:pPr>
              <w:jc w:val="right"/>
              <w:rPr>
                <w:rFonts w:ascii="David" w:hAnsi="David"/>
                <w:b/>
                <w:bCs/>
                <w:sz w:val="26"/>
                <w:szCs w:val="26"/>
              </w:rPr>
            </w:pPr>
          </w:p>
        </w:tc>
      </w:tr>
      <w:tr w:rsidR="00A60B38" w:rsidRPr="005F67E7" w14:paraId="1AB90A71" w14:textId="77777777" w:rsidTr="004453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575B476" w14:textId="77777777" w:rsidR="00A60B38" w:rsidRPr="005F67E7" w:rsidRDefault="00A60B38" w:rsidP="00A60B38">
            <w:pPr>
              <w:jc w:val="both"/>
              <w:rPr>
                <w:rFonts w:ascii="David" w:hAnsi="David"/>
                <w:b/>
                <w:bCs/>
                <w:sz w:val="26"/>
                <w:szCs w:val="26"/>
                <w:rtl/>
              </w:rPr>
            </w:pPr>
          </w:p>
        </w:tc>
        <w:tc>
          <w:tcPr>
            <w:tcW w:w="4126" w:type="dxa"/>
            <w:tcBorders>
              <w:top w:val="nil"/>
              <w:left w:val="nil"/>
              <w:bottom w:val="nil"/>
              <w:right w:val="nil"/>
            </w:tcBorders>
            <w:shd w:val="clear" w:color="auto" w:fill="auto"/>
          </w:tcPr>
          <w:p w14:paraId="0F98C765" w14:textId="77777777" w:rsidR="00A60B38" w:rsidRPr="005F67E7" w:rsidRDefault="00A60B38" w:rsidP="00A60B38">
            <w:pPr>
              <w:jc w:val="both"/>
              <w:rPr>
                <w:rFonts w:ascii="David" w:hAnsi="David"/>
                <w:b/>
                <w:bCs/>
                <w:sz w:val="26"/>
                <w:szCs w:val="26"/>
                <w:rtl/>
              </w:rPr>
            </w:pPr>
          </w:p>
        </w:tc>
        <w:tc>
          <w:tcPr>
            <w:tcW w:w="3771" w:type="dxa"/>
            <w:gridSpan w:val="3"/>
            <w:tcBorders>
              <w:top w:val="nil"/>
              <w:left w:val="nil"/>
              <w:bottom w:val="nil"/>
              <w:right w:val="nil"/>
            </w:tcBorders>
            <w:shd w:val="clear" w:color="auto" w:fill="auto"/>
          </w:tcPr>
          <w:p w14:paraId="73262DD4" w14:textId="77777777" w:rsidR="00A60B38" w:rsidRPr="005F67E7" w:rsidRDefault="00A60B38" w:rsidP="00A60B38">
            <w:pPr>
              <w:jc w:val="right"/>
              <w:rPr>
                <w:rFonts w:ascii="David" w:hAnsi="David"/>
                <w:b/>
                <w:bCs/>
                <w:sz w:val="26"/>
                <w:szCs w:val="26"/>
              </w:rPr>
            </w:pPr>
            <w:r w:rsidRPr="005F67E7">
              <w:rPr>
                <w:rFonts w:ascii="David" w:hAnsi="David"/>
                <w:b/>
                <w:bCs/>
                <w:sz w:val="26"/>
                <w:szCs w:val="26"/>
                <w:rtl/>
              </w:rPr>
              <w:t>הנאשם</w:t>
            </w:r>
          </w:p>
        </w:tc>
      </w:tr>
    </w:tbl>
    <w:p w14:paraId="47D23E3B" w14:textId="77777777" w:rsidR="00445323" w:rsidRDefault="00445323" w:rsidP="005F67E7">
      <w:pPr>
        <w:rPr>
          <w:sz w:val="26"/>
          <w:szCs w:val="26"/>
          <w:rtl/>
        </w:rPr>
      </w:pPr>
    </w:p>
    <w:p w14:paraId="67AA4B93" w14:textId="77777777" w:rsidR="00445323" w:rsidRPr="00445323" w:rsidRDefault="00445323" w:rsidP="00445323">
      <w:pPr>
        <w:spacing w:after="120" w:line="240" w:lineRule="exact"/>
        <w:ind w:left="283" w:hanging="283"/>
        <w:jc w:val="both"/>
        <w:rPr>
          <w:rFonts w:ascii="FrankRuehl" w:hAnsi="FrankRuehl" w:cs="FrankRuehl"/>
          <w:rtl/>
        </w:rPr>
      </w:pPr>
    </w:p>
    <w:p w14:paraId="0B22470F" w14:textId="77777777" w:rsidR="000F2994" w:rsidRPr="000F2994" w:rsidRDefault="000F2994" w:rsidP="000F2994">
      <w:pPr>
        <w:spacing w:before="120" w:after="120" w:line="240" w:lineRule="exact"/>
        <w:ind w:left="283" w:hanging="283"/>
        <w:jc w:val="both"/>
        <w:rPr>
          <w:rFonts w:ascii="FrankRuehl" w:hAnsi="FrankRuehl" w:cs="FrankRuehl"/>
          <w:rtl/>
        </w:rPr>
      </w:pPr>
    </w:p>
    <w:p w14:paraId="3D0CB934" w14:textId="77777777" w:rsidR="00DF37F8" w:rsidRDefault="00DF37F8" w:rsidP="00DF37F8">
      <w:pPr>
        <w:rPr>
          <w:sz w:val="26"/>
          <w:szCs w:val="26"/>
          <w:rtl/>
        </w:rPr>
      </w:pPr>
      <w:bookmarkStart w:id="3" w:name="LawTable"/>
      <w:bookmarkEnd w:id="3"/>
    </w:p>
    <w:p w14:paraId="2C29E6EB" w14:textId="77777777" w:rsidR="00DF37F8" w:rsidRPr="00DF37F8" w:rsidRDefault="00DF37F8" w:rsidP="00DF37F8">
      <w:pPr>
        <w:spacing w:before="120" w:after="120" w:line="240" w:lineRule="exact"/>
        <w:ind w:left="283" w:hanging="283"/>
        <w:jc w:val="both"/>
        <w:rPr>
          <w:rFonts w:ascii="FrankRuehl" w:hAnsi="FrankRuehl" w:cs="FrankRuehl"/>
          <w:rtl/>
        </w:rPr>
      </w:pPr>
    </w:p>
    <w:p w14:paraId="5E8C95D8" w14:textId="77777777" w:rsidR="00DF37F8" w:rsidRPr="00DF37F8" w:rsidRDefault="00DF37F8" w:rsidP="00DF37F8">
      <w:pPr>
        <w:spacing w:before="120" w:after="120" w:line="240" w:lineRule="exact"/>
        <w:ind w:left="283" w:hanging="283"/>
        <w:jc w:val="both"/>
        <w:rPr>
          <w:rFonts w:ascii="FrankRuehl" w:hAnsi="FrankRuehl" w:cs="FrankRuehl"/>
          <w:rtl/>
        </w:rPr>
      </w:pPr>
    </w:p>
    <w:p w14:paraId="525D5C74" w14:textId="77777777" w:rsidR="00DF37F8" w:rsidRPr="00DF37F8" w:rsidRDefault="00DF37F8" w:rsidP="00DF37F8">
      <w:pPr>
        <w:spacing w:before="120" w:after="120" w:line="240" w:lineRule="exact"/>
        <w:ind w:left="283" w:hanging="283"/>
        <w:jc w:val="both"/>
        <w:rPr>
          <w:rFonts w:ascii="FrankRuehl" w:hAnsi="FrankRuehl" w:cs="FrankRuehl"/>
          <w:rtl/>
        </w:rPr>
      </w:pPr>
      <w:r w:rsidRPr="00DF37F8">
        <w:rPr>
          <w:rFonts w:ascii="FrankRuehl" w:hAnsi="FrankRuehl" w:cs="FrankRuehl"/>
          <w:rtl/>
        </w:rPr>
        <w:t xml:space="preserve">חקיקה שאוזכרה: </w:t>
      </w:r>
    </w:p>
    <w:p w14:paraId="62B0B7F0" w14:textId="77777777" w:rsidR="00DF37F8" w:rsidRPr="00DF37F8" w:rsidRDefault="00DF37F8" w:rsidP="00DF37F8">
      <w:pPr>
        <w:spacing w:before="120" w:after="120" w:line="240" w:lineRule="exact"/>
        <w:ind w:left="283" w:hanging="283"/>
        <w:jc w:val="both"/>
        <w:rPr>
          <w:rFonts w:ascii="FrankRuehl" w:hAnsi="FrankRuehl" w:cs="FrankRuehl"/>
          <w:rtl/>
        </w:rPr>
      </w:pPr>
      <w:hyperlink r:id="rId6" w:history="1">
        <w:r w:rsidRPr="00DF37F8">
          <w:rPr>
            <w:rFonts w:ascii="FrankRuehl" w:hAnsi="FrankRuehl" w:cs="FrankRuehl"/>
            <w:color w:val="0000FF"/>
            <w:rtl/>
          </w:rPr>
          <w:t>חוק העונשין, תשל"ז-1977</w:t>
        </w:r>
      </w:hyperlink>
      <w:r w:rsidRPr="00DF37F8">
        <w:rPr>
          <w:rFonts w:ascii="FrankRuehl" w:hAnsi="FrankRuehl" w:cs="FrankRuehl"/>
          <w:rtl/>
        </w:rPr>
        <w:t xml:space="preserve">: סע'  </w:t>
      </w:r>
      <w:hyperlink r:id="rId7" w:history="1">
        <w:r w:rsidRPr="00DF37F8">
          <w:rPr>
            <w:rFonts w:ascii="FrankRuehl" w:hAnsi="FrankRuehl" w:cs="FrankRuehl"/>
            <w:color w:val="0000FF"/>
            <w:rtl/>
          </w:rPr>
          <w:t>144 (א)</w:t>
        </w:r>
      </w:hyperlink>
      <w:r w:rsidRPr="00DF37F8">
        <w:rPr>
          <w:rFonts w:ascii="FrankRuehl" w:hAnsi="FrankRuehl" w:cs="FrankRuehl"/>
          <w:rtl/>
        </w:rPr>
        <w:t xml:space="preserve">, </w:t>
      </w:r>
      <w:hyperlink r:id="rId8" w:history="1">
        <w:r w:rsidRPr="00DF37F8">
          <w:rPr>
            <w:rFonts w:ascii="FrankRuehl" w:hAnsi="FrankRuehl" w:cs="FrankRuehl"/>
            <w:color w:val="0000FF"/>
            <w:rtl/>
          </w:rPr>
          <w:t>144(ב)</w:t>
        </w:r>
      </w:hyperlink>
      <w:r w:rsidRPr="00DF37F8">
        <w:rPr>
          <w:rFonts w:ascii="FrankRuehl" w:hAnsi="FrankRuehl" w:cs="FrankRuehl"/>
          <w:rtl/>
        </w:rPr>
        <w:t xml:space="preserve">, </w:t>
      </w:r>
      <w:hyperlink r:id="rId9" w:history="1">
        <w:r w:rsidRPr="00DF37F8">
          <w:rPr>
            <w:rFonts w:ascii="FrankRuehl" w:hAnsi="FrankRuehl" w:cs="FrankRuehl"/>
            <w:color w:val="0000FF"/>
            <w:rtl/>
          </w:rPr>
          <w:t>144 (ג)(1)</w:t>
        </w:r>
      </w:hyperlink>
    </w:p>
    <w:p w14:paraId="308D5E4F" w14:textId="77777777" w:rsidR="00DF37F8" w:rsidRPr="00DF37F8" w:rsidRDefault="00DF37F8" w:rsidP="00DF37F8">
      <w:pPr>
        <w:rPr>
          <w:sz w:val="26"/>
          <w:szCs w:val="26"/>
          <w:rtl/>
        </w:rPr>
      </w:pPr>
      <w:bookmarkStart w:id="4" w:name="LawTable_End"/>
      <w:bookmarkEnd w:id="4"/>
    </w:p>
    <w:p w14:paraId="3A67DAA9" w14:textId="77777777" w:rsidR="00A60B38" w:rsidRPr="000F2994" w:rsidRDefault="00A60B38" w:rsidP="000F2994">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60B38" w14:paraId="1AF37773" w14:textId="77777777" w:rsidTr="00A60B38">
        <w:trPr>
          <w:trHeight w:val="355"/>
          <w:jc w:val="center"/>
        </w:trPr>
        <w:tc>
          <w:tcPr>
            <w:tcW w:w="8820" w:type="dxa"/>
            <w:tcBorders>
              <w:top w:val="nil"/>
              <w:left w:val="nil"/>
              <w:bottom w:val="nil"/>
              <w:right w:val="nil"/>
            </w:tcBorders>
            <w:shd w:val="clear" w:color="auto" w:fill="auto"/>
          </w:tcPr>
          <w:p w14:paraId="3D3C56B1" w14:textId="77777777" w:rsidR="005F67E7" w:rsidRPr="005F67E7" w:rsidRDefault="005F67E7" w:rsidP="005F67E7">
            <w:pPr>
              <w:jc w:val="center"/>
              <w:rPr>
                <w:rFonts w:ascii="David" w:hAnsi="David"/>
                <w:b/>
                <w:bCs/>
                <w:sz w:val="32"/>
                <w:szCs w:val="32"/>
                <w:u w:val="single"/>
                <w:rtl/>
              </w:rPr>
            </w:pPr>
            <w:bookmarkStart w:id="5" w:name="PsakDin" w:colFirst="0" w:colLast="0"/>
            <w:bookmarkEnd w:id="0"/>
            <w:bookmarkEnd w:id="1"/>
            <w:r w:rsidRPr="005F67E7">
              <w:rPr>
                <w:rFonts w:ascii="David" w:hAnsi="David"/>
                <w:b/>
                <w:bCs/>
                <w:sz w:val="32"/>
                <w:szCs w:val="32"/>
                <w:u w:val="single"/>
                <w:rtl/>
              </w:rPr>
              <w:t>גזר דין</w:t>
            </w:r>
          </w:p>
          <w:p w14:paraId="4ED6A136" w14:textId="77777777" w:rsidR="00A60B38" w:rsidRPr="005F67E7" w:rsidRDefault="00A60B38" w:rsidP="005F67E7">
            <w:pPr>
              <w:jc w:val="center"/>
              <w:rPr>
                <w:rFonts w:ascii="David" w:hAnsi="David"/>
                <w:bCs/>
                <w:sz w:val="32"/>
                <w:szCs w:val="32"/>
                <w:u w:val="single"/>
                <w:rtl/>
              </w:rPr>
            </w:pPr>
          </w:p>
        </w:tc>
      </w:tr>
      <w:bookmarkEnd w:id="5"/>
    </w:tbl>
    <w:p w14:paraId="093A40A9" w14:textId="77777777" w:rsidR="00A60B38" w:rsidRPr="002B7D23" w:rsidRDefault="00A60B38" w:rsidP="00A60B38">
      <w:pPr>
        <w:spacing w:after="240" w:line="360" w:lineRule="auto"/>
        <w:jc w:val="both"/>
        <w:rPr>
          <w:rFonts w:ascii="David" w:hAnsi="David"/>
          <w:sz w:val="26"/>
          <w:szCs w:val="26"/>
          <w:rtl/>
        </w:rPr>
      </w:pPr>
    </w:p>
    <w:p w14:paraId="1ACF4A9F" w14:textId="77777777" w:rsidR="00A60B38" w:rsidRDefault="00A60B38" w:rsidP="00A60B38">
      <w:pPr>
        <w:spacing w:after="240" w:line="360" w:lineRule="auto"/>
        <w:jc w:val="both"/>
        <w:rPr>
          <w:rFonts w:ascii="David" w:hAnsi="David"/>
          <w:b/>
          <w:bCs/>
          <w:sz w:val="26"/>
          <w:szCs w:val="26"/>
          <w:rtl/>
        </w:rPr>
      </w:pPr>
      <w:bookmarkStart w:id="6" w:name="ABSTRACT_START"/>
      <w:bookmarkEnd w:id="6"/>
      <w:r>
        <w:rPr>
          <w:rFonts w:ascii="David" w:hAnsi="David" w:hint="cs"/>
          <w:b/>
          <w:bCs/>
          <w:sz w:val="26"/>
          <w:szCs w:val="26"/>
          <w:rtl/>
        </w:rPr>
        <w:t>האישום וטענות הצדדים</w:t>
      </w:r>
    </w:p>
    <w:p w14:paraId="1D6E6438" w14:textId="77777777" w:rsidR="00A60B38" w:rsidRDefault="00A60B38" w:rsidP="00A60B38">
      <w:pPr>
        <w:spacing w:after="240" w:line="360" w:lineRule="auto"/>
        <w:jc w:val="both"/>
        <w:rPr>
          <w:rFonts w:ascii="David" w:hAnsi="David"/>
          <w:sz w:val="26"/>
          <w:szCs w:val="26"/>
          <w:rtl/>
        </w:rPr>
      </w:pPr>
      <w:r>
        <w:rPr>
          <w:rFonts w:ascii="David" w:hAnsi="David" w:hint="cs"/>
          <w:sz w:val="26"/>
          <w:szCs w:val="26"/>
          <w:rtl/>
        </w:rPr>
        <w:t>1.</w:t>
      </w:r>
      <w:r>
        <w:rPr>
          <w:rFonts w:ascii="David" w:hAnsi="David" w:hint="cs"/>
          <w:sz w:val="26"/>
          <w:szCs w:val="26"/>
          <w:rtl/>
        </w:rPr>
        <w:tab/>
        <w:t xml:space="preserve">הנאשם הודה והורשע על פי הודאתו בעבירות של רכישת נשק לפי </w:t>
      </w:r>
      <w:hyperlink r:id="rId10" w:history="1">
        <w:r w:rsidR="00445323" w:rsidRPr="00445323">
          <w:rPr>
            <w:rStyle w:val="Hyperlink"/>
            <w:rFonts w:ascii="David" w:hAnsi="David" w:hint="eastAsia"/>
            <w:sz w:val="26"/>
            <w:szCs w:val="26"/>
            <w:rtl/>
          </w:rPr>
          <w:t>סעיף</w:t>
        </w:r>
        <w:r w:rsidR="00445323" w:rsidRPr="00445323">
          <w:rPr>
            <w:rStyle w:val="Hyperlink"/>
            <w:rFonts w:ascii="David" w:hAnsi="David"/>
            <w:sz w:val="26"/>
            <w:szCs w:val="26"/>
            <w:rtl/>
          </w:rPr>
          <w:t xml:space="preserve"> 144(ב)</w:t>
        </w:r>
      </w:hyperlink>
      <w:r>
        <w:rPr>
          <w:rFonts w:ascii="David" w:hAnsi="David" w:hint="cs"/>
          <w:sz w:val="26"/>
          <w:szCs w:val="26"/>
          <w:rtl/>
        </w:rPr>
        <w:t xml:space="preserve"> רישא + סיפא בצירוף סעיף </w:t>
      </w:r>
      <w:hyperlink r:id="rId11" w:history="1">
        <w:r w:rsidR="00445323" w:rsidRPr="00445323">
          <w:rPr>
            <w:rStyle w:val="Hyperlink"/>
            <w:rFonts w:ascii="David" w:hAnsi="David"/>
            <w:sz w:val="26"/>
            <w:szCs w:val="26"/>
            <w:rtl/>
          </w:rPr>
          <w:t>144 (ג)(1)</w:t>
        </w:r>
      </w:hyperlink>
      <w:r>
        <w:rPr>
          <w:rFonts w:ascii="David" w:hAnsi="David" w:hint="cs"/>
          <w:sz w:val="26"/>
          <w:szCs w:val="26"/>
          <w:rtl/>
        </w:rPr>
        <w:t xml:space="preserve"> ל</w:t>
      </w:r>
      <w:hyperlink r:id="rId12" w:history="1">
        <w:r w:rsidR="005F67E7" w:rsidRPr="005F67E7">
          <w:rPr>
            <w:rFonts w:ascii="David" w:hAnsi="David"/>
            <w:color w:val="0000FF"/>
            <w:sz w:val="26"/>
            <w:szCs w:val="26"/>
            <w:u w:val="single"/>
            <w:rtl/>
          </w:rPr>
          <w:t>חוק העונשין</w:t>
        </w:r>
      </w:hyperlink>
      <w:r>
        <w:rPr>
          <w:rFonts w:ascii="David" w:hAnsi="David" w:hint="cs"/>
          <w:sz w:val="26"/>
          <w:szCs w:val="26"/>
          <w:rtl/>
        </w:rPr>
        <w:t xml:space="preserve"> תשל"ז-1977, וכן בנשיאת נשק לפי סעיף</w:t>
      </w:r>
      <w:hyperlink r:id="rId13" w:history="1">
        <w:r w:rsidR="00445323" w:rsidRPr="00445323">
          <w:rPr>
            <w:rStyle w:val="Hyperlink"/>
            <w:rFonts w:ascii="David" w:hAnsi="David"/>
            <w:sz w:val="26"/>
            <w:szCs w:val="26"/>
            <w:rtl/>
          </w:rPr>
          <w:t xml:space="preserve"> 144 (א)</w:t>
        </w:r>
      </w:hyperlink>
      <w:r>
        <w:rPr>
          <w:rFonts w:ascii="David" w:hAnsi="David" w:hint="cs"/>
          <w:sz w:val="26"/>
          <w:szCs w:val="26"/>
          <w:rtl/>
        </w:rPr>
        <w:t xml:space="preserve"> רישא+סיפא לחוק זה. על פי עובדות כתב האישום המתוקן בו הורשע הנאשם הוא החליט יחד עם מכריו עדנאן הדרא ועלי מחיסן לרכוש נשק ברמאללה. הנאשם הקציב לכך סכום של 30,000 ₪ ועדנאן התקשר לאדם שזהותו אינה ידועה והתעניין ברכישת הנשק</w:t>
      </w:r>
      <w:bookmarkStart w:id="7" w:name="ABSTRACT_END"/>
      <w:bookmarkEnd w:id="7"/>
      <w:r>
        <w:rPr>
          <w:rFonts w:ascii="David" w:hAnsi="David" w:hint="cs"/>
          <w:sz w:val="26"/>
          <w:szCs w:val="26"/>
          <w:rtl/>
        </w:rPr>
        <w:t xml:space="preserve">. ביום 16.2.21 נפגשו השלושה ונסעו לרמאללה ברכבו של עדנאן. בשעות אחר הצהרים, לאחר </w:t>
      </w:r>
      <w:r>
        <w:rPr>
          <w:rFonts w:ascii="David" w:hAnsi="David" w:hint="cs"/>
          <w:sz w:val="26"/>
          <w:szCs w:val="26"/>
          <w:rtl/>
        </w:rPr>
        <w:lastRenderedPageBreak/>
        <w:t xml:space="preserve">תיאום מראש, הגיע לרכבם אדם שהציג להם אקדח מסוג </w:t>
      </w:r>
      <w:r>
        <w:rPr>
          <w:rFonts w:ascii="David" w:hAnsi="David" w:hint="cs"/>
          <w:sz w:val="26"/>
          <w:szCs w:val="26"/>
        </w:rPr>
        <w:t>FN</w:t>
      </w:r>
      <w:r>
        <w:rPr>
          <w:rFonts w:ascii="David" w:hAnsi="David" w:hint="cs"/>
          <w:sz w:val="26"/>
          <w:szCs w:val="26"/>
          <w:rtl/>
        </w:rPr>
        <w:t xml:space="preserve"> תוצרת בלגיה ומחסנית תואמת קליעי 9 מ"מ. עדנאן ועלי בדקו ודרכו את האקדח, וגם הנאשם אחז בו. הנאשם שילם את הסכום של 30,000 ₪ ועדנאן לקח את האקדח והמחסנית והסליק אותם בתוך סמרטוט מתחת לקונסולת ההילוכים ברכב. הנאשם והאחרים נסעו כשהאקדח והמחסנית ברכבם מרמאללה לירושלים עד שנעצרו על ידי המשטרה בכיכר א-טור. </w:t>
      </w:r>
    </w:p>
    <w:p w14:paraId="2F078380" w14:textId="77777777" w:rsidR="00A60B38" w:rsidRDefault="00A60B38" w:rsidP="00A60B38">
      <w:pPr>
        <w:spacing w:after="240" w:line="360" w:lineRule="auto"/>
        <w:ind w:firstLine="720"/>
        <w:jc w:val="both"/>
        <w:rPr>
          <w:rFonts w:ascii="David" w:hAnsi="David"/>
          <w:sz w:val="26"/>
          <w:szCs w:val="26"/>
          <w:rtl/>
        </w:rPr>
      </w:pPr>
      <w:r>
        <w:rPr>
          <w:rFonts w:ascii="David" w:hAnsi="David" w:hint="cs"/>
          <w:sz w:val="26"/>
          <w:szCs w:val="26"/>
          <w:rtl/>
        </w:rPr>
        <w:t xml:space="preserve">הנאשם הודה בכתב האישום במסגרת הסדר שכלל תיקון כתב האישום ללא הסכמה בעניין העונש. </w:t>
      </w:r>
    </w:p>
    <w:p w14:paraId="4E4C8018" w14:textId="77777777" w:rsidR="00A60B38" w:rsidRDefault="00A60B38" w:rsidP="00A60B38">
      <w:pPr>
        <w:spacing w:after="240" w:line="360" w:lineRule="auto"/>
        <w:jc w:val="both"/>
        <w:rPr>
          <w:rFonts w:ascii="David" w:hAnsi="David"/>
          <w:sz w:val="26"/>
          <w:szCs w:val="26"/>
          <w:rtl/>
        </w:rPr>
      </w:pPr>
      <w:r>
        <w:rPr>
          <w:rFonts w:ascii="David" w:hAnsi="David" w:hint="cs"/>
          <w:sz w:val="26"/>
          <w:szCs w:val="26"/>
          <w:rtl/>
        </w:rPr>
        <w:t>2.</w:t>
      </w:r>
      <w:r>
        <w:rPr>
          <w:rFonts w:ascii="David" w:hAnsi="David" w:hint="cs"/>
          <w:sz w:val="26"/>
          <w:szCs w:val="26"/>
          <w:rtl/>
        </w:rPr>
        <w:tab/>
        <w:t xml:space="preserve">ב"כ המאשימה הציגה את רישומו הפלילי של הנאשם, הכולל עבירה של נסיון להיזק לרכוש במזיד משנת 2015, בגינה נדון הנאשם ל-50 ימי מאסר. היא טענה כי עבירות הנשק הפכו למכת מדינה, הן גורמות לפגיעה באנשים, תחושת איבוד שליטה, פגיעה בציבור ובשלטון החוק. למעשים קדמה החלטה לרכוש נשק ותכנון. הנאשם שילם תמורת האקדח ותכנן את הנסיעה יחד עם עדנאן. הנזק הפוטנציאלי הנובע מהמעשים עצום, אך הנאשם לא הבין באופן מלא את הפסול שבמעשיו. הנאשם ריצה מאסר קודם בעבר. </w:t>
      </w:r>
    </w:p>
    <w:p w14:paraId="67DAF434" w14:textId="77777777" w:rsidR="00A60B38" w:rsidRDefault="00A60B38" w:rsidP="00A60B38">
      <w:pPr>
        <w:spacing w:after="240" w:line="360" w:lineRule="auto"/>
        <w:ind w:firstLine="720"/>
        <w:jc w:val="both"/>
        <w:rPr>
          <w:rFonts w:ascii="David" w:hAnsi="David"/>
          <w:sz w:val="26"/>
          <w:szCs w:val="26"/>
          <w:rtl/>
        </w:rPr>
      </w:pPr>
      <w:r>
        <w:rPr>
          <w:rFonts w:ascii="David" w:hAnsi="David" w:hint="cs"/>
          <w:sz w:val="26"/>
          <w:szCs w:val="26"/>
          <w:rtl/>
        </w:rPr>
        <w:t xml:space="preserve">ב"כ המאשימה הפנתה למספר פסקי דין לעניין הענישה הנוהגת. היא ציינה כי מדובר בשתי עבירות, רכישת נשק ונשיאת נשק, כאשר לנשיאה בלבד יש לקבוע מתחם של 2-4 שנות מאסר. התובעת ביקשה לקבוע מתחם ענישה בין 30-50 חודשי מאסר בפועל. לעניין נסיבותיו של הנאשם ציינה ב"כ המאשימה כי הוא צעיר יחסית אך בעל עבר פלילי וריצה מאסר בעבר. הוא לא ביקש תסקיר של שירות המבחן. עם זאת הנאשם הודה בשלב מוקדם, שיתף פעולה וסייע בפיענוח האירוע. היא ביקשה לגזור על הנאשם עונש של 40 חודשי מאסר בפועל, מאסר על תנאי וקנס. </w:t>
      </w:r>
    </w:p>
    <w:p w14:paraId="55D766C6" w14:textId="77777777" w:rsidR="00A60B38" w:rsidRPr="00282F6A" w:rsidRDefault="00A60B38" w:rsidP="00A60B38">
      <w:pPr>
        <w:spacing w:after="240" w:line="360" w:lineRule="auto"/>
        <w:jc w:val="both"/>
        <w:rPr>
          <w:rFonts w:ascii="David" w:hAnsi="David"/>
          <w:sz w:val="26"/>
          <w:szCs w:val="26"/>
          <w:rtl/>
        </w:rPr>
      </w:pPr>
      <w:r>
        <w:rPr>
          <w:rFonts w:ascii="David" w:hAnsi="David" w:hint="cs"/>
          <w:sz w:val="26"/>
          <w:szCs w:val="26"/>
          <w:rtl/>
        </w:rPr>
        <w:t>3.</w:t>
      </w:r>
      <w:r>
        <w:rPr>
          <w:rFonts w:ascii="David" w:hAnsi="David" w:hint="cs"/>
          <w:sz w:val="26"/>
          <w:szCs w:val="26"/>
          <w:rtl/>
        </w:rPr>
        <w:tab/>
        <w:t xml:space="preserve">ב"כ הנאשם ביקש להסתפק בתקופת מעצרו של הנאשם (מיום 16.2.21) או מעט למעלה מכך. הוא טען כי הנאשם צעיר, </w:t>
      </w:r>
      <w:r w:rsidRPr="00282F6A">
        <w:rPr>
          <w:rFonts w:ascii="David" w:hAnsi="David"/>
          <w:sz w:val="26"/>
          <w:szCs w:val="26"/>
          <w:rtl/>
        </w:rPr>
        <w:t>לחובתו הרשעה יחידה על אירוע מלפני 6 שנים</w:t>
      </w:r>
      <w:r>
        <w:rPr>
          <w:rFonts w:ascii="David" w:hAnsi="David" w:hint="cs"/>
          <w:sz w:val="26"/>
          <w:szCs w:val="26"/>
          <w:rtl/>
        </w:rPr>
        <w:t xml:space="preserve"> כך שאין לייחס לו משקל רב ו</w:t>
      </w:r>
      <w:r w:rsidRPr="00282F6A">
        <w:rPr>
          <w:rFonts w:ascii="David" w:hAnsi="David"/>
          <w:sz w:val="26"/>
          <w:szCs w:val="26"/>
          <w:rtl/>
        </w:rPr>
        <w:t xml:space="preserve">בכל מתחם </w:t>
      </w:r>
      <w:r>
        <w:rPr>
          <w:rFonts w:ascii="David" w:hAnsi="David" w:hint="cs"/>
          <w:sz w:val="26"/>
          <w:szCs w:val="26"/>
          <w:rtl/>
        </w:rPr>
        <w:t xml:space="preserve">שייקבע </w:t>
      </w:r>
      <w:r w:rsidRPr="00282F6A">
        <w:rPr>
          <w:rFonts w:ascii="David" w:hAnsi="David"/>
          <w:sz w:val="26"/>
          <w:szCs w:val="26"/>
          <w:rtl/>
        </w:rPr>
        <w:t>עונשו צריך להיות בתחתית המתחם.</w:t>
      </w:r>
      <w:r>
        <w:rPr>
          <w:rFonts w:ascii="David" w:hAnsi="David" w:hint="cs"/>
          <w:sz w:val="26"/>
          <w:szCs w:val="26"/>
          <w:rtl/>
        </w:rPr>
        <w:t xml:space="preserve"> הוא הוסיף כי ה</w:t>
      </w:r>
      <w:r w:rsidRPr="00282F6A">
        <w:rPr>
          <w:rFonts w:ascii="David" w:hAnsi="David"/>
          <w:sz w:val="26"/>
          <w:szCs w:val="26"/>
          <w:rtl/>
        </w:rPr>
        <w:t xml:space="preserve">נאשם הודה כבר בחקירה </w:t>
      </w:r>
      <w:r>
        <w:rPr>
          <w:rFonts w:ascii="David" w:hAnsi="David" w:hint="cs"/>
          <w:sz w:val="26"/>
          <w:szCs w:val="26"/>
          <w:rtl/>
        </w:rPr>
        <w:t xml:space="preserve">במשטרה כשהיה עצור </w:t>
      </w:r>
      <w:r>
        <w:rPr>
          <w:rFonts w:ascii="David" w:hAnsi="David"/>
          <w:sz w:val="26"/>
          <w:szCs w:val="26"/>
          <w:rtl/>
        </w:rPr>
        <w:t>במעצר ימים</w:t>
      </w:r>
      <w:r>
        <w:rPr>
          <w:rFonts w:ascii="David" w:hAnsi="David" w:hint="cs"/>
          <w:sz w:val="26"/>
          <w:szCs w:val="26"/>
          <w:rtl/>
        </w:rPr>
        <w:t>,</w:t>
      </w:r>
      <w:r w:rsidRPr="00282F6A">
        <w:rPr>
          <w:rFonts w:ascii="David" w:hAnsi="David"/>
          <w:sz w:val="26"/>
          <w:szCs w:val="26"/>
          <w:rtl/>
        </w:rPr>
        <w:t xml:space="preserve"> ללא תמורה עונשית. </w:t>
      </w:r>
    </w:p>
    <w:p w14:paraId="438EABBF" w14:textId="77777777" w:rsidR="00A60B38" w:rsidRDefault="00A60B38" w:rsidP="00A60B38">
      <w:pPr>
        <w:spacing w:after="240" w:line="360" w:lineRule="auto"/>
        <w:ind w:firstLine="720"/>
        <w:jc w:val="both"/>
        <w:rPr>
          <w:rFonts w:ascii="David" w:hAnsi="David"/>
          <w:sz w:val="26"/>
          <w:szCs w:val="26"/>
          <w:rtl/>
        </w:rPr>
      </w:pPr>
      <w:r>
        <w:rPr>
          <w:rFonts w:ascii="David" w:hAnsi="David" w:hint="cs"/>
          <w:sz w:val="26"/>
          <w:szCs w:val="26"/>
          <w:rtl/>
        </w:rPr>
        <w:t>לגבי נסיבות ביצוע העבירה טען הסניגור כי הנאשם התלווה לעדנאן, שהוביל בהגיית הרעיון, התכנון והביצוע</w:t>
      </w:r>
      <w:r w:rsidRPr="00282F6A">
        <w:rPr>
          <w:rFonts w:ascii="David" w:hAnsi="David"/>
          <w:sz w:val="26"/>
          <w:szCs w:val="26"/>
          <w:rtl/>
        </w:rPr>
        <w:t>.</w:t>
      </w:r>
      <w:r>
        <w:rPr>
          <w:rFonts w:ascii="David" w:hAnsi="David" w:hint="cs"/>
          <w:sz w:val="26"/>
          <w:szCs w:val="26"/>
          <w:rtl/>
        </w:rPr>
        <w:t xml:space="preserve"> את תרומתו של הנאשם בהשגת המימון הכספי יש להביא בחשבון בערבון מוגבל, שכן מדובר בסכום כסף שהיה לנאשם והיה אמור לשמש לקניית רכב, כך שהוא לא נדרש למאמצים מיוחדים כדי להשיגו לצורך מימון רכישת הנשק. גם הסניגור הפנה לפסיקה וטען כי מתחם הענישה נמוך מהנטען ע"י המאשימה. הוא ביקש לקבוע </w:t>
      </w:r>
      <w:r>
        <w:rPr>
          <w:rFonts w:ascii="David" w:hAnsi="David" w:hint="cs"/>
          <w:sz w:val="26"/>
          <w:szCs w:val="26"/>
          <w:rtl/>
        </w:rPr>
        <w:lastRenderedPageBreak/>
        <w:t xml:space="preserve">מתחם ברוח הפסיקה. לדבריו גם אם קיימת מגמה של החמרה בענישה, עליה להיות הדרגתית, והענישה היא תמיד אינדבידואלית. </w:t>
      </w:r>
    </w:p>
    <w:p w14:paraId="535F94DA" w14:textId="77777777" w:rsidR="00A60B38" w:rsidRDefault="00A60B38" w:rsidP="00A60B38">
      <w:pPr>
        <w:spacing w:after="240" w:line="360" w:lineRule="auto"/>
        <w:ind w:firstLine="720"/>
        <w:jc w:val="both"/>
        <w:rPr>
          <w:rFonts w:ascii="David" w:hAnsi="David"/>
          <w:sz w:val="26"/>
          <w:szCs w:val="26"/>
          <w:rtl/>
        </w:rPr>
      </w:pPr>
      <w:r>
        <w:rPr>
          <w:rFonts w:ascii="David" w:hAnsi="David" w:hint="cs"/>
          <w:sz w:val="26"/>
          <w:szCs w:val="26"/>
          <w:rtl/>
        </w:rPr>
        <w:t xml:space="preserve">במסגרת המתחם, הסניגור ציין כי הנאשם הודה, חסך זמן ולקח אחריות. הוא שיתף פעולה בחקירה. </w:t>
      </w:r>
    </w:p>
    <w:p w14:paraId="14DE6091" w14:textId="77777777" w:rsidR="00A60B38" w:rsidRDefault="00A60B38" w:rsidP="00A60B38">
      <w:pPr>
        <w:spacing w:after="240" w:line="360" w:lineRule="auto"/>
        <w:jc w:val="both"/>
        <w:rPr>
          <w:rFonts w:ascii="David" w:hAnsi="David"/>
          <w:sz w:val="26"/>
          <w:szCs w:val="26"/>
          <w:rtl/>
        </w:rPr>
      </w:pPr>
      <w:r>
        <w:rPr>
          <w:rFonts w:ascii="David" w:hAnsi="David" w:hint="cs"/>
          <w:sz w:val="26"/>
          <w:szCs w:val="26"/>
          <w:rtl/>
        </w:rPr>
        <w:t>4.</w:t>
      </w:r>
      <w:r>
        <w:rPr>
          <w:rFonts w:ascii="David" w:hAnsi="David" w:hint="cs"/>
          <w:sz w:val="26"/>
          <w:szCs w:val="26"/>
          <w:rtl/>
        </w:rPr>
        <w:tab/>
        <w:t xml:space="preserve">הנאשם עצמו הביע חרטה ואמר כי למד לקח ולא יחזור על מעשיו. </w:t>
      </w:r>
    </w:p>
    <w:p w14:paraId="322B4756" w14:textId="77777777" w:rsidR="00A60B38" w:rsidRDefault="00A60B38" w:rsidP="00A60B38">
      <w:pPr>
        <w:spacing w:after="240" w:line="360" w:lineRule="auto"/>
        <w:jc w:val="both"/>
        <w:rPr>
          <w:rFonts w:ascii="David" w:hAnsi="David"/>
          <w:sz w:val="26"/>
          <w:szCs w:val="26"/>
          <w:rtl/>
        </w:rPr>
      </w:pPr>
    </w:p>
    <w:p w14:paraId="415C6B9C" w14:textId="77777777" w:rsidR="00A60B38" w:rsidRDefault="00A60B38" w:rsidP="00A60B38">
      <w:pPr>
        <w:spacing w:after="240" w:line="360" w:lineRule="auto"/>
        <w:jc w:val="both"/>
        <w:rPr>
          <w:rFonts w:ascii="David" w:hAnsi="David"/>
          <w:b/>
          <w:bCs/>
          <w:sz w:val="26"/>
          <w:szCs w:val="26"/>
        </w:rPr>
      </w:pPr>
      <w:r>
        <w:rPr>
          <w:rFonts w:ascii="David" w:hAnsi="David" w:hint="cs"/>
          <w:b/>
          <w:bCs/>
          <w:sz w:val="26"/>
          <w:szCs w:val="26"/>
          <w:rtl/>
        </w:rPr>
        <w:t>מתחם העונש ההולם</w:t>
      </w:r>
      <w:r>
        <w:rPr>
          <w:rFonts w:ascii="David" w:hAnsi="David"/>
          <w:b/>
          <w:bCs/>
          <w:sz w:val="26"/>
          <w:szCs w:val="26"/>
          <w:rtl/>
        </w:rPr>
        <w:t xml:space="preserve"> </w:t>
      </w:r>
    </w:p>
    <w:p w14:paraId="11991073" w14:textId="77777777" w:rsidR="00A60B38" w:rsidRDefault="00A60B38" w:rsidP="00A60B38">
      <w:pPr>
        <w:spacing w:after="240" w:line="360" w:lineRule="auto"/>
        <w:jc w:val="both"/>
        <w:rPr>
          <w:rFonts w:ascii="David" w:hAnsi="David"/>
          <w:sz w:val="26"/>
          <w:szCs w:val="26"/>
          <w:rtl/>
        </w:rPr>
      </w:pPr>
      <w:r>
        <w:rPr>
          <w:rFonts w:ascii="David" w:hAnsi="David" w:hint="cs"/>
          <w:sz w:val="26"/>
          <w:szCs w:val="26"/>
          <w:rtl/>
        </w:rPr>
        <w:t>5</w:t>
      </w:r>
      <w:r>
        <w:rPr>
          <w:rFonts w:ascii="David" w:hAnsi="David"/>
          <w:sz w:val="26"/>
          <w:szCs w:val="26"/>
          <w:rtl/>
        </w:rPr>
        <w:t>.</w:t>
      </w:r>
      <w:r>
        <w:rPr>
          <w:rFonts w:ascii="David" w:hAnsi="David"/>
          <w:sz w:val="26"/>
          <w:szCs w:val="26"/>
          <w:rtl/>
        </w:rPr>
        <w:tab/>
        <w:t>הערכים המוגנים</w:t>
      </w:r>
      <w:r>
        <w:rPr>
          <w:rFonts w:ascii="David" w:hAnsi="David"/>
          <w:sz w:val="26"/>
          <w:szCs w:val="26"/>
        </w:rPr>
        <w:t xml:space="preserve"> </w:t>
      </w:r>
      <w:r>
        <w:rPr>
          <w:rFonts w:ascii="David" w:hAnsi="David"/>
          <w:sz w:val="26"/>
          <w:szCs w:val="26"/>
          <w:rtl/>
        </w:rPr>
        <w:t xml:space="preserve"> בעבירות של החזקת נשק וירי בשטח בנוי הם שמירה על שלום הציבור, בטחונו ושלמות גופו; החשש שנשק המוחזק שלא כדין עלול להתגלגל לידיים בלתי רצויות ולשמש למעשים אסורים, שיש בהם כדי לפגוע ואף ליטול חיי אדם.</w:t>
      </w:r>
    </w:p>
    <w:p w14:paraId="3818B7E9" w14:textId="77777777" w:rsidR="00A60B38" w:rsidRPr="00F5331A" w:rsidRDefault="00A60B38" w:rsidP="00A60B38">
      <w:pPr>
        <w:spacing w:after="240" w:line="360" w:lineRule="auto"/>
        <w:jc w:val="both"/>
        <w:rPr>
          <w:rFonts w:ascii="Arial" w:hAnsi="Arial"/>
          <w:sz w:val="26"/>
          <w:szCs w:val="26"/>
          <w:rtl/>
        </w:rPr>
      </w:pPr>
      <w:r>
        <w:rPr>
          <w:rFonts w:ascii="Arial" w:hAnsi="Arial"/>
          <w:sz w:val="26"/>
          <w:szCs w:val="26"/>
          <w:rtl/>
        </w:rPr>
        <w:tab/>
        <w:t xml:space="preserve">מזה שנים שפסיקת בית המשפט העליון, ויתר הערכאות בעקבותיה, עומדת על הצורך בענישה מחמירה בעבירות נשק ובהטלת עונשי מאסר מרתיעים. זאת ביתר שאית בשנים האחרונות, לנוכח התופעה הקשה של אלימות וקיפוח חיי אדם באמצעות כלי נשק בלתי חוקיים. החומרה הרבה שבעבירות הנשק, הצורך להחמיר בענישה והכלל של הטלת עונשי מאסר בפועל בדרך כלל עלו בפסקי דין רבים. אציין מביניהם </w:t>
      </w:r>
      <w:r w:rsidRPr="00F5331A">
        <w:rPr>
          <w:rFonts w:ascii="Arial" w:hAnsi="Arial"/>
          <w:sz w:val="26"/>
          <w:szCs w:val="26"/>
          <w:rtl/>
        </w:rPr>
        <w:t xml:space="preserve">את </w:t>
      </w:r>
      <w:hyperlink r:id="rId14" w:history="1">
        <w:r w:rsidR="005F67E7" w:rsidRPr="005F67E7">
          <w:rPr>
            <w:rFonts w:ascii="Arial" w:hAnsi="Arial"/>
            <w:color w:val="0000FF"/>
            <w:sz w:val="26"/>
            <w:szCs w:val="26"/>
            <w:u w:val="single"/>
            <w:rtl/>
          </w:rPr>
          <w:t>ע"פ 2251/11</w:t>
        </w:r>
      </w:hyperlink>
      <w:r w:rsidRPr="00F5331A">
        <w:rPr>
          <w:rFonts w:ascii="Arial" w:hAnsi="Arial"/>
          <w:sz w:val="26"/>
          <w:szCs w:val="26"/>
          <w:rtl/>
        </w:rPr>
        <w:t xml:space="preserve"> </w:t>
      </w:r>
      <w:r w:rsidRPr="00F5331A">
        <w:rPr>
          <w:rFonts w:ascii="Arial" w:hAnsi="Arial" w:hint="cs"/>
          <w:b/>
          <w:bCs/>
          <w:sz w:val="26"/>
          <w:szCs w:val="26"/>
          <w:rtl/>
        </w:rPr>
        <w:t>ג'מאל נפעא נ' מדינת ישראל</w:t>
      </w:r>
      <w:r w:rsidRPr="00F5331A">
        <w:rPr>
          <w:rFonts w:ascii="Arial" w:hAnsi="Arial" w:hint="cs"/>
          <w:sz w:val="26"/>
          <w:szCs w:val="26"/>
          <w:rtl/>
        </w:rPr>
        <w:t xml:space="preserve"> (4.12.11); </w:t>
      </w:r>
      <w:hyperlink r:id="rId15" w:history="1">
        <w:r w:rsidR="005F67E7" w:rsidRPr="005F67E7">
          <w:rPr>
            <w:rFonts w:ascii="Arial" w:hAnsi="Arial"/>
            <w:color w:val="0000FF"/>
            <w:sz w:val="26"/>
            <w:szCs w:val="26"/>
            <w:u w:val="single"/>
            <w:rtl/>
          </w:rPr>
          <w:t>ע"פ 6989/13</w:t>
        </w:r>
      </w:hyperlink>
      <w:r w:rsidRPr="00F5331A">
        <w:rPr>
          <w:rFonts w:ascii="Arial" w:hAnsi="Arial"/>
          <w:sz w:val="26"/>
          <w:szCs w:val="26"/>
          <w:rtl/>
        </w:rPr>
        <w:t xml:space="preserve"> </w:t>
      </w:r>
      <w:r w:rsidRPr="00F5331A">
        <w:rPr>
          <w:rFonts w:ascii="Arial" w:hAnsi="Arial" w:hint="cs"/>
          <w:b/>
          <w:bCs/>
          <w:sz w:val="26"/>
          <w:szCs w:val="26"/>
          <w:rtl/>
        </w:rPr>
        <w:t>חנא פרח נ' מדינת ישראל</w:t>
      </w:r>
      <w:r w:rsidRPr="00F5331A">
        <w:rPr>
          <w:rFonts w:ascii="Arial" w:hAnsi="Arial" w:hint="cs"/>
          <w:sz w:val="26"/>
          <w:szCs w:val="26"/>
          <w:rtl/>
        </w:rPr>
        <w:t xml:space="preserve"> (25.2.14), </w:t>
      </w:r>
      <w:hyperlink r:id="rId16" w:history="1">
        <w:r w:rsidR="005F67E7" w:rsidRPr="005F67E7">
          <w:rPr>
            <w:rFonts w:ascii="Arial" w:hAnsi="Arial"/>
            <w:color w:val="0000FF"/>
            <w:sz w:val="26"/>
            <w:szCs w:val="26"/>
            <w:u w:val="single"/>
            <w:rtl/>
          </w:rPr>
          <w:t>ע"פ 4954/13</w:t>
        </w:r>
      </w:hyperlink>
      <w:r w:rsidRPr="00F5331A">
        <w:rPr>
          <w:rFonts w:ascii="Arial" w:hAnsi="Arial"/>
          <w:sz w:val="26"/>
          <w:szCs w:val="26"/>
          <w:rtl/>
        </w:rPr>
        <w:t xml:space="preserve"> </w:t>
      </w:r>
      <w:r w:rsidRPr="00F5331A">
        <w:rPr>
          <w:rFonts w:ascii="Arial" w:hAnsi="Arial" w:hint="cs"/>
          <w:b/>
          <w:bCs/>
          <w:sz w:val="26"/>
          <w:szCs w:val="26"/>
          <w:rtl/>
        </w:rPr>
        <w:t>מדינת ישראל נ' עבד אלכרים סלימאן</w:t>
      </w:r>
      <w:r w:rsidRPr="00F5331A">
        <w:rPr>
          <w:rFonts w:ascii="Arial" w:hAnsi="Arial"/>
          <w:sz w:val="26"/>
          <w:szCs w:val="26"/>
        </w:rPr>
        <w:t xml:space="preserve"> </w:t>
      </w:r>
      <w:r w:rsidRPr="00F5331A">
        <w:rPr>
          <w:rFonts w:ascii="Arial" w:hAnsi="Arial"/>
          <w:sz w:val="26"/>
          <w:szCs w:val="26"/>
          <w:rtl/>
        </w:rPr>
        <w:t xml:space="preserve">(19.1.14), </w:t>
      </w:r>
      <w:hyperlink r:id="rId17" w:history="1">
        <w:r w:rsidR="005F67E7" w:rsidRPr="005F67E7">
          <w:rPr>
            <w:rFonts w:ascii="Arial" w:hAnsi="Arial"/>
            <w:color w:val="0000FF"/>
            <w:sz w:val="26"/>
            <w:szCs w:val="26"/>
            <w:u w:val="single"/>
            <w:rtl/>
          </w:rPr>
          <w:t>ע"פ 4406/19</w:t>
        </w:r>
      </w:hyperlink>
      <w:r w:rsidRPr="00F5331A">
        <w:rPr>
          <w:rFonts w:ascii="Arial" w:hAnsi="Arial"/>
          <w:sz w:val="26"/>
          <w:szCs w:val="26"/>
          <w:rtl/>
        </w:rPr>
        <w:t xml:space="preserve"> </w:t>
      </w:r>
      <w:r w:rsidRPr="00F5331A">
        <w:rPr>
          <w:rFonts w:ascii="Arial" w:hAnsi="Arial" w:hint="cs"/>
          <w:b/>
          <w:bCs/>
          <w:sz w:val="26"/>
          <w:szCs w:val="26"/>
          <w:rtl/>
        </w:rPr>
        <w:t>מדינת ישראל נ' יונס סובח</w:t>
      </w:r>
      <w:r w:rsidRPr="00F5331A">
        <w:rPr>
          <w:rFonts w:ascii="Arial" w:hAnsi="Arial" w:hint="cs"/>
          <w:sz w:val="26"/>
          <w:szCs w:val="26"/>
          <w:rtl/>
        </w:rPr>
        <w:t xml:space="preserve"> (5.11.19)  ועוד. </w:t>
      </w:r>
    </w:p>
    <w:p w14:paraId="27543EF6" w14:textId="77777777" w:rsidR="00A60B38" w:rsidRDefault="00A60B38" w:rsidP="00A60B38">
      <w:pPr>
        <w:spacing w:after="240" w:line="360" w:lineRule="auto"/>
        <w:jc w:val="both"/>
        <w:rPr>
          <w:rFonts w:ascii="Arial" w:hAnsi="Arial"/>
          <w:sz w:val="26"/>
          <w:szCs w:val="26"/>
        </w:rPr>
      </w:pPr>
      <w:r>
        <w:rPr>
          <w:rFonts w:ascii="Arial" w:hAnsi="Arial" w:hint="cs"/>
          <w:sz w:val="26"/>
          <w:szCs w:val="26"/>
          <w:rtl/>
        </w:rPr>
        <w:t>6.</w:t>
      </w:r>
      <w:r w:rsidRPr="00F5331A">
        <w:rPr>
          <w:rFonts w:ascii="Arial" w:hAnsi="Arial"/>
          <w:sz w:val="26"/>
          <w:szCs w:val="26"/>
          <w:rtl/>
        </w:rPr>
        <w:t>.</w:t>
      </w:r>
      <w:r w:rsidRPr="00F5331A">
        <w:rPr>
          <w:rFonts w:ascii="Arial" w:hAnsi="Arial"/>
          <w:sz w:val="26"/>
          <w:szCs w:val="26"/>
          <w:rtl/>
        </w:rPr>
        <w:tab/>
        <w:t>לאחרונה נפסק ב</w:t>
      </w:r>
      <w:hyperlink r:id="rId18" w:history="1">
        <w:r w:rsidR="005F67E7" w:rsidRPr="005F67E7">
          <w:rPr>
            <w:rFonts w:ascii="Arial" w:hAnsi="Arial"/>
            <w:color w:val="0000FF"/>
            <w:sz w:val="26"/>
            <w:szCs w:val="26"/>
            <w:u w:val="single"/>
            <w:rtl/>
          </w:rPr>
          <w:t>ע"פ 6068/21</w:t>
        </w:r>
      </w:hyperlink>
      <w:r w:rsidRPr="00F5331A">
        <w:rPr>
          <w:rFonts w:ascii="Arial" w:hAnsi="Arial"/>
          <w:sz w:val="26"/>
          <w:szCs w:val="26"/>
          <w:rtl/>
        </w:rPr>
        <w:t xml:space="preserve"> </w:t>
      </w:r>
      <w:r w:rsidRPr="00F5331A">
        <w:rPr>
          <w:rFonts w:ascii="Arial" w:hAnsi="Arial" w:hint="cs"/>
          <w:b/>
          <w:bCs/>
          <w:sz w:val="26"/>
          <w:szCs w:val="26"/>
          <w:rtl/>
        </w:rPr>
        <w:t>מדינת ישראל נ' אברהים פקיה</w:t>
      </w:r>
      <w:r>
        <w:rPr>
          <w:rFonts w:ascii="Arial" w:hAnsi="Arial" w:hint="cs"/>
          <w:sz w:val="26"/>
          <w:szCs w:val="26"/>
          <w:rtl/>
        </w:rPr>
        <w:t xml:space="preserve"> (19.12.21) (להלן: עניין</w:t>
      </w:r>
      <w:r>
        <w:rPr>
          <w:rFonts w:ascii="Arial" w:hAnsi="Arial" w:hint="cs"/>
          <w:b/>
          <w:bCs/>
          <w:sz w:val="26"/>
          <w:szCs w:val="26"/>
          <w:rtl/>
        </w:rPr>
        <w:t xml:space="preserve"> פקיה</w:t>
      </w:r>
      <w:r>
        <w:rPr>
          <w:rFonts w:ascii="Arial" w:hAnsi="Arial" w:hint="cs"/>
          <w:sz w:val="26"/>
          <w:szCs w:val="26"/>
          <w:rtl/>
        </w:rPr>
        <w:t>):</w:t>
      </w:r>
    </w:p>
    <w:p w14:paraId="66002A9F" w14:textId="77777777" w:rsidR="00A60B38" w:rsidRDefault="00A60B38" w:rsidP="00A60B38">
      <w:pPr>
        <w:spacing w:after="240" w:line="360" w:lineRule="auto"/>
        <w:ind w:left="1134" w:right="1134"/>
        <w:jc w:val="both"/>
        <w:rPr>
          <w:rFonts w:ascii="Arial" w:hAnsi="Arial"/>
          <w:b/>
          <w:bCs/>
          <w:sz w:val="26"/>
          <w:szCs w:val="26"/>
        </w:rPr>
      </w:pPr>
      <w:r>
        <w:rPr>
          <w:rFonts w:ascii="Arial" w:hAnsi="Arial"/>
          <w:sz w:val="26"/>
          <w:szCs w:val="26"/>
          <w:rtl/>
        </w:rPr>
        <w:t>"</w:t>
      </w:r>
      <w:r>
        <w:rPr>
          <w:rFonts w:ascii="Arial" w:hAnsi="Arial"/>
          <w:b/>
          <w:bCs/>
          <w:sz w:val="26"/>
          <w:szCs w:val="26"/>
          <w:rtl/>
        </w:rPr>
        <w:t xml:space="preserve">יש להדגיש את החומרה היתירה שנודעה לביצוע עבירות נשק, על כל סוגיהן ומיניהן. במסגרת פסק </w:t>
      </w:r>
      <w:r w:rsidRPr="00F5331A">
        <w:rPr>
          <w:rFonts w:ascii="Arial" w:hAnsi="Arial"/>
          <w:b/>
          <w:bCs/>
          <w:sz w:val="26"/>
          <w:szCs w:val="26"/>
          <w:rtl/>
        </w:rPr>
        <w:t>הדין ב</w:t>
      </w:r>
      <w:hyperlink r:id="rId19" w:history="1">
        <w:r w:rsidR="005F67E7" w:rsidRPr="005F67E7">
          <w:rPr>
            <w:rFonts w:ascii="Arial" w:hAnsi="Arial"/>
            <w:b/>
            <w:bCs/>
            <w:color w:val="0000FF"/>
            <w:sz w:val="26"/>
            <w:szCs w:val="26"/>
            <w:u w:val="single"/>
            <w:rtl/>
          </w:rPr>
          <w:t>ע"פ 4595/13</w:t>
        </w:r>
      </w:hyperlink>
      <w:r w:rsidRPr="00F5331A">
        <w:rPr>
          <w:rFonts w:ascii="Arial" w:hAnsi="Arial"/>
          <w:b/>
          <w:bCs/>
          <w:sz w:val="26"/>
          <w:szCs w:val="26"/>
          <w:rtl/>
        </w:rPr>
        <w:t xml:space="preserve"> זובידאת נ' מדינת ישראל (6.7.2014)  בית המשפט קרא למחוקק לשקול את החמרת הענישה בעבירות נשק. בהמשך לכך, בשנת 2018 תיקן המחוקק את סעיף 340א ל</w:t>
      </w:r>
      <w:hyperlink r:id="rId20" w:history="1">
        <w:r w:rsidR="005F67E7" w:rsidRPr="005F67E7">
          <w:rPr>
            <w:rFonts w:ascii="Arial" w:hAnsi="Arial"/>
            <w:b/>
            <w:bCs/>
            <w:color w:val="0000FF"/>
            <w:sz w:val="26"/>
            <w:szCs w:val="26"/>
            <w:u w:val="single"/>
            <w:rtl/>
          </w:rPr>
          <w:t>חוק העונשין</w:t>
        </w:r>
      </w:hyperlink>
      <w:r w:rsidRPr="00F5331A">
        <w:rPr>
          <w:rFonts w:ascii="Arial" w:hAnsi="Arial"/>
          <w:b/>
          <w:bCs/>
          <w:sz w:val="26"/>
          <w:szCs w:val="26"/>
          <w:rtl/>
        </w:rPr>
        <w:t xml:space="preserve"> והחמיר את העונש הקבוע בצידה של עבירת ירי מנשק חם (ראו: הצעת </w:t>
      </w:r>
      <w:r>
        <w:rPr>
          <w:rFonts w:ascii="Arial" w:hAnsi="Arial"/>
          <w:b/>
          <w:bCs/>
          <w:sz w:val="26"/>
          <w:szCs w:val="26"/>
          <w:rtl/>
        </w:rPr>
        <w:t>חוק העונשין (תיקון מס' 132) (ירי מנשק חם), התשע"ח-2018, ה"ח 1223). זאת, כצעד נוסף למלחמה בתופעת השימוש בנשק ופוטנציאל הנזק הכרוך בכך.</w:t>
      </w:r>
    </w:p>
    <w:p w14:paraId="2F700C00" w14:textId="77777777" w:rsidR="00A60B38" w:rsidRPr="00F5331A" w:rsidRDefault="00A60B38" w:rsidP="00A60B38">
      <w:pPr>
        <w:spacing w:after="240" w:line="360" w:lineRule="auto"/>
        <w:ind w:left="1134" w:right="1134"/>
        <w:jc w:val="both"/>
        <w:rPr>
          <w:rFonts w:ascii="Arial" w:hAnsi="Arial"/>
          <w:b/>
          <w:bCs/>
          <w:sz w:val="26"/>
          <w:szCs w:val="26"/>
          <w:rtl/>
        </w:rPr>
      </w:pPr>
      <w:r>
        <w:rPr>
          <w:rFonts w:ascii="Arial" w:hAnsi="Arial"/>
          <w:b/>
          <w:bCs/>
          <w:sz w:val="26"/>
          <w:szCs w:val="26"/>
          <w:rtl/>
        </w:rPr>
        <w:t xml:space="preserve">בהמשך לתיקון זה, בית משפט זה הדגיש בפסיקתו פעם אחר פעם, כי עבירות הנשק הפכו לחזון נפרץ, המביא לעיתים מזומנות לפגיעה בחיי חפים מפשע. בהתאם לכך, בית משפט זה שב וקבע כי החמרת הענישה בגין עבירות אלו היא אינטרס ציבורי מהמעלה </w:t>
      </w:r>
      <w:r w:rsidRPr="00F5331A">
        <w:rPr>
          <w:rFonts w:ascii="Arial" w:hAnsi="Arial"/>
          <w:b/>
          <w:bCs/>
          <w:sz w:val="26"/>
          <w:szCs w:val="26"/>
          <w:rtl/>
        </w:rPr>
        <w:t xml:space="preserve">הראשונה ותנאי הכרחי להרתעת הציבור מפני ביצוען (ראו מיני רבים: </w:t>
      </w:r>
      <w:hyperlink r:id="rId21" w:history="1">
        <w:r w:rsidR="005F67E7" w:rsidRPr="005F67E7">
          <w:rPr>
            <w:rFonts w:ascii="Arial" w:hAnsi="Arial"/>
            <w:b/>
            <w:bCs/>
            <w:color w:val="0000FF"/>
            <w:sz w:val="26"/>
            <w:szCs w:val="26"/>
            <w:u w:val="single"/>
            <w:rtl/>
          </w:rPr>
          <w:t>ע"פ 4406/19</w:t>
        </w:r>
      </w:hyperlink>
      <w:r w:rsidRPr="00F5331A">
        <w:rPr>
          <w:rFonts w:ascii="Arial" w:hAnsi="Arial"/>
          <w:b/>
          <w:bCs/>
          <w:sz w:val="26"/>
          <w:szCs w:val="26"/>
          <w:rtl/>
        </w:rPr>
        <w:t xml:space="preserve"> מדינת ישראל נ' סובח, פסקאות 16–17 לחוות </w:t>
      </w:r>
      <w:r>
        <w:rPr>
          <w:rFonts w:ascii="Arial" w:hAnsi="Arial"/>
          <w:b/>
          <w:bCs/>
          <w:sz w:val="26"/>
          <w:szCs w:val="26"/>
          <w:rtl/>
        </w:rPr>
        <w:t>דעתי (5.11.2019</w:t>
      </w:r>
      <w:r w:rsidRPr="00F5331A">
        <w:rPr>
          <w:rFonts w:ascii="Arial" w:hAnsi="Arial"/>
          <w:b/>
          <w:bCs/>
          <w:sz w:val="26"/>
          <w:szCs w:val="26"/>
          <w:rtl/>
        </w:rPr>
        <w:t xml:space="preserve">); </w:t>
      </w:r>
      <w:hyperlink r:id="rId22" w:history="1">
        <w:r w:rsidR="005F67E7" w:rsidRPr="005F67E7">
          <w:rPr>
            <w:rFonts w:ascii="Arial" w:hAnsi="Arial"/>
            <w:b/>
            <w:bCs/>
            <w:color w:val="0000FF"/>
            <w:sz w:val="26"/>
            <w:szCs w:val="26"/>
            <w:u w:val="single"/>
            <w:rtl/>
          </w:rPr>
          <w:t>רע"פ 7344/18</w:t>
        </w:r>
      </w:hyperlink>
      <w:r w:rsidRPr="00F5331A">
        <w:rPr>
          <w:rFonts w:ascii="Arial" w:hAnsi="Arial"/>
          <w:b/>
          <w:bCs/>
          <w:sz w:val="26"/>
          <w:szCs w:val="26"/>
          <w:rtl/>
        </w:rPr>
        <w:t xml:space="preserve"> מג'יד נ' מדינת ישראל, פסקה 10 (21.10.2018))".</w:t>
      </w:r>
    </w:p>
    <w:p w14:paraId="78892799" w14:textId="77777777" w:rsidR="00A60B38" w:rsidRDefault="00A60B38" w:rsidP="00A60B38">
      <w:pPr>
        <w:spacing w:after="240" w:line="360" w:lineRule="auto"/>
        <w:jc w:val="both"/>
        <w:rPr>
          <w:rFonts w:ascii="Arial" w:hAnsi="Arial"/>
          <w:sz w:val="26"/>
          <w:szCs w:val="26"/>
          <w:rtl/>
        </w:rPr>
      </w:pPr>
      <w:r>
        <w:rPr>
          <w:rFonts w:ascii="Arial" w:hAnsi="Arial" w:hint="cs"/>
          <w:sz w:val="26"/>
          <w:szCs w:val="26"/>
          <w:rtl/>
        </w:rPr>
        <w:t>7.</w:t>
      </w:r>
      <w:r>
        <w:rPr>
          <w:rFonts w:ascii="Arial" w:hAnsi="Arial"/>
          <w:sz w:val="26"/>
          <w:szCs w:val="26"/>
          <w:rtl/>
        </w:rPr>
        <w:tab/>
        <w:t>גישה דומה עולה גם מהפסיקה הנוהגת, המחמירה והולכת בנוגע לעבירות נשק. ב"כ הצדדים הפנו למספר פסקי דין. אסקור עתה חלק מפסקי הדין שהוזכרו על ידם ופסקי דין נוספים.</w:t>
      </w:r>
    </w:p>
    <w:p w14:paraId="40C12359" w14:textId="77777777" w:rsidR="00A60B38" w:rsidRDefault="005F67E7" w:rsidP="00A60B38">
      <w:pPr>
        <w:spacing w:after="240" w:line="360" w:lineRule="auto"/>
        <w:ind w:firstLine="720"/>
        <w:jc w:val="both"/>
        <w:rPr>
          <w:rFonts w:ascii="David" w:hAnsi="David"/>
          <w:sz w:val="26"/>
          <w:szCs w:val="26"/>
          <w:rtl/>
        </w:rPr>
      </w:pPr>
      <w:hyperlink r:id="rId23" w:history="1">
        <w:r w:rsidRPr="005F67E7">
          <w:rPr>
            <w:rFonts w:ascii="Arial" w:hAnsi="Arial"/>
            <w:color w:val="0000FF"/>
            <w:sz w:val="26"/>
            <w:szCs w:val="26"/>
            <w:u w:val="single"/>
            <w:rtl/>
          </w:rPr>
          <w:t>ע"פ 8320/21</w:t>
        </w:r>
      </w:hyperlink>
      <w:r w:rsidR="00A60B38">
        <w:rPr>
          <w:rFonts w:ascii="Arial" w:hAnsi="Arial"/>
          <w:sz w:val="26"/>
          <w:szCs w:val="26"/>
          <w:rtl/>
        </w:rPr>
        <w:t xml:space="preserve"> </w:t>
      </w:r>
      <w:r w:rsidR="00A60B38">
        <w:rPr>
          <w:rFonts w:ascii="Arial" w:hAnsi="Arial"/>
          <w:b/>
          <w:bCs/>
          <w:sz w:val="26"/>
          <w:szCs w:val="26"/>
          <w:rtl/>
        </w:rPr>
        <w:t>מדינת ישראל נ' מחמד בסילה</w:t>
      </w:r>
      <w:r w:rsidR="00A60B38">
        <w:rPr>
          <w:rFonts w:ascii="Arial" w:hAnsi="Arial"/>
          <w:sz w:val="26"/>
          <w:szCs w:val="26"/>
          <w:rtl/>
        </w:rPr>
        <w:t xml:space="preserve"> (28.12.21)</w:t>
      </w:r>
      <w:r w:rsidR="00A60B38">
        <w:rPr>
          <w:rFonts w:ascii="David" w:hAnsi="David"/>
          <w:sz w:val="26"/>
          <w:szCs w:val="26"/>
          <w:rtl/>
        </w:rPr>
        <w:t xml:space="preserve"> – המשיב הוביל והחזיק בביתו נשק דמוי רובה סער </w:t>
      </w:r>
      <w:r w:rsidR="00A60B38">
        <w:rPr>
          <w:rFonts w:ascii="David" w:hAnsi="David"/>
          <w:sz w:val="26"/>
          <w:szCs w:val="26"/>
        </w:rPr>
        <w:t>M</w:t>
      </w:r>
      <w:r w:rsidR="00A60B38">
        <w:rPr>
          <w:rFonts w:ascii="David" w:hAnsi="David"/>
          <w:sz w:val="26"/>
          <w:szCs w:val="26"/>
          <w:rtl/>
        </w:rPr>
        <w:t xml:space="preserve">-16 וחלקי נשק נוספים, החזיקם בביתו 3 שבועות, פירק וניקה את הנשק. על אף נסיבות מקלות, קיום אורח חיים נורמטיבי והעובדה שמדובר בנשק שהנאשם מצא ולא יזם את החזקתו, ללא עבירות נלוות לעבירות הנשק, בית המשפט קיבל ערעור על קולת העונש והעמיד את עונשו של הנאשם על 14 חודשי מאסר בפועל במקום 7 חודשים. </w:t>
      </w:r>
    </w:p>
    <w:p w14:paraId="4C75F675" w14:textId="77777777" w:rsidR="00A60B38" w:rsidRDefault="005F67E7" w:rsidP="00A60B38">
      <w:pPr>
        <w:spacing w:after="240" w:line="360" w:lineRule="auto"/>
        <w:ind w:firstLine="720"/>
        <w:jc w:val="both"/>
        <w:rPr>
          <w:rFonts w:ascii="David" w:hAnsi="David"/>
          <w:sz w:val="26"/>
          <w:szCs w:val="26"/>
          <w:rtl/>
        </w:rPr>
      </w:pPr>
      <w:hyperlink r:id="rId24" w:history="1">
        <w:r w:rsidRPr="005F67E7">
          <w:rPr>
            <w:rFonts w:ascii="David" w:hAnsi="David"/>
            <w:color w:val="0000FF"/>
            <w:sz w:val="26"/>
            <w:szCs w:val="26"/>
            <w:u w:val="single"/>
            <w:rtl/>
          </w:rPr>
          <w:t>ע"פ 4345/18</w:t>
        </w:r>
      </w:hyperlink>
      <w:r w:rsidR="00A60B38">
        <w:rPr>
          <w:rFonts w:ascii="David" w:hAnsi="David" w:hint="cs"/>
          <w:sz w:val="26"/>
          <w:szCs w:val="26"/>
          <w:rtl/>
        </w:rPr>
        <w:t xml:space="preserve"> </w:t>
      </w:r>
      <w:r w:rsidR="00A60B38" w:rsidRPr="00F5331A">
        <w:rPr>
          <w:rFonts w:ascii="David" w:hAnsi="David" w:hint="cs"/>
          <w:b/>
          <w:bCs/>
          <w:sz w:val="26"/>
          <w:szCs w:val="26"/>
          <w:rtl/>
        </w:rPr>
        <w:t>חמודא אבו עמאר נ' מדינת ישראל</w:t>
      </w:r>
      <w:r w:rsidR="00A60B38">
        <w:rPr>
          <w:rFonts w:ascii="David" w:hAnsi="David" w:hint="cs"/>
          <w:sz w:val="26"/>
          <w:szCs w:val="26"/>
          <w:rtl/>
        </w:rPr>
        <w:t xml:space="preserve"> (29.11.18) </w:t>
      </w:r>
      <w:r w:rsidR="00A60B38">
        <w:rPr>
          <w:rFonts w:ascii="David" w:hAnsi="David"/>
          <w:sz w:val="26"/>
          <w:szCs w:val="26"/>
          <w:rtl/>
        </w:rPr>
        <w:t>–</w:t>
      </w:r>
      <w:r w:rsidR="00A60B38">
        <w:rPr>
          <w:rFonts w:ascii="David" w:hAnsi="David" w:hint="cs"/>
          <w:sz w:val="26"/>
          <w:szCs w:val="26"/>
          <w:rtl/>
        </w:rPr>
        <w:t xml:space="preserve"> המערער הורשע בנשיאת נשק ותחמושת </w:t>
      </w:r>
      <w:r w:rsidR="00A60B38">
        <w:rPr>
          <w:rFonts w:ascii="David" w:hAnsi="David"/>
          <w:sz w:val="26"/>
          <w:szCs w:val="26"/>
          <w:rtl/>
        </w:rPr>
        <w:t>–</w:t>
      </w:r>
      <w:r w:rsidR="00A60B38">
        <w:rPr>
          <w:rFonts w:ascii="David" w:hAnsi="David" w:hint="cs"/>
          <w:sz w:val="26"/>
          <w:szCs w:val="26"/>
          <w:rtl/>
        </w:rPr>
        <w:t xml:space="preserve"> נשק מאולתר מסוג קארל גוסטב ומחסנית כדורים שהוחזקו ברכבו, וכן בנהיגה בקלות ראש. בגין שתי העבירות נקבע מתחם בין 20-48 חודשי מאסר, והמערער נדון ל-20 חודשי מאסר ועונשים נלווים. בערעור הוחלט להקל בעונשו, אף תוך חריגה מסויימת לקולא מהמתחם, בשל ההליך הטיפולי שעבר וסיכויי השיקום. עונשו של המערער הועמד על 17 חודשי מאסר בפועל. </w:t>
      </w:r>
    </w:p>
    <w:p w14:paraId="647CBA46" w14:textId="77777777" w:rsidR="00A60B38" w:rsidRPr="00AD79FF" w:rsidRDefault="005F67E7" w:rsidP="00A60B38">
      <w:pPr>
        <w:spacing w:after="240" w:line="360" w:lineRule="auto"/>
        <w:ind w:firstLine="720"/>
        <w:jc w:val="both"/>
        <w:rPr>
          <w:rFonts w:ascii="David" w:hAnsi="David"/>
          <w:sz w:val="26"/>
          <w:szCs w:val="26"/>
          <w:rtl/>
        </w:rPr>
      </w:pPr>
      <w:hyperlink r:id="rId25" w:history="1">
        <w:r w:rsidRPr="005F67E7">
          <w:rPr>
            <w:rFonts w:ascii="David" w:hAnsi="David"/>
            <w:color w:val="0000FF"/>
            <w:sz w:val="26"/>
            <w:szCs w:val="26"/>
            <w:u w:val="single"/>
            <w:rtl/>
          </w:rPr>
          <w:t>ע"פ 135/17</w:t>
        </w:r>
      </w:hyperlink>
      <w:r w:rsidR="00A60B38">
        <w:rPr>
          <w:rFonts w:ascii="David" w:hAnsi="David" w:hint="cs"/>
          <w:sz w:val="26"/>
          <w:szCs w:val="26"/>
          <w:rtl/>
        </w:rPr>
        <w:t xml:space="preserve"> </w:t>
      </w:r>
      <w:r w:rsidR="00A60B38">
        <w:rPr>
          <w:rFonts w:ascii="David" w:hAnsi="David" w:hint="cs"/>
          <w:b/>
          <w:bCs/>
          <w:sz w:val="26"/>
          <w:szCs w:val="26"/>
          <w:rtl/>
        </w:rPr>
        <w:t>מדינת ישראל נ' סמיר בסל</w:t>
      </w:r>
      <w:r w:rsidR="00A60B38">
        <w:rPr>
          <w:rFonts w:ascii="David" w:hAnsi="David" w:hint="cs"/>
          <w:sz w:val="26"/>
          <w:szCs w:val="26"/>
          <w:rtl/>
        </w:rPr>
        <w:t xml:space="preserve"> (8.3.17) </w:t>
      </w:r>
      <w:r w:rsidR="00A60B38">
        <w:rPr>
          <w:rFonts w:ascii="David" w:hAnsi="David"/>
          <w:sz w:val="26"/>
          <w:szCs w:val="26"/>
          <w:rtl/>
        </w:rPr>
        <w:t>–</w:t>
      </w:r>
      <w:r w:rsidR="00A60B38">
        <w:rPr>
          <w:rFonts w:ascii="David" w:hAnsi="David" w:hint="cs"/>
          <w:sz w:val="26"/>
          <w:szCs w:val="26"/>
          <w:rtl/>
        </w:rPr>
        <w:t xml:space="preserve"> המשיב הורשע בהחזקת ונשיאת נשק, תמ"ק מאולתר ומחסנית, אותם החזיק והחביא עבור קרוב משפחה שרכש אותם. לבקשת אותו קרוב מסר המשיב את הנשק לקרוב משפחה אחר. בית המשפט החמיר בעונשו של המשיב מ-12 ל-18 חודשי מאסר בפועל, לנוכח ההחמרה בענישה על עבירות הנשק והעובדה שהוציא את הנשק מרשותו בלי דעת למה ישמש. </w:t>
      </w:r>
    </w:p>
    <w:p w14:paraId="2002EC1E" w14:textId="77777777" w:rsidR="00A60B38" w:rsidRDefault="00A60B38" w:rsidP="00A60B38">
      <w:pPr>
        <w:spacing w:after="240" w:line="360" w:lineRule="auto"/>
        <w:ind w:firstLine="720"/>
        <w:jc w:val="both"/>
        <w:rPr>
          <w:rFonts w:ascii="David" w:hAnsi="David"/>
          <w:sz w:val="26"/>
          <w:szCs w:val="26"/>
          <w:rtl/>
        </w:rPr>
      </w:pPr>
      <w:r>
        <w:rPr>
          <w:rFonts w:ascii="David" w:hAnsi="David"/>
          <w:sz w:val="26"/>
          <w:szCs w:val="26"/>
          <w:rtl/>
        </w:rPr>
        <w:t>בעניין</w:t>
      </w:r>
      <w:r>
        <w:rPr>
          <w:rFonts w:ascii="David" w:hAnsi="David"/>
          <w:b/>
          <w:bCs/>
          <w:sz w:val="26"/>
          <w:szCs w:val="26"/>
          <w:rtl/>
        </w:rPr>
        <w:t xml:space="preserve"> פקיה</w:t>
      </w:r>
      <w:r>
        <w:rPr>
          <w:rFonts w:ascii="David" w:hAnsi="David"/>
          <w:sz w:val="26"/>
          <w:szCs w:val="26"/>
          <w:rtl/>
        </w:rPr>
        <w:t xml:space="preserve"> הנ"ל – המשיב הורשע בנשיאת נשק וירי במקום מגורים, בסמוך לחתונה. לחובתו עבר פלילי מכביד. נקבע מתחם בין 14-36 חודשי מאסר. עונשו של המשיב הוחמר מ-14 חודשי מאסר בפועל ל-25 חודשים ועונשים נלווים. </w:t>
      </w:r>
    </w:p>
    <w:p w14:paraId="2B2908D3" w14:textId="77777777" w:rsidR="00A60B38" w:rsidRDefault="005F67E7" w:rsidP="00A60B38">
      <w:pPr>
        <w:spacing w:after="240" w:line="360" w:lineRule="auto"/>
        <w:ind w:firstLine="720"/>
        <w:jc w:val="both"/>
        <w:rPr>
          <w:rFonts w:ascii="David" w:hAnsi="David"/>
          <w:sz w:val="26"/>
          <w:szCs w:val="26"/>
          <w:rtl/>
        </w:rPr>
      </w:pPr>
      <w:hyperlink r:id="rId26" w:history="1">
        <w:r w:rsidRPr="005F67E7">
          <w:rPr>
            <w:rFonts w:ascii="David" w:hAnsi="David"/>
            <w:color w:val="0000FF"/>
            <w:sz w:val="26"/>
            <w:szCs w:val="26"/>
            <w:u w:val="single"/>
            <w:rtl/>
          </w:rPr>
          <w:t>ת"פ (ב"ש) 56762-03-21</w:t>
        </w:r>
      </w:hyperlink>
      <w:r w:rsidR="00A60B38">
        <w:rPr>
          <w:rFonts w:ascii="David" w:hAnsi="David"/>
          <w:sz w:val="26"/>
          <w:szCs w:val="26"/>
          <w:rtl/>
        </w:rPr>
        <w:t xml:space="preserve"> </w:t>
      </w:r>
      <w:r w:rsidR="00A60B38">
        <w:rPr>
          <w:rFonts w:ascii="David" w:hAnsi="David"/>
          <w:b/>
          <w:bCs/>
          <w:sz w:val="26"/>
          <w:szCs w:val="26"/>
          <w:rtl/>
        </w:rPr>
        <w:t>מדינת ישראל נ' רפעת קאצאעי</w:t>
      </w:r>
      <w:r w:rsidR="00A60B38">
        <w:rPr>
          <w:rFonts w:ascii="David" w:hAnsi="David"/>
          <w:sz w:val="26"/>
          <w:szCs w:val="26"/>
          <w:rtl/>
        </w:rPr>
        <w:t xml:space="preserve"> (10.11.21) – הנאשם החזיק ברכב רובה סער מסוג קלצ'ניקוב ומחסנית תואמת. נקבע מתחם בין 20-30 חודשי מאסר בפועל, הנאשם נדון ל-22 חודשי מאסר בפועל, מאסר על תנאי, קנס ופסילת רשיון.</w:t>
      </w:r>
    </w:p>
    <w:p w14:paraId="60445CE5" w14:textId="77777777" w:rsidR="00A60B38" w:rsidRDefault="005F67E7" w:rsidP="00A60B38">
      <w:pPr>
        <w:spacing w:after="240" w:line="360" w:lineRule="auto"/>
        <w:ind w:firstLine="720"/>
        <w:jc w:val="both"/>
        <w:rPr>
          <w:rFonts w:ascii="David" w:hAnsi="David"/>
          <w:sz w:val="26"/>
          <w:szCs w:val="26"/>
          <w:rtl/>
        </w:rPr>
      </w:pPr>
      <w:hyperlink r:id="rId27" w:history="1">
        <w:r w:rsidRPr="005F67E7">
          <w:rPr>
            <w:rFonts w:ascii="David" w:hAnsi="David"/>
            <w:color w:val="0000FF"/>
            <w:sz w:val="26"/>
            <w:szCs w:val="26"/>
            <w:u w:val="single"/>
            <w:rtl/>
          </w:rPr>
          <w:t>ת"פ (י-ם) 66542-05-20</w:t>
        </w:r>
      </w:hyperlink>
      <w:r w:rsidR="00A60B38">
        <w:rPr>
          <w:rFonts w:ascii="David" w:hAnsi="David"/>
          <w:sz w:val="26"/>
          <w:szCs w:val="26"/>
          <w:rtl/>
        </w:rPr>
        <w:t xml:space="preserve"> </w:t>
      </w:r>
      <w:r w:rsidR="00A60B38">
        <w:rPr>
          <w:rFonts w:ascii="David" w:hAnsi="David"/>
          <w:b/>
          <w:bCs/>
          <w:sz w:val="26"/>
          <w:szCs w:val="26"/>
          <w:rtl/>
        </w:rPr>
        <w:t>מדינת ישראל נ' פכרי אבו נאב</w:t>
      </w:r>
      <w:r w:rsidR="00A60B38">
        <w:rPr>
          <w:rFonts w:ascii="David" w:hAnsi="David"/>
          <w:sz w:val="26"/>
          <w:szCs w:val="26"/>
          <w:rtl/>
        </w:rPr>
        <w:t xml:space="preserve"> (25.1.21) – הנאשם הורשע ברכישת נשק (אקדח) ותחמושת. במסגרת הסדר טיעון הוסכם כי הנאשם יטען שהנשק שימוש לצורך הגנה עצמית והמאשימה לא תביא ראיות לסתור זאת. נקבע מתחם בין 8-24 חודשי מאסר והנאשם נדון ל-10 חודשי מאסר בפועל ומאסר על תנאי. </w:t>
      </w:r>
    </w:p>
    <w:p w14:paraId="39AC99A7" w14:textId="77777777" w:rsidR="00A60B38" w:rsidRDefault="005F67E7" w:rsidP="00A60B38">
      <w:pPr>
        <w:spacing w:after="240" w:line="360" w:lineRule="auto"/>
        <w:ind w:firstLine="720"/>
        <w:jc w:val="both"/>
        <w:rPr>
          <w:rFonts w:ascii="David" w:hAnsi="David"/>
          <w:sz w:val="26"/>
          <w:szCs w:val="26"/>
          <w:rtl/>
        </w:rPr>
      </w:pPr>
      <w:hyperlink r:id="rId28" w:history="1">
        <w:r w:rsidRPr="005F67E7">
          <w:rPr>
            <w:rFonts w:ascii="David" w:hAnsi="David"/>
            <w:color w:val="0000FF"/>
            <w:sz w:val="26"/>
            <w:szCs w:val="26"/>
            <w:u w:val="single"/>
            <w:rtl/>
          </w:rPr>
          <w:t>ת"פ (י-ם) 30340-08-20</w:t>
        </w:r>
      </w:hyperlink>
      <w:r w:rsidR="00A60B38" w:rsidRPr="00F5331A">
        <w:rPr>
          <w:rFonts w:ascii="David" w:hAnsi="David"/>
          <w:sz w:val="26"/>
          <w:szCs w:val="26"/>
          <w:rtl/>
        </w:rPr>
        <w:t xml:space="preserve"> </w:t>
      </w:r>
      <w:r w:rsidR="00A60B38" w:rsidRPr="00F5331A">
        <w:rPr>
          <w:rFonts w:ascii="David" w:hAnsi="David"/>
          <w:b/>
          <w:bCs/>
          <w:sz w:val="26"/>
          <w:szCs w:val="26"/>
          <w:rtl/>
        </w:rPr>
        <w:t>מדינת ישראל נ' עז אלדין אבו סביח</w:t>
      </w:r>
      <w:r w:rsidR="00A60B38" w:rsidRPr="00F5331A">
        <w:rPr>
          <w:rFonts w:ascii="David" w:hAnsi="David"/>
          <w:sz w:val="26"/>
          <w:szCs w:val="26"/>
          <w:rtl/>
        </w:rPr>
        <w:t xml:space="preserve"> (31.1.21) – הנאשמים הורשעו בהחזקה ונשיאה של נשק, נאשם 1 הורשע בנוסף בהחזקת תחמושת וחלקי נשק ובירי באזור מגורים. נאשם 1 נדון ל-32 חודשי מאסר בפועל ועונשים נלווים, נאשם 2 נדון ל-12 חודשי מאסר ועונשים נלווים.  </w:t>
      </w:r>
    </w:p>
    <w:p w14:paraId="2D8F7B0E" w14:textId="77777777" w:rsidR="00A60B38" w:rsidRPr="00F5331A" w:rsidRDefault="005F67E7" w:rsidP="00A60B38">
      <w:pPr>
        <w:spacing w:after="240" w:line="360" w:lineRule="auto"/>
        <w:ind w:firstLine="720"/>
        <w:jc w:val="both"/>
        <w:rPr>
          <w:rFonts w:ascii="David" w:hAnsi="David"/>
          <w:sz w:val="26"/>
          <w:szCs w:val="26"/>
          <w:rtl/>
        </w:rPr>
      </w:pPr>
      <w:hyperlink r:id="rId29" w:history="1">
        <w:r w:rsidRPr="005F67E7">
          <w:rPr>
            <w:rFonts w:ascii="David" w:hAnsi="David"/>
            <w:color w:val="0000FF"/>
            <w:sz w:val="26"/>
            <w:szCs w:val="26"/>
            <w:u w:val="single"/>
            <w:rtl/>
          </w:rPr>
          <w:t>ת"פ (י-ם) 39727-12-20</w:t>
        </w:r>
      </w:hyperlink>
      <w:r w:rsidR="00A60B38" w:rsidRPr="00F5331A">
        <w:rPr>
          <w:rFonts w:ascii="David" w:hAnsi="David" w:hint="cs"/>
          <w:sz w:val="26"/>
          <w:szCs w:val="26"/>
          <w:rtl/>
        </w:rPr>
        <w:t xml:space="preserve"> </w:t>
      </w:r>
      <w:r w:rsidR="00A60B38" w:rsidRPr="00F5331A">
        <w:rPr>
          <w:rFonts w:ascii="David" w:hAnsi="David" w:hint="cs"/>
          <w:b/>
          <w:bCs/>
          <w:sz w:val="26"/>
          <w:szCs w:val="26"/>
          <w:rtl/>
        </w:rPr>
        <w:t>מדינת ישראל נ' עומר זאהדה</w:t>
      </w:r>
      <w:r w:rsidR="00A60B38" w:rsidRPr="00F5331A">
        <w:rPr>
          <w:rFonts w:ascii="David" w:hAnsi="David" w:hint="cs"/>
          <w:sz w:val="26"/>
          <w:szCs w:val="26"/>
          <w:rtl/>
        </w:rPr>
        <w:t xml:space="preserve"> (6.1.22) – הנאשם הורשע בחבלה במזיד ברכב, החזקת נשק וירי באזור מגורים. מדובר בהחזקה לזמן קצר ביותר, כשהנאשם אינו דומיננטי, של נשק מוסב דמוי רובה סער. לעבירות הנשק נקבע מתחם בין 14-28 חודש (בנוסף למתחם נוסף לעבירת הרכוש), ונדון ל-18 חודשי מאסר על כלל העבירות. </w:t>
      </w:r>
    </w:p>
    <w:p w14:paraId="74708453" w14:textId="77777777" w:rsidR="00A60B38" w:rsidRDefault="005F67E7" w:rsidP="00A60B38">
      <w:pPr>
        <w:spacing w:after="240" w:line="360" w:lineRule="auto"/>
        <w:ind w:firstLine="720"/>
        <w:jc w:val="both"/>
        <w:rPr>
          <w:rFonts w:ascii="David" w:hAnsi="David"/>
          <w:sz w:val="26"/>
          <w:szCs w:val="26"/>
          <w:rtl/>
        </w:rPr>
      </w:pPr>
      <w:hyperlink r:id="rId30" w:history="1">
        <w:r w:rsidRPr="005F67E7">
          <w:rPr>
            <w:rFonts w:ascii="David" w:hAnsi="David"/>
            <w:color w:val="0000FF"/>
            <w:sz w:val="26"/>
            <w:szCs w:val="26"/>
            <w:u w:val="single"/>
            <w:rtl/>
          </w:rPr>
          <w:t>ת"פ (י-ם) 52515-03-20</w:t>
        </w:r>
      </w:hyperlink>
      <w:r w:rsidR="00A60B38">
        <w:rPr>
          <w:rFonts w:ascii="David" w:hAnsi="David"/>
          <w:sz w:val="26"/>
          <w:szCs w:val="26"/>
          <w:rtl/>
        </w:rPr>
        <w:t xml:space="preserve"> </w:t>
      </w:r>
      <w:r w:rsidR="00A60B38">
        <w:rPr>
          <w:rFonts w:ascii="David" w:hAnsi="David"/>
          <w:b/>
          <w:bCs/>
          <w:sz w:val="26"/>
          <w:szCs w:val="26"/>
          <w:rtl/>
        </w:rPr>
        <w:t>מדינת ישראל נ' מורשד סנדוקה</w:t>
      </w:r>
      <w:r w:rsidR="00A60B38">
        <w:rPr>
          <w:rFonts w:ascii="David" w:hAnsi="David"/>
          <w:sz w:val="26"/>
          <w:szCs w:val="26"/>
          <w:rtl/>
        </w:rPr>
        <w:t xml:space="preserve"> (24.6.20) – נאשם 3 הורשע בהחזקת נשק ונדון ל-7 חודשי מאסר בפועל ומאסרים על תנאי. </w:t>
      </w:r>
    </w:p>
    <w:p w14:paraId="1B9165DB" w14:textId="77777777" w:rsidR="00A60B38" w:rsidRPr="00F5331A" w:rsidRDefault="005F67E7" w:rsidP="00A60B38">
      <w:pPr>
        <w:spacing w:after="240" w:line="360" w:lineRule="auto"/>
        <w:ind w:firstLine="720"/>
        <w:jc w:val="both"/>
        <w:rPr>
          <w:rFonts w:ascii="David" w:hAnsi="David"/>
          <w:sz w:val="26"/>
          <w:szCs w:val="26"/>
          <w:rtl/>
        </w:rPr>
      </w:pPr>
      <w:hyperlink r:id="rId31" w:history="1">
        <w:r w:rsidRPr="005F67E7">
          <w:rPr>
            <w:rFonts w:ascii="David" w:hAnsi="David"/>
            <w:color w:val="0000FF"/>
            <w:sz w:val="26"/>
            <w:szCs w:val="26"/>
            <w:u w:val="single"/>
            <w:rtl/>
          </w:rPr>
          <w:t>ת"פ (ב"ש) 54607-07-19</w:t>
        </w:r>
      </w:hyperlink>
      <w:r w:rsidR="00A60B38" w:rsidRPr="00F5331A">
        <w:rPr>
          <w:rFonts w:ascii="David" w:hAnsi="David"/>
          <w:sz w:val="26"/>
          <w:szCs w:val="26"/>
          <w:rtl/>
        </w:rPr>
        <w:t xml:space="preserve"> </w:t>
      </w:r>
      <w:r w:rsidR="00A60B38" w:rsidRPr="00F5331A">
        <w:rPr>
          <w:rFonts w:ascii="David" w:hAnsi="David"/>
          <w:b/>
          <w:bCs/>
          <w:sz w:val="26"/>
          <w:szCs w:val="26"/>
          <w:rtl/>
        </w:rPr>
        <w:t xml:space="preserve">מדינת ישראל נ' יעקוב ג'בור </w:t>
      </w:r>
      <w:r w:rsidR="00A60B38" w:rsidRPr="00F5331A">
        <w:rPr>
          <w:rFonts w:ascii="David" w:hAnsi="David"/>
          <w:sz w:val="26"/>
          <w:szCs w:val="26"/>
          <w:rtl/>
        </w:rPr>
        <w:t>(12.1.20) – הנאשם הורשע בהחזקת נשק ואביזרי נשק ברכב. נקבע מתחם של 20-30 חודשי מאסר, על הנאשם</w:t>
      </w:r>
      <w:r w:rsidR="00A60B38" w:rsidRPr="00F5331A">
        <w:rPr>
          <w:rFonts w:ascii="David" w:hAnsi="David" w:hint="cs"/>
          <w:sz w:val="26"/>
          <w:szCs w:val="26"/>
          <w:rtl/>
        </w:rPr>
        <w:t>, בעל עבר פלילי,</w:t>
      </w:r>
      <w:r w:rsidR="00A60B38" w:rsidRPr="00F5331A">
        <w:rPr>
          <w:rFonts w:ascii="David" w:hAnsi="David"/>
          <w:sz w:val="26"/>
          <w:szCs w:val="26"/>
          <w:rtl/>
        </w:rPr>
        <w:t xml:space="preserve"> נגזרו 22 חודשי מאסר בפועל, הופעל תנאי בן 4 חודשים מחציתו בחופף ומחציתו במצטבר וכן נגזרו על הנאשם מאסר על תנאי ועונשים כספיים.  </w:t>
      </w:r>
    </w:p>
    <w:p w14:paraId="33FD4638" w14:textId="77777777" w:rsidR="00A60B38" w:rsidRDefault="005F67E7" w:rsidP="00A60B38">
      <w:pPr>
        <w:spacing w:after="240" w:line="360" w:lineRule="auto"/>
        <w:ind w:firstLine="720"/>
        <w:jc w:val="both"/>
        <w:rPr>
          <w:rFonts w:ascii="David" w:hAnsi="David"/>
          <w:sz w:val="26"/>
          <w:szCs w:val="26"/>
          <w:rtl/>
        </w:rPr>
      </w:pPr>
      <w:hyperlink r:id="rId32" w:history="1">
        <w:r w:rsidRPr="005F67E7">
          <w:rPr>
            <w:rFonts w:ascii="David" w:hAnsi="David"/>
            <w:color w:val="0000FF"/>
            <w:sz w:val="26"/>
            <w:szCs w:val="26"/>
            <w:u w:val="single"/>
            <w:rtl/>
          </w:rPr>
          <w:t>ת"פ (י-ם) 35512-06-17</w:t>
        </w:r>
      </w:hyperlink>
      <w:r w:rsidR="00A60B38">
        <w:rPr>
          <w:rFonts w:ascii="David" w:hAnsi="David"/>
          <w:sz w:val="26"/>
          <w:szCs w:val="26"/>
          <w:rtl/>
        </w:rPr>
        <w:t xml:space="preserve"> </w:t>
      </w:r>
      <w:r w:rsidR="00A60B38">
        <w:rPr>
          <w:rFonts w:ascii="David" w:hAnsi="David"/>
          <w:b/>
          <w:bCs/>
          <w:sz w:val="26"/>
          <w:szCs w:val="26"/>
          <w:rtl/>
        </w:rPr>
        <w:t>מדינת ישראל נ' אל-קעקאע בכיראת</w:t>
      </w:r>
      <w:r w:rsidR="00A60B38">
        <w:rPr>
          <w:rFonts w:ascii="David" w:hAnsi="David"/>
          <w:sz w:val="26"/>
          <w:szCs w:val="26"/>
          <w:rtl/>
        </w:rPr>
        <w:t xml:space="preserve"> (7.3.19) – נאשם 2 הורשע בשתי עבירות של החזקת נשק, האחד </w:t>
      </w:r>
      <w:r w:rsidR="00A60B38">
        <w:rPr>
          <w:rFonts w:ascii="David" w:hAnsi="David"/>
          <w:sz w:val="26"/>
          <w:szCs w:val="26"/>
        </w:rPr>
        <w:t>M</w:t>
      </w:r>
      <w:r w:rsidR="00A60B38">
        <w:rPr>
          <w:rFonts w:ascii="David" w:hAnsi="David"/>
          <w:sz w:val="26"/>
          <w:szCs w:val="26"/>
          <w:rtl/>
        </w:rPr>
        <w:t>-16 מאולתר והשני אקדח חצי אוטומטי, שהסליק מתחת לקרוואן המצוי בבית ספר. נקבע מתחם בין 12-24 חודשי מאסר בפועל, והנאשם, בעל עבר פלילי מתון, נדון ל-12 חודשי מאסר בפועל ומאסר על תנאי.</w:t>
      </w:r>
    </w:p>
    <w:p w14:paraId="167BAD03" w14:textId="77777777" w:rsidR="00A60B38" w:rsidRPr="00D636C0" w:rsidRDefault="005F67E7" w:rsidP="00A60B38">
      <w:pPr>
        <w:spacing w:after="240" w:line="360" w:lineRule="auto"/>
        <w:ind w:firstLine="720"/>
        <w:jc w:val="both"/>
        <w:rPr>
          <w:rFonts w:ascii="David" w:hAnsi="David"/>
          <w:sz w:val="26"/>
          <w:szCs w:val="26"/>
          <w:rtl/>
        </w:rPr>
      </w:pPr>
      <w:hyperlink r:id="rId33" w:history="1">
        <w:r w:rsidRPr="005F67E7">
          <w:rPr>
            <w:rFonts w:ascii="David" w:hAnsi="David"/>
            <w:color w:val="0000FF"/>
            <w:sz w:val="26"/>
            <w:szCs w:val="26"/>
            <w:u w:val="single"/>
            <w:rtl/>
          </w:rPr>
          <w:t>ת"פ (י-ם) 51523-10-17</w:t>
        </w:r>
      </w:hyperlink>
      <w:r w:rsidR="00A60B38" w:rsidRPr="00D636C0">
        <w:rPr>
          <w:rFonts w:ascii="David" w:hAnsi="David"/>
          <w:sz w:val="26"/>
          <w:szCs w:val="26"/>
          <w:rtl/>
        </w:rPr>
        <w:t xml:space="preserve"> </w:t>
      </w:r>
      <w:r w:rsidR="00A60B38" w:rsidRPr="00811B2D">
        <w:rPr>
          <w:rFonts w:ascii="David" w:hAnsi="David" w:hint="cs"/>
          <w:b/>
          <w:bCs/>
          <w:sz w:val="26"/>
          <w:szCs w:val="26"/>
          <w:rtl/>
        </w:rPr>
        <w:t>מדינת ישראל נ' איאד בלזמית</w:t>
      </w:r>
      <w:r w:rsidR="00A60B38">
        <w:rPr>
          <w:rFonts w:ascii="David" w:hAnsi="David" w:hint="cs"/>
          <w:sz w:val="26"/>
          <w:szCs w:val="26"/>
          <w:rtl/>
        </w:rPr>
        <w:t xml:space="preserve"> (2.5.18) </w:t>
      </w:r>
      <w:r w:rsidR="00A60B38">
        <w:rPr>
          <w:rFonts w:ascii="David" w:hAnsi="David"/>
          <w:sz w:val="26"/>
          <w:szCs w:val="26"/>
          <w:rtl/>
        </w:rPr>
        <w:t>–</w:t>
      </w:r>
      <w:r w:rsidR="00A60B38">
        <w:rPr>
          <w:rFonts w:ascii="David" w:hAnsi="David" w:hint="cs"/>
          <w:sz w:val="26"/>
          <w:szCs w:val="26"/>
          <w:rtl/>
        </w:rPr>
        <w:t xml:space="preserve"> הנאשם הורשע בנשיאה והובלה של נשק ואביזרי נשק, כאשר רכש תמ"ק מסוג סקורפיון וכדורים תואמים בחברון, והסיע אותם ברכבו לירושלים. נקבע </w:t>
      </w:r>
      <w:r w:rsidR="00A60B38" w:rsidRPr="00D636C0">
        <w:rPr>
          <w:rFonts w:ascii="David" w:hAnsi="David"/>
          <w:sz w:val="26"/>
          <w:szCs w:val="26"/>
          <w:rtl/>
        </w:rPr>
        <w:t>מת</w:t>
      </w:r>
      <w:r w:rsidR="00A60B38" w:rsidRPr="00D636C0">
        <w:rPr>
          <w:rFonts w:ascii="David" w:hAnsi="David" w:hint="cs"/>
          <w:sz w:val="26"/>
          <w:szCs w:val="26"/>
          <w:rtl/>
        </w:rPr>
        <w:t>ח</w:t>
      </w:r>
      <w:r w:rsidR="00A60B38" w:rsidRPr="00D636C0">
        <w:rPr>
          <w:rFonts w:ascii="David" w:hAnsi="David"/>
          <w:sz w:val="26"/>
          <w:szCs w:val="26"/>
          <w:rtl/>
        </w:rPr>
        <w:t>ם</w:t>
      </w:r>
      <w:r w:rsidR="00A60B38">
        <w:rPr>
          <w:rFonts w:ascii="David" w:hAnsi="David" w:hint="cs"/>
          <w:sz w:val="26"/>
          <w:szCs w:val="26"/>
          <w:rtl/>
        </w:rPr>
        <w:t xml:space="preserve"> ענישה בין</w:t>
      </w:r>
      <w:r w:rsidR="00A60B38">
        <w:rPr>
          <w:rFonts w:ascii="David" w:hAnsi="David"/>
          <w:sz w:val="26"/>
          <w:szCs w:val="26"/>
          <w:rtl/>
        </w:rPr>
        <w:t xml:space="preserve"> 9-24 חודשים</w:t>
      </w:r>
      <w:r w:rsidR="00A60B38">
        <w:rPr>
          <w:rFonts w:ascii="David" w:hAnsi="David" w:hint="cs"/>
          <w:sz w:val="26"/>
          <w:szCs w:val="26"/>
          <w:rtl/>
        </w:rPr>
        <w:t>. על הנאשם, צעיר נורמטיבי, ששיתף פעולה עם שירות המבחן ועבר תהליך חיובי, נגזרו מאסר למשך</w:t>
      </w:r>
      <w:r w:rsidR="00A60B38" w:rsidRPr="00D636C0">
        <w:rPr>
          <w:rFonts w:ascii="David" w:hAnsi="David"/>
          <w:sz w:val="26"/>
          <w:szCs w:val="26"/>
          <w:rtl/>
        </w:rPr>
        <w:t xml:space="preserve"> 9 </w:t>
      </w:r>
      <w:r w:rsidR="00A60B38">
        <w:rPr>
          <w:rFonts w:ascii="David" w:hAnsi="David"/>
          <w:sz w:val="26"/>
          <w:szCs w:val="26"/>
          <w:rtl/>
        </w:rPr>
        <w:t>חודשים</w:t>
      </w:r>
      <w:r w:rsidR="00A60B38">
        <w:rPr>
          <w:rFonts w:ascii="David" w:hAnsi="David" w:hint="cs"/>
          <w:sz w:val="26"/>
          <w:szCs w:val="26"/>
          <w:rtl/>
        </w:rPr>
        <w:t xml:space="preserve"> ועונשים נלווים.</w:t>
      </w:r>
    </w:p>
    <w:p w14:paraId="21A8F753" w14:textId="77777777" w:rsidR="00A60B38" w:rsidRDefault="00A60B38" w:rsidP="00A60B38">
      <w:pPr>
        <w:spacing w:after="240" w:line="360" w:lineRule="auto"/>
        <w:jc w:val="both"/>
        <w:rPr>
          <w:rFonts w:ascii="David" w:hAnsi="David"/>
          <w:sz w:val="26"/>
          <w:szCs w:val="26"/>
          <w:rtl/>
        </w:rPr>
      </w:pPr>
      <w:r>
        <w:rPr>
          <w:rFonts w:ascii="David" w:hAnsi="David" w:hint="cs"/>
          <w:sz w:val="26"/>
          <w:szCs w:val="26"/>
          <w:rtl/>
        </w:rPr>
        <w:t>8.</w:t>
      </w:r>
      <w:r>
        <w:rPr>
          <w:rFonts w:ascii="David" w:hAnsi="David" w:hint="cs"/>
          <w:sz w:val="26"/>
          <w:szCs w:val="26"/>
          <w:rtl/>
        </w:rPr>
        <w:tab/>
        <w:t xml:space="preserve">בענייננו, הנאשם וחבריו יזמו יחד ופעלו יחד לרכישת הנשק. הנשק בענייננו הוא אקדח ולא רובה או נשק ארוך. </w:t>
      </w:r>
    </w:p>
    <w:p w14:paraId="6A24FD92" w14:textId="77777777" w:rsidR="00A60B38" w:rsidRDefault="00A60B38" w:rsidP="00A60B38">
      <w:pPr>
        <w:spacing w:after="240" w:line="360" w:lineRule="auto"/>
        <w:ind w:firstLine="720"/>
        <w:jc w:val="both"/>
        <w:rPr>
          <w:rFonts w:ascii="David" w:hAnsi="David"/>
          <w:sz w:val="26"/>
          <w:szCs w:val="26"/>
          <w:rtl/>
        </w:rPr>
      </w:pPr>
      <w:r>
        <w:rPr>
          <w:rFonts w:ascii="David" w:hAnsi="David" w:hint="cs"/>
          <w:sz w:val="26"/>
          <w:szCs w:val="26"/>
          <w:rtl/>
        </w:rPr>
        <w:t xml:space="preserve">על פי עובדות כתב האישום הנאשם הוא שהעמיד את התשלום הנדרש, ובכך תרם תרומה מהותית וחיונית לביצוע העסקה. אולם גם האחרים מילאו את חלקם ביצירת הקשר עם המוכר, ניהול משא ומתן ומפגש איתו. עוד על פי כתב האישום, הנאשם אחז בנשק אך בשונה מהאחרים הוא לא בדק ודרך אותו. כמו כן, נשיאת הנשק היתה ברכב שאינו בבעלות הנאשם. </w:t>
      </w:r>
    </w:p>
    <w:p w14:paraId="2820C2C0" w14:textId="77777777" w:rsidR="00A60B38" w:rsidRDefault="00A60B38" w:rsidP="00A60B38">
      <w:pPr>
        <w:spacing w:after="240" w:line="360" w:lineRule="auto"/>
        <w:ind w:firstLine="720"/>
        <w:jc w:val="both"/>
        <w:rPr>
          <w:rFonts w:ascii="David" w:hAnsi="David"/>
          <w:sz w:val="26"/>
          <w:szCs w:val="26"/>
          <w:rtl/>
        </w:rPr>
      </w:pPr>
      <w:r>
        <w:rPr>
          <w:rFonts w:ascii="David" w:hAnsi="David" w:hint="cs"/>
          <w:sz w:val="26"/>
          <w:szCs w:val="26"/>
          <w:rtl/>
        </w:rPr>
        <w:t xml:space="preserve">לאור כל האמור אני קובעת מתחם ענישה בין 18-30 חודשי מאסר, בצירוף עונשים נלווים. </w:t>
      </w:r>
    </w:p>
    <w:p w14:paraId="0BDC0B22" w14:textId="77777777" w:rsidR="00A60B38" w:rsidRPr="00AB41BA" w:rsidRDefault="00A60B38" w:rsidP="00A60B38">
      <w:pPr>
        <w:spacing w:after="240" w:line="360" w:lineRule="auto"/>
        <w:jc w:val="both"/>
        <w:rPr>
          <w:rFonts w:ascii="David" w:hAnsi="David"/>
          <w:b/>
          <w:bCs/>
          <w:sz w:val="26"/>
          <w:szCs w:val="26"/>
          <w:rtl/>
        </w:rPr>
      </w:pPr>
      <w:r>
        <w:rPr>
          <w:rFonts w:ascii="David" w:hAnsi="David" w:hint="cs"/>
          <w:b/>
          <w:bCs/>
          <w:sz w:val="26"/>
          <w:szCs w:val="26"/>
          <w:rtl/>
        </w:rPr>
        <w:t>העונש הראוי</w:t>
      </w:r>
    </w:p>
    <w:p w14:paraId="13A3C07D" w14:textId="77777777" w:rsidR="00A60B38" w:rsidRDefault="00A60B38" w:rsidP="00A60B38">
      <w:pPr>
        <w:spacing w:after="240" w:line="360" w:lineRule="auto"/>
        <w:jc w:val="both"/>
        <w:rPr>
          <w:rFonts w:ascii="David" w:hAnsi="David"/>
          <w:sz w:val="26"/>
          <w:szCs w:val="26"/>
          <w:rtl/>
        </w:rPr>
      </w:pPr>
      <w:r>
        <w:rPr>
          <w:rFonts w:ascii="David" w:hAnsi="David" w:hint="cs"/>
          <w:sz w:val="26"/>
          <w:szCs w:val="26"/>
          <w:rtl/>
        </w:rPr>
        <w:t xml:space="preserve">9. </w:t>
      </w:r>
      <w:r>
        <w:rPr>
          <w:rFonts w:ascii="David" w:hAnsi="David"/>
          <w:sz w:val="26"/>
          <w:szCs w:val="26"/>
          <w:rtl/>
        </w:rPr>
        <w:tab/>
      </w:r>
      <w:r>
        <w:rPr>
          <w:rFonts w:ascii="David" w:hAnsi="David" w:hint="cs"/>
          <w:sz w:val="26"/>
          <w:szCs w:val="26"/>
          <w:rtl/>
        </w:rPr>
        <w:t xml:space="preserve">הנאשם יליד 1995, רווק ומתגורר בבית אמו. הנאשם הודה במיוחס לו בהזדמנות הראשונה כבר בחקירת המשטרה, הכיר באחריותו, חסך זמן וככל הנראה הוא עשוי לסייע במשפט נגד המעורבים האחרים. לחובת הנאשם הרשעה קודמת בעבירת רכוש בגינה ריצה 50 ימי מאסר. מדובר בעבירה יחידה וישנה למדי, כך שמשקלה מוגבל. עם זאת, הנאשם לא ביקש תסקיר של שירות המבחן כך שאין בפני רקע רחב אודותיו. בהתאם לכל האמור אני סבורה שהעונש הראוי הוא בתחתית מתחם הענישה, אם כי לא ברף התחתון ממש. </w:t>
      </w:r>
    </w:p>
    <w:p w14:paraId="0C1C4A8A" w14:textId="77777777" w:rsidR="00A60B38" w:rsidRDefault="00A60B38" w:rsidP="00A60B38">
      <w:pPr>
        <w:spacing w:line="360" w:lineRule="auto"/>
        <w:jc w:val="both"/>
        <w:rPr>
          <w:rFonts w:ascii="David" w:hAnsi="David"/>
          <w:sz w:val="26"/>
          <w:szCs w:val="26"/>
          <w:rtl/>
        </w:rPr>
      </w:pPr>
      <w:r>
        <w:rPr>
          <w:rFonts w:ascii="David" w:hAnsi="David" w:hint="cs"/>
          <w:sz w:val="26"/>
          <w:szCs w:val="26"/>
          <w:rtl/>
        </w:rPr>
        <w:t>10.</w:t>
      </w:r>
      <w:r>
        <w:rPr>
          <w:rFonts w:ascii="David" w:hAnsi="David" w:hint="cs"/>
          <w:sz w:val="26"/>
          <w:szCs w:val="26"/>
          <w:rtl/>
        </w:rPr>
        <w:tab/>
        <w:t xml:space="preserve">לאור כל האמור אני מטילה על הנאשם עונש כמפורט להלן: </w:t>
      </w:r>
    </w:p>
    <w:p w14:paraId="34643C6B" w14:textId="77777777" w:rsidR="00A60B38" w:rsidRDefault="00A60B38" w:rsidP="00A60B38">
      <w:pPr>
        <w:spacing w:line="360" w:lineRule="auto"/>
        <w:jc w:val="both"/>
        <w:rPr>
          <w:rFonts w:ascii="David" w:hAnsi="David"/>
          <w:sz w:val="26"/>
          <w:szCs w:val="26"/>
          <w:rtl/>
        </w:rPr>
      </w:pPr>
      <w:r>
        <w:rPr>
          <w:rFonts w:ascii="David" w:hAnsi="David" w:hint="cs"/>
          <w:sz w:val="26"/>
          <w:szCs w:val="26"/>
          <w:rtl/>
        </w:rPr>
        <w:t>1.</w:t>
      </w:r>
      <w:r>
        <w:rPr>
          <w:rFonts w:ascii="David" w:hAnsi="David" w:hint="cs"/>
          <w:sz w:val="26"/>
          <w:szCs w:val="26"/>
          <w:rtl/>
        </w:rPr>
        <w:tab/>
        <w:t xml:space="preserve">מאסר בפועל ל-20 חודשים, שיימנו החל ממעצרו של הנאשם. </w:t>
      </w:r>
    </w:p>
    <w:p w14:paraId="046E95C3" w14:textId="77777777" w:rsidR="00A60B38" w:rsidRDefault="00A60B38" w:rsidP="00A60B38">
      <w:pPr>
        <w:spacing w:line="360" w:lineRule="auto"/>
        <w:jc w:val="both"/>
        <w:rPr>
          <w:rFonts w:ascii="David" w:hAnsi="David"/>
          <w:sz w:val="26"/>
          <w:szCs w:val="26"/>
          <w:rtl/>
        </w:rPr>
      </w:pPr>
      <w:r>
        <w:rPr>
          <w:rFonts w:ascii="David" w:hAnsi="David" w:hint="cs"/>
          <w:sz w:val="26"/>
          <w:szCs w:val="26"/>
          <w:rtl/>
        </w:rPr>
        <w:t>2.</w:t>
      </w:r>
      <w:r>
        <w:rPr>
          <w:rFonts w:ascii="David" w:hAnsi="David" w:hint="cs"/>
          <w:sz w:val="26"/>
          <w:szCs w:val="26"/>
          <w:rtl/>
        </w:rPr>
        <w:tab/>
        <w:t xml:space="preserve">מאסר על תנאי ל-6 חודשים למשך 3 שנים על כל עבירת נשק. </w:t>
      </w:r>
    </w:p>
    <w:p w14:paraId="217418DB" w14:textId="77777777" w:rsidR="00A60B38" w:rsidRDefault="005F67E7" w:rsidP="00A60B38">
      <w:pPr>
        <w:spacing w:line="360" w:lineRule="auto"/>
        <w:jc w:val="both"/>
        <w:rPr>
          <w:rFonts w:ascii="David" w:hAnsi="David"/>
          <w:sz w:val="26"/>
          <w:szCs w:val="26"/>
          <w:rtl/>
        </w:rPr>
      </w:pPr>
      <w:r w:rsidRPr="005F67E7">
        <w:rPr>
          <w:rFonts w:ascii="David" w:hAnsi="David"/>
          <w:color w:val="FFFFFF"/>
          <w:sz w:val="2"/>
          <w:szCs w:val="2"/>
          <w:rtl/>
        </w:rPr>
        <w:t>5129371</w:t>
      </w:r>
      <w:r w:rsidR="00A60B38">
        <w:rPr>
          <w:rFonts w:ascii="David" w:hAnsi="David" w:hint="cs"/>
          <w:sz w:val="26"/>
          <w:szCs w:val="26"/>
          <w:rtl/>
        </w:rPr>
        <w:t xml:space="preserve">3. </w:t>
      </w:r>
      <w:r w:rsidR="00A60B38">
        <w:rPr>
          <w:rFonts w:ascii="David" w:hAnsi="David"/>
          <w:sz w:val="26"/>
          <w:szCs w:val="26"/>
          <w:rtl/>
        </w:rPr>
        <w:tab/>
      </w:r>
      <w:r w:rsidR="00A60B38">
        <w:rPr>
          <w:rFonts w:ascii="David" w:hAnsi="David" w:hint="cs"/>
          <w:sz w:val="26"/>
          <w:szCs w:val="26"/>
          <w:rtl/>
        </w:rPr>
        <w:t xml:space="preserve">קנס בסך 5,000 ₪ שישולם תוך 3 חודשים מהיום. </w:t>
      </w:r>
    </w:p>
    <w:p w14:paraId="7DEA5A2E" w14:textId="77777777" w:rsidR="00A60B38" w:rsidRPr="005F67E7" w:rsidRDefault="005F67E7" w:rsidP="00A60B38">
      <w:pPr>
        <w:spacing w:line="360" w:lineRule="auto"/>
        <w:jc w:val="both"/>
        <w:rPr>
          <w:rFonts w:ascii="David" w:hAnsi="David"/>
          <w:color w:val="FFFFFF"/>
          <w:sz w:val="2"/>
          <w:szCs w:val="2"/>
          <w:rtl/>
        </w:rPr>
      </w:pPr>
      <w:r w:rsidRPr="005F67E7">
        <w:rPr>
          <w:rFonts w:ascii="David" w:hAnsi="David"/>
          <w:color w:val="FFFFFF"/>
          <w:sz w:val="2"/>
          <w:szCs w:val="2"/>
          <w:rtl/>
        </w:rPr>
        <w:t>54678313</w:t>
      </w:r>
    </w:p>
    <w:p w14:paraId="229281A3" w14:textId="77777777" w:rsidR="00A60B38" w:rsidRDefault="00A60B38" w:rsidP="00A60B38">
      <w:pPr>
        <w:spacing w:line="360" w:lineRule="auto"/>
        <w:rPr>
          <w:rFonts w:ascii="David" w:hAnsi="David"/>
          <w:sz w:val="26"/>
          <w:szCs w:val="26"/>
          <w:rtl/>
        </w:rPr>
      </w:pPr>
    </w:p>
    <w:p w14:paraId="6984057B" w14:textId="77777777" w:rsidR="00A60B38" w:rsidRPr="002B7D23" w:rsidRDefault="00A60B38" w:rsidP="00A60B38">
      <w:pPr>
        <w:spacing w:line="360" w:lineRule="auto"/>
        <w:rPr>
          <w:rFonts w:ascii="David" w:hAnsi="David"/>
          <w:sz w:val="26"/>
          <w:szCs w:val="26"/>
          <w:rtl/>
        </w:rPr>
      </w:pPr>
      <w:r>
        <w:rPr>
          <w:rFonts w:ascii="David" w:hAnsi="David" w:hint="cs"/>
          <w:sz w:val="26"/>
          <w:szCs w:val="26"/>
          <w:rtl/>
        </w:rPr>
        <w:t xml:space="preserve">זכות ערעור לבית המשפט העליון תוך 45 יום. </w:t>
      </w:r>
    </w:p>
    <w:p w14:paraId="08D33387" w14:textId="77777777" w:rsidR="005F67E7" w:rsidRDefault="005F67E7" w:rsidP="005F67E7">
      <w:bookmarkStart w:id="8" w:name="Nitan"/>
      <w:r>
        <w:rPr>
          <w:rFonts w:ascii="David" w:hAnsi="David"/>
          <w:sz w:val="26"/>
          <w:szCs w:val="26"/>
          <w:rtl/>
        </w:rPr>
        <w:t xml:space="preserve">ניתן היום,  כ"ב שבט תשפ"ב, 24 ינואר 2022, במעמד הצדדים. </w:t>
      </w:r>
      <w:bookmarkEnd w:id="8"/>
      <w:r w:rsidR="00A60B38" w:rsidRPr="002B7D23">
        <w:rPr>
          <w:rFonts w:ascii="David" w:hAnsi="David"/>
          <w:sz w:val="26"/>
          <w:szCs w:val="26"/>
          <w:rtl/>
        </w:rPr>
        <w:t xml:space="preserve">   </w:t>
      </w:r>
      <w:r w:rsidR="00A60B38" w:rsidRPr="002B7D23">
        <w:rPr>
          <w:rFonts w:ascii="David" w:hAnsi="David"/>
          <w:sz w:val="26"/>
          <w:szCs w:val="26"/>
          <w:rtl/>
        </w:rPr>
        <w:tab/>
      </w:r>
      <w:r w:rsidR="00A60B38" w:rsidRPr="002B7D23">
        <w:rPr>
          <w:rFonts w:ascii="David" w:hAnsi="David"/>
          <w:sz w:val="26"/>
          <w:szCs w:val="26"/>
          <w:rtl/>
        </w:rPr>
        <w:tab/>
      </w:r>
      <w:r w:rsidR="00A60B38" w:rsidRPr="002B7D23">
        <w:rPr>
          <w:rFonts w:ascii="David" w:hAnsi="David"/>
          <w:sz w:val="26"/>
          <w:szCs w:val="26"/>
          <w:rtl/>
        </w:rPr>
        <w:tab/>
      </w:r>
    </w:p>
    <w:p w14:paraId="296C6E7A" w14:textId="77777777" w:rsidR="005F67E7" w:rsidRDefault="005F67E7" w:rsidP="005F67E7">
      <w:pPr>
        <w:rPr>
          <w:rtl/>
        </w:rPr>
      </w:pPr>
    </w:p>
    <w:p w14:paraId="3FD70D25" w14:textId="77777777" w:rsidR="005F67E7" w:rsidRDefault="005F67E7" w:rsidP="005F67E7">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38202194" w14:textId="77777777" w:rsidR="00445323" w:rsidRPr="00445323" w:rsidRDefault="00445323" w:rsidP="00445323">
      <w:pPr>
        <w:keepNext/>
        <w:rPr>
          <w:rFonts w:ascii="David" w:hAnsi="David"/>
          <w:color w:val="000000"/>
          <w:sz w:val="22"/>
          <w:szCs w:val="22"/>
          <w:rtl/>
        </w:rPr>
      </w:pPr>
    </w:p>
    <w:p w14:paraId="43B4FC23" w14:textId="77777777" w:rsidR="00445323" w:rsidRPr="00445323" w:rsidRDefault="00445323" w:rsidP="00445323">
      <w:pPr>
        <w:keepNext/>
        <w:rPr>
          <w:rFonts w:ascii="David" w:hAnsi="David"/>
          <w:color w:val="000000"/>
          <w:sz w:val="22"/>
          <w:szCs w:val="22"/>
          <w:rtl/>
        </w:rPr>
      </w:pPr>
      <w:r w:rsidRPr="00445323">
        <w:rPr>
          <w:rFonts w:ascii="David" w:hAnsi="David"/>
          <w:color w:val="000000"/>
          <w:sz w:val="22"/>
          <w:szCs w:val="22"/>
          <w:rtl/>
        </w:rPr>
        <w:t>חגית מאק קלמנוביץ 54678313-/</w:t>
      </w:r>
    </w:p>
    <w:p w14:paraId="1139AE99" w14:textId="77777777" w:rsidR="005F67E7" w:rsidRPr="005F67E7" w:rsidRDefault="00445323" w:rsidP="00445323">
      <w:pPr>
        <w:rPr>
          <w:color w:val="0000FF"/>
          <w:u w:val="single"/>
        </w:rPr>
      </w:pPr>
      <w:r w:rsidRPr="00445323">
        <w:rPr>
          <w:color w:val="000000"/>
          <w:u w:val="single"/>
          <w:rtl/>
        </w:rPr>
        <w:t>נוסח מסמך זה כפוף לשינויי ניסוח ועריכה</w:t>
      </w:r>
    </w:p>
    <w:sectPr w:rsidR="005F67E7" w:rsidRPr="005F67E7" w:rsidSect="00445323">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165F04" w14:textId="77777777" w:rsidR="00662466" w:rsidRDefault="00662466" w:rsidP="009A21CD">
      <w:r>
        <w:separator/>
      </w:r>
    </w:p>
  </w:endnote>
  <w:endnote w:type="continuationSeparator" w:id="0">
    <w:p w14:paraId="59FA15D7" w14:textId="77777777" w:rsidR="00662466" w:rsidRDefault="00662466" w:rsidP="009A21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1EEADE" w14:textId="77777777" w:rsidR="00445323" w:rsidRDefault="00445323" w:rsidP="0044532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A25018B" w14:textId="77777777" w:rsidR="00ED2A8F" w:rsidRPr="00445323" w:rsidRDefault="00445323" w:rsidP="00445323">
    <w:pPr>
      <w:pStyle w:val="a5"/>
      <w:pBdr>
        <w:top w:val="single" w:sz="4" w:space="1" w:color="auto"/>
        <w:between w:val="single" w:sz="4" w:space="0" w:color="auto"/>
      </w:pBdr>
      <w:spacing w:after="60"/>
      <w:jc w:val="center"/>
      <w:rPr>
        <w:rFonts w:ascii="FrankRuehl" w:hAnsi="FrankRuehl" w:cs="FrankRuehl"/>
        <w:color w:val="000000"/>
      </w:rPr>
    </w:pPr>
    <w:r w:rsidRPr="0044532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A1832D" w14:textId="77777777" w:rsidR="00445323" w:rsidRDefault="00445323" w:rsidP="0044532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76971">
      <w:rPr>
        <w:rFonts w:ascii="FrankRuehl" w:hAnsi="FrankRuehl" w:cs="FrankRuehl"/>
        <w:noProof/>
        <w:rtl/>
      </w:rPr>
      <w:t>1</w:t>
    </w:r>
    <w:r>
      <w:rPr>
        <w:rFonts w:ascii="FrankRuehl" w:hAnsi="FrankRuehl" w:cs="FrankRuehl"/>
        <w:rtl/>
      </w:rPr>
      <w:fldChar w:fldCharType="end"/>
    </w:r>
  </w:p>
  <w:p w14:paraId="4B32224C" w14:textId="77777777" w:rsidR="00ED2A8F" w:rsidRPr="00445323" w:rsidRDefault="00445323" w:rsidP="00445323">
    <w:pPr>
      <w:pStyle w:val="a5"/>
      <w:pBdr>
        <w:top w:val="single" w:sz="4" w:space="1" w:color="auto"/>
        <w:between w:val="single" w:sz="4" w:space="0" w:color="auto"/>
      </w:pBdr>
      <w:spacing w:after="60"/>
      <w:jc w:val="center"/>
      <w:rPr>
        <w:rFonts w:ascii="FrankRuehl" w:hAnsi="FrankRuehl" w:cs="FrankRuehl"/>
        <w:color w:val="000000"/>
      </w:rPr>
    </w:pPr>
    <w:r w:rsidRPr="00445323">
      <w:rPr>
        <w:rFonts w:ascii="FrankRuehl" w:hAnsi="FrankRuehl" w:cs="FrankRuehl"/>
        <w:color w:val="000000"/>
      </w:rPr>
      <w:pict w14:anchorId="704FC4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6103B7" w14:textId="77777777" w:rsidR="00662466" w:rsidRDefault="00662466" w:rsidP="009A21CD">
      <w:r>
        <w:separator/>
      </w:r>
    </w:p>
  </w:footnote>
  <w:footnote w:type="continuationSeparator" w:id="0">
    <w:p w14:paraId="028C63F3" w14:textId="77777777" w:rsidR="00662466" w:rsidRDefault="00662466" w:rsidP="009A21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3F0514" w14:textId="77777777" w:rsidR="005F67E7" w:rsidRPr="00445323" w:rsidRDefault="00445323" w:rsidP="0044532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7053-03-21</w:t>
    </w:r>
    <w:r>
      <w:rPr>
        <w:rFonts w:ascii="David" w:hAnsi="David"/>
        <w:color w:val="000000"/>
        <w:sz w:val="22"/>
        <w:szCs w:val="22"/>
        <w:rtl/>
      </w:rPr>
      <w:tab/>
      <w:t xml:space="preserve"> מדינת ישראל נ' חליל רבאיעה  ע"ח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4403E6" w14:textId="77777777" w:rsidR="005F67E7" w:rsidRPr="00445323" w:rsidRDefault="00445323" w:rsidP="0044532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7053-03-21</w:t>
    </w:r>
    <w:r>
      <w:rPr>
        <w:rFonts w:ascii="David" w:hAnsi="David"/>
        <w:color w:val="000000"/>
        <w:sz w:val="22"/>
        <w:szCs w:val="22"/>
        <w:rtl/>
      </w:rPr>
      <w:tab/>
      <w:t xml:space="preserve"> מדינת ישראל נ' חליל רבאיעה  ע"ח</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60B38"/>
    <w:rsid w:val="000F2994"/>
    <w:rsid w:val="001B5A3B"/>
    <w:rsid w:val="003865E1"/>
    <w:rsid w:val="00445323"/>
    <w:rsid w:val="00576971"/>
    <w:rsid w:val="005F67E7"/>
    <w:rsid w:val="0061468E"/>
    <w:rsid w:val="00662466"/>
    <w:rsid w:val="00762141"/>
    <w:rsid w:val="009A21CD"/>
    <w:rsid w:val="00A60B38"/>
    <w:rsid w:val="00B812DA"/>
    <w:rsid w:val="00C7006E"/>
    <w:rsid w:val="00C93432"/>
    <w:rsid w:val="00DF37F8"/>
    <w:rsid w:val="00ED2A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363F09B"/>
  <w15:chartTrackingRefBased/>
  <w15:docId w15:val="{08C6BA2A-F659-46B4-AE21-A8F8FEB96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60B3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60B38"/>
    <w:pPr>
      <w:tabs>
        <w:tab w:val="center" w:pos="4153"/>
        <w:tab w:val="right" w:pos="8306"/>
      </w:tabs>
    </w:pPr>
  </w:style>
  <w:style w:type="character" w:customStyle="1" w:styleId="a4">
    <w:name w:val="כותרת עליונה תו"/>
    <w:link w:val="a3"/>
    <w:rsid w:val="00A60B38"/>
    <w:rPr>
      <w:rFonts w:ascii="Times New Roman" w:eastAsia="Times New Roman" w:hAnsi="Times New Roman" w:cs="David"/>
      <w:sz w:val="24"/>
      <w:szCs w:val="24"/>
    </w:rPr>
  </w:style>
  <w:style w:type="paragraph" w:styleId="a5">
    <w:name w:val="footer"/>
    <w:basedOn w:val="a"/>
    <w:link w:val="a6"/>
    <w:rsid w:val="00A60B38"/>
    <w:pPr>
      <w:tabs>
        <w:tab w:val="center" w:pos="4153"/>
        <w:tab w:val="right" w:pos="8306"/>
      </w:tabs>
    </w:pPr>
  </w:style>
  <w:style w:type="character" w:customStyle="1" w:styleId="a6">
    <w:name w:val="כותרת תחתונה תו"/>
    <w:link w:val="a5"/>
    <w:rsid w:val="00A60B38"/>
    <w:rPr>
      <w:rFonts w:ascii="Times New Roman" w:eastAsia="Times New Roman" w:hAnsi="Times New Roman" w:cs="David"/>
      <w:sz w:val="24"/>
      <w:szCs w:val="24"/>
    </w:rPr>
  </w:style>
  <w:style w:type="table" w:styleId="a7">
    <w:name w:val="Table Grid"/>
    <w:basedOn w:val="a1"/>
    <w:rsid w:val="00A60B3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60B38"/>
  </w:style>
  <w:style w:type="character" w:styleId="Hyperlink">
    <w:name w:val="Hyperlink"/>
    <w:rsid w:val="00A60B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case/27915710" TargetMode="External"/><Relationship Id="rId26" Type="http://schemas.openxmlformats.org/officeDocument/2006/relationships/hyperlink" Target="http://www.nevo.co.il/case/27503154" TargetMode="External"/><Relationship Id="rId39" Type="http://schemas.openxmlformats.org/officeDocument/2006/relationships/fontTable" Target="fontTable.xml"/><Relationship Id="rId21" Type="http://schemas.openxmlformats.org/officeDocument/2006/relationships/hyperlink" Target="http://www.nevo.co.il/case/25824863"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70301/144.a"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25824863" TargetMode="External"/><Relationship Id="rId25" Type="http://schemas.openxmlformats.org/officeDocument/2006/relationships/hyperlink" Target="http://www.nevo.co.il/case/22006503" TargetMode="External"/><Relationship Id="rId33" Type="http://schemas.openxmlformats.org/officeDocument/2006/relationships/hyperlink" Target="http://www.nevo.co.il/case/23169485" TargetMode="External"/><Relationship Id="rId38"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case/7980162" TargetMode="External"/><Relationship Id="rId20" Type="http://schemas.openxmlformats.org/officeDocument/2006/relationships/hyperlink" Target="http://www.nevo.co.il/law/70301" TargetMode="External"/><Relationship Id="rId29" Type="http://schemas.openxmlformats.org/officeDocument/2006/relationships/hyperlink" Target="http://www.nevo.co.il/case/27247581"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c.1" TargetMode="External"/><Relationship Id="rId24" Type="http://schemas.openxmlformats.org/officeDocument/2006/relationships/hyperlink" Target="http://www.nevo.co.il/case/24269595" TargetMode="External"/><Relationship Id="rId32" Type="http://schemas.openxmlformats.org/officeDocument/2006/relationships/hyperlink" Target="http://www.nevo.co.il/case/22739459"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case/8291683" TargetMode="External"/><Relationship Id="rId23" Type="http://schemas.openxmlformats.org/officeDocument/2006/relationships/hyperlink" Target="http://www.nevo.co.il/case/28152132" TargetMode="External"/><Relationship Id="rId28" Type="http://schemas.openxmlformats.org/officeDocument/2006/relationships/hyperlink" Target="http://www.nevo.co.il/case/26923758" TargetMode="External"/><Relationship Id="rId36" Type="http://schemas.openxmlformats.org/officeDocument/2006/relationships/header" Target="header2.xml"/><Relationship Id="rId10" Type="http://schemas.openxmlformats.org/officeDocument/2006/relationships/hyperlink" Target="http://www.nevo.co.il/law/70301/144.b" TargetMode="External"/><Relationship Id="rId19" Type="http://schemas.openxmlformats.org/officeDocument/2006/relationships/hyperlink" Target="http://www.nevo.co.il/case/7697292" TargetMode="External"/><Relationship Id="rId31" Type="http://schemas.openxmlformats.org/officeDocument/2006/relationships/hyperlink" Target="http://www.nevo.co.il/case/25890687" TargetMode="External"/><Relationship Id="rId4" Type="http://schemas.openxmlformats.org/officeDocument/2006/relationships/footnotes" Target="footnotes.xml"/><Relationship Id="rId9" Type="http://schemas.openxmlformats.org/officeDocument/2006/relationships/hyperlink" Target="http://www.nevo.co.il/law/70301/144.c.1" TargetMode="External"/><Relationship Id="rId14" Type="http://schemas.openxmlformats.org/officeDocument/2006/relationships/hyperlink" Target="http://www.nevo.co.il/case/5821327" TargetMode="External"/><Relationship Id="rId22" Type="http://schemas.openxmlformats.org/officeDocument/2006/relationships/hyperlink" Target="http://www.nevo.co.il/case/25063920" TargetMode="External"/><Relationship Id="rId27" Type="http://schemas.openxmlformats.org/officeDocument/2006/relationships/hyperlink" Target="http://www.nevo.co.il/case/26714559" TargetMode="External"/><Relationship Id="rId30" Type="http://schemas.openxmlformats.org/officeDocument/2006/relationships/hyperlink" Target="http://www.nevo.co.il/case/26568495" TargetMode="External"/><Relationship Id="rId35" Type="http://schemas.openxmlformats.org/officeDocument/2006/relationships/header" Target="header1.xml"/><Relationship Id="rId8" Type="http://schemas.openxmlformats.org/officeDocument/2006/relationships/hyperlink" Target="http://www.nevo.co.il/law/70301/144.b"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1908</Words>
  <Characters>9542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11428</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3276917</vt:i4>
      </vt:variant>
      <vt:variant>
        <vt:i4>81</vt:i4>
      </vt:variant>
      <vt:variant>
        <vt:i4>0</vt:i4>
      </vt:variant>
      <vt:variant>
        <vt:i4>5</vt:i4>
      </vt:variant>
      <vt:variant>
        <vt:lpwstr>http://www.nevo.co.il/case/23169485</vt:lpwstr>
      </vt:variant>
      <vt:variant>
        <vt:lpwstr/>
      </vt:variant>
      <vt:variant>
        <vt:i4>3735665</vt:i4>
      </vt:variant>
      <vt:variant>
        <vt:i4>78</vt:i4>
      </vt:variant>
      <vt:variant>
        <vt:i4>0</vt:i4>
      </vt:variant>
      <vt:variant>
        <vt:i4>5</vt:i4>
      </vt:variant>
      <vt:variant>
        <vt:lpwstr>http://www.nevo.co.il/case/22739459</vt:lpwstr>
      </vt:variant>
      <vt:variant>
        <vt:lpwstr/>
      </vt:variant>
      <vt:variant>
        <vt:i4>3276926</vt:i4>
      </vt:variant>
      <vt:variant>
        <vt:i4>75</vt:i4>
      </vt:variant>
      <vt:variant>
        <vt:i4>0</vt:i4>
      </vt:variant>
      <vt:variant>
        <vt:i4>5</vt:i4>
      </vt:variant>
      <vt:variant>
        <vt:lpwstr>http://www.nevo.co.il/case/25890687</vt:lpwstr>
      </vt:variant>
      <vt:variant>
        <vt:lpwstr/>
      </vt:variant>
      <vt:variant>
        <vt:i4>3539056</vt:i4>
      </vt:variant>
      <vt:variant>
        <vt:i4>72</vt:i4>
      </vt:variant>
      <vt:variant>
        <vt:i4>0</vt:i4>
      </vt:variant>
      <vt:variant>
        <vt:i4>5</vt:i4>
      </vt:variant>
      <vt:variant>
        <vt:lpwstr>http://www.nevo.co.il/case/26568495</vt:lpwstr>
      </vt:variant>
      <vt:variant>
        <vt:lpwstr/>
      </vt:variant>
      <vt:variant>
        <vt:i4>4128882</vt:i4>
      </vt:variant>
      <vt:variant>
        <vt:i4>69</vt:i4>
      </vt:variant>
      <vt:variant>
        <vt:i4>0</vt:i4>
      </vt:variant>
      <vt:variant>
        <vt:i4>5</vt:i4>
      </vt:variant>
      <vt:variant>
        <vt:lpwstr>http://www.nevo.co.il/case/27247581</vt:lpwstr>
      </vt:variant>
      <vt:variant>
        <vt:lpwstr/>
      </vt:variant>
      <vt:variant>
        <vt:i4>3997815</vt:i4>
      </vt:variant>
      <vt:variant>
        <vt:i4>66</vt:i4>
      </vt:variant>
      <vt:variant>
        <vt:i4>0</vt:i4>
      </vt:variant>
      <vt:variant>
        <vt:i4>5</vt:i4>
      </vt:variant>
      <vt:variant>
        <vt:lpwstr>http://www.nevo.co.il/case/26923758</vt:lpwstr>
      </vt:variant>
      <vt:variant>
        <vt:lpwstr/>
      </vt:variant>
      <vt:variant>
        <vt:i4>3407990</vt:i4>
      </vt:variant>
      <vt:variant>
        <vt:i4>63</vt:i4>
      </vt:variant>
      <vt:variant>
        <vt:i4>0</vt:i4>
      </vt:variant>
      <vt:variant>
        <vt:i4>5</vt:i4>
      </vt:variant>
      <vt:variant>
        <vt:lpwstr>http://www.nevo.co.il/case/26714559</vt:lpwstr>
      </vt:variant>
      <vt:variant>
        <vt:lpwstr/>
      </vt:variant>
      <vt:variant>
        <vt:i4>3211378</vt:i4>
      </vt:variant>
      <vt:variant>
        <vt:i4>60</vt:i4>
      </vt:variant>
      <vt:variant>
        <vt:i4>0</vt:i4>
      </vt:variant>
      <vt:variant>
        <vt:i4>5</vt:i4>
      </vt:variant>
      <vt:variant>
        <vt:lpwstr>http://www.nevo.co.il/case/27503154</vt:lpwstr>
      </vt:variant>
      <vt:variant>
        <vt:lpwstr/>
      </vt:variant>
      <vt:variant>
        <vt:i4>3407987</vt:i4>
      </vt:variant>
      <vt:variant>
        <vt:i4>57</vt:i4>
      </vt:variant>
      <vt:variant>
        <vt:i4>0</vt:i4>
      </vt:variant>
      <vt:variant>
        <vt:i4>5</vt:i4>
      </vt:variant>
      <vt:variant>
        <vt:lpwstr>http://www.nevo.co.il/case/22006503</vt:lpwstr>
      </vt:variant>
      <vt:variant>
        <vt:lpwstr/>
      </vt:variant>
      <vt:variant>
        <vt:i4>3145843</vt:i4>
      </vt:variant>
      <vt:variant>
        <vt:i4>54</vt:i4>
      </vt:variant>
      <vt:variant>
        <vt:i4>0</vt:i4>
      </vt:variant>
      <vt:variant>
        <vt:i4>5</vt:i4>
      </vt:variant>
      <vt:variant>
        <vt:lpwstr>http://www.nevo.co.il/case/24269595</vt:lpwstr>
      </vt:variant>
      <vt:variant>
        <vt:lpwstr/>
      </vt:variant>
      <vt:variant>
        <vt:i4>3276920</vt:i4>
      </vt:variant>
      <vt:variant>
        <vt:i4>51</vt:i4>
      </vt:variant>
      <vt:variant>
        <vt:i4>0</vt:i4>
      </vt:variant>
      <vt:variant>
        <vt:i4>5</vt:i4>
      </vt:variant>
      <vt:variant>
        <vt:lpwstr>http://www.nevo.co.il/case/28152132</vt:lpwstr>
      </vt:variant>
      <vt:variant>
        <vt:lpwstr/>
      </vt:variant>
      <vt:variant>
        <vt:i4>3342462</vt:i4>
      </vt:variant>
      <vt:variant>
        <vt:i4>48</vt:i4>
      </vt:variant>
      <vt:variant>
        <vt:i4>0</vt:i4>
      </vt:variant>
      <vt:variant>
        <vt:i4>5</vt:i4>
      </vt:variant>
      <vt:variant>
        <vt:lpwstr>http://www.nevo.co.il/case/25063920</vt:lpwstr>
      </vt:variant>
      <vt:variant>
        <vt:lpwstr/>
      </vt:variant>
      <vt:variant>
        <vt:i4>3670139</vt:i4>
      </vt:variant>
      <vt:variant>
        <vt:i4>45</vt:i4>
      </vt:variant>
      <vt:variant>
        <vt:i4>0</vt:i4>
      </vt:variant>
      <vt:variant>
        <vt:i4>5</vt:i4>
      </vt:variant>
      <vt:variant>
        <vt:lpwstr>http://www.nevo.co.il/case/25824863</vt:lpwstr>
      </vt:variant>
      <vt:variant>
        <vt:lpwstr/>
      </vt:variant>
      <vt:variant>
        <vt:i4>7995492</vt:i4>
      </vt:variant>
      <vt:variant>
        <vt:i4>42</vt:i4>
      </vt:variant>
      <vt:variant>
        <vt:i4>0</vt:i4>
      </vt:variant>
      <vt:variant>
        <vt:i4>5</vt:i4>
      </vt:variant>
      <vt:variant>
        <vt:lpwstr>http://www.nevo.co.il/law/70301</vt:lpwstr>
      </vt:variant>
      <vt:variant>
        <vt:lpwstr/>
      </vt:variant>
      <vt:variant>
        <vt:i4>4063356</vt:i4>
      </vt:variant>
      <vt:variant>
        <vt:i4>39</vt:i4>
      </vt:variant>
      <vt:variant>
        <vt:i4>0</vt:i4>
      </vt:variant>
      <vt:variant>
        <vt:i4>5</vt:i4>
      </vt:variant>
      <vt:variant>
        <vt:lpwstr>http://www.nevo.co.il/case/7697292</vt:lpwstr>
      </vt:variant>
      <vt:variant>
        <vt:lpwstr/>
      </vt:variant>
      <vt:variant>
        <vt:i4>4128885</vt:i4>
      </vt:variant>
      <vt:variant>
        <vt:i4>36</vt:i4>
      </vt:variant>
      <vt:variant>
        <vt:i4>0</vt:i4>
      </vt:variant>
      <vt:variant>
        <vt:i4>5</vt:i4>
      </vt:variant>
      <vt:variant>
        <vt:lpwstr>http://www.nevo.co.il/case/27915710</vt:lpwstr>
      </vt:variant>
      <vt:variant>
        <vt:lpwstr/>
      </vt:variant>
      <vt:variant>
        <vt:i4>3670139</vt:i4>
      </vt:variant>
      <vt:variant>
        <vt:i4>33</vt:i4>
      </vt:variant>
      <vt:variant>
        <vt:i4>0</vt:i4>
      </vt:variant>
      <vt:variant>
        <vt:i4>5</vt:i4>
      </vt:variant>
      <vt:variant>
        <vt:lpwstr>http://www.nevo.co.il/case/25824863</vt:lpwstr>
      </vt:variant>
      <vt:variant>
        <vt:lpwstr/>
      </vt:variant>
      <vt:variant>
        <vt:i4>3932283</vt:i4>
      </vt:variant>
      <vt:variant>
        <vt:i4>30</vt:i4>
      </vt:variant>
      <vt:variant>
        <vt:i4>0</vt:i4>
      </vt:variant>
      <vt:variant>
        <vt:i4>5</vt:i4>
      </vt:variant>
      <vt:variant>
        <vt:lpwstr>http://www.nevo.co.il/case/7980162</vt:lpwstr>
      </vt:variant>
      <vt:variant>
        <vt:lpwstr/>
      </vt:variant>
      <vt:variant>
        <vt:i4>3407999</vt:i4>
      </vt:variant>
      <vt:variant>
        <vt:i4>27</vt:i4>
      </vt:variant>
      <vt:variant>
        <vt:i4>0</vt:i4>
      </vt:variant>
      <vt:variant>
        <vt:i4>5</vt:i4>
      </vt:variant>
      <vt:variant>
        <vt:lpwstr>http://www.nevo.co.il/case/8291683</vt:lpwstr>
      </vt:variant>
      <vt:variant>
        <vt:lpwstr/>
      </vt:variant>
      <vt:variant>
        <vt:i4>3342463</vt:i4>
      </vt:variant>
      <vt:variant>
        <vt:i4>24</vt:i4>
      </vt:variant>
      <vt:variant>
        <vt:i4>0</vt:i4>
      </vt:variant>
      <vt:variant>
        <vt:i4>5</vt:i4>
      </vt:variant>
      <vt:variant>
        <vt:lpwstr>http://www.nevo.co.il/case/5821327</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7995492</vt:i4>
      </vt:variant>
      <vt:variant>
        <vt:i4>18</vt:i4>
      </vt:variant>
      <vt:variant>
        <vt:i4>0</vt:i4>
      </vt:variant>
      <vt:variant>
        <vt:i4>5</vt:i4>
      </vt:variant>
      <vt:variant>
        <vt:lpwstr>http://www.nevo.co.il/law/70301</vt:lpwstr>
      </vt:variant>
      <vt:variant>
        <vt:lpwstr/>
      </vt:variant>
      <vt:variant>
        <vt:i4>6357043</vt:i4>
      </vt:variant>
      <vt:variant>
        <vt:i4>15</vt:i4>
      </vt:variant>
      <vt:variant>
        <vt:i4>0</vt:i4>
      </vt:variant>
      <vt:variant>
        <vt:i4>5</vt:i4>
      </vt:variant>
      <vt:variant>
        <vt:lpwstr>http://www.nevo.co.il/law/70301/144.c.1</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6357043</vt:i4>
      </vt:variant>
      <vt:variant>
        <vt:i4>9</vt:i4>
      </vt:variant>
      <vt:variant>
        <vt:i4>0</vt:i4>
      </vt:variant>
      <vt:variant>
        <vt:i4>5</vt:i4>
      </vt:variant>
      <vt:variant>
        <vt:lpwstr>http://www.nevo.co.il/law/70301/144.c.1</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2025-01-19T16:41:00Z</dcterms:created>
  <dcterms:modified xsi:type="dcterms:W3CDTF">2025-01-19T16:41:00Z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7053</vt:lpwstr>
  </property>
  <property fmtid="{D5CDD505-2E9C-101B-9397-08002B2CF9AE}" pid="6" name="NEWPARTB">
    <vt:lpwstr>03</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חליל רבאיעה  ע#ח</vt:lpwstr>
  </property>
  <property fmtid="{D5CDD505-2E9C-101B-9397-08002B2CF9AE}" pid="10" name="LAWYER">
    <vt:lpwstr>הדס עמיר;וסים דראושה</vt:lpwstr>
  </property>
  <property fmtid="{D5CDD505-2E9C-101B-9397-08002B2CF9AE}" pid="11" name="JUDGE">
    <vt:lpwstr>חגית מאק קלמנוביץ</vt:lpwstr>
  </property>
  <property fmtid="{D5CDD505-2E9C-101B-9397-08002B2CF9AE}" pid="12" name="CITY">
    <vt:lpwstr>י-ם</vt:lpwstr>
  </property>
  <property fmtid="{D5CDD505-2E9C-101B-9397-08002B2CF9AE}" pid="13" name="DATE">
    <vt:lpwstr>20220124</vt:lpwstr>
  </property>
  <property fmtid="{D5CDD505-2E9C-101B-9397-08002B2CF9AE}" pid="14" name="TYPE_N_DATE">
    <vt:lpwstr>39020220124</vt:lpwstr>
  </property>
  <property fmtid="{D5CDD505-2E9C-101B-9397-08002B2CF9AE}" pid="15" name="WORDNUMPAGES">
    <vt:lpwstr>7</vt:lpwstr>
  </property>
  <property fmtid="{D5CDD505-2E9C-101B-9397-08002B2CF9AE}" pid="16" name="TYPE_ABS_DATE">
    <vt:lpwstr>390020220124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5821327;8291683;7980162;25824863:2;27915710;7697292;25063920;28152132;24269595;22006503;27503154;26714559;26923758;27247581;26568495;25890687;22739459;23169485</vt:lpwstr>
  </property>
  <property fmtid="{D5CDD505-2E9C-101B-9397-08002B2CF9AE}" pid="36" name="LAWLISTTMP1">
    <vt:lpwstr>70301/144.b;144.c.1;144.a</vt:lpwstr>
  </property>
</Properties>
</file>