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3578"/>
        <w:gridCol w:w="3089"/>
        <w:gridCol w:w="1838"/>
        <w:gridCol w:w="315"/>
      </w:tblGrid>
      <w:tr w:rsidR="00712AEF" w:rsidRPr="00F9558E" w14:paraId="6B4FAD00" w14:textId="77777777" w:rsidTr="00A053B7">
        <w:trPr>
          <w:gridAfter w:val="1"/>
          <w:wAfter w:w="315" w:type="dxa"/>
          <w:trHeight w:hRule="exact" w:val="418"/>
          <w:jc w:val="center"/>
        </w:trPr>
        <w:tc>
          <w:tcPr>
            <w:tcW w:w="8505" w:type="dxa"/>
            <w:gridSpan w:val="3"/>
          </w:tcPr>
          <w:p w14:paraId="44722DB1" w14:textId="77777777" w:rsidR="00712AEF" w:rsidRPr="00F9558E" w:rsidRDefault="00712AEF" w:rsidP="00433D30">
            <w:pPr>
              <w:pStyle w:val="a3"/>
              <w:jc w:val="center"/>
              <w:rPr>
                <w:rFonts w:ascii="Tahoma" w:hAnsi="Tahoma" w:cs="Tahoma"/>
                <w:color w:val="000080"/>
                <w:rtl/>
              </w:rPr>
            </w:pPr>
            <w:bookmarkStart w:id="0" w:name="LastJudge"/>
            <w:r w:rsidRPr="00F9558E">
              <w:rPr>
                <w:rFonts w:ascii="Tahoma" w:hAnsi="Tahoma" w:cs="Tahoma"/>
                <w:b/>
                <w:bCs/>
                <w:color w:val="000080"/>
                <w:rtl/>
              </w:rPr>
              <w:t>בית המשפט המחוזי בירושלים</w:t>
            </w:r>
          </w:p>
        </w:tc>
      </w:tr>
      <w:tr w:rsidR="00712AEF" w:rsidRPr="00F9558E" w14:paraId="349FA750" w14:textId="77777777" w:rsidTr="00A053B7">
        <w:trPr>
          <w:gridAfter w:val="1"/>
          <w:wAfter w:w="315" w:type="dxa"/>
          <w:trHeight w:val="337"/>
          <w:jc w:val="center"/>
        </w:trPr>
        <w:tc>
          <w:tcPr>
            <w:tcW w:w="6667" w:type="dxa"/>
            <w:gridSpan w:val="2"/>
          </w:tcPr>
          <w:p w14:paraId="6AACC0B3" w14:textId="77777777" w:rsidR="00712AEF" w:rsidRPr="00F9558E" w:rsidRDefault="00712AEF" w:rsidP="00433D30">
            <w:pPr>
              <w:rPr>
                <w:rFonts w:cs="FrankRuehl"/>
                <w:sz w:val="28"/>
                <w:szCs w:val="28"/>
                <w:rtl/>
              </w:rPr>
            </w:pPr>
            <w:r w:rsidRPr="00F9558E">
              <w:rPr>
                <w:rFonts w:cs="FrankRuehl"/>
                <w:sz w:val="28"/>
                <w:szCs w:val="28"/>
                <w:rtl/>
              </w:rPr>
              <w:t>ת"פ</w:t>
            </w:r>
            <w:r w:rsidRPr="00F9558E">
              <w:rPr>
                <w:rFonts w:cs="FrankRuehl" w:hint="cs"/>
                <w:sz w:val="28"/>
                <w:szCs w:val="28"/>
                <w:rtl/>
              </w:rPr>
              <w:t xml:space="preserve"> </w:t>
            </w:r>
            <w:r w:rsidRPr="00F9558E">
              <w:rPr>
                <w:rFonts w:cs="FrankRuehl"/>
                <w:sz w:val="28"/>
                <w:szCs w:val="28"/>
                <w:rtl/>
              </w:rPr>
              <w:t>7089-03-21</w:t>
            </w:r>
            <w:r w:rsidRPr="00F9558E">
              <w:rPr>
                <w:rFonts w:cs="FrankRuehl" w:hint="cs"/>
                <w:sz w:val="28"/>
                <w:szCs w:val="28"/>
                <w:rtl/>
              </w:rPr>
              <w:t xml:space="preserve"> </w:t>
            </w:r>
            <w:r w:rsidRPr="00F9558E">
              <w:rPr>
                <w:rFonts w:cs="FrankRuehl"/>
                <w:sz w:val="28"/>
                <w:szCs w:val="28"/>
                <w:rtl/>
              </w:rPr>
              <w:t>מדינת ישראל נ' הדרא===(אחר/נוסף) ואח'</w:t>
            </w:r>
          </w:p>
          <w:p w14:paraId="00697BDB" w14:textId="77777777" w:rsidR="00712AEF" w:rsidRPr="00F9558E" w:rsidRDefault="00712AEF" w:rsidP="00433D30">
            <w:pPr>
              <w:pStyle w:val="a3"/>
              <w:rPr>
                <w:rFonts w:cs="FrankRuehl"/>
                <w:sz w:val="28"/>
                <w:szCs w:val="28"/>
                <w:rtl/>
              </w:rPr>
            </w:pPr>
          </w:p>
        </w:tc>
        <w:tc>
          <w:tcPr>
            <w:tcW w:w="1838" w:type="dxa"/>
          </w:tcPr>
          <w:p w14:paraId="69C13874" w14:textId="77777777" w:rsidR="00712AEF" w:rsidRPr="00F9558E" w:rsidRDefault="00712AEF" w:rsidP="00433D30">
            <w:pPr>
              <w:pStyle w:val="a3"/>
              <w:jc w:val="right"/>
              <w:rPr>
                <w:rFonts w:cs="FrankRuehl"/>
                <w:sz w:val="28"/>
                <w:szCs w:val="28"/>
                <w:rtl/>
              </w:rPr>
            </w:pPr>
          </w:p>
        </w:tc>
      </w:tr>
      <w:tr w:rsidR="00712AEF" w:rsidRPr="00F9558E" w14:paraId="6BC3AAE8" w14:textId="77777777" w:rsidTr="00A053B7">
        <w:tblPrEx>
          <w:tblLook w:val="01E0" w:firstRow="1" w:lastRow="1" w:firstColumn="1" w:lastColumn="1" w:noHBand="0" w:noVBand="0"/>
        </w:tblPrEx>
        <w:trPr>
          <w:jc w:val="center"/>
        </w:trPr>
        <w:tc>
          <w:tcPr>
            <w:tcW w:w="8820" w:type="dxa"/>
            <w:gridSpan w:val="4"/>
            <w:shd w:val="clear" w:color="auto" w:fill="auto"/>
          </w:tcPr>
          <w:p w14:paraId="6BE282E0" w14:textId="77777777" w:rsidR="00712AEF" w:rsidRPr="00F9558E" w:rsidRDefault="00712AEF" w:rsidP="00712AEF">
            <w:pPr>
              <w:jc w:val="right"/>
              <w:rPr>
                <w:b/>
                <w:bCs/>
                <w:sz w:val="26"/>
                <w:szCs w:val="26"/>
              </w:rPr>
            </w:pPr>
            <w:r w:rsidRPr="00F9558E">
              <w:rPr>
                <w:rFonts w:hint="cs"/>
                <w:rtl/>
              </w:rPr>
              <w:t xml:space="preserve"> </w:t>
            </w:r>
            <w:r w:rsidRPr="00F9558E">
              <w:rPr>
                <w:rFonts w:hint="cs"/>
                <w:b/>
                <w:bCs/>
                <w:sz w:val="26"/>
                <w:szCs w:val="26"/>
                <w:rtl/>
              </w:rPr>
              <w:t>29</w:t>
            </w:r>
            <w:r w:rsidRPr="00F9558E">
              <w:rPr>
                <w:b/>
                <w:bCs/>
                <w:sz w:val="26"/>
                <w:szCs w:val="26"/>
                <w:rtl/>
              </w:rPr>
              <w:t>.1.2023</w:t>
            </w:r>
          </w:p>
        </w:tc>
      </w:tr>
      <w:tr w:rsidR="00712AEF" w:rsidRPr="00F9558E" w14:paraId="2639FBE4" w14:textId="77777777" w:rsidTr="00A053B7">
        <w:tblPrEx>
          <w:tblLook w:val="01E0" w:firstRow="1" w:lastRow="1" w:firstColumn="1" w:lastColumn="1" w:noHBand="0" w:noVBand="0"/>
        </w:tblPrEx>
        <w:trPr>
          <w:jc w:val="center"/>
        </w:trPr>
        <w:tc>
          <w:tcPr>
            <w:tcW w:w="8820" w:type="dxa"/>
            <w:gridSpan w:val="4"/>
            <w:shd w:val="clear" w:color="auto" w:fill="auto"/>
          </w:tcPr>
          <w:p w14:paraId="4C8076E6" w14:textId="77777777" w:rsidR="00712AEF" w:rsidRPr="00F9558E" w:rsidRDefault="00712AEF" w:rsidP="00433D30">
            <w:pPr>
              <w:rPr>
                <w:b/>
                <w:bCs/>
                <w:sz w:val="26"/>
                <w:szCs w:val="26"/>
              </w:rPr>
            </w:pPr>
            <w:r w:rsidRPr="00F9558E">
              <w:rPr>
                <w:b/>
                <w:bCs/>
                <w:sz w:val="26"/>
                <w:szCs w:val="26"/>
                <w:rtl/>
              </w:rPr>
              <w:t>לפני כבוד השופטת תמר בר-אשר</w:t>
            </w:r>
          </w:p>
          <w:p w14:paraId="775E2FB1" w14:textId="77777777" w:rsidR="00712AEF" w:rsidRPr="00F9558E" w:rsidRDefault="00712AEF" w:rsidP="00433D30">
            <w:pPr>
              <w:rPr>
                <w:sz w:val="26"/>
                <w:szCs w:val="26"/>
                <w:rtl/>
              </w:rPr>
            </w:pPr>
          </w:p>
          <w:p w14:paraId="735886D8" w14:textId="77777777" w:rsidR="00712AEF" w:rsidRPr="00F9558E" w:rsidRDefault="00712AEF" w:rsidP="00433D30">
            <w:pPr>
              <w:rPr>
                <w:sz w:val="26"/>
                <w:szCs w:val="26"/>
                <w:rtl/>
              </w:rPr>
            </w:pPr>
          </w:p>
        </w:tc>
      </w:tr>
      <w:tr w:rsidR="00712AEF" w:rsidRPr="00F9558E" w14:paraId="7C7A176D" w14:textId="77777777" w:rsidTr="00A053B7">
        <w:tblPrEx>
          <w:tblLook w:val="01E0" w:firstRow="1" w:lastRow="1" w:firstColumn="1" w:lastColumn="1" w:noHBand="0" w:noVBand="0"/>
        </w:tblPrEx>
        <w:trPr>
          <w:jc w:val="center"/>
        </w:trPr>
        <w:tc>
          <w:tcPr>
            <w:tcW w:w="3578" w:type="dxa"/>
            <w:shd w:val="clear" w:color="auto" w:fill="auto"/>
          </w:tcPr>
          <w:p w14:paraId="19811134" w14:textId="77777777" w:rsidR="00712AEF" w:rsidRPr="00F9558E" w:rsidRDefault="00712AEF" w:rsidP="00433D30">
            <w:pPr>
              <w:rPr>
                <w:b/>
                <w:bCs/>
                <w:sz w:val="26"/>
                <w:szCs w:val="26"/>
                <w:rtl/>
              </w:rPr>
            </w:pPr>
            <w:bookmarkStart w:id="1" w:name="FirstAppellant"/>
            <w:r w:rsidRPr="00F9558E">
              <w:rPr>
                <w:b/>
                <w:bCs/>
                <w:sz w:val="26"/>
                <w:szCs w:val="26"/>
                <w:rtl/>
              </w:rPr>
              <w:t>המאשימה</w:t>
            </w:r>
          </w:p>
        </w:tc>
        <w:tc>
          <w:tcPr>
            <w:tcW w:w="5242" w:type="dxa"/>
            <w:gridSpan w:val="3"/>
            <w:shd w:val="clear" w:color="auto" w:fill="auto"/>
          </w:tcPr>
          <w:p w14:paraId="077DB449" w14:textId="77777777" w:rsidR="00712AEF" w:rsidRPr="00F9558E" w:rsidRDefault="00712AEF" w:rsidP="00433D30">
            <w:pPr>
              <w:rPr>
                <w:b/>
                <w:bCs/>
                <w:sz w:val="26"/>
                <w:szCs w:val="26"/>
              </w:rPr>
            </w:pPr>
            <w:r w:rsidRPr="00F9558E">
              <w:rPr>
                <w:b/>
                <w:bCs/>
                <w:sz w:val="26"/>
                <w:szCs w:val="26"/>
                <w:rtl/>
              </w:rPr>
              <w:t>מדינת ישראל</w:t>
            </w:r>
          </w:p>
        </w:tc>
      </w:tr>
      <w:bookmarkEnd w:id="1"/>
      <w:tr w:rsidR="00712AEF" w:rsidRPr="00F9558E" w14:paraId="15FC9CC5" w14:textId="77777777" w:rsidTr="00A053B7">
        <w:tblPrEx>
          <w:tblLook w:val="01E0" w:firstRow="1" w:lastRow="1" w:firstColumn="1" w:lastColumn="1" w:noHBand="0" w:noVBand="0"/>
        </w:tblPrEx>
        <w:trPr>
          <w:jc w:val="center"/>
        </w:trPr>
        <w:tc>
          <w:tcPr>
            <w:tcW w:w="8820" w:type="dxa"/>
            <w:gridSpan w:val="4"/>
            <w:shd w:val="clear" w:color="auto" w:fill="auto"/>
          </w:tcPr>
          <w:p w14:paraId="72E1B8AA" w14:textId="77777777" w:rsidR="00712AEF" w:rsidRPr="00F9558E" w:rsidRDefault="00712AEF" w:rsidP="00433D30">
            <w:pPr>
              <w:rPr>
                <w:b/>
                <w:bCs/>
                <w:sz w:val="26"/>
                <w:szCs w:val="26"/>
                <w:rtl/>
              </w:rPr>
            </w:pPr>
          </w:p>
          <w:p w14:paraId="58764C90" w14:textId="77777777" w:rsidR="00712AEF" w:rsidRPr="00F9558E" w:rsidRDefault="00712AEF" w:rsidP="00433D30">
            <w:pPr>
              <w:rPr>
                <w:b/>
                <w:bCs/>
                <w:sz w:val="26"/>
                <w:szCs w:val="26"/>
              </w:rPr>
            </w:pPr>
            <w:r w:rsidRPr="00F9558E">
              <w:rPr>
                <w:b/>
                <w:bCs/>
                <w:sz w:val="26"/>
                <w:szCs w:val="26"/>
                <w:rtl/>
              </w:rPr>
              <w:t>נגד</w:t>
            </w:r>
          </w:p>
          <w:p w14:paraId="4D64256D" w14:textId="77777777" w:rsidR="00712AEF" w:rsidRPr="00F9558E" w:rsidRDefault="00712AEF" w:rsidP="00433D30">
            <w:pPr>
              <w:rPr>
                <w:b/>
                <w:bCs/>
                <w:sz w:val="26"/>
                <w:szCs w:val="26"/>
                <w:rtl/>
              </w:rPr>
            </w:pPr>
          </w:p>
        </w:tc>
      </w:tr>
      <w:tr w:rsidR="00712AEF" w:rsidRPr="00F9558E" w14:paraId="3957210E" w14:textId="77777777" w:rsidTr="00A053B7">
        <w:tblPrEx>
          <w:tblLook w:val="01E0" w:firstRow="1" w:lastRow="1" w:firstColumn="1" w:lastColumn="1" w:noHBand="0" w:noVBand="0"/>
        </w:tblPrEx>
        <w:trPr>
          <w:jc w:val="center"/>
        </w:trPr>
        <w:tc>
          <w:tcPr>
            <w:tcW w:w="3578" w:type="dxa"/>
            <w:shd w:val="clear" w:color="auto" w:fill="auto"/>
          </w:tcPr>
          <w:p w14:paraId="1716E0B3" w14:textId="77777777" w:rsidR="00712AEF" w:rsidRPr="00F9558E" w:rsidRDefault="00712AEF" w:rsidP="00433D30">
            <w:pPr>
              <w:rPr>
                <w:b/>
                <w:bCs/>
                <w:sz w:val="26"/>
                <w:szCs w:val="26"/>
                <w:rtl/>
              </w:rPr>
            </w:pPr>
            <w:r w:rsidRPr="00F9558E">
              <w:rPr>
                <w:b/>
                <w:bCs/>
                <w:sz w:val="26"/>
                <w:szCs w:val="26"/>
                <w:rtl/>
              </w:rPr>
              <w:t>הנאשמים</w:t>
            </w:r>
          </w:p>
        </w:tc>
        <w:tc>
          <w:tcPr>
            <w:tcW w:w="5242" w:type="dxa"/>
            <w:gridSpan w:val="3"/>
            <w:shd w:val="clear" w:color="auto" w:fill="auto"/>
          </w:tcPr>
          <w:p w14:paraId="63B6F02B" w14:textId="77777777" w:rsidR="00712AEF" w:rsidRPr="00F9558E" w:rsidRDefault="00712AEF" w:rsidP="00433D30">
            <w:pPr>
              <w:rPr>
                <w:b/>
                <w:bCs/>
                <w:sz w:val="26"/>
                <w:szCs w:val="26"/>
              </w:rPr>
            </w:pPr>
            <w:r w:rsidRPr="00F9558E">
              <w:rPr>
                <w:b/>
                <w:bCs/>
                <w:sz w:val="26"/>
                <w:szCs w:val="26"/>
                <w:rtl/>
              </w:rPr>
              <w:t xml:space="preserve">1.   עדנאן הדרא </w:t>
            </w:r>
          </w:p>
          <w:p w14:paraId="7C2883D9" w14:textId="77777777" w:rsidR="00712AEF" w:rsidRPr="00F9558E" w:rsidRDefault="00712AEF" w:rsidP="00433D30">
            <w:pPr>
              <w:rPr>
                <w:sz w:val="26"/>
                <w:szCs w:val="26"/>
                <w:rtl/>
              </w:rPr>
            </w:pPr>
            <w:r w:rsidRPr="00F9558E">
              <w:rPr>
                <w:b/>
                <w:bCs/>
                <w:sz w:val="26"/>
                <w:szCs w:val="26"/>
                <w:rtl/>
              </w:rPr>
              <w:t xml:space="preserve">2.   עלי מחיסן </w:t>
            </w:r>
          </w:p>
        </w:tc>
      </w:tr>
    </w:tbl>
    <w:p w14:paraId="5E9BEE6D" w14:textId="77777777" w:rsidR="00712AEF" w:rsidRPr="00F9558E" w:rsidRDefault="00712AEF" w:rsidP="00712AEF">
      <w:pPr>
        <w:rPr>
          <w:sz w:val="26"/>
          <w:szCs w:val="26"/>
          <w:rtl/>
        </w:rPr>
      </w:pPr>
    </w:p>
    <w:p w14:paraId="1F16AB5C" w14:textId="77777777" w:rsidR="00712AEF" w:rsidRPr="00F9558E" w:rsidRDefault="00712AEF" w:rsidP="00712AEF">
      <w:pPr>
        <w:rPr>
          <w:sz w:val="26"/>
          <w:szCs w:val="26"/>
          <w:rtl/>
        </w:rPr>
      </w:pPr>
    </w:p>
    <w:p w14:paraId="43B8A125" w14:textId="77777777" w:rsidR="00712AEF" w:rsidRPr="00F9558E" w:rsidRDefault="00712AEF" w:rsidP="00712AEF">
      <w:pPr>
        <w:rPr>
          <w:sz w:val="26"/>
          <w:szCs w:val="26"/>
          <w:rtl/>
        </w:rPr>
      </w:pPr>
      <w:bookmarkStart w:id="2" w:name="FirstLawyer"/>
      <w:r w:rsidRPr="00F9558E">
        <w:rPr>
          <w:sz w:val="26"/>
          <w:szCs w:val="26"/>
          <w:rtl/>
        </w:rPr>
        <w:t>בא</w:t>
      </w:r>
      <w:r w:rsidRPr="00F9558E">
        <w:rPr>
          <w:rFonts w:hint="cs"/>
          <w:sz w:val="26"/>
          <w:szCs w:val="26"/>
          <w:rtl/>
        </w:rPr>
        <w:t>ת</w:t>
      </w:r>
      <w:r w:rsidRPr="00F9558E">
        <w:rPr>
          <w:sz w:val="26"/>
          <w:szCs w:val="26"/>
          <w:rtl/>
        </w:rPr>
        <w:t>-כ</w:t>
      </w:r>
      <w:bookmarkEnd w:id="2"/>
      <w:r w:rsidRPr="00F9558E">
        <w:rPr>
          <w:sz w:val="26"/>
          <w:szCs w:val="26"/>
          <w:rtl/>
        </w:rPr>
        <w:t xml:space="preserve">וח המאשימה: </w:t>
      </w:r>
      <w:r w:rsidRPr="00F9558E">
        <w:rPr>
          <w:sz w:val="26"/>
          <w:szCs w:val="26"/>
          <w:rtl/>
        </w:rPr>
        <w:tab/>
        <w:t xml:space="preserve">עו"ד </w:t>
      </w:r>
      <w:r w:rsidRPr="00F9558E">
        <w:rPr>
          <w:rFonts w:hint="cs"/>
          <w:sz w:val="26"/>
          <w:szCs w:val="26"/>
          <w:rtl/>
        </w:rPr>
        <w:t>עופרי מלצר</w:t>
      </w:r>
      <w:r w:rsidRPr="00F9558E">
        <w:rPr>
          <w:sz w:val="26"/>
          <w:szCs w:val="26"/>
          <w:rtl/>
        </w:rPr>
        <w:t xml:space="preserve"> (פרקליטות מחוז ירושלים (פלילי))</w:t>
      </w:r>
    </w:p>
    <w:p w14:paraId="1D0ACF2D" w14:textId="77777777" w:rsidR="00712AEF" w:rsidRPr="00F9558E" w:rsidRDefault="00712AEF" w:rsidP="00712AEF">
      <w:pPr>
        <w:rPr>
          <w:sz w:val="26"/>
          <w:szCs w:val="26"/>
          <w:rtl/>
        </w:rPr>
      </w:pPr>
      <w:r w:rsidRPr="00F9558E">
        <w:rPr>
          <w:sz w:val="26"/>
          <w:szCs w:val="26"/>
          <w:rtl/>
        </w:rPr>
        <w:t>בא-כוח הנאשם 1:</w:t>
      </w:r>
      <w:r w:rsidRPr="00F9558E">
        <w:rPr>
          <w:sz w:val="26"/>
          <w:szCs w:val="26"/>
          <w:rtl/>
        </w:rPr>
        <w:tab/>
        <w:t xml:space="preserve">עו"ד </w:t>
      </w:r>
      <w:r w:rsidRPr="00F9558E">
        <w:rPr>
          <w:rFonts w:hint="cs"/>
          <w:sz w:val="26"/>
          <w:szCs w:val="26"/>
          <w:rtl/>
        </w:rPr>
        <w:t>זאב וולף</w:t>
      </w:r>
      <w:r w:rsidRPr="00F9558E">
        <w:rPr>
          <w:sz w:val="26"/>
          <w:szCs w:val="26"/>
          <w:rtl/>
        </w:rPr>
        <w:t xml:space="preserve"> (משרד עו"ד </w:t>
      </w:r>
      <w:r w:rsidRPr="00F9558E">
        <w:rPr>
          <w:rFonts w:hint="cs"/>
          <w:sz w:val="26"/>
          <w:szCs w:val="26"/>
          <w:rtl/>
        </w:rPr>
        <w:t>יהודה שושן</w:t>
      </w:r>
      <w:r w:rsidRPr="00F9558E">
        <w:rPr>
          <w:sz w:val="26"/>
          <w:szCs w:val="26"/>
          <w:rtl/>
        </w:rPr>
        <w:t>)</w:t>
      </w:r>
    </w:p>
    <w:p w14:paraId="42BAB6CE" w14:textId="77777777" w:rsidR="00A053B7" w:rsidRDefault="00A053B7" w:rsidP="00712AEF">
      <w:pPr>
        <w:rPr>
          <w:sz w:val="26"/>
          <w:szCs w:val="26"/>
          <w:rtl/>
        </w:rPr>
      </w:pPr>
    </w:p>
    <w:p w14:paraId="1003E54A" w14:textId="77777777" w:rsidR="00A053B7" w:rsidRPr="00A053B7" w:rsidRDefault="00A053B7" w:rsidP="00A053B7">
      <w:pPr>
        <w:spacing w:after="120" w:line="240" w:lineRule="exact"/>
        <w:ind w:left="283" w:hanging="283"/>
        <w:jc w:val="both"/>
        <w:rPr>
          <w:rFonts w:ascii="FrankRuehl" w:hAnsi="FrankRuehl" w:cs="FrankRuehl"/>
          <w:rtl/>
        </w:rPr>
      </w:pPr>
    </w:p>
    <w:p w14:paraId="0080034E" w14:textId="77777777" w:rsidR="00824634" w:rsidRPr="00824634" w:rsidRDefault="00824634" w:rsidP="00824634">
      <w:pPr>
        <w:spacing w:before="120" w:after="120" w:line="240" w:lineRule="exact"/>
        <w:ind w:left="283" w:hanging="283"/>
        <w:jc w:val="both"/>
        <w:rPr>
          <w:rFonts w:ascii="FrankRuehl" w:hAnsi="FrankRuehl" w:cs="FrankRuehl"/>
          <w:rtl/>
        </w:rPr>
      </w:pPr>
    </w:p>
    <w:p w14:paraId="4A0B7C63" w14:textId="77777777" w:rsidR="003E0D17" w:rsidRDefault="003E0D17" w:rsidP="003E0D17">
      <w:pPr>
        <w:jc w:val="center"/>
        <w:rPr>
          <w:rFonts w:ascii="David" w:hAnsi="David"/>
          <w:sz w:val="28"/>
          <w:szCs w:val="28"/>
          <w:rtl/>
        </w:rPr>
      </w:pPr>
      <w:bookmarkStart w:id="3" w:name="LawTable"/>
      <w:bookmarkEnd w:id="3"/>
    </w:p>
    <w:p w14:paraId="35AFAC85" w14:textId="77777777" w:rsidR="003E0D17" w:rsidRPr="003E0D17" w:rsidRDefault="003E0D17" w:rsidP="003E0D17">
      <w:pPr>
        <w:spacing w:before="120" w:after="120" w:line="240" w:lineRule="exact"/>
        <w:ind w:left="283" w:hanging="283"/>
        <w:jc w:val="both"/>
        <w:rPr>
          <w:rFonts w:ascii="FrankRuehl" w:hAnsi="FrankRuehl" w:cs="FrankRuehl"/>
          <w:rtl/>
        </w:rPr>
      </w:pPr>
    </w:p>
    <w:p w14:paraId="2F7A455B" w14:textId="77777777" w:rsidR="003E0D17" w:rsidRPr="003E0D17" w:rsidRDefault="003E0D17" w:rsidP="003E0D17">
      <w:pPr>
        <w:spacing w:before="120" w:after="120" w:line="240" w:lineRule="exact"/>
        <w:ind w:left="283" w:hanging="283"/>
        <w:jc w:val="both"/>
        <w:rPr>
          <w:rFonts w:ascii="FrankRuehl" w:hAnsi="FrankRuehl" w:cs="FrankRuehl"/>
          <w:rtl/>
        </w:rPr>
      </w:pPr>
    </w:p>
    <w:p w14:paraId="00C38223" w14:textId="77777777" w:rsidR="003E0D17" w:rsidRPr="003E0D17" w:rsidRDefault="003E0D17" w:rsidP="003E0D17">
      <w:pPr>
        <w:spacing w:before="120" w:after="120" w:line="240" w:lineRule="exact"/>
        <w:ind w:left="283" w:hanging="283"/>
        <w:jc w:val="both"/>
        <w:rPr>
          <w:rFonts w:ascii="FrankRuehl" w:hAnsi="FrankRuehl" w:cs="FrankRuehl"/>
          <w:rtl/>
        </w:rPr>
      </w:pPr>
      <w:r w:rsidRPr="003E0D17">
        <w:rPr>
          <w:rFonts w:ascii="FrankRuehl" w:hAnsi="FrankRuehl" w:cs="FrankRuehl"/>
          <w:rtl/>
        </w:rPr>
        <w:t xml:space="preserve">חקיקה שאוזכרה: </w:t>
      </w:r>
    </w:p>
    <w:p w14:paraId="67643687" w14:textId="77777777" w:rsidR="003E0D17" w:rsidRPr="003E0D17" w:rsidRDefault="003E0D17" w:rsidP="003E0D17">
      <w:pPr>
        <w:spacing w:before="120" w:after="120" w:line="240" w:lineRule="exact"/>
        <w:ind w:left="283" w:hanging="283"/>
        <w:jc w:val="both"/>
        <w:rPr>
          <w:rFonts w:ascii="FrankRuehl" w:hAnsi="FrankRuehl" w:cs="FrankRuehl"/>
          <w:rtl/>
        </w:rPr>
      </w:pPr>
      <w:hyperlink r:id="rId6" w:history="1">
        <w:r w:rsidRPr="003E0D17">
          <w:rPr>
            <w:rFonts w:ascii="FrankRuehl" w:hAnsi="FrankRuehl" w:cs="FrankRuehl"/>
            <w:color w:val="0000FF"/>
            <w:rtl/>
          </w:rPr>
          <w:t>חוק העונשין, תשל"ז-1977</w:t>
        </w:r>
      </w:hyperlink>
      <w:r w:rsidRPr="003E0D17">
        <w:rPr>
          <w:rFonts w:ascii="FrankRuehl" w:hAnsi="FrankRuehl" w:cs="FrankRuehl"/>
          <w:rtl/>
        </w:rPr>
        <w:t xml:space="preserve">: סע'  </w:t>
      </w:r>
      <w:hyperlink r:id="rId7" w:history="1">
        <w:r w:rsidRPr="003E0D17">
          <w:rPr>
            <w:rFonts w:ascii="FrankRuehl" w:hAnsi="FrankRuehl" w:cs="FrankRuehl"/>
            <w:color w:val="0000FF"/>
            <w:rtl/>
          </w:rPr>
          <w:t>31</w:t>
        </w:r>
      </w:hyperlink>
      <w:r w:rsidRPr="003E0D17">
        <w:rPr>
          <w:rFonts w:ascii="FrankRuehl" w:hAnsi="FrankRuehl" w:cs="FrankRuehl"/>
          <w:rtl/>
        </w:rPr>
        <w:t xml:space="preserve">, </w:t>
      </w:r>
      <w:hyperlink r:id="rId8" w:history="1">
        <w:r w:rsidRPr="003E0D17">
          <w:rPr>
            <w:rFonts w:ascii="FrankRuehl" w:hAnsi="FrankRuehl" w:cs="FrankRuehl"/>
            <w:color w:val="0000FF"/>
            <w:rtl/>
          </w:rPr>
          <w:t>144(א)</w:t>
        </w:r>
      </w:hyperlink>
      <w:r w:rsidRPr="003E0D17">
        <w:rPr>
          <w:rFonts w:ascii="FrankRuehl" w:hAnsi="FrankRuehl" w:cs="FrankRuehl"/>
          <w:rtl/>
        </w:rPr>
        <w:t xml:space="preserve">, </w:t>
      </w:r>
      <w:hyperlink r:id="rId9" w:history="1">
        <w:r w:rsidRPr="003E0D17">
          <w:rPr>
            <w:rFonts w:ascii="FrankRuehl" w:hAnsi="FrankRuehl" w:cs="FrankRuehl"/>
            <w:color w:val="0000FF"/>
            <w:rtl/>
          </w:rPr>
          <w:t>144(ב)</w:t>
        </w:r>
      </w:hyperlink>
      <w:r w:rsidRPr="003E0D17">
        <w:rPr>
          <w:rFonts w:ascii="FrankRuehl" w:hAnsi="FrankRuehl" w:cs="FrankRuehl"/>
          <w:rtl/>
        </w:rPr>
        <w:t xml:space="preserve">, </w:t>
      </w:r>
      <w:hyperlink r:id="rId10" w:history="1">
        <w:r w:rsidRPr="003E0D17">
          <w:rPr>
            <w:rFonts w:ascii="FrankRuehl" w:hAnsi="FrankRuehl" w:cs="FrankRuehl"/>
            <w:color w:val="0000FF"/>
            <w:rtl/>
          </w:rPr>
          <w:t>144(ג)(1)</w:t>
        </w:r>
      </w:hyperlink>
    </w:p>
    <w:p w14:paraId="0A8CD3A1" w14:textId="77777777" w:rsidR="003E0D17" w:rsidRPr="003E0D17" w:rsidRDefault="003E0D17" w:rsidP="003E0D17">
      <w:pPr>
        <w:jc w:val="center"/>
        <w:rPr>
          <w:rFonts w:ascii="David" w:hAnsi="David"/>
          <w:sz w:val="28"/>
          <w:szCs w:val="28"/>
          <w:rtl/>
        </w:rPr>
      </w:pPr>
      <w:bookmarkStart w:id="4" w:name="LawTable_End"/>
      <w:bookmarkEnd w:id="4"/>
    </w:p>
    <w:p w14:paraId="579F8CB9" w14:textId="77777777" w:rsidR="00A053B7" w:rsidRPr="00824634" w:rsidRDefault="00A053B7" w:rsidP="00824634">
      <w:pPr>
        <w:jc w:val="center"/>
        <w:rPr>
          <w:rFonts w:ascii="David" w:hAnsi="David"/>
          <w:sz w:val="28"/>
          <w:szCs w:val="28"/>
          <w:rtl/>
        </w:rPr>
      </w:pPr>
    </w:p>
    <w:p w14:paraId="1EE668C1" w14:textId="77777777" w:rsidR="00A053B7" w:rsidRPr="00F9558E" w:rsidRDefault="00A053B7" w:rsidP="00F9558E">
      <w:pPr>
        <w:jc w:val="center"/>
        <w:rPr>
          <w:rFonts w:ascii="David" w:hAnsi="David"/>
          <w:b/>
          <w:bCs/>
          <w:sz w:val="28"/>
          <w:szCs w:val="28"/>
          <w:u w:val="single"/>
          <w:rtl/>
        </w:rPr>
      </w:pPr>
      <w:bookmarkStart w:id="5" w:name="PsakDin"/>
      <w:r w:rsidRPr="00F9558E">
        <w:rPr>
          <w:rFonts w:ascii="David" w:hAnsi="David"/>
          <w:b/>
          <w:bCs/>
          <w:sz w:val="28"/>
          <w:szCs w:val="28"/>
          <w:u w:val="single"/>
          <w:rtl/>
        </w:rPr>
        <w:t>גזר דין   בעניין הנאשם 2</w:t>
      </w:r>
    </w:p>
    <w:bookmarkEnd w:id="5"/>
    <w:p w14:paraId="084D7BE6" w14:textId="77777777" w:rsidR="00A053B7" w:rsidRPr="00712AEF" w:rsidRDefault="00A053B7" w:rsidP="00712AEF">
      <w:pPr>
        <w:jc w:val="center"/>
        <w:rPr>
          <w:rFonts w:ascii="David" w:hAnsi="David"/>
          <w:b/>
          <w:bCs/>
          <w:sz w:val="28"/>
          <w:szCs w:val="28"/>
          <w:u w:val="single"/>
          <w:rtl/>
        </w:rPr>
      </w:pPr>
    </w:p>
    <w:bookmarkEnd w:id="0"/>
    <w:p w14:paraId="1F96DA7B" w14:textId="77777777" w:rsidR="00712AEF" w:rsidRPr="00495EE9" w:rsidRDefault="00712AEF" w:rsidP="00712AEF">
      <w:pPr>
        <w:spacing w:line="360" w:lineRule="auto"/>
        <w:jc w:val="both"/>
        <w:rPr>
          <w:rFonts w:ascii="Arial" w:hAnsi="Arial"/>
          <w:rtl/>
        </w:rPr>
      </w:pPr>
      <w:r w:rsidRPr="00495EE9">
        <w:rPr>
          <w:rFonts w:ascii="Arial" w:hAnsi="Arial"/>
          <w:rtl/>
        </w:rPr>
        <w:t>1.</w:t>
      </w:r>
      <w:r w:rsidRPr="00495EE9">
        <w:rPr>
          <w:rFonts w:ascii="Arial" w:hAnsi="Arial"/>
          <w:rtl/>
        </w:rPr>
        <w:tab/>
      </w:r>
      <w:bookmarkStart w:id="6" w:name="ABSTRACT_START"/>
      <w:bookmarkEnd w:id="6"/>
      <w:r w:rsidRPr="00495EE9">
        <w:rPr>
          <w:rFonts w:ascii="Arial" w:hAnsi="Arial"/>
          <w:b/>
          <w:bCs/>
          <w:u w:val="single"/>
          <w:rtl/>
        </w:rPr>
        <w:t>הכרעת הדין</w:t>
      </w:r>
      <w:r w:rsidRPr="00495EE9">
        <w:rPr>
          <w:rFonts w:ascii="Arial" w:hAnsi="Arial"/>
          <w:b/>
          <w:bCs/>
          <w:rtl/>
        </w:rPr>
        <w:t>:</w:t>
      </w:r>
      <w:r w:rsidRPr="00495EE9">
        <w:rPr>
          <w:rFonts w:ascii="Arial" w:hAnsi="Arial"/>
          <w:rtl/>
        </w:rPr>
        <w:t xml:space="preserve"> בהתאם להכרעת הדין מיום 18.11.2021, הנאשם 2 (להלן גם – </w:t>
      </w:r>
      <w:r w:rsidRPr="00495EE9">
        <w:rPr>
          <w:rFonts w:ascii="Arial" w:hAnsi="Arial"/>
          <w:b/>
          <w:bCs/>
          <w:rtl/>
        </w:rPr>
        <w:t>הנאשם</w:t>
      </w:r>
      <w:r w:rsidRPr="00495EE9">
        <w:rPr>
          <w:rFonts w:ascii="Arial" w:hAnsi="Arial"/>
          <w:rtl/>
        </w:rPr>
        <w:t xml:space="preserve">), יליד שנת 2001 הורשע על-פי הודאתו במסגרת הסדר טיעון בעבירת </w:t>
      </w:r>
      <w:r w:rsidRPr="00495EE9">
        <w:rPr>
          <w:rFonts w:ascii="Arial" w:hAnsi="Arial"/>
          <w:b/>
          <w:bCs/>
          <w:rtl/>
        </w:rPr>
        <w:t>סיוע לרכישת נשק</w:t>
      </w:r>
      <w:r w:rsidRPr="00495EE9">
        <w:rPr>
          <w:rFonts w:ascii="Arial" w:hAnsi="Arial"/>
          <w:rtl/>
        </w:rPr>
        <w:t xml:space="preserve">, לפי </w:t>
      </w:r>
      <w:hyperlink r:id="rId11" w:history="1">
        <w:r w:rsidR="00A053B7" w:rsidRPr="00A053B7">
          <w:rPr>
            <w:rStyle w:val="Hyperlink"/>
            <w:rFonts w:ascii="Arial" w:hAnsi="Arial"/>
            <w:rtl/>
          </w:rPr>
          <w:t>סעיף 144(א)</w:t>
        </w:r>
      </w:hyperlink>
      <w:r w:rsidRPr="00495EE9">
        <w:rPr>
          <w:rFonts w:ascii="Arial" w:hAnsi="Arial"/>
          <w:rtl/>
        </w:rPr>
        <w:t xml:space="preserve"> רישה וסיפה בצירוף </w:t>
      </w:r>
      <w:hyperlink r:id="rId12" w:history="1">
        <w:r w:rsidR="00A053B7" w:rsidRPr="00A053B7">
          <w:rPr>
            <w:rStyle w:val="Hyperlink"/>
            <w:rFonts w:ascii="Arial" w:hAnsi="Arial"/>
            <w:rtl/>
          </w:rPr>
          <w:t>סעיף 31</w:t>
        </w:r>
      </w:hyperlink>
      <w:r w:rsidRPr="00495EE9">
        <w:rPr>
          <w:rFonts w:ascii="Arial" w:hAnsi="Arial"/>
          <w:rtl/>
        </w:rPr>
        <w:t xml:space="preserve"> ב</w:t>
      </w:r>
      <w:hyperlink r:id="rId13" w:history="1">
        <w:r w:rsidR="00F9558E" w:rsidRPr="00F9558E">
          <w:rPr>
            <w:rFonts w:ascii="Arial" w:hAnsi="Arial"/>
            <w:color w:val="0000FF"/>
            <w:u w:val="single"/>
            <w:rtl/>
          </w:rPr>
          <w:t>חוק העונשין</w:t>
        </w:r>
      </w:hyperlink>
      <w:r w:rsidRPr="00495EE9">
        <w:rPr>
          <w:rFonts w:ascii="Arial" w:hAnsi="Arial"/>
          <w:rtl/>
        </w:rPr>
        <w:t xml:space="preserve">, התשל"ז-1977 (להלן – </w:t>
      </w:r>
      <w:r w:rsidRPr="00495EE9">
        <w:rPr>
          <w:rFonts w:ascii="Arial" w:hAnsi="Arial"/>
          <w:b/>
          <w:bCs/>
          <w:rtl/>
        </w:rPr>
        <w:t>החוק</w:t>
      </w:r>
      <w:r w:rsidRPr="00495EE9">
        <w:rPr>
          <w:rFonts w:ascii="Arial" w:hAnsi="Arial"/>
          <w:rtl/>
        </w:rPr>
        <w:t xml:space="preserve">) ובעבירת </w:t>
      </w:r>
      <w:r w:rsidRPr="00495EE9">
        <w:rPr>
          <w:rFonts w:ascii="Arial" w:hAnsi="Arial"/>
          <w:b/>
          <w:bCs/>
          <w:rtl/>
        </w:rPr>
        <w:t>סיוע לנשיאת נשק</w:t>
      </w:r>
      <w:r w:rsidRPr="00495EE9">
        <w:rPr>
          <w:rFonts w:ascii="Arial" w:hAnsi="Arial"/>
          <w:rtl/>
        </w:rPr>
        <w:t xml:space="preserve">, לפי </w:t>
      </w:r>
      <w:hyperlink r:id="rId14" w:history="1">
        <w:r w:rsidR="00A053B7" w:rsidRPr="00A053B7">
          <w:rPr>
            <w:rStyle w:val="Hyperlink"/>
            <w:rFonts w:ascii="Arial" w:hAnsi="Arial"/>
            <w:rtl/>
          </w:rPr>
          <w:t>סעיף 144(ב)</w:t>
        </w:r>
      </w:hyperlink>
      <w:r w:rsidRPr="00495EE9">
        <w:rPr>
          <w:rFonts w:ascii="Arial" w:hAnsi="Arial"/>
          <w:rtl/>
        </w:rPr>
        <w:t xml:space="preserve"> רישה וסיפה בצירוף </w:t>
      </w:r>
      <w:hyperlink r:id="rId15" w:history="1">
        <w:r w:rsidR="00A053B7" w:rsidRPr="00A053B7">
          <w:rPr>
            <w:rStyle w:val="Hyperlink"/>
            <w:rFonts w:ascii="Arial" w:hAnsi="Arial"/>
            <w:rtl/>
          </w:rPr>
          <w:t>סעיפים 144(ג)(1)</w:t>
        </w:r>
      </w:hyperlink>
      <w:r w:rsidRPr="00495EE9">
        <w:rPr>
          <w:rFonts w:ascii="Arial" w:hAnsi="Arial"/>
          <w:rtl/>
        </w:rPr>
        <w:t xml:space="preserve"> ו-</w:t>
      </w:r>
      <w:hyperlink r:id="rId16" w:history="1">
        <w:r w:rsidR="00A053B7" w:rsidRPr="00A053B7">
          <w:rPr>
            <w:rStyle w:val="Hyperlink"/>
            <w:rFonts w:ascii="Arial" w:hAnsi="Arial"/>
            <w:rtl/>
          </w:rPr>
          <w:t>31</w:t>
        </w:r>
      </w:hyperlink>
      <w:r w:rsidRPr="00495EE9">
        <w:rPr>
          <w:rFonts w:ascii="Arial" w:hAnsi="Arial"/>
          <w:rtl/>
        </w:rPr>
        <w:t xml:space="preserve"> בחוק.</w:t>
      </w:r>
    </w:p>
    <w:p w14:paraId="794875CD" w14:textId="77777777" w:rsidR="00712AEF" w:rsidRPr="00495EE9" w:rsidRDefault="00712AEF" w:rsidP="00712AEF">
      <w:pPr>
        <w:spacing w:line="360" w:lineRule="auto"/>
        <w:jc w:val="both"/>
        <w:rPr>
          <w:rFonts w:ascii="Arial" w:hAnsi="Arial"/>
          <w:rtl/>
        </w:rPr>
      </w:pPr>
      <w:bookmarkStart w:id="7" w:name="ABSTRACT_END"/>
      <w:bookmarkEnd w:id="7"/>
    </w:p>
    <w:p w14:paraId="6BDC207F" w14:textId="77777777" w:rsidR="00712AEF" w:rsidRPr="00495EE9" w:rsidRDefault="00712AEF" w:rsidP="00712AEF">
      <w:pPr>
        <w:spacing w:line="360" w:lineRule="auto"/>
        <w:jc w:val="both"/>
        <w:rPr>
          <w:rFonts w:ascii="Arial" w:hAnsi="Arial"/>
          <w:rtl/>
        </w:rPr>
      </w:pPr>
      <w:r w:rsidRPr="00495EE9">
        <w:rPr>
          <w:rFonts w:ascii="Arial" w:hAnsi="Arial"/>
          <w:rtl/>
        </w:rPr>
        <w:t>2.</w:t>
      </w:r>
      <w:r w:rsidRPr="00495EE9">
        <w:rPr>
          <w:rFonts w:ascii="Arial" w:hAnsi="Arial"/>
          <w:rtl/>
        </w:rPr>
        <w:tab/>
      </w:r>
      <w:r w:rsidRPr="00495EE9">
        <w:rPr>
          <w:rFonts w:ascii="Arial" w:hAnsi="Arial"/>
          <w:b/>
          <w:bCs/>
          <w:u w:val="single"/>
          <w:rtl/>
        </w:rPr>
        <w:t>הסדר הטיעון</w:t>
      </w:r>
      <w:r w:rsidRPr="00495EE9">
        <w:rPr>
          <w:rFonts w:ascii="Arial" w:hAnsi="Arial"/>
          <w:b/>
          <w:bCs/>
          <w:rtl/>
        </w:rPr>
        <w:t>:</w:t>
      </w:r>
      <w:r w:rsidRPr="00495EE9">
        <w:rPr>
          <w:rFonts w:ascii="Arial" w:hAnsi="Arial"/>
          <w:rtl/>
        </w:rPr>
        <w:t xml:space="preserve"> בהתאם להסדר הטיעון הוסכם כי שני הצדדים יעתרו להשית על הנאשם עשרה חודשי מאסר בפועל, מאסר מותנה כפי שיקבע בית משפט וקנס בסך 7,000 ₪. </w:t>
      </w:r>
    </w:p>
    <w:p w14:paraId="76D79F0B" w14:textId="77777777" w:rsidR="00712AEF" w:rsidRPr="00495EE9" w:rsidRDefault="00712AEF" w:rsidP="00712AEF">
      <w:pPr>
        <w:spacing w:line="360" w:lineRule="auto"/>
        <w:jc w:val="both"/>
        <w:rPr>
          <w:rFonts w:ascii="Arial" w:hAnsi="Arial"/>
          <w:rtl/>
        </w:rPr>
      </w:pPr>
    </w:p>
    <w:p w14:paraId="48FD7363" w14:textId="77777777" w:rsidR="00712AEF" w:rsidRPr="00495EE9" w:rsidRDefault="00712AEF" w:rsidP="00712AEF">
      <w:pPr>
        <w:spacing w:line="360" w:lineRule="auto"/>
        <w:jc w:val="both"/>
        <w:rPr>
          <w:rFonts w:ascii="Arial" w:hAnsi="Arial"/>
          <w:rtl/>
        </w:rPr>
      </w:pPr>
      <w:r w:rsidRPr="00495EE9">
        <w:rPr>
          <w:rFonts w:ascii="Arial" w:hAnsi="Arial"/>
          <w:rtl/>
        </w:rPr>
        <w:t>3.</w:t>
      </w:r>
      <w:r w:rsidRPr="00495EE9">
        <w:rPr>
          <w:rFonts w:ascii="Arial" w:hAnsi="Arial"/>
          <w:rtl/>
        </w:rPr>
        <w:tab/>
      </w:r>
      <w:r w:rsidRPr="00495EE9">
        <w:rPr>
          <w:rFonts w:ascii="Arial" w:hAnsi="Arial"/>
          <w:b/>
          <w:bCs/>
          <w:u w:val="single"/>
          <w:rtl/>
        </w:rPr>
        <w:t>עובדות כתב האישום המתוקן שבהן הודה הנאשם</w:t>
      </w:r>
      <w:r w:rsidRPr="00495EE9">
        <w:rPr>
          <w:rFonts w:ascii="Arial" w:hAnsi="Arial"/>
          <w:b/>
          <w:bCs/>
          <w:rtl/>
        </w:rPr>
        <w:t>:</w:t>
      </w:r>
      <w:r w:rsidRPr="00495EE9">
        <w:rPr>
          <w:rFonts w:ascii="Arial" w:hAnsi="Arial"/>
          <w:rtl/>
        </w:rPr>
        <w:t xml:space="preserve"> במועד האירוע שיתואר להלן, הנאשם 1 היה מאורס לאחות של הנאשם 2 (על-פי תסקיר שירות המבחן, מאז השניים כבר נישאו) ושניהם מכרים של חליל רבאיעה (להלן – </w:t>
      </w:r>
      <w:r w:rsidRPr="00495EE9">
        <w:rPr>
          <w:rFonts w:ascii="Arial" w:hAnsi="Arial"/>
          <w:b/>
          <w:bCs/>
          <w:rtl/>
        </w:rPr>
        <w:t>חליל</w:t>
      </w:r>
      <w:r w:rsidRPr="00495EE9">
        <w:rPr>
          <w:rFonts w:ascii="Arial" w:hAnsi="Arial"/>
          <w:rtl/>
        </w:rPr>
        <w:t xml:space="preserve">). חליל אמר לנאשם 1 כי ברשותו סך 30,000 ₪ שבאמצעותו ניתן לרכוש נשק. הנאשם 1 התקשר לאדם שזהותו אינה ידועה ושאל אותו על רכישת נשק בלגי תמורת לכל היותר סך 30,000 ₪ וכן התעניין ברכישת כדורי 9 מ"מ. </w:t>
      </w:r>
    </w:p>
    <w:p w14:paraId="3E4089B0" w14:textId="77777777" w:rsidR="00712AEF" w:rsidRPr="00495EE9" w:rsidRDefault="00712AEF" w:rsidP="00712AEF">
      <w:pPr>
        <w:spacing w:line="360" w:lineRule="auto"/>
        <w:jc w:val="both"/>
        <w:rPr>
          <w:rFonts w:ascii="Arial" w:hAnsi="Arial"/>
          <w:rtl/>
        </w:rPr>
      </w:pPr>
    </w:p>
    <w:p w14:paraId="4CEEEDEB" w14:textId="77777777" w:rsidR="00712AEF" w:rsidRPr="00495EE9" w:rsidRDefault="00712AEF" w:rsidP="00712AEF">
      <w:pPr>
        <w:spacing w:line="360" w:lineRule="auto"/>
        <w:jc w:val="both"/>
        <w:rPr>
          <w:rFonts w:ascii="Arial" w:hAnsi="Arial"/>
          <w:rtl/>
        </w:rPr>
      </w:pPr>
      <w:r w:rsidRPr="00495EE9">
        <w:rPr>
          <w:rFonts w:ascii="Arial" w:hAnsi="Arial"/>
          <w:rtl/>
        </w:rPr>
        <w:lastRenderedPageBreak/>
        <w:t xml:space="preserve">ביום 16.2.2021 בשעות הצהריים הנאשם 1 וחליל נפגשו ונסעו לרמאללה כדי לרכוש את הנשק. בדרכם פגשו את הנאשם 2, שהצטרף אליהם. בהתאם לתיאום המוקדם שתיאם הנאשם 1, פגשו הנאשמים וחליל את המוכר, ששהותו אינה ידועה, בשעות אחר הצהריים. המוכר נכנס אל הרכב שבו הגיעו הנאשמים וחליל, התיישב במושב האחורי והציג לנאשמים אקדח תוצרת בלגיה מסוג </w:t>
      </w:r>
      <w:r w:rsidRPr="00495EE9">
        <w:rPr>
          <w:rFonts w:ascii="Arial" w:hAnsi="Arial"/>
        </w:rPr>
        <w:t>FN</w:t>
      </w:r>
      <w:r w:rsidRPr="00495EE9">
        <w:rPr>
          <w:rFonts w:ascii="Arial" w:hAnsi="Arial"/>
          <w:rtl/>
        </w:rPr>
        <w:t>, תואם קליעי 9 מ"מ, שבכוחו להמית אדם ומחסנית תואמת. הנאשם 1 אחז באקדח ובדק אותו ולאחר מכן, אחזו בו גם הנאשם 2 וחליל וכל השלושה הסכימו כי הנשק "טוב ונקי". חליל הוציא את שטרות הכסף בסך 30,000 ₪ ומסר אותם לנאשם 1 שהעבירם אל המוכר. לאחר מכן נסעו הנאשמים וחליל מרמאללה חזרה לכיוון ירושלים בעוד האקדח והמחסנית ברשותם. סמוך לשעה 19:00 עצרה אותם המשטרה סמוך לכיכר א-טור.</w:t>
      </w:r>
    </w:p>
    <w:p w14:paraId="052A2711" w14:textId="77777777" w:rsidR="00712AEF" w:rsidRPr="00495EE9" w:rsidRDefault="00712AEF" w:rsidP="00712AEF">
      <w:pPr>
        <w:spacing w:line="360" w:lineRule="auto"/>
        <w:jc w:val="both"/>
        <w:rPr>
          <w:rFonts w:ascii="Arial" w:hAnsi="Arial"/>
          <w:rtl/>
        </w:rPr>
      </w:pPr>
    </w:p>
    <w:p w14:paraId="3D2970B9" w14:textId="77777777" w:rsidR="00712AEF" w:rsidRPr="00495EE9" w:rsidRDefault="00712AEF" w:rsidP="00712AEF">
      <w:pPr>
        <w:spacing w:line="360" w:lineRule="auto"/>
        <w:jc w:val="both"/>
        <w:rPr>
          <w:rFonts w:ascii="Arial" w:hAnsi="Arial"/>
          <w:rtl/>
        </w:rPr>
      </w:pPr>
      <w:r w:rsidRPr="00495EE9">
        <w:rPr>
          <w:rFonts w:ascii="Arial" w:hAnsi="Arial"/>
          <w:rtl/>
        </w:rPr>
        <w:t>4.</w:t>
      </w:r>
      <w:r w:rsidRPr="00495EE9">
        <w:rPr>
          <w:rFonts w:ascii="Arial" w:hAnsi="Arial"/>
          <w:rtl/>
        </w:rPr>
        <w:tab/>
      </w:r>
      <w:r w:rsidRPr="00495EE9">
        <w:rPr>
          <w:rFonts w:ascii="Arial" w:hAnsi="Arial"/>
          <w:b/>
          <w:bCs/>
          <w:u w:val="single"/>
          <w:rtl/>
        </w:rPr>
        <w:t>ההליכים בעניין המעורבים</w:t>
      </w:r>
      <w:r w:rsidRPr="00495EE9">
        <w:rPr>
          <w:rFonts w:ascii="Arial" w:hAnsi="Arial"/>
          <w:b/>
          <w:bCs/>
          <w:rtl/>
        </w:rPr>
        <w:t>:</w:t>
      </w:r>
      <w:r w:rsidRPr="00495EE9">
        <w:rPr>
          <w:rFonts w:ascii="Arial" w:hAnsi="Arial"/>
          <w:rtl/>
        </w:rPr>
        <w:t xml:space="preserve"> עניינו של </w:t>
      </w:r>
      <w:r w:rsidRPr="00495EE9">
        <w:rPr>
          <w:rFonts w:ascii="Arial" w:hAnsi="Arial"/>
          <w:b/>
          <w:bCs/>
          <w:rtl/>
        </w:rPr>
        <w:t xml:space="preserve">חליל </w:t>
      </w:r>
      <w:r w:rsidRPr="00495EE9">
        <w:rPr>
          <w:rFonts w:ascii="Arial" w:hAnsi="Arial"/>
          <w:rtl/>
        </w:rPr>
        <w:t xml:space="preserve">נדון בנפרד (לפני כבוד השופטת ח' מאק-קלמנוביץ). על-פי גזר הדין בעניינו (ת"פ (מחוזי ירושלים) 7053-03-21 </w:t>
      </w:r>
      <w:r w:rsidRPr="00495EE9">
        <w:rPr>
          <w:rFonts w:ascii="Arial" w:hAnsi="Arial"/>
          <w:b/>
          <w:bCs/>
          <w:rtl/>
        </w:rPr>
        <w:t>מדינת ישראל נ' חליל רבאיעה</w:t>
      </w:r>
      <w:r w:rsidRPr="00495EE9">
        <w:rPr>
          <w:rFonts w:ascii="Arial" w:hAnsi="Arial"/>
          <w:rtl/>
        </w:rPr>
        <w:t xml:space="preserve"> (24.1.2022)), הוא הורשע על-פי הודאתו במסגרת הסדר טיעון בעבירות </w:t>
      </w:r>
      <w:r w:rsidRPr="00495EE9">
        <w:rPr>
          <w:rFonts w:ascii="Arial" w:hAnsi="Arial"/>
          <w:b/>
          <w:bCs/>
          <w:rtl/>
        </w:rPr>
        <w:t xml:space="preserve">רכישת נשק </w:t>
      </w:r>
      <w:r w:rsidRPr="00495EE9">
        <w:rPr>
          <w:rFonts w:ascii="Arial" w:hAnsi="Arial"/>
          <w:rtl/>
        </w:rPr>
        <w:t>ו</w:t>
      </w:r>
      <w:r w:rsidRPr="00495EE9">
        <w:rPr>
          <w:rFonts w:ascii="Arial" w:hAnsi="Arial"/>
          <w:b/>
          <w:bCs/>
          <w:rtl/>
        </w:rPr>
        <w:t>נשיאת נשק</w:t>
      </w:r>
      <w:r w:rsidRPr="00495EE9">
        <w:rPr>
          <w:rFonts w:ascii="Arial" w:hAnsi="Arial"/>
          <w:rtl/>
        </w:rPr>
        <w:t>. חליל יליד שנת 1995, לחובתו הרשעה קודמת בעבירת רכוש. לא הוגש בעניינו תסקיר לעונש. בגזר דינו נקבע מתחם עונש בין 18 ל-30 חודשי מאסר בפועל. הושתו עליו 20 חודשי מאסר בפועל, 6 חודשי מאסר מותנה למשך שלוש שנים וקנס בסך 5,000 ₪.</w:t>
      </w:r>
    </w:p>
    <w:p w14:paraId="79D62FDC" w14:textId="77777777" w:rsidR="00712AEF" w:rsidRPr="00495EE9" w:rsidRDefault="00712AEF" w:rsidP="00712AEF">
      <w:pPr>
        <w:spacing w:line="360" w:lineRule="auto"/>
        <w:jc w:val="both"/>
        <w:rPr>
          <w:rFonts w:ascii="Arial" w:hAnsi="Arial"/>
          <w:rtl/>
        </w:rPr>
      </w:pPr>
    </w:p>
    <w:p w14:paraId="28F71624" w14:textId="77777777" w:rsidR="00712AEF" w:rsidRPr="00495EE9" w:rsidRDefault="00712AEF" w:rsidP="00712AEF">
      <w:pPr>
        <w:spacing w:line="360" w:lineRule="auto"/>
        <w:jc w:val="both"/>
        <w:rPr>
          <w:rFonts w:ascii="Arial" w:hAnsi="Arial"/>
          <w:rtl/>
        </w:rPr>
      </w:pPr>
      <w:r w:rsidRPr="00495EE9">
        <w:rPr>
          <w:rFonts w:ascii="Arial" w:hAnsi="Arial"/>
          <w:b/>
          <w:bCs/>
          <w:rtl/>
        </w:rPr>
        <w:t>הנאשם 1, עדנאן הדרא,</w:t>
      </w:r>
      <w:r w:rsidRPr="00495EE9">
        <w:rPr>
          <w:rFonts w:ascii="Arial" w:hAnsi="Arial"/>
          <w:rtl/>
        </w:rPr>
        <w:t xml:space="preserve"> הורשע ביום 18.11.2021 על-פי הודאתו במסגרת הסדר טיעון בעבירות </w:t>
      </w:r>
      <w:r w:rsidRPr="00495EE9">
        <w:rPr>
          <w:rFonts w:ascii="Arial" w:hAnsi="Arial"/>
          <w:b/>
          <w:bCs/>
          <w:rtl/>
        </w:rPr>
        <w:t xml:space="preserve">סיוע לרכישת נשק </w:t>
      </w:r>
      <w:r w:rsidRPr="00495EE9">
        <w:rPr>
          <w:rFonts w:ascii="Arial" w:hAnsi="Arial"/>
          <w:rtl/>
        </w:rPr>
        <w:t>ו</w:t>
      </w:r>
      <w:r w:rsidRPr="00495EE9">
        <w:rPr>
          <w:rFonts w:ascii="Arial" w:hAnsi="Arial"/>
          <w:b/>
          <w:bCs/>
          <w:rtl/>
        </w:rPr>
        <w:t>נשיאת נשק</w:t>
      </w:r>
      <w:r w:rsidRPr="00495EE9">
        <w:rPr>
          <w:rFonts w:ascii="Arial" w:hAnsi="Arial"/>
          <w:rtl/>
        </w:rPr>
        <w:t>. בהתאם להסכמה בעניין העונש, ביום 9.1.2023 ניתן גזר הדין בעניינו שלפיו הושתו עליו 15 חודשי מאסר בפועל, 6 חודשי מאסר מותנה וקנס בסך 4,000 ₪.</w:t>
      </w:r>
    </w:p>
    <w:p w14:paraId="2A192970" w14:textId="77777777" w:rsidR="00712AEF" w:rsidRPr="00495EE9" w:rsidRDefault="00712AEF" w:rsidP="00712AEF">
      <w:pPr>
        <w:spacing w:line="360" w:lineRule="auto"/>
        <w:jc w:val="both"/>
        <w:rPr>
          <w:rFonts w:ascii="Arial" w:hAnsi="Arial"/>
          <w:rtl/>
        </w:rPr>
      </w:pPr>
    </w:p>
    <w:p w14:paraId="225776AB" w14:textId="77777777" w:rsidR="00712AEF" w:rsidRPr="00495EE9" w:rsidRDefault="00712AEF" w:rsidP="00712AEF">
      <w:pPr>
        <w:spacing w:line="360" w:lineRule="auto"/>
        <w:jc w:val="both"/>
        <w:rPr>
          <w:rFonts w:ascii="Arial" w:hAnsi="Arial"/>
          <w:rtl/>
        </w:rPr>
      </w:pPr>
      <w:r w:rsidRPr="00495EE9">
        <w:rPr>
          <w:rFonts w:ascii="Arial" w:hAnsi="Arial"/>
          <w:rtl/>
        </w:rPr>
        <w:t>5.</w:t>
      </w:r>
      <w:r w:rsidRPr="00495EE9">
        <w:rPr>
          <w:rFonts w:ascii="Arial" w:hAnsi="Arial"/>
          <w:rtl/>
        </w:rPr>
        <w:tab/>
      </w:r>
      <w:r w:rsidRPr="00495EE9">
        <w:rPr>
          <w:rFonts w:ascii="Arial" w:hAnsi="Arial"/>
          <w:b/>
          <w:bCs/>
          <w:u w:val="single"/>
          <w:rtl/>
        </w:rPr>
        <w:t>הראיות לעונש מטעם המאשימה</w:t>
      </w:r>
      <w:r w:rsidRPr="00495EE9">
        <w:rPr>
          <w:rFonts w:ascii="Arial" w:hAnsi="Arial"/>
          <w:b/>
          <w:bCs/>
          <w:rtl/>
        </w:rPr>
        <w:t>:</w:t>
      </w:r>
      <w:r w:rsidRPr="00495EE9">
        <w:rPr>
          <w:rFonts w:ascii="Arial" w:hAnsi="Arial"/>
          <w:rtl/>
        </w:rPr>
        <w:t xml:space="preserve"> מידע פלילי בעניין הנאשם (ת/1), שלפיו הורשע בשנת 2020 בעבירות התפרעות, תקיפת שוטר כדי להכשילו בתפקידו, תקיפת שוטר כשהתוקף מזוין בנשק קר וניסיון תיקפת שוטר בידי שלושה שבעטין נדון לארבעה חודשי מאסר בפועל ושני עונשי מאסר מותנה.</w:t>
      </w:r>
    </w:p>
    <w:p w14:paraId="107054D1" w14:textId="77777777" w:rsidR="00712AEF" w:rsidRPr="00495EE9" w:rsidRDefault="00712AEF" w:rsidP="00712AEF">
      <w:pPr>
        <w:spacing w:line="360" w:lineRule="auto"/>
        <w:jc w:val="both"/>
        <w:rPr>
          <w:rFonts w:ascii="Arial" w:hAnsi="Arial"/>
          <w:rtl/>
        </w:rPr>
      </w:pPr>
    </w:p>
    <w:p w14:paraId="40728F79" w14:textId="77777777" w:rsidR="00712AEF" w:rsidRPr="00495EE9" w:rsidRDefault="00712AEF" w:rsidP="00712AEF">
      <w:pPr>
        <w:spacing w:line="360" w:lineRule="auto"/>
        <w:jc w:val="both"/>
        <w:rPr>
          <w:rFonts w:ascii="Arial" w:hAnsi="Arial"/>
          <w:rtl/>
        </w:rPr>
      </w:pPr>
      <w:r w:rsidRPr="00495EE9">
        <w:rPr>
          <w:rFonts w:ascii="Arial" w:hAnsi="Arial"/>
          <w:rtl/>
        </w:rPr>
        <w:t>6.</w:t>
      </w:r>
      <w:r w:rsidRPr="00495EE9">
        <w:rPr>
          <w:rFonts w:ascii="Arial" w:hAnsi="Arial"/>
          <w:rtl/>
        </w:rPr>
        <w:tab/>
      </w:r>
      <w:r w:rsidRPr="00495EE9">
        <w:rPr>
          <w:rFonts w:ascii="Arial" w:hAnsi="Arial"/>
          <w:b/>
          <w:bCs/>
          <w:u w:val="single"/>
          <w:rtl/>
        </w:rPr>
        <w:t>תסקיר שירות המבחן</w:t>
      </w:r>
      <w:r w:rsidRPr="00495EE9">
        <w:rPr>
          <w:rFonts w:ascii="Arial" w:hAnsi="Arial"/>
          <w:b/>
          <w:bCs/>
          <w:rtl/>
        </w:rPr>
        <w:t>:</w:t>
      </w:r>
      <w:r w:rsidRPr="00495EE9">
        <w:rPr>
          <w:rFonts w:ascii="Arial" w:hAnsi="Arial"/>
          <w:rtl/>
        </w:rPr>
        <w:t xml:space="preserve"> הנאשם 2 כבן 20, רווק, גר בבית הוריו בירושלים ועובד עם אביו במסעדה. הוא השני מבין שישה אחים. אביו כבן 49 עובד זה כעשרים שנה כטבח במסעדה ואמו כבת 40, בעבר הייתה גננת והיום עקרת בית. אחותו הבכורה נשואה לנאשם 1. הנאשם סיים 12 שנות לימוד עם תעודת בגרות מלאה. היה תלמיד טוב, ללא קשיי התנהגות ואף לא השתייך לחברה שולית. רוב חבריו הם מחוג אומנות לחימה, שבו השתתף כתשע שנים. קודם למעצרו החל ללמוד סיעוד באוניברסיטה הפתוחה. </w:t>
      </w:r>
    </w:p>
    <w:p w14:paraId="05F6DB9E" w14:textId="77777777" w:rsidR="00712AEF" w:rsidRPr="00495EE9" w:rsidRDefault="00712AEF" w:rsidP="00712AEF">
      <w:pPr>
        <w:spacing w:line="360" w:lineRule="auto"/>
        <w:jc w:val="both"/>
        <w:rPr>
          <w:rFonts w:ascii="Arial" w:hAnsi="Arial"/>
          <w:rtl/>
        </w:rPr>
      </w:pPr>
    </w:p>
    <w:p w14:paraId="6A53FAE3" w14:textId="77777777" w:rsidR="00712AEF" w:rsidRPr="00495EE9" w:rsidRDefault="00712AEF" w:rsidP="00712AEF">
      <w:pPr>
        <w:spacing w:line="360" w:lineRule="auto"/>
        <w:jc w:val="both"/>
        <w:rPr>
          <w:rFonts w:ascii="Arial" w:hAnsi="Arial"/>
          <w:rtl/>
        </w:rPr>
      </w:pPr>
      <w:r w:rsidRPr="00495EE9">
        <w:rPr>
          <w:rFonts w:ascii="Arial" w:hAnsi="Arial"/>
          <w:rtl/>
        </w:rPr>
        <w:t>הנאשם הורשע בשנת 2021 בעבירות התפרעות וניסיון תקיפת שוטר בנסיבות מחמירות שעבר בשנת 2020 ובשל כך נדון לארבעה חודשי מאסר בפועל</w:t>
      </w:r>
      <w:r>
        <w:rPr>
          <w:rFonts w:ascii="Arial" w:hAnsi="Arial" w:hint="cs"/>
          <w:rtl/>
        </w:rPr>
        <w:t xml:space="preserve"> ו</w:t>
      </w:r>
      <w:r w:rsidRPr="00495EE9">
        <w:rPr>
          <w:rFonts w:ascii="Arial" w:hAnsi="Arial"/>
          <w:rtl/>
        </w:rPr>
        <w:t xml:space="preserve">השתחרר מהמאסר יום קודם למעצרו בהליך הנדון. </w:t>
      </w:r>
    </w:p>
    <w:p w14:paraId="32CCC309" w14:textId="77777777" w:rsidR="00712AEF" w:rsidRPr="00495EE9" w:rsidRDefault="00712AEF" w:rsidP="00712AEF">
      <w:pPr>
        <w:spacing w:line="360" w:lineRule="auto"/>
        <w:jc w:val="both"/>
        <w:rPr>
          <w:rFonts w:ascii="Arial" w:hAnsi="Arial"/>
          <w:rtl/>
        </w:rPr>
      </w:pPr>
    </w:p>
    <w:p w14:paraId="746311AC" w14:textId="77777777" w:rsidR="00712AEF" w:rsidRPr="00495EE9" w:rsidRDefault="00712AEF" w:rsidP="00712AEF">
      <w:pPr>
        <w:spacing w:line="360" w:lineRule="auto"/>
        <w:jc w:val="both"/>
        <w:rPr>
          <w:rFonts w:ascii="Arial" w:hAnsi="Arial"/>
          <w:rtl/>
        </w:rPr>
      </w:pPr>
      <w:r w:rsidRPr="00495EE9">
        <w:rPr>
          <w:rFonts w:ascii="Arial" w:hAnsi="Arial"/>
          <w:rtl/>
        </w:rPr>
        <w:lastRenderedPageBreak/>
        <w:t>התרשמות שירות המבחן בשלב הליך המעצר ובמסגרת ההליך הקודם הייתה כי מדובר בנאשם שאישיותו אינה בוגרת דיה לשם שילוב במסגרת טיפולית. במסגרת אותו הליך ובמסגרת צו פיקוח המעצרים שניתן, הוא שולב בקבוצה לעצורי בית והגיע אל רוב המפגשים. בתחילה התקשה להכיר באחריותו לכישלונו, אך בהמשך ניכר כי הכיר באופן ראשוני בבעייתיות הכרוכה ביכולתו לזהות מוקדי סיכון. הנאשם טען כי היכרותו את חליל הייתה שטחית וכן תיאר חווית ריגוש ותחושת כוח מקרבה לנשק. לצד זה, שיתף בתחושות אפליה שחווה על רקע השתייכותו לאוכלוסייה מוחלשת ובתחושותיו לנוכח השפעת אחרים עליו, נטייתו לאימפולסיביות ילדותית ולחשיפתו לאלימות באזור מגוריו. עם זאת, את מעצרו בהליך הנדון, מעצר הבית וההליך המשפטי הוא חווה כגורם מאיץ לשינוי בכל הנוגע למעורבותו בפלילים, ביטא צער ואכזבה עצמית ממעורבות זו ורצון להתקדם בתהליך הטיפולי ולשוב לניהול אורח חיים תקין.</w:t>
      </w:r>
    </w:p>
    <w:p w14:paraId="17A9F8C9" w14:textId="77777777" w:rsidR="00712AEF" w:rsidRPr="00495EE9" w:rsidRDefault="00712AEF" w:rsidP="00712AEF">
      <w:pPr>
        <w:spacing w:line="360" w:lineRule="auto"/>
        <w:jc w:val="both"/>
        <w:rPr>
          <w:rFonts w:ascii="Arial" w:hAnsi="Arial"/>
          <w:rtl/>
        </w:rPr>
      </w:pPr>
    </w:p>
    <w:p w14:paraId="6EB9EFE3" w14:textId="77777777" w:rsidR="00712AEF" w:rsidRPr="00495EE9" w:rsidRDefault="00712AEF" w:rsidP="00712AEF">
      <w:pPr>
        <w:spacing w:line="360" w:lineRule="auto"/>
        <w:jc w:val="both"/>
        <w:rPr>
          <w:rFonts w:ascii="Arial" w:hAnsi="Arial"/>
          <w:rtl/>
        </w:rPr>
      </w:pPr>
      <w:r w:rsidRPr="00495EE9">
        <w:rPr>
          <w:rFonts w:ascii="Arial" w:hAnsi="Arial"/>
          <w:rtl/>
        </w:rPr>
        <w:t>שירות המבחן העריך כי הנאשם הוא צעיר, על סף קטינות, בעל מאפיינים ילדותיים, שאינו בשל. למרות זאת, מתפקודו לאורך השנים עולה כי הצליח בלימודיו וביחסיו המשפחתיים. נראה כי במקום מגוריו הוא חשוף להתנהלות שולית, לתוקפנות ולעבירה על החוק אשר ככל הנראה השפיעה עליו ועל דימויו וכי התקשה להציג לעצמו גבולות. כגורמי מפחיתי סיכון שקל שירות המבחן את גילו הצעיר של הנאשם ואת תפקודו החיובי בלימודים ובמסגרת המשפחתית, את יחסו הראשוני לדפוסי התנהלותו הבעייתיים ונכונותו להמשך המסגרת הטיפולית. כגורמי מגבירי סיכון נשקלו הרשעתו הקודמת בעבירות אלימות בעוד שהענישה לא הרתיעה אותו. לנוכח כלל השיקולים, הערכת שירות המבחן היא כי הסיכון למעורבות הנאשם בעבירת אלימות נוספת נמוכה וכי אף אם תתרחש, תהיה ברמה נמוכה.</w:t>
      </w:r>
    </w:p>
    <w:p w14:paraId="6E34D27F" w14:textId="77777777" w:rsidR="00712AEF" w:rsidRPr="00495EE9" w:rsidRDefault="00712AEF" w:rsidP="00712AEF">
      <w:pPr>
        <w:spacing w:line="360" w:lineRule="auto"/>
        <w:jc w:val="both"/>
        <w:rPr>
          <w:rFonts w:ascii="Arial" w:hAnsi="Arial"/>
          <w:rtl/>
        </w:rPr>
      </w:pPr>
    </w:p>
    <w:p w14:paraId="7B7C35DD" w14:textId="77777777" w:rsidR="00712AEF" w:rsidRPr="00495EE9" w:rsidRDefault="00712AEF" w:rsidP="00712AEF">
      <w:pPr>
        <w:spacing w:line="360" w:lineRule="auto"/>
        <w:jc w:val="both"/>
        <w:rPr>
          <w:rFonts w:ascii="Arial" w:hAnsi="Arial"/>
          <w:rtl/>
        </w:rPr>
      </w:pPr>
      <w:r w:rsidRPr="00495EE9">
        <w:rPr>
          <w:rFonts w:ascii="Arial" w:hAnsi="Arial"/>
          <w:rtl/>
        </w:rPr>
        <w:t>שירות המבחן הדגיש כי הוא ער לחומרת העבירות ולקשיים בהתנהלות הנאשם, כמפורט בתסקיר. עם זאת, לנוכח כלל השיקולים, לרבות שאיפת הנאשם לניהול אורח חיים תקין, התרשמותם כי ההליך המשפטי, המעצר ומעצר הבית שימשו עבור הנאשם גורם מרתיע משמעותי ורצונו להמשיך במסגרת טיפולית, הומלץ להשית עליו ענישה מוחשית אך שיקומית אשר תצמצם נזקים עתידיים, תוך הימנעות מהשתת מאסר בפועל. בהתאם לכך הומלץ על השתת מאסר בעבודות שירות, מאסר מותנה, חתימה על התחייבות להימנע מעבירות דומות. כן הומלץ על מתן צו מבחן אשר במסגרתו ישולב הנאשם בתהליך טיפולי.</w:t>
      </w:r>
    </w:p>
    <w:p w14:paraId="672B567E" w14:textId="77777777" w:rsidR="00712AEF" w:rsidRPr="00495EE9" w:rsidRDefault="00712AEF" w:rsidP="00712AEF">
      <w:pPr>
        <w:spacing w:line="360" w:lineRule="auto"/>
        <w:jc w:val="both"/>
        <w:rPr>
          <w:rFonts w:ascii="Arial" w:hAnsi="Arial"/>
          <w:rtl/>
        </w:rPr>
      </w:pPr>
    </w:p>
    <w:p w14:paraId="04A21FAE" w14:textId="77777777" w:rsidR="00712AEF" w:rsidRPr="00495EE9" w:rsidRDefault="00712AEF" w:rsidP="00712AEF">
      <w:pPr>
        <w:spacing w:line="360" w:lineRule="auto"/>
        <w:jc w:val="both"/>
        <w:rPr>
          <w:rFonts w:ascii="Arial" w:hAnsi="Arial"/>
          <w:rtl/>
        </w:rPr>
      </w:pPr>
      <w:r w:rsidRPr="00495EE9">
        <w:rPr>
          <w:rFonts w:ascii="Arial" w:hAnsi="Arial"/>
          <w:rtl/>
        </w:rPr>
        <w:t>7.</w:t>
      </w:r>
      <w:r w:rsidRPr="00495EE9">
        <w:rPr>
          <w:rFonts w:ascii="Arial" w:hAnsi="Arial"/>
          <w:rtl/>
        </w:rPr>
        <w:tab/>
      </w:r>
      <w:r w:rsidRPr="00495EE9">
        <w:rPr>
          <w:rFonts w:ascii="Arial" w:hAnsi="Arial"/>
          <w:b/>
          <w:bCs/>
          <w:u w:val="single"/>
          <w:rtl/>
        </w:rPr>
        <w:t>טענות הצדדים בעניין העונש</w:t>
      </w:r>
      <w:r w:rsidRPr="00495EE9">
        <w:rPr>
          <w:rFonts w:ascii="Arial" w:hAnsi="Arial"/>
          <w:b/>
          <w:bCs/>
          <w:rtl/>
        </w:rPr>
        <w:t>:</w:t>
      </w:r>
      <w:r w:rsidRPr="00495EE9">
        <w:rPr>
          <w:rFonts w:ascii="Arial" w:hAnsi="Arial"/>
          <w:rtl/>
        </w:rPr>
        <w:t xml:space="preserve"> באת-כוח המאשימה טענה כי הנימוק להסדר הטיעון הוא שיקולי אחידות הענישה, לנוכח עונשיהם של שני המעורבים, הודאת הנאשם והכרתו באחריותו למעשיי העבירות והרשעתו הקודמת, גם אם אינה מכבידה. בהתאם לכך ביקשה כי בית המשפט יכבד את הסדר הטיעון. </w:t>
      </w:r>
    </w:p>
    <w:p w14:paraId="5AA60C02" w14:textId="77777777" w:rsidR="00712AEF" w:rsidRPr="00495EE9" w:rsidRDefault="00712AEF" w:rsidP="00712AEF">
      <w:pPr>
        <w:spacing w:line="360" w:lineRule="auto"/>
        <w:jc w:val="both"/>
        <w:rPr>
          <w:rFonts w:ascii="Arial" w:hAnsi="Arial"/>
          <w:rtl/>
        </w:rPr>
      </w:pPr>
    </w:p>
    <w:p w14:paraId="2F27929A" w14:textId="77777777" w:rsidR="00712AEF" w:rsidRPr="00495EE9" w:rsidRDefault="00712AEF" w:rsidP="00712AEF">
      <w:pPr>
        <w:spacing w:line="360" w:lineRule="auto"/>
        <w:jc w:val="both"/>
        <w:rPr>
          <w:rFonts w:ascii="Arial" w:hAnsi="Arial"/>
          <w:rtl/>
        </w:rPr>
      </w:pPr>
      <w:r w:rsidRPr="00495EE9">
        <w:rPr>
          <w:rFonts w:ascii="Arial" w:hAnsi="Arial"/>
          <w:rtl/>
        </w:rPr>
        <w:t xml:space="preserve">בא-כוח הנאשם הצטרף לבקשה לכבד את הסדר הטיעון והוסיף, כי חלקו של הנאשם במעשים יחסית מינורי ואגבי וכי הענישה המוסכמת אף מתיישבת עם מדיניות הענישה הנהוגה בעניין עבירות נשק קודם כניסת תיקון 140 של </w:t>
      </w:r>
      <w:hyperlink r:id="rId17" w:history="1">
        <w:r w:rsidR="00F9558E" w:rsidRPr="00F9558E">
          <w:rPr>
            <w:rFonts w:ascii="Arial" w:hAnsi="Arial"/>
            <w:color w:val="0000FF"/>
            <w:u w:val="single"/>
            <w:rtl/>
          </w:rPr>
          <w:t>חוק העונשין</w:t>
        </w:r>
      </w:hyperlink>
      <w:r w:rsidRPr="00495EE9">
        <w:rPr>
          <w:rFonts w:ascii="Arial" w:hAnsi="Arial"/>
          <w:rtl/>
        </w:rPr>
        <w:t>, הקובע עונש מזערי לעבירות נשק.</w:t>
      </w:r>
    </w:p>
    <w:p w14:paraId="1C2FEAAD" w14:textId="77777777" w:rsidR="00712AEF" w:rsidRPr="00495EE9" w:rsidRDefault="00712AEF" w:rsidP="00712AEF">
      <w:pPr>
        <w:spacing w:line="360" w:lineRule="auto"/>
        <w:jc w:val="both"/>
        <w:rPr>
          <w:rFonts w:ascii="Arial" w:hAnsi="Arial"/>
          <w:rtl/>
        </w:rPr>
      </w:pPr>
    </w:p>
    <w:p w14:paraId="754AA252" w14:textId="77777777" w:rsidR="00712AEF" w:rsidRPr="00495EE9" w:rsidRDefault="00712AEF" w:rsidP="00712AEF">
      <w:pPr>
        <w:spacing w:line="360" w:lineRule="auto"/>
        <w:jc w:val="both"/>
        <w:rPr>
          <w:rFonts w:ascii="Arial" w:hAnsi="Arial"/>
          <w:rtl/>
        </w:rPr>
      </w:pPr>
      <w:r w:rsidRPr="00495EE9">
        <w:rPr>
          <w:rFonts w:ascii="Arial" w:hAnsi="Arial"/>
          <w:rtl/>
        </w:rPr>
        <w:t>עוד ביקש כי הנאשם יחל לשאת בעונש ביום 5.2.2023 וכי שב"ס יזרז את מיונו וככל הניתן, ישלב אותו בכלא מעשיהו.</w:t>
      </w:r>
    </w:p>
    <w:p w14:paraId="4B421BD3" w14:textId="77777777" w:rsidR="00712AEF" w:rsidRPr="00495EE9" w:rsidRDefault="00712AEF" w:rsidP="00712AEF">
      <w:pPr>
        <w:spacing w:line="360" w:lineRule="auto"/>
        <w:jc w:val="both"/>
        <w:rPr>
          <w:rFonts w:ascii="Arial" w:hAnsi="Arial"/>
          <w:rtl/>
        </w:rPr>
      </w:pPr>
    </w:p>
    <w:p w14:paraId="42324731" w14:textId="77777777" w:rsidR="00712AEF" w:rsidRPr="00495EE9" w:rsidRDefault="00712AEF" w:rsidP="00712AEF">
      <w:pPr>
        <w:spacing w:line="360" w:lineRule="auto"/>
        <w:jc w:val="both"/>
        <w:rPr>
          <w:rFonts w:ascii="Arial" w:hAnsi="Arial"/>
          <w:rtl/>
        </w:rPr>
      </w:pPr>
      <w:r w:rsidRPr="00495EE9">
        <w:rPr>
          <w:rFonts w:ascii="Arial" w:hAnsi="Arial"/>
          <w:rtl/>
        </w:rPr>
        <w:t>8.</w:t>
      </w:r>
      <w:r w:rsidRPr="00495EE9">
        <w:rPr>
          <w:rFonts w:ascii="Arial" w:hAnsi="Arial"/>
          <w:rtl/>
        </w:rPr>
        <w:tab/>
      </w:r>
      <w:r w:rsidRPr="00495EE9">
        <w:rPr>
          <w:rFonts w:ascii="Arial" w:hAnsi="Arial"/>
          <w:b/>
          <w:bCs/>
          <w:u w:val="single"/>
          <w:rtl/>
        </w:rPr>
        <w:t>דברי הנאשם</w:t>
      </w:r>
      <w:r w:rsidRPr="00495EE9">
        <w:rPr>
          <w:rFonts w:ascii="Arial" w:hAnsi="Arial"/>
          <w:b/>
          <w:bCs/>
          <w:rtl/>
        </w:rPr>
        <w:t>:</w:t>
      </w:r>
      <w:r w:rsidRPr="00495EE9">
        <w:rPr>
          <w:rFonts w:ascii="Arial" w:hAnsi="Arial"/>
          <w:rtl/>
        </w:rPr>
        <w:t xml:space="preserve"> הנאשם אמר שהוא מצטער ומתחרט על מעשיו וכי הוא מבקש לחזור לחיות את חייו ובכלל זה לעבוד וללמוד. </w:t>
      </w:r>
    </w:p>
    <w:p w14:paraId="1DE1FEF7" w14:textId="77777777" w:rsidR="00712AEF" w:rsidRPr="00495EE9" w:rsidRDefault="00712AEF" w:rsidP="00712AEF">
      <w:pPr>
        <w:spacing w:line="360" w:lineRule="auto"/>
        <w:jc w:val="both"/>
        <w:rPr>
          <w:rFonts w:ascii="Arial" w:hAnsi="Arial"/>
          <w:rtl/>
        </w:rPr>
      </w:pPr>
    </w:p>
    <w:p w14:paraId="01FF0D3F" w14:textId="77777777" w:rsidR="00712AEF" w:rsidRPr="00495EE9" w:rsidRDefault="00712AEF" w:rsidP="00712AEF">
      <w:pPr>
        <w:spacing w:line="360" w:lineRule="auto"/>
        <w:jc w:val="both"/>
        <w:rPr>
          <w:rFonts w:ascii="Arial" w:hAnsi="Arial"/>
          <w:rtl/>
        </w:rPr>
      </w:pPr>
      <w:r w:rsidRPr="00495EE9">
        <w:rPr>
          <w:rFonts w:ascii="Arial" w:hAnsi="Arial"/>
          <w:rtl/>
        </w:rPr>
        <w:t>9.</w:t>
      </w:r>
      <w:r w:rsidRPr="00495EE9">
        <w:rPr>
          <w:rFonts w:ascii="Arial" w:hAnsi="Arial"/>
          <w:rtl/>
        </w:rPr>
        <w:tab/>
      </w:r>
      <w:r w:rsidRPr="00495EE9">
        <w:rPr>
          <w:rFonts w:ascii="Arial" w:hAnsi="Arial"/>
          <w:b/>
          <w:bCs/>
          <w:u w:val="single"/>
          <w:rtl/>
        </w:rPr>
        <w:t>גזר הדין ונימוקיו</w:t>
      </w:r>
      <w:r w:rsidRPr="00495EE9">
        <w:rPr>
          <w:rFonts w:ascii="Arial" w:hAnsi="Arial"/>
          <w:b/>
          <w:bCs/>
          <w:rtl/>
        </w:rPr>
        <w:t>:</w:t>
      </w:r>
      <w:r w:rsidRPr="00495EE9">
        <w:rPr>
          <w:rFonts w:ascii="Arial" w:hAnsi="Arial"/>
          <w:rtl/>
        </w:rPr>
        <w:t xml:space="preserve"> בעת שקילת העונש נשקלה חומרת העבירות, תוך מתן משקל לחלקו של הנאשם במעשים והרשעתו הקודמת של הנאשם. מנגד נשקלו הודאתו והכרתו באחריות לעבירות, תסקיר שירות המבחן בעניינו, אורח חייו הנורמטיבי קודם לעבירות, תקופת מעצרו ותקופת מעצר הבית. כן ניתן משקל לעונשיהם של המעורבים הנוספים.</w:t>
      </w:r>
    </w:p>
    <w:p w14:paraId="30ABD040" w14:textId="77777777" w:rsidR="00712AEF" w:rsidRPr="00495EE9" w:rsidRDefault="00712AEF" w:rsidP="00712AEF">
      <w:pPr>
        <w:spacing w:line="360" w:lineRule="auto"/>
        <w:jc w:val="both"/>
        <w:rPr>
          <w:rFonts w:ascii="Arial" w:hAnsi="Arial"/>
          <w:rtl/>
        </w:rPr>
      </w:pPr>
    </w:p>
    <w:p w14:paraId="4A610117" w14:textId="77777777" w:rsidR="00712AEF" w:rsidRPr="00495EE9" w:rsidRDefault="00712AEF" w:rsidP="00712AEF">
      <w:pPr>
        <w:spacing w:line="360" w:lineRule="auto"/>
        <w:jc w:val="both"/>
        <w:rPr>
          <w:rFonts w:ascii="Arial" w:hAnsi="Arial"/>
          <w:rtl/>
        </w:rPr>
      </w:pPr>
      <w:r w:rsidRPr="00495EE9">
        <w:rPr>
          <w:rFonts w:ascii="Arial" w:hAnsi="Arial"/>
          <w:rtl/>
        </w:rPr>
        <w:t>לנוכח שיקולים אלו מצאתי כי העונש שעליו הוסכם במסגרת הסדר הטיעון הולם את העבירות שבהן הורשע הנאשם ועל כן החלטתי לכבדו.</w:t>
      </w:r>
    </w:p>
    <w:p w14:paraId="0673B809" w14:textId="77777777" w:rsidR="00712AEF" w:rsidRPr="00495EE9" w:rsidRDefault="00712AEF" w:rsidP="00712AEF">
      <w:pPr>
        <w:spacing w:line="360" w:lineRule="auto"/>
        <w:jc w:val="both"/>
        <w:rPr>
          <w:rFonts w:ascii="Arial" w:hAnsi="Arial"/>
          <w:rtl/>
        </w:rPr>
      </w:pPr>
    </w:p>
    <w:p w14:paraId="2067DB3B" w14:textId="77777777" w:rsidR="00712AEF" w:rsidRPr="00495EE9" w:rsidRDefault="00712AEF" w:rsidP="00712AEF">
      <w:pPr>
        <w:spacing w:line="360" w:lineRule="auto"/>
        <w:jc w:val="both"/>
        <w:rPr>
          <w:rFonts w:ascii="Arial" w:hAnsi="Arial"/>
          <w:rtl/>
        </w:rPr>
      </w:pPr>
      <w:r w:rsidRPr="00495EE9">
        <w:rPr>
          <w:rFonts w:ascii="Arial" w:hAnsi="Arial"/>
          <w:rtl/>
        </w:rPr>
        <w:t>10.</w:t>
      </w:r>
      <w:r w:rsidRPr="00495EE9">
        <w:rPr>
          <w:rFonts w:ascii="Arial" w:hAnsi="Arial"/>
          <w:rtl/>
        </w:rPr>
        <w:tab/>
        <w:t>על הנאשם יושתו אפוא, העונשים הבאים:</w:t>
      </w:r>
    </w:p>
    <w:p w14:paraId="4B52357C" w14:textId="77777777" w:rsidR="00712AEF" w:rsidRPr="00495EE9" w:rsidRDefault="00712AEF" w:rsidP="00712AEF">
      <w:pPr>
        <w:spacing w:line="360" w:lineRule="auto"/>
        <w:jc w:val="both"/>
        <w:rPr>
          <w:rFonts w:ascii="Arial" w:hAnsi="Arial"/>
          <w:rtl/>
        </w:rPr>
      </w:pPr>
    </w:p>
    <w:p w14:paraId="2BDAA1BA" w14:textId="77777777" w:rsidR="00712AEF" w:rsidRPr="00495EE9" w:rsidRDefault="00712AEF" w:rsidP="00712AEF">
      <w:pPr>
        <w:spacing w:line="360" w:lineRule="auto"/>
        <w:ind w:left="1440" w:hanging="720"/>
        <w:jc w:val="both"/>
        <w:rPr>
          <w:rFonts w:ascii="Arial" w:hAnsi="Arial"/>
          <w:rtl/>
        </w:rPr>
      </w:pPr>
      <w:r w:rsidRPr="00495EE9">
        <w:rPr>
          <w:rFonts w:ascii="Arial" w:hAnsi="Arial"/>
          <w:rtl/>
        </w:rPr>
        <w:t>א.</w:t>
      </w:r>
      <w:r w:rsidRPr="00495EE9">
        <w:rPr>
          <w:rFonts w:ascii="Arial" w:hAnsi="Arial"/>
          <w:rtl/>
        </w:rPr>
        <w:tab/>
        <w:t xml:space="preserve">מאסר בפועל למשך </w:t>
      </w:r>
      <w:r w:rsidRPr="00495EE9">
        <w:rPr>
          <w:rFonts w:ascii="Arial" w:hAnsi="Arial"/>
          <w:b/>
          <w:bCs/>
          <w:rtl/>
        </w:rPr>
        <w:t>עשרה חודשי מאסר בפועל</w:t>
      </w:r>
      <w:r w:rsidRPr="00495EE9">
        <w:rPr>
          <w:rFonts w:ascii="Arial" w:hAnsi="Arial"/>
          <w:rtl/>
        </w:rPr>
        <w:t>, בניכוי מעצרו מיום 16.2.2021 עד יום 1.6.2021 (במקרה של סתירה לרישומי שב"ס, יש לפעול על-פי רישומיו).</w:t>
      </w:r>
    </w:p>
    <w:p w14:paraId="7D7B2193" w14:textId="77777777" w:rsidR="00712AEF" w:rsidRPr="00495EE9" w:rsidRDefault="00712AEF" w:rsidP="00712AEF">
      <w:pPr>
        <w:spacing w:line="360" w:lineRule="auto"/>
        <w:ind w:left="1440" w:hanging="1440"/>
        <w:jc w:val="both"/>
        <w:rPr>
          <w:rFonts w:ascii="Arial" w:hAnsi="Arial"/>
          <w:rtl/>
        </w:rPr>
      </w:pPr>
    </w:p>
    <w:p w14:paraId="77C40FC4" w14:textId="77777777" w:rsidR="00712AEF" w:rsidRPr="00495EE9" w:rsidRDefault="00712AEF" w:rsidP="00712AEF">
      <w:pPr>
        <w:spacing w:line="360" w:lineRule="auto"/>
        <w:ind w:left="1440" w:hanging="720"/>
        <w:jc w:val="both"/>
        <w:rPr>
          <w:rFonts w:ascii="Arial" w:hAnsi="Arial"/>
          <w:rtl/>
        </w:rPr>
      </w:pPr>
      <w:r w:rsidRPr="00495EE9">
        <w:rPr>
          <w:rFonts w:ascii="Arial" w:hAnsi="Arial"/>
          <w:rtl/>
        </w:rPr>
        <w:t>ב.</w:t>
      </w:r>
      <w:r w:rsidRPr="00495EE9">
        <w:rPr>
          <w:rFonts w:ascii="Arial" w:hAnsi="Arial"/>
          <w:rtl/>
        </w:rPr>
        <w:tab/>
        <w:t xml:space="preserve">מאסר מותנה למשך </w:t>
      </w:r>
      <w:r w:rsidRPr="00495EE9">
        <w:rPr>
          <w:rFonts w:ascii="Arial" w:hAnsi="Arial"/>
          <w:b/>
          <w:bCs/>
          <w:rtl/>
        </w:rPr>
        <w:t>ארבעה חודשים</w:t>
      </w:r>
      <w:r w:rsidRPr="00495EE9">
        <w:rPr>
          <w:rFonts w:ascii="Arial" w:hAnsi="Arial"/>
          <w:rtl/>
        </w:rPr>
        <w:t>. הנאשם יישא עונש זה אם יעבור תוך שלוש שנים מיום שחרורו מן המאסר עבירת נשק, או ניסיון לעבור עבירה כאמור.</w:t>
      </w:r>
    </w:p>
    <w:p w14:paraId="379DCCB6" w14:textId="77777777" w:rsidR="00712AEF" w:rsidRPr="00495EE9" w:rsidRDefault="00712AEF" w:rsidP="00712AEF">
      <w:pPr>
        <w:spacing w:line="360" w:lineRule="auto"/>
        <w:ind w:left="1440" w:hanging="1440"/>
        <w:jc w:val="both"/>
        <w:rPr>
          <w:rFonts w:ascii="Arial" w:hAnsi="Arial"/>
          <w:rtl/>
        </w:rPr>
      </w:pPr>
    </w:p>
    <w:p w14:paraId="3BC33B5B" w14:textId="77777777" w:rsidR="00712AEF" w:rsidRPr="00495EE9" w:rsidRDefault="00712AEF" w:rsidP="00712AEF">
      <w:pPr>
        <w:spacing w:line="360" w:lineRule="auto"/>
        <w:ind w:left="1440" w:hanging="720"/>
        <w:jc w:val="both"/>
        <w:rPr>
          <w:rFonts w:ascii="Arial" w:hAnsi="Arial"/>
          <w:rtl/>
        </w:rPr>
      </w:pPr>
      <w:r w:rsidRPr="00495EE9">
        <w:rPr>
          <w:rFonts w:ascii="Arial" w:hAnsi="Arial"/>
          <w:rtl/>
        </w:rPr>
        <w:t>ג.</w:t>
      </w:r>
      <w:r w:rsidRPr="00495EE9">
        <w:rPr>
          <w:rFonts w:ascii="Arial" w:hAnsi="Arial"/>
          <w:rtl/>
        </w:rPr>
        <w:tab/>
        <w:t>קנס בסך 7,000 ₪. הפיקדון שהפקיד הנאשם יועבר על חשבון הקנס והיתרה תשולם בשמונה תשלומים שווים, עוקבים ורצפוים החל מיום 1.3.2023.</w:t>
      </w:r>
    </w:p>
    <w:p w14:paraId="4BC8F8B6" w14:textId="77777777" w:rsidR="00712AEF" w:rsidRPr="00495EE9" w:rsidRDefault="00712AEF" w:rsidP="00712AEF">
      <w:pPr>
        <w:spacing w:line="360" w:lineRule="auto"/>
        <w:jc w:val="both"/>
        <w:rPr>
          <w:rFonts w:ascii="Arial" w:hAnsi="Arial"/>
          <w:rtl/>
        </w:rPr>
      </w:pPr>
    </w:p>
    <w:p w14:paraId="77FA321C" w14:textId="77777777" w:rsidR="00712AEF" w:rsidRDefault="00712AEF" w:rsidP="00712AEF">
      <w:pPr>
        <w:spacing w:line="360" w:lineRule="auto"/>
        <w:jc w:val="both"/>
        <w:rPr>
          <w:rFonts w:ascii="Arial" w:hAnsi="Arial"/>
          <w:rtl/>
        </w:rPr>
      </w:pPr>
    </w:p>
    <w:p w14:paraId="54614DC3" w14:textId="77777777" w:rsidR="00712AEF" w:rsidRPr="00495EE9" w:rsidRDefault="00712AEF" w:rsidP="00712AEF">
      <w:pPr>
        <w:spacing w:line="360" w:lineRule="auto"/>
        <w:jc w:val="both"/>
        <w:rPr>
          <w:rFonts w:ascii="Arial" w:hAnsi="Arial"/>
          <w:rtl/>
        </w:rPr>
      </w:pPr>
      <w:r w:rsidRPr="00495EE9">
        <w:rPr>
          <w:rFonts w:ascii="Arial" w:hAnsi="Arial"/>
          <w:rtl/>
        </w:rPr>
        <w:t>הנאשם יתייצב למאסרו</w:t>
      </w:r>
      <w:r w:rsidR="00F9558E">
        <w:rPr>
          <w:rFonts w:ascii="Arial" w:hAnsi="Arial"/>
          <w:rtl/>
        </w:rPr>
        <w:t xml:space="preserve">  </w:t>
      </w:r>
      <w:r w:rsidRPr="00495EE9">
        <w:rPr>
          <w:rFonts w:ascii="Arial" w:hAnsi="Arial"/>
          <w:rtl/>
        </w:rPr>
        <w:t>בבית המעצר ניצן, ביום 5.</w:t>
      </w:r>
      <w:r>
        <w:rPr>
          <w:rFonts w:ascii="Arial" w:hAnsi="Arial" w:hint="cs"/>
          <w:rtl/>
        </w:rPr>
        <w:t>2</w:t>
      </w:r>
      <w:r w:rsidRPr="00495EE9">
        <w:rPr>
          <w:rFonts w:ascii="Arial" w:hAnsi="Arial"/>
          <w:rtl/>
        </w:rPr>
        <w:t xml:space="preserve">.2023 עד השעה 10:00, או במקום אחר על פי החלטת שירות בתי הסוהר, כשברשותו תעודת זהות, או דרכון ועותק מגזר-הדין. </w:t>
      </w:r>
    </w:p>
    <w:p w14:paraId="33F119C4" w14:textId="77777777" w:rsidR="00712AEF" w:rsidRPr="00495EE9" w:rsidRDefault="00712AEF" w:rsidP="00712AEF">
      <w:pPr>
        <w:spacing w:line="360" w:lineRule="auto"/>
        <w:jc w:val="both"/>
        <w:rPr>
          <w:rFonts w:ascii="Arial" w:hAnsi="Arial"/>
          <w:rtl/>
        </w:rPr>
      </w:pPr>
    </w:p>
    <w:p w14:paraId="43764B92" w14:textId="77777777" w:rsidR="00712AEF" w:rsidRPr="00495EE9" w:rsidRDefault="00712AEF" w:rsidP="00712AEF">
      <w:pPr>
        <w:spacing w:line="360" w:lineRule="auto"/>
        <w:jc w:val="both"/>
        <w:rPr>
          <w:rFonts w:ascii="Arial" w:hAnsi="Arial"/>
          <w:rtl/>
        </w:rPr>
      </w:pPr>
      <w:r w:rsidRPr="00495EE9">
        <w:rPr>
          <w:rFonts w:ascii="Arial" w:hAnsi="Arial"/>
          <w:rtl/>
        </w:rPr>
        <w:t>תשומת לב שב"ס מופנית לבקשת הנאשם לזרז את מיונו ו</w:t>
      </w:r>
      <w:r>
        <w:rPr>
          <w:rFonts w:ascii="Arial" w:hAnsi="Arial" w:hint="cs"/>
          <w:rtl/>
        </w:rPr>
        <w:t xml:space="preserve">לבקשתו כי </w:t>
      </w:r>
      <w:r w:rsidRPr="00495EE9">
        <w:rPr>
          <w:rFonts w:ascii="Arial" w:hAnsi="Arial"/>
          <w:rtl/>
        </w:rPr>
        <w:t>ככל הניתן, ישולב בכלא מעשיהו.</w:t>
      </w:r>
    </w:p>
    <w:p w14:paraId="2C3DF1F0" w14:textId="77777777" w:rsidR="00712AEF" w:rsidRPr="00495EE9" w:rsidRDefault="00712AEF" w:rsidP="00712AEF">
      <w:pPr>
        <w:spacing w:line="360" w:lineRule="auto"/>
        <w:jc w:val="both"/>
        <w:rPr>
          <w:rFonts w:ascii="Arial" w:hAnsi="Arial"/>
          <w:rtl/>
        </w:rPr>
      </w:pPr>
    </w:p>
    <w:p w14:paraId="5F774C1E" w14:textId="77777777" w:rsidR="00712AEF" w:rsidRPr="00495EE9" w:rsidRDefault="00712AEF" w:rsidP="00712AEF">
      <w:pPr>
        <w:spacing w:line="360" w:lineRule="auto"/>
        <w:jc w:val="both"/>
        <w:rPr>
          <w:rFonts w:ascii="Arial" w:hAnsi="Arial"/>
          <w:rtl/>
        </w:rPr>
      </w:pPr>
    </w:p>
    <w:p w14:paraId="7EB0031F" w14:textId="77777777" w:rsidR="00712AEF" w:rsidRPr="00495EE9" w:rsidRDefault="00712AEF" w:rsidP="00712AEF">
      <w:pPr>
        <w:spacing w:line="360" w:lineRule="auto"/>
        <w:jc w:val="both"/>
        <w:rPr>
          <w:rFonts w:ascii="Arial" w:hAnsi="Arial"/>
          <w:rtl/>
        </w:rPr>
      </w:pPr>
      <w:r w:rsidRPr="00495EE9">
        <w:rPr>
          <w:rFonts w:ascii="Arial" w:hAnsi="Arial"/>
          <w:rtl/>
        </w:rPr>
        <w:t xml:space="preserve">על הנאשם לתאם את הכניסה למאסר, כולל האפשרות למיון מוקדם, עם ענף אבחון ומיון של שירות בתי הסוהר, טלפונים: 08-9787377 או 08-9787336; פקס' 08-9193314; דוא"ל: </w:t>
      </w:r>
      <w:hyperlink r:id="rId18" w:history="1">
        <w:r w:rsidRPr="00353FE7">
          <w:rPr>
            <w:rStyle w:val="Hyperlink"/>
            <w:rFonts w:ascii="Arial" w:hAnsi="Arial"/>
            <w:sz w:val="18"/>
            <w:szCs w:val="18"/>
          </w:rPr>
          <w:t>MaasarN@ips.gov.il</w:t>
        </w:r>
      </w:hyperlink>
      <w:r w:rsidRPr="00495EE9">
        <w:rPr>
          <w:rFonts w:ascii="Arial" w:hAnsi="Arial"/>
          <w:rtl/>
        </w:rPr>
        <w:t>.</w:t>
      </w:r>
    </w:p>
    <w:p w14:paraId="4174AF80" w14:textId="77777777" w:rsidR="00712AEF" w:rsidRPr="00495EE9" w:rsidRDefault="00712AEF" w:rsidP="00712AEF">
      <w:pPr>
        <w:spacing w:line="360" w:lineRule="auto"/>
        <w:jc w:val="both"/>
        <w:rPr>
          <w:rFonts w:ascii="Arial" w:hAnsi="Arial"/>
          <w:b/>
          <w:bCs/>
        </w:rPr>
      </w:pPr>
      <w:r w:rsidRPr="00495EE9">
        <w:rPr>
          <w:rFonts w:ascii="Arial" w:hAnsi="Arial"/>
          <w:rtl/>
        </w:rPr>
        <w:t>כמו כן, עליו להתעדכן באתר האינטרנט של שב"ס, ברשימת הציוד הראשוני שניתן להביא בעת ההתייצבות.</w:t>
      </w:r>
    </w:p>
    <w:p w14:paraId="347DA96D" w14:textId="77777777" w:rsidR="00712AEF" w:rsidRPr="00495EE9" w:rsidRDefault="00712AEF" w:rsidP="00712AEF">
      <w:pPr>
        <w:spacing w:line="360" w:lineRule="auto"/>
        <w:jc w:val="both"/>
        <w:rPr>
          <w:rFonts w:ascii="Arial" w:hAnsi="Arial"/>
          <w:rtl/>
        </w:rPr>
      </w:pPr>
    </w:p>
    <w:p w14:paraId="53D991F7" w14:textId="77777777" w:rsidR="00712AEF" w:rsidRPr="00495EE9" w:rsidRDefault="00712AEF" w:rsidP="00712AEF">
      <w:pPr>
        <w:spacing w:line="360" w:lineRule="auto"/>
        <w:jc w:val="both"/>
        <w:rPr>
          <w:rFonts w:ascii="Arial" w:hAnsi="Arial"/>
          <w:b/>
          <w:bCs/>
        </w:rPr>
      </w:pPr>
      <w:r w:rsidRPr="00495EE9">
        <w:rPr>
          <w:rFonts w:ascii="Arial" w:hAnsi="Arial"/>
          <w:b/>
          <w:bCs/>
          <w:rtl/>
        </w:rPr>
        <w:t>זכות ערעור לבית המשפט העליון תוך ארבעים וחמישה יום.</w:t>
      </w:r>
    </w:p>
    <w:p w14:paraId="5CC182A0" w14:textId="77777777" w:rsidR="00712AEF" w:rsidRPr="00495EE9" w:rsidRDefault="00712AEF" w:rsidP="00712AEF">
      <w:pPr>
        <w:spacing w:line="360" w:lineRule="auto"/>
        <w:jc w:val="both"/>
        <w:rPr>
          <w:rFonts w:ascii="Arial" w:hAnsi="Arial"/>
          <w:rtl/>
        </w:rPr>
      </w:pPr>
    </w:p>
    <w:p w14:paraId="06BD226C" w14:textId="77777777" w:rsidR="00712AEF" w:rsidRPr="00495EE9" w:rsidRDefault="00712AEF" w:rsidP="00712AEF">
      <w:pPr>
        <w:spacing w:line="360" w:lineRule="auto"/>
        <w:jc w:val="both"/>
        <w:rPr>
          <w:rFonts w:ascii="Arial" w:hAnsi="Arial"/>
          <w:rtl/>
        </w:rPr>
      </w:pPr>
    </w:p>
    <w:p w14:paraId="20DE4B19" w14:textId="77777777" w:rsidR="00712AEF" w:rsidRPr="00495EE9" w:rsidRDefault="00F9558E" w:rsidP="00712AEF">
      <w:pPr>
        <w:spacing w:line="360" w:lineRule="auto"/>
        <w:jc w:val="both"/>
        <w:rPr>
          <w:rFonts w:ascii="Arial" w:hAnsi="Arial"/>
          <w:rtl/>
        </w:rPr>
      </w:pPr>
      <w:bookmarkStart w:id="8" w:name="Nitan"/>
      <w:r w:rsidRPr="00F9558E">
        <w:rPr>
          <w:rFonts w:ascii="Arial" w:hAnsi="Arial"/>
          <w:color w:val="FFFFFF"/>
          <w:sz w:val="2"/>
          <w:szCs w:val="2"/>
          <w:rtl/>
        </w:rPr>
        <w:t>5129371</w:t>
      </w:r>
      <w:r>
        <w:rPr>
          <w:rFonts w:ascii="Arial" w:hAnsi="Arial"/>
          <w:rtl/>
        </w:rPr>
        <w:t xml:space="preserve">ניתן היום,  ז' בשבט תשפ"ג, 29 בינואר 2023, במעמד הנאשם ובאי-כוח הצדדים. </w:t>
      </w:r>
      <w:bookmarkEnd w:id="8"/>
    </w:p>
    <w:tbl>
      <w:tblPr>
        <w:bidiVisual/>
        <w:tblW w:w="0" w:type="auto"/>
        <w:jc w:val="right"/>
        <w:tblLook w:val="01E0" w:firstRow="1" w:lastRow="1" w:firstColumn="1" w:lastColumn="1" w:noHBand="0" w:noVBand="0"/>
      </w:tblPr>
      <w:tblGrid>
        <w:gridCol w:w="2392"/>
      </w:tblGrid>
      <w:tr w:rsidR="00712AEF" w14:paraId="45BE00C8" w14:textId="77777777" w:rsidTr="00712AEF">
        <w:trPr>
          <w:jc w:val="right"/>
        </w:trPr>
        <w:tc>
          <w:tcPr>
            <w:tcW w:w="2392" w:type="dxa"/>
            <w:tcBorders>
              <w:top w:val="nil"/>
              <w:left w:val="nil"/>
              <w:bottom w:val="single" w:sz="4" w:space="0" w:color="auto"/>
              <w:right w:val="nil"/>
            </w:tcBorders>
            <w:shd w:val="clear" w:color="auto" w:fill="auto"/>
            <w:vAlign w:val="center"/>
          </w:tcPr>
          <w:p w14:paraId="0AF3CAF6" w14:textId="77777777" w:rsidR="00712AEF" w:rsidRPr="00F9558E" w:rsidRDefault="00F9558E" w:rsidP="00712AEF">
            <w:pPr>
              <w:spacing w:before="40" w:after="40"/>
              <w:jc w:val="center"/>
              <w:rPr>
                <w:rFonts w:ascii="Courier New" w:hAnsi="Courier New"/>
                <w:b/>
                <w:bCs/>
                <w:color w:val="FFFFFF"/>
                <w:sz w:val="2"/>
                <w:szCs w:val="2"/>
                <w:rtl/>
              </w:rPr>
            </w:pPr>
            <w:r w:rsidRPr="00F9558E">
              <w:rPr>
                <w:rFonts w:ascii="Courier New" w:hAnsi="Courier New"/>
                <w:b/>
                <w:bCs/>
                <w:color w:val="FFFFFF"/>
                <w:sz w:val="2"/>
                <w:szCs w:val="2"/>
                <w:rtl/>
              </w:rPr>
              <w:t>54678313</w:t>
            </w:r>
          </w:p>
        </w:tc>
      </w:tr>
      <w:tr w:rsidR="00712AEF" w14:paraId="5A92A021" w14:textId="77777777" w:rsidTr="00712AEF">
        <w:trPr>
          <w:jc w:val="right"/>
        </w:trPr>
        <w:tc>
          <w:tcPr>
            <w:tcW w:w="2392" w:type="dxa"/>
            <w:tcBorders>
              <w:top w:val="single" w:sz="4" w:space="0" w:color="auto"/>
              <w:left w:val="nil"/>
              <w:bottom w:val="nil"/>
              <w:right w:val="nil"/>
            </w:tcBorders>
            <w:shd w:val="clear" w:color="auto" w:fill="auto"/>
          </w:tcPr>
          <w:p w14:paraId="2530C217" w14:textId="77777777" w:rsidR="00712AEF" w:rsidRPr="00712AEF" w:rsidRDefault="00712AEF" w:rsidP="00712AEF">
            <w:pPr>
              <w:pStyle w:val="3"/>
              <w:spacing w:before="40" w:after="40" w:line="240" w:lineRule="auto"/>
              <w:jc w:val="center"/>
              <w:rPr>
                <w:sz w:val="28"/>
                <w:rtl/>
              </w:rPr>
            </w:pPr>
            <w:r w:rsidRPr="00712AEF">
              <w:rPr>
                <w:rFonts w:hint="cs"/>
                <w:sz w:val="28"/>
                <w:rtl/>
              </w:rPr>
              <w:t>תמר בר-אשר, שופטת</w:t>
            </w:r>
          </w:p>
        </w:tc>
      </w:tr>
    </w:tbl>
    <w:p w14:paraId="4615FF89" w14:textId="77777777" w:rsidR="00F9558E" w:rsidRDefault="00F9558E" w:rsidP="00F9558E">
      <w:pPr>
        <w:rPr>
          <w:rtl/>
        </w:rPr>
      </w:pPr>
    </w:p>
    <w:p w14:paraId="54F8F3AC" w14:textId="77777777" w:rsidR="00F9558E" w:rsidRDefault="00F9558E" w:rsidP="00F9558E">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6DA90392" w14:textId="77777777" w:rsidR="00A053B7" w:rsidRPr="00A053B7" w:rsidRDefault="00A053B7" w:rsidP="00A053B7">
      <w:pPr>
        <w:keepNext/>
        <w:rPr>
          <w:rFonts w:ascii="David" w:hAnsi="David"/>
          <w:color w:val="000000"/>
          <w:sz w:val="22"/>
          <w:szCs w:val="22"/>
          <w:rtl/>
        </w:rPr>
      </w:pPr>
    </w:p>
    <w:p w14:paraId="07FADC12" w14:textId="77777777" w:rsidR="00A053B7" w:rsidRPr="00A053B7" w:rsidRDefault="00A053B7" w:rsidP="00A053B7">
      <w:pPr>
        <w:keepNext/>
        <w:rPr>
          <w:rFonts w:ascii="David" w:hAnsi="David"/>
          <w:color w:val="000000"/>
          <w:sz w:val="22"/>
          <w:szCs w:val="22"/>
          <w:rtl/>
        </w:rPr>
      </w:pPr>
      <w:r w:rsidRPr="00A053B7">
        <w:rPr>
          <w:rFonts w:ascii="David" w:hAnsi="David"/>
          <w:color w:val="000000"/>
          <w:sz w:val="22"/>
          <w:szCs w:val="22"/>
          <w:rtl/>
        </w:rPr>
        <w:t>תמר בר אשר 54678313-/</w:t>
      </w:r>
    </w:p>
    <w:p w14:paraId="3DD964E6" w14:textId="77777777" w:rsidR="00F9558E" w:rsidRPr="00F9558E" w:rsidRDefault="00A053B7" w:rsidP="00A053B7">
      <w:pPr>
        <w:rPr>
          <w:color w:val="0000FF"/>
          <w:u w:val="single"/>
        </w:rPr>
      </w:pPr>
      <w:r w:rsidRPr="00A053B7">
        <w:rPr>
          <w:color w:val="000000"/>
          <w:u w:val="single"/>
          <w:rtl/>
        </w:rPr>
        <w:t>נוסח מסמך זה כפוף לשינויי ניסוח ועריכה</w:t>
      </w:r>
    </w:p>
    <w:sectPr w:rsidR="00F9558E" w:rsidRPr="00F9558E" w:rsidSect="00A053B7">
      <w:headerReference w:type="even" r:id="rId20"/>
      <w:headerReference w:type="default" r:id="rId21"/>
      <w:footerReference w:type="even" r:id="rId22"/>
      <w:footerReference w:type="default" r:id="rId23"/>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0718F" w14:textId="77777777" w:rsidR="0006028A" w:rsidRDefault="0006028A" w:rsidP="00052C44">
      <w:r>
        <w:separator/>
      </w:r>
    </w:p>
  </w:endnote>
  <w:endnote w:type="continuationSeparator" w:id="0">
    <w:p w14:paraId="2BC0EDFF" w14:textId="77777777" w:rsidR="0006028A" w:rsidRDefault="0006028A" w:rsidP="00052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5B136" w14:textId="77777777" w:rsidR="00A053B7" w:rsidRDefault="00A053B7" w:rsidP="00A053B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1CC311F" w14:textId="77777777" w:rsidR="00433D30" w:rsidRPr="00A053B7" w:rsidRDefault="00A053B7" w:rsidP="00A053B7">
    <w:pPr>
      <w:pStyle w:val="a5"/>
      <w:pBdr>
        <w:top w:val="single" w:sz="4" w:space="1" w:color="auto"/>
        <w:between w:val="single" w:sz="4" w:space="0" w:color="auto"/>
      </w:pBdr>
      <w:spacing w:after="60"/>
      <w:jc w:val="center"/>
      <w:rPr>
        <w:rFonts w:ascii="FrankRuehl" w:hAnsi="FrankRuehl" w:cs="FrankRuehl"/>
        <w:color w:val="000000"/>
      </w:rPr>
    </w:pPr>
    <w:r w:rsidRPr="00A053B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35732" w14:textId="77777777" w:rsidR="00A053B7" w:rsidRDefault="00A053B7" w:rsidP="00A053B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17DA0">
      <w:rPr>
        <w:rFonts w:ascii="FrankRuehl" w:hAnsi="FrankRuehl" w:cs="FrankRuehl"/>
        <w:noProof/>
        <w:rtl/>
      </w:rPr>
      <w:t>1</w:t>
    </w:r>
    <w:r>
      <w:rPr>
        <w:rFonts w:ascii="FrankRuehl" w:hAnsi="FrankRuehl" w:cs="FrankRuehl"/>
        <w:rtl/>
      </w:rPr>
      <w:fldChar w:fldCharType="end"/>
    </w:r>
  </w:p>
  <w:p w14:paraId="0B5517CC" w14:textId="77777777" w:rsidR="00433D30" w:rsidRPr="00A053B7" w:rsidRDefault="00A053B7" w:rsidP="00A053B7">
    <w:pPr>
      <w:pStyle w:val="a5"/>
      <w:pBdr>
        <w:top w:val="single" w:sz="4" w:space="1" w:color="auto"/>
        <w:between w:val="single" w:sz="4" w:space="0" w:color="auto"/>
      </w:pBdr>
      <w:spacing w:after="60"/>
      <w:jc w:val="center"/>
      <w:rPr>
        <w:rFonts w:ascii="FrankRuehl" w:hAnsi="FrankRuehl" w:cs="FrankRuehl"/>
        <w:color w:val="000000"/>
      </w:rPr>
    </w:pPr>
    <w:r w:rsidRPr="00A053B7">
      <w:rPr>
        <w:rFonts w:ascii="FrankRuehl" w:hAnsi="FrankRuehl" w:cs="FrankRuehl"/>
        <w:color w:val="000000"/>
      </w:rPr>
      <w:pict w14:anchorId="6C3B4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F2277" w14:textId="77777777" w:rsidR="0006028A" w:rsidRDefault="0006028A" w:rsidP="00052C44">
      <w:r>
        <w:separator/>
      </w:r>
    </w:p>
  </w:footnote>
  <w:footnote w:type="continuationSeparator" w:id="0">
    <w:p w14:paraId="3793E0F4" w14:textId="77777777" w:rsidR="0006028A" w:rsidRDefault="0006028A" w:rsidP="00052C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B5807" w14:textId="77777777" w:rsidR="00F9558E" w:rsidRPr="00A053B7" w:rsidRDefault="00A053B7" w:rsidP="00A053B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7089-03-21</w:t>
    </w:r>
    <w:r>
      <w:rPr>
        <w:rFonts w:ascii="David" w:hAnsi="David"/>
        <w:color w:val="000000"/>
        <w:sz w:val="22"/>
        <w:szCs w:val="22"/>
        <w:rtl/>
      </w:rPr>
      <w:tab/>
      <w:t xml:space="preserve"> מדינת ישראל נ' עדנאן הדרא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03190" w14:textId="77777777" w:rsidR="00F9558E" w:rsidRPr="00A053B7" w:rsidRDefault="00A053B7" w:rsidP="00A053B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7089-03-21</w:t>
    </w:r>
    <w:r>
      <w:rPr>
        <w:rFonts w:ascii="David" w:hAnsi="David"/>
        <w:color w:val="000000"/>
        <w:sz w:val="22"/>
        <w:szCs w:val="22"/>
        <w:rtl/>
      </w:rPr>
      <w:tab/>
      <w:t xml:space="preserve"> מדינת ישראל נ' עדנאן הדרא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12AEF"/>
    <w:rsid w:val="00052C44"/>
    <w:rsid w:val="0006028A"/>
    <w:rsid w:val="001B5A3B"/>
    <w:rsid w:val="00317DA0"/>
    <w:rsid w:val="003E0D17"/>
    <w:rsid w:val="00433D30"/>
    <w:rsid w:val="005D4A84"/>
    <w:rsid w:val="006A3A42"/>
    <w:rsid w:val="00712AEF"/>
    <w:rsid w:val="00824634"/>
    <w:rsid w:val="00A053B7"/>
    <w:rsid w:val="00C21050"/>
    <w:rsid w:val="00D7528F"/>
    <w:rsid w:val="00F13E1A"/>
    <w:rsid w:val="00F9558E"/>
    <w:rsid w:val="00FA54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078AD2"/>
  <w15:chartTrackingRefBased/>
  <w15:docId w15:val="{2232E4BB-8EC4-4780-8BE4-24053C08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2AEF"/>
    <w:pPr>
      <w:bidi/>
    </w:pPr>
    <w:rPr>
      <w:rFonts w:ascii="Times New Roman" w:eastAsia="Times New Roman" w:hAnsi="Times New Roman" w:cs="David"/>
      <w:sz w:val="24"/>
      <w:szCs w:val="24"/>
    </w:rPr>
  </w:style>
  <w:style w:type="paragraph" w:styleId="3">
    <w:name w:val="heading 3"/>
    <w:basedOn w:val="a"/>
    <w:next w:val="a"/>
    <w:link w:val="30"/>
    <w:qFormat/>
    <w:rsid w:val="00712AEF"/>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712AEF"/>
    <w:rPr>
      <w:rFonts w:ascii="Times New Roman" w:eastAsia="Times New Roman" w:hAnsi="Times New Roman" w:cs="David"/>
      <w:b/>
      <w:bCs/>
      <w:noProof/>
      <w:sz w:val="20"/>
      <w:szCs w:val="24"/>
      <w:lang w:eastAsia="he-IL"/>
    </w:rPr>
  </w:style>
  <w:style w:type="paragraph" w:styleId="a3">
    <w:name w:val="header"/>
    <w:basedOn w:val="a"/>
    <w:link w:val="a4"/>
    <w:rsid w:val="00712AEF"/>
    <w:pPr>
      <w:tabs>
        <w:tab w:val="center" w:pos="4153"/>
        <w:tab w:val="right" w:pos="8306"/>
      </w:tabs>
    </w:pPr>
  </w:style>
  <w:style w:type="character" w:customStyle="1" w:styleId="a4">
    <w:name w:val="כותרת עליונה תו"/>
    <w:link w:val="a3"/>
    <w:rsid w:val="00712AEF"/>
    <w:rPr>
      <w:rFonts w:ascii="Times New Roman" w:eastAsia="Times New Roman" w:hAnsi="Times New Roman" w:cs="David"/>
      <w:sz w:val="24"/>
      <w:szCs w:val="24"/>
    </w:rPr>
  </w:style>
  <w:style w:type="paragraph" w:styleId="a5">
    <w:name w:val="footer"/>
    <w:basedOn w:val="a"/>
    <w:link w:val="a6"/>
    <w:rsid w:val="00712AEF"/>
    <w:pPr>
      <w:tabs>
        <w:tab w:val="center" w:pos="4153"/>
        <w:tab w:val="right" w:pos="8306"/>
      </w:tabs>
    </w:pPr>
  </w:style>
  <w:style w:type="character" w:customStyle="1" w:styleId="a6">
    <w:name w:val="כותרת תחתונה תו"/>
    <w:link w:val="a5"/>
    <w:rsid w:val="00712AEF"/>
    <w:rPr>
      <w:rFonts w:ascii="Times New Roman" w:eastAsia="Times New Roman" w:hAnsi="Times New Roman" w:cs="David"/>
      <w:sz w:val="24"/>
      <w:szCs w:val="24"/>
    </w:rPr>
  </w:style>
  <w:style w:type="table" w:styleId="a7">
    <w:name w:val="Table Grid"/>
    <w:basedOn w:val="a1"/>
    <w:rsid w:val="00712AE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12AEF"/>
  </w:style>
  <w:style w:type="character" w:styleId="Hyperlink">
    <w:name w:val="Hyperlink"/>
    <w:rsid w:val="00712A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 TargetMode="External"/><Relationship Id="rId18" Type="http://schemas.openxmlformats.org/officeDocument/2006/relationships/hyperlink" Target="mailto:MaasarN@ips.gov.il"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31" TargetMode="External"/><Relationship Id="rId12" Type="http://schemas.openxmlformats.org/officeDocument/2006/relationships/hyperlink" Target="http://www.nevo.co.il/law/70301/31" TargetMode="External"/><Relationship Id="rId17" Type="http://schemas.openxmlformats.org/officeDocument/2006/relationships/hyperlink" Target="http://www.nevo.co.il/law/70301"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31"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144.c.1" TargetMode="External"/><Relationship Id="rId23" Type="http://schemas.openxmlformats.org/officeDocument/2006/relationships/footer" Target="footer2.xml"/><Relationship Id="rId10" Type="http://schemas.openxmlformats.org/officeDocument/2006/relationships/hyperlink" Target="http://www.nevo.co.il/law/70301/144.c.1"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1449</Words>
  <Characters>7245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8677</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196725</vt:i4>
      </vt:variant>
      <vt:variant>
        <vt:i4>36</vt:i4>
      </vt:variant>
      <vt:variant>
        <vt:i4>0</vt:i4>
      </vt:variant>
      <vt:variant>
        <vt:i4>5</vt:i4>
      </vt:variant>
      <vt:variant>
        <vt:lpwstr>mailto:MaasarN@ips.gov.il</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6357043</vt:i4>
      </vt:variant>
      <vt:variant>
        <vt:i4>27</vt:i4>
      </vt:variant>
      <vt:variant>
        <vt:i4>0</vt:i4>
      </vt:variant>
      <vt:variant>
        <vt:i4>5</vt:i4>
      </vt:variant>
      <vt:variant>
        <vt:lpwstr>http://www.nevo.co.il/law/70301/144.c.1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7995492</vt:i4>
      </vt:variant>
      <vt:variant>
        <vt:i4>21</vt:i4>
      </vt:variant>
      <vt:variant>
        <vt:i4>0</vt:i4>
      </vt:variant>
      <vt:variant>
        <vt:i4>5</vt:i4>
      </vt:variant>
      <vt:variant>
        <vt:lpwstr>http://www.nevo.co.il/law/70301</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6357043</vt:i4>
      </vt:variant>
      <vt:variant>
        <vt:i4>12</vt:i4>
      </vt:variant>
      <vt:variant>
        <vt:i4>0</vt:i4>
      </vt:variant>
      <vt:variant>
        <vt:i4>5</vt:i4>
      </vt:variant>
      <vt:variant>
        <vt:lpwstr>http://www.nevo.co.il/law/70301/144.c.1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2025-04-25T10:50:00Z</dcterms:created>
  <dcterms:modified xsi:type="dcterms:W3CDTF">2025-04-25T10:50:00Z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7089</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עדנאן הדרא;עלי מחיסן</vt:lpwstr>
  </property>
  <property fmtid="{D5CDD505-2E9C-101B-9397-08002B2CF9AE}" pid="10" name="LAWYER">
    <vt:lpwstr>עופרי מלצר;זאב וולף</vt:lpwstr>
  </property>
  <property fmtid="{D5CDD505-2E9C-101B-9397-08002B2CF9AE}" pid="11" name="JUDGE">
    <vt:lpwstr>תמר בר אשר</vt:lpwstr>
  </property>
  <property fmtid="{D5CDD505-2E9C-101B-9397-08002B2CF9AE}" pid="12" name="CITY">
    <vt:lpwstr>י-ם</vt:lpwstr>
  </property>
  <property fmtid="{D5CDD505-2E9C-101B-9397-08002B2CF9AE}" pid="13" name="DATE">
    <vt:lpwstr>20230129</vt:lpwstr>
  </property>
  <property fmtid="{D5CDD505-2E9C-101B-9397-08002B2CF9AE}" pid="14" name="TYPE_N_DATE">
    <vt:lpwstr>39020230129</vt:lpwstr>
  </property>
  <property fmtid="{D5CDD505-2E9C-101B-9397-08002B2CF9AE}" pid="15" name="CASENOTES1">
    <vt:lpwstr>ProcID=209&amp;PartA=7053&amp;PartB=03&amp;PartC=21</vt:lpwstr>
  </property>
  <property fmtid="{D5CDD505-2E9C-101B-9397-08002B2CF9AE}" pid="16" name="WORDNUMPAGES">
    <vt:lpwstr>5</vt:lpwstr>
  </property>
  <property fmtid="{D5CDD505-2E9C-101B-9397-08002B2CF9AE}" pid="17" name="TYPE_ABS_DATE">
    <vt:lpwstr>390020230129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70301/144.a;031:2;144.b;144.c.1</vt:lpwstr>
  </property>
</Properties>
</file>