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04B87" w:rsidRPr="00541762" w14:paraId="57DACFE4" w14:textId="77777777" w:rsidTr="00616984">
        <w:trPr>
          <w:trHeight w:hRule="exact" w:val="418"/>
          <w:jc w:val="center"/>
        </w:trPr>
        <w:tc>
          <w:tcPr>
            <w:tcW w:w="8721" w:type="dxa"/>
            <w:gridSpan w:val="2"/>
          </w:tcPr>
          <w:p w14:paraId="0480AF89" w14:textId="77777777" w:rsidR="00D04B87" w:rsidRPr="00541762" w:rsidRDefault="00D04B87" w:rsidP="00301CD0">
            <w:pPr>
              <w:pStyle w:val="a3"/>
              <w:jc w:val="center"/>
              <w:rPr>
                <w:rFonts w:ascii="Tahoma" w:hAnsi="Tahoma" w:cs="Tahoma"/>
                <w:color w:val="000080"/>
                <w:rtl/>
              </w:rPr>
            </w:pPr>
            <w:bookmarkStart w:id="0" w:name="FirstLawyer"/>
            <w:bookmarkStart w:id="1" w:name="LastJudge"/>
            <w:r w:rsidRPr="00541762">
              <w:rPr>
                <w:rFonts w:ascii="Tahoma" w:hAnsi="Tahoma" w:cs="Tahoma"/>
                <w:b/>
                <w:bCs/>
                <w:color w:val="000080"/>
                <w:rtl/>
              </w:rPr>
              <w:t>בית המשפט המחוזי בירושלים</w:t>
            </w:r>
          </w:p>
        </w:tc>
      </w:tr>
      <w:tr w:rsidR="00D04B87" w:rsidRPr="00541762" w14:paraId="39105F4B" w14:textId="77777777" w:rsidTr="00616984">
        <w:trPr>
          <w:trHeight w:val="337"/>
          <w:jc w:val="center"/>
        </w:trPr>
        <w:tc>
          <w:tcPr>
            <w:tcW w:w="5057" w:type="dxa"/>
          </w:tcPr>
          <w:p w14:paraId="006655B8" w14:textId="77777777" w:rsidR="00D04B87" w:rsidRPr="00541762" w:rsidRDefault="00D04B87" w:rsidP="00301CD0">
            <w:pPr>
              <w:rPr>
                <w:rFonts w:cs="FrankRuehl"/>
                <w:sz w:val="28"/>
                <w:szCs w:val="28"/>
                <w:rtl/>
              </w:rPr>
            </w:pPr>
            <w:r w:rsidRPr="00541762">
              <w:rPr>
                <w:rFonts w:cs="FrankRuehl"/>
                <w:b/>
                <w:bCs/>
                <w:sz w:val="28"/>
                <w:szCs w:val="28"/>
                <w:rtl/>
              </w:rPr>
              <w:t>ת"פ</w:t>
            </w:r>
            <w:r w:rsidRPr="00541762">
              <w:rPr>
                <w:rFonts w:cs="FrankRuehl" w:hint="cs"/>
                <w:b/>
                <w:bCs/>
                <w:sz w:val="28"/>
                <w:szCs w:val="28"/>
                <w:rtl/>
              </w:rPr>
              <w:t xml:space="preserve"> </w:t>
            </w:r>
            <w:r w:rsidRPr="00541762">
              <w:rPr>
                <w:rFonts w:cs="FrankRuehl"/>
                <w:b/>
                <w:bCs/>
                <w:sz w:val="28"/>
                <w:szCs w:val="28"/>
                <w:rtl/>
              </w:rPr>
              <w:t>13177-04-21</w:t>
            </w:r>
            <w:r w:rsidRPr="00541762">
              <w:rPr>
                <w:rFonts w:cs="FrankRuehl" w:hint="cs"/>
                <w:b/>
                <w:bCs/>
                <w:sz w:val="28"/>
                <w:szCs w:val="28"/>
                <w:rtl/>
              </w:rPr>
              <w:t xml:space="preserve"> </w:t>
            </w:r>
            <w:r w:rsidRPr="00541762">
              <w:rPr>
                <w:rFonts w:cs="FrankRuehl"/>
                <w:b/>
                <w:bCs/>
                <w:sz w:val="28"/>
                <w:szCs w:val="28"/>
                <w:rtl/>
              </w:rPr>
              <w:t>מדינת ישראל נ' אלעתאיקה</w:t>
            </w:r>
          </w:p>
        </w:tc>
        <w:tc>
          <w:tcPr>
            <w:tcW w:w="3664" w:type="dxa"/>
          </w:tcPr>
          <w:p w14:paraId="70F318EE" w14:textId="77777777" w:rsidR="00D04B87" w:rsidRPr="00541762" w:rsidRDefault="00D04B87" w:rsidP="00301CD0">
            <w:pPr>
              <w:pStyle w:val="a3"/>
              <w:jc w:val="right"/>
              <w:rPr>
                <w:rFonts w:cs="FrankRuehl"/>
                <w:sz w:val="28"/>
                <w:szCs w:val="28"/>
                <w:rtl/>
              </w:rPr>
            </w:pPr>
          </w:p>
        </w:tc>
      </w:tr>
    </w:tbl>
    <w:p w14:paraId="442499A3" w14:textId="77777777" w:rsidR="00D04B87" w:rsidRPr="00541762" w:rsidRDefault="00D04B87" w:rsidP="00D04B87">
      <w:pPr>
        <w:pStyle w:val="a3"/>
        <w:rPr>
          <w:rtl/>
        </w:rPr>
      </w:pPr>
    </w:p>
    <w:p w14:paraId="4B26D071" w14:textId="77777777" w:rsidR="00D04B87" w:rsidRPr="00541762" w:rsidRDefault="00D04B87" w:rsidP="00D04B87">
      <w:pPr>
        <w:rPr>
          <w:rFonts w:ascii="FrankRuehl" w:hAnsi="FrankRuehl" w:cs="FrankRuehl"/>
          <w:b/>
          <w:bCs/>
          <w:sz w:val="30"/>
          <w:szCs w:val="30"/>
          <w:rtl/>
        </w:rPr>
      </w:pPr>
    </w:p>
    <w:p w14:paraId="2B174ACE" w14:textId="77777777" w:rsidR="00D04B87" w:rsidRPr="00541762" w:rsidRDefault="00D04B87" w:rsidP="00D04B87">
      <w:pPr>
        <w:rPr>
          <w:rFonts w:ascii="FrankRuehl" w:hAnsi="FrankRuehl" w:cs="FrankRuehl"/>
          <w:b/>
          <w:bCs/>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062"/>
        <w:gridCol w:w="2835"/>
      </w:tblGrid>
      <w:tr w:rsidR="00D04B87" w:rsidRPr="00541762" w14:paraId="0B1F8DC0" w14:textId="77777777" w:rsidTr="00D04B87">
        <w:trPr>
          <w:trHeight w:val="295"/>
          <w:jc w:val="center"/>
        </w:trPr>
        <w:tc>
          <w:tcPr>
            <w:tcW w:w="923" w:type="dxa"/>
            <w:tcBorders>
              <w:top w:val="nil"/>
              <w:left w:val="nil"/>
              <w:bottom w:val="nil"/>
              <w:right w:val="nil"/>
            </w:tcBorders>
            <w:shd w:val="clear" w:color="auto" w:fill="auto"/>
          </w:tcPr>
          <w:p w14:paraId="379D8CD0" w14:textId="77777777" w:rsidR="00D04B87" w:rsidRPr="00541762" w:rsidRDefault="00D04B87" w:rsidP="00D04B87">
            <w:pPr>
              <w:jc w:val="both"/>
              <w:rPr>
                <w:rFonts w:ascii="FrankRuehl" w:hAnsi="FrankRuehl" w:cs="FrankRuehl"/>
                <w:b/>
                <w:bCs/>
                <w:sz w:val="30"/>
                <w:szCs w:val="30"/>
              </w:rPr>
            </w:pPr>
            <w:r w:rsidRPr="00541762">
              <w:rPr>
                <w:rFonts w:ascii="FrankRuehl" w:hAnsi="FrankRuehl" w:cs="FrankRuehl"/>
                <w:b/>
                <w:bCs/>
                <w:sz w:val="30"/>
                <w:szCs w:val="30"/>
                <w:rtl/>
              </w:rPr>
              <w:t xml:space="preserve">בפני </w:t>
            </w:r>
          </w:p>
        </w:tc>
        <w:tc>
          <w:tcPr>
            <w:tcW w:w="7897" w:type="dxa"/>
            <w:gridSpan w:val="2"/>
            <w:tcBorders>
              <w:top w:val="nil"/>
              <w:left w:val="nil"/>
              <w:bottom w:val="nil"/>
              <w:right w:val="nil"/>
            </w:tcBorders>
            <w:shd w:val="clear" w:color="auto" w:fill="auto"/>
          </w:tcPr>
          <w:p w14:paraId="322FE872" w14:textId="77777777" w:rsidR="00D04B87" w:rsidRPr="00541762" w:rsidRDefault="00D04B87" w:rsidP="00301CD0">
            <w:pPr>
              <w:rPr>
                <w:rFonts w:ascii="FrankRuehl" w:hAnsi="FrankRuehl" w:cs="FrankRuehl"/>
                <w:b/>
                <w:bCs/>
                <w:sz w:val="30"/>
                <w:szCs w:val="30"/>
                <w:rtl/>
              </w:rPr>
            </w:pPr>
            <w:r w:rsidRPr="00541762">
              <w:rPr>
                <w:rFonts w:ascii="FrankRuehl" w:hAnsi="FrankRuehl" w:cs="FrankRuehl"/>
                <w:b/>
                <w:bCs/>
                <w:sz w:val="30"/>
                <w:szCs w:val="30"/>
                <w:rtl/>
              </w:rPr>
              <w:t>כב</w:t>
            </w:r>
            <w:r w:rsidRPr="00541762">
              <w:rPr>
                <w:rFonts w:ascii="FrankRuehl" w:hAnsi="FrankRuehl" w:cs="FrankRuehl" w:hint="cs"/>
                <w:b/>
                <w:bCs/>
                <w:sz w:val="30"/>
                <w:szCs w:val="30"/>
                <w:rtl/>
              </w:rPr>
              <w:t>'</w:t>
            </w:r>
            <w:r w:rsidRPr="00541762">
              <w:rPr>
                <w:rFonts w:ascii="FrankRuehl" w:hAnsi="FrankRuehl" w:cs="FrankRuehl"/>
                <w:b/>
                <w:bCs/>
                <w:sz w:val="30"/>
                <w:szCs w:val="30"/>
                <w:rtl/>
              </w:rPr>
              <w:t xml:space="preserve"> השופט אילן סלע</w:t>
            </w:r>
          </w:p>
          <w:p w14:paraId="72F531EE" w14:textId="77777777" w:rsidR="00D04B87" w:rsidRPr="00541762" w:rsidRDefault="00D04B87" w:rsidP="00301CD0">
            <w:pPr>
              <w:rPr>
                <w:rFonts w:ascii="FrankRuehl" w:hAnsi="FrankRuehl" w:cs="FrankRuehl"/>
                <w:b/>
                <w:bCs/>
                <w:sz w:val="30"/>
                <w:szCs w:val="30"/>
                <w:rtl/>
              </w:rPr>
            </w:pPr>
          </w:p>
          <w:p w14:paraId="43897378" w14:textId="77777777" w:rsidR="00D04B87" w:rsidRPr="00541762" w:rsidRDefault="00D04B87" w:rsidP="00D04B87">
            <w:pPr>
              <w:jc w:val="both"/>
              <w:rPr>
                <w:rFonts w:ascii="FrankRuehl" w:hAnsi="FrankRuehl" w:cs="FrankRuehl"/>
                <w:b/>
                <w:bCs/>
                <w:sz w:val="30"/>
                <w:szCs w:val="30"/>
              </w:rPr>
            </w:pPr>
          </w:p>
        </w:tc>
      </w:tr>
      <w:tr w:rsidR="00D04B87" w:rsidRPr="00541762" w14:paraId="074ECA00" w14:textId="77777777" w:rsidTr="00D04B87">
        <w:trPr>
          <w:trHeight w:val="355"/>
          <w:jc w:val="center"/>
        </w:trPr>
        <w:tc>
          <w:tcPr>
            <w:tcW w:w="923" w:type="dxa"/>
            <w:tcBorders>
              <w:top w:val="nil"/>
              <w:left w:val="nil"/>
              <w:bottom w:val="nil"/>
              <w:right w:val="nil"/>
            </w:tcBorders>
            <w:shd w:val="clear" w:color="auto" w:fill="auto"/>
          </w:tcPr>
          <w:p w14:paraId="548DB958" w14:textId="77777777" w:rsidR="00D04B87" w:rsidRPr="00541762" w:rsidRDefault="00D04B87" w:rsidP="00D04B87">
            <w:pPr>
              <w:jc w:val="both"/>
              <w:rPr>
                <w:rFonts w:ascii="FrankRuehl" w:hAnsi="FrankRuehl" w:cs="FrankRuehl"/>
                <w:b/>
                <w:bCs/>
                <w:sz w:val="30"/>
                <w:szCs w:val="30"/>
              </w:rPr>
            </w:pPr>
            <w:bookmarkStart w:id="2" w:name="FirstAppellant"/>
            <w:r w:rsidRPr="00541762">
              <w:rPr>
                <w:rFonts w:ascii="FrankRuehl" w:hAnsi="FrankRuehl" w:cs="FrankRuehl"/>
                <w:b/>
                <w:bCs/>
                <w:sz w:val="30"/>
                <w:szCs w:val="30"/>
                <w:rtl/>
              </w:rPr>
              <w:t>בעניין:</w:t>
            </w:r>
          </w:p>
        </w:tc>
        <w:tc>
          <w:tcPr>
            <w:tcW w:w="5062" w:type="dxa"/>
            <w:tcBorders>
              <w:top w:val="nil"/>
              <w:left w:val="nil"/>
              <w:bottom w:val="nil"/>
              <w:right w:val="nil"/>
            </w:tcBorders>
            <w:shd w:val="clear" w:color="auto" w:fill="auto"/>
          </w:tcPr>
          <w:p w14:paraId="5C0C4074" w14:textId="77777777" w:rsidR="00D04B87" w:rsidRPr="00541762" w:rsidRDefault="00D04B87" w:rsidP="00301CD0">
            <w:pPr>
              <w:rPr>
                <w:rFonts w:ascii="FrankRuehl" w:hAnsi="FrankRuehl" w:cs="FrankRuehl"/>
                <w:b/>
                <w:bCs/>
                <w:sz w:val="30"/>
                <w:szCs w:val="30"/>
              </w:rPr>
            </w:pPr>
            <w:r w:rsidRPr="00541762">
              <w:rPr>
                <w:rFonts w:ascii="FrankRuehl" w:hAnsi="FrankRuehl" w:cs="FrankRuehl"/>
                <w:b/>
                <w:bCs/>
                <w:sz w:val="30"/>
                <w:szCs w:val="30"/>
                <w:rtl/>
              </w:rPr>
              <w:t>מדינת ישראל</w:t>
            </w:r>
          </w:p>
        </w:tc>
        <w:tc>
          <w:tcPr>
            <w:tcW w:w="2835" w:type="dxa"/>
            <w:tcBorders>
              <w:top w:val="nil"/>
              <w:left w:val="nil"/>
              <w:bottom w:val="nil"/>
              <w:right w:val="nil"/>
            </w:tcBorders>
            <w:shd w:val="clear" w:color="auto" w:fill="auto"/>
          </w:tcPr>
          <w:p w14:paraId="5D119A06" w14:textId="77777777" w:rsidR="00D04B87" w:rsidRPr="00541762" w:rsidRDefault="00D04B87" w:rsidP="00D04B87">
            <w:pPr>
              <w:jc w:val="both"/>
              <w:rPr>
                <w:rFonts w:ascii="FrankRuehl" w:hAnsi="FrankRuehl" w:cs="FrankRuehl"/>
                <w:b/>
                <w:bCs/>
                <w:sz w:val="30"/>
                <w:szCs w:val="30"/>
              </w:rPr>
            </w:pPr>
          </w:p>
        </w:tc>
      </w:tr>
      <w:bookmarkEnd w:id="2"/>
      <w:tr w:rsidR="00D04B87" w:rsidRPr="00541762" w14:paraId="6959A1C7" w14:textId="77777777" w:rsidTr="00D04B87">
        <w:trPr>
          <w:trHeight w:val="355"/>
          <w:jc w:val="center"/>
        </w:trPr>
        <w:tc>
          <w:tcPr>
            <w:tcW w:w="923" w:type="dxa"/>
            <w:tcBorders>
              <w:top w:val="nil"/>
              <w:left w:val="nil"/>
              <w:bottom w:val="nil"/>
              <w:right w:val="nil"/>
            </w:tcBorders>
            <w:shd w:val="clear" w:color="auto" w:fill="auto"/>
          </w:tcPr>
          <w:p w14:paraId="74A8121A" w14:textId="77777777" w:rsidR="00D04B87" w:rsidRPr="00541762" w:rsidRDefault="00D04B87" w:rsidP="00D04B87">
            <w:pPr>
              <w:jc w:val="both"/>
              <w:rPr>
                <w:rFonts w:ascii="FrankRuehl" w:hAnsi="FrankRuehl" w:cs="FrankRuehl"/>
                <w:b/>
                <w:bCs/>
                <w:sz w:val="30"/>
                <w:szCs w:val="30"/>
                <w:rtl/>
              </w:rPr>
            </w:pPr>
          </w:p>
        </w:tc>
        <w:tc>
          <w:tcPr>
            <w:tcW w:w="5062" w:type="dxa"/>
            <w:tcBorders>
              <w:top w:val="nil"/>
              <w:left w:val="nil"/>
              <w:bottom w:val="nil"/>
              <w:right w:val="nil"/>
            </w:tcBorders>
            <w:shd w:val="clear" w:color="auto" w:fill="auto"/>
          </w:tcPr>
          <w:p w14:paraId="6ECB60CF" w14:textId="77777777" w:rsidR="00D04B87" w:rsidRPr="00541762" w:rsidRDefault="00D04B87" w:rsidP="00D04B87">
            <w:pPr>
              <w:jc w:val="both"/>
              <w:rPr>
                <w:rFonts w:ascii="FrankRuehl" w:hAnsi="FrankRuehl" w:cs="FrankRuehl"/>
                <w:b/>
                <w:bCs/>
                <w:sz w:val="30"/>
                <w:szCs w:val="30"/>
                <w:rtl/>
              </w:rPr>
            </w:pPr>
            <w:r w:rsidRPr="00541762">
              <w:rPr>
                <w:rFonts w:ascii="FrankRuehl" w:hAnsi="FrankRuehl" w:cs="FrankRuehl" w:hint="cs"/>
                <w:b/>
                <w:bCs/>
                <w:sz w:val="30"/>
                <w:szCs w:val="30"/>
                <w:rtl/>
              </w:rPr>
              <w:t>באמצעות פרקליטות מחוז ירושלים (פלילי),</w:t>
            </w:r>
          </w:p>
          <w:p w14:paraId="0B4DDEA9" w14:textId="77777777" w:rsidR="00D04B87" w:rsidRPr="00541762" w:rsidRDefault="00D04B87" w:rsidP="00D04B87">
            <w:pPr>
              <w:jc w:val="both"/>
              <w:rPr>
                <w:rFonts w:ascii="FrankRuehl" w:hAnsi="FrankRuehl" w:cs="FrankRuehl"/>
                <w:b/>
                <w:bCs/>
                <w:sz w:val="30"/>
                <w:szCs w:val="30"/>
                <w:rtl/>
              </w:rPr>
            </w:pPr>
            <w:r w:rsidRPr="00541762">
              <w:rPr>
                <w:rFonts w:ascii="FrankRuehl" w:hAnsi="FrankRuehl" w:cs="FrankRuehl" w:hint="cs"/>
                <w:b/>
                <w:bCs/>
                <w:sz w:val="30"/>
                <w:szCs w:val="30"/>
                <w:rtl/>
              </w:rPr>
              <w:t>ע"ע עו"ד אילן אקוקה</w:t>
            </w:r>
          </w:p>
          <w:p w14:paraId="4563BDCE" w14:textId="77777777" w:rsidR="00D04B87" w:rsidRPr="00541762" w:rsidRDefault="00D04B87" w:rsidP="00D04B87">
            <w:pPr>
              <w:jc w:val="both"/>
              <w:rPr>
                <w:rFonts w:ascii="FrankRuehl" w:hAnsi="FrankRuehl" w:cs="FrankRuehl"/>
                <w:b/>
                <w:bCs/>
                <w:sz w:val="30"/>
                <w:szCs w:val="30"/>
                <w:rtl/>
              </w:rPr>
            </w:pPr>
          </w:p>
        </w:tc>
        <w:tc>
          <w:tcPr>
            <w:tcW w:w="2835" w:type="dxa"/>
            <w:tcBorders>
              <w:top w:val="nil"/>
              <w:left w:val="nil"/>
              <w:bottom w:val="nil"/>
              <w:right w:val="nil"/>
            </w:tcBorders>
            <w:shd w:val="clear" w:color="auto" w:fill="auto"/>
          </w:tcPr>
          <w:p w14:paraId="1E755B75" w14:textId="77777777" w:rsidR="00D04B87" w:rsidRPr="00541762" w:rsidRDefault="00D04B87" w:rsidP="00D04B87">
            <w:pPr>
              <w:jc w:val="right"/>
              <w:rPr>
                <w:rFonts w:ascii="FrankRuehl" w:hAnsi="FrankRuehl" w:cs="FrankRuehl"/>
                <w:b/>
                <w:bCs/>
                <w:sz w:val="30"/>
                <w:szCs w:val="30"/>
                <w:rtl/>
              </w:rPr>
            </w:pPr>
          </w:p>
          <w:p w14:paraId="17426642" w14:textId="77777777" w:rsidR="00D04B87" w:rsidRPr="00541762" w:rsidRDefault="00D04B87" w:rsidP="00D04B87">
            <w:pPr>
              <w:jc w:val="right"/>
              <w:rPr>
                <w:rFonts w:ascii="FrankRuehl" w:hAnsi="FrankRuehl" w:cs="FrankRuehl"/>
                <w:b/>
                <w:bCs/>
                <w:sz w:val="30"/>
                <w:szCs w:val="30"/>
                <w:rtl/>
              </w:rPr>
            </w:pPr>
            <w:r w:rsidRPr="00541762">
              <w:rPr>
                <w:rFonts w:ascii="FrankRuehl" w:hAnsi="FrankRuehl" w:cs="FrankRuehl"/>
                <w:b/>
                <w:bCs/>
                <w:sz w:val="30"/>
                <w:szCs w:val="30"/>
                <w:rtl/>
              </w:rPr>
              <w:t>המאשימה</w:t>
            </w:r>
          </w:p>
        </w:tc>
      </w:tr>
      <w:tr w:rsidR="00D04B87" w:rsidRPr="00541762" w14:paraId="482082FB" w14:textId="77777777" w:rsidTr="00D04B87">
        <w:trPr>
          <w:trHeight w:val="355"/>
          <w:jc w:val="center"/>
        </w:trPr>
        <w:tc>
          <w:tcPr>
            <w:tcW w:w="923" w:type="dxa"/>
            <w:tcBorders>
              <w:top w:val="nil"/>
              <w:left w:val="nil"/>
              <w:bottom w:val="nil"/>
              <w:right w:val="nil"/>
            </w:tcBorders>
            <w:shd w:val="clear" w:color="auto" w:fill="auto"/>
          </w:tcPr>
          <w:p w14:paraId="2EA04B27" w14:textId="77777777" w:rsidR="00D04B87" w:rsidRPr="00541762" w:rsidRDefault="00D04B87" w:rsidP="00D04B87">
            <w:pPr>
              <w:jc w:val="both"/>
              <w:rPr>
                <w:rFonts w:ascii="FrankRuehl" w:hAnsi="FrankRuehl" w:cs="FrankRuehl"/>
                <w:b/>
                <w:bCs/>
                <w:sz w:val="30"/>
                <w:szCs w:val="30"/>
                <w:rtl/>
              </w:rPr>
            </w:pPr>
          </w:p>
        </w:tc>
        <w:tc>
          <w:tcPr>
            <w:tcW w:w="7897" w:type="dxa"/>
            <w:gridSpan w:val="2"/>
            <w:tcBorders>
              <w:top w:val="nil"/>
              <w:left w:val="nil"/>
              <w:bottom w:val="nil"/>
              <w:right w:val="nil"/>
            </w:tcBorders>
            <w:shd w:val="clear" w:color="auto" w:fill="auto"/>
          </w:tcPr>
          <w:p w14:paraId="566FD44F" w14:textId="77777777" w:rsidR="00D04B87" w:rsidRPr="00541762" w:rsidRDefault="00D04B87" w:rsidP="00D04B87">
            <w:pPr>
              <w:jc w:val="center"/>
              <w:rPr>
                <w:rFonts w:ascii="FrankRuehl" w:hAnsi="FrankRuehl" w:cs="FrankRuehl"/>
                <w:b/>
                <w:bCs/>
                <w:sz w:val="30"/>
                <w:szCs w:val="30"/>
                <w:rtl/>
              </w:rPr>
            </w:pPr>
          </w:p>
          <w:p w14:paraId="1B30BCEF" w14:textId="77777777" w:rsidR="00D04B87" w:rsidRPr="00541762" w:rsidRDefault="00D04B87" w:rsidP="00D04B87">
            <w:pPr>
              <w:jc w:val="center"/>
              <w:rPr>
                <w:rFonts w:ascii="FrankRuehl" w:hAnsi="FrankRuehl" w:cs="FrankRuehl"/>
                <w:b/>
                <w:bCs/>
                <w:sz w:val="30"/>
                <w:szCs w:val="30"/>
                <w:rtl/>
              </w:rPr>
            </w:pPr>
            <w:r w:rsidRPr="00541762">
              <w:rPr>
                <w:rFonts w:ascii="FrankRuehl" w:hAnsi="FrankRuehl" w:cs="FrankRuehl"/>
                <w:b/>
                <w:bCs/>
                <w:sz w:val="30"/>
                <w:szCs w:val="30"/>
                <w:rtl/>
              </w:rPr>
              <w:t>נגד</w:t>
            </w:r>
          </w:p>
          <w:p w14:paraId="37CCD552" w14:textId="77777777" w:rsidR="00D04B87" w:rsidRPr="00541762" w:rsidRDefault="00D04B87" w:rsidP="00D04B87">
            <w:pPr>
              <w:jc w:val="both"/>
              <w:rPr>
                <w:rFonts w:ascii="FrankRuehl" w:hAnsi="FrankRuehl" w:cs="FrankRuehl"/>
                <w:b/>
                <w:bCs/>
                <w:sz w:val="30"/>
                <w:szCs w:val="30"/>
              </w:rPr>
            </w:pPr>
          </w:p>
        </w:tc>
      </w:tr>
      <w:tr w:rsidR="00D04B87" w:rsidRPr="00541762" w14:paraId="52813A1D" w14:textId="77777777" w:rsidTr="00D04B87">
        <w:trPr>
          <w:trHeight w:val="355"/>
          <w:jc w:val="center"/>
        </w:trPr>
        <w:tc>
          <w:tcPr>
            <w:tcW w:w="923" w:type="dxa"/>
            <w:tcBorders>
              <w:top w:val="nil"/>
              <w:left w:val="nil"/>
              <w:bottom w:val="nil"/>
              <w:right w:val="nil"/>
            </w:tcBorders>
            <w:shd w:val="clear" w:color="auto" w:fill="auto"/>
          </w:tcPr>
          <w:p w14:paraId="224DA902" w14:textId="77777777" w:rsidR="00D04B87" w:rsidRPr="00541762" w:rsidRDefault="00D04B87" w:rsidP="00301CD0">
            <w:pPr>
              <w:rPr>
                <w:rFonts w:ascii="FrankRuehl" w:hAnsi="FrankRuehl" w:cs="FrankRuehl"/>
                <w:b/>
                <w:bCs/>
                <w:sz w:val="30"/>
                <w:szCs w:val="30"/>
                <w:rtl/>
              </w:rPr>
            </w:pPr>
          </w:p>
        </w:tc>
        <w:tc>
          <w:tcPr>
            <w:tcW w:w="5062" w:type="dxa"/>
            <w:tcBorders>
              <w:top w:val="nil"/>
              <w:left w:val="nil"/>
              <w:bottom w:val="nil"/>
              <w:right w:val="nil"/>
            </w:tcBorders>
            <w:shd w:val="clear" w:color="auto" w:fill="auto"/>
          </w:tcPr>
          <w:p w14:paraId="185972B1" w14:textId="77777777" w:rsidR="00D04B87" w:rsidRPr="00541762" w:rsidRDefault="00D04B87" w:rsidP="00301CD0">
            <w:pPr>
              <w:rPr>
                <w:rFonts w:ascii="FrankRuehl" w:hAnsi="FrankRuehl" w:cs="FrankRuehl"/>
                <w:b/>
                <w:bCs/>
                <w:sz w:val="30"/>
                <w:szCs w:val="30"/>
                <w:rtl/>
              </w:rPr>
            </w:pPr>
            <w:r w:rsidRPr="00541762">
              <w:rPr>
                <w:rFonts w:ascii="FrankRuehl" w:hAnsi="FrankRuehl" w:cs="FrankRuehl"/>
                <w:b/>
                <w:bCs/>
                <w:sz w:val="30"/>
                <w:szCs w:val="30"/>
                <w:rtl/>
              </w:rPr>
              <w:t>1.אמיר אלעתאיקה</w:t>
            </w:r>
            <w:r w:rsidRPr="00541762">
              <w:rPr>
                <w:rFonts w:ascii="FrankRuehl" w:hAnsi="FrankRuehl" w:cs="FrankRuehl"/>
                <w:b/>
                <w:bCs/>
                <w:sz w:val="30"/>
                <w:szCs w:val="30"/>
                <w:rtl/>
              </w:rPr>
              <w:br/>
            </w:r>
            <w:r w:rsidRPr="00541762">
              <w:rPr>
                <w:rFonts w:ascii="FrankRuehl" w:hAnsi="FrankRuehl" w:cs="FrankRuehl" w:hint="cs"/>
                <w:b/>
                <w:bCs/>
                <w:sz w:val="30"/>
                <w:szCs w:val="30"/>
                <w:rtl/>
              </w:rPr>
              <w:t>ע"י ב"כ עו"ד פארס מוסטפא</w:t>
            </w:r>
          </w:p>
          <w:p w14:paraId="3A91B649" w14:textId="77777777" w:rsidR="00D04B87" w:rsidRPr="00541762" w:rsidRDefault="00D04B87" w:rsidP="00301CD0">
            <w:pPr>
              <w:rPr>
                <w:rFonts w:ascii="FrankRuehl" w:hAnsi="FrankRuehl" w:cs="FrankRuehl"/>
                <w:b/>
                <w:bCs/>
                <w:sz w:val="30"/>
                <w:szCs w:val="30"/>
                <w:rtl/>
              </w:rPr>
            </w:pPr>
            <w:r w:rsidRPr="00541762">
              <w:rPr>
                <w:rFonts w:ascii="FrankRuehl" w:hAnsi="FrankRuehl" w:cs="FrankRuehl"/>
                <w:b/>
                <w:bCs/>
                <w:sz w:val="30"/>
                <w:szCs w:val="30"/>
                <w:rtl/>
              </w:rPr>
              <w:t>2.חסאן אלבחירי</w:t>
            </w:r>
          </w:p>
        </w:tc>
        <w:tc>
          <w:tcPr>
            <w:tcW w:w="2835" w:type="dxa"/>
            <w:tcBorders>
              <w:top w:val="nil"/>
              <w:left w:val="nil"/>
              <w:bottom w:val="nil"/>
              <w:right w:val="nil"/>
            </w:tcBorders>
            <w:shd w:val="clear" w:color="auto" w:fill="auto"/>
          </w:tcPr>
          <w:p w14:paraId="030ADB06" w14:textId="77777777" w:rsidR="00D04B87" w:rsidRPr="00541762" w:rsidRDefault="00D04B87" w:rsidP="00D04B87">
            <w:pPr>
              <w:jc w:val="right"/>
              <w:rPr>
                <w:rFonts w:ascii="FrankRuehl" w:hAnsi="FrankRuehl" w:cs="FrankRuehl"/>
                <w:b/>
                <w:bCs/>
                <w:sz w:val="30"/>
                <w:szCs w:val="30"/>
              </w:rPr>
            </w:pPr>
          </w:p>
        </w:tc>
      </w:tr>
      <w:tr w:rsidR="00D04B87" w:rsidRPr="00541762" w14:paraId="62F71943" w14:textId="77777777" w:rsidTr="00D04B87">
        <w:trPr>
          <w:trHeight w:val="355"/>
          <w:jc w:val="center"/>
        </w:trPr>
        <w:tc>
          <w:tcPr>
            <w:tcW w:w="923" w:type="dxa"/>
            <w:tcBorders>
              <w:top w:val="nil"/>
              <w:left w:val="nil"/>
              <w:bottom w:val="nil"/>
              <w:right w:val="nil"/>
            </w:tcBorders>
            <w:shd w:val="clear" w:color="auto" w:fill="auto"/>
          </w:tcPr>
          <w:p w14:paraId="429F4893" w14:textId="77777777" w:rsidR="00D04B87" w:rsidRPr="00541762" w:rsidRDefault="00D04B87" w:rsidP="00D04B87">
            <w:pPr>
              <w:jc w:val="both"/>
              <w:rPr>
                <w:rFonts w:ascii="FrankRuehl" w:hAnsi="FrankRuehl" w:cs="FrankRuehl"/>
                <w:b/>
                <w:bCs/>
                <w:sz w:val="30"/>
                <w:szCs w:val="30"/>
                <w:rtl/>
              </w:rPr>
            </w:pPr>
          </w:p>
        </w:tc>
        <w:tc>
          <w:tcPr>
            <w:tcW w:w="5062" w:type="dxa"/>
            <w:tcBorders>
              <w:top w:val="nil"/>
              <w:left w:val="nil"/>
              <w:bottom w:val="nil"/>
              <w:right w:val="nil"/>
            </w:tcBorders>
            <w:shd w:val="clear" w:color="auto" w:fill="auto"/>
          </w:tcPr>
          <w:p w14:paraId="73AFF84E" w14:textId="77777777" w:rsidR="00D04B87" w:rsidRPr="00541762" w:rsidRDefault="00D04B87" w:rsidP="00D04B87">
            <w:pPr>
              <w:jc w:val="both"/>
              <w:rPr>
                <w:rFonts w:ascii="FrankRuehl" w:hAnsi="FrankRuehl" w:cs="FrankRuehl"/>
                <w:b/>
                <w:bCs/>
                <w:sz w:val="30"/>
                <w:szCs w:val="30"/>
                <w:rtl/>
              </w:rPr>
            </w:pPr>
          </w:p>
        </w:tc>
        <w:tc>
          <w:tcPr>
            <w:tcW w:w="2835" w:type="dxa"/>
            <w:tcBorders>
              <w:top w:val="nil"/>
              <w:left w:val="nil"/>
              <w:bottom w:val="nil"/>
              <w:right w:val="nil"/>
            </w:tcBorders>
            <w:shd w:val="clear" w:color="auto" w:fill="auto"/>
          </w:tcPr>
          <w:p w14:paraId="40D5BE6C" w14:textId="77777777" w:rsidR="00D04B87" w:rsidRPr="00541762" w:rsidRDefault="00D04B87" w:rsidP="00D04B87">
            <w:pPr>
              <w:jc w:val="right"/>
              <w:rPr>
                <w:rFonts w:ascii="FrankRuehl" w:hAnsi="FrankRuehl" w:cs="FrankRuehl"/>
                <w:b/>
                <w:bCs/>
                <w:sz w:val="30"/>
                <w:szCs w:val="30"/>
              </w:rPr>
            </w:pPr>
            <w:r w:rsidRPr="00541762">
              <w:rPr>
                <w:rFonts w:ascii="FrankRuehl" w:hAnsi="FrankRuehl" w:cs="FrankRuehl"/>
                <w:b/>
                <w:bCs/>
                <w:sz w:val="30"/>
                <w:szCs w:val="30"/>
                <w:rtl/>
              </w:rPr>
              <w:t>הנאשמים</w:t>
            </w:r>
          </w:p>
        </w:tc>
      </w:tr>
    </w:tbl>
    <w:p w14:paraId="3C910BFD" w14:textId="77777777" w:rsidR="00616984" w:rsidRDefault="00616984" w:rsidP="00541762">
      <w:pPr>
        <w:spacing w:after="160" w:line="360" w:lineRule="auto"/>
        <w:jc w:val="center"/>
        <w:rPr>
          <w:rFonts w:ascii="FrankRuehl" w:eastAsia="Calibri" w:hAnsi="FrankRuehl" w:cs="FrankRuehl"/>
          <w:sz w:val="36"/>
          <w:szCs w:val="36"/>
          <w:rtl/>
        </w:rPr>
      </w:pPr>
    </w:p>
    <w:p w14:paraId="2385AAED" w14:textId="77777777" w:rsidR="00616984" w:rsidRPr="00616984" w:rsidRDefault="00616984" w:rsidP="00616984">
      <w:pPr>
        <w:spacing w:after="120" w:line="240" w:lineRule="exact"/>
        <w:ind w:left="283" w:hanging="283"/>
        <w:jc w:val="both"/>
        <w:rPr>
          <w:rFonts w:ascii="FrankRuehl" w:eastAsia="Calibri" w:hAnsi="FrankRuehl" w:cs="FrankRuehl"/>
          <w:rtl/>
        </w:rPr>
      </w:pPr>
    </w:p>
    <w:p w14:paraId="59FAFA8C" w14:textId="77777777" w:rsidR="005F2DBA" w:rsidRPr="005F2DBA" w:rsidRDefault="005F2DBA" w:rsidP="005F2DBA">
      <w:pPr>
        <w:spacing w:before="120" w:after="120" w:line="240" w:lineRule="exact"/>
        <w:ind w:left="283" w:hanging="283"/>
        <w:jc w:val="both"/>
        <w:rPr>
          <w:rFonts w:ascii="FrankRuehl" w:eastAsia="Calibri" w:hAnsi="FrankRuehl" w:cs="FrankRuehl"/>
          <w:rtl/>
        </w:rPr>
      </w:pPr>
    </w:p>
    <w:p w14:paraId="0C6AAC65" w14:textId="77777777" w:rsidR="00074608" w:rsidRDefault="00074608" w:rsidP="00074608">
      <w:pPr>
        <w:spacing w:after="160" w:line="360" w:lineRule="auto"/>
        <w:jc w:val="center"/>
        <w:rPr>
          <w:rFonts w:ascii="FrankRuehl" w:eastAsia="Calibri" w:hAnsi="FrankRuehl" w:cs="FrankRuehl"/>
          <w:sz w:val="36"/>
          <w:szCs w:val="36"/>
          <w:rtl/>
        </w:rPr>
      </w:pPr>
      <w:bookmarkStart w:id="3" w:name="LawTable"/>
      <w:bookmarkEnd w:id="3"/>
    </w:p>
    <w:p w14:paraId="736468DE" w14:textId="77777777" w:rsidR="00074608" w:rsidRPr="00074608" w:rsidRDefault="00074608" w:rsidP="00074608">
      <w:pPr>
        <w:spacing w:before="120" w:after="120" w:line="240" w:lineRule="exact"/>
        <w:ind w:left="283" w:hanging="283"/>
        <w:jc w:val="both"/>
        <w:rPr>
          <w:rFonts w:ascii="FrankRuehl" w:eastAsia="Calibri" w:hAnsi="FrankRuehl" w:cs="FrankRuehl"/>
          <w:rtl/>
        </w:rPr>
      </w:pPr>
    </w:p>
    <w:p w14:paraId="6E18061B" w14:textId="77777777" w:rsidR="00074608" w:rsidRPr="00074608" w:rsidRDefault="00074608" w:rsidP="00074608">
      <w:pPr>
        <w:spacing w:before="120" w:after="120" w:line="240" w:lineRule="exact"/>
        <w:ind w:left="283" w:hanging="283"/>
        <w:jc w:val="both"/>
        <w:rPr>
          <w:rFonts w:ascii="FrankRuehl" w:eastAsia="Calibri" w:hAnsi="FrankRuehl" w:cs="FrankRuehl"/>
          <w:rtl/>
        </w:rPr>
      </w:pPr>
    </w:p>
    <w:p w14:paraId="2AAF2495" w14:textId="77777777" w:rsidR="00074608" w:rsidRPr="00074608" w:rsidRDefault="00074608" w:rsidP="00074608">
      <w:pPr>
        <w:spacing w:before="120" w:after="120" w:line="240" w:lineRule="exact"/>
        <w:ind w:left="283" w:hanging="283"/>
        <w:jc w:val="both"/>
        <w:rPr>
          <w:rFonts w:ascii="FrankRuehl" w:eastAsia="Calibri" w:hAnsi="FrankRuehl" w:cs="FrankRuehl"/>
          <w:rtl/>
        </w:rPr>
      </w:pPr>
      <w:r w:rsidRPr="00074608">
        <w:rPr>
          <w:rFonts w:ascii="FrankRuehl" w:eastAsia="Calibri" w:hAnsi="FrankRuehl" w:cs="FrankRuehl"/>
          <w:rtl/>
        </w:rPr>
        <w:t xml:space="preserve">חקיקה שאוזכרה: </w:t>
      </w:r>
    </w:p>
    <w:p w14:paraId="1C1B3BD4" w14:textId="77777777" w:rsidR="00074608" w:rsidRPr="00074608" w:rsidRDefault="00074608" w:rsidP="00074608">
      <w:pPr>
        <w:spacing w:before="120" w:after="120" w:line="240" w:lineRule="exact"/>
        <w:ind w:left="283" w:hanging="283"/>
        <w:jc w:val="both"/>
        <w:rPr>
          <w:rFonts w:ascii="FrankRuehl" w:eastAsia="Calibri" w:hAnsi="FrankRuehl" w:cs="FrankRuehl"/>
          <w:rtl/>
        </w:rPr>
      </w:pPr>
      <w:hyperlink r:id="rId6" w:history="1">
        <w:r w:rsidRPr="00074608">
          <w:rPr>
            <w:rFonts w:ascii="FrankRuehl" w:eastAsia="Calibri" w:hAnsi="FrankRuehl" w:cs="FrankRuehl"/>
            <w:color w:val="0000FF"/>
            <w:rtl/>
          </w:rPr>
          <w:t>חוק העונשין, תשל"ז-1977</w:t>
        </w:r>
      </w:hyperlink>
      <w:r w:rsidRPr="00074608">
        <w:rPr>
          <w:rFonts w:ascii="FrankRuehl" w:eastAsia="Calibri" w:hAnsi="FrankRuehl" w:cs="FrankRuehl"/>
          <w:rtl/>
        </w:rPr>
        <w:t xml:space="preserve">: סע'  </w:t>
      </w:r>
      <w:hyperlink r:id="rId7" w:history="1">
        <w:r w:rsidRPr="00074608">
          <w:rPr>
            <w:rFonts w:ascii="FrankRuehl" w:eastAsia="Calibri" w:hAnsi="FrankRuehl" w:cs="FrankRuehl"/>
            <w:color w:val="0000FF"/>
            <w:rtl/>
          </w:rPr>
          <w:t>29</w:t>
        </w:r>
      </w:hyperlink>
      <w:r w:rsidRPr="00074608">
        <w:rPr>
          <w:rFonts w:ascii="FrankRuehl" w:eastAsia="Calibri" w:hAnsi="FrankRuehl" w:cs="FrankRuehl"/>
          <w:rtl/>
        </w:rPr>
        <w:t xml:space="preserve">, </w:t>
      </w:r>
      <w:hyperlink r:id="rId8" w:history="1">
        <w:r w:rsidRPr="00074608">
          <w:rPr>
            <w:rFonts w:ascii="FrankRuehl" w:eastAsia="Calibri" w:hAnsi="FrankRuehl" w:cs="FrankRuehl"/>
            <w:color w:val="0000FF"/>
            <w:rtl/>
          </w:rPr>
          <w:t>144(ב)</w:t>
        </w:r>
      </w:hyperlink>
      <w:r w:rsidRPr="00074608">
        <w:rPr>
          <w:rFonts w:ascii="FrankRuehl" w:eastAsia="Calibri" w:hAnsi="FrankRuehl" w:cs="FrankRuehl"/>
          <w:rtl/>
        </w:rPr>
        <w:t xml:space="preserve">, </w:t>
      </w:r>
      <w:hyperlink r:id="rId9" w:history="1">
        <w:r w:rsidRPr="00074608">
          <w:rPr>
            <w:rFonts w:ascii="FrankRuehl" w:eastAsia="Calibri" w:hAnsi="FrankRuehl" w:cs="FrankRuehl"/>
            <w:color w:val="0000FF"/>
            <w:rtl/>
          </w:rPr>
          <w:t>144(ב2)</w:t>
        </w:r>
      </w:hyperlink>
    </w:p>
    <w:p w14:paraId="5BD2E35E" w14:textId="77777777" w:rsidR="00074608" w:rsidRPr="00074608" w:rsidRDefault="00074608" w:rsidP="00074608">
      <w:pPr>
        <w:spacing w:after="160" w:line="360" w:lineRule="auto"/>
        <w:jc w:val="center"/>
        <w:rPr>
          <w:rFonts w:ascii="FrankRuehl" w:eastAsia="Calibri" w:hAnsi="FrankRuehl" w:cs="FrankRuehl"/>
          <w:sz w:val="36"/>
          <w:szCs w:val="36"/>
          <w:rtl/>
        </w:rPr>
      </w:pPr>
      <w:bookmarkStart w:id="4" w:name="LawTable_End"/>
      <w:bookmarkEnd w:id="4"/>
    </w:p>
    <w:p w14:paraId="4469858F" w14:textId="77777777" w:rsidR="00541762" w:rsidRPr="005F2DBA" w:rsidRDefault="00541762" w:rsidP="005F2DBA">
      <w:pPr>
        <w:spacing w:after="160" w:line="360" w:lineRule="auto"/>
        <w:jc w:val="center"/>
        <w:rPr>
          <w:rFonts w:ascii="FrankRuehl" w:eastAsia="Calibri" w:hAnsi="FrankRuehl" w:cs="FrankRuehl"/>
          <w:sz w:val="36"/>
          <w:szCs w:val="36"/>
          <w:rtl/>
        </w:rPr>
      </w:pPr>
    </w:p>
    <w:p w14:paraId="1F3594D2" w14:textId="77777777" w:rsidR="00541762" w:rsidRPr="00541762" w:rsidRDefault="00541762" w:rsidP="00541762">
      <w:pPr>
        <w:spacing w:after="160" w:line="360" w:lineRule="auto"/>
        <w:jc w:val="center"/>
        <w:rPr>
          <w:rFonts w:ascii="FrankRuehl" w:eastAsia="Calibri" w:hAnsi="FrankRuehl" w:cs="FrankRuehl"/>
          <w:b/>
          <w:bCs/>
          <w:sz w:val="36"/>
          <w:szCs w:val="36"/>
          <w:u w:val="single"/>
          <w:rtl/>
        </w:rPr>
      </w:pPr>
      <w:bookmarkStart w:id="5" w:name="PsakDin"/>
      <w:bookmarkEnd w:id="0"/>
      <w:bookmarkEnd w:id="1"/>
      <w:r w:rsidRPr="00541762">
        <w:rPr>
          <w:rFonts w:ascii="FrankRuehl" w:eastAsia="Calibri" w:hAnsi="FrankRuehl" w:cs="FrankRuehl"/>
          <w:b/>
          <w:bCs/>
          <w:sz w:val="36"/>
          <w:szCs w:val="36"/>
          <w:u w:val="single"/>
          <w:rtl/>
        </w:rPr>
        <w:t>גזר דין   נאשם 1</w:t>
      </w:r>
    </w:p>
    <w:bookmarkEnd w:id="5"/>
    <w:p w14:paraId="659AF5E8" w14:textId="77777777" w:rsidR="00D04B87" w:rsidRDefault="00D04B87" w:rsidP="00D04B87">
      <w:pPr>
        <w:spacing w:after="160" w:line="360" w:lineRule="auto"/>
        <w:jc w:val="both"/>
        <w:rPr>
          <w:rFonts w:ascii="FrankRuehl" w:eastAsia="Calibri" w:hAnsi="FrankRuehl" w:cs="FrankRuehl"/>
          <w:b/>
          <w:bCs/>
          <w:sz w:val="28"/>
          <w:szCs w:val="28"/>
          <w:rtl/>
        </w:rPr>
      </w:pPr>
    </w:p>
    <w:p w14:paraId="04D8B946" w14:textId="77777777" w:rsidR="00D04B87" w:rsidRPr="00B20F18" w:rsidRDefault="00D04B87" w:rsidP="00D04B87">
      <w:pPr>
        <w:spacing w:after="160" w:line="360" w:lineRule="auto"/>
        <w:jc w:val="both"/>
        <w:rPr>
          <w:rFonts w:ascii="FrankRuehl" w:eastAsia="Calibri" w:hAnsi="FrankRuehl" w:cs="FrankRuehl"/>
          <w:b/>
          <w:bCs/>
          <w:sz w:val="28"/>
          <w:szCs w:val="28"/>
          <w:u w:val="single"/>
          <w:rtl/>
        </w:rPr>
      </w:pPr>
      <w:r w:rsidRPr="00B20F18">
        <w:rPr>
          <w:rFonts w:ascii="FrankRuehl" w:eastAsia="Calibri" w:hAnsi="FrankRuehl" w:cs="FrankRuehl" w:hint="cs"/>
          <w:b/>
          <w:bCs/>
          <w:sz w:val="28"/>
          <w:szCs w:val="28"/>
          <w:u w:val="single"/>
          <w:rtl/>
        </w:rPr>
        <w:t>הכרעת הדין</w:t>
      </w:r>
    </w:p>
    <w:p w14:paraId="09486CCD" w14:textId="77777777" w:rsidR="00D04B87" w:rsidRPr="00B20F18" w:rsidRDefault="00D04B87" w:rsidP="00D04B87">
      <w:pPr>
        <w:spacing w:after="160" w:line="360" w:lineRule="auto"/>
        <w:jc w:val="both"/>
        <w:rPr>
          <w:rFonts w:ascii="FrankRuehl" w:eastAsia="Calibri" w:hAnsi="FrankRuehl" w:cs="FrankRuehl"/>
          <w:sz w:val="28"/>
          <w:szCs w:val="28"/>
          <w:rtl/>
        </w:rPr>
      </w:pPr>
      <w:r w:rsidRPr="00B20F18">
        <w:rPr>
          <w:rFonts w:ascii="FrankRuehl" w:eastAsia="Calibri" w:hAnsi="FrankRuehl" w:cs="FrankRuehl" w:hint="cs"/>
          <w:sz w:val="28"/>
          <w:szCs w:val="28"/>
          <w:rtl/>
        </w:rPr>
        <w:lastRenderedPageBreak/>
        <w:t>1.</w:t>
      </w:r>
      <w:bookmarkStart w:id="6" w:name="ABSTRACT_START"/>
      <w:bookmarkEnd w:id="6"/>
      <w:r w:rsidRPr="00B20F18">
        <w:rPr>
          <w:rFonts w:ascii="FrankRuehl" w:eastAsia="Calibri" w:hAnsi="FrankRuehl" w:cs="FrankRuehl" w:hint="cs"/>
          <w:sz w:val="28"/>
          <w:szCs w:val="28"/>
          <w:rtl/>
        </w:rPr>
        <w:tab/>
      </w:r>
      <w:r>
        <w:rPr>
          <w:rFonts w:ascii="FrankRuehl" w:eastAsia="Calibri" w:hAnsi="FrankRuehl" w:cs="FrankRuehl" w:hint="cs"/>
          <w:sz w:val="28"/>
          <w:szCs w:val="28"/>
          <w:rtl/>
        </w:rPr>
        <w:t>נאשם 1 (להלן: "</w:t>
      </w:r>
      <w:r w:rsidRPr="00B20F18">
        <w:rPr>
          <w:rFonts w:ascii="FrankRuehl" w:eastAsia="Calibri" w:hAnsi="FrankRuehl" w:cs="FrankRuehl" w:hint="cs"/>
          <w:sz w:val="28"/>
          <w:szCs w:val="28"/>
          <w:rtl/>
        </w:rPr>
        <w:t>הנאשם</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 הורשע על פי הודאתו בעבירת סחר בנשק לפי </w:t>
      </w:r>
      <w:hyperlink r:id="rId10" w:history="1">
        <w:r w:rsidR="00616984" w:rsidRPr="00616984">
          <w:rPr>
            <w:rStyle w:val="Hyperlink"/>
            <w:rFonts w:ascii="FrankRuehl" w:eastAsia="Calibri" w:hAnsi="FrankRuehl" w:cs="FrankRuehl" w:hint="cs"/>
            <w:sz w:val="28"/>
            <w:szCs w:val="28"/>
            <w:rtl/>
          </w:rPr>
          <w:t>סעיף</w:t>
        </w:r>
        <w:r w:rsidR="00616984" w:rsidRPr="00616984">
          <w:rPr>
            <w:rStyle w:val="Hyperlink"/>
            <w:rFonts w:ascii="FrankRuehl" w:eastAsia="Calibri" w:hAnsi="FrankRuehl" w:cs="FrankRuehl"/>
            <w:sz w:val="28"/>
            <w:szCs w:val="28"/>
            <w:rtl/>
          </w:rPr>
          <w:t xml:space="preserve"> 144(ב2)</w:t>
        </w:r>
      </w:hyperlink>
      <w:r w:rsidRPr="00B20F18">
        <w:rPr>
          <w:rFonts w:ascii="FrankRuehl" w:eastAsia="Calibri" w:hAnsi="FrankRuehl" w:cs="FrankRuehl" w:hint="cs"/>
          <w:sz w:val="28"/>
          <w:szCs w:val="28"/>
          <w:rtl/>
        </w:rPr>
        <w:t xml:space="preserve"> ל</w:t>
      </w:r>
      <w:hyperlink r:id="rId11" w:history="1">
        <w:r w:rsidR="00541762" w:rsidRPr="00541762">
          <w:rPr>
            <w:rFonts w:ascii="FrankRuehl" w:eastAsia="Calibri" w:hAnsi="FrankRuehl" w:cs="FrankRuehl"/>
            <w:color w:val="0000FF"/>
            <w:sz w:val="28"/>
            <w:szCs w:val="28"/>
            <w:u w:val="single"/>
            <w:rtl/>
          </w:rPr>
          <w:t>חוק העונשין</w:t>
        </w:r>
      </w:hyperlink>
      <w:r w:rsidRPr="00B20F18">
        <w:rPr>
          <w:rFonts w:ascii="FrankRuehl" w:eastAsia="Calibri" w:hAnsi="FrankRuehl" w:cs="FrankRuehl" w:hint="cs"/>
          <w:sz w:val="28"/>
          <w:szCs w:val="28"/>
          <w:rtl/>
        </w:rPr>
        <w:t xml:space="preserve">, התשל"ז-1977 (להלן: "החוק"); ובעבירה של נשיאה והובלת נשק, לפי </w:t>
      </w:r>
      <w:hyperlink r:id="rId12" w:history="1">
        <w:r w:rsidR="00616984" w:rsidRPr="00616984">
          <w:rPr>
            <w:rStyle w:val="Hyperlink"/>
            <w:rFonts w:ascii="FrankRuehl" w:eastAsia="Calibri" w:hAnsi="FrankRuehl" w:cs="FrankRuehl" w:hint="cs"/>
            <w:sz w:val="28"/>
            <w:szCs w:val="28"/>
            <w:rtl/>
          </w:rPr>
          <w:t>סעיף</w:t>
        </w:r>
        <w:r w:rsidR="00616984" w:rsidRPr="00616984">
          <w:rPr>
            <w:rStyle w:val="Hyperlink"/>
            <w:rFonts w:ascii="FrankRuehl" w:eastAsia="Calibri" w:hAnsi="FrankRuehl" w:cs="FrankRuehl"/>
            <w:sz w:val="28"/>
            <w:szCs w:val="28"/>
            <w:rtl/>
          </w:rPr>
          <w:t xml:space="preserve"> 144(ב)</w:t>
        </w:r>
      </w:hyperlink>
      <w:r w:rsidRPr="00B20F18">
        <w:rPr>
          <w:rFonts w:ascii="FrankRuehl" w:eastAsia="Calibri" w:hAnsi="FrankRuehl" w:cs="FrankRuehl" w:hint="cs"/>
          <w:sz w:val="28"/>
          <w:szCs w:val="28"/>
          <w:rtl/>
        </w:rPr>
        <w:t xml:space="preserve"> רישא יחד עם </w:t>
      </w:r>
      <w:hyperlink r:id="rId13" w:history="1">
        <w:r w:rsidR="00616984" w:rsidRPr="00616984">
          <w:rPr>
            <w:rStyle w:val="Hyperlink"/>
            <w:rFonts w:ascii="FrankRuehl" w:eastAsia="Calibri" w:hAnsi="FrankRuehl" w:cs="FrankRuehl" w:hint="cs"/>
            <w:sz w:val="28"/>
            <w:szCs w:val="28"/>
            <w:rtl/>
          </w:rPr>
          <w:t>סעיף</w:t>
        </w:r>
        <w:r w:rsidR="00616984" w:rsidRPr="00616984">
          <w:rPr>
            <w:rStyle w:val="Hyperlink"/>
            <w:rFonts w:ascii="FrankRuehl" w:eastAsia="Calibri" w:hAnsi="FrankRuehl" w:cs="FrankRuehl"/>
            <w:sz w:val="28"/>
            <w:szCs w:val="28"/>
            <w:rtl/>
          </w:rPr>
          <w:t xml:space="preserve"> 29</w:t>
        </w:r>
      </w:hyperlink>
      <w:r w:rsidRPr="00B20F18">
        <w:rPr>
          <w:rFonts w:ascii="FrankRuehl" w:eastAsia="Calibri" w:hAnsi="FrankRuehl" w:cs="FrankRuehl" w:hint="cs"/>
          <w:sz w:val="28"/>
          <w:szCs w:val="28"/>
          <w:rtl/>
        </w:rPr>
        <w:t xml:space="preserve"> לחוק</w:t>
      </w:r>
      <w:bookmarkStart w:id="7" w:name="ABSTRACT_END"/>
      <w:bookmarkEnd w:id="7"/>
      <w:r w:rsidRPr="00B20F18">
        <w:rPr>
          <w:rFonts w:ascii="FrankRuehl" w:eastAsia="Calibri" w:hAnsi="FrankRuehl" w:cs="FrankRuehl" w:hint="cs"/>
          <w:sz w:val="28"/>
          <w:szCs w:val="28"/>
          <w:rtl/>
        </w:rPr>
        <w:t>.</w:t>
      </w:r>
    </w:p>
    <w:p w14:paraId="3A82BB0E" w14:textId="77777777" w:rsidR="00D04B87" w:rsidRPr="00B20F18" w:rsidRDefault="00D04B87" w:rsidP="00D04B87">
      <w:pPr>
        <w:spacing w:after="160" w:line="360" w:lineRule="auto"/>
        <w:jc w:val="both"/>
        <w:rPr>
          <w:rFonts w:ascii="FrankRuehl" w:eastAsia="Calibri" w:hAnsi="FrankRuehl" w:cs="FrankRuehl"/>
          <w:sz w:val="28"/>
          <w:szCs w:val="28"/>
          <w:rtl/>
        </w:rPr>
      </w:pPr>
      <w:r w:rsidRPr="00B20F18">
        <w:rPr>
          <w:rFonts w:ascii="FrankRuehl" w:eastAsia="Calibri" w:hAnsi="FrankRuehl" w:cs="FrankRuehl" w:hint="cs"/>
          <w:sz w:val="28"/>
          <w:szCs w:val="28"/>
          <w:rtl/>
        </w:rPr>
        <w:t>2.</w:t>
      </w:r>
      <w:r w:rsidRPr="00B20F18">
        <w:rPr>
          <w:rFonts w:ascii="FrankRuehl" w:eastAsia="Calibri" w:hAnsi="FrankRuehl" w:cs="FrankRuehl" w:hint="cs"/>
          <w:sz w:val="28"/>
          <w:szCs w:val="28"/>
          <w:rtl/>
        </w:rPr>
        <w:tab/>
        <w:t>על פי עובדות כתב האישום המתוקן, ביום 18.</w:t>
      </w:r>
      <w:r>
        <w:rPr>
          <w:rFonts w:ascii="FrankRuehl" w:eastAsia="Calibri" w:hAnsi="FrankRuehl" w:cs="FrankRuehl" w:hint="cs"/>
          <w:sz w:val="28"/>
          <w:szCs w:val="28"/>
          <w:rtl/>
        </w:rPr>
        <w:t>0</w:t>
      </w:r>
      <w:r w:rsidRPr="00B20F18">
        <w:rPr>
          <w:rFonts w:ascii="FrankRuehl" w:eastAsia="Calibri" w:hAnsi="FrankRuehl" w:cs="FrankRuehl" w:hint="cs"/>
          <w:sz w:val="28"/>
          <w:szCs w:val="28"/>
          <w:rtl/>
        </w:rPr>
        <w:t>3.21 יצר קשר סוכן מטעם משטרת ישראל</w:t>
      </w:r>
      <w:r>
        <w:rPr>
          <w:rFonts w:ascii="FrankRuehl" w:eastAsia="Calibri" w:hAnsi="FrankRuehl" w:cs="FrankRuehl" w:hint="cs"/>
          <w:sz w:val="28"/>
          <w:szCs w:val="28"/>
          <w:rtl/>
        </w:rPr>
        <w:t xml:space="preserve"> (להלן: "הסוכן")</w:t>
      </w:r>
      <w:r w:rsidRPr="00B20F18">
        <w:rPr>
          <w:rFonts w:ascii="FrankRuehl" w:eastAsia="Calibri" w:hAnsi="FrankRuehl" w:cs="FrankRuehl" w:hint="cs"/>
          <w:sz w:val="28"/>
          <w:szCs w:val="28"/>
          <w:rtl/>
        </w:rPr>
        <w:t xml:space="preserve"> עם הנאשם, וביקש לרכוש ממנו אקדח. במהלך אותה שיחה, הבטיח הנאשם לסוכן כי אף ייתן לו כדורי תחמושת במתנה. עוד באותו היום קבעו השניים להיפגש. בהתאם לסיכום, נפגשו השניים כעבור פחות משעה בנקודת המפגש, כאשר למפגש זה הצטרף גם שותפו של הנאשם לעבירה, </w:t>
      </w:r>
      <w:r>
        <w:rPr>
          <w:rFonts w:ascii="FrankRuehl" w:eastAsia="Calibri" w:hAnsi="FrankRuehl" w:cs="FrankRuehl" w:hint="cs"/>
          <w:sz w:val="28"/>
          <w:szCs w:val="28"/>
          <w:rtl/>
        </w:rPr>
        <w:t>נאשם 2</w:t>
      </w:r>
      <w:r w:rsidRPr="00B20F18">
        <w:rPr>
          <w:rFonts w:ascii="FrankRuehl" w:eastAsia="Calibri" w:hAnsi="FrankRuehl" w:cs="FrankRuehl" w:hint="cs"/>
          <w:sz w:val="28"/>
          <w:szCs w:val="28"/>
          <w:rtl/>
        </w:rPr>
        <w:t>, אשר בחלוף הזמן הורשע גם הוא במסגרת הסדר טיעון באותו אישום. באותו המפגש, מסר הנאשם לסוכן אקדח</w:t>
      </w:r>
      <w:r>
        <w:rPr>
          <w:rFonts w:ascii="FrankRuehl" w:eastAsia="Calibri" w:hAnsi="FrankRuehl" w:cs="FrankRuehl" w:hint="cs"/>
          <w:sz w:val="28"/>
          <w:szCs w:val="28"/>
          <w:rtl/>
        </w:rPr>
        <w:t xml:space="preserve"> חצי אוטומטי </w:t>
      </w:r>
      <w:r w:rsidRPr="00D04B87">
        <w:rPr>
          <w:rFonts w:eastAsia="Calibri" w:cs="Times New Roman"/>
          <w:sz w:val="22"/>
          <w:szCs w:val="22"/>
        </w:rPr>
        <w:t>FN</w:t>
      </w:r>
      <w:r w:rsidRPr="00D04B87">
        <w:rPr>
          <w:rFonts w:eastAsia="Calibri" w:cs="Times New Roman"/>
          <w:sz w:val="22"/>
          <w:szCs w:val="22"/>
          <w:rtl/>
        </w:rPr>
        <w:t xml:space="preserve"> </w:t>
      </w:r>
      <w:r>
        <w:rPr>
          <w:rFonts w:ascii="FrankRuehl" w:eastAsia="Calibri" w:hAnsi="FrankRuehl" w:cs="FrankRuehl" w:hint="cs"/>
          <w:sz w:val="28"/>
          <w:szCs w:val="28"/>
          <w:rtl/>
        </w:rPr>
        <w:t xml:space="preserve">תוצרת בלגיה מודל </w:t>
      </w:r>
      <w:r w:rsidRPr="00D04B87">
        <w:rPr>
          <w:rFonts w:eastAsia="Calibri" w:cs="Times New Roman"/>
          <w:sz w:val="22"/>
          <w:szCs w:val="22"/>
        </w:rPr>
        <w:t>HP</w:t>
      </w:r>
      <w:r>
        <w:rPr>
          <w:rFonts w:ascii="FrankRuehl" w:eastAsia="Calibri" w:hAnsi="FrankRuehl" w:cs="FrankRuehl" w:hint="cs"/>
          <w:sz w:val="28"/>
          <w:szCs w:val="28"/>
          <w:rtl/>
        </w:rPr>
        <w:t xml:space="preserve"> 35 קליבר 9 מ"מ יחד עם מחסנית ריקה תואמת</w:t>
      </w:r>
      <w:r w:rsidRPr="00B20F18">
        <w:rPr>
          <w:rFonts w:ascii="FrankRuehl" w:eastAsia="Calibri" w:hAnsi="FrankRuehl" w:cs="FrankRuehl" w:hint="cs"/>
          <w:sz w:val="28"/>
          <w:szCs w:val="28"/>
          <w:rtl/>
        </w:rPr>
        <w:t>, תמורת התשלום הכספי שסו</w:t>
      </w:r>
      <w:r>
        <w:rPr>
          <w:rFonts w:ascii="FrankRuehl" w:eastAsia="Calibri" w:hAnsi="FrankRuehl" w:cs="FrankRuehl" w:hint="cs"/>
          <w:sz w:val="28"/>
          <w:szCs w:val="28"/>
          <w:rtl/>
        </w:rPr>
        <w:t>כם בניהם, 26,000 ₪ במזומן. לאחר מכן, החלו הנאשמים</w:t>
      </w:r>
      <w:r w:rsidRPr="00B20F18">
        <w:rPr>
          <w:rFonts w:ascii="FrankRuehl" w:eastAsia="Calibri" w:hAnsi="FrankRuehl" w:cs="FrankRuehl" w:hint="cs"/>
          <w:sz w:val="28"/>
          <w:szCs w:val="28"/>
          <w:rtl/>
        </w:rPr>
        <w:t xml:space="preserve"> לחפש בשיחים שהיו במקום גרב לבן ובתוכו כדורי תחמושת, שהשניים החביאו במקום קודם לכן, אך בסופו של דבר לא הצליחו למצוא את הגרב. בטרם סיום האירוע, אמר הנאשם לסוכן כי יוכל </w:t>
      </w:r>
      <w:r>
        <w:rPr>
          <w:rFonts w:ascii="FrankRuehl" w:eastAsia="Calibri" w:hAnsi="FrankRuehl" w:cs="FrankRuehl" w:hint="cs"/>
          <w:sz w:val="28"/>
          <w:szCs w:val="28"/>
          <w:rtl/>
        </w:rPr>
        <w:t>למכור לו גם</w:t>
      </w:r>
      <w:r w:rsidRPr="00B20F18">
        <w:rPr>
          <w:rFonts w:ascii="FrankRuehl" w:eastAsia="Calibri" w:hAnsi="FrankRuehl" w:cs="FrankRuehl" w:hint="cs"/>
          <w:sz w:val="28"/>
          <w:szCs w:val="28"/>
          <w:rtl/>
        </w:rPr>
        <w:t xml:space="preserve"> נשק מסוג </w:t>
      </w:r>
      <w:r w:rsidRPr="00D04B87">
        <w:rPr>
          <w:rFonts w:eastAsia="Calibri" w:cs="Times New Roman"/>
          <w:sz w:val="22"/>
          <w:szCs w:val="22"/>
        </w:rPr>
        <w:t>M</w:t>
      </w:r>
      <w:r w:rsidRPr="00B20F18">
        <w:rPr>
          <w:rFonts w:ascii="FrankRuehl" w:eastAsia="Calibri" w:hAnsi="FrankRuehl" w:cs="FrankRuehl" w:hint="cs"/>
          <w:sz w:val="28"/>
          <w:szCs w:val="28"/>
          <w:rtl/>
        </w:rPr>
        <w:t xml:space="preserve">16, ועדכן את הסוכן כי צריך להחליף את ההדק של האקדח בטרם השימוש בו.  </w:t>
      </w:r>
    </w:p>
    <w:p w14:paraId="444EE5F9" w14:textId="77777777" w:rsidR="00D04B87" w:rsidRPr="00B20F18" w:rsidRDefault="00D04B87" w:rsidP="00D04B87">
      <w:pPr>
        <w:spacing w:after="160" w:line="360" w:lineRule="auto"/>
        <w:jc w:val="both"/>
        <w:rPr>
          <w:rFonts w:ascii="FrankRuehl" w:eastAsia="Calibri" w:hAnsi="FrankRuehl" w:cs="FrankRuehl"/>
          <w:b/>
          <w:bCs/>
          <w:sz w:val="28"/>
          <w:szCs w:val="28"/>
          <w:rtl/>
        </w:rPr>
      </w:pPr>
      <w:r w:rsidRPr="00B20F18">
        <w:rPr>
          <w:rFonts w:ascii="FrankRuehl" w:eastAsia="Calibri" w:hAnsi="FrankRuehl" w:cs="FrankRuehl" w:hint="cs"/>
          <w:sz w:val="28"/>
          <w:szCs w:val="28"/>
          <w:rtl/>
        </w:rPr>
        <w:t>3.</w:t>
      </w:r>
      <w:r w:rsidRPr="00B20F18">
        <w:rPr>
          <w:rFonts w:ascii="FrankRuehl" w:eastAsia="Calibri" w:hAnsi="FrankRuehl" w:cs="FrankRuehl" w:hint="cs"/>
          <w:sz w:val="28"/>
          <w:szCs w:val="28"/>
          <w:rtl/>
        </w:rPr>
        <w:tab/>
        <w:t>יצוין כי בתחילה נתבקש הגשת תסקיר שירות המבחן בעניינו של הנאשם</w:t>
      </w:r>
      <w:r>
        <w:rPr>
          <w:rFonts w:ascii="FrankRuehl" w:eastAsia="Calibri" w:hAnsi="FrankRuehl" w:cs="FrankRuehl" w:hint="cs"/>
          <w:sz w:val="28"/>
          <w:szCs w:val="28"/>
          <w:rtl/>
        </w:rPr>
        <w:t>, אך לאחר שק</w:t>
      </w:r>
      <w:r w:rsidRPr="00B20F18">
        <w:rPr>
          <w:rFonts w:ascii="FrankRuehl" w:eastAsia="Calibri" w:hAnsi="FrankRuehl" w:cs="FrankRuehl" w:hint="cs"/>
          <w:sz w:val="28"/>
          <w:szCs w:val="28"/>
          <w:rtl/>
        </w:rPr>
        <w:t xml:space="preserve">צינת המבחן </w:t>
      </w:r>
      <w:r>
        <w:rPr>
          <w:rFonts w:ascii="FrankRuehl" w:eastAsia="Calibri" w:hAnsi="FrankRuehl" w:cs="FrankRuehl" w:hint="cs"/>
          <w:sz w:val="28"/>
          <w:szCs w:val="28"/>
          <w:rtl/>
        </w:rPr>
        <w:t xml:space="preserve">הודיעה </w:t>
      </w:r>
      <w:r w:rsidRPr="00B20F18">
        <w:rPr>
          <w:rFonts w:ascii="FrankRuehl" w:eastAsia="Calibri" w:hAnsi="FrankRuehl" w:cs="FrankRuehl" w:hint="cs"/>
          <w:sz w:val="28"/>
          <w:szCs w:val="28"/>
          <w:rtl/>
        </w:rPr>
        <w:t>כי עקב העומס לא יעלה בידי שירות המבחן להגיש את התסקיר עד לסוף חודש דצמבר</w:t>
      </w: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הודיע הנאשם כי הוא מוותר על תסקיר בעניינו.</w:t>
      </w:r>
    </w:p>
    <w:p w14:paraId="21D94BCA" w14:textId="77777777" w:rsidR="00D04B87" w:rsidRDefault="00D04B87" w:rsidP="00D04B87">
      <w:pPr>
        <w:spacing w:after="160" w:line="360" w:lineRule="auto"/>
        <w:jc w:val="both"/>
        <w:rPr>
          <w:rFonts w:ascii="FrankRuehl" w:eastAsia="Calibri" w:hAnsi="FrankRuehl" w:cs="FrankRuehl"/>
          <w:b/>
          <w:bCs/>
          <w:sz w:val="28"/>
          <w:szCs w:val="28"/>
          <w:rtl/>
        </w:rPr>
      </w:pPr>
    </w:p>
    <w:p w14:paraId="283D3F0E" w14:textId="77777777" w:rsidR="00D04B87" w:rsidRPr="00B20F18" w:rsidRDefault="00D04B87" w:rsidP="00D04B87">
      <w:pPr>
        <w:spacing w:after="160" w:line="360" w:lineRule="auto"/>
        <w:jc w:val="both"/>
        <w:rPr>
          <w:rFonts w:ascii="FrankRuehl" w:eastAsia="Calibri" w:hAnsi="FrankRuehl" w:cs="FrankRuehl"/>
          <w:b/>
          <w:bCs/>
          <w:sz w:val="28"/>
          <w:szCs w:val="28"/>
          <w:u w:val="single"/>
          <w:rtl/>
        </w:rPr>
      </w:pPr>
      <w:r w:rsidRPr="00B20F18">
        <w:rPr>
          <w:rFonts w:ascii="FrankRuehl" w:eastAsia="Calibri" w:hAnsi="FrankRuehl" w:cs="FrankRuehl" w:hint="cs"/>
          <w:b/>
          <w:bCs/>
          <w:sz w:val="28"/>
          <w:szCs w:val="28"/>
          <w:u w:val="single"/>
          <w:rtl/>
        </w:rPr>
        <w:t>הראיות לעונש</w:t>
      </w:r>
    </w:p>
    <w:p w14:paraId="50A8B82E"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4.</w:t>
      </w:r>
      <w:r>
        <w:rPr>
          <w:rFonts w:ascii="FrankRuehl" w:eastAsia="Calibri" w:hAnsi="FrankRuehl" w:cs="FrankRuehl" w:hint="cs"/>
          <w:sz w:val="28"/>
          <w:szCs w:val="28"/>
          <w:rtl/>
        </w:rPr>
        <w:tab/>
      </w:r>
      <w:r w:rsidRPr="00B20F18">
        <w:rPr>
          <w:rFonts w:ascii="FrankRuehl" w:eastAsia="Calibri" w:hAnsi="FrankRuehl" w:cs="FrankRuehl" w:hint="cs"/>
          <w:sz w:val="28"/>
          <w:szCs w:val="28"/>
          <w:rtl/>
        </w:rPr>
        <w:t xml:space="preserve">ב"כ המאשימה הגיש רישום פלילי של הנאשם. ממנו נלמד כי לנאשם עבר פלילי המונה הרשעות בגין עבירות איומים; עבירות חוזרות של הסעת תושב זר שלא כדין, נהיגה </w:t>
      </w:r>
      <w:r>
        <w:rPr>
          <w:rFonts w:ascii="FrankRuehl" w:eastAsia="Calibri" w:hAnsi="FrankRuehl" w:cs="FrankRuehl" w:hint="cs"/>
          <w:sz w:val="28"/>
          <w:szCs w:val="28"/>
          <w:rtl/>
        </w:rPr>
        <w:t>ב</w:t>
      </w:r>
      <w:r w:rsidRPr="00B20F18">
        <w:rPr>
          <w:rFonts w:ascii="FrankRuehl" w:eastAsia="Calibri" w:hAnsi="FrankRuehl" w:cs="FrankRuehl" w:hint="cs"/>
          <w:sz w:val="28"/>
          <w:szCs w:val="28"/>
          <w:rtl/>
        </w:rPr>
        <w:t>רכב מנועי ללא רישיון, וכן של זיוף, התחזות וקבלת דבר במרמה; וכן עבירות גניבה, זיוף תעודה ושימוש בה, ועבירות של הצתה במזיד</w:t>
      </w:r>
      <w:r>
        <w:rPr>
          <w:rFonts w:ascii="FrankRuehl" w:eastAsia="Calibri" w:hAnsi="FrankRuehl" w:cs="FrankRuehl" w:hint="cs"/>
          <w:sz w:val="28"/>
          <w:szCs w:val="28"/>
          <w:rtl/>
        </w:rPr>
        <w:t xml:space="preserve">. חלק מההרשעות </w:t>
      </w:r>
      <w:r w:rsidRPr="00B20F18">
        <w:rPr>
          <w:rFonts w:ascii="FrankRuehl" w:eastAsia="Calibri" w:hAnsi="FrankRuehl" w:cs="FrankRuehl" w:hint="cs"/>
          <w:sz w:val="28"/>
          <w:szCs w:val="28"/>
          <w:rtl/>
        </w:rPr>
        <w:t xml:space="preserve">התיישנו. </w:t>
      </w:r>
    </w:p>
    <w:p w14:paraId="73AE8A1C"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5.</w:t>
      </w:r>
      <w:r>
        <w:rPr>
          <w:rFonts w:ascii="FrankRuehl" w:eastAsia="Calibri" w:hAnsi="FrankRuehl" w:cs="FrankRuehl" w:hint="cs"/>
          <w:sz w:val="28"/>
          <w:szCs w:val="28"/>
          <w:rtl/>
        </w:rPr>
        <w:tab/>
      </w:r>
      <w:r w:rsidRPr="00B20F18">
        <w:rPr>
          <w:rFonts w:ascii="FrankRuehl" w:eastAsia="Calibri" w:hAnsi="FrankRuehl" w:cs="FrankRuehl" w:hint="cs"/>
          <w:sz w:val="28"/>
          <w:szCs w:val="28"/>
          <w:rtl/>
        </w:rPr>
        <w:t>ב"כ הנאשם הגיש מסמכים מהם נלמד אודות מצבה הכלכלי של המשפחה והעובדה כי היא נתמכת בידי מחלקת הרווחה בעיריית רהט; מסמכים אודות מצבה הרפואי של אם הנאשם הנתמכת על ידו; ומסמכים המלמדים על לידת בנו של הנאשם ביום 25.</w:t>
      </w:r>
      <w:r>
        <w:rPr>
          <w:rFonts w:ascii="FrankRuehl" w:eastAsia="Calibri" w:hAnsi="FrankRuehl" w:cs="FrankRuehl" w:hint="cs"/>
          <w:sz w:val="28"/>
          <w:szCs w:val="28"/>
          <w:rtl/>
        </w:rPr>
        <w:t>0</w:t>
      </w:r>
      <w:r w:rsidRPr="00B20F18">
        <w:rPr>
          <w:rFonts w:ascii="FrankRuehl" w:eastAsia="Calibri" w:hAnsi="FrankRuehl" w:cs="FrankRuehl" w:hint="cs"/>
          <w:sz w:val="28"/>
          <w:szCs w:val="28"/>
          <w:rtl/>
        </w:rPr>
        <w:t xml:space="preserve">8.21.  </w:t>
      </w:r>
    </w:p>
    <w:p w14:paraId="09F5465E" w14:textId="77777777" w:rsidR="00D04B87" w:rsidRDefault="00D04B87" w:rsidP="00D04B87">
      <w:pPr>
        <w:spacing w:after="160" w:line="360" w:lineRule="auto"/>
        <w:jc w:val="both"/>
        <w:rPr>
          <w:rFonts w:ascii="FrankRuehl" w:eastAsia="Calibri" w:hAnsi="FrankRuehl" w:cs="FrankRuehl"/>
          <w:b/>
          <w:bCs/>
          <w:sz w:val="28"/>
          <w:szCs w:val="28"/>
          <w:rtl/>
        </w:rPr>
      </w:pPr>
    </w:p>
    <w:p w14:paraId="219930BC" w14:textId="77777777" w:rsidR="00D04B87" w:rsidRPr="00B20F18" w:rsidRDefault="00D04B87" w:rsidP="00D04B87">
      <w:pPr>
        <w:spacing w:after="160" w:line="360" w:lineRule="auto"/>
        <w:jc w:val="both"/>
        <w:rPr>
          <w:rFonts w:ascii="FrankRuehl" w:eastAsia="Calibri" w:hAnsi="FrankRuehl" w:cs="FrankRuehl"/>
          <w:b/>
          <w:bCs/>
          <w:sz w:val="28"/>
          <w:szCs w:val="28"/>
          <w:u w:val="single"/>
          <w:rtl/>
        </w:rPr>
      </w:pPr>
      <w:r w:rsidRPr="00B20F18">
        <w:rPr>
          <w:rFonts w:ascii="FrankRuehl" w:eastAsia="Calibri" w:hAnsi="FrankRuehl" w:cs="FrankRuehl" w:hint="cs"/>
          <w:b/>
          <w:bCs/>
          <w:sz w:val="28"/>
          <w:szCs w:val="28"/>
          <w:u w:val="single"/>
          <w:rtl/>
        </w:rPr>
        <w:lastRenderedPageBreak/>
        <w:t>טיעוני ב"כ הצדדים</w:t>
      </w:r>
    </w:p>
    <w:p w14:paraId="0CEF52B3" w14:textId="77777777" w:rsidR="00D04B87"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6</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t>בטיעוניו לעונש עמד ב"כ המאשימה על הערכים המוגנים שנפגעו</w:t>
      </w:r>
      <w:r>
        <w:rPr>
          <w:rFonts w:ascii="FrankRuehl" w:eastAsia="Calibri" w:hAnsi="FrankRuehl" w:cs="FrankRuehl" w:hint="cs"/>
          <w:sz w:val="28"/>
          <w:szCs w:val="28"/>
          <w:rtl/>
        </w:rPr>
        <w:t xml:space="preserve"> ממעשי הנאשם</w:t>
      </w:r>
      <w:r w:rsidRPr="00B20F18">
        <w:rPr>
          <w:rFonts w:ascii="FrankRuehl" w:eastAsia="Calibri" w:hAnsi="FrankRuehl" w:cs="FrankRuehl" w:hint="cs"/>
          <w:sz w:val="28"/>
          <w:szCs w:val="28"/>
          <w:rtl/>
        </w:rPr>
        <w:t>, ובפרט בטחון הציבור</w:t>
      </w:r>
      <w:r>
        <w:rPr>
          <w:rFonts w:ascii="FrankRuehl" w:eastAsia="Calibri" w:hAnsi="FrankRuehl" w:cs="FrankRuehl" w:hint="cs"/>
          <w:sz w:val="28"/>
          <w:szCs w:val="28"/>
          <w:rtl/>
        </w:rPr>
        <w:t xml:space="preserve"> ושלומו</w:t>
      </w:r>
      <w:r w:rsidRPr="00B20F18">
        <w:rPr>
          <w:rFonts w:ascii="FrankRuehl" w:eastAsia="Calibri" w:hAnsi="FrankRuehl" w:cs="FrankRuehl" w:hint="cs"/>
          <w:sz w:val="28"/>
          <w:szCs w:val="28"/>
          <w:rtl/>
        </w:rPr>
        <w:t>. ב"כ המ</w:t>
      </w:r>
      <w:r>
        <w:rPr>
          <w:rFonts w:ascii="FrankRuehl" w:eastAsia="Calibri" w:hAnsi="FrankRuehl" w:cs="FrankRuehl" w:hint="cs"/>
          <w:sz w:val="28"/>
          <w:szCs w:val="28"/>
          <w:rtl/>
        </w:rPr>
        <w:t xml:space="preserve">אשימה </w:t>
      </w:r>
      <w:r w:rsidRPr="00B20F18">
        <w:rPr>
          <w:rFonts w:ascii="FrankRuehl" w:eastAsia="Calibri" w:hAnsi="FrankRuehl" w:cs="FrankRuehl" w:hint="cs"/>
          <w:sz w:val="28"/>
          <w:szCs w:val="28"/>
          <w:rtl/>
        </w:rPr>
        <w:t xml:space="preserve">הוסיף כי קשת עבירות הנשק על כל גווניה מהחזקה ועד סחר מהווה תופעה חמורה שבגדר </w:t>
      </w:r>
      <w:r>
        <w:rPr>
          <w:rFonts w:ascii="FrankRuehl" w:eastAsia="Calibri" w:hAnsi="FrankRuehl" w:cs="FrankRuehl" w:hint="cs"/>
          <w:sz w:val="28"/>
          <w:szCs w:val="28"/>
          <w:rtl/>
        </w:rPr>
        <w:t>"</w:t>
      </w:r>
      <w:r w:rsidRPr="00B20F18">
        <w:rPr>
          <w:rFonts w:ascii="FrankRuehl" w:eastAsia="Calibri" w:hAnsi="FrankRuehl" w:cs="FrankRuehl" w:hint="cs"/>
          <w:sz w:val="28"/>
          <w:szCs w:val="28"/>
          <w:rtl/>
        </w:rPr>
        <w:t>מכת מדינה</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אשר חדשות לבקרים נאלצים כוחות המשטרה והביטחון להתמודד עמה. עוד הודגש</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 כי לתופעה מוכרח להיות תג מחיר גבוה, כאשר ידוע כי לא</w:t>
      </w:r>
      <w:r>
        <w:rPr>
          <w:rFonts w:ascii="FrankRuehl" w:eastAsia="Calibri" w:hAnsi="FrankRuehl" w:cs="FrankRuehl" w:hint="cs"/>
          <w:sz w:val="28"/>
          <w:szCs w:val="28"/>
          <w:rtl/>
        </w:rPr>
        <w:t xml:space="preserve"> פעם נעשה שימוש ב</w:t>
      </w:r>
      <w:r w:rsidRPr="00B20F18">
        <w:rPr>
          <w:rFonts w:ascii="FrankRuehl" w:eastAsia="Calibri" w:hAnsi="FrankRuehl" w:cs="FrankRuehl" w:hint="cs"/>
          <w:sz w:val="28"/>
          <w:szCs w:val="28"/>
          <w:rtl/>
        </w:rPr>
        <w:t xml:space="preserve">נשק </w:t>
      </w:r>
      <w:r>
        <w:rPr>
          <w:rFonts w:ascii="FrankRuehl" w:eastAsia="Calibri" w:hAnsi="FrankRuehl" w:cs="FrankRuehl" w:hint="cs"/>
          <w:sz w:val="28"/>
          <w:szCs w:val="28"/>
          <w:rtl/>
        </w:rPr>
        <w:t xml:space="preserve">המצוי </w:t>
      </w:r>
      <w:r w:rsidRPr="00B20F18">
        <w:rPr>
          <w:rFonts w:ascii="FrankRuehl" w:eastAsia="Calibri" w:hAnsi="FrankRuehl" w:cs="FrankRuehl" w:hint="cs"/>
          <w:sz w:val="28"/>
          <w:szCs w:val="28"/>
          <w:rtl/>
        </w:rPr>
        <w:t>במגזר הערבי</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 </w:t>
      </w:r>
      <w:r>
        <w:rPr>
          <w:rFonts w:ascii="FrankRuehl" w:eastAsia="Calibri" w:hAnsi="FrankRuehl" w:cs="FrankRuehl" w:hint="cs"/>
          <w:sz w:val="28"/>
          <w:szCs w:val="28"/>
          <w:rtl/>
        </w:rPr>
        <w:t>אשר פ</w:t>
      </w:r>
      <w:r w:rsidRPr="00B20F18">
        <w:rPr>
          <w:rFonts w:ascii="FrankRuehl" w:eastAsia="Calibri" w:hAnsi="FrankRuehl" w:cs="FrankRuehl" w:hint="cs"/>
          <w:sz w:val="28"/>
          <w:szCs w:val="28"/>
          <w:rtl/>
        </w:rPr>
        <w:t xml:space="preserve">גע בסופו של דבר גם בבלתי מעורבים ובאזרחים שאין להם כל קשר לפעילות עבריינית. ב"כ המאשימה הוסיף כי אך לאחרונה עברה בקריאה שניה ושלישית הצעת חוק שקובעת עונשי מינימום על עבירות נשק, </w:t>
      </w:r>
      <w:r>
        <w:rPr>
          <w:rFonts w:ascii="FrankRuehl" w:eastAsia="Calibri" w:hAnsi="FrankRuehl" w:cs="FrankRuehl" w:hint="cs"/>
          <w:sz w:val="28"/>
          <w:szCs w:val="28"/>
          <w:rtl/>
        </w:rPr>
        <w:t xml:space="preserve">וגם מכאן יש ללמוד אודות הצורך להחמיר בענישה בגין ביצוע עבירות אלו. </w:t>
      </w:r>
    </w:p>
    <w:p w14:paraId="54444B8F"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7</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t>אשר לנסיבות שקשורות ל</w:t>
      </w:r>
      <w:r>
        <w:rPr>
          <w:rFonts w:ascii="FrankRuehl" w:eastAsia="Calibri" w:hAnsi="FrankRuehl" w:cs="FrankRuehl" w:hint="cs"/>
          <w:sz w:val="28"/>
          <w:szCs w:val="28"/>
          <w:rtl/>
        </w:rPr>
        <w:t>ביצוע ה</w:t>
      </w:r>
      <w:r w:rsidRPr="00B20F18">
        <w:rPr>
          <w:rFonts w:ascii="FrankRuehl" w:eastAsia="Calibri" w:hAnsi="FrankRuehl" w:cs="FrankRuehl" w:hint="cs"/>
          <w:sz w:val="28"/>
          <w:szCs w:val="28"/>
          <w:rtl/>
        </w:rPr>
        <w:t>עבירה, הצביע ב"כ המאשימה על הנאשם כדמות הדומיננטית באירוע, כאשר הוא זה שהיה בקשר עם הסוכן ודרבן אותו לביצוע העסקה. הוא ציין גם כי אין ל</w:t>
      </w:r>
      <w:r>
        <w:rPr>
          <w:rFonts w:ascii="FrankRuehl" w:eastAsia="Calibri" w:hAnsi="FrankRuehl" w:cs="FrankRuehl" w:hint="cs"/>
          <w:sz w:val="28"/>
          <w:szCs w:val="28"/>
          <w:rtl/>
        </w:rPr>
        <w:t>הקל עם הנאשם בשל כך ש</w:t>
      </w:r>
      <w:r w:rsidRPr="00B20F18">
        <w:rPr>
          <w:rFonts w:ascii="FrankRuehl" w:eastAsia="Calibri" w:hAnsi="FrankRuehl" w:cs="FrankRuehl" w:hint="cs"/>
          <w:sz w:val="28"/>
          <w:szCs w:val="28"/>
          <w:rtl/>
        </w:rPr>
        <w:t>הנשק הועבר לסוכן משטרתי, שכן מבחינת הנאשם הוא ביצע עסקת נ</w:t>
      </w:r>
      <w:r>
        <w:rPr>
          <w:rFonts w:ascii="FrankRuehl" w:eastAsia="Calibri" w:hAnsi="FrankRuehl" w:cs="FrankRuehl" w:hint="cs"/>
          <w:sz w:val="28"/>
          <w:szCs w:val="28"/>
          <w:rtl/>
        </w:rPr>
        <w:t xml:space="preserve">שק עם פלוני, מבלי לדעת עליו דבר. </w:t>
      </w:r>
      <w:r w:rsidRPr="00B20F18">
        <w:rPr>
          <w:rFonts w:ascii="FrankRuehl" w:eastAsia="Calibri" w:hAnsi="FrankRuehl" w:cs="FrankRuehl" w:hint="cs"/>
          <w:sz w:val="28"/>
          <w:szCs w:val="28"/>
          <w:rtl/>
        </w:rPr>
        <w:t>העובדה כי מדובר היה במכירה לסוכן משטרתי אשר אינו מהווה פוטנציאל סכנה לציבור</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 היא אך למזלו של הנאשם. </w:t>
      </w:r>
    </w:p>
    <w:p w14:paraId="5B137F12"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8</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t>בשים לב לאמור, ביקש ב"כ המאשימה לקבוע כי מתחם הענישה בנסיבות העבירה נע בין שנתיים וחצי שנות מאסר לשש שנות מאסר</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 לצד ענישה נלווית, </w:t>
      </w:r>
      <w:r>
        <w:rPr>
          <w:rFonts w:ascii="FrankRuehl" w:eastAsia="Calibri" w:hAnsi="FrankRuehl" w:cs="FrankRuehl" w:hint="cs"/>
          <w:sz w:val="28"/>
          <w:szCs w:val="28"/>
          <w:rtl/>
        </w:rPr>
        <w:t>כשהוא מפנה לתיקון לחוק האמור ו</w:t>
      </w:r>
      <w:r w:rsidRPr="00B20F18">
        <w:rPr>
          <w:rFonts w:ascii="FrankRuehl" w:eastAsia="Calibri" w:hAnsi="FrankRuehl" w:cs="FrankRuehl" w:hint="cs"/>
          <w:sz w:val="28"/>
          <w:szCs w:val="28"/>
          <w:rtl/>
        </w:rPr>
        <w:t>לפסיקה שהגיש</w:t>
      </w: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 xml:space="preserve"> </w:t>
      </w:r>
    </w:p>
    <w:p w14:paraId="15FEB261"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9</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t xml:space="preserve">באשר למיקום הנאשם במתחם, ב"כ המאשימה ציין כי אף שהעבירות בהן הורשע הנאשם בעבר לא היו עבירות </w:t>
      </w:r>
      <w:r>
        <w:rPr>
          <w:rFonts w:ascii="FrankRuehl" w:eastAsia="Calibri" w:hAnsi="FrankRuehl" w:cs="FrankRuehl" w:hint="cs"/>
          <w:sz w:val="28"/>
          <w:szCs w:val="28"/>
          <w:rtl/>
        </w:rPr>
        <w:t>ב</w:t>
      </w:r>
      <w:r w:rsidRPr="00B20F18">
        <w:rPr>
          <w:rFonts w:ascii="FrankRuehl" w:eastAsia="Calibri" w:hAnsi="FrankRuehl" w:cs="FrankRuehl" w:hint="cs"/>
          <w:sz w:val="28"/>
          <w:szCs w:val="28"/>
          <w:rtl/>
        </w:rPr>
        <w:t xml:space="preserve">נשק, מדובר בעבירות חמורות בפני עצמן, בגינן ריצה הנאשם עונשי מאסר בפועל לא פעם ולא פעמיים, משך תקופה ארוכה. </w:t>
      </w:r>
      <w:r>
        <w:rPr>
          <w:rFonts w:ascii="FrankRuehl" w:eastAsia="Calibri" w:hAnsi="FrankRuehl" w:cs="FrankRuehl" w:hint="cs"/>
          <w:sz w:val="28"/>
          <w:szCs w:val="28"/>
          <w:rtl/>
        </w:rPr>
        <w:t xml:space="preserve">משכך, יש להחמיר עמו. מאידך, </w:t>
      </w:r>
      <w:r w:rsidRPr="00B20F18">
        <w:rPr>
          <w:rFonts w:ascii="FrankRuehl" w:eastAsia="Calibri" w:hAnsi="FrankRuehl" w:cs="FrankRuehl" w:hint="cs"/>
          <w:sz w:val="28"/>
          <w:szCs w:val="28"/>
          <w:rtl/>
        </w:rPr>
        <w:t xml:space="preserve">עומדת לזכותו של הנאשם הודאתו והחיסכון בזמן שיפוטי. </w:t>
      </w:r>
      <w:r>
        <w:rPr>
          <w:rFonts w:ascii="FrankRuehl" w:eastAsia="Calibri" w:hAnsi="FrankRuehl" w:cs="FrankRuehl" w:hint="cs"/>
          <w:sz w:val="28"/>
          <w:szCs w:val="28"/>
          <w:rtl/>
        </w:rPr>
        <w:t xml:space="preserve">בשים לב לאלו, </w:t>
      </w:r>
      <w:r w:rsidRPr="00B20F18">
        <w:rPr>
          <w:rFonts w:ascii="FrankRuehl" w:eastAsia="Calibri" w:hAnsi="FrankRuehl" w:cs="FrankRuehl" w:hint="cs"/>
          <w:sz w:val="28"/>
          <w:szCs w:val="28"/>
          <w:rtl/>
        </w:rPr>
        <w:t>עתר ב"כ המאשימה ל</w:t>
      </w:r>
      <w:r>
        <w:rPr>
          <w:rFonts w:ascii="FrankRuehl" w:eastAsia="Calibri" w:hAnsi="FrankRuehl" w:cs="FrankRuehl" w:hint="cs"/>
          <w:sz w:val="28"/>
          <w:szCs w:val="28"/>
          <w:rtl/>
        </w:rPr>
        <w:t xml:space="preserve">השית על הנאשם </w:t>
      </w:r>
      <w:r w:rsidRPr="00B20F18">
        <w:rPr>
          <w:rFonts w:ascii="FrankRuehl" w:eastAsia="Calibri" w:hAnsi="FrankRuehl" w:cs="FrankRuehl" w:hint="cs"/>
          <w:sz w:val="28"/>
          <w:szCs w:val="28"/>
          <w:rtl/>
        </w:rPr>
        <w:t xml:space="preserve">עונש מאסר </w:t>
      </w:r>
      <w:r>
        <w:rPr>
          <w:rFonts w:ascii="FrankRuehl" w:eastAsia="Calibri" w:hAnsi="FrankRuehl" w:cs="FrankRuehl" w:hint="cs"/>
          <w:sz w:val="28"/>
          <w:szCs w:val="28"/>
          <w:rtl/>
        </w:rPr>
        <w:t xml:space="preserve">לתקופה </w:t>
      </w:r>
      <w:r w:rsidRPr="00B20F18">
        <w:rPr>
          <w:rFonts w:ascii="FrankRuehl" w:eastAsia="Calibri" w:hAnsi="FrankRuehl" w:cs="FrankRuehl" w:hint="cs"/>
          <w:sz w:val="28"/>
          <w:szCs w:val="28"/>
          <w:rtl/>
        </w:rPr>
        <w:t>של 3.5 שנ</w:t>
      </w:r>
      <w:r>
        <w:rPr>
          <w:rFonts w:ascii="FrankRuehl" w:eastAsia="Calibri" w:hAnsi="FrankRuehl" w:cs="FrankRuehl" w:hint="cs"/>
          <w:sz w:val="28"/>
          <w:szCs w:val="28"/>
          <w:rtl/>
        </w:rPr>
        <w:t xml:space="preserve">ים, </w:t>
      </w:r>
      <w:r w:rsidRPr="00B20F18">
        <w:rPr>
          <w:rFonts w:ascii="FrankRuehl" w:eastAsia="Calibri" w:hAnsi="FrankRuehl" w:cs="FrankRuehl" w:hint="cs"/>
          <w:sz w:val="28"/>
          <w:szCs w:val="28"/>
          <w:rtl/>
        </w:rPr>
        <w:t>לצד מאסר על תנאי, וקנס משמעותי.</w:t>
      </w:r>
    </w:p>
    <w:p w14:paraId="670DE8BC" w14:textId="77777777" w:rsidR="00D04B87"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10.</w:t>
      </w:r>
      <w:r>
        <w:rPr>
          <w:rFonts w:ascii="FrankRuehl" w:eastAsia="Calibri" w:hAnsi="FrankRuehl" w:cs="FrankRuehl"/>
          <w:sz w:val="28"/>
          <w:szCs w:val="28"/>
          <w:rtl/>
        </w:rPr>
        <w:tab/>
      </w:r>
      <w:r w:rsidRPr="00B20F18">
        <w:rPr>
          <w:rFonts w:ascii="FrankRuehl" w:eastAsia="Calibri" w:hAnsi="FrankRuehl" w:cs="FrankRuehl" w:hint="cs"/>
          <w:sz w:val="28"/>
          <w:szCs w:val="28"/>
          <w:rtl/>
        </w:rPr>
        <w:t xml:space="preserve">מנגד, </w:t>
      </w:r>
      <w:r>
        <w:rPr>
          <w:rFonts w:ascii="FrankRuehl" w:eastAsia="Calibri" w:hAnsi="FrankRuehl" w:cs="FrankRuehl" w:hint="cs"/>
          <w:sz w:val="28"/>
          <w:szCs w:val="28"/>
          <w:rtl/>
        </w:rPr>
        <w:t xml:space="preserve">ב"כ הנאשם טען כי </w:t>
      </w:r>
      <w:r w:rsidRPr="00B20F18">
        <w:rPr>
          <w:rFonts w:ascii="FrankRuehl" w:eastAsia="Calibri" w:hAnsi="FrankRuehl" w:cs="FrankRuehl" w:hint="cs"/>
          <w:sz w:val="28"/>
          <w:szCs w:val="28"/>
          <w:rtl/>
        </w:rPr>
        <w:t xml:space="preserve">אף שהנאשם לא היה מודע לכך שמדובר בסוכן משטרתי, הרי שבפועל במישור התוצאה הפגיעה הינה קלה יותר, דבר אשר </w:t>
      </w:r>
      <w:r>
        <w:rPr>
          <w:rFonts w:ascii="FrankRuehl" w:eastAsia="Calibri" w:hAnsi="FrankRuehl" w:cs="FrankRuehl" w:hint="cs"/>
          <w:sz w:val="28"/>
          <w:szCs w:val="28"/>
          <w:rtl/>
        </w:rPr>
        <w:t xml:space="preserve">מהוה נסיבה לקולא בשל כך שהערך המוגן, שלום הציבור ובטחונו, לא נפגע באופן ממשי. </w:t>
      </w:r>
    </w:p>
    <w:p w14:paraId="1BA668AA" w14:textId="77777777" w:rsidR="00D04B87"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11.</w:t>
      </w:r>
      <w:r>
        <w:rPr>
          <w:rFonts w:ascii="FrankRuehl" w:eastAsia="Calibri" w:hAnsi="FrankRuehl" w:cs="FrankRuehl" w:hint="cs"/>
          <w:sz w:val="28"/>
          <w:szCs w:val="28"/>
          <w:rtl/>
        </w:rPr>
        <w:tab/>
        <w:t>ב"כ הנאשם ציין כי על אף שמדובר לצד העבירה של סחר בנשק גם בעבירה של נשיאה והובלת נשק, למעשה מדובר במעשה אחד, כשלכל היותר יש לראות בנשיאה כ</w:t>
      </w:r>
      <w:r w:rsidRPr="00B20F18">
        <w:rPr>
          <w:rFonts w:ascii="FrankRuehl" w:eastAsia="Calibri" w:hAnsi="FrankRuehl" w:cs="FrankRuehl" w:hint="cs"/>
          <w:sz w:val="28"/>
          <w:szCs w:val="28"/>
          <w:rtl/>
        </w:rPr>
        <w:t>נסיבה מחמירה</w:t>
      </w:r>
      <w:r>
        <w:rPr>
          <w:rFonts w:ascii="FrankRuehl" w:eastAsia="Calibri" w:hAnsi="FrankRuehl" w:cs="FrankRuehl" w:hint="cs"/>
          <w:sz w:val="28"/>
          <w:szCs w:val="28"/>
          <w:rtl/>
        </w:rPr>
        <w:t>.</w:t>
      </w:r>
    </w:p>
    <w:p w14:paraId="5A09F89B" w14:textId="77777777" w:rsidR="00D04B87"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12.</w:t>
      </w:r>
      <w:r>
        <w:rPr>
          <w:rFonts w:ascii="FrankRuehl" w:eastAsia="Calibri" w:hAnsi="FrankRuehl" w:cs="FrankRuehl" w:hint="cs"/>
          <w:sz w:val="28"/>
          <w:szCs w:val="28"/>
          <w:rtl/>
        </w:rPr>
        <w:tab/>
        <w:t xml:space="preserve">גם ב"כ הנאשם הצטייד בפסיקה, שעל פיה </w:t>
      </w:r>
      <w:r w:rsidRPr="00B20F18">
        <w:rPr>
          <w:rFonts w:ascii="FrankRuehl" w:eastAsia="Calibri" w:hAnsi="FrankRuehl" w:cs="FrankRuehl" w:hint="cs"/>
          <w:sz w:val="28"/>
          <w:szCs w:val="28"/>
          <w:rtl/>
        </w:rPr>
        <w:t xml:space="preserve">ביקש לקבוע כי  המתחם הנכון והרלוונטי </w:t>
      </w:r>
      <w:r>
        <w:rPr>
          <w:rFonts w:ascii="FrankRuehl" w:eastAsia="Calibri" w:hAnsi="FrankRuehl" w:cs="FrankRuehl" w:hint="cs"/>
          <w:sz w:val="28"/>
          <w:szCs w:val="28"/>
          <w:rtl/>
        </w:rPr>
        <w:t xml:space="preserve">למקרה זה בנסיבותיו נע </w:t>
      </w:r>
      <w:r w:rsidRPr="00B20F18">
        <w:rPr>
          <w:rFonts w:ascii="FrankRuehl" w:eastAsia="Calibri" w:hAnsi="FrankRuehl" w:cs="FrankRuehl" w:hint="cs"/>
          <w:sz w:val="28"/>
          <w:szCs w:val="28"/>
          <w:rtl/>
        </w:rPr>
        <w:t>מ</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 15 חודשים </w:t>
      </w:r>
      <w:r>
        <w:rPr>
          <w:rFonts w:ascii="FrankRuehl" w:eastAsia="Calibri" w:hAnsi="FrankRuehl" w:cs="FrankRuehl" w:hint="cs"/>
          <w:sz w:val="28"/>
          <w:szCs w:val="28"/>
          <w:rtl/>
        </w:rPr>
        <w:t>ו</w:t>
      </w:r>
      <w:r w:rsidRPr="00B20F18">
        <w:rPr>
          <w:rFonts w:ascii="FrankRuehl" w:eastAsia="Calibri" w:hAnsi="FrankRuehl" w:cs="FrankRuehl" w:hint="cs"/>
          <w:sz w:val="28"/>
          <w:szCs w:val="28"/>
          <w:rtl/>
        </w:rPr>
        <w:t xml:space="preserve">עד 40 חודשי מאסר בפועל. </w:t>
      </w:r>
      <w:r>
        <w:rPr>
          <w:rFonts w:ascii="FrankRuehl" w:eastAsia="Calibri" w:hAnsi="FrankRuehl" w:cs="FrankRuehl" w:hint="cs"/>
          <w:sz w:val="28"/>
          <w:szCs w:val="28"/>
          <w:rtl/>
        </w:rPr>
        <w:t xml:space="preserve">לדבריו, על אף </w:t>
      </w:r>
      <w:r w:rsidRPr="00B20F18">
        <w:rPr>
          <w:rFonts w:ascii="FrankRuehl" w:eastAsia="Calibri" w:hAnsi="FrankRuehl" w:cs="FrankRuehl" w:hint="cs"/>
          <w:sz w:val="28"/>
          <w:szCs w:val="28"/>
          <w:rtl/>
        </w:rPr>
        <w:t>מגמת החמרה</w:t>
      </w:r>
      <w:r>
        <w:rPr>
          <w:rFonts w:ascii="FrankRuehl" w:eastAsia="Calibri" w:hAnsi="FrankRuehl" w:cs="FrankRuehl" w:hint="cs"/>
          <w:sz w:val="28"/>
          <w:szCs w:val="28"/>
          <w:rtl/>
        </w:rPr>
        <w:t xml:space="preserve"> בעבירות בנשק, אין לוותר על עקרונות </w:t>
      </w:r>
      <w:r w:rsidRPr="00B20F18">
        <w:rPr>
          <w:rFonts w:ascii="FrankRuehl" w:eastAsia="Calibri" w:hAnsi="FrankRuehl" w:cs="FrankRuehl" w:hint="cs"/>
          <w:sz w:val="28"/>
          <w:szCs w:val="28"/>
          <w:rtl/>
        </w:rPr>
        <w:t>הענישה האינדיווידואלית</w:t>
      </w:r>
      <w:r>
        <w:rPr>
          <w:rFonts w:ascii="FrankRuehl" w:eastAsia="Calibri" w:hAnsi="FrankRuehl" w:cs="FrankRuehl" w:hint="cs"/>
          <w:sz w:val="28"/>
          <w:szCs w:val="28"/>
          <w:rtl/>
        </w:rPr>
        <w:t xml:space="preserve">, ואין לתת משקל לתיקון לחוק שקבע </w:t>
      </w:r>
      <w:r w:rsidRPr="00B20F18">
        <w:rPr>
          <w:rFonts w:ascii="FrankRuehl" w:eastAsia="Calibri" w:hAnsi="FrankRuehl" w:cs="FrankRuehl" w:hint="cs"/>
          <w:sz w:val="28"/>
          <w:szCs w:val="28"/>
          <w:rtl/>
        </w:rPr>
        <w:t xml:space="preserve">עונש מאסר מינימלי, </w:t>
      </w:r>
      <w:r>
        <w:rPr>
          <w:rFonts w:ascii="FrankRuehl" w:eastAsia="Calibri" w:hAnsi="FrankRuehl" w:cs="FrankRuehl" w:hint="cs"/>
          <w:sz w:val="28"/>
          <w:szCs w:val="28"/>
          <w:rtl/>
        </w:rPr>
        <w:t xml:space="preserve">מאחר והוא אינו חל ואינו יכול לחול רטרואקטיבית. </w:t>
      </w:r>
    </w:p>
    <w:p w14:paraId="4B932AA6"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13</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r>
      <w:r>
        <w:rPr>
          <w:rFonts w:ascii="FrankRuehl" w:eastAsia="Calibri" w:hAnsi="FrankRuehl" w:cs="FrankRuehl" w:hint="cs"/>
          <w:sz w:val="28"/>
          <w:szCs w:val="28"/>
          <w:rtl/>
        </w:rPr>
        <w:t>באשר לעונשו של הנאשם בתוך ה</w:t>
      </w:r>
      <w:r w:rsidRPr="00B20F18">
        <w:rPr>
          <w:rFonts w:ascii="FrankRuehl" w:eastAsia="Calibri" w:hAnsi="FrankRuehl" w:cs="FrankRuehl" w:hint="cs"/>
          <w:sz w:val="28"/>
          <w:szCs w:val="28"/>
          <w:rtl/>
        </w:rPr>
        <w:t xml:space="preserve">מתחם, </w:t>
      </w:r>
      <w:r>
        <w:rPr>
          <w:rFonts w:ascii="FrankRuehl" w:eastAsia="Calibri" w:hAnsi="FrankRuehl" w:cs="FrankRuehl" w:hint="cs"/>
          <w:sz w:val="28"/>
          <w:szCs w:val="28"/>
          <w:rtl/>
        </w:rPr>
        <w:t xml:space="preserve">טען ב"כ הנאשם </w:t>
      </w:r>
      <w:r w:rsidRPr="00B20F18">
        <w:rPr>
          <w:rFonts w:ascii="FrankRuehl" w:eastAsia="Calibri" w:hAnsi="FrankRuehl" w:cs="FrankRuehl" w:hint="cs"/>
          <w:sz w:val="28"/>
          <w:szCs w:val="28"/>
          <w:rtl/>
        </w:rPr>
        <w:t>כי הרשעתו האחרונה של הנאשם הינה משנת 2017, וכי כל יתר ההרשעות מלפני כן התיישנו. עוד צוין</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 כי הנאשם יליד 1984 ואבא ל 7 ילדים, כאשר האחרון נולד בחודש אוגוסט האחרון ועד היום הנאשם לא ראה אותו</w:t>
      </w:r>
      <w:r>
        <w:rPr>
          <w:rFonts w:ascii="FrankRuehl" w:eastAsia="Calibri" w:hAnsi="FrankRuehl" w:cs="FrankRuehl" w:hint="cs"/>
          <w:sz w:val="28"/>
          <w:szCs w:val="28"/>
          <w:rtl/>
        </w:rPr>
        <w:t xml:space="preserve">. בשל כך הוא אף </w:t>
      </w:r>
      <w:r w:rsidRPr="00B20F18">
        <w:rPr>
          <w:rFonts w:ascii="FrankRuehl" w:eastAsia="Calibri" w:hAnsi="FrankRuehl" w:cs="FrankRuehl" w:hint="cs"/>
          <w:sz w:val="28"/>
          <w:szCs w:val="28"/>
          <w:rtl/>
        </w:rPr>
        <w:t xml:space="preserve">ויתר על </w:t>
      </w:r>
      <w:r>
        <w:rPr>
          <w:rFonts w:ascii="FrankRuehl" w:eastAsia="Calibri" w:hAnsi="FrankRuehl" w:cs="FrankRuehl" w:hint="cs"/>
          <w:sz w:val="28"/>
          <w:szCs w:val="28"/>
          <w:rtl/>
        </w:rPr>
        <w:t xml:space="preserve">הגשת </w:t>
      </w:r>
      <w:r w:rsidRPr="00B20F18">
        <w:rPr>
          <w:rFonts w:ascii="FrankRuehl" w:eastAsia="Calibri" w:hAnsi="FrankRuehl" w:cs="FrankRuehl" w:hint="cs"/>
          <w:sz w:val="28"/>
          <w:szCs w:val="28"/>
          <w:rtl/>
        </w:rPr>
        <w:t>תסקיר</w:t>
      </w:r>
      <w:r>
        <w:rPr>
          <w:rFonts w:ascii="FrankRuehl" w:eastAsia="Calibri" w:hAnsi="FrankRuehl" w:cs="FrankRuehl" w:hint="cs"/>
          <w:sz w:val="28"/>
          <w:szCs w:val="28"/>
          <w:rtl/>
        </w:rPr>
        <w:t xml:space="preserve"> שירות המבחן. הוא ציין גם ש</w:t>
      </w:r>
      <w:r w:rsidRPr="00B20F18">
        <w:rPr>
          <w:rFonts w:ascii="FrankRuehl" w:eastAsia="Calibri" w:hAnsi="FrankRuehl" w:cs="FrankRuehl" w:hint="cs"/>
          <w:sz w:val="28"/>
          <w:szCs w:val="28"/>
          <w:rtl/>
        </w:rPr>
        <w:t xml:space="preserve">אמו של הנאשם חולה וכי </w:t>
      </w:r>
      <w:r>
        <w:rPr>
          <w:rFonts w:ascii="FrankRuehl" w:eastAsia="Calibri" w:hAnsi="FrankRuehl" w:cs="FrankRuehl" w:hint="cs"/>
          <w:sz w:val="28"/>
          <w:szCs w:val="28"/>
          <w:rtl/>
        </w:rPr>
        <w:t>שני הוריו סמוכים</w:t>
      </w:r>
      <w:r w:rsidRPr="00B20F18">
        <w:rPr>
          <w:rFonts w:ascii="FrankRuehl" w:eastAsia="Calibri" w:hAnsi="FrankRuehl" w:cs="FrankRuehl" w:hint="cs"/>
          <w:sz w:val="28"/>
          <w:szCs w:val="28"/>
          <w:rtl/>
        </w:rPr>
        <w:t xml:space="preserve"> על שולחנו</w:t>
      </w:r>
      <w:r>
        <w:rPr>
          <w:rFonts w:ascii="FrankRuehl" w:eastAsia="Calibri" w:hAnsi="FrankRuehl" w:cs="FrankRuehl" w:hint="cs"/>
          <w:sz w:val="28"/>
          <w:szCs w:val="28"/>
          <w:rtl/>
        </w:rPr>
        <w:t xml:space="preserve">. הנאשם גם לקח </w:t>
      </w:r>
      <w:r w:rsidRPr="00B20F18">
        <w:rPr>
          <w:rFonts w:ascii="FrankRuehl" w:eastAsia="Calibri" w:hAnsi="FrankRuehl" w:cs="FrankRuehl" w:hint="cs"/>
          <w:sz w:val="28"/>
          <w:szCs w:val="28"/>
          <w:rtl/>
        </w:rPr>
        <w:t xml:space="preserve">אחריות על מעשיו </w:t>
      </w:r>
      <w:r>
        <w:rPr>
          <w:rFonts w:ascii="FrankRuehl" w:eastAsia="Calibri" w:hAnsi="FrankRuehl" w:cs="FrankRuehl" w:hint="cs"/>
          <w:sz w:val="28"/>
          <w:szCs w:val="28"/>
          <w:rtl/>
        </w:rPr>
        <w:t>והפנים את חומרתם. בשל כך, נתבקש ל</w:t>
      </w:r>
      <w:r w:rsidRPr="00B20F18">
        <w:rPr>
          <w:rFonts w:ascii="FrankRuehl" w:eastAsia="Calibri" w:hAnsi="FrankRuehl" w:cs="FrankRuehl" w:hint="cs"/>
          <w:sz w:val="28"/>
          <w:szCs w:val="28"/>
          <w:rtl/>
        </w:rPr>
        <w:t>מקם את עונשו בחלק התחתון של מתחם הענישה, ולגזור עליו עונש שלא יעלה על 18 חודשי מאסר בפועל.</w:t>
      </w:r>
    </w:p>
    <w:p w14:paraId="67D80210" w14:textId="77777777" w:rsidR="00D04B87" w:rsidRPr="00B20F18" w:rsidRDefault="00D04B87" w:rsidP="00D04B87">
      <w:pPr>
        <w:spacing w:after="160" w:line="360" w:lineRule="auto"/>
        <w:jc w:val="both"/>
        <w:rPr>
          <w:rFonts w:ascii="FrankRuehl" w:eastAsia="Calibri" w:hAnsi="FrankRuehl" w:cs="FrankRuehl"/>
          <w:sz w:val="28"/>
          <w:szCs w:val="28"/>
          <w:rtl/>
        </w:rPr>
      </w:pPr>
      <w:r w:rsidRPr="00B20F18">
        <w:rPr>
          <w:rFonts w:ascii="FrankRuehl" w:eastAsia="Calibri" w:hAnsi="FrankRuehl" w:cs="FrankRuehl" w:hint="cs"/>
          <w:sz w:val="28"/>
          <w:szCs w:val="28"/>
          <w:rtl/>
        </w:rPr>
        <w:t>1</w:t>
      </w:r>
      <w:r>
        <w:rPr>
          <w:rFonts w:ascii="FrankRuehl" w:eastAsia="Calibri" w:hAnsi="FrankRuehl" w:cs="FrankRuehl" w:hint="cs"/>
          <w:sz w:val="28"/>
          <w:szCs w:val="28"/>
          <w:rtl/>
        </w:rPr>
        <w:t>4</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t>ב</w:t>
      </w:r>
      <w:r>
        <w:rPr>
          <w:rFonts w:ascii="FrankRuehl" w:eastAsia="Calibri" w:hAnsi="FrankRuehl" w:cs="FrankRuehl" w:hint="cs"/>
          <w:sz w:val="28"/>
          <w:szCs w:val="28"/>
          <w:rtl/>
        </w:rPr>
        <w:t xml:space="preserve">דבריו בפני בית המשפט </w:t>
      </w:r>
      <w:r w:rsidRPr="00B20F18">
        <w:rPr>
          <w:rFonts w:ascii="FrankRuehl" w:eastAsia="Calibri" w:hAnsi="FrankRuehl" w:cs="FrankRuehl" w:hint="cs"/>
          <w:sz w:val="28"/>
          <w:szCs w:val="28"/>
          <w:rtl/>
        </w:rPr>
        <w:t xml:space="preserve">ביקש הנאשם </w:t>
      </w:r>
      <w:r>
        <w:rPr>
          <w:rFonts w:ascii="FrankRuehl" w:eastAsia="Calibri" w:hAnsi="FrankRuehl" w:cs="FrankRuehl" w:hint="cs"/>
          <w:sz w:val="28"/>
          <w:szCs w:val="28"/>
          <w:rtl/>
        </w:rPr>
        <w:t xml:space="preserve">לתת לו </w:t>
      </w:r>
      <w:r w:rsidRPr="00B20F18">
        <w:rPr>
          <w:rFonts w:ascii="FrankRuehl" w:eastAsia="Calibri" w:hAnsi="FrankRuehl" w:cs="FrankRuehl" w:hint="cs"/>
          <w:sz w:val="28"/>
          <w:szCs w:val="28"/>
          <w:rtl/>
        </w:rPr>
        <w:t xml:space="preserve">הזדמנות נוספת. הוא התקשה לומר את הדברים, </w:t>
      </w:r>
      <w:r>
        <w:rPr>
          <w:rFonts w:ascii="FrankRuehl" w:eastAsia="Calibri" w:hAnsi="FrankRuehl" w:cs="FrankRuehl" w:hint="cs"/>
          <w:sz w:val="28"/>
          <w:szCs w:val="28"/>
          <w:rtl/>
        </w:rPr>
        <w:t>ו</w:t>
      </w:r>
      <w:r w:rsidRPr="00B20F18">
        <w:rPr>
          <w:rFonts w:ascii="FrankRuehl" w:eastAsia="Calibri" w:hAnsi="FrankRuehl" w:cs="FrankRuehl" w:hint="cs"/>
          <w:sz w:val="28"/>
          <w:szCs w:val="28"/>
          <w:rtl/>
        </w:rPr>
        <w:t xml:space="preserve">הגיש </w:t>
      </w:r>
      <w:r>
        <w:rPr>
          <w:rFonts w:ascii="FrankRuehl" w:eastAsia="Calibri" w:hAnsi="FrankRuehl" w:cs="FrankRuehl" w:hint="cs"/>
          <w:sz w:val="28"/>
          <w:szCs w:val="28"/>
          <w:rtl/>
        </w:rPr>
        <w:t>דברים שכתב בבית הכלא,</w:t>
      </w:r>
      <w:r w:rsidRPr="00B20F18">
        <w:rPr>
          <w:rFonts w:ascii="FrankRuehl" w:eastAsia="Calibri" w:hAnsi="FrankRuehl" w:cs="FrankRuehl" w:hint="cs"/>
          <w:sz w:val="28"/>
          <w:szCs w:val="28"/>
          <w:rtl/>
        </w:rPr>
        <w:t xml:space="preserve"> במסגרת</w:t>
      </w:r>
      <w:r>
        <w:rPr>
          <w:rFonts w:ascii="FrankRuehl" w:eastAsia="Calibri" w:hAnsi="FrankRuehl" w:cs="FrankRuehl" w:hint="cs"/>
          <w:sz w:val="28"/>
          <w:szCs w:val="28"/>
          <w:rtl/>
        </w:rPr>
        <w:t xml:space="preserve">ם </w:t>
      </w:r>
      <w:r w:rsidRPr="00B20F18">
        <w:rPr>
          <w:rFonts w:ascii="FrankRuehl" w:eastAsia="Calibri" w:hAnsi="FrankRuehl" w:cs="FrankRuehl" w:hint="cs"/>
          <w:sz w:val="28"/>
          <w:szCs w:val="28"/>
          <w:rtl/>
        </w:rPr>
        <w:t xml:space="preserve">ציין </w:t>
      </w:r>
      <w:r>
        <w:rPr>
          <w:rFonts w:ascii="FrankRuehl" w:eastAsia="Calibri" w:hAnsi="FrankRuehl" w:cs="FrankRuehl" w:hint="cs"/>
          <w:sz w:val="28"/>
          <w:szCs w:val="28"/>
          <w:rtl/>
        </w:rPr>
        <w:t>כ</w:t>
      </w:r>
      <w:r w:rsidRPr="00B20F18">
        <w:rPr>
          <w:rFonts w:ascii="FrankRuehl" w:eastAsia="Calibri" w:hAnsi="FrankRuehl" w:cs="FrankRuehl" w:hint="cs"/>
          <w:sz w:val="28"/>
          <w:szCs w:val="28"/>
          <w:rtl/>
        </w:rPr>
        <w:t xml:space="preserve">י ככל אדם, אף הוא אינו חף מטעויות. </w:t>
      </w:r>
      <w:r>
        <w:rPr>
          <w:rFonts w:ascii="FrankRuehl" w:eastAsia="Calibri" w:hAnsi="FrankRuehl" w:cs="FrankRuehl" w:hint="cs"/>
          <w:sz w:val="28"/>
          <w:szCs w:val="28"/>
          <w:rtl/>
        </w:rPr>
        <w:t xml:space="preserve">הוא </w:t>
      </w:r>
      <w:r w:rsidRPr="00B20F18">
        <w:rPr>
          <w:rFonts w:ascii="FrankRuehl" w:eastAsia="Calibri" w:hAnsi="FrankRuehl" w:cs="FrankRuehl" w:hint="cs"/>
          <w:sz w:val="28"/>
          <w:szCs w:val="28"/>
          <w:rtl/>
        </w:rPr>
        <w:t xml:space="preserve">הביע את צערו על מעשיו, וכי הוא מכיר בכך שהם היו פזיזים </w:t>
      </w:r>
      <w:r>
        <w:rPr>
          <w:rFonts w:ascii="FrankRuehl" w:eastAsia="Calibri" w:hAnsi="FrankRuehl" w:cs="FrankRuehl" w:hint="cs"/>
          <w:sz w:val="28"/>
          <w:szCs w:val="28"/>
          <w:rtl/>
        </w:rPr>
        <w:t xml:space="preserve">וחסרי אחריות. הוא </w:t>
      </w:r>
      <w:r w:rsidRPr="00B20F18">
        <w:rPr>
          <w:rFonts w:ascii="FrankRuehl" w:eastAsia="Calibri" w:hAnsi="FrankRuehl" w:cs="FrankRuehl" w:hint="cs"/>
          <w:sz w:val="28"/>
          <w:szCs w:val="28"/>
          <w:rtl/>
        </w:rPr>
        <w:t>הסביר כי בחר בהם בשעה שהיה במצב כלכלי שאינו פשוט, מתוך ניסיון להביא פרנסה לבני משפחתו. הוא ציין כי הוא מוכן ל</w:t>
      </w:r>
      <w:r>
        <w:rPr>
          <w:rFonts w:ascii="FrankRuehl" w:eastAsia="Calibri" w:hAnsi="FrankRuehl" w:cs="FrankRuehl" w:hint="cs"/>
          <w:sz w:val="28"/>
          <w:szCs w:val="28"/>
          <w:rtl/>
        </w:rPr>
        <w:t>שאת ב</w:t>
      </w:r>
      <w:r w:rsidRPr="00B20F18">
        <w:rPr>
          <w:rFonts w:ascii="FrankRuehl" w:eastAsia="Calibri" w:hAnsi="FrankRuehl" w:cs="FrankRuehl" w:hint="cs"/>
          <w:sz w:val="28"/>
          <w:szCs w:val="28"/>
          <w:rtl/>
        </w:rPr>
        <w:t>עונש</w:t>
      </w:r>
      <w:r>
        <w:rPr>
          <w:rFonts w:ascii="FrankRuehl" w:eastAsia="Calibri" w:hAnsi="FrankRuehl" w:cs="FrankRuehl" w:hint="cs"/>
          <w:sz w:val="28"/>
          <w:szCs w:val="28"/>
          <w:rtl/>
        </w:rPr>
        <w:t xml:space="preserve"> שיושת עליו</w:t>
      </w:r>
      <w:r w:rsidRPr="00B20F18">
        <w:rPr>
          <w:rFonts w:ascii="FrankRuehl" w:eastAsia="Calibri" w:hAnsi="FrankRuehl" w:cs="FrankRuehl" w:hint="cs"/>
          <w:sz w:val="28"/>
          <w:szCs w:val="28"/>
          <w:rtl/>
        </w:rPr>
        <w:t xml:space="preserve">, וכי הוא כבר </w:t>
      </w:r>
      <w:r>
        <w:rPr>
          <w:rFonts w:ascii="FrankRuehl" w:eastAsia="Calibri" w:hAnsi="FrankRuehl" w:cs="FrankRuehl" w:hint="cs"/>
          <w:sz w:val="28"/>
          <w:szCs w:val="28"/>
          <w:rtl/>
        </w:rPr>
        <w:t xml:space="preserve">נושא בו מעת מעצרו, כשהוא </w:t>
      </w:r>
      <w:r w:rsidRPr="00B20F18">
        <w:rPr>
          <w:rFonts w:ascii="FrankRuehl" w:eastAsia="Calibri" w:hAnsi="FrankRuehl" w:cs="FrankRuehl" w:hint="cs"/>
          <w:sz w:val="28"/>
          <w:szCs w:val="28"/>
          <w:rtl/>
        </w:rPr>
        <w:t xml:space="preserve">אינו יכול להוסיף ולדאוג לפרנסתה של משפחתו ואמו החולה, </w:t>
      </w:r>
      <w:r>
        <w:rPr>
          <w:rFonts w:ascii="FrankRuehl" w:eastAsia="Calibri" w:hAnsi="FrankRuehl" w:cs="FrankRuehl" w:hint="cs"/>
          <w:sz w:val="28"/>
          <w:szCs w:val="28"/>
          <w:rtl/>
        </w:rPr>
        <w:t>ו</w:t>
      </w:r>
      <w:r w:rsidRPr="00B20F18">
        <w:rPr>
          <w:rFonts w:ascii="FrankRuehl" w:eastAsia="Calibri" w:hAnsi="FrankRuehl" w:cs="FrankRuehl" w:hint="cs"/>
          <w:sz w:val="28"/>
          <w:szCs w:val="28"/>
          <w:rtl/>
        </w:rPr>
        <w:t>אינו יכול להיות אב גאה לילדיו,</w:t>
      </w:r>
      <w:r>
        <w:rPr>
          <w:rFonts w:ascii="FrankRuehl" w:eastAsia="Calibri" w:hAnsi="FrankRuehl" w:cs="FrankRuehl" w:hint="cs"/>
          <w:sz w:val="28"/>
          <w:szCs w:val="28"/>
          <w:rtl/>
        </w:rPr>
        <w:t xml:space="preserve"> בכלל זה </w:t>
      </w:r>
      <w:r w:rsidRPr="00B20F18">
        <w:rPr>
          <w:rFonts w:ascii="FrankRuehl" w:eastAsia="Calibri" w:hAnsi="FrankRuehl" w:cs="FrankRuehl" w:hint="cs"/>
          <w:sz w:val="28"/>
          <w:szCs w:val="28"/>
          <w:rtl/>
        </w:rPr>
        <w:t>ב</w:t>
      </w:r>
      <w:r>
        <w:rPr>
          <w:rFonts w:ascii="FrankRuehl" w:eastAsia="Calibri" w:hAnsi="FrankRuehl" w:cs="FrankRuehl" w:hint="cs"/>
          <w:sz w:val="28"/>
          <w:szCs w:val="28"/>
          <w:rtl/>
        </w:rPr>
        <w:t xml:space="preserve">נו הרך בימים שנולד בתקופת מאסרו. </w:t>
      </w:r>
      <w:r w:rsidRPr="00B20F18">
        <w:rPr>
          <w:rFonts w:ascii="FrankRuehl" w:eastAsia="Calibri" w:hAnsi="FrankRuehl" w:cs="FrankRuehl" w:hint="cs"/>
          <w:sz w:val="28"/>
          <w:szCs w:val="28"/>
          <w:rtl/>
        </w:rPr>
        <w:t xml:space="preserve">הוא הוסיף כי ברצונו להיות אדם טוב יותר, וכי כבר בשנה האחרונה הוא החל לפעול לשם כך, כאשר לא היו עמו כל בעיות משמעת </w:t>
      </w:r>
      <w:r>
        <w:rPr>
          <w:rFonts w:ascii="FrankRuehl" w:eastAsia="Calibri" w:hAnsi="FrankRuehl" w:cs="FrankRuehl" w:hint="cs"/>
          <w:sz w:val="28"/>
          <w:szCs w:val="28"/>
          <w:rtl/>
        </w:rPr>
        <w:t xml:space="preserve">בכלא, </w:t>
      </w:r>
      <w:r w:rsidRPr="00B20F18">
        <w:rPr>
          <w:rFonts w:ascii="FrankRuehl" w:eastAsia="Calibri" w:hAnsi="FrankRuehl" w:cs="FrankRuehl" w:hint="cs"/>
          <w:sz w:val="28"/>
          <w:szCs w:val="28"/>
          <w:rtl/>
        </w:rPr>
        <w:t xml:space="preserve">והוא </w:t>
      </w:r>
      <w:r>
        <w:rPr>
          <w:rFonts w:ascii="FrankRuehl" w:eastAsia="Calibri" w:hAnsi="FrankRuehl" w:cs="FrankRuehl" w:hint="cs"/>
          <w:sz w:val="28"/>
          <w:szCs w:val="28"/>
          <w:rtl/>
        </w:rPr>
        <w:t xml:space="preserve">אף </w:t>
      </w:r>
      <w:r w:rsidRPr="00B20F18">
        <w:rPr>
          <w:rFonts w:ascii="FrankRuehl" w:eastAsia="Calibri" w:hAnsi="FrankRuehl" w:cs="FrankRuehl" w:hint="cs"/>
          <w:sz w:val="28"/>
          <w:szCs w:val="28"/>
          <w:rtl/>
        </w:rPr>
        <w:t xml:space="preserve">תורם </w:t>
      </w:r>
      <w:r>
        <w:rPr>
          <w:rFonts w:ascii="FrankRuehl" w:eastAsia="Calibri" w:hAnsi="FrankRuehl" w:cs="FrankRuehl" w:hint="cs"/>
          <w:sz w:val="28"/>
          <w:szCs w:val="28"/>
          <w:rtl/>
        </w:rPr>
        <w:t xml:space="preserve">בו </w:t>
      </w:r>
      <w:r w:rsidRPr="00B20F18">
        <w:rPr>
          <w:rFonts w:ascii="FrankRuehl" w:eastAsia="Calibri" w:hAnsi="FrankRuehl" w:cs="FrankRuehl" w:hint="cs"/>
          <w:sz w:val="28"/>
          <w:szCs w:val="28"/>
          <w:rtl/>
        </w:rPr>
        <w:t xml:space="preserve"> </w:t>
      </w:r>
      <w:r>
        <w:rPr>
          <w:rFonts w:ascii="FrankRuehl" w:eastAsia="Calibri" w:hAnsi="FrankRuehl" w:cs="FrankRuehl" w:hint="cs"/>
          <w:sz w:val="28"/>
          <w:szCs w:val="28"/>
          <w:rtl/>
        </w:rPr>
        <w:t>בהיותו ב</w:t>
      </w:r>
      <w:r w:rsidRPr="00B20F18">
        <w:rPr>
          <w:rFonts w:ascii="FrankRuehl" w:eastAsia="Calibri" w:hAnsi="FrankRuehl" w:cs="FrankRuehl" w:hint="cs"/>
          <w:sz w:val="28"/>
          <w:szCs w:val="28"/>
          <w:rtl/>
        </w:rPr>
        <w:t xml:space="preserve">חוליה באגף בו הוא מרצה את מאסרו.   </w:t>
      </w:r>
    </w:p>
    <w:p w14:paraId="64D3FEE5" w14:textId="77777777" w:rsidR="00D04B87" w:rsidRDefault="00D04B87" w:rsidP="00D04B87">
      <w:pPr>
        <w:spacing w:after="160" w:line="360" w:lineRule="auto"/>
        <w:jc w:val="both"/>
        <w:rPr>
          <w:rFonts w:ascii="FrankRuehl" w:eastAsia="Calibri" w:hAnsi="FrankRuehl" w:cs="FrankRuehl"/>
          <w:b/>
          <w:bCs/>
          <w:sz w:val="28"/>
          <w:szCs w:val="28"/>
          <w:rtl/>
        </w:rPr>
      </w:pPr>
    </w:p>
    <w:p w14:paraId="33E6844A" w14:textId="77777777" w:rsidR="00D04B87" w:rsidRPr="00B20F18" w:rsidRDefault="00D04B87" w:rsidP="00D04B87">
      <w:pPr>
        <w:spacing w:after="160" w:line="360" w:lineRule="auto"/>
        <w:jc w:val="both"/>
        <w:rPr>
          <w:rFonts w:ascii="FrankRuehl" w:eastAsia="Calibri" w:hAnsi="FrankRuehl" w:cs="FrankRuehl"/>
          <w:b/>
          <w:bCs/>
          <w:sz w:val="28"/>
          <w:szCs w:val="28"/>
          <w:u w:val="single"/>
          <w:rtl/>
        </w:rPr>
      </w:pPr>
      <w:r w:rsidRPr="00B20F18">
        <w:rPr>
          <w:rFonts w:ascii="FrankRuehl" w:eastAsia="Calibri" w:hAnsi="FrankRuehl" w:cs="FrankRuehl" w:hint="cs"/>
          <w:b/>
          <w:bCs/>
          <w:sz w:val="28"/>
          <w:szCs w:val="28"/>
          <w:u w:val="single"/>
          <w:rtl/>
        </w:rPr>
        <w:t>דיון והכרעה</w:t>
      </w:r>
    </w:p>
    <w:p w14:paraId="2D6DD058" w14:textId="77777777" w:rsidR="00D04B87" w:rsidRPr="00B63610" w:rsidRDefault="00D04B87" w:rsidP="00D04B87">
      <w:pPr>
        <w:spacing w:after="160" w:line="360" w:lineRule="auto"/>
        <w:jc w:val="both"/>
        <w:rPr>
          <w:rFonts w:ascii="FrankRuehl" w:eastAsia="Calibri" w:hAnsi="FrankRuehl" w:cs="FrankRuehl"/>
          <w:sz w:val="28"/>
          <w:szCs w:val="28"/>
        </w:rPr>
      </w:pPr>
      <w:r w:rsidRPr="00B20F18">
        <w:rPr>
          <w:rFonts w:ascii="FrankRuehl" w:eastAsia="Calibri" w:hAnsi="FrankRuehl" w:cs="FrankRuehl" w:hint="cs"/>
          <w:color w:val="000000"/>
          <w:sz w:val="28"/>
          <w:szCs w:val="28"/>
          <w:rtl/>
        </w:rPr>
        <w:t>1</w:t>
      </w:r>
      <w:r>
        <w:rPr>
          <w:rFonts w:ascii="FrankRuehl" w:eastAsia="Calibri" w:hAnsi="FrankRuehl" w:cs="FrankRuehl" w:hint="cs"/>
          <w:color w:val="000000"/>
          <w:sz w:val="28"/>
          <w:szCs w:val="28"/>
          <w:rtl/>
        </w:rPr>
        <w:t>5</w:t>
      </w:r>
      <w:r w:rsidRPr="00B20F18">
        <w:rPr>
          <w:rFonts w:ascii="FrankRuehl" w:eastAsia="Calibri" w:hAnsi="FrankRuehl" w:cs="FrankRuehl" w:hint="cs"/>
          <w:color w:val="000000"/>
          <w:sz w:val="28"/>
          <w:szCs w:val="28"/>
          <w:rtl/>
        </w:rPr>
        <w:t>.</w:t>
      </w:r>
      <w:r w:rsidRPr="00B20F18">
        <w:rPr>
          <w:rFonts w:ascii="FrankRuehl" w:eastAsia="Calibri" w:hAnsi="FrankRuehl" w:cs="FrankRuehl" w:hint="cs"/>
          <w:color w:val="000000"/>
          <w:sz w:val="28"/>
          <w:szCs w:val="28"/>
          <w:rtl/>
        </w:rPr>
        <w:tab/>
        <w:t xml:space="preserve">הערכים המוגנים 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פסיקה עקבית </w:t>
      </w:r>
      <w:r w:rsidRPr="00B20F18">
        <w:rPr>
          <w:rFonts w:ascii="FrankRuehl" w:eastAsia="Calibri" w:hAnsi="FrankRuehl" w:cs="FrankRuehl" w:hint="cs"/>
          <w:sz w:val="28"/>
          <w:szCs w:val="28"/>
          <w:rtl/>
        </w:rPr>
        <w:t xml:space="preserve">עומדת </w:t>
      </w:r>
      <w:r>
        <w:rPr>
          <w:rFonts w:ascii="FrankRuehl" w:eastAsia="Calibri" w:hAnsi="FrankRuehl" w:cs="FrankRuehl" w:hint="cs"/>
          <w:sz w:val="28"/>
          <w:szCs w:val="28"/>
          <w:rtl/>
        </w:rPr>
        <w:t xml:space="preserve">על </w:t>
      </w:r>
      <w:r w:rsidRPr="00B20F18">
        <w:rPr>
          <w:rFonts w:ascii="FrankRuehl" w:eastAsia="Calibri" w:hAnsi="FrankRuehl" w:cs="FrankRuehl" w:hint="cs"/>
          <w:sz w:val="28"/>
          <w:szCs w:val="28"/>
          <w:rtl/>
        </w:rPr>
        <w:t xml:space="preserve">כך שעבירות נשק לסוגיהן הן "מכת מדינה" המשקפת סכנה חמורה ומיידית לביטחון הציבור ולשלומו ועל הצורך בענישה מחמירה בעבירות </w:t>
      </w:r>
      <w:r>
        <w:rPr>
          <w:rFonts w:ascii="FrankRuehl" w:eastAsia="Calibri" w:hAnsi="FrankRuehl" w:cs="FrankRuehl" w:hint="cs"/>
          <w:sz w:val="28"/>
          <w:szCs w:val="28"/>
          <w:rtl/>
        </w:rPr>
        <w:t>אלו,</w:t>
      </w:r>
      <w:r w:rsidRPr="00B20F18">
        <w:rPr>
          <w:rFonts w:ascii="FrankRuehl" w:eastAsia="Calibri" w:hAnsi="FrankRuehl" w:cs="FrankRuehl" w:hint="cs"/>
          <w:sz w:val="28"/>
          <w:szCs w:val="28"/>
          <w:rtl/>
        </w:rPr>
        <w:t xml:space="preserve"> ובהעלאת רף הענישה בעבירות הנשק לסוגיהן (ראו אך לדוגמה: </w:t>
      </w:r>
      <w:hyperlink r:id="rId14" w:history="1">
        <w:r w:rsidR="00541762" w:rsidRPr="00541762">
          <w:rPr>
            <w:rFonts w:ascii="FrankRuehl" w:eastAsia="Calibri" w:hAnsi="FrankRuehl" w:cs="FrankRuehl"/>
            <w:color w:val="0000FF"/>
            <w:sz w:val="28"/>
            <w:szCs w:val="28"/>
            <w:u w:val="single"/>
            <w:rtl/>
          </w:rPr>
          <w:t>ע"פ 2761/21</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עואלי נ' מדינת ישראל</w:t>
      </w:r>
      <w:r w:rsidRPr="00B20F18">
        <w:rPr>
          <w:rFonts w:ascii="FrankRuehl" w:eastAsia="Calibri" w:hAnsi="FrankRuehl" w:cs="FrankRuehl" w:hint="cs"/>
          <w:sz w:val="28"/>
          <w:szCs w:val="28"/>
          <w:rtl/>
        </w:rPr>
        <w:t xml:space="preserve"> (פורסם בנבו, 22.08.21); </w:t>
      </w:r>
      <w:hyperlink r:id="rId15" w:history="1">
        <w:r w:rsidR="00541762" w:rsidRPr="00541762">
          <w:rPr>
            <w:rFonts w:ascii="FrankRuehl" w:eastAsia="Calibri" w:hAnsi="FrankRuehl" w:cs="FrankRuehl"/>
            <w:color w:val="0000FF"/>
            <w:sz w:val="28"/>
            <w:szCs w:val="28"/>
            <w:u w:val="single"/>
            <w:rtl/>
          </w:rPr>
          <w:t>ע"פ 4207/21</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עמאר בעראני נורי נ' מדינת ישראל</w:t>
      </w:r>
      <w:r w:rsidRPr="00B20F18">
        <w:rPr>
          <w:rFonts w:ascii="FrankRuehl" w:eastAsia="Calibri" w:hAnsi="FrankRuehl" w:cs="FrankRuehl" w:hint="cs"/>
          <w:sz w:val="28"/>
          <w:szCs w:val="28"/>
          <w:rtl/>
        </w:rPr>
        <w:t xml:space="preserve"> (פורסם בנבו, 28.07.21); </w:t>
      </w:r>
      <w:hyperlink r:id="rId16" w:history="1">
        <w:r w:rsidR="00541762" w:rsidRPr="00541762">
          <w:rPr>
            <w:rFonts w:ascii="FrankRuehl" w:eastAsia="Calibri" w:hAnsi="FrankRuehl" w:cs="FrankRuehl"/>
            <w:color w:val="0000FF"/>
            <w:sz w:val="28"/>
            <w:szCs w:val="28"/>
            <w:u w:val="single"/>
            <w:rtl/>
          </w:rPr>
          <w:t>ע"פ 3793/20</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מורייחי נ' מדינת ישראל</w:t>
      </w:r>
      <w:r w:rsidRPr="00B20F18">
        <w:rPr>
          <w:rFonts w:ascii="FrankRuehl" w:eastAsia="Calibri" w:hAnsi="FrankRuehl" w:cs="FrankRuehl" w:hint="cs"/>
          <w:sz w:val="28"/>
          <w:szCs w:val="28"/>
          <w:rtl/>
        </w:rPr>
        <w:t xml:space="preserve"> (פורסם בנבו, 23.11.20)</w:t>
      </w:r>
      <w:r>
        <w:rPr>
          <w:rFonts w:ascii="FrankRuehl" w:eastAsia="Calibri" w:hAnsi="FrankRuehl" w:cs="FrankRuehl" w:hint="cs"/>
          <w:sz w:val="28"/>
          <w:szCs w:val="28"/>
          <w:rtl/>
        </w:rPr>
        <w:t xml:space="preserve">). </w:t>
      </w:r>
      <w:r w:rsidRPr="00B63610">
        <w:rPr>
          <w:rFonts w:ascii="FrankRuehl" w:eastAsia="Calibri" w:hAnsi="FrankRuehl" w:cs="FrankRuehl" w:hint="cs"/>
          <w:sz w:val="28"/>
          <w:szCs w:val="28"/>
          <w:rtl/>
        </w:rPr>
        <w:t>ב</w:t>
      </w:r>
      <w:r w:rsidRPr="00B63610">
        <w:rPr>
          <w:rFonts w:ascii="FrankRuehl" w:eastAsia="Calibri" w:hAnsi="FrankRuehl" w:cs="FrankRuehl"/>
          <w:sz w:val="28"/>
          <w:szCs w:val="28"/>
          <w:rtl/>
        </w:rPr>
        <w:t xml:space="preserve">ית </w:t>
      </w:r>
      <w:r w:rsidRPr="00B63610">
        <w:rPr>
          <w:rFonts w:ascii="FrankRuehl" w:eastAsia="Calibri" w:hAnsi="FrankRuehl" w:cs="FrankRuehl" w:hint="cs"/>
          <w:sz w:val="28"/>
          <w:szCs w:val="28"/>
          <w:rtl/>
        </w:rPr>
        <w:t>ה</w:t>
      </w:r>
      <w:r w:rsidRPr="00B63610">
        <w:rPr>
          <w:rFonts w:ascii="FrankRuehl" w:eastAsia="Calibri" w:hAnsi="FrankRuehl" w:cs="FrankRuehl"/>
          <w:sz w:val="28"/>
          <w:szCs w:val="28"/>
          <w:rtl/>
        </w:rPr>
        <w:t xml:space="preserve">משפט </w:t>
      </w:r>
      <w:r>
        <w:rPr>
          <w:rFonts w:ascii="FrankRuehl" w:eastAsia="Calibri" w:hAnsi="FrankRuehl" w:cs="FrankRuehl" w:hint="cs"/>
          <w:sz w:val="28"/>
          <w:szCs w:val="28"/>
          <w:rtl/>
        </w:rPr>
        <w:t xml:space="preserve">אף </w:t>
      </w:r>
      <w:r w:rsidRPr="00B63610">
        <w:rPr>
          <w:rFonts w:ascii="FrankRuehl" w:eastAsia="Calibri" w:hAnsi="FrankRuehl" w:cs="FrankRuehl"/>
          <w:sz w:val="28"/>
          <w:szCs w:val="28"/>
          <w:rtl/>
        </w:rPr>
        <w:t>קבע כי החמרת הענישה בגין עבירות אלו היא אינטרס ציבורי מהמעלה הראשונה ותנאי הכרח</w:t>
      </w:r>
      <w:r>
        <w:rPr>
          <w:rFonts w:ascii="FrankRuehl" w:eastAsia="Calibri" w:hAnsi="FrankRuehl" w:cs="FrankRuehl"/>
          <w:sz w:val="28"/>
          <w:szCs w:val="28"/>
          <w:rtl/>
        </w:rPr>
        <w:t>י להרתעת הציבור מפני ביצוען (רא</w:t>
      </w:r>
      <w:r>
        <w:rPr>
          <w:rFonts w:ascii="FrankRuehl" w:eastAsia="Calibri" w:hAnsi="FrankRuehl" w:cs="FrankRuehl" w:hint="cs"/>
          <w:sz w:val="28"/>
          <w:szCs w:val="28"/>
          <w:rtl/>
        </w:rPr>
        <w:t>ו</w:t>
      </w:r>
      <w:r w:rsidRPr="00B63610">
        <w:rPr>
          <w:rFonts w:ascii="FrankRuehl" w:eastAsia="Calibri" w:hAnsi="FrankRuehl" w:cs="FrankRuehl"/>
          <w:sz w:val="28"/>
          <w:szCs w:val="28"/>
          <w:rtl/>
        </w:rPr>
        <w:t xml:space="preserve">: </w:t>
      </w:r>
      <w:hyperlink r:id="rId17" w:history="1">
        <w:r w:rsidR="00541762" w:rsidRPr="00541762">
          <w:rPr>
            <w:rFonts w:ascii="FrankRuehl" w:eastAsia="Calibri" w:hAnsi="FrankRuehl" w:cs="FrankRuehl"/>
            <w:color w:val="0000FF"/>
            <w:sz w:val="28"/>
            <w:szCs w:val="28"/>
            <w:u w:val="single"/>
            <w:rtl/>
          </w:rPr>
          <w:t>ע"פ 6068/21</w:t>
        </w:r>
      </w:hyperlink>
      <w:r>
        <w:rPr>
          <w:rFonts w:ascii="FrankRuehl" w:eastAsia="Calibri" w:hAnsi="FrankRuehl" w:cs="FrankRuehl" w:hint="cs"/>
          <w:sz w:val="28"/>
          <w:szCs w:val="28"/>
          <w:rtl/>
        </w:rPr>
        <w:t xml:space="preserve"> </w:t>
      </w:r>
      <w:r w:rsidRPr="00426DEB">
        <w:rPr>
          <w:rFonts w:ascii="FrankRuehl" w:eastAsia="Calibri" w:hAnsi="FrankRuehl" w:cs="FrankRuehl" w:hint="cs"/>
          <w:b/>
          <w:bCs/>
          <w:sz w:val="28"/>
          <w:szCs w:val="28"/>
          <w:rtl/>
        </w:rPr>
        <w:t>מדינת ישראל נ' פקיה</w:t>
      </w:r>
      <w:r>
        <w:rPr>
          <w:rFonts w:ascii="FrankRuehl" w:eastAsia="Calibri" w:hAnsi="FrankRuehl" w:cs="FrankRuehl" w:hint="cs"/>
          <w:sz w:val="28"/>
          <w:szCs w:val="28"/>
          <w:rtl/>
        </w:rPr>
        <w:t xml:space="preserve"> (פורסם בנבו, 19.12.21); </w:t>
      </w:r>
      <w:hyperlink r:id="rId18" w:history="1">
        <w:r w:rsidR="00541762" w:rsidRPr="00541762">
          <w:rPr>
            <w:rFonts w:ascii="FrankRuehl" w:eastAsia="Calibri" w:hAnsi="FrankRuehl" w:cs="FrankRuehl"/>
            <w:color w:val="0000FF"/>
            <w:sz w:val="28"/>
            <w:szCs w:val="28"/>
            <w:u w:val="single"/>
            <w:rtl/>
          </w:rPr>
          <w:t>ע"פ 4406/19</w:t>
        </w:r>
      </w:hyperlink>
      <w:r w:rsidRPr="00B63610">
        <w:rPr>
          <w:rFonts w:ascii="FrankRuehl" w:eastAsia="Calibri" w:hAnsi="FrankRuehl" w:cs="FrankRuehl"/>
          <w:sz w:val="28"/>
          <w:szCs w:val="28"/>
          <w:rtl/>
        </w:rPr>
        <w:t xml:space="preserve"> </w:t>
      </w:r>
      <w:r w:rsidRPr="00B63610">
        <w:rPr>
          <w:rFonts w:ascii="FrankRuehl" w:eastAsia="Calibri" w:hAnsi="FrankRuehl" w:cs="FrankRuehl"/>
          <w:b/>
          <w:bCs/>
          <w:sz w:val="28"/>
          <w:szCs w:val="28"/>
          <w:rtl/>
        </w:rPr>
        <w:t>מדינת ישראל נ' סובח</w:t>
      </w:r>
      <w:r>
        <w:rPr>
          <w:rFonts w:ascii="FrankRuehl" w:eastAsia="Calibri" w:hAnsi="FrankRuehl" w:cs="FrankRuehl" w:hint="cs"/>
          <w:sz w:val="28"/>
          <w:szCs w:val="28"/>
          <w:rtl/>
        </w:rPr>
        <w:t xml:space="preserve"> (פורסם בנבו, </w:t>
      </w:r>
      <w:r w:rsidRPr="00B63610">
        <w:rPr>
          <w:rFonts w:ascii="FrankRuehl" w:eastAsia="Calibri" w:hAnsi="FrankRuehl" w:cs="FrankRuehl"/>
          <w:sz w:val="28"/>
          <w:szCs w:val="28"/>
          <w:rtl/>
        </w:rPr>
        <w:t>5.11.19)</w:t>
      </w:r>
      <w:r>
        <w:rPr>
          <w:rFonts w:ascii="FrankRuehl" w:eastAsia="Calibri" w:hAnsi="FrankRuehl" w:cs="FrankRuehl" w:hint="cs"/>
          <w:sz w:val="28"/>
          <w:szCs w:val="28"/>
          <w:rtl/>
        </w:rPr>
        <w:t xml:space="preserve">). לאחרונה, אף ציין בית המשפט העליון כי </w:t>
      </w:r>
      <w:r w:rsidRPr="004D05DE">
        <w:rPr>
          <w:rFonts w:ascii="FrankRuehl" w:eastAsia="Calibri" w:hAnsi="FrankRuehl" w:cs="FrankRuehl"/>
          <w:sz w:val="28"/>
          <w:szCs w:val="28"/>
          <w:rtl/>
        </w:rPr>
        <w:t>מצויים אנו לעת הזאת במצב חירום של ממש בעניין עבירות נשק</w:t>
      </w:r>
      <w:r>
        <w:rPr>
          <w:rFonts w:ascii="FrankRuehl" w:eastAsia="Calibri" w:hAnsi="FrankRuehl" w:cs="FrankRuehl" w:hint="cs"/>
          <w:sz w:val="28"/>
          <w:szCs w:val="28"/>
          <w:rtl/>
        </w:rPr>
        <w:t xml:space="preserve"> (</w:t>
      </w:r>
      <w:hyperlink r:id="rId19" w:history="1">
        <w:r w:rsidR="00541762" w:rsidRPr="00541762">
          <w:rPr>
            <w:rFonts w:ascii="FrankRuehl" w:eastAsia="Calibri" w:hAnsi="FrankRuehl" w:cs="FrankRuehl"/>
            <w:color w:val="0000FF"/>
            <w:sz w:val="28"/>
            <w:szCs w:val="28"/>
            <w:u w:val="single"/>
            <w:rtl/>
          </w:rPr>
          <w:t>ע"פ 2251/21</w:t>
        </w:r>
      </w:hyperlink>
      <w:r>
        <w:rPr>
          <w:rFonts w:ascii="FrankRuehl" w:eastAsia="Calibri" w:hAnsi="FrankRuehl" w:cs="FrankRuehl" w:hint="cs"/>
          <w:sz w:val="28"/>
          <w:szCs w:val="28"/>
          <w:rtl/>
        </w:rPr>
        <w:t xml:space="preserve"> </w:t>
      </w:r>
      <w:r w:rsidRPr="004D05DE">
        <w:rPr>
          <w:rFonts w:ascii="FrankRuehl" w:eastAsia="Calibri" w:hAnsi="FrankRuehl" w:cs="FrankRuehl" w:hint="cs"/>
          <w:b/>
          <w:bCs/>
          <w:sz w:val="28"/>
          <w:szCs w:val="28"/>
          <w:rtl/>
        </w:rPr>
        <w:t>אבו עראר נ' מדינת ישראל</w:t>
      </w:r>
      <w:r>
        <w:rPr>
          <w:rFonts w:ascii="FrankRuehl" w:eastAsia="Calibri" w:hAnsi="FrankRuehl" w:cs="FrankRuehl" w:hint="cs"/>
          <w:sz w:val="28"/>
          <w:szCs w:val="28"/>
          <w:rtl/>
        </w:rPr>
        <w:t xml:space="preserve"> (פורסם בנבו, 15.12.21)). ה</w:t>
      </w:r>
      <w:r w:rsidRPr="00B20F18">
        <w:rPr>
          <w:rFonts w:ascii="FrankRuehl" w:eastAsia="Calibri" w:hAnsi="FrankRuehl" w:cs="FrankRuehl" w:hint="cs"/>
          <w:sz w:val="28"/>
          <w:szCs w:val="28"/>
          <w:rtl/>
        </w:rPr>
        <w:t xml:space="preserve">צורך בענישה מחמירה בעבירות נשק הוא חיוני גם בעבירות של החזקת נשק שלא כדין שלא </w:t>
      </w:r>
      <w:r>
        <w:rPr>
          <w:rFonts w:ascii="FrankRuehl" w:eastAsia="Calibri" w:hAnsi="FrankRuehl" w:cs="FrankRuehl" w:hint="cs"/>
          <w:sz w:val="28"/>
          <w:szCs w:val="28"/>
          <w:rtl/>
        </w:rPr>
        <w:t xml:space="preserve">נלוו להן </w:t>
      </w:r>
      <w:r w:rsidRPr="00B20F18">
        <w:rPr>
          <w:rFonts w:ascii="FrankRuehl" w:eastAsia="Calibri" w:hAnsi="FrankRuehl" w:cs="FrankRuehl" w:hint="cs"/>
          <w:sz w:val="28"/>
          <w:szCs w:val="28"/>
          <w:rtl/>
        </w:rPr>
        <w:t xml:space="preserve">עבירות נוספות (ראו: </w:t>
      </w:r>
      <w:hyperlink r:id="rId20" w:history="1">
        <w:r w:rsidR="00541762" w:rsidRPr="00541762">
          <w:rPr>
            <w:rFonts w:ascii="FrankRuehl" w:eastAsia="Calibri" w:hAnsi="FrankRuehl" w:cs="FrankRuehl"/>
            <w:color w:val="0000FF"/>
            <w:sz w:val="28"/>
            <w:szCs w:val="28"/>
            <w:u w:val="single"/>
            <w:rtl/>
          </w:rPr>
          <w:t>ע"פ 5330/20</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ענבתאוי נ' מדינת ישראל</w:t>
      </w:r>
      <w:r w:rsidRPr="00B20F18">
        <w:rPr>
          <w:rFonts w:ascii="FrankRuehl" w:eastAsia="Calibri" w:hAnsi="FrankRuehl" w:cs="FrankRuehl" w:hint="cs"/>
          <w:sz w:val="28"/>
          <w:szCs w:val="28"/>
          <w:rtl/>
        </w:rPr>
        <w:t xml:space="preserve"> (פורסם בנבו, 22.11.20); </w:t>
      </w:r>
      <w:hyperlink r:id="rId21" w:history="1">
        <w:r w:rsidR="00541762" w:rsidRPr="00541762">
          <w:rPr>
            <w:rFonts w:ascii="FrankRuehl" w:eastAsia="Calibri" w:hAnsi="FrankRuehl" w:cs="FrankRuehl"/>
            <w:color w:val="0000FF"/>
            <w:sz w:val="28"/>
            <w:szCs w:val="28"/>
            <w:u w:val="single"/>
            <w:rtl/>
          </w:rPr>
          <w:t>ע"פ 4406/19</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מדינת ישראל נ' סובח</w:t>
      </w:r>
      <w:r w:rsidRPr="00B20F18">
        <w:rPr>
          <w:rFonts w:ascii="FrankRuehl" w:eastAsia="Calibri" w:hAnsi="FrankRuehl" w:cs="FrankRuehl" w:hint="cs"/>
          <w:sz w:val="28"/>
          <w:szCs w:val="28"/>
          <w:rtl/>
        </w:rPr>
        <w:t xml:space="preserve"> (פורסם בנבו, 5.11.19)).</w:t>
      </w:r>
      <w:r>
        <w:rPr>
          <w:rFonts w:ascii="FrankRuehl" w:eastAsia="Calibri" w:hAnsi="FrankRuehl" w:cs="FrankRuehl" w:hint="cs"/>
          <w:sz w:val="28"/>
          <w:szCs w:val="28"/>
          <w:rtl/>
        </w:rPr>
        <w:t xml:space="preserve"> </w:t>
      </w:r>
    </w:p>
    <w:p w14:paraId="68DE820E" w14:textId="77777777" w:rsidR="00D04B87" w:rsidRPr="00B63610" w:rsidRDefault="00D04B87" w:rsidP="00D04B87">
      <w:pPr>
        <w:spacing w:after="160" w:line="360" w:lineRule="auto"/>
        <w:jc w:val="both"/>
        <w:rPr>
          <w:rFonts w:ascii="FrankRuehl" w:eastAsia="Calibri" w:hAnsi="FrankRuehl" w:cs="FrankRuehl"/>
          <w:sz w:val="28"/>
          <w:szCs w:val="28"/>
          <w:rtl/>
        </w:rPr>
      </w:pPr>
    </w:p>
    <w:p w14:paraId="3B3034DE" w14:textId="77777777" w:rsidR="00D04B87" w:rsidRDefault="00D04B87" w:rsidP="00D04B87">
      <w:pPr>
        <w:spacing w:after="160" w:line="360" w:lineRule="auto"/>
        <w:jc w:val="both"/>
        <w:rPr>
          <w:rFonts w:ascii="FrankRuehl" w:eastAsia="Calibri" w:hAnsi="FrankRuehl" w:cs="FrankRuehl"/>
          <w:sz w:val="28"/>
          <w:szCs w:val="28"/>
          <w:rtl/>
        </w:rPr>
      </w:pPr>
      <w:r w:rsidRPr="00B20F18">
        <w:rPr>
          <w:rFonts w:ascii="FrankRuehl" w:eastAsia="Calibri" w:hAnsi="FrankRuehl" w:cs="FrankRuehl" w:hint="cs"/>
          <w:sz w:val="28"/>
          <w:szCs w:val="28"/>
          <w:rtl/>
        </w:rPr>
        <w:t>1</w:t>
      </w:r>
      <w:r>
        <w:rPr>
          <w:rFonts w:ascii="FrankRuehl" w:eastAsia="Calibri" w:hAnsi="FrankRuehl" w:cs="FrankRuehl" w:hint="cs"/>
          <w:sz w:val="28"/>
          <w:szCs w:val="28"/>
          <w:rtl/>
        </w:rPr>
        <w:t>6</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r>
      <w:r>
        <w:rPr>
          <w:rFonts w:ascii="FrankRuehl" w:eastAsia="Calibri" w:hAnsi="FrankRuehl" w:cs="FrankRuehl" w:hint="cs"/>
          <w:sz w:val="28"/>
          <w:szCs w:val="28"/>
          <w:rtl/>
        </w:rPr>
        <w:t>בצדק נטען, כי המחוקק אף ראה לנכון לעגן מגמת החמרה זו בחקיקה, כשבמסגרת תיקון החוק (</w:t>
      </w:r>
      <w:hyperlink r:id="rId22" w:history="1">
        <w:r w:rsidR="00541762" w:rsidRPr="00541762">
          <w:rPr>
            <w:rFonts w:ascii="FrankRuehl" w:eastAsia="Calibri" w:hAnsi="FrankRuehl" w:cs="FrankRuehl"/>
            <w:color w:val="0000FF"/>
            <w:sz w:val="28"/>
            <w:szCs w:val="28"/>
            <w:u w:val="single"/>
            <w:rtl/>
          </w:rPr>
          <w:t>חוק העונשין</w:t>
        </w:r>
      </w:hyperlink>
      <w:r>
        <w:rPr>
          <w:rFonts w:ascii="FrankRuehl" w:eastAsia="Calibri" w:hAnsi="FrankRuehl" w:cs="FrankRuehl" w:hint="cs"/>
          <w:sz w:val="28"/>
          <w:szCs w:val="28"/>
          <w:rtl/>
        </w:rPr>
        <w:t xml:space="preserve"> (תיקון מס' 140 </w:t>
      </w:r>
      <w:r>
        <w:rPr>
          <w:rFonts w:ascii="FrankRuehl" w:eastAsia="Calibri" w:hAnsi="FrankRuehl" w:cs="FrankRuehl"/>
          <w:sz w:val="28"/>
          <w:szCs w:val="28"/>
          <w:rtl/>
        </w:rPr>
        <w:t>–</w:t>
      </w:r>
      <w:r>
        <w:rPr>
          <w:rFonts w:ascii="FrankRuehl" w:eastAsia="Calibri" w:hAnsi="FrankRuehl" w:cs="FrankRuehl" w:hint="cs"/>
          <w:sz w:val="28"/>
          <w:szCs w:val="28"/>
          <w:rtl/>
        </w:rPr>
        <w:t xml:space="preserve"> הוראת שעה), התשפ"ב-2021, נ</w:t>
      </w:r>
      <w:r w:rsidRPr="00B20F18">
        <w:rPr>
          <w:rFonts w:ascii="FrankRuehl" w:eastAsia="Calibri" w:hAnsi="FrankRuehl" w:cs="FrankRuehl" w:hint="cs"/>
          <w:sz w:val="28"/>
          <w:szCs w:val="28"/>
          <w:rtl/>
        </w:rPr>
        <w:t>קבע עונש מינימום של רבע מהעונש המרבי, למי שהורשע בעבירות של החזקה, נשיאה וסחר בנשק</w:t>
      </w: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 xml:space="preserve">לפי דברי ההסבר לתיקון, התיקון לחוק </w:t>
      </w:r>
      <w:r>
        <w:rPr>
          <w:rFonts w:ascii="FrankRuehl" w:eastAsia="Calibri" w:hAnsi="FrankRuehl" w:cs="FrankRuehl" w:hint="cs"/>
          <w:sz w:val="28"/>
          <w:szCs w:val="28"/>
          <w:rtl/>
        </w:rPr>
        <w:t xml:space="preserve">נעשה </w:t>
      </w:r>
      <w:r w:rsidRPr="00B20F18">
        <w:rPr>
          <w:rFonts w:ascii="FrankRuehl" w:eastAsia="Calibri" w:hAnsi="FrankRuehl" w:cs="FrankRuehl" w:hint="cs"/>
          <w:sz w:val="28"/>
          <w:szCs w:val="28"/>
          <w:rtl/>
        </w:rPr>
        <w:t xml:space="preserve">נוכח התפשטות ההתחמשות של קבוצות גדולות באוכלוסייה בנשק בלתי חוקי, ייחודיות התופעה והשלכותיה החמורות, ובפרט המחיר שהיא גובה בחיי אדם. ברי כי </w:t>
      </w:r>
      <w:r>
        <w:rPr>
          <w:rFonts w:ascii="FrankRuehl" w:eastAsia="Calibri" w:hAnsi="FrankRuehl" w:cs="FrankRuehl" w:hint="cs"/>
          <w:sz w:val="28"/>
          <w:szCs w:val="28"/>
          <w:rtl/>
        </w:rPr>
        <w:t xml:space="preserve">תיקון </w:t>
      </w:r>
      <w:r w:rsidRPr="00B20F18">
        <w:rPr>
          <w:rFonts w:ascii="FrankRuehl" w:eastAsia="Calibri" w:hAnsi="FrankRuehl" w:cs="FrankRuehl" w:hint="cs"/>
          <w:sz w:val="28"/>
          <w:szCs w:val="28"/>
          <w:rtl/>
        </w:rPr>
        <w:t>זה אינו חל על הנאשם, אולם יש בו כדי ללמד על משנה החשיבות שהודגש זה מכבר בפסיקה, כי יש לתת משקל רב לאינטרס הציבורי ולשיקולי ההרתעה על פני נסיבותיו של הנאשם</w:t>
      </w:r>
      <w:r>
        <w:rPr>
          <w:rFonts w:ascii="FrankRuehl" w:eastAsia="Calibri" w:hAnsi="FrankRuehl" w:cs="FrankRuehl" w:hint="cs"/>
          <w:sz w:val="28"/>
          <w:szCs w:val="28"/>
          <w:rtl/>
        </w:rPr>
        <w:t xml:space="preserve"> בקביעת העונש בעבירות אלו</w:t>
      </w:r>
      <w:r w:rsidRPr="00B20F18">
        <w:rPr>
          <w:rFonts w:ascii="FrankRuehl" w:eastAsia="Calibri" w:hAnsi="FrankRuehl" w:cs="FrankRuehl" w:hint="cs"/>
          <w:sz w:val="28"/>
          <w:szCs w:val="28"/>
          <w:rtl/>
        </w:rPr>
        <w:t xml:space="preserve"> (ראו: </w:t>
      </w:r>
      <w:hyperlink r:id="rId23" w:history="1">
        <w:r w:rsidR="00541762" w:rsidRPr="00541762">
          <w:rPr>
            <w:rFonts w:ascii="FrankRuehl" w:eastAsia="Calibri" w:hAnsi="FrankRuehl" w:cs="FrankRuehl"/>
            <w:color w:val="0000FF"/>
            <w:sz w:val="28"/>
            <w:szCs w:val="28"/>
            <w:u w:val="single"/>
            <w:rtl/>
          </w:rPr>
          <w:t>ע"פ 2761/21</w:t>
        </w:r>
      </w:hyperlink>
      <w:r w:rsidRPr="00B20F18">
        <w:rPr>
          <w:rFonts w:ascii="FrankRuehl" w:eastAsia="Calibri" w:hAnsi="FrankRuehl" w:cs="FrankRuehl" w:hint="cs"/>
          <w:sz w:val="28"/>
          <w:szCs w:val="28"/>
          <w:rtl/>
        </w:rPr>
        <w:t xml:space="preserve"> בעניין </w:t>
      </w:r>
      <w:r w:rsidRPr="00B20F18">
        <w:rPr>
          <w:rFonts w:ascii="FrankRuehl" w:eastAsia="Calibri" w:hAnsi="FrankRuehl" w:cs="FrankRuehl" w:hint="cs"/>
          <w:b/>
          <w:bCs/>
          <w:sz w:val="28"/>
          <w:szCs w:val="28"/>
          <w:rtl/>
        </w:rPr>
        <w:t>עואלי</w:t>
      </w:r>
      <w:r>
        <w:rPr>
          <w:rFonts w:ascii="FrankRuehl" w:eastAsia="Calibri" w:hAnsi="FrankRuehl" w:cs="FrankRuehl" w:hint="cs"/>
          <w:sz w:val="28"/>
          <w:szCs w:val="28"/>
          <w:rtl/>
        </w:rPr>
        <w:t xml:space="preserve">; </w:t>
      </w:r>
      <w:hyperlink r:id="rId24" w:history="1">
        <w:r w:rsidR="00541762" w:rsidRPr="00541762">
          <w:rPr>
            <w:rFonts w:ascii="FrankRuehl" w:eastAsia="Calibri" w:hAnsi="FrankRuehl" w:cs="FrankRuehl"/>
            <w:color w:val="0000FF"/>
            <w:sz w:val="28"/>
            <w:szCs w:val="28"/>
            <w:u w:val="single"/>
            <w:rtl/>
          </w:rPr>
          <w:t>ע"פ 2251/21</w:t>
        </w:r>
      </w:hyperlink>
      <w:r>
        <w:rPr>
          <w:rFonts w:ascii="FrankRuehl" w:eastAsia="Calibri" w:hAnsi="FrankRuehl" w:cs="FrankRuehl" w:hint="cs"/>
          <w:sz w:val="28"/>
          <w:szCs w:val="28"/>
          <w:rtl/>
        </w:rPr>
        <w:t xml:space="preserve"> בעניין </w:t>
      </w:r>
      <w:r w:rsidRPr="004D05DE">
        <w:rPr>
          <w:rFonts w:ascii="FrankRuehl" w:eastAsia="Calibri" w:hAnsi="FrankRuehl" w:cs="FrankRuehl" w:hint="cs"/>
          <w:b/>
          <w:bCs/>
          <w:sz w:val="28"/>
          <w:szCs w:val="28"/>
          <w:rtl/>
        </w:rPr>
        <w:t>אבו עראר</w:t>
      </w:r>
      <w:r w:rsidRPr="00B20F18">
        <w:rPr>
          <w:rFonts w:ascii="FrankRuehl" w:eastAsia="Calibri" w:hAnsi="FrankRuehl" w:cs="FrankRuehl" w:hint="cs"/>
          <w:sz w:val="28"/>
          <w:szCs w:val="28"/>
          <w:rtl/>
        </w:rPr>
        <w:t>).</w:t>
      </w:r>
    </w:p>
    <w:p w14:paraId="43690410"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17.</w:t>
      </w:r>
      <w:r>
        <w:rPr>
          <w:rFonts w:ascii="FrankRuehl" w:eastAsia="Calibri" w:hAnsi="FrankRuehl" w:cs="FrankRuehl" w:hint="cs"/>
          <w:sz w:val="28"/>
          <w:szCs w:val="28"/>
          <w:rtl/>
        </w:rPr>
        <w:tab/>
      </w:r>
      <w:r w:rsidRPr="00B20F18">
        <w:rPr>
          <w:rFonts w:ascii="FrankRuehl" w:eastAsia="Calibri" w:hAnsi="FrankRuehl" w:cs="FrankRuehl" w:hint="cs"/>
          <w:sz w:val="28"/>
          <w:szCs w:val="28"/>
          <w:rtl/>
        </w:rPr>
        <w:t xml:space="preserve">אשר לנסיבות ביצוע העבירה, לזכותו של הנאשם עומדת כאמור העובדה כי הוא לא עשה שימוש בנשק על מנת להוכיח את תקינותו וכן כי הוא לא מסר תחמושת לסוכן. ברם </w:t>
      </w:r>
      <w:r>
        <w:rPr>
          <w:rFonts w:ascii="FrankRuehl" w:eastAsia="Calibri" w:hAnsi="FrankRuehl" w:cs="FrankRuehl" w:hint="cs"/>
          <w:sz w:val="28"/>
          <w:szCs w:val="28"/>
          <w:rtl/>
        </w:rPr>
        <w:t xml:space="preserve">מדובר בנסיבה לקולא </w:t>
      </w:r>
      <w:r w:rsidRPr="00B20F18">
        <w:rPr>
          <w:rFonts w:ascii="FrankRuehl" w:eastAsia="Calibri" w:hAnsi="FrankRuehl" w:cs="FrankRuehl" w:hint="cs"/>
          <w:sz w:val="28"/>
          <w:szCs w:val="28"/>
          <w:rtl/>
        </w:rPr>
        <w:t>מוגבל</w:t>
      </w:r>
      <w:r>
        <w:rPr>
          <w:rFonts w:ascii="FrankRuehl" w:eastAsia="Calibri" w:hAnsi="FrankRuehl" w:cs="FrankRuehl" w:hint="cs"/>
          <w:sz w:val="28"/>
          <w:szCs w:val="28"/>
          <w:rtl/>
        </w:rPr>
        <w:t>ת</w:t>
      </w:r>
      <w:r w:rsidRPr="00B20F18">
        <w:rPr>
          <w:rFonts w:ascii="FrankRuehl" w:eastAsia="Calibri" w:hAnsi="FrankRuehl" w:cs="FrankRuehl" w:hint="cs"/>
          <w:sz w:val="28"/>
          <w:szCs w:val="28"/>
          <w:rtl/>
        </w:rPr>
        <w:t xml:space="preserve"> ומצומצ</w:t>
      </w:r>
      <w:r>
        <w:rPr>
          <w:rFonts w:ascii="FrankRuehl" w:eastAsia="Calibri" w:hAnsi="FrankRuehl" w:cs="FrankRuehl" w:hint="cs"/>
          <w:sz w:val="28"/>
          <w:szCs w:val="28"/>
          <w:rtl/>
        </w:rPr>
        <w:t>מת</w:t>
      </w:r>
      <w:r w:rsidRPr="00B20F18">
        <w:rPr>
          <w:rFonts w:ascii="FrankRuehl" w:eastAsia="Calibri" w:hAnsi="FrankRuehl" w:cs="FrankRuehl" w:hint="cs"/>
          <w:sz w:val="28"/>
          <w:szCs w:val="28"/>
          <w:rtl/>
        </w:rPr>
        <w:t xml:space="preserve">, עקב תכנונו של הנאשם למסור לסוכן כדורים, אותם למזלו הטוב הוא לא מצא. </w:t>
      </w:r>
    </w:p>
    <w:p w14:paraId="2ECDA45E" w14:textId="77777777" w:rsidR="00D04B87" w:rsidRPr="00B20F18" w:rsidRDefault="00D04B87" w:rsidP="00D04B87">
      <w:pPr>
        <w:spacing w:after="160" w:line="360" w:lineRule="auto"/>
        <w:jc w:val="both"/>
        <w:rPr>
          <w:rFonts w:ascii="FrankRuehl" w:eastAsia="Calibri" w:hAnsi="FrankRuehl" w:cs="FrankRuehl"/>
          <w:sz w:val="28"/>
          <w:szCs w:val="28"/>
          <w:rtl/>
        </w:rPr>
      </w:pPr>
      <w:r w:rsidRPr="00B20F18">
        <w:rPr>
          <w:rFonts w:ascii="FrankRuehl" w:eastAsia="Calibri" w:hAnsi="FrankRuehl" w:cs="FrankRuehl" w:hint="cs"/>
          <w:sz w:val="28"/>
          <w:szCs w:val="28"/>
          <w:rtl/>
        </w:rPr>
        <w:t>1</w:t>
      </w:r>
      <w:r>
        <w:rPr>
          <w:rFonts w:ascii="FrankRuehl" w:eastAsia="Calibri" w:hAnsi="FrankRuehl" w:cs="FrankRuehl" w:hint="cs"/>
          <w:sz w:val="28"/>
          <w:szCs w:val="28"/>
          <w:rtl/>
        </w:rPr>
        <w:t>8</w:t>
      </w:r>
      <w:r w:rsidRPr="00B20F18">
        <w:rPr>
          <w:rFonts w:ascii="FrankRuehl" w:eastAsia="Calibri" w:hAnsi="FrankRuehl" w:cs="FrankRuehl" w:hint="cs"/>
          <w:sz w:val="28"/>
          <w:szCs w:val="28"/>
          <w:rtl/>
        </w:rPr>
        <w:t>.</w:t>
      </w:r>
      <w:r w:rsidRPr="00B20F18">
        <w:rPr>
          <w:rFonts w:ascii="FrankRuehl" w:eastAsia="Calibri" w:hAnsi="FrankRuehl" w:cs="FrankRuehl" w:hint="cs"/>
          <w:sz w:val="28"/>
          <w:szCs w:val="28"/>
          <w:rtl/>
        </w:rPr>
        <w:tab/>
        <w:t>בחינת מדיניות הענישה הנוהגת מעלה כי במקרים דומים הוטלו על נאשמים עונשי מאסר בפועל לתקופות משתנות, כפי שיפורט להלן:</w:t>
      </w:r>
    </w:p>
    <w:p w14:paraId="222779B9"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ב</w:t>
      </w:r>
      <w:hyperlink r:id="rId25" w:history="1">
        <w:r w:rsidR="00541762" w:rsidRPr="00541762">
          <w:rPr>
            <w:rFonts w:ascii="FrankRuehl" w:eastAsia="Calibri" w:hAnsi="FrankRuehl" w:cs="FrankRuehl"/>
            <w:color w:val="0000FF"/>
            <w:sz w:val="28"/>
            <w:szCs w:val="28"/>
            <w:u w:val="single"/>
            <w:rtl/>
          </w:rPr>
          <w:t>ע"פ 500/21</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פלוני נ' מדינת ישראל</w:t>
      </w:r>
      <w:r>
        <w:rPr>
          <w:rFonts w:ascii="FrankRuehl" w:eastAsia="Calibri" w:hAnsi="FrankRuehl" w:cs="FrankRuehl" w:hint="cs"/>
          <w:b/>
          <w:bCs/>
          <w:sz w:val="28"/>
          <w:szCs w:val="28"/>
          <w:rtl/>
        </w:rPr>
        <w:t xml:space="preserve"> </w:t>
      </w:r>
      <w:r>
        <w:rPr>
          <w:rFonts w:ascii="FrankRuehl" w:eastAsia="Calibri" w:hAnsi="FrankRuehl" w:cs="FrankRuehl" w:hint="cs"/>
          <w:sz w:val="28"/>
          <w:szCs w:val="28"/>
          <w:rtl/>
        </w:rPr>
        <w:t>(פורסם בנבו, 31.5.21)</w:t>
      </w:r>
      <w:r w:rsidRPr="00B20F18">
        <w:rPr>
          <w:rFonts w:ascii="FrankRuehl" w:eastAsia="Calibri" w:hAnsi="FrankRuehl" w:cs="FrankRuehl" w:hint="cs"/>
          <w:sz w:val="28"/>
          <w:szCs w:val="28"/>
          <w:rtl/>
        </w:rPr>
        <w:t xml:space="preserve">, נידון ערעורו של נאשם בשתי עבירות של סחר בנשק לסוכן משטרתי אשר בדומה לענייננו, פנה אליו מיוזמתו. בית המשפט המחוזי בחיפה הטיל על הנאשם עונש מאסר בפועל של 50 חודשים, וערעור על חומרת גזר הדין נדחה. </w:t>
      </w:r>
    </w:p>
    <w:p w14:paraId="5F75844C"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 ב</w:t>
      </w:r>
      <w:hyperlink r:id="rId26" w:history="1">
        <w:r w:rsidR="00541762" w:rsidRPr="00541762">
          <w:rPr>
            <w:rFonts w:ascii="FrankRuehl" w:eastAsia="Calibri" w:hAnsi="FrankRuehl" w:cs="FrankRuehl"/>
            <w:color w:val="0000FF"/>
            <w:sz w:val="28"/>
            <w:szCs w:val="28"/>
            <w:u w:val="single"/>
            <w:rtl/>
          </w:rPr>
          <w:t>ת"פ (מחוזי-י-ם) 58524-11-19</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מדינת ישראל נ' עודה</w:t>
      </w:r>
      <w:r>
        <w:rPr>
          <w:rFonts w:ascii="FrankRuehl" w:eastAsia="Calibri" w:hAnsi="FrankRuehl" w:cs="FrankRuehl" w:hint="cs"/>
          <w:sz w:val="28"/>
          <w:szCs w:val="28"/>
          <w:rtl/>
        </w:rPr>
        <w:t xml:space="preserve"> </w:t>
      </w:r>
      <w:r w:rsidRPr="001F38A6">
        <w:rPr>
          <w:rFonts w:ascii="FrankRuehl" w:eastAsia="Calibri" w:hAnsi="FrankRuehl" w:cs="FrankRuehl" w:hint="cs"/>
          <w:sz w:val="28"/>
          <w:szCs w:val="28"/>
          <w:rtl/>
        </w:rPr>
        <w:t>(</w:t>
      </w:r>
      <w:r>
        <w:rPr>
          <w:rFonts w:ascii="FrankRuehl" w:eastAsia="Calibri" w:hAnsi="FrankRuehl" w:cs="FrankRuehl" w:hint="cs"/>
          <w:sz w:val="28"/>
          <w:szCs w:val="28"/>
          <w:rtl/>
        </w:rPr>
        <w:t>פורסם בנבו, 2.12.2020)</w:t>
      </w:r>
      <w:r w:rsidRPr="00B20F18">
        <w:rPr>
          <w:rFonts w:ascii="FrankRuehl" w:eastAsia="Calibri" w:hAnsi="FrankRuehl" w:cs="FrankRuehl" w:hint="cs"/>
          <w:sz w:val="28"/>
          <w:szCs w:val="28"/>
          <w:rtl/>
        </w:rPr>
        <w:t xml:space="preserve"> נקבע מתחם </w:t>
      </w:r>
      <w:r>
        <w:rPr>
          <w:rFonts w:ascii="FrankRuehl" w:eastAsia="Calibri" w:hAnsi="FrankRuehl" w:cs="FrankRuehl" w:hint="cs"/>
          <w:sz w:val="28"/>
          <w:szCs w:val="28"/>
          <w:rtl/>
        </w:rPr>
        <w:t>ש</w:t>
      </w:r>
      <w:r w:rsidRPr="00B20F18">
        <w:rPr>
          <w:rFonts w:ascii="FrankRuehl" w:eastAsia="Calibri" w:hAnsi="FrankRuehl" w:cs="FrankRuehl" w:hint="cs"/>
          <w:sz w:val="28"/>
          <w:szCs w:val="28"/>
          <w:rtl/>
        </w:rPr>
        <w:t>נע בין 20-40 חודש</w:t>
      </w: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לגבי עבירת ס</w:t>
      </w:r>
      <w:r>
        <w:rPr>
          <w:rFonts w:ascii="FrankRuehl" w:eastAsia="Calibri" w:hAnsi="FrankRuehl" w:cs="FrankRuehl" w:hint="cs"/>
          <w:sz w:val="28"/>
          <w:szCs w:val="28"/>
          <w:rtl/>
        </w:rPr>
        <w:t>חר בודד באקדח שנמכר לסוכן משטרה</w:t>
      </w:r>
      <w:r w:rsidRPr="00B20F18">
        <w:rPr>
          <w:rFonts w:ascii="FrankRuehl" w:eastAsia="Calibri" w:hAnsi="FrankRuehl" w:cs="FrankRuehl" w:hint="cs"/>
          <w:sz w:val="28"/>
          <w:szCs w:val="28"/>
          <w:rtl/>
        </w:rPr>
        <w:t xml:space="preserve">. </w:t>
      </w:r>
      <w:r>
        <w:rPr>
          <w:rFonts w:ascii="FrankRuehl" w:eastAsia="Calibri" w:hAnsi="FrankRuehl" w:cs="FrankRuehl" w:hint="cs"/>
          <w:sz w:val="28"/>
          <w:szCs w:val="28"/>
          <w:rtl/>
        </w:rPr>
        <w:t xml:space="preserve">המתחם נקבע רק לעבירת הנשק ולא לעבירות הסחר בסמים שהנאשם באותו עניין הורשע בהן, ואין אפוא מקום לטענת הסניגור בעניין זה. </w:t>
      </w:r>
      <w:r w:rsidRPr="00B20F18">
        <w:rPr>
          <w:rFonts w:ascii="FrankRuehl" w:eastAsia="Calibri" w:hAnsi="FrankRuehl" w:cs="FrankRuehl" w:hint="cs"/>
          <w:sz w:val="28"/>
          <w:szCs w:val="28"/>
          <w:rtl/>
        </w:rPr>
        <w:t xml:space="preserve">גם </w:t>
      </w:r>
      <w:r>
        <w:rPr>
          <w:rFonts w:ascii="FrankRuehl" w:eastAsia="Calibri" w:hAnsi="FrankRuehl" w:cs="FrankRuehl" w:hint="cs"/>
          <w:sz w:val="28"/>
          <w:szCs w:val="28"/>
          <w:rtl/>
        </w:rPr>
        <w:t xml:space="preserve">הטענה </w:t>
      </w:r>
      <w:r w:rsidRPr="00B20F18">
        <w:rPr>
          <w:rFonts w:ascii="FrankRuehl" w:eastAsia="Calibri" w:hAnsi="FrankRuehl" w:cs="FrankRuehl" w:hint="cs"/>
          <w:sz w:val="28"/>
          <w:szCs w:val="28"/>
          <w:rtl/>
        </w:rPr>
        <w:t>כי באותו המקרה מדובר היה באקדח טעון כדורים בשונה מענייננו – אין</w:t>
      </w:r>
      <w:r>
        <w:rPr>
          <w:rFonts w:ascii="FrankRuehl" w:eastAsia="Calibri" w:hAnsi="FrankRuehl" w:cs="FrankRuehl" w:hint="cs"/>
          <w:sz w:val="28"/>
          <w:szCs w:val="28"/>
          <w:rtl/>
        </w:rPr>
        <w:t xml:space="preserve"> בה להועיל לנאשם, שכן כפי שעולה מעובדות כתב האישום, </w:t>
      </w:r>
      <w:r w:rsidRPr="00B20F18">
        <w:rPr>
          <w:rFonts w:ascii="FrankRuehl" w:eastAsia="Calibri" w:hAnsi="FrankRuehl" w:cs="FrankRuehl" w:hint="cs"/>
          <w:sz w:val="28"/>
          <w:szCs w:val="28"/>
          <w:rtl/>
        </w:rPr>
        <w:t xml:space="preserve">הנאשם </w:t>
      </w:r>
      <w:r>
        <w:rPr>
          <w:rFonts w:ascii="FrankRuehl" w:eastAsia="Calibri" w:hAnsi="FrankRuehl" w:cs="FrankRuehl" w:hint="cs"/>
          <w:sz w:val="28"/>
          <w:szCs w:val="28"/>
          <w:rtl/>
        </w:rPr>
        <w:t xml:space="preserve">ביקש למסור כדורים לסוכן, אך הוא לא </w:t>
      </w:r>
      <w:r w:rsidRPr="00B20F18">
        <w:rPr>
          <w:rFonts w:ascii="FrankRuehl" w:eastAsia="Calibri" w:hAnsi="FrankRuehl" w:cs="FrankRuehl" w:hint="cs"/>
          <w:sz w:val="28"/>
          <w:szCs w:val="28"/>
          <w:rtl/>
        </w:rPr>
        <w:t xml:space="preserve">מצא את </w:t>
      </w:r>
      <w:r>
        <w:rPr>
          <w:rFonts w:ascii="FrankRuehl" w:eastAsia="Calibri" w:hAnsi="FrankRuehl" w:cs="FrankRuehl" w:hint="cs"/>
          <w:sz w:val="28"/>
          <w:szCs w:val="28"/>
          <w:rtl/>
        </w:rPr>
        <w:t xml:space="preserve">הגרב בה הטמין אותם. </w:t>
      </w:r>
      <w:r w:rsidRPr="00B20F18">
        <w:rPr>
          <w:rFonts w:ascii="FrankRuehl" w:eastAsia="Calibri" w:hAnsi="FrankRuehl" w:cs="FrankRuehl" w:hint="cs"/>
          <w:sz w:val="28"/>
          <w:szCs w:val="28"/>
          <w:rtl/>
        </w:rPr>
        <w:t xml:space="preserve">יצוין כי </w:t>
      </w:r>
      <w:r>
        <w:rPr>
          <w:rFonts w:ascii="FrankRuehl" w:eastAsia="Calibri" w:hAnsi="FrankRuehl" w:cs="FrankRuehl" w:hint="cs"/>
          <w:sz w:val="28"/>
          <w:szCs w:val="28"/>
          <w:rtl/>
        </w:rPr>
        <w:t xml:space="preserve">גם באותו מקרה, </w:t>
      </w:r>
      <w:r w:rsidRPr="00B20F18">
        <w:rPr>
          <w:rFonts w:ascii="FrankRuehl" w:eastAsia="Calibri" w:hAnsi="FrankRuehl" w:cs="FrankRuehl" w:hint="cs"/>
          <w:sz w:val="28"/>
          <w:szCs w:val="28"/>
          <w:rtl/>
        </w:rPr>
        <w:t>מסר הנאשם לסוכן אקדח בלתי תקין, אף שהיה ניתן לבצע עמו ירי, וגם דבר זה נלקח בחשבון לצורך קביעת המתחם.</w:t>
      </w:r>
    </w:p>
    <w:p w14:paraId="3A614C80"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 ב</w:t>
      </w:r>
      <w:hyperlink r:id="rId27" w:history="1">
        <w:r w:rsidR="00541762" w:rsidRPr="00541762">
          <w:rPr>
            <w:rFonts w:ascii="FrankRuehl" w:eastAsia="Calibri" w:hAnsi="FrankRuehl" w:cs="FrankRuehl"/>
            <w:color w:val="0000FF"/>
            <w:sz w:val="28"/>
            <w:szCs w:val="28"/>
            <w:u w:val="single"/>
            <w:rtl/>
          </w:rPr>
          <w:t>ע"פ 2606/13</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חוסני נ' מדינת ישראל</w:t>
      </w:r>
      <w:r>
        <w:rPr>
          <w:rFonts w:ascii="FrankRuehl" w:eastAsia="Calibri" w:hAnsi="FrankRuehl" w:cs="FrankRuehl" w:hint="cs"/>
          <w:sz w:val="28"/>
          <w:szCs w:val="28"/>
          <w:rtl/>
        </w:rPr>
        <w:t xml:space="preserve"> (פורסם בנבו, 2.2.2014)</w:t>
      </w:r>
      <w:r w:rsidRPr="00B20F18">
        <w:rPr>
          <w:rFonts w:ascii="FrankRuehl" w:eastAsia="Calibri" w:hAnsi="FrankRuehl" w:cs="FrankRuehl" w:hint="cs"/>
          <w:sz w:val="28"/>
          <w:szCs w:val="28"/>
          <w:rtl/>
        </w:rPr>
        <w:t xml:space="preserve">, </w:t>
      </w:r>
      <w:r>
        <w:rPr>
          <w:rFonts w:ascii="FrankRuehl" w:eastAsia="Calibri" w:hAnsi="FrankRuehl" w:cs="FrankRuehl" w:hint="cs"/>
          <w:sz w:val="28"/>
          <w:szCs w:val="28"/>
          <w:rtl/>
        </w:rPr>
        <w:t xml:space="preserve">מדובר היה בנאשם שהורשע </w:t>
      </w:r>
      <w:r w:rsidRPr="00B20F18">
        <w:rPr>
          <w:rFonts w:ascii="FrankRuehl" w:eastAsia="Calibri" w:hAnsi="FrankRuehl" w:cs="FrankRuehl" w:hint="cs"/>
          <w:sz w:val="28"/>
          <w:szCs w:val="28"/>
          <w:rtl/>
        </w:rPr>
        <w:t xml:space="preserve">בשלושה אישומים. באישום הראשון, </w:t>
      </w:r>
      <w:r>
        <w:rPr>
          <w:rFonts w:ascii="FrankRuehl" w:eastAsia="Calibri" w:hAnsi="FrankRuehl" w:cs="FrankRuehl" w:hint="cs"/>
          <w:sz w:val="28"/>
          <w:szCs w:val="28"/>
          <w:rtl/>
        </w:rPr>
        <w:t xml:space="preserve">הוא הורשע </w:t>
      </w:r>
      <w:r w:rsidRPr="00B20F18">
        <w:rPr>
          <w:rFonts w:ascii="FrankRuehl" w:eastAsia="Calibri" w:hAnsi="FrankRuehl" w:cs="FrankRuehl" w:hint="cs"/>
          <w:sz w:val="28"/>
          <w:szCs w:val="28"/>
          <w:rtl/>
        </w:rPr>
        <w:t xml:space="preserve">בסחר בכדורי </w:t>
      </w:r>
      <w:r w:rsidRPr="00D04B87">
        <w:rPr>
          <w:rFonts w:eastAsia="Calibri" w:cs="Times New Roman"/>
          <w:sz w:val="22"/>
          <w:szCs w:val="22"/>
        </w:rPr>
        <w:t>M</w:t>
      </w:r>
      <w:r w:rsidRPr="00B20F18">
        <w:rPr>
          <w:rFonts w:ascii="FrankRuehl" w:eastAsia="Calibri" w:hAnsi="FrankRuehl" w:cs="FrankRuehl"/>
          <w:sz w:val="28"/>
          <w:szCs w:val="28"/>
        </w:rPr>
        <w:t>16</w:t>
      </w:r>
      <w:r w:rsidRPr="00B20F18">
        <w:rPr>
          <w:rFonts w:ascii="FrankRuehl" w:eastAsia="Calibri" w:hAnsi="FrankRuehl" w:cs="FrankRuehl" w:hint="cs"/>
          <w:sz w:val="28"/>
          <w:szCs w:val="28"/>
          <w:rtl/>
        </w:rPr>
        <w:t xml:space="preserve">. באישום השני, </w:t>
      </w:r>
      <w:r>
        <w:rPr>
          <w:rFonts w:ascii="FrankRuehl" w:eastAsia="Calibri" w:hAnsi="FrankRuehl" w:cs="FrankRuehl" w:hint="cs"/>
          <w:sz w:val="28"/>
          <w:szCs w:val="28"/>
          <w:rtl/>
        </w:rPr>
        <w:t xml:space="preserve">הוא </w:t>
      </w:r>
      <w:r w:rsidRPr="00B20F18">
        <w:rPr>
          <w:rFonts w:ascii="FrankRuehl" w:eastAsia="Calibri" w:hAnsi="FrankRuehl" w:cs="FrankRuehl" w:hint="cs"/>
          <w:sz w:val="28"/>
          <w:szCs w:val="28"/>
          <w:rtl/>
        </w:rPr>
        <w:t xml:space="preserve">הורשע בתיווך </w:t>
      </w:r>
      <w:r>
        <w:rPr>
          <w:rFonts w:ascii="FrankRuehl" w:eastAsia="Calibri" w:hAnsi="FrankRuehl" w:cs="FrankRuehl" w:hint="cs"/>
          <w:sz w:val="28"/>
          <w:szCs w:val="28"/>
          <w:rtl/>
        </w:rPr>
        <w:t>ל</w:t>
      </w:r>
      <w:r w:rsidRPr="00B20F18">
        <w:rPr>
          <w:rFonts w:ascii="FrankRuehl" w:eastAsia="Calibri" w:hAnsi="FrankRuehl" w:cs="FrankRuehl" w:hint="cs"/>
          <w:sz w:val="28"/>
          <w:szCs w:val="28"/>
          <w:rtl/>
        </w:rPr>
        <w:t xml:space="preserve">סחר באקדח, ובאישום השלישי </w:t>
      </w:r>
      <w:r>
        <w:rPr>
          <w:rFonts w:ascii="FrankRuehl" w:eastAsia="Calibri" w:hAnsi="FrankRuehl" w:cs="FrankRuehl" w:hint="cs"/>
          <w:sz w:val="28"/>
          <w:szCs w:val="28"/>
          <w:rtl/>
        </w:rPr>
        <w:t xml:space="preserve">הוא </w:t>
      </w:r>
      <w:r w:rsidRPr="00B20F18">
        <w:rPr>
          <w:rFonts w:ascii="FrankRuehl" w:eastAsia="Calibri" w:hAnsi="FrankRuehl" w:cs="FrankRuehl" w:hint="cs"/>
          <w:sz w:val="28"/>
          <w:szCs w:val="28"/>
          <w:rtl/>
        </w:rPr>
        <w:t xml:space="preserve">הורשע במכירת אקדח ללא תחמושת. </w:t>
      </w:r>
      <w:r>
        <w:rPr>
          <w:rFonts w:ascii="FrankRuehl" w:eastAsia="Calibri" w:hAnsi="FrankRuehl" w:cs="FrankRuehl" w:hint="cs"/>
          <w:sz w:val="28"/>
          <w:szCs w:val="28"/>
          <w:rtl/>
        </w:rPr>
        <w:t xml:space="preserve">הסחר היה בכל </w:t>
      </w:r>
      <w:r w:rsidRPr="00B20F18">
        <w:rPr>
          <w:rFonts w:ascii="FrankRuehl" w:eastAsia="Calibri" w:hAnsi="FrankRuehl" w:cs="FrankRuehl" w:hint="cs"/>
          <w:sz w:val="28"/>
          <w:szCs w:val="28"/>
          <w:rtl/>
        </w:rPr>
        <w:t>האישומים</w:t>
      </w: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לסוכן משטרה סמוי. בית המשפט המחוזי</w:t>
      </w:r>
      <w:r>
        <w:rPr>
          <w:rFonts w:ascii="FrankRuehl" w:eastAsia="Calibri" w:hAnsi="FrankRuehl" w:cs="FrankRuehl" w:hint="cs"/>
          <w:sz w:val="28"/>
          <w:szCs w:val="28"/>
          <w:rtl/>
        </w:rPr>
        <w:t xml:space="preserve"> בחיפה </w:t>
      </w:r>
      <w:r w:rsidRPr="00B20F18">
        <w:rPr>
          <w:rFonts w:ascii="FrankRuehl" w:eastAsia="Calibri" w:hAnsi="FrankRuehl" w:cs="FrankRuehl" w:hint="cs"/>
          <w:sz w:val="28"/>
          <w:szCs w:val="28"/>
          <w:rtl/>
        </w:rPr>
        <w:t xml:space="preserve">השית על הנאשם עונש של 45 חודשי מאסר בפועל, 12 חודשי מאסר על תנאי וקנס של 30,000 ₪. </w:t>
      </w:r>
      <w:r>
        <w:rPr>
          <w:rFonts w:ascii="FrankRuehl" w:eastAsia="Calibri" w:hAnsi="FrankRuehl" w:cs="FrankRuehl" w:hint="cs"/>
          <w:sz w:val="28"/>
          <w:szCs w:val="28"/>
          <w:rtl/>
        </w:rPr>
        <w:t>ובמסגרת ה</w:t>
      </w:r>
      <w:r w:rsidRPr="00B20F18">
        <w:rPr>
          <w:rFonts w:ascii="FrankRuehl" w:eastAsia="Calibri" w:hAnsi="FrankRuehl" w:cs="FrankRuehl" w:hint="cs"/>
          <w:sz w:val="28"/>
          <w:szCs w:val="28"/>
          <w:rtl/>
        </w:rPr>
        <w:t xml:space="preserve">ערעור, קבע בית המשפט העליון כי עונש של 45 חודשי מאסר נמצא במתחם הענישה. </w:t>
      </w:r>
      <w:r>
        <w:rPr>
          <w:rFonts w:ascii="FrankRuehl" w:eastAsia="Calibri" w:hAnsi="FrankRuehl" w:cs="FrankRuehl" w:hint="cs"/>
          <w:sz w:val="28"/>
          <w:szCs w:val="28"/>
          <w:rtl/>
        </w:rPr>
        <w:t>אכן, באותו מקרה מדובר היה בשלושה אישומים, אך בית המשפט המחוזי (</w:t>
      </w:r>
      <w:hyperlink r:id="rId28" w:history="1">
        <w:r w:rsidR="00541762" w:rsidRPr="00541762">
          <w:rPr>
            <w:rFonts w:ascii="FrankRuehl" w:eastAsia="Calibri" w:hAnsi="FrankRuehl" w:cs="FrankRuehl"/>
            <w:color w:val="0000FF"/>
            <w:sz w:val="28"/>
            <w:szCs w:val="28"/>
            <w:u w:val="single"/>
            <w:rtl/>
          </w:rPr>
          <w:t>ת"פ (מחוזי-חי') 40240-09-12</w:t>
        </w:r>
      </w:hyperlink>
      <w:r>
        <w:rPr>
          <w:rFonts w:ascii="FrankRuehl" w:eastAsia="Calibri" w:hAnsi="FrankRuehl" w:cs="FrankRuehl" w:hint="cs"/>
          <w:sz w:val="28"/>
          <w:szCs w:val="28"/>
          <w:rtl/>
        </w:rPr>
        <w:t xml:space="preserve"> </w:t>
      </w:r>
      <w:r>
        <w:rPr>
          <w:rFonts w:ascii="FrankRuehl" w:eastAsia="Calibri" w:hAnsi="FrankRuehl" w:cs="FrankRuehl" w:hint="cs"/>
          <w:b/>
          <w:bCs/>
          <w:sz w:val="28"/>
          <w:szCs w:val="28"/>
          <w:rtl/>
        </w:rPr>
        <w:t>מ</w:t>
      </w:r>
      <w:r w:rsidRPr="00BE6D67">
        <w:rPr>
          <w:rFonts w:ascii="FrankRuehl" w:eastAsia="Calibri" w:hAnsi="FrankRuehl" w:cs="FrankRuehl" w:hint="cs"/>
          <w:b/>
          <w:bCs/>
          <w:sz w:val="28"/>
          <w:szCs w:val="28"/>
          <w:rtl/>
        </w:rPr>
        <w:t>דינת ישראל</w:t>
      </w:r>
      <w:r>
        <w:rPr>
          <w:rFonts w:ascii="FrankRuehl" w:eastAsia="Calibri" w:hAnsi="FrankRuehl" w:cs="FrankRuehl" w:hint="cs"/>
          <w:b/>
          <w:bCs/>
          <w:sz w:val="28"/>
          <w:szCs w:val="28"/>
          <w:rtl/>
        </w:rPr>
        <w:t xml:space="preserve"> נ' בהא גנאיים</w:t>
      </w:r>
      <w:r>
        <w:rPr>
          <w:rFonts w:ascii="FrankRuehl" w:eastAsia="Calibri" w:hAnsi="FrankRuehl" w:cs="FrankRuehl" w:hint="cs"/>
          <w:sz w:val="28"/>
          <w:szCs w:val="28"/>
          <w:rtl/>
        </w:rPr>
        <w:t xml:space="preserve">, פורסם בנבו, 25.2.2013) קבע בגזר דינו, </w:t>
      </w:r>
      <w:r>
        <w:rPr>
          <w:rFonts w:ascii="FrankRuehl" w:eastAsia="Calibri" w:hAnsi="FrankRuehl" w:cs="FrankRuehl" w:hint="cs"/>
          <w:color w:val="000000"/>
          <w:sz w:val="28"/>
          <w:szCs w:val="28"/>
          <w:rtl/>
        </w:rPr>
        <w:t>כ</w:t>
      </w:r>
      <w:r w:rsidRPr="00B20F18">
        <w:rPr>
          <w:rFonts w:ascii="FrankRuehl" w:eastAsia="Calibri" w:hAnsi="FrankRuehl" w:cs="FrankRuehl" w:hint="cs"/>
          <w:color w:val="000000"/>
          <w:sz w:val="28"/>
          <w:szCs w:val="28"/>
          <w:rtl/>
        </w:rPr>
        <w:t>י מתחם הע</w:t>
      </w:r>
      <w:r>
        <w:rPr>
          <w:rFonts w:ascii="FrankRuehl" w:eastAsia="Calibri" w:hAnsi="FrankRuehl" w:cs="FrankRuehl" w:hint="cs"/>
          <w:color w:val="000000"/>
          <w:sz w:val="28"/>
          <w:szCs w:val="28"/>
          <w:rtl/>
        </w:rPr>
        <w:t>ונש</w:t>
      </w:r>
      <w:r w:rsidRPr="00B20F18">
        <w:rPr>
          <w:rFonts w:ascii="FrankRuehl" w:eastAsia="Calibri" w:hAnsi="FrankRuehl" w:cs="FrankRuehl" w:hint="cs"/>
          <w:color w:val="000000"/>
          <w:sz w:val="28"/>
          <w:szCs w:val="28"/>
          <w:rtl/>
        </w:rPr>
        <w:t xml:space="preserve"> לאישום השלישי בלבד, שדומה לנסיבות </w:t>
      </w:r>
      <w:r w:rsidRPr="00B20F18">
        <w:rPr>
          <w:rFonts w:ascii="FrankRuehl" w:eastAsia="Calibri" w:hAnsi="FrankRuehl" w:cs="FrankRuehl" w:hint="cs"/>
          <w:sz w:val="28"/>
          <w:szCs w:val="28"/>
          <w:rtl/>
        </w:rPr>
        <w:t xml:space="preserve">האישום בענייננו, הינו 3 עד 7 שנות מאסר בפועל.  </w:t>
      </w:r>
    </w:p>
    <w:p w14:paraId="41C08BC3"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ב</w:t>
      </w:r>
      <w:hyperlink r:id="rId29" w:history="1">
        <w:r w:rsidR="00541762" w:rsidRPr="00541762">
          <w:rPr>
            <w:rFonts w:ascii="FrankRuehl" w:eastAsia="Calibri" w:hAnsi="FrankRuehl" w:cs="FrankRuehl"/>
            <w:color w:val="0000FF"/>
            <w:sz w:val="28"/>
            <w:szCs w:val="28"/>
            <w:u w:val="single"/>
            <w:rtl/>
          </w:rPr>
          <w:t>ת"פ (מחוזי-י-ם) 35608-04-18</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מדינת ישראל נ' יזן קורד</w:t>
      </w:r>
      <w:r w:rsidRPr="00B20F18">
        <w:rPr>
          <w:rFonts w:ascii="FrankRuehl" w:eastAsia="Calibri" w:hAnsi="FrankRuehl" w:cs="FrankRuehl" w:hint="cs"/>
          <w:sz w:val="28"/>
          <w:szCs w:val="28"/>
          <w:rtl/>
        </w:rPr>
        <w:t xml:space="preserve"> </w:t>
      </w:r>
      <w:r>
        <w:rPr>
          <w:rFonts w:ascii="FrankRuehl" w:eastAsia="Calibri" w:hAnsi="FrankRuehl" w:cs="FrankRuehl" w:hint="cs"/>
          <w:sz w:val="28"/>
          <w:szCs w:val="28"/>
          <w:rtl/>
        </w:rPr>
        <w:t xml:space="preserve">(פורסם בנבו, 28.2.2019) </w:t>
      </w:r>
      <w:r w:rsidRPr="00B20F18">
        <w:rPr>
          <w:rFonts w:ascii="FrankRuehl" w:eastAsia="Calibri" w:hAnsi="FrankRuehl" w:cs="FrankRuehl" w:hint="cs"/>
          <w:sz w:val="28"/>
          <w:szCs w:val="28"/>
          <w:rtl/>
        </w:rPr>
        <w:t>הוטלו על הנאשם 34 חודשי מאסר בפועל, 9 חודשי מאסר על תנאי וקנס של 10,000 ₪, בגין עסק</w:t>
      </w:r>
      <w:r>
        <w:rPr>
          <w:rFonts w:ascii="FrankRuehl" w:eastAsia="Calibri" w:hAnsi="FrankRuehl" w:cs="FrankRuehl" w:hint="cs"/>
          <w:sz w:val="28"/>
          <w:szCs w:val="28"/>
          <w:rtl/>
        </w:rPr>
        <w:t xml:space="preserve">ה לרכישת אקדח ועסקה לרכישת רובה </w:t>
      </w:r>
      <w:r w:rsidRPr="00D04B87">
        <w:rPr>
          <w:rFonts w:eastAsia="Calibri" w:cs="Times New Roman"/>
          <w:sz w:val="22"/>
          <w:szCs w:val="22"/>
        </w:rPr>
        <w:t>M</w:t>
      </w:r>
      <w:r w:rsidRPr="00B20F18">
        <w:rPr>
          <w:rFonts w:ascii="FrankRuehl" w:eastAsia="Calibri" w:hAnsi="FrankRuehl" w:cs="FrankRuehl" w:hint="cs"/>
          <w:sz w:val="28"/>
          <w:szCs w:val="28"/>
          <w:rtl/>
        </w:rPr>
        <w:t>16. ב</w:t>
      </w:r>
      <w:r>
        <w:rPr>
          <w:rFonts w:ascii="FrankRuehl" w:eastAsia="Calibri" w:hAnsi="FrankRuehl" w:cs="FrankRuehl" w:hint="cs"/>
          <w:sz w:val="28"/>
          <w:szCs w:val="28"/>
          <w:rtl/>
        </w:rPr>
        <w:t>אותו עניין נקבע כי המתחם עבור שתי העבירות נע מ</w:t>
      </w:r>
      <w:r w:rsidRPr="00B20F18">
        <w:rPr>
          <w:rFonts w:ascii="FrankRuehl" w:eastAsia="Calibri" w:hAnsi="FrankRuehl" w:cs="FrankRuehl" w:hint="cs"/>
          <w:sz w:val="28"/>
          <w:szCs w:val="28"/>
          <w:rtl/>
        </w:rPr>
        <w:t xml:space="preserve">שנתיים ועד שש שנות מאסר בפועל. </w:t>
      </w:r>
    </w:p>
    <w:p w14:paraId="12BE99B3"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ב</w:t>
      </w:r>
      <w:hyperlink r:id="rId30" w:history="1">
        <w:r w:rsidR="00541762" w:rsidRPr="00541762">
          <w:rPr>
            <w:rFonts w:ascii="FrankRuehl" w:eastAsia="Calibri" w:hAnsi="FrankRuehl" w:cs="FrankRuehl"/>
            <w:color w:val="0000FF"/>
            <w:sz w:val="28"/>
            <w:szCs w:val="28"/>
            <w:u w:val="single"/>
            <w:rtl/>
          </w:rPr>
          <w:t>ת"פ (מחוזי-י-ם) 66430-05-20</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מדינת ישראל נ' נסאר</w:t>
      </w:r>
      <w:r>
        <w:rPr>
          <w:rFonts w:ascii="FrankRuehl" w:eastAsia="Calibri" w:hAnsi="FrankRuehl" w:cs="FrankRuehl" w:hint="cs"/>
          <w:b/>
          <w:bCs/>
          <w:sz w:val="28"/>
          <w:szCs w:val="28"/>
          <w:rtl/>
        </w:rPr>
        <w:t xml:space="preserve"> </w:t>
      </w:r>
      <w:r>
        <w:rPr>
          <w:rFonts w:ascii="FrankRuehl" w:eastAsia="Calibri" w:hAnsi="FrankRuehl" w:cs="FrankRuehl" w:hint="cs"/>
          <w:sz w:val="28"/>
          <w:szCs w:val="28"/>
          <w:rtl/>
        </w:rPr>
        <w:t xml:space="preserve">(פורסם בנבו, 15.11.2020) הורשע </w:t>
      </w:r>
      <w:r w:rsidRPr="00B20F18">
        <w:rPr>
          <w:rFonts w:ascii="FrankRuehl" w:eastAsia="Calibri" w:hAnsi="FrankRuehl" w:cs="FrankRuehl" w:hint="cs"/>
          <w:sz w:val="28"/>
          <w:szCs w:val="28"/>
          <w:rtl/>
        </w:rPr>
        <w:t>נאשם על פי הודאתו במכירת אקדח ותחמושת. באותו עניין, נקבע מתחם שנע בין 20 ועד ל</w:t>
      </w:r>
      <w:r>
        <w:rPr>
          <w:rFonts w:ascii="FrankRuehl" w:eastAsia="Calibri" w:hAnsi="FrankRuehl" w:cs="FrankRuehl" w:hint="cs"/>
          <w:sz w:val="28"/>
          <w:szCs w:val="28"/>
          <w:rtl/>
        </w:rPr>
        <w:t>-</w:t>
      </w:r>
      <w:r w:rsidRPr="00B20F18">
        <w:rPr>
          <w:rFonts w:ascii="FrankRuehl" w:eastAsia="Calibri" w:hAnsi="FrankRuehl" w:cs="FrankRuehl" w:hint="cs"/>
          <w:sz w:val="28"/>
          <w:szCs w:val="28"/>
          <w:rtl/>
        </w:rPr>
        <w:t xml:space="preserve">40 חודשי מאסר בפועל, ועל הנאשם נגזרו 24 חודשי מאסר בפועל, לצד מאסר על תנאי וקנס בסך 5,000 ₪. </w:t>
      </w:r>
    </w:p>
    <w:p w14:paraId="351B240C"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ב</w:t>
      </w:r>
      <w:hyperlink r:id="rId31" w:history="1">
        <w:r w:rsidR="00541762" w:rsidRPr="00541762">
          <w:rPr>
            <w:rFonts w:ascii="FrankRuehl" w:eastAsia="Calibri" w:hAnsi="FrankRuehl" w:cs="FrankRuehl"/>
            <w:color w:val="0000FF"/>
            <w:sz w:val="28"/>
            <w:szCs w:val="28"/>
            <w:u w:val="single"/>
            <w:rtl/>
          </w:rPr>
          <w:t>ת"פ (מחוזי-י-ם) 56177-03-18</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מדינת ישראל נ' אלה</w:t>
      </w:r>
      <w:r>
        <w:rPr>
          <w:rFonts w:ascii="FrankRuehl" w:eastAsia="Calibri" w:hAnsi="FrankRuehl" w:cs="FrankRuehl" w:hint="cs"/>
          <w:b/>
          <w:bCs/>
          <w:sz w:val="28"/>
          <w:szCs w:val="28"/>
          <w:rtl/>
        </w:rPr>
        <w:t xml:space="preserve"> </w:t>
      </w:r>
      <w:r>
        <w:rPr>
          <w:rFonts w:ascii="FrankRuehl" w:eastAsia="Calibri" w:hAnsi="FrankRuehl" w:cs="FrankRuehl" w:hint="cs"/>
          <w:sz w:val="28"/>
          <w:szCs w:val="28"/>
          <w:rtl/>
        </w:rPr>
        <w:t>(פורסם בנבו, 29.4.2019)</w:t>
      </w:r>
      <w:r w:rsidRPr="00B20F18">
        <w:rPr>
          <w:rFonts w:ascii="FrankRuehl" w:eastAsia="Calibri" w:hAnsi="FrankRuehl" w:cs="FrankRuehl" w:hint="cs"/>
          <w:b/>
          <w:bCs/>
          <w:sz w:val="28"/>
          <w:szCs w:val="28"/>
          <w:rtl/>
        </w:rPr>
        <w:t xml:space="preserve"> </w:t>
      </w:r>
      <w:r w:rsidRPr="00B20F18">
        <w:rPr>
          <w:rFonts w:ascii="FrankRuehl" w:eastAsia="Calibri" w:hAnsi="FrankRuehl" w:cs="FrankRuehl" w:hint="cs"/>
          <w:sz w:val="28"/>
          <w:szCs w:val="28"/>
          <w:rtl/>
        </w:rPr>
        <w:t xml:space="preserve">נידון עונשו של נאשם שהורשע במסגרת הסדר טיעון במכירת אקדח ורובה. נקבע מתחם </w:t>
      </w:r>
      <w:r>
        <w:rPr>
          <w:rFonts w:ascii="FrankRuehl" w:eastAsia="Calibri" w:hAnsi="FrankRuehl" w:cs="FrankRuehl" w:hint="cs"/>
          <w:sz w:val="28"/>
          <w:szCs w:val="28"/>
          <w:rtl/>
        </w:rPr>
        <w:t xml:space="preserve">עונש </w:t>
      </w:r>
      <w:r w:rsidRPr="00B20F18">
        <w:rPr>
          <w:rFonts w:ascii="FrankRuehl" w:eastAsia="Calibri" w:hAnsi="FrankRuehl" w:cs="FrankRuehl" w:hint="cs"/>
          <w:sz w:val="28"/>
          <w:szCs w:val="28"/>
          <w:rtl/>
        </w:rPr>
        <w:t>עבור הרשעה בעבירה בודדת של סחר בנשק שנגעה למכירת אקדח שנע מ-20 עד 40 חודשי מאסר בפועל</w:t>
      </w:r>
      <w:r>
        <w:rPr>
          <w:rFonts w:ascii="FrankRuehl" w:eastAsia="Calibri" w:hAnsi="FrankRuehl" w:cs="FrankRuehl" w:hint="cs"/>
          <w:sz w:val="28"/>
          <w:szCs w:val="28"/>
          <w:rtl/>
        </w:rPr>
        <w:t xml:space="preserve">, זאת </w:t>
      </w:r>
      <w:r w:rsidRPr="00B20F18">
        <w:rPr>
          <w:rFonts w:ascii="FrankRuehl" w:eastAsia="Calibri" w:hAnsi="FrankRuehl" w:cs="FrankRuehl" w:hint="cs"/>
          <w:sz w:val="28"/>
          <w:szCs w:val="28"/>
          <w:rtl/>
        </w:rPr>
        <w:t xml:space="preserve">בעקבות פסק הדין </w:t>
      </w:r>
      <w:r>
        <w:rPr>
          <w:rFonts w:ascii="FrankRuehl" w:eastAsia="Calibri" w:hAnsi="FrankRuehl" w:cs="FrankRuehl" w:hint="cs"/>
          <w:sz w:val="28"/>
          <w:szCs w:val="28"/>
          <w:rtl/>
        </w:rPr>
        <w:t>ב</w:t>
      </w:r>
      <w:hyperlink r:id="rId32" w:history="1">
        <w:r w:rsidR="00541762" w:rsidRPr="00541762">
          <w:rPr>
            <w:rFonts w:ascii="FrankRuehl" w:eastAsia="Calibri" w:hAnsi="FrankRuehl" w:cs="FrankRuehl"/>
            <w:color w:val="0000FF"/>
            <w:sz w:val="28"/>
            <w:szCs w:val="28"/>
            <w:u w:val="single"/>
            <w:rtl/>
          </w:rPr>
          <w:t>ע"פ 8045/17</w:t>
        </w:r>
      </w:hyperlink>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 xml:space="preserve">בראנסי נ' מדינת ישראל </w:t>
      </w:r>
      <w:r w:rsidRPr="00B20F18">
        <w:rPr>
          <w:rFonts w:ascii="FrankRuehl" w:eastAsia="Calibri" w:hAnsi="FrankRuehl" w:cs="FrankRuehl" w:hint="cs"/>
          <w:sz w:val="28"/>
          <w:szCs w:val="28"/>
          <w:rtl/>
        </w:rPr>
        <w:t>(</w:t>
      </w:r>
      <w:r>
        <w:rPr>
          <w:rFonts w:ascii="FrankRuehl" w:eastAsia="Calibri" w:hAnsi="FrankRuehl" w:cs="FrankRuehl" w:hint="cs"/>
          <w:sz w:val="28"/>
          <w:szCs w:val="28"/>
          <w:rtl/>
        </w:rPr>
        <w:t xml:space="preserve">פורסם בנבו, </w:t>
      </w:r>
      <w:r w:rsidRPr="00B20F18">
        <w:rPr>
          <w:rFonts w:ascii="FrankRuehl" w:eastAsia="Calibri" w:hAnsi="FrankRuehl" w:cs="FrankRuehl" w:hint="cs"/>
          <w:sz w:val="28"/>
          <w:szCs w:val="28"/>
          <w:rtl/>
        </w:rPr>
        <w:t>16.</w:t>
      </w:r>
      <w:r>
        <w:rPr>
          <w:rFonts w:ascii="FrankRuehl" w:eastAsia="Calibri" w:hAnsi="FrankRuehl" w:cs="FrankRuehl" w:hint="cs"/>
          <w:sz w:val="28"/>
          <w:szCs w:val="28"/>
          <w:rtl/>
        </w:rPr>
        <w:t>0</w:t>
      </w:r>
      <w:r w:rsidRPr="00B20F18">
        <w:rPr>
          <w:rFonts w:ascii="FrankRuehl" w:eastAsia="Calibri" w:hAnsi="FrankRuehl" w:cs="FrankRuehl" w:hint="cs"/>
          <w:sz w:val="28"/>
          <w:szCs w:val="28"/>
          <w:rtl/>
        </w:rPr>
        <w:t>8.18)</w:t>
      </w: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על הנאשם נגזרו 33 חודשי מאסר בפועל בגין שתי העבירות.</w:t>
      </w:r>
    </w:p>
    <w:p w14:paraId="6D42A6CA"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 xml:space="preserve">- </w:t>
      </w:r>
      <w:r w:rsidRPr="00B20F18">
        <w:rPr>
          <w:rFonts w:ascii="FrankRuehl" w:eastAsia="Calibri" w:hAnsi="FrankRuehl" w:cs="FrankRuehl" w:hint="cs"/>
          <w:sz w:val="28"/>
          <w:szCs w:val="28"/>
          <w:rtl/>
        </w:rPr>
        <w:t>בת"פ 50551-03-18</w:t>
      </w:r>
      <w:r>
        <w:rPr>
          <w:rFonts w:ascii="FrankRuehl" w:eastAsia="Calibri" w:hAnsi="FrankRuehl" w:cs="FrankRuehl" w:hint="cs"/>
          <w:sz w:val="28"/>
          <w:szCs w:val="28"/>
          <w:rtl/>
        </w:rPr>
        <w:t>(מחוזי-י-ם )</w:t>
      </w:r>
      <w:r w:rsidRPr="00B20F18">
        <w:rPr>
          <w:rFonts w:ascii="FrankRuehl" w:eastAsia="Calibri" w:hAnsi="FrankRuehl" w:cs="FrankRuehl" w:hint="cs"/>
          <w:sz w:val="28"/>
          <w:szCs w:val="28"/>
          <w:rtl/>
        </w:rPr>
        <w:t xml:space="preserve"> </w:t>
      </w:r>
      <w:r w:rsidRPr="00B20F18">
        <w:rPr>
          <w:rFonts w:ascii="FrankRuehl" w:eastAsia="Calibri" w:hAnsi="FrankRuehl" w:cs="FrankRuehl" w:hint="cs"/>
          <w:b/>
          <w:bCs/>
          <w:sz w:val="28"/>
          <w:szCs w:val="28"/>
          <w:rtl/>
        </w:rPr>
        <w:t>מדינת ישראל נ' עג'אג'</w:t>
      </w:r>
      <w:r>
        <w:rPr>
          <w:rFonts w:ascii="FrankRuehl" w:eastAsia="Calibri" w:hAnsi="FrankRuehl" w:cs="FrankRuehl" w:hint="cs"/>
          <w:b/>
          <w:bCs/>
          <w:sz w:val="28"/>
          <w:szCs w:val="28"/>
          <w:rtl/>
        </w:rPr>
        <w:t xml:space="preserve"> </w:t>
      </w:r>
      <w:r>
        <w:rPr>
          <w:rFonts w:ascii="FrankRuehl" w:eastAsia="Calibri" w:hAnsi="FrankRuehl" w:cs="FrankRuehl" w:hint="cs"/>
          <w:sz w:val="28"/>
          <w:szCs w:val="28"/>
          <w:rtl/>
        </w:rPr>
        <w:t>(פורסם בנבו, 8.10.2018)</w:t>
      </w:r>
      <w:r w:rsidRPr="00B20F18">
        <w:rPr>
          <w:rFonts w:ascii="FrankRuehl" w:eastAsia="Calibri" w:hAnsi="FrankRuehl" w:cs="FrankRuehl" w:hint="cs"/>
          <w:sz w:val="28"/>
          <w:szCs w:val="28"/>
          <w:rtl/>
        </w:rPr>
        <w:t xml:space="preserve">, הורשע נאשם במכירת אקדח ותחמושת לסוכן משטרתי. גם באותו עניין, נקבע מתחם של 20 ועד 40 חודשי מאסר בפועל. נסיבות חייו של הנאשם, כמו גם במקרה שלפנינו, כללו עבר פלילי בעבירות שונות. בסופו של יום, גזר בית המשפט עונש של 22 חודשי מאסר בפועל, זאת בהתחשב בפגיעה במשפחתו </w:t>
      </w:r>
      <w:r>
        <w:rPr>
          <w:rFonts w:ascii="FrankRuehl" w:eastAsia="Calibri" w:hAnsi="FrankRuehl" w:cs="FrankRuehl" w:hint="cs"/>
          <w:sz w:val="28"/>
          <w:szCs w:val="28"/>
          <w:rtl/>
        </w:rPr>
        <w:t xml:space="preserve">של הנאשם </w:t>
      </w:r>
      <w:r w:rsidRPr="00B20F18">
        <w:rPr>
          <w:rFonts w:ascii="FrankRuehl" w:eastAsia="Calibri" w:hAnsi="FrankRuehl" w:cs="FrankRuehl" w:hint="cs"/>
          <w:sz w:val="28"/>
          <w:szCs w:val="28"/>
          <w:rtl/>
        </w:rPr>
        <w:t>כתוצאה מהמאסר, בכך שהוא לא היה נוכח בלידת בתו עקב המאסר, ובחרטה שהביע.</w:t>
      </w:r>
    </w:p>
    <w:p w14:paraId="310589B2" w14:textId="77777777" w:rsidR="00D04B87"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19.</w:t>
      </w:r>
      <w:r>
        <w:rPr>
          <w:rFonts w:ascii="FrankRuehl" w:eastAsia="Calibri" w:hAnsi="FrankRuehl" w:cs="FrankRuehl" w:hint="cs"/>
          <w:sz w:val="28"/>
          <w:szCs w:val="28"/>
          <w:rtl/>
        </w:rPr>
        <w:tab/>
      </w:r>
      <w:r w:rsidRPr="00B20F18">
        <w:rPr>
          <w:rFonts w:ascii="FrankRuehl" w:eastAsia="Calibri" w:hAnsi="FrankRuehl" w:cs="FrankRuehl" w:hint="cs"/>
          <w:sz w:val="28"/>
          <w:szCs w:val="28"/>
          <w:rtl/>
        </w:rPr>
        <w:t xml:space="preserve">בשים לב לכל האמור, </w:t>
      </w:r>
      <w:r>
        <w:rPr>
          <w:rFonts w:ascii="FrankRuehl" w:eastAsia="Calibri" w:hAnsi="FrankRuehl" w:cs="FrankRuehl" w:hint="cs"/>
          <w:sz w:val="28"/>
          <w:szCs w:val="28"/>
          <w:rtl/>
        </w:rPr>
        <w:t xml:space="preserve">לאינטרסים המוגנים שנפגעו ומידת הפגיעה בהם, נסיבות ביצוע העבירה והפסיקה הנוהגת, </w:t>
      </w:r>
      <w:r w:rsidRPr="00B20F18">
        <w:rPr>
          <w:rFonts w:ascii="FrankRuehl" w:eastAsia="Calibri" w:hAnsi="FrankRuehl" w:cs="FrankRuehl" w:hint="cs"/>
          <w:sz w:val="28"/>
          <w:szCs w:val="28"/>
          <w:rtl/>
        </w:rPr>
        <w:t xml:space="preserve">אני </w:t>
      </w:r>
      <w:r>
        <w:rPr>
          <w:rFonts w:ascii="FrankRuehl" w:eastAsia="Calibri" w:hAnsi="FrankRuehl" w:cs="FrankRuehl" w:hint="cs"/>
          <w:sz w:val="28"/>
          <w:szCs w:val="28"/>
          <w:rtl/>
        </w:rPr>
        <w:t xml:space="preserve">סבור כי מתחם העונש ההולם </w:t>
      </w:r>
      <w:r w:rsidRPr="00B20F18">
        <w:rPr>
          <w:rFonts w:ascii="FrankRuehl" w:eastAsia="Calibri" w:hAnsi="FrankRuehl" w:cs="FrankRuehl" w:hint="cs"/>
          <w:sz w:val="28"/>
          <w:szCs w:val="28"/>
          <w:rtl/>
        </w:rPr>
        <w:t xml:space="preserve">מקרה זה בנסיבותיו, </w:t>
      </w:r>
      <w:r>
        <w:rPr>
          <w:rFonts w:ascii="FrankRuehl" w:eastAsia="Calibri" w:hAnsi="FrankRuehl" w:cs="FrankRuehl" w:hint="cs"/>
          <w:sz w:val="28"/>
          <w:szCs w:val="28"/>
          <w:rtl/>
        </w:rPr>
        <w:t>נע מ-</w:t>
      </w:r>
      <w:r w:rsidRPr="00B20F18">
        <w:rPr>
          <w:rFonts w:ascii="FrankRuehl" w:eastAsia="Calibri" w:hAnsi="FrankRuehl" w:cs="FrankRuehl" w:hint="cs"/>
          <w:sz w:val="28"/>
          <w:szCs w:val="28"/>
          <w:rtl/>
        </w:rPr>
        <w:t>2</w:t>
      </w:r>
      <w:r>
        <w:rPr>
          <w:rFonts w:ascii="FrankRuehl" w:eastAsia="Calibri" w:hAnsi="FrankRuehl" w:cs="FrankRuehl" w:hint="cs"/>
          <w:sz w:val="28"/>
          <w:szCs w:val="28"/>
          <w:rtl/>
        </w:rPr>
        <w:t>4</w:t>
      </w:r>
      <w:r w:rsidRPr="00B20F18">
        <w:rPr>
          <w:rFonts w:ascii="FrankRuehl" w:eastAsia="Calibri" w:hAnsi="FrankRuehl" w:cs="FrankRuehl" w:hint="cs"/>
          <w:sz w:val="28"/>
          <w:szCs w:val="28"/>
          <w:rtl/>
        </w:rPr>
        <w:t xml:space="preserve"> ועד ל</w:t>
      </w:r>
      <w:r>
        <w:rPr>
          <w:rFonts w:ascii="FrankRuehl" w:eastAsia="Calibri" w:hAnsi="FrankRuehl" w:cs="FrankRuehl" w:hint="cs"/>
          <w:sz w:val="28"/>
          <w:szCs w:val="28"/>
          <w:rtl/>
        </w:rPr>
        <w:t>-5</w:t>
      </w:r>
      <w:r w:rsidRPr="00B20F18">
        <w:rPr>
          <w:rFonts w:ascii="FrankRuehl" w:eastAsia="Calibri" w:hAnsi="FrankRuehl" w:cs="FrankRuehl" w:hint="cs"/>
          <w:sz w:val="28"/>
          <w:szCs w:val="28"/>
          <w:rtl/>
        </w:rPr>
        <w:t xml:space="preserve">0 חודשי מאסר, </w:t>
      </w:r>
      <w:r>
        <w:rPr>
          <w:rFonts w:ascii="FrankRuehl" w:eastAsia="Calibri" w:hAnsi="FrankRuehl" w:cs="FrankRuehl" w:hint="cs"/>
          <w:sz w:val="28"/>
          <w:szCs w:val="28"/>
          <w:rtl/>
        </w:rPr>
        <w:t xml:space="preserve">לצד מאסר מותנה וקנס. </w:t>
      </w:r>
    </w:p>
    <w:p w14:paraId="3C80444F" w14:textId="77777777" w:rsidR="00D04B87" w:rsidRDefault="00D04B87" w:rsidP="00D04B87">
      <w:pPr>
        <w:spacing w:after="160" w:line="360" w:lineRule="auto"/>
        <w:jc w:val="both"/>
        <w:rPr>
          <w:rFonts w:ascii="FrankRuehl" w:eastAsia="Calibri" w:hAnsi="FrankRuehl" w:cs="FrankRuehl"/>
          <w:sz w:val="28"/>
          <w:szCs w:val="28"/>
          <w:rtl/>
        </w:rPr>
      </w:pPr>
    </w:p>
    <w:p w14:paraId="1FC971F4" w14:textId="77777777" w:rsidR="00D04B87" w:rsidRPr="00B20F18" w:rsidRDefault="00D04B87" w:rsidP="00D04B87">
      <w:pPr>
        <w:spacing w:after="160" w:line="360" w:lineRule="auto"/>
        <w:jc w:val="both"/>
        <w:rPr>
          <w:rFonts w:ascii="FrankRuehl" w:eastAsia="Calibri" w:hAnsi="FrankRuehl" w:cs="FrankRuehl"/>
          <w:sz w:val="28"/>
          <w:szCs w:val="28"/>
          <w:rtl/>
        </w:rPr>
      </w:pPr>
      <w:r w:rsidRPr="00B20F18">
        <w:rPr>
          <w:rFonts w:ascii="FrankRuehl" w:eastAsia="Calibri" w:hAnsi="FrankRuehl" w:cs="FrankRuehl" w:hint="cs"/>
          <w:sz w:val="28"/>
          <w:szCs w:val="28"/>
          <w:rtl/>
        </w:rPr>
        <w:t>מכאן לנאשם.</w:t>
      </w:r>
    </w:p>
    <w:p w14:paraId="0E255CA9"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20.</w:t>
      </w:r>
      <w:r>
        <w:rPr>
          <w:rFonts w:ascii="FrankRuehl" w:eastAsia="Calibri" w:hAnsi="FrankRuehl" w:cs="FrankRuehl" w:hint="cs"/>
          <w:sz w:val="28"/>
          <w:szCs w:val="28"/>
          <w:rtl/>
        </w:rPr>
        <w:tab/>
      </w:r>
      <w:r w:rsidRPr="00B20F18">
        <w:rPr>
          <w:rFonts w:ascii="FrankRuehl" w:eastAsia="Calibri" w:hAnsi="FrankRuehl" w:cs="FrankRuehl" w:hint="cs"/>
          <w:sz w:val="28"/>
          <w:szCs w:val="28"/>
          <w:rtl/>
        </w:rPr>
        <w:t xml:space="preserve">הנאשם, יליד שנת 1989, כבן 32. </w:t>
      </w:r>
      <w:r>
        <w:rPr>
          <w:rFonts w:ascii="FrankRuehl" w:eastAsia="Calibri" w:hAnsi="FrankRuehl" w:cs="FrankRuehl" w:hint="cs"/>
          <w:sz w:val="28"/>
          <w:szCs w:val="28"/>
          <w:rtl/>
        </w:rPr>
        <w:t>הוא אב ל</w:t>
      </w:r>
      <w:r w:rsidRPr="00B20F18">
        <w:rPr>
          <w:rFonts w:ascii="FrankRuehl" w:eastAsia="Calibri" w:hAnsi="FrankRuehl" w:cs="FrankRuehl" w:hint="cs"/>
          <w:sz w:val="28"/>
          <w:szCs w:val="28"/>
          <w:rtl/>
        </w:rPr>
        <w:t xml:space="preserve">שבעה ילדים, אשר האחרון שבהם נולד אך לפני מספר חודשים. אמו של הנאשם חולה בסרטן, ואביו נכה, ושניהם סמוכים על שולחנו. </w:t>
      </w:r>
    </w:p>
    <w:p w14:paraId="4A6069A7" w14:textId="77777777" w:rsidR="00D04B87" w:rsidRDefault="00D04B87" w:rsidP="00D04B87">
      <w:pPr>
        <w:spacing w:after="160" w:line="360" w:lineRule="auto"/>
        <w:jc w:val="both"/>
        <w:rPr>
          <w:rFonts w:ascii="FrankRuehl" w:eastAsia="Calibri" w:hAnsi="FrankRuehl" w:cs="FrankRuehl"/>
          <w:sz w:val="28"/>
          <w:szCs w:val="28"/>
          <w:rtl/>
        </w:rPr>
      </w:pPr>
    </w:p>
    <w:p w14:paraId="6FC21697" w14:textId="77777777" w:rsidR="00D04B87"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21.</w:t>
      </w:r>
      <w:r>
        <w:rPr>
          <w:rFonts w:ascii="FrankRuehl" w:eastAsia="Calibri" w:hAnsi="FrankRuehl" w:cs="FrankRuehl" w:hint="cs"/>
          <w:sz w:val="28"/>
          <w:szCs w:val="28"/>
          <w:rtl/>
        </w:rPr>
        <w:tab/>
      </w:r>
      <w:r w:rsidRPr="00B20F18">
        <w:rPr>
          <w:rFonts w:ascii="FrankRuehl" w:eastAsia="Calibri" w:hAnsi="FrankRuehl" w:cs="FrankRuehl" w:hint="cs"/>
          <w:sz w:val="28"/>
          <w:szCs w:val="28"/>
          <w:rtl/>
        </w:rPr>
        <w:t>לחובתו של הנאשם עומד עברו הפלילי המשמעות</w:t>
      </w:r>
      <w:r>
        <w:rPr>
          <w:rFonts w:ascii="FrankRuehl" w:eastAsia="Calibri" w:hAnsi="FrankRuehl" w:cs="FrankRuehl" w:hint="cs"/>
          <w:sz w:val="28"/>
          <w:szCs w:val="28"/>
          <w:rtl/>
        </w:rPr>
        <w:t>י, שאף כי אינו כולל הרשעה בעבירות נשק</w:t>
      </w:r>
      <w:r w:rsidRPr="00B20F18">
        <w:rPr>
          <w:rFonts w:ascii="FrankRuehl" w:eastAsia="Calibri" w:hAnsi="FrankRuehl" w:cs="FrankRuehl" w:hint="cs"/>
          <w:sz w:val="28"/>
          <w:szCs w:val="28"/>
          <w:rtl/>
        </w:rPr>
        <w:t>, לא ניתן להתעלם ממנו.</w:t>
      </w:r>
      <w:r>
        <w:rPr>
          <w:rFonts w:ascii="FrankRuehl" w:eastAsia="Calibri" w:hAnsi="FrankRuehl" w:cs="FrankRuehl" w:hint="cs"/>
          <w:sz w:val="28"/>
          <w:szCs w:val="28"/>
          <w:rtl/>
        </w:rPr>
        <w:t xml:space="preserve"> מדובר בשבע הרשעות בעבירות רכוש שונות כגניבה, זיוף, קבלת דבר במרמה ושימוש במסמך מזויף, הצתה של מבנה במזיד ואיומים, וכן הסעת שוהים בלתי חוקיים ונהיגת רכב מנועי ללא רישיון.</w:t>
      </w:r>
    </w:p>
    <w:p w14:paraId="03E9806B" w14:textId="77777777" w:rsidR="00D04B87"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22.</w:t>
      </w:r>
      <w:r>
        <w:rPr>
          <w:rFonts w:ascii="FrankRuehl" w:eastAsia="Calibri" w:hAnsi="FrankRuehl" w:cs="FrankRuehl" w:hint="cs"/>
          <w:sz w:val="28"/>
          <w:szCs w:val="28"/>
          <w:rtl/>
        </w:rPr>
        <w:tab/>
        <w:t xml:space="preserve">מנגד, לזכותו </w:t>
      </w:r>
      <w:r w:rsidRPr="00B20F18">
        <w:rPr>
          <w:rFonts w:ascii="FrankRuehl" w:eastAsia="Calibri" w:hAnsi="FrankRuehl" w:cs="FrankRuehl" w:hint="cs"/>
          <w:sz w:val="28"/>
          <w:szCs w:val="28"/>
          <w:rtl/>
        </w:rPr>
        <w:t xml:space="preserve">של הנאשם עומדים </w:t>
      </w:r>
      <w:r>
        <w:rPr>
          <w:rFonts w:ascii="FrankRuehl" w:eastAsia="Calibri" w:hAnsi="FrankRuehl" w:cs="FrankRuehl" w:hint="cs"/>
          <w:sz w:val="28"/>
          <w:szCs w:val="28"/>
          <w:rtl/>
        </w:rPr>
        <w:t xml:space="preserve">הודאתו ונטילת האחריות על מעשיו, הבעת החרטה והקבלה שלא לשוב על מעשים אלו בעתיד. יש להביא בחשבון את המחיר שיהיה לעונש המאסר על משפחתו ובני ביתו הסמוכים על שולחנו. כל אלו מביאים לקביעת העונש בחלק העליון של השליש התחתון של המתחם. </w:t>
      </w:r>
    </w:p>
    <w:p w14:paraId="2FF0292B" w14:textId="77777777" w:rsidR="00D04B87" w:rsidRPr="00B20F18" w:rsidRDefault="00D04B87" w:rsidP="00D04B87">
      <w:pPr>
        <w:spacing w:after="160" w:line="360" w:lineRule="auto"/>
        <w:jc w:val="both"/>
        <w:rPr>
          <w:rFonts w:ascii="FrankRuehl" w:eastAsia="Calibri" w:hAnsi="FrankRuehl" w:cs="FrankRuehl"/>
          <w:sz w:val="28"/>
          <w:szCs w:val="28"/>
          <w:rtl/>
        </w:rPr>
      </w:pPr>
    </w:p>
    <w:p w14:paraId="2B68151D" w14:textId="77777777" w:rsidR="00D04B87" w:rsidRPr="00B20F18"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23.</w:t>
      </w:r>
      <w:r>
        <w:rPr>
          <w:rFonts w:ascii="FrankRuehl" w:eastAsia="Calibri" w:hAnsi="FrankRuehl" w:cs="FrankRuehl" w:hint="cs"/>
          <w:sz w:val="28"/>
          <w:szCs w:val="28"/>
          <w:rtl/>
        </w:rPr>
        <w:tab/>
      </w:r>
      <w:r w:rsidRPr="00B20F18">
        <w:rPr>
          <w:rFonts w:ascii="FrankRuehl" w:eastAsia="Calibri" w:hAnsi="FrankRuehl" w:cs="FrankRuehl" w:hint="cs"/>
          <w:sz w:val="28"/>
          <w:szCs w:val="28"/>
          <w:rtl/>
        </w:rPr>
        <w:t>סופו של יום, ולאחר שנתתי את דעתי על מכלול הנסיבות</w:t>
      </w:r>
      <w:r>
        <w:rPr>
          <w:rFonts w:ascii="FrankRuehl" w:eastAsia="Calibri" w:hAnsi="FrankRuehl" w:cs="FrankRuehl" w:hint="cs"/>
          <w:sz w:val="28"/>
          <w:szCs w:val="28"/>
          <w:rtl/>
        </w:rPr>
        <w:t xml:space="preserve"> הנדרשות</w:t>
      </w:r>
      <w:r w:rsidRPr="00B20F18">
        <w:rPr>
          <w:rFonts w:ascii="FrankRuehl" w:eastAsia="Calibri" w:hAnsi="FrankRuehl" w:cs="FrankRuehl" w:hint="cs"/>
          <w:sz w:val="28"/>
          <w:szCs w:val="28"/>
          <w:rtl/>
        </w:rPr>
        <w:t>, לקולא ולחומרא, אני משית על הנאשם את העונשים הבאים:</w:t>
      </w:r>
    </w:p>
    <w:p w14:paraId="52FEBFBE" w14:textId="77777777" w:rsidR="00D04B87" w:rsidRPr="00B20F18" w:rsidRDefault="00D04B87" w:rsidP="00D04B87">
      <w:pPr>
        <w:spacing w:after="160" w:line="360" w:lineRule="auto"/>
        <w:ind w:firstLine="720"/>
        <w:jc w:val="both"/>
        <w:rPr>
          <w:rFonts w:ascii="FrankRuehl" w:eastAsia="Calibri" w:hAnsi="FrankRuehl" w:cs="FrankRuehl"/>
          <w:sz w:val="28"/>
          <w:szCs w:val="28"/>
          <w:rtl/>
        </w:rPr>
      </w:pPr>
      <w:r w:rsidRPr="00B20F18">
        <w:rPr>
          <w:rFonts w:ascii="FrankRuehl" w:eastAsia="Calibri" w:hAnsi="FrankRuehl" w:cs="FrankRuehl" w:hint="cs"/>
          <w:sz w:val="28"/>
          <w:szCs w:val="28"/>
          <w:rtl/>
        </w:rPr>
        <w:t xml:space="preserve">א. </w:t>
      </w:r>
      <w:r>
        <w:rPr>
          <w:rFonts w:ascii="FrankRuehl" w:eastAsia="Calibri" w:hAnsi="FrankRuehl" w:cs="FrankRuehl"/>
          <w:sz w:val="28"/>
          <w:szCs w:val="28"/>
          <w:rtl/>
        </w:rPr>
        <w:tab/>
      </w:r>
      <w:r>
        <w:rPr>
          <w:rFonts w:ascii="FrankRuehl" w:eastAsia="Calibri" w:hAnsi="FrankRuehl" w:cs="FrankRuehl" w:hint="cs"/>
          <w:sz w:val="28"/>
          <w:szCs w:val="28"/>
          <w:rtl/>
        </w:rPr>
        <w:t>30 חודשי מאסר</w:t>
      </w:r>
      <w:r w:rsidRPr="00B20F18">
        <w:rPr>
          <w:rFonts w:ascii="FrankRuehl" w:eastAsia="Calibri" w:hAnsi="FrankRuehl" w:cs="FrankRuehl" w:hint="cs"/>
          <w:sz w:val="28"/>
          <w:szCs w:val="28"/>
          <w:rtl/>
        </w:rPr>
        <w:t xml:space="preserve"> בפועל</w:t>
      </w:r>
      <w:r>
        <w:rPr>
          <w:rFonts w:ascii="FrankRuehl" w:eastAsia="Calibri" w:hAnsi="FrankRuehl" w:cs="FrankRuehl" w:hint="cs"/>
          <w:sz w:val="28"/>
          <w:szCs w:val="28"/>
          <w:rtl/>
        </w:rPr>
        <w:t xml:space="preserve"> אשר יימנו מיום מעצרו </w:t>
      </w:r>
      <w:r>
        <w:rPr>
          <w:rFonts w:ascii="FrankRuehl" w:eastAsia="Calibri" w:hAnsi="FrankRuehl" w:cs="FrankRuehl"/>
          <w:sz w:val="28"/>
          <w:szCs w:val="28"/>
          <w:rtl/>
        </w:rPr>
        <w:t>–</w:t>
      </w:r>
      <w:r>
        <w:rPr>
          <w:rFonts w:ascii="FrankRuehl" w:eastAsia="Calibri" w:hAnsi="FrankRuehl" w:cs="FrankRuehl" w:hint="cs"/>
          <w:sz w:val="28"/>
          <w:szCs w:val="28"/>
          <w:rtl/>
        </w:rPr>
        <w:t xml:space="preserve"> 25.03.21. </w:t>
      </w:r>
    </w:p>
    <w:p w14:paraId="120EBD6F" w14:textId="77777777" w:rsidR="00D04B87" w:rsidRPr="00B20F18" w:rsidRDefault="00D04B87" w:rsidP="00D04B87">
      <w:pPr>
        <w:spacing w:after="160" w:line="360" w:lineRule="auto"/>
        <w:ind w:left="1440" w:hanging="720"/>
        <w:jc w:val="both"/>
        <w:rPr>
          <w:rFonts w:ascii="FrankRuehl" w:eastAsia="Calibri" w:hAnsi="FrankRuehl" w:cs="FrankRuehl"/>
          <w:sz w:val="28"/>
          <w:szCs w:val="28"/>
          <w:rtl/>
        </w:rPr>
      </w:pPr>
      <w:r w:rsidRPr="00B20F18">
        <w:rPr>
          <w:rFonts w:ascii="FrankRuehl" w:eastAsia="Calibri" w:hAnsi="FrankRuehl" w:cs="FrankRuehl" w:hint="cs"/>
          <w:sz w:val="28"/>
          <w:szCs w:val="28"/>
          <w:rtl/>
        </w:rPr>
        <w:t xml:space="preserve">ב. </w:t>
      </w:r>
      <w:r>
        <w:rPr>
          <w:rFonts w:ascii="FrankRuehl" w:eastAsia="Calibri" w:hAnsi="FrankRuehl" w:cs="FrankRuehl"/>
          <w:sz w:val="28"/>
          <w:szCs w:val="28"/>
          <w:rtl/>
        </w:rPr>
        <w:tab/>
      </w:r>
      <w:r>
        <w:rPr>
          <w:rFonts w:ascii="FrankRuehl" w:eastAsia="Calibri" w:hAnsi="FrankRuehl" w:cs="FrankRuehl" w:hint="cs"/>
          <w:sz w:val="28"/>
          <w:szCs w:val="28"/>
          <w:rtl/>
        </w:rPr>
        <w:t xml:space="preserve">9 חודשי מאסר </w:t>
      </w:r>
      <w:r w:rsidRPr="00B20F18">
        <w:rPr>
          <w:rFonts w:ascii="FrankRuehl" w:eastAsia="Calibri" w:hAnsi="FrankRuehl" w:cs="FrankRuehl" w:hint="cs"/>
          <w:sz w:val="28"/>
          <w:szCs w:val="28"/>
          <w:rtl/>
        </w:rPr>
        <w:t>על תנאי</w:t>
      </w:r>
      <w:r>
        <w:rPr>
          <w:rFonts w:ascii="FrankRuehl" w:eastAsia="Calibri" w:hAnsi="FrankRuehl" w:cs="FrankRuehl" w:hint="cs"/>
          <w:sz w:val="28"/>
          <w:szCs w:val="28"/>
          <w:rtl/>
        </w:rPr>
        <w:t xml:space="preserve"> אשר לא ירוצו אלא אם כן הנאשם יעבור עבירת נשק במהלך שלוש השנים שמיום שחרורו ממאסר. </w:t>
      </w:r>
    </w:p>
    <w:p w14:paraId="5A8603E5" w14:textId="77777777" w:rsidR="00D04B87" w:rsidRPr="00B20F18" w:rsidRDefault="00541762" w:rsidP="00D04B87">
      <w:pPr>
        <w:spacing w:after="160" w:line="360" w:lineRule="auto"/>
        <w:ind w:left="1440" w:hanging="720"/>
        <w:jc w:val="both"/>
        <w:rPr>
          <w:rFonts w:ascii="FrankRuehl" w:eastAsia="Calibri" w:hAnsi="FrankRuehl" w:cs="FrankRuehl"/>
          <w:sz w:val="28"/>
          <w:szCs w:val="28"/>
          <w:rtl/>
        </w:rPr>
      </w:pPr>
      <w:r w:rsidRPr="00541762">
        <w:rPr>
          <w:rFonts w:ascii="FrankRuehl" w:eastAsia="Calibri" w:hAnsi="FrankRuehl" w:cs="FrankRuehl"/>
          <w:color w:val="FFFFFF"/>
          <w:sz w:val="2"/>
          <w:szCs w:val="2"/>
          <w:rtl/>
        </w:rPr>
        <w:t>5129371</w:t>
      </w:r>
      <w:r w:rsidR="00D04B87" w:rsidRPr="00B20F18">
        <w:rPr>
          <w:rFonts w:ascii="FrankRuehl" w:eastAsia="Calibri" w:hAnsi="FrankRuehl" w:cs="FrankRuehl" w:hint="cs"/>
          <w:sz w:val="28"/>
          <w:szCs w:val="28"/>
          <w:rtl/>
        </w:rPr>
        <w:t xml:space="preserve">ג. </w:t>
      </w:r>
      <w:r w:rsidR="00D04B87">
        <w:rPr>
          <w:rFonts w:ascii="FrankRuehl" w:eastAsia="Calibri" w:hAnsi="FrankRuehl" w:cs="FrankRuehl"/>
          <w:sz w:val="28"/>
          <w:szCs w:val="28"/>
          <w:rtl/>
        </w:rPr>
        <w:tab/>
      </w:r>
      <w:r w:rsidR="00D04B87" w:rsidRPr="00B20F18">
        <w:rPr>
          <w:rFonts w:ascii="FrankRuehl" w:eastAsia="Calibri" w:hAnsi="FrankRuehl" w:cs="FrankRuehl" w:hint="cs"/>
          <w:sz w:val="28"/>
          <w:szCs w:val="28"/>
          <w:rtl/>
        </w:rPr>
        <w:t>קנס</w:t>
      </w:r>
      <w:r w:rsidR="00D04B87">
        <w:rPr>
          <w:rFonts w:ascii="FrankRuehl" w:eastAsia="Calibri" w:hAnsi="FrankRuehl" w:cs="FrankRuehl" w:hint="cs"/>
          <w:sz w:val="28"/>
          <w:szCs w:val="28"/>
          <w:rtl/>
        </w:rPr>
        <w:t xml:space="preserve"> בסך של  5,000 ₪ או 30 ימי מאסר תחתיו. הקנס ישולם ב-20 תשלומים שווים ורצופים, הראשון עד ליום 1.02.2022 ובכל ראשון לחודש שאחריו. אי עמידה באחד התשלומים יעביר לפירעון מידיי של כל היתרה.   </w:t>
      </w:r>
    </w:p>
    <w:p w14:paraId="62504759" w14:textId="77777777" w:rsidR="00D04B87" w:rsidRPr="00541762" w:rsidRDefault="00541762" w:rsidP="00D04B87">
      <w:pPr>
        <w:spacing w:after="160" w:line="360" w:lineRule="auto"/>
        <w:jc w:val="both"/>
        <w:rPr>
          <w:rFonts w:ascii="FrankRuehl" w:eastAsia="Calibri" w:hAnsi="FrankRuehl" w:cs="FrankRuehl"/>
          <w:color w:val="FFFFFF"/>
          <w:sz w:val="2"/>
          <w:szCs w:val="2"/>
          <w:rtl/>
        </w:rPr>
      </w:pPr>
      <w:r w:rsidRPr="00541762">
        <w:rPr>
          <w:rFonts w:ascii="FrankRuehl" w:eastAsia="Calibri" w:hAnsi="FrankRuehl" w:cs="FrankRuehl"/>
          <w:color w:val="FFFFFF"/>
          <w:sz w:val="2"/>
          <w:szCs w:val="2"/>
          <w:rtl/>
        </w:rPr>
        <w:t>54678313</w:t>
      </w:r>
    </w:p>
    <w:p w14:paraId="3CCE1565" w14:textId="77777777" w:rsidR="00D04B87" w:rsidRPr="004F5FAA" w:rsidRDefault="00D04B87" w:rsidP="00D04B87">
      <w:pPr>
        <w:spacing w:after="160" w:line="360" w:lineRule="auto"/>
        <w:jc w:val="both"/>
        <w:rPr>
          <w:rFonts w:ascii="FrankRuehl" w:eastAsia="Calibri" w:hAnsi="FrankRuehl" w:cs="FrankRuehl"/>
          <w:sz w:val="28"/>
          <w:szCs w:val="28"/>
          <w:rtl/>
        </w:rPr>
      </w:pPr>
      <w:r>
        <w:rPr>
          <w:rFonts w:ascii="FrankRuehl" w:eastAsia="Calibri" w:hAnsi="FrankRuehl" w:cs="FrankRuehl" w:hint="cs"/>
          <w:sz w:val="28"/>
          <w:szCs w:val="28"/>
          <w:rtl/>
        </w:rPr>
        <w:t>ז</w:t>
      </w:r>
      <w:r w:rsidRPr="004F5FAA">
        <w:rPr>
          <w:rFonts w:ascii="FrankRuehl" w:eastAsia="Calibri" w:hAnsi="FrankRuehl" w:cs="FrankRuehl" w:hint="cs"/>
          <w:sz w:val="28"/>
          <w:szCs w:val="28"/>
          <w:rtl/>
        </w:rPr>
        <w:t xml:space="preserve">כות ערעור לבית המשפט העליון בתוך 45 יום מהיום. </w:t>
      </w:r>
    </w:p>
    <w:p w14:paraId="4917AB64" w14:textId="77777777" w:rsidR="00D04B87" w:rsidRPr="004F5FAA" w:rsidRDefault="00541762" w:rsidP="00D04B87">
      <w:pPr>
        <w:rPr>
          <w:rFonts w:ascii="David" w:hAnsi="David"/>
          <w:sz w:val="26"/>
          <w:szCs w:val="26"/>
          <w:rtl/>
        </w:rPr>
      </w:pPr>
      <w:bookmarkStart w:id="8" w:name="Nitan"/>
      <w:r>
        <w:rPr>
          <w:rFonts w:ascii="FrankRuehl" w:eastAsia="Calibri" w:hAnsi="FrankRuehl" w:cs="FrankRuehl"/>
          <w:sz w:val="28"/>
          <w:szCs w:val="28"/>
          <w:rtl/>
        </w:rPr>
        <w:t xml:space="preserve">ניתן היום,  כ"ה טבת תשפ"ב, 29 דצמבר 2021, במעמד המתייצבים. </w:t>
      </w:r>
      <w:bookmarkEnd w:id="8"/>
    </w:p>
    <w:p w14:paraId="2C170428" w14:textId="77777777" w:rsidR="00D04B87" w:rsidRPr="002B7D23" w:rsidRDefault="00D04B87" w:rsidP="0054176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A072A6E" w14:textId="77777777" w:rsidR="00D04B87" w:rsidRPr="00616984" w:rsidRDefault="00616984" w:rsidP="00D04B87">
      <w:pPr>
        <w:jc w:val="center"/>
        <w:rPr>
          <w:rFonts w:ascii="David" w:hAnsi="David"/>
          <w:color w:val="FFFFFF"/>
          <w:sz w:val="2"/>
          <w:szCs w:val="2"/>
          <w:rtl/>
        </w:rPr>
      </w:pPr>
      <w:r w:rsidRPr="00616984">
        <w:rPr>
          <w:rFonts w:ascii="David" w:hAnsi="David"/>
          <w:color w:val="FFFFFF"/>
          <w:sz w:val="2"/>
          <w:szCs w:val="2"/>
          <w:rtl/>
        </w:rPr>
        <w:t>5129371</w:t>
      </w:r>
    </w:p>
    <w:p w14:paraId="4FF384C4" w14:textId="77777777" w:rsidR="00945322" w:rsidRPr="00616984" w:rsidRDefault="00616984" w:rsidP="00541762">
      <w:pPr>
        <w:keepNext/>
        <w:rPr>
          <w:rFonts w:ascii="David" w:hAnsi="David"/>
          <w:color w:val="FFFFFF"/>
          <w:sz w:val="2"/>
          <w:szCs w:val="2"/>
          <w:rtl/>
        </w:rPr>
      </w:pPr>
      <w:r w:rsidRPr="00616984">
        <w:rPr>
          <w:rFonts w:ascii="David" w:hAnsi="David"/>
          <w:color w:val="FFFFFF"/>
          <w:sz w:val="2"/>
          <w:szCs w:val="2"/>
          <w:rtl/>
        </w:rPr>
        <w:t>54678313</w:t>
      </w:r>
    </w:p>
    <w:p w14:paraId="4C3945FE" w14:textId="77777777" w:rsidR="00541762" w:rsidRDefault="00541762" w:rsidP="00541762">
      <w:pPr>
        <w:rPr>
          <w:rtl/>
        </w:rPr>
      </w:pPr>
    </w:p>
    <w:p w14:paraId="4C3F059A" w14:textId="77777777" w:rsidR="00541762" w:rsidRDefault="00541762" w:rsidP="00541762">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8C6C71A" w14:textId="77777777" w:rsidR="00616984" w:rsidRPr="00616984" w:rsidRDefault="00616984" w:rsidP="00616984">
      <w:pPr>
        <w:keepNext/>
        <w:rPr>
          <w:rFonts w:ascii="David" w:hAnsi="David"/>
          <w:color w:val="000000"/>
          <w:sz w:val="22"/>
          <w:szCs w:val="22"/>
          <w:rtl/>
        </w:rPr>
      </w:pPr>
    </w:p>
    <w:p w14:paraId="6CD10855" w14:textId="77777777" w:rsidR="00616984" w:rsidRPr="00616984" w:rsidRDefault="00616984" w:rsidP="00616984">
      <w:pPr>
        <w:keepNext/>
        <w:rPr>
          <w:rFonts w:ascii="David" w:hAnsi="David"/>
          <w:color w:val="000000"/>
          <w:sz w:val="22"/>
          <w:szCs w:val="22"/>
          <w:rtl/>
        </w:rPr>
      </w:pPr>
      <w:r w:rsidRPr="00616984">
        <w:rPr>
          <w:rFonts w:ascii="David" w:hAnsi="David"/>
          <w:color w:val="000000"/>
          <w:sz w:val="22"/>
          <w:szCs w:val="22"/>
          <w:rtl/>
        </w:rPr>
        <w:t>אילן סלע 54678313-/</w:t>
      </w:r>
    </w:p>
    <w:p w14:paraId="2A39A78E" w14:textId="77777777" w:rsidR="00541762" w:rsidRPr="00541762" w:rsidRDefault="00616984" w:rsidP="00616984">
      <w:pPr>
        <w:rPr>
          <w:color w:val="0000FF"/>
          <w:u w:val="single"/>
        </w:rPr>
      </w:pPr>
      <w:r w:rsidRPr="00616984">
        <w:rPr>
          <w:color w:val="000000"/>
          <w:u w:val="single"/>
          <w:rtl/>
        </w:rPr>
        <w:t>נוסח מסמך זה כפוף לשינויי ניסוח ועריכה</w:t>
      </w:r>
    </w:p>
    <w:sectPr w:rsidR="00541762" w:rsidRPr="00541762" w:rsidSect="00616984">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045AA" w14:textId="77777777" w:rsidR="007B3727" w:rsidRDefault="007B3727" w:rsidP="00F70A1D">
      <w:r>
        <w:separator/>
      </w:r>
    </w:p>
  </w:endnote>
  <w:endnote w:type="continuationSeparator" w:id="0">
    <w:p w14:paraId="28FCA56B" w14:textId="77777777" w:rsidR="007B3727" w:rsidRDefault="007B3727" w:rsidP="00F7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E3BEF" w14:textId="77777777" w:rsidR="00616984" w:rsidRDefault="00616984" w:rsidP="006169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AE0462" w14:textId="77777777" w:rsidR="00301CD0" w:rsidRPr="00616984" w:rsidRDefault="00616984" w:rsidP="00616984">
    <w:pPr>
      <w:pStyle w:val="a5"/>
      <w:pBdr>
        <w:top w:val="single" w:sz="4" w:space="1" w:color="auto"/>
        <w:between w:val="single" w:sz="4" w:space="0" w:color="auto"/>
      </w:pBdr>
      <w:spacing w:after="60"/>
      <w:jc w:val="center"/>
      <w:rPr>
        <w:rFonts w:ascii="FrankRuehl" w:hAnsi="FrankRuehl" w:cs="FrankRuehl"/>
        <w:color w:val="000000"/>
      </w:rPr>
    </w:pPr>
    <w:r w:rsidRPr="006169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1BC8D" w14:textId="77777777" w:rsidR="00616984" w:rsidRDefault="00616984" w:rsidP="006169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7B55">
      <w:rPr>
        <w:rFonts w:ascii="FrankRuehl" w:hAnsi="FrankRuehl" w:cs="FrankRuehl"/>
        <w:noProof/>
        <w:rtl/>
      </w:rPr>
      <w:t>1</w:t>
    </w:r>
    <w:r>
      <w:rPr>
        <w:rFonts w:ascii="FrankRuehl" w:hAnsi="FrankRuehl" w:cs="FrankRuehl"/>
        <w:rtl/>
      </w:rPr>
      <w:fldChar w:fldCharType="end"/>
    </w:r>
  </w:p>
  <w:p w14:paraId="7A1B5213" w14:textId="77777777" w:rsidR="00301CD0" w:rsidRPr="00616984" w:rsidRDefault="00616984" w:rsidP="00616984">
    <w:pPr>
      <w:pStyle w:val="a5"/>
      <w:pBdr>
        <w:top w:val="single" w:sz="4" w:space="1" w:color="auto"/>
        <w:between w:val="single" w:sz="4" w:space="0" w:color="auto"/>
      </w:pBdr>
      <w:spacing w:after="60"/>
      <w:jc w:val="center"/>
      <w:rPr>
        <w:rFonts w:ascii="FrankRuehl" w:hAnsi="FrankRuehl" w:cs="FrankRuehl"/>
        <w:color w:val="000000"/>
      </w:rPr>
    </w:pPr>
    <w:r w:rsidRPr="00616984">
      <w:rPr>
        <w:rFonts w:ascii="FrankRuehl" w:hAnsi="FrankRuehl" w:cs="FrankRuehl"/>
        <w:color w:val="000000"/>
      </w:rPr>
      <w:pict w14:anchorId="3F3F0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651C1" w14:textId="77777777" w:rsidR="007B3727" w:rsidRDefault="007B3727" w:rsidP="00F70A1D">
      <w:r>
        <w:separator/>
      </w:r>
    </w:p>
  </w:footnote>
  <w:footnote w:type="continuationSeparator" w:id="0">
    <w:p w14:paraId="4AAB567C" w14:textId="77777777" w:rsidR="007B3727" w:rsidRDefault="007B3727" w:rsidP="00F7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8404A" w14:textId="77777777" w:rsidR="00541762" w:rsidRPr="00616984" w:rsidRDefault="00616984" w:rsidP="006169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13177-04-21</w:t>
    </w:r>
    <w:r>
      <w:rPr>
        <w:rFonts w:ascii="David" w:hAnsi="David"/>
        <w:color w:val="000000"/>
        <w:sz w:val="22"/>
        <w:szCs w:val="22"/>
        <w:rtl/>
      </w:rPr>
      <w:tab/>
      <w:t xml:space="preserve"> מדינת ישראל נ' אמיר אלעתאיקה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4982" w14:textId="77777777" w:rsidR="00541762" w:rsidRPr="00616984" w:rsidRDefault="00616984" w:rsidP="006169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13177-04-21</w:t>
    </w:r>
    <w:r>
      <w:rPr>
        <w:rFonts w:ascii="David" w:hAnsi="David"/>
        <w:color w:val="000000"/>
        <w:sz w:val="22"/>
        <w:szCs w:val="22"/>
        <w:rtl/>
      </w:rPr>
      <w:tab/>
      <w:t xml:space="preserve"> מדינת ישראל נ' אמיר אלעתאיקה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4B87"/>
    <w:rsid w:val="00063933"/>
    <w:rsid w:val="00074608"/>
    <w:rsid w:val="001B5A3B"/>
    <w:rsid w:val="00301CD0"/>
    <w:rsid w:val="00463522"/>
    <w:rsid w:val="00541762"/>
    <w:rsid w:val="005F2DBA"/>
    <w:rsid w:val="00616984"/>
    <w:rsid w:val="00652E52"/>
    <w:rsid w:val="00740064"/>
    <w:rsid w:val="007B3727"/>
    <w:rsid w:val="008F7B55"/>
    <w:rsid w:val="00945322"/>
    <w:rsid w:val="00D04B87"/>
    <w:rsid w:val="00F70A1D"/>
    <w:rsid w:val="00FC26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B147E7"/>
  <w15:chartTrackingRefBased/>
  <w15:docId w15:val="{97FA459F-C85A-4FE3-9F45-6C3ED9AC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4B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4B87"/>
    <w:pPr>
      <w:tabs>
        <w:tab w:val="center" w:pos="4153"/>
        <w:tab w:val="right" w:pos="8306"/>
      </w:tabs>
    </w:pPr>
  </w:style>
  <w:style w:type="character" w:customStyle="1" w:styleId="a4">
    <w:name w:val="כותרת עליונה תו"/>
    <w:link w:val="a3"/>
    <w:rsid w:val="00D04B87"/>
    <w:rPr>
      <w:rFonts w:ascii="Times New Roman" w:eastAsia="Times New Roman" w:hAnsi="Times New Roman" w:cs="David"/>
      <w:sz w:val="24"/>
      <w:szCs w:val="24"/>
    </w:rPr>
  </w:style>
  <w:style w:type="paragraph" w:styleId="a5">
    <w:name w:val="footer"/>
    <w:basedOn w:val="a"/>
    <w:link w:val="a6"/>
    <w:rsid w:val="00D04B87"/>
    <w:pPr>
      <w:tabs>
        <w:tab w:val="center" w:pos="4153"/>
        <w:tab w:val="right" w:pos="8306"/>
      </w:tabs>
    </w:pPr>
  </w:style>
  <w:style w:type="character" w:customStyle="1" w:styleId="a6">
    <w:name w:val="כותרת תחתונה תו"/>
    <w:link w:val="a5"/>
    <w:rsid w:val="00D04B87"/>
    <w:rPr>
      <w:rFonts w:ascii="Times New Roman" w:eastAsia="Times New Roman" w:hAnsi="Times New Roman" w:cs="David"/>
      <w:sz w:val="24"/>
      <w:szCs w:val="24"/>
    </w:rPr>
  </w:style>
  <w:style w:type="table" w:styleId="a7">
    <w:name w:val="Table Grid"/>
    <w:basedOn w:val="a1"/>
    <w:rsid w:val="00D04B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04B87"/>
  </w:style>
  <w:style w:type="character" w:styleId="Hyperlink">
    <w:name w:val="Hyperlink"/>
    <w:rsid w:val="0054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26216601" TargetMode="External"/><Relationship Id="rId39" Type="http://schemas.openxmlformats.org/officeDocument/2006/relationships/theme" Target="theme/theme1.xml"/><Relationship Id="rId21" Type="http://schemas.openxmlformats.org/officeDocument/2006/relationships/hyperlink" Target="http://www.nevo.co.il/case/25824863" TargetMode="External"/><Relationship Id="rId34" Type="http://schemas.openxmlformats.org/officeDocument/2006/relationships/header" Target="header1.xml"/><Relationship Id="rId7" Type="http://schemas.openxmlformats.org/officeDocument/2006/relationships/hyperlink" Target="http://www.nevo.co.il/law/70301/29"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7915710" TargetMode="External"/><Relationship Id="rId25" Type="http://schemas.openxmlformats.org/officeDocument/2006/relationships/hyperlink" Target="http://www.nevo.co.il/case/2734760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6747892" TargetMode="External"/><Relationship Id="rId20" Type="http://schemas.openxmlformats.org/officeDocument/2006/relationships/hyperlink" Target="http://www.nevo.co.il/case/26888657" TargetMode="External"/><Relationship Id="rId29" Type="http://schemas.openxmlformats.org/officeDocument/2006/relationships/hyperlink" Target="http://www.nevo.co.il/case/2387716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7513376" TargetMode="External"/><Relationship Id="rId32" Type="http://schemas.openxmlformats.org/officeDocument/2006/relationships/hyperlink" Target="http://www.nevo.co.il/case/23750625"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7708542" TargetMode="External"/><Relationship Id="rId23" Type="http://schemas.openxmlformats.org/officeDocument/2006/relationships/hyperlink" Target="http://www.nevo.co.il/case/27567095" TargetMode="External"/><Relationship Id="rId28" Type="http://schemas.openxmlformats.org/officeDocument/2006/relationships/hyperlink" Target="http://www.nevo.co.il/case/3942428" TargetMode="External"/><Relationship Id="rId36"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case/27513376" TargetMode="External"/><Relationship Id="rId31" Type="http://schemas.openxmlformats.org/officeDocument/2006/relationships/hyperlink" Target="http://www.nevo.co.il/case/23817771"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case/27567095"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882160" TargetMode="External"/><Relationship Id="rId30" Type="http://schemas.openxmlformats.org/officeDocument/2006/relationships/hyperlink" Target="http://www.nevo.co.il/case/26714450"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2337</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13998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3604596</vt:i4>
      </vt:variant>
      <vt:variant>
        <vt:i4>78</vt:i4>
      </vt:variant>
      <vt:variant>
        <vt:i4>0</vt:i4>
      </vt:variant>
      <vt:variant>
        <vt:i4>5</vt:i4>
      </vt:variant>
      <vt:variant>
        <vt:lpwstr>http://www.nevo.co.il/case/23750625</vt:lpwstr>
      </vt:variant>
      <vt:variant>
        <vt:lpwstr/>
      </vt:variant>
      <vt:variant>
        <vt:i4>3801201</vt:i4>
      </vt:variant>
      <vt:variant>
        <vt:i4>75</vt:i4>
      </vt:variant>
      <vt:variant>
        <vt:i4>0</vt:i4>
      </vt:variant>
      <vt:variant>
        <vt:i4>5</vt:i4>
      </vt:variant>
      <vt:variant>
        <vt:lpwstr>http://www.nevo.co.il/case/23817771</vt:lpwstr>
      </vt:variant>
      <vt:variant>
        <vt:lpwstr/>
      </vt:variant>
      <vt:variant>
        <vt:i4>3407991</vt:i4>
      </vt:variant>
      <vt:variant>
        <vt:i4>72</vt:i4>
      </vt:variant>
      <vt:variant>
        <vt:i4>0</vt:i4>
      </vt:variant>
      <vt:variant>
        <vt:i4>5</vt:i4>
      </vt:variant>
      <vt:variant>
        <vt:lpwstr>http://www.nevo.co.il/case/26714450</vt:lpwstr>
      </vt:variant>
      <vt:variant>
        <vt:lpwstr/>
      </vt:variant>
      <vt:variant>
        <vt:i4>3866737</vt:i4>
      </vt:variant>
      <vt:variant>
        <vt:i4>69</vt:i4>
      </vt:variant>
      <vt:variant>
        <vt:i4>0</vt:i4>
      </vt:variant>
      <vt:variant>
        <vt:i4>5</vt:i4>
      </vt:variant>
      <vt:variant>
        <vt:lpwstr>http://www.nevo.co.il/case/23877165</vt:lpwstr>
      </vt:variant>
      <vt:variant>
        <vt:lpwstr/>
      </vt:variant>
      <vt:variant>
        <vt:i4>3866749</vt:i4>
      </vt:variant>
      <vt:variant>
        <vt:i4>66</vt:i4>
      </vt:variant>
      <vt:variant>
        <vt:i4>0</vt:i4>
      </vt:variant>
      <vt:variant>
        <vt:i4>5</vt:i4>
      </vt:variant>
      <vt:variant>
        <vt:lpwstr>http://www.nevo.co.il/case/3942428</vt:lpwstr>
      </vt:variant>
      <vt:variant>
        <vt:lpwstr/>
      </vt:variant>
      <vt:variant>
        <vt:i4>4128888</vt:i4>
      </vt:variant>
      <vt:variant>
        <vt:i4>63</vt:i4>
      </vt:variant>
      <vt:variant>
        <vt:i4>0</vt:i4>
      </vt:variant>
      <vt:variant>
        <vt:i4>5</vt:i4>
      </vt:variant>
      <vt:variant>
        <vt:lpwstr>http://www.nevo.co.il/case/6882160</vt:lpwstr>
      </vt:variant>
      <vt:variant>
        <vt:lpwstr/>
      </vt:variant>
      <vt:variant>
        <vt:i4>3539061</vt:i4>
      </vt:variant>
      <vt:variant>
        <vt:i4>60</vt:i4>
      </vt:variant>
      <vt:variant>
        <vt:i4>0</vt:i4>
      </vt:variant>
      <vt:variant>
        <vt:i4>5</vt:i4>
      </vt:variant>
      <vt:variant>
        <vt:lpwstr>http://www.nevo.co.il/case/26216601</vt:lpwstr>
      </vt:variant>
      <vt:variant>
        <vt:lpwstr/>
      </vt:variant>
      <vt:variant>
        <vt:i4>3539057</vt:i4>
      </vt:variant>
      <vt:variant>
        <vt:i4>57</vt:i4>
      </vt:variant>
      <vt:variant>
        <vt:i4>0</vt:i4>
      </vt:variant>
      <vt:variant>
        <vt:i4>5</vt:i4>
      </vt:variant>
      <vt:variant>
        <vt:lpwstr>http://www.nevo.co.il/case/27347604</vt:lpwstr>
      </vt:variant>
      <vt:variant>
        <vt:lpwstr/>
      </vt:variant>
      <vt:variant>
        <vt:i4>3342449</vt:i4>
      </vt:variant>
      <vt:variant>
        <vt:i4>54</vt:i4>
      </vt:variant>
      <vt:variant>
        <vt:i4>0</vt:i4>
      </vt:variant>
      <vt:variant>
        <vt:i4>5</vt:i4>
      </vt:variant>
      <vt:variant>
        <vt:lpwstr>http://www.nevo.co.il/case/27513376</vt:lpwstr>
      </vt:variant>
      <vt:variant>
        <vt:lpwstr/>
      </vt:variant>
      <vt:variant>
        <vt:i4>3735669</vt:i4>
      </vt:variant>
      <vt:variant>
        <vt:i4>51</vt:i4>
      </vt:variant>
      <vt:variant>
        <vt:i4>0</vt:i4>
      </vt:variant>
      <vt:variant>
        <vt:i4>5</vt:i4>
      </vt:variant>
      <vt:variant>
        <vt:lpwstr>http://www.nevo.co.il/case/27567095</vt:lpwstr>
      </vt:variant>
      <vt:variant>
        <vt:lpwstr/>
      </vt:variant>
      <vt:variant>
        <vt:i4>7995492</vt:i4>
      </vt:variant>
      <vt:variant>
        <vt:i4>48</vt:i4>
      </vt:variant>
      <vt:variant>
        <vt:i4>0</vt:i4>
      </vt:variant>
      <vt:variant>
        <vt:i4>5</vt:i4>
      </vt:variant>
      <vt:variant>
        <vt:lpwstr>http://www.nevo.co.il/law/70301</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3604604</vt:i4>
      </vt:variant>
      <vt:variant>
        <vt:i4>42</vt:i4>
      </vt:variant>
      <vt:variant>
        <vt:i4>0</vt:i4>
      </vt:variant>
      <vt:variant>
        <vt:i4>5</vt:i4>
      </vt:variant>
      <vt:variant>
        <vt:lpwstr>http://www.nevo.co.il/case/26888657</vt:lpwstr>
      </vt:variant>
      <vt:variant>
        <vt:lpwstr/>
      </vt:variant>
      <vt:variant>
        <vt:i4>3342449</vt:i4>
      </vt:variant>
      <vt:variant>
        <vt:i4>39</vt:i4>
      </vt:variant>
      <vt:variant>
        <vt:i4>0</vt:i4>
      </vt:variant>
      <vt:variant>
        <vt:i4>5</vt:i4>
      </vt:variant>
      <vt:variant>
        <vt:lpwstr>http://www.nevo.co.il/case/27513376</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4128885</vt:i4>
      </vt:variant>
      <vt:variant>
        <vt:i4>33</vt:i4>
      </vt:variant>
      <vt:variant>
        <vt:i4>0</vt:i4>
      </vt:variant>
      <vt:variant>
        <vt:i4>5</vt:i4>
      </vt:variant>
      <vt:variant>
        <vt:lpwstr>http://www.nevo.co.il/case/27915710</vt:lpwstr>
      </vt:variant>
      <vt:variant>
        <vt:lpwstr/>
      </vt:variant>
      <vt:variant>
        <vt:i4>3866750</vt:i4>
      </vt:variant>
      <vt:variant>
        <vt:i4>30</vt:i4>
      </vt:variant>
      <vt:variant>
        <vt:i4>0</vt:i4>
      </vt:variant>
      <vt:variant>
        <vt:i4>5</vt:i4>
      </vt:variant>
      <vt:variant>
        <vt:lpwstr>http://www.nevo.co.il/case/26747892</vt:lpwstr>
      </vt:variant>
      <vt:variant>
        <vt:lpwstr/>
      </vt:variant>
      <vt:variant>
        <vt:i4>3735670</vt:i4>
      </vt:variant>
      <vt:variant>
        <vt:i4>27</vt:i4>
      </vt:variant>
      <vt:variant>
        <vt:i4>0</vt:i4>
      </vt:variant>
      <vt:variant>
        <vt:i4>5</vt:i4>
      </vt:variant>
      <vt:variant>
        <vt:lpwstr>http://www.nevo.co.il/case/27708542</vt:lpwstr>
      </vt:variant>
      <vt:variant>
        <vt:lpwstr/>
      </vt:variant>
      <vt:variant>
        <vt:i4>3735669</vt:i4>
      </vt:variant>
      <vt:variant>
        <vt:i4>24</vt:i4>
      </vt:variant>
      <vt:variant>
        <vt:i4>0</vt:i4>
      </vt:variant>
      <vt:variant>
        <vt:i4>5</vt:i4>
      </vt:variant>
      <vt:variant>
        <vt:lpwstr>http://www.nevo.co.il/case/27567095</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13177</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אמיר אלעתאיקה;חסאן אלבחירי</vt:lpwstr>
  </property>
  <property fmtid="{D5CDD505-2E9C-101B-9397-08002B2CF9AE}" pid="10" name="LAWYER">
    <vt:lpwstr>אילן אקוקה;פארס מוסטפא</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20211229</vt:lpwstr>
  </property>
  <property fmtid="{D5CDD505-2E9C-101B-9397-08002B2CF9AE}" pid="14" name="TYPE_N_DATE">
    <vt:lpwstr>39020211229</vt:lpwstr>
  </property>
  <property fmtid="{D5CDD505-2E9C-101B-9397-08002B2CF9AE}" pid="15" name="WORDNUMPAGES">
    <vt:lpwstr>8</vt:lpwstr>
  </property>
  <property fmtid="{D5CDD505-2E9C-101B-9397-08002B2CF9AE}" pid="16" name="TYPE_ABS_DATE">
    <vt:lpwstr>390020211229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27567095:2;27708542;26747892;27915710;25824863:2;27513376:2;26888657;27347604;26216601;6882160;3942428;23877165;26714450;23817771;23750625</vt:lpwstr>
  </property>
  <property fmtid="{D5CDD505-2E9C-101B-9397-08002B2CF9AE}" pid="36" name="LAWLISTTMP1">
    <vt:lpwstr>70301/144.b2;144.b;029</vt:lpwstr>
  </property>
</Properties>
</file>