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528"/>
        <w:gridCol w:w="2977"/>
      </w:tblGrid>
      <w:tr w:rsidR="00C977D1" w:rsidRPr="00F44EB0" w14:paraId="0FF0C8BA" w14:textId="77777777" w:rsidTr="00352F29">
        <w:trPr>
          <w:trHeight w:hRule="exact" w:val="418"/>
          <w:jc w:val="center"/>
        </w:trPr>
        <w:tc>
          <w:tcPr>
            <w:tcW w:w="8505" w:type="dxa"/>
            <w:gridSpan w:val="2"/>
          </w:tcPr>
          <w:p w14:paraId="215689CA" w14:textId="77777777" w:rsidR="00C977D1" w:rsidRPr="00F44EB0" w:rsidRDefault="00C977D1" w:rsidP="00352F29">
            <w:pPr>
              <w:pStyle w:val="a3"/>
              <w:jc w:val="center"/>
              <w:rPr>
                <w:rFonts w:ascii="Tahoma" w:hAnsi="Tahoma" w:cs="Tahoma"/>
                <w:color w:val="000080"/>
                <w:rtl/>
              </w:rPr>
            </w:pPr>
            <w:bookmarkStart w:id="0" w:name="FirstLawyer"/>
            <w:bookmarkStart w:id="1" w:name="LastJudge"/>
            <w:r w:rsidRPr="00F44EB0">
              <w:rPr>
                <w:rFonts w:ascii="Tahoma" w:hAnsi="Tahoma" w:cs="Tahoma"/>
                <w:b/>
                <w:bCs/>
                <w:color w:val="000080"/>
                <w:rtl/>
              </w:rPr>
              <w:t>בית המשפט המחוזי בירושלים</w:t>
            </w:r>
          </w:p>
        </w:tc>
      </w:tr>
      <w:tr w:rsidR="00C977D1" w:rsidRPr="00F44EB0" w14:paraId="0ADCCFE4" w14:textId="77777777" w:rsidTr="00352F29">
        <w:trPr>
          <w:trHeight w:val="337"/>
          <w:jc w:val="center"/>
        </w:trPr>
        <w:tc>
          <w:tcPr>
            <w:tcW w:w="5528" w:type="dxa"/>
          </w:tcPr>
          <w:p w14:paraId="23513FD8" w14:textId="77777777" w:rsidR="00C977D1" w:rsidRPr="00F44EB0" w:rsidRDefault="00C977D1" w:rsidP="00352F29">
            <w:pPr>
              <w:rPr>
                <w:rFonts w:cs="FrankRuehl"/>
                <w:sz w:val="28"/>
                <w:szCs w:val="28"/>
                <w:rtl/>
              </w:rPr>
            </w:pPr>
            <w:r w:rsidRPr="00F44EB0">
              <w:rPr>
                <w:rFonts w:cs="FrankRuehl"/>
                <w:sz w:val="28"/>
                <w:szCs w:val="28"/>
                <w:rtl/>
              </w:rPr>
              <w:t>ת"פ</w:t>
            </w:r>
            <w:r w:rsidRPr="00F44EB0">
              <w:rPr>
                <w:rFonts w:cs="FrankRuehl" w:hint="cs"/>
                <w:sz w:val="28"/>
                <w:szCs w:val="28"/>
                <w:rtl/>
              </w:rPr>
              <w:t xml:space="preserve"> </w:t>
            </w:r>
            <w:r w:rsidRPr="00F44EB0">
              <w:rPr>
                <w:rFonts w:cs="FrankRuehl"/>
                <w:sz w:val="28"/>
                <w:szCs w:val="28"/>
                <w:rtl/>
              </w:rPr>
              <w:t>16161-04-21</w:t>
            </w:r>
            <w:r w:rsidRPr="00F44EB0">
              <w:rPr>
                <w:rFonts w:cs="FrankRuehl" w:hint="cs"/>
                <w:sz w:val="28"/>
                <w:szCs w:val="28"/>
                <w:rtl/>
              </w:rPr>
              <w:t xml:space="preserve"> </w:t>
            </w:r>
            <w:r w:rsidRPr="00F44EB0">
              <w:rPr>
                <w:rFonts w:cs="FrankRuehl"/>
                <w:sz w:val="28"/>
                <w:szCs w:val="28"/>
                <w:rtl/>
              </w:rPr>
              <w:t>מדינת ישראל נ' ג'ולאני(עציר) ואח'</w:t>
            </w:r>
          </w:p>
          <w:p w14:paraId="7F0B04C0" w14:textId="77777777" w:rsidR="00C977D1" w:rsidRPr="00F44EB0" w:rsidRDefault="00C977D1" w:rsidP="00352F29">
            <w:pPr>
              <w:pStyle w:val="a3"/>
              <w:rPr>
                <w:rFonts w:cs="FrankRuehl"/>
                <w:sz w:val="28"/>
                <w:szCs w:val="28"/>
                <w:rtl/>
              </w:rPr>
            </w:pPr>
          </w:p>
        </w:tc>
        <w:tc>
          <w:tcPr>
            <w:tcW w:w="2977" w:type="dxa"/>
          </w:tcPr>
          <w:p w14:paraId="64C23E4C" w14:textId="77777777" w:rsidR="00C977D1" w:rsidRPr="00F44EB0" w:rsidRDefault="00C977D1" w:rsidP="00352F29">
            <w:pPr>
              <w:pStyle w:val="a3"/>
              <w:jc w:val="right"/>
              <w:rPr>
                <w:rFonts w:cs="FrankRuehl"/>
                <w:sz w:val="28"/>
                <w:szCs w:val="28"/>
                <w:rtl/>
              </w:rPr>
            </w:pPr>
          </w:p>
        </w:tc>
      </w:tr>
    </w:tbl>
    <w:p w14:paraId="54200EFB" w14:textId="77777777" w:rsidR="00C977D1" w:rsidRPr="00F44EB0" w:rsidRDefault="00C977D1" w:rsidP="00C977D1">
      <w:pPr>
        <w:pStyle w:val="a3"/>
        <w:rPr>
          <w:rtl/>
        </w:rPr>
      </w:pPr>
      <w:r w:rsidRPr="00F44EB0">
        <w:rPr>
          <w:rFonts w:hint="cs"/>
          <w:rtl/>
        </w:rPr>
        <w:t xml:space="preserve"> </w:t>
      </w:r>
    </w:p>
    <w:p w14:paraId="6CEB9304" w14:textId="77777777" w:rsidR="00C977D1" w:rsidRPr="00F44EB0" w:rsidRDefault="00C977D1" w:rsidP="00C977D1">
      <w:pPr>
        <w:rPr>
          <w:rtl/>
        </w:rPr>
      </w:pPr>
    </w:p>
    <w:p w14:paraId="2473E682" w14:textId="77777777" w:rsidR="00C977D1" w:rsidRPr="00F44EB0" w:rsidRDefault="00C977D1" w:rsidP="00C977D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C977D1" w:rsidRPr="00F44EB0" w14:paraId="414468ED" w14:textId="77777777" w:rsidTr="00C977D1">
        <w:trPr>
          <w:trHeight w:val="295"/>
          <w:jc w:val="center"/>
        </w:trPr>
        <w:tc>
          <w:tcPr>
            <w:tcW w:w="923" w:type="dxa"/>
            <w:tcBorders>
              <w:top w:val="nil"/>
              <w:left w:val="nil"/>
              <w:bottom w:val="nil"/>
              <w:right w:val="nil"/>
            </w:tcBorders>
            <w:shd w:val="clear" w:color="auto" w:fill="auto"/>
          </w:tcPr>
          <w:p w14:paraId="0D5ECBFE" w14:textId="77777777" w:rsidR="00C977D1" w:rsidRPr="00F44EB0" w:rsidRDefault="00C977D1" w:rsidP="00C977D1">
            <w:pPr>
              <w:jc w:val="both"/>
              <w:rPr>
                <w:rFonts w:ascii="David" w:hAnsi="David"/>
                <w:sz w:val="26"/>
                <w:szCs w:val="26"/>
              </w:rPr>
            </w:pPr>
            <w:r w:rsidRPr="00F44EB0">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08C47CAF" w14:textId="77777777" w:rsidR="00C977D1" w:rsidRPr="00F44EB0" w:rsidRDefault="00C977D1" w:rsidP="00352F29">
            <w:pPr>
              <w:rPr>
                <w:rFonts w:ascii="David" w:hAnsi="David"/>
                <w:b/>
                <w:bCs/>
                <w:sz w:val="26"/>
                <w:szCs w:val="26"/>
                <w:rtl/>
              </w:rPr>
            </w:pPr>
            <w:r w:rsidRPr="00F44EB0">
              <w:rPr>
                <w:rFonts w:ascii="David" w:hAnsi="David"/>
                <w:b/>
                <w:bCs/>
                <w:sz w:val="26"/>
                <w:szCs w:val="26"/>
                <w:rtl/>
              </w:rPr>
              <w:t>כבוד השופטת  חגית מאק-קלמנוביץ</w:t>
            </w:r>
          </w:p>
          <w:p w14:paraId="74EFFBE5" w14:textId="77777777" w:rsidR="00C977D1" w:rsidRPr="00F44EB0" w:rsidRDefault="00C977D1" w:rsidP="00352F29">
            <w:pPr>
              <w:rPr>
                <w:rFonts w:ascii="David" w:hAnsi="David"/>
                <w:sz w:val="26"/>
                <w:szCs w:val="26"/>
                <w:rtl/>
              </w:rPr>
            </w:pPr>
          </w:p>
          <w:p w14:paraId="359F747B" w14:textId="77777777" w:rsidR="00C977D1" w:rsidRPr="00F44EB0" w:rsidRDefault="00C977D1" w:rsidP="00C977D1">
            <w:pPr>
              <w:jc w:val="both"/>
              <w:rPr>
                <w:rFonts w:ascii="David" w:hAnsi="David"/>
                <w:sz w:val="26"/>
                <w:szCs w:val="26"/>
              </w:rPr>
            </w:pPr>
          </w:p>
        </w:tc>
      </w:tr>
      <w:tr w:rsidR="00C977D1" w:rsidRPr="00F44EB0" w14:paraId="3E6E0645" w14:textId="77777777" w:rsidTr="00C977D1">
        <w:trPr>
          <w:trHeight w:val="355"/>
          <w:jc w:val="center"/>
        </w:trPr>
        <w:tc>
          <w:tcPr>
            <w:tcW w:w="923" w:type="dxa"/>
            <w:tcBorders>
              <w:top w:val="nil"/>
              <w:left w:val="nil"/>
              <w:bottom w:val="nil"/>
              <w:right w:val="nil"/>
            </w:tcBorders>
            <w:shd w:val="clear" w:color="auto" w:fill="auto"/>
          </w:tcPr>
          <w:p w14:paraId="787A288E" w14:textId="77777777" w:rsidR="00C977D1" w:rsidRPr="00F44EB0" w:rsidRDefault="00C977D1" w:rsidP="00C977D1">
            <w:pPr>
              <w:jc w:val="both"/>
              <w:rPr>
                <w:rFonts w:ascii="David" w:hAnsi="David"/>
                <w:sz w:val="26"/>
                <w:szCs w:val="26"/>
              </w:rPr>
            </w:pPr>
            <w:bookmarkStart w:id="2" w:name="FirstAppellant"/>
            <w:r w:rsidRPr="00F44EB0">
              <w:rPr>
                <w:rFonts w:ascii="David" w:hAnsi="David"/>
                <w:sz w:val="26"/>
                <w:szCs w:val="26"/>
                <w:rtl/>
              </w:rPr>
              <w:t>בעניין:</w:t>
            </w:r>
          </w:p>
        </w:tc>
        <w:tc>
          <w:tcPr>
            <w:tcW w:w="3219" w:type="dxa"/>
            <w:tcBorders>
              <w:top w:val="nil"/>
              <w:left w:val="nil"/>
              <w:bottom w:val="nil"/>
              <w:right w:val="nil"/>
            </w:tcBorders>
            <w:shd w:val="clear" w:color="auto" w:fill="auto"/>
          </w:tcPr>
          <w:p w14:paraId="0172D556" w14:textId="77777777" w:rsidR="00C977D1" w:rsidRPr="00F44EB0" w:rsidRDefault="00C977D1" w:rsidP="00C977D1">
            <w:pPr>
              <w:suppressLineNumbers/>
            </w:pPr>
            <w:r w:rsidRPr="00F44EB0">
              <w:rPr>
                <w:rFonts w:ascii="Arial" w:hAnsi="Arial" w:hint="cs"/>
                <w:b/>
                <w:bCs/>
                <w:sz w:val="26"/>
                <w:szCs w:val="26"/>
                <w:rtl/>
              </w:rPr>
              <w:t>ה</w:t>
            </w:r>
            <w:r w:rsidRPr="00F44EB0">
              <w:rPr>
                <w:rFonts w:ascii="Arial" w:hAnsi="Arial"/>
                <w:b/>
                <w:bCs/>
                <w:sz w:val="26"/>
                <w:szCs w:val="26"/>
                <w:rtl/>
              </w:rPr>
              <w:t>מאשימה</w:t>
            </w:r>
          </w:p>
          <w:p w14:paraId="2D6F0090" w14:textId="77777777" w:rsidR="00C977D1" w:rsidRPr="00F44EB0" w:rsidRDefault="00C977D1" w:rsidP="00352F29">
            <w:pPr>
              <w:rPr>
                <w:rFonts w:ascii="David" w:hAnsi="David"/>
                <w:sz w:val="26"/>
                <w:szCs w:val="26"/>
              </w:rPr>
            </w:pPr>
          </w:p>
        </w:tc>
        <w:tc>
          <w:tcPr>
            <w:tcW w:w="4678" w:type="dxa"/>
            <w:tcBorders>
              <w:top w:val="nil"/>
              <w:left w:val="nil"/>
              <w:bottom w:val="nil"/>
              <w:right w:val="nil"/>
            </w:tcBorders>
            <w:shd w:val="clear" w:color="auto" w:fill="auto"/>
            <w:vAlign w:val="center"/>
          </w:tcPr>
          <w:p w14:paraId="16755042" w14:textId="77777777" w:rsidR="00C977D1" w:rsidRPr="00F44EB0" w:rsidRDefault="00C977D1" w:rsidP="00C977D1">
            <w:pPr>
              <w:suppressLineNumbers/>
            </w:pPr>
            <w:r w:rsidRPr="00F44EB0">
              <w:rPr>
                <w:rFonts w:ascii="Arial" w:hAnsi="Arial"/>
                <w:b/>
                <w:bCs/>
                <w:sz w:val="26"/>
                <w:szCs w:val="26"/>
                <w:rtl/>
              </w:rPr>
              <w:t>מדינת ישראל</w:t>
            </w:r>
          </w:p>
          <w:p w14:paraId="2D94BEF2" w14:textId="77777777" w:rsidR="00C977D1" w:rsidRPr="00F44EB0" w:rsidRDefault="00C977D1" w:rsidP="00352F29">
            <w:pPr>
              <w:rPr>
                <w:rFonts w:ascii="David" w:hAnsi="David"/>
                <w:sz w:val="26"/>
                <w:szCs w:val="26"/>
              </w:rPr>
            </w:pPr>
          </w:p>
        </w:tc>
      </w:tr>
      <w:bookmarkEnd w:id="2"/>
      <w:tr w:rsidR="00C977D1" w:rsidRPr="00F44EB0" w14:paraId="52391B19" w14:textId="77777777" w:rsidTr="00C977D1">
        <w:trPr>
          <w:trHeight w:val="355"/>
          <w:jc w:val="center"/>
        </w:trPr>
        <w:tc>
          <w:tcPr>
            <w:tcW w:w="923" w:type="dxa"/>
            <w:tcBorders>
              <w:top w:val="nil"/>
              <w:left w:val="nil"/>
              <w:bottom w:val="nil"/>
              <w:right w:val="nil"/>
            </w:tcBorders>
            <w:shd w:val="clear" w:color="auto" w:fill="auto"/>
          </w:tcPr>
          <w:p w14:paraId="1DF357AD" w14:textId="77777777" w:rsidR="00C977D1" w:rsidRPr="00F44EB0" w:rsidRDefault="00C977D1" w:rsidP="00C977D1">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1B775879" w14:textId="77777777" w:rsidR="00C977D1" w:rsidRPr="00F44EB0" w:rsidRDefault="00C977D1" w:rsidP="00C977D1">
            <w:pPr>
              <w:jc w:val="center"/>
              <w:rPr>
                <w:rFonts w:ascii="David" w:hAnsi="David"/>
                <w:b/>
                <w:bCs/>
                <w:sz w:val="26"/>
                <w:szCs w:val="26"/>
                <w:rtl/>
              </w:rPr>
            </w:pPr>
          </w:p>
          <w:p w14:paraId="4C89DE84" w14:textId="77777777" w:rsidR="00C977D1" w:rsidRPr="00F44EB0" w:rsidRDefault="00C977D1" w:rsidP="00C977D1">
            <w:pPr>
              <w:jc w:val="center"/>
              <w:rPr>
                <w:rFonts w:ascii="David" w:hAnsi="David"/>
                <w:b/>
                <w:bCs/>
                <w:sz w:val="26"/>
                <w:szCs w:val="26"/>
                <w:rtl/>
              </w:rPr>
            </w:pPr>
            <w:r w:rsidRPr="00F44EB0">
              <w:rPr>
                <w:rFonts w:ascii="David" w:hAnsi="David"/>
                <w:b/>
                <w:bCs/>
                <w:sz w:val="26"/>
                <w:szCs w:val="26"/>
                <w:rtl/>
              </w:rPr>
              <w:t>נגד</w:t>
            </w:r>
          </w:p>
          <w:p w14:paraId="602A4F82" w14:textId="77777777" w:rsidR="00C977D1" w:rsidRPr="00F44EB0" w:rsidRDefault="00C977D1" w:rsidP="00C977D1">
            <w:pPr>
              <w:jc w:val="both"/>
              <w:rPr>
                <w:rFonts w:ascii="David" w:hAnsi="David"/>
                <w:sz w:val="26"/>
                <w:szCs w:val="26"/>
              </w:rPr>
            </w:pPr>
          </w:p>
        </w:tc>
      </w:tr>
      <w:tr w:rsidR="00C977D1" w:rsidRPr="00F44EB0" w14:paraId="68AA9957" w14:textId="77777777" w:rsidTr="00C977D1">
        <w:trPr>
          <w:trHeight w:val="355"/>
          <w:jc w:val="center"/>
        </w:trPr>
        <w:tc>
          <w:tcPr>
            <w:tcW w:w="923" w:type="dxa"/>
            <w:tcBorders>
              <w:top w:val="nil"/>
              <w:left w:val="nil"/>
              <w:bottom w:val="nil"/>
              <w:right w:val="nil"/>
            </w:tcBorders>
            <w:shd w:val="clear" w:color="auto" w:fill="auto"/>
          </w:tcPr>
          <w:p w14:paraId="73D164FF" w14:textId="77777777" w:rsidR="00C977D1" w:rsidRPr="00F44EB0" w:rsidRDefault="00C977D1" w:rsidP="00352F29">
            <w:pPr>
              <w:rPr>
                <w:rFonts w:ascii="David" w:hAnsi="David"/>
                <w:sz w:val="26"/>
                <w:szCs w:val="26"/>
                <w:rtl/>
              </w:rPr>
            </w:pPr>
          </w:p>
        </w:tc>
        <w:tc>
          <w:tcPr>
            <w:tcW w:w="3219" w:type="dxa"/>
            <w:tcBorders>
              <w:top w:val="nil"/>
              <w:left w:val="nil"/>
              <w:bottom w:val="nil"/>
              <w:right w:val="nil"/>
            </w:tcBorders>
            <w:shd w:val="clear" w:color="auto" w:fill="auto"/>
          </w:tcPr>
          <w:p w14:paraId="431C7F73" w14:textId="77777777" w:rsidR="00C977D1" w:rsidRPr="00F44EB0" w:rsidRDefault="00C977D1" w:rsidP="00352F29">
            <w:pPr>
              <w:rPr>
                <w:rFonts w:ascii="Arial" w:hAnsi="Arial"/>
                <w:b/>
                <w:bCs/>
                <w:sz w:val="26"/>
                <w:szCs w:val="26"/>
                <w:rtl/>
              </w:rPr>
            </w:pPr>
            <w:r w:rsidRPr="00F44EB0">
              <w:rPr>
                <w:rFonts w:ascii="Arial" w:hAnsi="Arial"/>
                <w:b/>
                <w:bCs/>
                <w:sz w:val="26"/>
                <w:szCs w:val="26"/>
                <w:rtl/>
              </w:rPr>
              <w:t>הנאשמים</w:t>
            </w:r>
          </w:p>
        </w:tc>
        <w:tc>
          <w:tcPr>
            <w:tcW w:w="4678" w:type="dxa"/>
            <w:tcBorders>
              <w:top w:val="nil"/>
              <w:left w:val="nil"/>
              <w:bottom w:val="nil"/>
              <w:right w:val="nil"/>
            </w:tcBorders>
            <w:shd w:val="clear" w:color="auto" w:fill="auto"/>
            <w:vAlign w:val="center"/>
          </w:tcPr>
          <w:p w14:paraId="37523F83" w14:textId="77777777" w:rsidR="00C977D1" w:rsidRPr="00F44EB0" w:rsidRDefault="00C977D1" w:rsidP="00352F29">
            <w:pPr>
              <w:rPr>
                <w:rFonts w:ascii="David" w:hAnsi="David"/>
                <w:sz w:val="26"/>
                <w:szCs w:val="26"/>
              </w:rPr>
            </w:pPr>
          </w:p>
          <w:p w14:paraId="695B4B2C" w14:textId="77777777" w:rsidR="00C977D1" w:rsidRPr="00F44EB0" w:rsidRDefault="00C977D1" w:rsidP="00C977D1">
            <w:pPr>
              <w:suppressLineNumbers/>
            </w:pPr>
            <w:r w:rsidRPr="00F44EB0">
              <w:rPr>
                <w:rFonts w:ascii="Arial" w:hAnsi="Arial"/>
                <w:b/>
                <w:bCs/>
                <w:sz w:val="26"/>
                <w:szCs w:val="26"/>
                <w:rtl/>
              </w:rPr>
              <w:t xml:space="preserve">1. יוסף ג'ולאני </w:t>
            </w:r>
            <w:r w:rsidRPr="00F44EB0">
              <w:rPr>
                <w:rFonts w:ascii="Arial" w:hAnsi="Arial"/>
                <w:b/>
                <w:bCs/>
                <w:sz w:val="26"/>
                <w:szCs w:val="26"/>
                <w:rtl/>
              </w:rPr>
              <w:br/>
            </w:r>
            <w:r w:rsidRPr="00F44EB0">
              <w:rPr>
                <w:rFonts w:ascii="Arial" w:hAnsi="Arial" w:hint="cs"/>
                <w:b/>
                <w:bCs/>
                <w:sz w:val="26"/>
                <w:szCs w:val="26"/>
                <w:rtl/>
              </w:rPr>
              <w:t>ע"י ב"כ עו"ד סאהר עלי</w:t>
            </w:r>
          </w:p>
          <w:p w14:paraId="6E5FB4DE" w14:textId="77777777" w:rsidR="00C977D1" w:rsidRPr="00F44EB0" w:rsidRDefault="00C977D1" w:rsidP="00C977D1">
            <w:pPr>
              <w:suppressLineNumbers/>
            </w:pPr>
            <w:r w:rsidRPr="00F44EB0">
              <w:rPr>
                <w:rFonts w:ascii="Arial" w:hAnsi="Arial"/>
                <w:b/>
                <w:bCs/>
                <w:sz w:val="26"/>
                <w:szCs w:val="26"/>
                <w:rtl/>
              </w:rPr>
              <w:t xml:space="preserve">2. חמזה קוואסמי </w:t>
            </w:r>
          </w:p>
        </w:tc>
      </w:tr>
    </w:tbl>
    <w:p w14:paraId="73C97FA3" w14:textId="77777777" w:rsidR="00C977D1" w:rsidRPr="00F44EB0" w:rsidRDefault="00C977D1" w:rsidP="00C977D1">
      <w:pPr>
        <w:rPr>
          <w:sz w:val="26"/>
          <w:szCs w:val="26"/>
        </w:rPr>
      </w:pPr>
    </w:p>
    <w:p w14:paraId="143272AC" w14:textId="77777777" w:rsidR="00AE44E5" w:rsidRPr="00AE44E5" w:rsidRDefault="00AE44E5" w:rsidP="00AE44E5">
      <w:pPr>
        <w:spacing w:before="120" w:after="120" w:line="240" w:lineRule="exact"/>
        <w:ind w:left="283" w:hanging="283"/>
        <w:jc w:val="both"/>
        <w:rPr>
          <w:rFonts w:ascii="FrankRuehl" w:hAnsi="FrankRuehl" w:cs="FrankRuehl"/>
          <w:rtl/>
        </w:rPr>
      </w:pPr>
    </w:p>
    <w:p w14:paraId="6E65FE08" w14:textId="77777777" w:rsidR="00F10B69" w:rsidRDefault="00F10B69" w:rsidP="00F10B69">
      <w:pPr>
        <w:jc w:val="center"/>
        <w:rPr>
          <w:rFonts w:ascii="David" w:hAnsi="David"/>
          <w:sz w:val="32"/>
          <w:szCs w:val="32"/>
          <w:rtl/>
        </w:rPr>
      </w:pPr>
      <w:bookmarkStart w:id="3" w:name="LawTable"/>
      <w:bookmarkEnd w:id="3"/>
    </w:p>
    <w:p w14:paraId="59CF7908" w14:textId="77777777" w:rsidR="00F10B69" w:rsidRPr="00F10B69" w:rsidRDefault="00F10B69" w:rsidP="00F10B69">
      <w:pPr>
        <w:spacing w:before="120" w:after="120" w:line="240" w:lineRule="exact"/>
        <w:ind w:left="283" w:hanging="283"/>
        <w:jc w:val="both"/>
        <w:rPr>
          <w:rFonts w:ascii="FrankRuehl" w:hAnsi="FrankRuehl" w:cs="FrankRuehl"/>
          <w:rtl/>
        </w:rPr>
      </w:pPr>
    </w:p>
    <w:p w14:paraId="07631920" w14:textId="77777777" w:rsidR="00F10B69" w:rsidRPr="00F10B69" w:rsidRDefault="00F10B69" w:rsidP="00F10B69">
      <w:pPr>
        <w:spacing w:before="120" w:after="120" w:line="240" w:lineRule="exact"/>
        <w:ind w:left="283" w:hanging="283"/>
        <w:jc w:val="both"/>
        <w:rPr>
          <w:rFonts w:ascii="FrankRuehl" w:hAnsi="FrankRuehl" w:cs="FrankRuehl"/>
          <w:rtl/>
        </w:rPr>
      </w:pPr>
    </w:p>
    <w:p w14:paraId="7FC7A5B5" w14:textId="77777777" w:rsidR="00F10B69" w:rsidRPr="00F10B69" w:rsidRDefault="00F10B69" w:rsidP="00F10B69">
      <w:pPr>
        <w:spacing w:before="120" w:after="120" w:line="240" w:lineRule="exact"/>
        <w:ind w:left="283" w:hanging="283"/>
        <w:jc w:val="both"/>
        <w:rPr>
          <w:rFonts w:ascii="FrankRuehl" w:hAnsi="FrankRuehl" w:cs="FrankRuehl"/>
          <w:rtl/>
        </w:rPr>
      </w:pPr>
      <w:r w:rsidRPr="00F10B69">
        <w:rPr>
          <w:rFonts w:ascii="FrankRuehl" w:hAnsi="FrankRuehl" w:cs="FrankRuehl"/>
          <w:rtl/>
        </w:rPr>
        <w:t xml:space="preserve">חקיקה שאוזכרה: </w:t>
      </w:r>
    </w:p>
    <w:p w14:paraId="292CFCBA" w14:textId="77777777" w:rsidR="00F10B69" w:rsidRPr="00F10B69" w:rsidRDefault="00F10B69" w:rsidP="00F10B69">
      <w:pPr>
        <w:spacing w:before="120" w:after="120" w:line="240" w:lineRule="exact"/>
        <w:ind w:left="283" w:hanging="283"/>
        <w:jc w:val="both"/>
        <w:rPr>
          <w:rFonts w:ascii="FrankRuehl" w:hAnsi="FrankRuehl" w:cs="FrankRuehl"/>
          <w:rtl/>
        </w:rPr>
      </w:pPr>
      <w:hyperlink r:id="rId7" w:history="1">
        <w:r w:rsidRPr="00F10B69">
          <w:rPr>
            <w:rFonts w:ascii="FrankRuehl" w:hAnsi="FrankRuehl" w:cs="FrankRuehl"/>
            <w:color w:val="0000FF"/>
            <w:rtl/>
          </w:rPr>
          <w:t>חוק העונשין, תשל"ז-1977</w:t>
        </w:r>
      </w:hyperlink>
      <w:r w:rsidRPr="00F10B69">
        <w:rPr>
          <w:rFonts w:ascii="FrankRuehl" w:hAnsi="FrankRuehl" w:cs="FrankRuehl"/>
          <w:rtl/>
        </w:rPr>
        <w:t xml:space="preserve">: סע'  </w:t>
      </w:r>
      <w:hyperlink r:id="rId8" w:history="1">
        <w:r w:rsidRPr="00F10B69">
          <w:rPr>
            <w:rFonts w:ascii="FrankRuehl" w:hAnsi="FrankRuehl" w:cs="FrankRuehl"/>
            <w:color w:val="0000FF"/>
            <w:rtl/>
          </w:rPr>
          <w:t>29</w:t>
        </w:r>
      </w:hyperlink>
      <w:r w:rsidRPr="00F10B69">
        <w:rPr>
          <w:rFonts w:ascii="FrankRuehl" w:hAnsi="FrankRuehl" w:cs="FrankRuehl"/>
          <w:rtl/>
        </w:rPr>
        <w:t xml:space="preserve">, </w:t>
      </w:r>
      <w:hyperlink r:id="rId9" w:history="1">
        <w:r w:rsidRPr="00F10B69">
          <w:rPr>
            <w:rFonts w:ascii="FrankRuehl" w:hAnsi="FrankRuehl" w:cs="FrankRuehl"/>
            <w:color w:val="0000FF"/>
            <w:rtl/>
          </w:rPr>
          <w:t>144(ב)</w:t>
        </w:r>
      </w:hyperlink>
      <w:r w:rsidRPr="00F10B69">
        <w:rPr>
          <w:rFonts w:ascii="FrankRuehl" w:hAnsi="FrankRuehl" w:cs="FrankRuehl"/>
          <w:rtl/>
        </w:rPr>
        <w:t xml:space="preserve">, </w:t>
      </w:r>
      <w:hyperlink r:id="rId10" w:history="1">
        <w:r w:rsidRPr="00F10B69">
          <w:rPr>
            <w:rFonts w:ascii="FrankRuehl" w:hAnsi="FrankRuehl" w:cs="FrankRuehl"/>
            <w:color w:val="0000FF"/>
            <w:rtl/>
          </w:rPr>
          <w:t>144(ב2)</w:t>
        </w:r>
      </w:hyperlink>
    </w:p>
    <w:p w14:paraId="3DE83BAB" w14:textId="77777777" w:rsidR="00F10B69" w:rsidRPr="00F10B69" w:rsidRDefault="00F10B69" w:rsidP="00F10B69">
      <w:pPr>
        <w:spacing w:before="120" w:after="120" w:line="240" w:lineRule="exact"/>
        <w:ind w:left="283" w:hanging="283"/>
        <w:jc w:val="both"/>
        <w:rPr>
          <w:rFonts w:ascii="FrankRuehl" w:hAnsi="FrankRuehl" w:cs="FrankRuehl"/>
          <w:rtl/>
        </w:rPr>
      </w:pPr>
      <w:hyperlink r:id="rId11" w:history="1">
        <w:r w:rsidRPr="00F10B69">
          <w:rPr>
            <w:rFonts w:ascii="FrankRuehl" w:hAnsi="FrankRuehl" w:cs="FrankRuehl"/>
            <w:color w:val="0000FF"/>
            <w:rtl/>
          </w:rPr>
          <w:t>פקודת התעבורה [נוסח חדש]</w:t>
        </w:r>
      </w:hyperlink>
      <w:r w:rsidRPr="00F10B69">
        <w:rPr>
          <w:rFonts w:ascii="FrankRuehl" w:hAnsi="FrankRuehl" w:cs="FrankRuehl"/>
          <w:rtl/>
        </w:rPr>
        <w:t xml:space="preserve">: סע'  </w:t>
      </w:r>
      <w:hyperlink r:id="rId12" w:history="1">
        <w:r w:rsidRPr="00F10B69">
          <w:rPr>
            <w:rFonts w:ascii="FrankRuehl" w:hAnsi="FrankRuehl" w:cs="FrankRuehl"/>
            <w:color w:val="0000FF"/>
            <w:rtl/>
          </w:rPr>
          <w:t>10(א)</w:t>
        </w:r>
      </w:hyperlink>
      <w:r w:rsidRPr="00F10B69">
        <w:rPr>
          <w:rFonts w:ascii="FrankRuehl" w:hAnsi="FrankRuehl" w:cs="FrankRuehl"/>
          <w:rtl/>
        </w:rPr>
        <w:t xml:space="preserve">, </w:t>
      </w:r>
      <w:hyperlink r:id="rId13" w:history="1">
        <w:r w:rsidRPr="00F10B69">
          <w:rPr>
            <w:rFonts w:ascii="FrankRuehl" w:hAnsi="FrankRuehl" w:cs="FrankRuehl"/>
            <w:color w:val="0000FF"/>
            <w:rtl/>
          </w:rPr>
          <w:t>38</w:t>
        </w:r>
      </w:hyperlink>
      <w:r w:rsidRPr="00F10B69">
        <w:rPr>
          <w:rFonts w:ascii="FrankRuehl" w:hAnsi="FrankRuehl" w:cs="FrankRuehl"/>
          <w:rtl/>
        </w:rPr>
        <w:t xml:space="preserve">, </w:t>
      </w:r>
      <w:hyperlink r:id="rId14" w:history="1">
        <w:r w:rsidRPr="00F10B69">
          <w:rPr>
            <w:rFonts w:ascii="FrankRuehl" w:hAnsi="FrankRuehl" w:cs="FrankRuehl"/>
            <w:color w:val="0000FF"/>
            <w:rtl/>
          </w:rPr>
          <w:t>308 (ד)</w:t>
        </w:r>
      </w:hyperlink>
    </w:p>
    <w:p w14:paraId="1145EFA2" w14:textId="77777777" w:rsidR="00F10B69" w:rsidRPr="00F10B69" w:rsidRDefault="00F10B69" w:rsidP="00F10B69">
      <w:pPr>
        <w:jc w:val="center"/>
        <w:rPr>
          <w:rFonts w:ascii="David" w:hAnsi="David"/>
          <w:sz w:val="32"/>
          <w:szCs w:val="32"/>
          <w:rtl/>
        </w:rPr>
      </w:pPr>
      <w:bookmarkStart w:id="4" w:name="LawTable_End"/>
      <w:bookmarkEnd w:id="4"/>
    </w:p>
    <w:p w14:paraId="4306CB87" w14:textId="77777777" w:rsidR="005E0FD5" w:rsidRPr="00AE44E5" w:rsidRDefault="005E0FD5" w:rsidP="00AE44E5">
      <w:pPr>
        <w:jc w:val="center"/>
        <w:rPr>
          <w:rFonts w:ascii="David" w:hAnsi="David"/>
          <w:sz w:val="32"/>
          <w:szCs w:val="32"/>
          <w:rtl/>
        </w:rPr>
      </w:pPr>
    </w:p>
    <w:p w14:paraId="76BAE44A" w14:textId="77777777" w:rsidR="005E0FD5" w:rsidRPr="00F44EB0" w:rsidRDefault="005E0FD5" w:rsidP="00F44EB0">
      <w:pPr>
        <w:jc w:val="center"/>
        <w:rPr>
          <w:rFonts w:ascii="David" w:hAnsi="David"/>
          <w:b/>
          <w:bCs/>
          <w:sz w:val="32"/>
          <w:szCs w:val="32"/>
          <w:u w:val="single"/>
          <w:rtl/>
        </w:rPr>
      </w:pPr>
      <w:bookmarkStart w:id="5" w:name="PsakDin"/>
      <w:r w:rsidRPr="00F44EB0">
        <w:rPr>
          <w:rFonts w:ascii="David" w:hAnsi="David"/>
          <w:b/>
          <w:bCs/>
          <w:sz w:val="32"/>
          <w:szCs w:val="32"/>
          <w:u w:val="single"/>
          <w:rtl/>
        </w:rPr>
        <w:t>גזר דין לנאשם 1</w:t>
      </w:r>
    </w:p>
    <w:bookmarkEnd w:id="5"/>
    <w:p w14:paraId="7AD4DA73" w14:textId="77777777" w:rsidR="005E0FD5" w:rsidRPr="00C977D1" w:rsidRDefault="005E0FD5" w:rsidP="00C977D1">
      <w:pPr>
        <w:jc w:val="center"/>
        <w:rPr>
          <w:rFonts w:ascii="David" w:hAnsi="David"/>
          <w:sz w:val="32"/>
          <w:szCs w:val="32"/>
          <w:u w:val="single"/>
          <w:rtl/>
        </w:rPr>
      </w:pPr>
    </w:p>
    <w:bookmarkEnd w:id="0"/>
    <w:bookmarkEnd w:id="1"/>
    <w:p w14:paraId="52CD5973" w14:textId="77777777" w:rsidR="00C977D1" w:rsidRPr="00F14737" w:rsidRDefault="00C977D1" w:rsidP="00C977D1">
      <w:pPr>
        <w:spacing w:after="240" w:line="360" w:lineRule="auto"/>
        <w:jc w:val="both"/>
        <w:rPr>
          <w:rFonts w:ascii="Arial" w:hAnsi="Arial"/>
          <w:sz w:val="26"/>
          <w:szCs w:val="26"/>
          <w:rtl/>
        </w:rPr>
      </w:pPr>
      <w:r w:rsidRPr="00F14737">
        <w:rPr>
          <w:rFonts w:ascii="Arial" w:hAnsi="Arial" w:hint="cs"/>
          <w:sz w:val="26"/>
          <w:szCs w:val="26"/>
          <w:rtl/>
        </w:rPr>
        <w:t xml:space="preserve">1. </w:t>
      </w:r>
      <w:r w:rsidRPr="00F14737">
        <w:rPr>
          <w:rFonts w:ascii="Arial" w:hAnsi="Arial"/>
          <w:sz w:val="26"/>
          <w:szCs w:val="26"/>
          <w:rtl/>
        </w:rPr>
        <w:tab/>
      </w:r>
      <w:bookmarkStart w:id="6" w:name="ABSTRACT_START"/>
      <w:bookmarkEnd w:id="6"/>
      <w:r w:rsidRPr="00F14737">
        <w:rPr>
          <w:rFonts w:ascii="Arial" w:hAnsi="Arial" w:hint="cs"/>
          <w:sz w:val="26"/>
          <w:szCs w:val="26"/>
          <w:rtl/>
        </w:rPr>
        <w:t xml:space="preserve">הנאשם הודה והורשע במסגרת הסדר טיעון שלא כלל הסכמה לעניין העונש בכתב אישום מתוקן המייחס לו שלושה אישומים, כולם עוסקים בעסקאות נשק שנערכו עם סוכן משטרתי סמוי. </w:t>
      </w:r>
    </w:p>
    <w:p w14:paraId="2AED6B5E" w14:textId="77777777" w:rsidR="00C977D1" w:rsidRPr="00F14737" w:rsidRDefault="00C977D1" w:rsidP="00C977D1">
      <w:pPr>
        <w:spacing w:after="240" w:line="360" w:lineRule="auto"/>
        <w:jc w:val="both"/>
        <w:rPr>
          <w:rFonts w:ascii="Arial" w:hAnsi="Arial"/>
          <w:sz w:val="26"/>
          <w:szCs w:val="26"/>
          <w:rtl/>
        </w:rPr>
      </w:pPr>
      <w:bookmarkStart w:id="7" w:name="ABSTRACT_END"/>
      <w:bookmarkEnd w:id="7"/>
      <w:r w:rsidRPr="00F14737">
        <w:rPr>
          <w:rFonts w:ascii="Arial" w:hAnsi="Arial" w:hint="cs"/>
          <w:sz w:val="26"/>
          <w:szCs w:val="26"/>
          <w:rtl/>
        </w:rPr>
        <w:t>2.</w:t>
      </w:r>
      <w:r w:rsidRPr="00F14737">
        <w:rPr>
          <w:rFonts w:ascii="Arial" w:hAnsi="Arial" w:hint="cs"/>
          <w:sz w:val="26"/>
          <w:szCs w:val="26"/>
          <w:rtl/>
        </w:rPr>
        <w:tab/>
      </w:r>
      <w:r w:rsidRPr="00F14737">
        <w:rPr>
          <w:rFonts w:ascii="Arial" w:hAnsi="Arial" w:hint="cs"/>
          <w:b/>
          <w:bCs/>
          <w:sz w:val="26"/>
          <w:szCs w:val="26"/>
          <w:rtl/>
        </w:rPr>
        <w:t>באישום הראשון</w:t>
      </w:r>
      <w:r w:rsidRPr="00F14737">
        <w:rPr>
          <w:rFonts w:ascii="Arial" w:hAnsi="Arial" w:hint="cs"/>
          <w:sz w:val="26"/>
          <w:szCs w:val="26"/>
          <w:rtl/>
        </w:rPr>
        <w:t xml:space="preserve"> מתואר כי ביום 20.2.21 יצר הסוכן המשטרתי קשר עם הנאשם וקבע להיפגש עמו כדי לרכוש ממנו אקדח 9 מ"מ ושתי קופסאות כדורים תואמים תמורת סכום של 36,000 ש"ח. השניים קבעו להיפגש למחרת בשעה 20:00 במחנה פליטים שועפאט. בסמוך לזמן המפגש הודיע הסוכן לנאשם שירכוש ממנו את הנשק ללא קופסאות הכדורים. הנאשם הגיע לנקודת המפגש כשהוא נושא עליו שני אקדחים. הוא נכנס לרכבו של הסוכן </w:t>
      </w:r>
      <w:r w:rsidRPr="00F14737">
        <w:rPr>
          <w:rFonts w:ascii="Arial" w:hAnsi="Arial" w:hint="cs"/>
          <w:sz w:val="26"/>
          <w:szCs w:val="26"/>
          <w:rtl/>
        </w:rPr>
        <w:lastRenderedPageBreak/>
        <w:t xml:space="preserve">והציע לו לרכוש את שני האקדחים, אקדח מסוג </w:t>
      </w:r>
      <w:r w:rsidRPr="00F14737">
        <w:rPr>
          <w:rFonts w:ascii="Arial" w:hAnsi="Arial" w:hint="cs"/>
          <w:sz w:val="26"/>
          <w:szCs w:val="26"/>
        </w:rPr>
        <w:t>FN</w:t>
      </w:r>
      <w:r w:rsidRPr="00F14737">
        <w:rPr>
          <w:rFonts w:ascii="Arial" w:hAnsi="Arial" w:hint="cs"/>
          <w:sz w:val="26"/>
          <w:szCs w:val="26"/>
          <w:rtl/>
        </w:rPr>
        <w:t xml:space="preserve"> פאראבלום תמורת 35,000 ₪ ואקדח מסוג גלוק תמורת 48,000 ש"ח. הסוכן המשטרתי, יחד עם סוכן נוסף בשם מוחמד שהיה עמו ברכב, בדקו את כלי הנשק המוצעים, והנאשם הציע לסוכן לנסוע מספר מטרים למקום נטוש כדי לירות מספר כדורים. הנאשם מסר לסוכן מוחמד את האקדח הבלגי כשהוא מוכן לירי עם מחסנית בתוך הבית וכדור בבית הבליעה, ומוחמד ירה שלושה כדורים לוודא את תקינות האקדח. לאחר מכן חזרו השלושה לנקודת המפגש והסוכן מסר לנאשם סכום של 35,000 ₪ בתמורה לאקדח הבלגי ולמחסנית. הנאשם הבטיח לסוכן שבעיסקה הבאה יתן לו תחמושת ללא תמורה. באישום זה הואשם הנאשם בעבירות של סחר בנשק לפי </w:t>
      </w:r>
      <w:hyperlink r:id="rId15" w:history="1">
        <w:r w:rsidR="005E0FD5" w:rsidRPr="005E0FD5">
          <w:rPr>
            <w:rStyle w:val="Hyperlink"/>
            <w:rFonts w:ascii="Arial" w:hAnsi="Arial" w:hint="eastAsia"/>
            <w:sz w:val="26"/>
            <w:szCs w:val="26"/>
            <w:rtl/>
          </w:rPr>
          <w:t>סעיף</w:t>
        </w:r>
        <w:r w:rsidR="005E0FD5" w:rsidRPr="005E0FD5">
          <w:rPr>
            <w:rStyle w:val="Hyperlink"/>
            <w:rFonts w:ascii="Arial" w:hAnsi="Arial"/>
            <w:sz w:val="26"/>
            <w:szCs w:val="26"/>
            <w:rtl/>
          </w:rPr>
          <w:t xml:space="preserve"> 144(ב2)</w:t>
        </w:r>
      </w:hyperlink>
      <w:r w:rsidRPr="00F14737">
        <w:rPr>
          <w:rFonts w:ascii="Arial" w:hAnsi="Arial" w:hint="cs"/>
          <w:sz w:val="26"/>
          <w:szCs w:val="26"/>
          <w:rtl/>
        </w:rPr>
        <w:t xml:space="preserve"> ל</w:t>
      </w:r>
      <w:hyperlink r:id="rId16" w:history="1">
        <w:r w:rsidR="00F44EB0" w:rsidRPr="00F44EB0">
          <w:rPr>
            <w:rFonts w:ascii="Arial" w:hAnsi="Arial"/>
            <w:color w:val="0000FF"/>
            <w:sz w:val="26"/>
            <w:szCs w:val="26"/>
            <w:u w:val="single"/>
            <w:rtl/>
          </w:rPr>
          <w:t>חוק העונשין</w:t>
        </w:r>
      </w:hyperlink>
      <w:r w:rsidRPr="00F14737">
        <w:rPr>
          <w:rFonts w:ascii="Arial" w:hAnsi="Arial" w:hint="cs"/>
          <w:sz w:val="26"/>
          <w:szCs w:val="26"/>
          <w:rtl/>
        </w:rPr>
        <w:t xml:space="preserve"> תשל"ז-1977 (להלן: </w:t>
      </w:r>
      <w:r w:rsidRPr="00F14737">
        <w:rPr>
          <w:rFonts w:ascii="Arial" w:hAnsi="Arial" w:hint="cs"/>
          <w:b/>
          <w:bCs/>
          <w:sz w:val="26"/>
          <w:szCs w:val="26"/>
          <w:rtl/>
        </w:rPr>
        <w:t>חוק העונשין; החוק</w:t>
      </w:r>
      <w:r w:rsidRPr="00F14737">
        <w:rPr>
          <w:rFonts w:ascii="Arial" w:hAnsi="Arial" w:hint="cs"/>
          <w:sz w:val="26"/>
          <w:szCs w:val="26"/>
          <w:rtl/>
        </w:rPr>
        <w:t xml:space="preserve">), ובנשיאה והובלה של נשק לפי </w:t>
      </w:r>
      <w:hyperlink r:id="rId17" w:history="1">
        <w:r w:rsidR="005E0FD5" w:rsidRPr="005E0FD5">
          <w:rPr>
            <w:rStyle w:val="Hyperlink"/>
            <w:rFonts w:ascii="Arial" w:hAnsi="Arial" w:hint="eastAsia"/>
            <w:sz w:val="26"/>
            <w:szCs w:val="26"/>
            <w:rtl/>
          </w:rPr>
          <w:t>סעיף</w:t>
        </w:r>
        <w:r w:rsidR="005E0FD5" w:rsidRPr="005E0FD5">
          <w:rPr>
            <w:rStyle w:val="Hyperlink"/>
            <w:rFonts w:ascii="Arial" w:hAnsi="Arial"/>
            <w:sz w:val="26"/>
            <w:szCs w:val="26"/>
            <w:rtl/>
          </w:rPr>
          <w:t xml:space="preserve"> 144(ב)</w:t>
        </w:r>
      </w:hyperlink>
      <w:r w:rsidRPr="00F14737">
        <w:rPr>
          <w:rFonts w:ascii="Arial" w:hAnsi="Arial" w:hint="cs"/>
          <w:sz w:val="26"/>
          <w:szCs w:val="26"/>
          <w:rtl/>
        </w:rPr>
        <w:t xml:space="preserve"> לחוק. </w:t>
      </w:r>
    </w:p>
    <w:p w14:paraId="713CBFC6" w14:textId="77777777" w:rsidR="00C977D1" w:rsidRPr="00F14737" w:rsidRDefault="00C977D1" w:rsidP="00C977D1">
      <w:pPr>
        <w:spacing w:after="240" w:line="360" w:lineRule="auto"/>
        <w:ind w:firstLine="720"/>
        <w:jc w:val="both"/>
        <w:rPr>
          <w:rFonts w:ascii="Arial" w:hAnsi="Arial"/>
          <w:sz w:val="26"/>
          <w:szCs w:val="26"/>
          <w:rtl/>
        </w:rPr>
      </w:pPr>
      <w:r w:rsidRPr="00F14737">
        <w:rPr>
          <w:rFonts w:ascii="Arial" w:hAnsi="Arial" w:hint="cs"/>
          <w:b/>
          <w:bCs/>
          <w:sz w:val="26"/>
          <w:szCs w:val="26"/>
          <w:rtl/>
        </w:rPr>
        <w:t>באישום השני</w:t>
      </w:r>
      <w:r w:rsidRPr="00F14737">
        <w:rPr>
          <w:rFonts w:ascii="Arial" w:hAnsi="Arial" w:hint="cs"/>
          <w:sz w:val="26"/>
          <w:szCs w:val="26"/>
          <w:rtl/>
        </w:rPr>
        <w:t xml:space="preserve"> מתואר כי ביום 1.3.21 יצר הסוכן קשר עם הנאשם וביקש לרכוש את אקדח הגלוק שהוצע לו בעסקה הקודמת. הנאשם השיב כי הגלוק נמכר, אך הציע למכור לסוכן אקדח אחר תמורת 53,000 ₪. השניים סיכמו בשיחה על מכירת אקדח 9 מ"מ ושתי מחסניות תואמות תמורת 50,000 ₪, כשמרבית הסכום ישולם בעת ביצוע העסקה וסכום של 2,000 ₪ ישולם במועד אחר. ביום 3.3.21 שוחחו הנאשם והסוכן פעם נוספת והסוכן הודיע שהצליח לגייס סכום של 48,500 ₪ ואת היתרה ישלם מאוחר יותר. בשעה 20:00 נפגשו השניים בהתאם לסיכום ביניהם בנקודת המפגש. הנאשם הגיע למקום בקטנוע, כשהוא נושא מזוודה ובה אקדח חצי אוטומטי תוצרת הקלר וקוח, גרמניה, קליבר 9 מ"מ פרבלום עם מחסנית תואמת ושלושה כדורים. הנאשם נכנס לרכבו של הסוכן ומסר לסוכן מוחמד את האקדח. השלושה נסעו כמה מטרים למקום נטוש, הנאשם הכניס למחסנית שלושה כדורים ומסר את האקדח למוחמד, שירה את הכדורים לוודא תקינות האקדח. הנאשם סיכם עם הסוכן שמחסנית תואמת נוספת תימסר לו במפגש הבא ולאחר שישלים את התמורה עבור האקדח. השלושה חזרו לנקודת המפגש, הסוכן שילם לנאשם וקיבל את האקדח. כמו כן קיבל ללא תמורה קופסת כדורי 9 מ"מ. באישום זה יוחסה לנאשם עבירה של סחר בנשק לפי </w:t>
      </w:r>
      <w:hyperlink r:id="rId18" w:history="1">
        <w:r w:rsidR="005E0FD5" w:rsidRPr="005E0FD5">
          <w:rPr>
            <w:rStyle w:val="Hyperlink"/>
            <w:rFonts w:ascii="Arial" w:hAnsi="Arial" w:hint="eastAsia"/>
            <w:sz w:val="26"/>
            <w:szCs w:val="26"/>
            <w:rtl/>
          </w:rPr>
          <w:t>סעיף</w:t>
        </w:r>
        <w:r w:rsidR="005E0FD5" w:rsidRPr="005E0FD5">
          <w:rPr>
            <w:rStyle w:val="Hyperlink"/>
            <w:rFonts w:ascii="Arial" w:hAnsi="Arial"/>
            <w:sz w:val="26"/>
            <w:szCs w:val="26"/>
            <w:rtl/>
          </w:rPr>
          <w:t xml:space="preserve"> 144(ב2)</w:t>
        </w:r>
      </w:hyperlink>
      <w:r w:rsidRPr="00F14737">
        <w:rPr>
          <w:rFonts w:ascii="Arial" w:hAnsi="Arial" w:hint="cs"/>
          <w:sz w:val="26"/>
          <w:szCs w:val="26"/>
          <w:rtl/>
        </w:rPr>
        <w:t xml:space="preserve"> ל</w:t>
      </w:r>
      <w:hyperlink r:id="rId19" w:history="1">
        <w:r w:rsidR="00F44EB0" w:rsidRPr="00F44EB0">
          <w:rPr>
            <w:rFonts w:ascii="Arial" w:hAnsi="Arial"/>
            <w:color w:val="0000FF"/>
            <w:sz w:val="26"/>
            <w:szCs w:val="26"/>
            <w:u w:val="single"/>
            <w:rtl/>
          </w:rPr>
          <w:t>חוק העונשין</w:t>
        </w:r>
      </w:hyperlink>
      <w:r w:rsidRPr="00F14737">
        <w:rPr>
          <w:rFonts w:ascii="Arial" w:hAnsi="Arial" w:hint="cs"/>
          <w:sz w:val="26"/>
          <w:szCs w:val="26"/>
          <w:rtl/>
        </w:rPr>
        <w:t xml:space="preserve">. </w:t>
      </w:r>
    </w:p>
    <w:p w14:paraId="42960BD6" w14:textId="77777777" w:rsidR="00C977D1" w:rsidRPr="00F14737" w:rsidRDefault="00C977D1" w:rsidP="00C977D1">
      <w:pPr>
        <w:spacing w:after="240" w:line="360" w:lineRule="auto"/>
        <w:ind w:firstLine="720"/>
        <w:jc w:val="both"/>
        <w:rPr>
          <w:rFonts w:ascii="Arial" w:hAnsi="Arial"/>
          <w:sz w:val="26"/>
          <w:szCs w:val="26"/>
          <w:rtl/>
        </w:rPr>
      </w:pPr>
      <w:r w:rsidRPr="00F14737">
        <w:rPr>
          <w:rFonts w:ascii="Arial" w:hAnsi="Arial" w:hint="cs"/>
          <w:b/>
          <w:bCs/>
          <w:sz w:val="26"/>
          <w:szCs w:val="26"/>
          <w:rtl/>
        </w:rPr>
        <w:t>האישום השלישי</w:t>
      </w:r>
      <w:r w:rsidRPr="00F14737">
        <w:rPr>
          <w:rFonts w:ascii="Arial" w:hAnsi="Arial" w:hint="cs"/>
          <w:sz w:val="26"/>
          <w:szCs w:val="26"/>
          <w:rtl/>
        </w:rPr>
        <w:t xml:space="preserve"> אף הוא מתאר עסקה בין הנאשם לסוכן, כאשר התיאום התבצע בשיחת טלפון ביום 20.3.21. העסקה כללה מכירת אקדח 9 מ"מ וארבע קופסאות כדורים תמורת 39,200 ₪. בשיחה ביום 22.3.21 הודיע הנאשם לסוכן שלא עלה בידו להשיג כדורים והתמורה הופחתה ל-37,000 ₪. הסוכן ביקש מהנאשם להביא עמו אקדח נוסף שהציע למכור לו בעבר. הצדדים הגיעו לנקודת המפגש, הנאשם הגיע כשהוא רכוב על אופנוע שנמסרה לגביו הודעת אי שימוש ונשא עמו שני אקדחים, האחד תוצאת סמית ו-ווטססון, </w:t>
      </w:r>
      <w:r w:rsidRPr="00F14737">
        <w:rPr>
          <w:rFonts w:ascii="Arial" w:hAnsi="Arial" w:hint="cs"/>
          <w:sz w:val="26"/>
          <w:szCs w:val="26"/>
          <w:rtl/>
        </w:rPr>
        <w:lastRenderedPageBreak/>
        <w:t xml:space="preserve">ארה"ב, קליבר 9 מ"מ פראבלום, והשני אקדח חצי אוטומטי מסוג גלוק תוצרת אוסטריה, אף הוא 9 מ"מ פראבלום. הנאשם נכנס לרכבו של הסוכן והציע לו את האקדחים תמורת סכומים של 36,000 ₪ ו-48,000 ₪. נאשם 2 הגיע אף הוא לנקודת המפגש על אופנוע והביא מזוודה ובה מחסנית ואבזרי נשק נוספים, אותה מסר לנאשם. הנאשם והסוכן ניהלו משא ומתן, במהלכו הודיע הנאשם כי באפשרותו להציע למכירה אקדח נוסף. הוא התקשר לנאשם 2 וזה הביא אקדח חצי אוטומטי </w:t>
      </w:r>
      <w:r w:rsidRPr="00F14737">
        <w:rPr>
          <w:rFonts w:ascii="Arial" w:hAnsi="Arial" w:hint="cs"/>
          <w:sz w:val="26"/>
          <w:szCs w:val="26"/>
        </w:rPr>
        <w:t>D.D.G</w:t>
      </w:r>
      <w:r w:rsidRPr="00F14737">
        <w:rPr>
          <w:rFonts w:ascii="Arial" w:hAnsi="Arial" w:hint="cs"/>
          <w:sz w:val="26"/>
          <w:szCs w:val="26"/>
          <w:rtl/>
        </w:rPr>
        <w:t xml:space="preserve"> עם מחסנית ריקה תואמת. הנאשם מסר למוחמד את שלושת האקדחים ומחסנית הכוללת 4 כדורים, השלושה נסעו למקום הנטוש ומוחמד ירה בכל אחד מהאקדחים כדי לוודא את תקינותו. לאחר מכן חזרו לנקודת המפגש. הסוכן מסר לנאשם כסף תמורת האקדח וכן את יתרת התשלום בגין העסקה הקודמת, ובעת ספירת הכסף נעצר הנאשם. </w:t>
      </w:r>
    </w:p>
    <w:p w14:paraId="1150E2CB" w14:textId="77777777" w:rsidR="00C977D1" w:rsidRPr="00F14737" w:rsidRDefault="00C977D1" w:rsidP="00C977D1">
      <w:pPr>
        <w:spacing w:after="240" w:line="360" w:lineRule="auto"/>
        <w:ind w:firstLine="720"/>
        <w:jc w:val="both"/>
        <w:rPr>
          <w:rFonts w:ascii="Arial" w:hAnsi="Arial"/>
          <w:sz w:val="26"/>
          <w:szCs w:val="26"/>
          <w:rtl/>
        </w:rPr>
      </w:pPr>
      <w:r w:rsidRPr="00F14737">
        <w:rPr>
          <w:rFonts w:ascii="Arial" w:hAnsi="Arial" w:hint="cs"/>
          <w:sz w:val="26"/>
          <w:szCs w:val="26"/>
          <w:rtl/>
        </w:rPr>
        <w:t xml:space="preserve">באישום זה הואשם הנאשם והודה בעבירות של ניסיון סחר בנשק ובאביזרי נשק לפי </w:t>
      </w:r>
      <w:hyperlink r:id="rId20" w:history="1">
        <w:r w:rsidR="005E0FD5" w:rsidRPr="005E0FD5">
          <w:rPr>
            <w:rStyle w:val="Hyperlink"/>
            <w:rFonts w:ascii="Arial" w:hAnsi="Arial" w:hint="eastAsia"/>
            <w:sz w:val="26"/>
            <w:szCs w:val="26"/>
            <w:rtl/>
          </w:rPr>
          <w:t>סעיף</w:t>
        </w:r>
        <w:r w:rsidR="005E0FD5" w:rsidRPr="005E0FD5">
          <w:rPr>
            <w:rStyle w:val="Hyperlink"/>
            <w:rFonts w:ascii="Arial" w:hAnsi="Arial"/>
            <w:sz w:val="26"/>
            <w:szCs w:val="26"/>
            <w:rtl/>
          </w:rPr>
          <w:t xml:space="preserve"> 144(ב2)</w:t>
        </w:r>
      </w:hyperlink>
      <w:r w:rsidRPr="00F14737">
        <w:rPr>
          <w:rFonts w:ascii="Arial" w:hAnsi="Arial" w:hint="cs"/>
          <w:sz w:val="26"/>
          <w:szCs w:val="26"/>
          <w:rtl/>
        </w:rPr>
        <w:t xml:space="preserve"> עם </w:t>
      </w:r>
      <w:hyperlink r:id="rId21" w:history="1">
        <w:r w:rsidR="005E0FD5" w:rsidRPr="005E0FD5">
          <w:rPr>
            <w:rStyle w:val="Hyperlink"/>
            <w:rFonts w:ascii="Arial" w:hAnsi="Arial" w:hint="eastAsia"/>
            <w:sz w:val="26"/>
            <w:szCs w:val="26"/>
            <w:rtl/>
          </w:rPr>
          <w:t>סעיף</w:t>
        </w:r>
        <w:r w:rsidR="005E0FD5" w:rsidRPr="005E0FD5">
          <w:rPr>
            <w:rStyle w:val="Hyperlink"/>
            <w:rFonts w:ascii="Arial" w:hAnsi="Arial"/>
            <w:sz w:val="26"/>
            <w:szCs w:val="26"/>
            <w:rtl/>
          </w:rPr>
          <w:t xml:space="preserve"> 29</w:t>
        </w:r>
      </w:hyperlink>
      <w:r w:rsidRPr="00F14737">
        <w:rPr>
          <w:rFonts w:ascii="Arial" w:hAnsi="Arial" w:hint="cs"/>
          <w:sz w:val="26"/>
          <w:szCs w:val="26"/>
          <w:rtl/>
        </w:rPr>
        <w:t xml:space="preserve"> ל</w:t>
      </w:r>
      <w:hyperlink r:id="rId22" w:history="1">
        <w:r w:rsidR="00F44EB0" w:rsidRPr="00F44EB0">
          <w:rPr>
            <w:rFonts w:ascii="Arial" w:hAnsi="Arial"/>
            <w:color w:val="0000FF"/>
            <w:sz w:val="26"/>
            <w:szCs w:val="26"/>
            <w:u w:val="single"/>
            <w:rtl/>
          </w:rPr>
          <w:t>חוק העונשין</w:t>
        </w:r>
      </w:hyperlink>
      <w:r w:rsidRPr="00F14737">
        <w:rPr>
          <w:rFonts w:ascii="Arial" w:hAnsi="Arial" w:hint="cs"/>
          <w:sz w:val="26"/>
          <w:szCs w:val="26"/>
          <w:rtl/>
        </w:rPr>
        <w:t xml:space="preserve">, נשיאה והובלת נשק לפי </w:t>
      </w:r>
      <w:hyperlink r:id="rId23" w:history="1">
        <w:r w:rsidR="005E0FD5" w:rsidRPr="005E0FD5">
          <w:rPr>
            <w:rStyle w:val="Hyperlink"/>
            <w:rFonts w:ascii="Arial" w:hAnsi="Arial" w:hint="eastAsia"/>
            <w:sz w:val="26"/>
            <w:szCs w:val="26"/>
            <w:rtl/>
          </w:rPr>
          <w:t>סעיף</w:t>
        </w:r>
        <w:r w:rsidR="005E0FD5" w:rsidRPr="005E0FD5">
          <w:rPr>
            <w:rStyle w:val="Hyperlink"/>
            <w:rFonts w:ascii="Arial" w:hAnsi="Arial"/>
            <w:sz w:val="26"/>
            <w:szCs w:val="26"/>
            <w:rtl/>
          </w:rPr>
          <w:t xml:space="preserve"> 144(ב)</w:t>
        </w:r>
      </w:hyperlink>
      <w:r w:rsidRPr="00F14737">
        <w:rPr>
          <w:rFonts w:ascii="Arial" w:hAnsi="Arial" w:hint="cs"/>
          <w:sz w:val="26"/>
          <w:szCs w:val="26"/>
          <w:rtl/>
        </w:rPr>
        <w:t xml:space="preserve"> לחוק, נהיגה ללא רשיון נהיגה תקף לפי </w:t>
      </w:r>
      <w:hyperlink r:id="rId24" w:history="1">
        <w:r w:rsidR="005E0FD5" w:rsidRPr="005E0FD5">
          <w:rPr>
            <w:rStyle w:val="Hyperlink"/>
            <w:rFonts w:ascii="Arial" w:hAnsi="Arial" w:hint="eastAsia"/>
            <w:sz w:val="26"/>
            <w:szCs w:val="26"/>
            <w:rtl/>
          </w:rPr>
          <w:t>סעיף</w:t>
        </w:r>
        <w:r w:rsidR="005E0FD5" w:rsidRPr="005E0FD5">
          <w:rPr>
            <w:rStyle w:val="Hyperlink"/>
            <w:rFonts w:ascii="Arial" w:hAnsi="Arial"/>
            <w:sz w:val="26"/>
            <w:szCs w:val="26"/>
            <w:rtl/>
          </w:rPr>
          <w:t xml:space="preserve"> 10(א)</w:t>
        </w:r>
      </w:hyperlink>
      <w:r w:rsidRPr="00F14737">
        <w:rPr>
          <w:rFonts w:ascii="Arial" w:hAnsi="Arial" w:hint="cs"/>
          <w:sz w:val="26"/>
          <w:szCs w:val="26"/>
          <w:rtl/>
        </w:rPr>
        <w:t xml:space="preserve"> ל</w:t>
      </w:r>
      <w:hyperlink r:id="rId25" w:history="1">
        <w:r w:rsidR="00F44EB0" w:rsidRPr="00F44EB0">
          <w:rPr>
            <w:rFonts w:ascii="Arial" w:hAnsi="Arial"/>
            <w:color w:val="0000FF"/>
            <w:sz w:val="26"/>
            <w:szCs w:val="26"/>
            <w:u w:val="single"/>
            <w:rtl/>
          </w:rPr>
          <w:t>פקודת התעבורה</w:t>
        </w:r>
      </w:hyperlink>
      <w:r w:rsidRPr="00F14737">
        <w:rPr>
          <w:rFonts w:ascii="Arial" w:hAnsi="Arial" w:hint="cs"/>
          <w:sz w:val="26"/>
          <w:szCs w:val="26"/>
          <w:rtl/>
        </w:rPr>
        <w:t xml:space="preserve"> [נוסח חדש] (להלן: </w:t>
      </w:r>
      <w:r w:rsidRPr="00F14737">
        <w:rPr>
          <w:rFonts w:ascii="Arial" w:hAnsi="Arial" w:hint="cs"/>
          <w:b/>
          <w:bCs/>
          <w:sz w:val="26"/>
          <w:szCs w:val="26"/>
          <w:rtl/>
        </w:rPr>
        <w:t>פקודת התעבורה</w:t>
      </w:r>
      <w:r w:rsidRPr="00F14737">
        <w:rPr>
          <w:rFonts w:ascii="Arial" w:hAnsi="Arial" w:hint="cs"/>
          <w:sz w:val="26"/>
          <w:szCs w:val="26"/>
          <w:rtl/>
        </w:rPr>
        <w:t xml:space="preserve">) בצירוף </w:t>
      </w:r>
      <w:hyperlink r:id="rId26" w:history="1">
        <w:r w:rsidR="005E0FD5" w:rsidRPr="005E0FD5">
          <w:rPr>
            <w:rStyle w:val="Hyperlink"/>
            <w:rFonts w:ascii="Arial" w:hAnsi="Arial" w:hint="eastAsia"/>
            <w:sz w:val="26"/>
            <w:szCs w:val="26"/>
            <w:rtl/>
          </w:rPr>
          <w:t>סעיף</w:t>
        </w:r>
        <w:r w:rsidR="005E0FD5" w:rsidRPr="005E0FD5">
          <w:rPr>
            <w:rStyle w:val="Hyperlink"/>
            <w:rFonts w:ascii="Arial" w:hAnsi="Arial"/>
            <w:sz w:val="26"/>
            <w:szCs w:val="26"/>
            <w:rtl/>
          </w:rPr>
          <w:t xml:space="preserve"> 38</w:t>
        </w:r>
      </w:hyperlink>
      <w:r w:rsidRPr="00F14737">
        <w:rPr>
          <w:rFonts w:ascii="Arial" w:hAnsi="Arial" w:hint="cs"/>
          <w:sz w:val="26"/>
          <w:szCs w:val="26"/>
          <w:rtl/>
        </w:rPr>
        <w:t xml:space="preserve"> לפקודה זו, ונהיגה ברכב עליו נמסרה הודעת שימוש לפי סעיף </w:t>
      </w:r>
      <w:hyperlink r:id="rId27" w:history="1">
        <w:r w:rsidR="005E0FD5" w:rsidRPr="005E0FD5">
          <w:rPr>
            <w:rStyle w:val="Hyperlink"/>
            <w:rFonts w:ascii="Arial" w:hAnsi="Arial"/>
            <w:sz w:val="26"/>
            <w:szCs w:val="26"/>
            <w:rtl/>
          </w:rPr>
          <w:t>308 (ד)</w:t>
        </w:r>
      </w:hyperlink>
      <w:r w:rsidRPr="00F14737">
        <w:rPr>
          <w:rFonts w:ascii="Arial" w:hAnsi="Arial" w:hint="cs"/>
          <w:sz w:val="26"/>
          <w:szCs w:val="26"/>
          <w:rtl/>
        </w:rPr>
        <w:t xml:space="preserve"> לפקודת התעבורה.</w:t>
      </w:r>
    </w:p>
    <w:p w14:paraId="67193540" w14:textId="77777777" w:rsidR="00C977D1" w:rsidRPr="00F14737" w:rsidRDefault="00C977D1" w:rsidP="00C977D1">
      <w:pPr>
        <w:spacing w:after="240" w:line="360" w:lineRule="auto"/>
        <w:jc w:val="both"/>
        <w:rPr>
          <w:rFonts w:ascii="Arial" w:hAnsi="Arial"/>
          <w:b/>
          <w:bCs/>
          <w:sz w:val="26"/>
          <w:szCs w:val="26"/>
          <w:rtl/>
        </w:rPr>
      </w:pPr>
      <w:r w:rsidRPr="00F14737">
        <w:rPr>
          <w:rFonts w:ascii="Arial" w:hAnsi="Arial" w:hint="cs"/>
          <w:b/>
          <w:bCs/>
          <w:sz w:val="26"/>
          <w:szCs w:val="26"/>
          <w:rtl/>
        </w:rPr>
        <w:t xml:space="preserve">טיעוני הצדדים   </w:t>
      </w:r>
    </w:p>
    <w:p w14:paraId="4D1CB83C" w14:textId="77777777" w:rsidR="00C977D1" w:rsidRPr="00F14737" w:rsidRDefault="00C977D1" w:rsidP="00C977D1">
      <w:pPr>
        <w:spacing w:after="240" w:line="360" w:lineRule="auto"/>
        <w:jc w:val="both"/>
        <w:rPr>
          <w:rFonts w:ascii="Arial" w:hAnsi="Arial"/>
          <w:sz w:val="26"/>
          <w:szCs w:val="26"/>
          <w:rtl/>
        </w:rPr>
      </w:pPr>
      <w:r w:rsidRPr="00F14737">
        <w:rPr>
          <w:rFonts w:ascii="Arial" w:hAnsi="Arial" w:hint="cs"/>
          <w:sz w:val="26"/>
          <w:szCs w:val="26"/>
          <w:rtl/>
        </w:rPr>
        <w:t xml:space="preserve"> 3. </w:t>
      </w:r>
      <w:r w:rsidRPr="00F14737">
        <w:rPr>
          <w:rFonts w:ascii="Arial" w:hAnsi="Arial"/>
          <w:sz w:val="26"/>
          <w:szCs w:val="26"/>
          <w:rtl/>
        </w:rPr>
        <w:tab/>
      </w:r>
      <w:r w:rsidRPr="00F14737">
        <w:rPr>
          <w:rFonts w:ascii="Arial" w:hAnsi="Arial" w:hint="cs"/>
          <w:b/>
          <w:bCs/>
          <w:sz w:val="26"/>
          <w:szCs w:val="26"/>
          <w:rtl/>
        </w:rPr>
        <w:t>ב"כ המאשימה</w:t>
      </w:r>
      <w:r w:rsidRPr="00F14737">
        <w:rPr>
          <w:rFonts w:ascii="Arial" w:hAnsi="Arial" w:hint="cs"/>
          <w:sz w:val="26"/>
          <w:szCs w:val="26"/>
          <w:rtl/>
        </w:rPr>
        <w:t xml:space="preserve"> עמד בטיעוניו על כך שהנאשם הורשע בשלושה אישומים נפרדים, שבכל אחד מהם הביא עמו שני כלי נשק ובאישום השלישי בעקבות שיחת טלפון הביא אקדח נוסף. מבחינת נסיבות העבירה, טען, הנאשם לא שימש כצינור אלא היה הרוח החיה מאחורי העסקאות. הוא ששוחח עם הסוכן והוא שהביא את כלי הנשק. ניכר כי היתה לו גישה לכלי הנשק וזמינות גבוהה שלהם והוא אף הרוויח סכומי כסף גדולים. עוד טען ב"כ המאשימה כי כלי הנשק הבלתי חוקיים והשימוש שנעשה בהם גורמים מידי יום לנזק וצער רב, ועל בית המשפט להצטרף למאבק בתופעה. לטענתו מעשיו של הנאשם פוגעים בערך של שמירה על חיי אדם ושמירת הסדר הציבורי, ומידת הפגיעה במקרה זה חמורה מאד. </w:t>
      </w:r>
    </w:p>
    <w:p w14:paraId="61D4A36C" w14:textId="77777777" w:rsidR="00C977D1" w:rsidRPr="00F14737" w:rsidRDefault="00C977D1" w:rsidP="00C977D1">
      <w:pPr>
        <w:spacing w:after="240" w:line="360" w:lineRule="auto"/>
        <w:ind w:firstLine="720"/>
        <w:jc w:val="both"/>
        <w:rPr>
          <w:rFonts w:ascii="Arial" w:hAnsi="Arial"/>
          <w:sz w:val="26"/>
          <w:szCs w:val="26"/>
          <w:rtl/>
        </w:rPr>
      </w:pPr>
      <w:r w:rsidRPr="00F14737">
        <w:rPr>
          <w:rFonts w:ascii="Arial" w:hAnsi="Arial" w:hint="cs"/>
          <w:sz w:val="26"/>
          <w:szCs w:val="26"/>
          <w:rtl/>
        </w:rPr>
        <w:t>בעניין מדיניות הענישה הדגיש ב"כ המאשימה כי אין מדובר בפרמטר יחיד, וכי  מהפסיקה עולה כי חלה החמרה ברמת הענישה וכי יש מקום להחמרה נוספת. המגמה של החמרת הענישה עולה גם מתיקוני חקיקה, אשר אמנם אינם חלים במקרה זה אך מעידים על עמדת המחוקק.</w:t>
      </w:r>
    </w:p>
    <w:p w14:paraId="358E46F8" w14:textId="77777777" w:rsidR="00C977D1" w:rsidRPr="00F14737" w:rsidRDefault="00C977D1" w:rsidP="00C977D1">
      <w:pPr>
        <w:spacing w:after="240" w:line="360" w:lineRule="auto"/>
        <w:ind w:firstLine="720"/>
        <w:jc w:val="both"/>
        <w:rPr>
          <w:rFonts w:ascii="Arial" w:hAnsi="Arial"/>
          <w:sz w:val="26"/>
          <w:szCs w:val="26"/>
          <w:rtl/>
        </w:rPr>
      </w:pPr>
      <w:r w:rsidRPr="00F14737">
        <w:rPr>
          <w:rFonts w:ascii="Arial" w:hAnsi="Arial" w:hint="cs"/>
          <w:sz w:val="26"/>
          <w:szCs w:val="26"/>
          <w:rtl/>
        </w:rPr>
        <w:t>המאשימה ביקשה לקבוע מתחם ענישה בין 42-72 חודשי מאסר לעל עבירה של סחר בנשק ו-24-48 חודש לכל עבירה של נשיאת נשק, עם אפשרות לחפיפה מסויימת בין האישומים.</w:t>
      </w:r>
    </w:p>
    <w:p w14:paraId="2E455EAD" w14:textId="77777777" w:rsidR="00C977D1" w:rsidRPr="00F14737" w:rsidRDefault="00C977D1" w:rsidP="00C977D1">
      <w:pPr>
        <w:spacing w:after="240" w:line="360" w:lineRule="auto"/>
        <w:ind w:firstLine="720"/>
        <w:jc w:val="both"/>
        <w:rPr>
          <w:rFonts w:ascii="Arial" w:hAnsi="Arial"/>
          <w:sz w:val="26"/>
          <w:szCs w:val="26"/>
          <w:rtl/>
        </w:rPr>
      </w:pPr>
      <w:r w:rsidRPr="00F14737">
        <w:rPr>
          <w:rFonts w:ascii="Arial" w:hAnsi="Arial" w:hint="cs"/>
          <w:sz w:val="26"/>
          <w:szCs w:val="26"/>
          <w:rtl/>
        </w:rPr>
        <w:t xml:space="preserve">באשר לנסיבות שאינן קשורות בביצוע העבירה, ב"כ המאשימה ציין כי הנאשם הודה וחסך זמן, ומאידך כי התסקיר בעניינו אינו חיובי. בהתחשב בצורך בהרתעת היחיד והרבים ביקש ב"כ המאשימה לגזור על הנאשם 8 שנות מאסר בפועל, מאסר על תנאי וקנס משמעותי.  </w:t>
      </w:r>
    </w:p>
    <w:p w14:paraId="364DF0BC" w14:textId="77777777" w:rsidR="00C977D1" w:rsidRPr="00F14737" w:rsidRDefault="00C977D1" w:rsidP="00C977D1">
      <w:pPr>
        <w:spacing w:after="240" w:line="360" w:lineRule="auto"/>
        <w:jc w:val="both"/>
        <w:rPr>
          <w:rFonts w:ascii="Arial" w:hAnsi="Arial"/>
          <w:sz w:val="26"/>
          <w:szCs w:val="26"/>
          <w:rtl/>
        </w:rPr>
      </w:pPr>
      <w:r w:rsidRPr="00F14737">
        <w:rPr>
          <w:rFonts w:ascii="Arial" w:hAnsi="Arial" w:hint="cs"/>
          <w:sz w:val="26"/>
          <w:szCs w:val="26"/>
          <w:rtl/>
        </w:rPr>
        <w:t>4.</w:t>
      </w:r>
      <w:r w:rsidRPr="00F14737">
        <w:rPr>
          <w:rFonts w:ascii="Arial" w:hAnsi="Arial" w:hint="cs"/>
          <w:sz w:val="26"/>
          <w:szCs w:val="26"/>
          <w:rtl/>
        </w:rPr>
        <w:tab/>
      </w:r>
      <w:r w:rsidRPr="00F14737">
        <w:rPr>
          <w:rFonts w:ascii="Arial" w:hAnsi="Arial" w:hint="cs"/>
          <w:b/>
          <w:bCs/>
          <w:sz w:val="26"/>
          <w:szCs w:val="26"/>
          <w:rtl/>
        </w:rPr>
        <w:t xml:space="preserve">ב"כ הנאשם </w:t>
      </w:r>
      <w:r w:rsidRPr="00F14737">
        <w:rPr>
          <w:rFonts w:ascii="Arial" w:hAnsi="Arial" w:hint="cs"/>
          <w:sz w:val="26"/>
          <w:szCs w:val="26"/>
          <w:rtl/>
        </w:rPr>
        <w:t xml:space="preserve">ציין בטיעוניו כי הנאשם ללא עבר פלילי, הודה במיוחס לו וחסך זמן. הוא הוסיף כי העבירה של נשיאת הנשק נבלעת בעבירת הסחר, יש להעניש את הנאשם פעם אחת ואין מקום "לפרק לגורמים" את האירוע. עוד טען כי נשיאת הנשק היתה קצרה מאד, שכן הרוכש הגיע אל הנאשם, וכי כל העבירות בוצעו בתוך תקופה קצרה של 28 יום, כאשר היוזמה והפניה נעשו על ידי הסוכן. הסניגור הוסיף עוד כי באירוע מעורב נוסף, נאשם 2, והוא שהיה הולך ומביא את כלי הנשק אל הנאשם. </w:t>
      </w:r>
    </w:p>
    <w:p w14:paraId="671926A0" w14:textId="77777777" w:rsidR="00C977D1" w:rsidRPr="00F14737" w:rsidRDefault="00C977D1" w:rsidP="00C977D1">
      <w:pPr>
        <w:spacing w:after="240" w:line="360" w:lineRule="auto"/>
        <w:ind w:firstLine="720"/>
        <w:jc w:val="both"/>
        <w:rPr>
          <w:rFonts w:ascii="Arial" w:hAnsi="Arial"/>
          <w:sz w:val="26"/>
          <w:szCs w:val="26"/>
          <w:rtl/>
        </w:rPr>
      </w:pPr>
      <w:r w:rsidRPr="00F14737">
        <w:rPr>
          <w:rFonts w:ascii="Arial" w:hAnsi="Arial" w:hint="cs"/>
          <w:sz w:val="26"/>
          <w:szCs w:val="26"/>
          <w:rtl/>
        </w:rPr>
        <w:t xml:space="preserve">לעניין מתחם הענישה טען הסניגור כי כל העסקאות בוצעו בין אותם שלושה מעורבים, טיב ה"סחורה" היה דומה והתשלום ניתן מאותו אדם ולאותו אדם. לפיכך מדובר, לטענתו, באירוע אחד שיש לקבוע בגינו מתחם ענישה אחד. הוא הוסיף כי מדובר במכירה של אקדחים ולא של נשק ארוך, וכי הנאשם לא קיבל לכיסו את כל הסכומים ששולמו אלא עמלה בלבד. לאור כל אלה ביקש הסניגור לקבוע מתחם ענישה בין 20-40 חודשי מאסר לכלל האישומים.  </w:t>
      </w:r>
    </w:p>
    <w:p w14:paraId="4AEBA928" w14:textId="77777777" w:rsidR="00C977D1" w:rsidRPr="00F14737" w:rsidRDefault="00C977D1" w:rsidP="00C977D1">
      <w:pPr>
        <w:spacing w:after="240" w:line="360" w:lineRule="auto"/>
        <w:ind w:firstLine="720"/>
        <w:jc w:val="both"/>
        <w:rPr>
          <w:rFonts w:ascii="Arial" w:hAnsi="Arial"/>
          <w:sz w:val="26"/>
          <w:szCs w:val="26"/>
          <w:rtl/>
        </w:rPr>
      </w:pPr>
      <w:r w:rsidRPr="00F14737">
        <w:rPr>
          <w:rFonts w:ascii="Arial" w:hAnsi="Arial" w:hint="cs"/>
          <w:sz w:val="26"/>
          <w:szCs w:val="26"/>
          <w:rtl/>
        </w:rPr>
        <w:t xml:space="preserve">במסגרת המתחם טען הסניגור כי הנאשם הועמד לדין בתיק זה לראשונה וכי תסקיר שירות המבחן מצביע על עובדות חיוביות: הנאשם משלים עתה לימודים לשיפור תעודת בגרות, המניע למעשיו כספי ואינו בטחוני או אידיאולוגי. הנאשם מבין את המחיר שמשלמת החברה על הימצאות נשק בלתי חוקי, ואת העובדה שעליו לשלם על הטעות שעשה. הנאשם הוא בעל יכולות לימודיות ויכולת לשמור על אורח חיים נורמטיבי. הוא לוקח אחריות על מעשיו ומביע חרטה. הנאשם ויתר על דיון בשחרור לחלופת מעצר ועל ניהול הוכחות מתוך חרטה ולקיחת אחריות. הוא אף הוכיח יכולת לנהל אורח חיים נורמטיבי, בכך שעבד באופן יציב במשך שנים וכן למד והוא זכאי לתעודת בגרות (הוצגו אסמכתאות לעניין העבודה והלימודים). </w:t>
      </w:r>
    </w:p>
    <w:p w14:paraId="4DC545FD" w14:textId="77777777" w:rsidR="00C977D1" w:rsidRPr="00F14737" w:rsidRDefault="00C977D1" w:rsidP="00C977D1">
      <w:pPr>
        <w:spacing w:after="240" w:line="360" w:lineRule="auto"/>
        <w:jc w:val="both"/>
        <w:rPr>
          <w:rFonts w:ascii="Arial" w:hAnsi="Arial"/>
          <w:sz w:val="26"/>
          <w:szCs w:val="26"/>
          <w:rtl/>
        </w:rPr>
      </w:pPr>
      <w:r w:rsidRPr="00F14737">
        <w:rPr>
          <w:rFonts w:ascii="Arial" w:hAnsi="Arial" w:hint="cs"/>
          <w:sz w:val="26"/>
          <w:szCs w:val="26"/>
          <w:rtl/>
        </w:rPr>
        <w:t>5.</w:t>
      </w:r>
      <w:r w:rsidRPr="00F14737">
        <w:rPr>
          <w:rFonts w:ascii="Arial" w:hAnsi="Arial" w:hint="cs"/>
          <w:sz w:val="26"/>
          <w:szCs w:val="26"/>
          <w:rtl/>
        </w:rPr>
        <w:tab/>
      </w:r>
      <w:r w:rsidRPr="00F14737">
        <w:rPr>
          <w:rFonts w:ascii="Arial" w:hAnsi="Arial" w:hint="cs"/>
          <w:b/>
          <w:bCs/>
          <w:sz w:val="26"/>
          <w:szCs w:val="26"/>
          <w:rtl/>
        </w:rPr>
        <w:t>אביו של הנאשם</w:t>
      </w:r>
      <w:r w:rsidRPr="00F14737">
        <w:rPr>
          <w:rFonts w:ascii="Arial" w:hAnsi="Arial" w:hint="cs"/>
          <w:sz w:val="26"/>
          <w:szCs w:val="26"/>
          <w:rtl/>
        </w:rPr>
        <w:t xml:space="preserve"> ביקש לומר את דברו, והבהיר כי לא חינך את ילדיו על נשק. לדבריו בנו הלך בדרך לא נכונה, אך מדובר במעידה חד פעמית ולא בחינוך שנתן. בחיפוש שנערך בביתו לא נמצא נשק. הוא ביקש רחמים בגזירת דינו של הנאשם. </w:t>
      </w:r>
    </w:p>
    <w:p w14:paraId="241AC850" w14:textId="77777777" w:rsidR="00C977D1" w:rsidRPr="00F14737" w:rsidRDefault="00C977D1" w:rsidP="00C977D1">
      <w:pPr>
        <w:spacing w:after="240" w:line="360" w:lineRule="auto"/>
        <w:ind w:firstLine="720"/>
        <w:jc w:val="both"/>
        <w:rPr>
          <w:rFonts w:ascii="Arial" w:hAnsi="Arial"/>
          <w:sz w:val="26"/>
          <w:szCs w:val="26"/>
          <w:rtl/>
        </w:rPr>
      </w:pPr>
      <w:r w:rsidRPr="00F14737">
        <w:rPr>
          <w:rFonts w:ascii="Arial" w:hAnsi="Arial" w:hint="cs"/>
          <w:b/>
          <w:bCs/>
          <w:sz w:val="26"/>
          <w:szCs w:val="26"/>
          <w:rtl/>
        </w:rPr>
        <w:t>הנאשם</w:t>
      </w:r>
      <w:r w:rsidRPr="00F14737">
        <w:rPr>
          <w:rFonts w:ascii="Arial" w:hAnsi="Arial" w:hint="cs"/>
          <w:sz w:val="26"/>
          <w:szCs w:val="26"/>
          <w:rtl/>
        </w:rPr>
        <w:t xml:space="preserve"> עצמו אמר כי הוא מכר בכך שעשה טעות, ולא היה אחראי כפי שהוא היום. לדבריו הוא שילם ומשלם על כך בחייו. הוא לומד בכלא ורואה את הנזק שנגרם במגזר הערבי. הנאשם ביקש את רחמי בית המשפט. </w:t>
      </w:r>
    </w:p>
    <w:p w14:paraId="328370E4" w14:textId="77777777" w:rsidR="00C977D1" w:rsidRPr="00F14737" w:rsidRDefault="00C977D1" w:rsidP="00C977D1">
      <w:pPr>
        <w:spacing w:after="240" w:line="360" w:lineRule="auto"/>
        <w:jc w:val="both"/>
        <w:rPr>
          <w:rFonts w:ascii="Arial" w:hAnsi="Arial"/>
          <w:b/>
          <w:bCs/>
          <w:sz w:val="26"/>
          <w:szCs w:val="26"/>
          <w:rtl/>
        </w:rPr>
      </w:pPr>
      <w:r w:rsidRPr="00F14737">
        <w:rPr>
          <w:rFonts w:ascii="Arial" w:hAnsi="Arial" w:hint="cs"/>
          <w:b/>
          <w:bCs/>
          <w:sz w:val="26"/>
          <w:szCs w:val="26"/>
          <w:rtl/>
        </w:rPr>
        <w:t>תסקיר שירות המבחן</w:t>
      </w:r>
    </w:p>
    <w:p w14:paraId="778EADC5" w14:textId="77777777" w:rsidR="00C977D1" w:rsidRPr="00F14737" w:rsidRDefault="00C977D1" w:rsidP="00C977D1">
      <w:pPr>
        <w:spacing w:after="240" w:line="360" w:lineRule="auto"/>
        <w:jc w:val="both"/>
        <w:rPr>
          <w:rFonts w:ascii="Arial" w:hAnsi="Arial"/>
          <w:sz w:val="26"/>
          <w:szCs w:val="26"/>
          <w:rtl/>
        </w:rPr>
      </w:pPr>
      <w:r w:rsidRPr="00F14737">
        <w:rPr>
          <w:rFonts w:ascii="Arial" w:hAnsi="Arial" w:hint="cs"/>
          <w:sz w:val="26"/>
          <w:szCs w:val="26"/>
          <w:rtl/>
        </w:rPr>
        <w:t>6.</w:t>
      </w:r>
      <w:r w:rsidRPr="00F14737">
        <w:rPr>
          <w:rFonts w:ascii="Arial" w:hAnsi="Arial" w:hint="cs"/>
          <w:sz w:val="26"/>
          <w:szCs w:val="26"/>
          <w:rtl/>
        </w:rPr>
        <w:tab/>
        <w:t>מתסקיר שירות המבחן שהוגש בעניינו עולה כי הנאשם הוא רווק כבן 23, ללא עבר פלילי, סיים 12 שנות לימוד ובעל תעודת בגרות ירדנית. הוא תלה את מעשיו בהיגררות אחר חברה שלילית וברצון לעשות "כסף קל", כשלדבריו המניע העיקרי למעשיו היה כלכלי. רק לאחר מעשה החל הנאשם להפנים את הנזקים והמחירים החברתיים הנגרמים בעקבות מעשיו ובשל עבריינות בכלל. קצין המבחן התרשם מנטילת אחריות פורמלית, ועם זאת ציין כי הנאשם הביע חרטה ורצון להימנע מהתחברות לחברה שולית ועבריינית, וכן ניצל את תקופת מעצרו לשיפור יכולות התעסוקה שלו. לנוכח חומרת העבירות המליץ קצין המבחן על ענישה מוחשית מציבה גבולות וענישה מותנית, תוך התחשבות גם בתקופת מעצרו ובגילו הצעיר.</w:t>
      </w:r>
    </w:p>
    <w:p w14:paraId="37AD61B1" w14:textId="77777777" w:rsidR="00C977D1" w:rsidRPr="00F14737" w:rsidRDefault="00C977D1" w:rsidP="00C977D1">
      <w:pPr>
        <w:spacing w:after="240" w:line="360" w:lineRule="auto"/>
        <w:jc w:val="both"/>
        <w:rPr>
          <w:rFonts w:ascii="Arial" w:hAnsi="Arial"/>
          <w:b/>
          <w:bCs/>
          <w:sz w:val="26"/>
          <w:szCs w:val="26"/>
          <w:rtl/>
        </w:rPr>
      </w:pPr>
      <w:r w:rsidRPr="00F14737">
        <w:rPr>
          <w:rFonts w:ascii="Arial" w:hAnsi="Arial" w:hint="cs"/>
          <w:b/>
          <w:bCs/>
          <w:sz w:val="26"/>
          <w:szCs w:val="26"/>
          <w:rtl/>
        </w:rPr>
        <w:t>מתחם העונש ההולם</w:t>
      </w:r>
    </w:p>
    <w:p w14:paraId="11899859" w14:textId="77777777" w:rsidR="00C977D1" w:rsidRPr="00F072C5" w:rsidRDefault="00C977D1" w:rsidP="00C977D1">
      <w:pPr>
        <w:spacing w:after="240" w:line="360" w:lineRule="auto"/>
        <w:ind w:hanging="12"/>
        <w:jc w:val="both"/>
        <w:rPr>
          <w:rFonts w:ascii="Arial" w:hAnsi="Arial"/>
          <w:sz w:val="26"/>
          <w:szCs w:val="26"/>
        </w:rPr>
      </w:pPr>
      <w:r w:rsidRPr="00F14737">
        <w:rPr>
          <w:rFonts w:ascii="Arial" w:hAnsi="Arial" w:hint="cs"/>
          <w:sz w:val="26"/>
          <w:szCs w:val="26"/>
          <w:rtl/>
        </w:rPr>
        <w:t>7.</w:t>
      </w:r>
      <w:r w:rsidRPr="00F14737">
        <w:rPr>
          <w:rFonts w:ascii="Arial" w:hAnsi="Arial" w:hint="cs"/>
          <w:sz w:val="26"/>
          <w:szCs w:val="26"/>
          <w:rtl/>
        </w:rPr>
        <w:tab/>
      </w:r>
      <w:r w:rsidRPr="00F072C5">
        <w:rPr>
          <w:rFonts w:ascii="Arial" w:hAnsi="Arial"/>
          <w:sz w:val="26"/>
          <w:szCs w:val="26"/>
          <w:rtl/>
        </w:rPr>
        <w:t>אין צורך להכביר מילים אודות חומרתן של עבירות נ</w:t>
      </w:r>
      <w:r w:rsidRPr="00F14737">
        <w:rPr>
          <w:rFonts w:ascii="Arial" w:hAnsi="Arial"/>
          <w:sz w:val="26"/>
          <w:szCs w:val="26"/>
          <w:rtl/>
        </w:rPr>
        <w:t>שק והסכנה הרבה הנשקפת מהן. הסחר</w:t>
      </w:r>
      <w:r w:rsidRPr="00F14737">
        <w:rPr>
          <w:rFonts w:ascii="Arial" w:hAnsi="Arial" w:hint="cs"/>
          <w:sz w:val="26"/>
          <w:szCs w:val="26"/>
          <w:rtl/>
        </w:rPr>
        <w:t xml:space="preserve"> </w:t>
      </w:r>
      <w:r w:rsidRPr="00F072C5">
        <w:rPr>
          <w:rFonts w:ascii="Arial" w:hAnsi="Arial"/>
          <w:sz w:val="26"/>
          <w:szCs w:val="26"/>
          <w:rtl/>
        </w:rPr>
        <w:t xml:space="preserve">בנשק עלול להביא להימצאותו של נשק בידי גורמים המעוניינים לעשות בו שימוש אסור, ולגרום לסיכון ממשי של שלום הציבור, בין שהסיכון בטחוני ובין שהוא פלילי. העובדה שמאן דהוא מוכן לשלם סכומי כסף גדולים עבור נשק, מעידה על נכונות ואף כוונה לעשות בו שימוש. </w:t>
      </w:r>
    </w:p>
    <w:p w14:paraId="66A64806" w14:textId="77777777" w:rsidR="00C977D1" w:rsidRPr="00F072C5" w:rsidRDefault="00C977D1" w:rsidP="00C977D1">
      <w:pPr>
        <w:spacing w:after="240" w:line="360" w:lineRule="auto"/>
        <w:ind w:left="720" w:hanging="720"/>
        <w:jc w:val="both"/>
        <w:rPr>
          <w:rFonts w:ascii="Arial" w:hAnsi="Arial"/>
          <w:sz w:val="26"/>
          <w:szCs w:val="26"/>
          <w:rtl/>
        </w:rPr>
      </w:pPr>
      <w:r w:rsidRPr="00F072C5">
        <w:rPr>
          <w:rFonts w:ascii="Arial" w:hAnsi="Arial"/>
          <w:sz w:val="26"/>
          <w:szCs w:val="26"/>
          <w:rtl/>
        </w:rPr>
        <w:t>נפסק לא אחת כי הסכנה הרבה שבשימוש בנשק מחייבת ענישה חמורה. כך, לדוגמא, נקבע ב</w:t>
      </w:r>
      <w:hyperlink r:id="rId28" w:history="1">
        <w:r w:rsidR="00F44EB0" w:rsidRPr="00F44EB0">
          <w:rPr>
            <w:rFonts w:ascii="Arial" w:hAnsi="Arial"/>
            <w:color w:val="0000FF"/>
            <w:sz w:val="26"/>
            <w:szCs w:val="26"/>
            <w:u w:val="single"/>
            <w:rtl/>
          </w:rPr>
          <w:t>ע"פ 4154/16</w:t>
        </w:r>
      </w:hyperlink>
      <w:r w:rsidRPr="00F072C5">
        <w:rPr>
          <w:rFonts w:ascii="Arial" w:hAnsi="Arial"/>
          <w:sz w:val="26"/>
          <w:szCs w:val="26"/>
          <w:rtl/>
        </w:rPr>
        <w:t xml:space="preserve">, </w:t>
      </w:r>
      <w:r w:rsidRPr="00F072C5">
        <w:rPr>
          <w:rFonts w:ascii="Arial" w:hAnsi="Arial"/>
          <w:b/>
          <w:bCs/>
          <w:sz w:val="26"/>
          <w:szCs w:val="26"/>
          <w:rtl/>
        </w:rPr>
        <w:t>רונן דהוד נ' מדינת ישראל</w:t>
      </w:r>
      <w:r w:rsidRPr="00F072C5">
        <w:rPr>
          <w:rFonts w:ascii="Arial" w:hAnsi="Arial"/>
          <w:sz w:val="26"/>
          <w:szCs w:val="26"/>
          <w:rtl/>
        </w:rPr>
        <w:t>:</w:t>
      </w:r>
    </w:p>
    <w:p w14:paraId="14260924" w14:textId="77777777" w:rsidR="00C977D1" w:rsidRPr="00F072C5" w:rsidRDefault="00C977D1" w:rsidP="00C977D1">
      <w:pPr>
        <w:spacing w:after="240" w:line="360" w:lineRule="auto"/>
        <w:ind w:left="1440" w:right="567"/>
        <w:jc w:val="both"/>
        <w:rPr>
          <w:rFonts w:ascii="Arial" w:hAnsi="Arial"/>
          <w:b/>
          <w:bCs/>
          <w:sz w:val="26"/>
          <w:szCs w:val="26"/>
          <w:rtl/>
        </w:rPr>
      </w:pPr>
      <w:r w:rsidRPr="00F072C5">
        <w:rPr>
          <w:rFonts w:ascii="Arial" w:hAnsi="Arial"/>
          <w:b/>
          <w:bCs/>
          <w:sz w:val="26"/>
          <w:szCs w:val="26"/>
          <w:rtl/>
        </w:rPr>
        <w:t>"11. בפסיקתנו נקבע, לא אחת, כי יש לראות את תופעת הסחר הבלתי-חוקי בנשק בחומרה רבה. נפסק כי לא ניתן להשלים עם קיומו של 'שוק' מחתרתי בלתי-חוקי למכירת כלי נשק, וגדיעתו היא תנאי הכרחי למיגורם של מעשי אלימות חמורים, המתרחשים במקומותינו בתדירות מדאיגה. אלה מתאפשרים, בין היתר, בשל הימצאותם של כלי נשק בידי עבריינים (ראו:</w:t>
      </w:r>
      <w:r w:rsidRPr="00F072C5">
        <w:rPr>
          <w:rFonts w:ascii="Arial" w:hAnsi="Arial"/>
          <w:b/>
          <w:bCs/>
          <w:sz w:val="26"/>
          <w:szCs w:val="26"/>
        </w:rPr>
        <w:t xml:space="preserve"> </w:t>
      </w:r>
      <w:hyperlink r:id="rId29" w:history="1">
        <w:r w:rsidR="00F44EB0" w:rsidRPr="00F44EB0">
          <w:rPr>
            <w:rFonts w:ascii="Arial" w:hAnsi="Arial"/>
            <w:color w:val="0000FF"/>
            <w:sz w:val="26"/>
            <w:szCs w:val="26"/>
            <w:u w:val="single"/>
            <w:rtl/>
          </w:rPr>
          <w:t>ע"פ 6542/11</w:t>
        </w:r>
      </w:hyperlink>
      <w:r w:rsidRPr="00F072C5">
        <w:rPr>
          <w:rFonts w:ascii="Arial" w:hAnsi="Arial"/>
          <w:b/>
          <w:bCs/>
          <w:sz w:val="26"/>
          <w:szCs w:val="26"/>
          <w:rtl/>
        </w:rPr>
        <w:t>, מוקטראן נ' מדינת ישראל, פיסקה 6 (25.02.2013)). הדבר חמור שבעתיים במציאות הישראלית, שבה נשק המוחזק באופן בלתי חוקי עלול להגיע אף לידי מעורבים בפעילות חבלנית עוינת על רקע ביטחוני ... ואכן, המגמה בשנים האחרונות לגבי עבירות נשק היא של החמרה ברמת ענישתם של המעורבים בהן ומתן ביטוי עונשי ההולם את הסכנה הנשקפת מהם..."</w:t>
      </w:r>
    </w:p>
    <w:p w14:paraId="12396054" w14:textId="77777777" w:rsidR="00C977D1" w:rsidRPr="00F072C5" w:rsidRDefault="00C977D1" w:rsidP="00C977D1">
      <w:pPr>
        <w:spacing w:after="240" w:line="360" w:lineRule="auto"/>
        <w:ind w:firstLine="720"/>
        <w:jc w:val="both"/>
        <w:rPr>
          <w:rFonts w:ascii="Arial" w:hAnsi="Arial"/>
          <w:sz w:val="26"/>
          <w:szCs w:val="26"/>
          <w:rtl/>
        </w:rPr>
      </w:pPr>
      <w:r w:rsidRPr="00F072C5">
        <w:rPr>
          <w:rFonts w:ascii="Arial" w:hAnsi="Arial"/>
          <w:sz w:val="26"/>
          <w:szCs w:val="26"/>
          <w:rtl/>
        </w:rPr>
        <w:t>ב</w:t>
      </w:r>
      <w:hyperlink r:id="rId30" w:history="1">
        <w:r w:rsidR="00F44EB0" w:rsidRPr="00F44EB0">
          <w:rPr>
            <w:rFonts w:ascii="Arial" w:hAnsi="Arial"/>
            <w:color w:val="0000FF"/>
            <w:sz w:val="26"/>
            <w:szCs w:val="26"/>
            <w:u w:val="single"/>
            <w:rtl/>
          </w:rPr>
          <w:t>ע"פ 9543/09</w:t>
        </w:r>
      </w:hyperlink>
      <w:r w:rsidRPr="00F072C5">
        <w:rPr>
          <w:rFonts w:ascii="Arial" w:hAnsi="Arial"/>
          <w:sz w:val="26"/>
          <w:szCs w:val="26"/>
          <w:rtl/>
        </w:rPr>
        <w:t xml:space="preserve">, </w:t>
      </w:r>
      <w:r w:rsidRPr="00F072C5">
        <w:rPr>
          <w:rFonts w:ascii="Arial" w:hAnsi="Arial"/>
          <w:b/>
          <w:bCs/>
          <w:sz w:val="26"/>
          <w:szCs w:val="26"/>
          <w:rtl/>
        </w:rPr>
        <w:t>בילאל רחאל נ' מדינת ישראל</w:t>
      </w:r>
      <w:r w:rsidRPr="00F072C5">
        <w:rPr>
          <w:rFonts w:ascii="Arial" w:hAnsi="Arial"/>
          <w:sz w:val="26"/>
          <w:szCs w:val="26"/>
          <w:rtl/>
        </w:rPr>
        <w:t xml:space="preserve">: </w:t>
      </w:r>
    </w:p>
    <w:p w14:paraId="3E313D79" w14:textId="77777777" w:rsidR="00C977D1" w:rsidRPr="00F072C5" w:rsidRDefault="00C977D1" w:rsidP="00C977D1">
      <w:pPr>
        <w:spacing w:after="240" w:line="360" w:lineRule="auto"/>
        <w:ind w:left="1440" w:right="567"/>
        <w:jc w:val="both"/>
        <w:rPr>
          <w:rFonts w:ascii="Arial" w:hAnsi="Arial"/>
          <w:b/>
          <w:bCs/>
          <w:sz w:val="26"/>
          <w:szCs w:val="26"/>
          <w:rtl/>
        </w:rPr>
      </w:pPr>
      <w:r w:rsidRPr="00F072C5">
        <w:rPr>
          <w:rFonts w:ascii="Arial" w:hAnsi="Arial"/>
          <w:b/>
          <w:bCs/>
          <w:sz w:val="26"/>
          <w:szCs w:val="26"/>
          <w:rtl/>
        </w:rPr>
        <w:t>"אין צורך להכביר מלים על הקלות הבלתי נסבלת שבה סובב נשק חם או קר על נגזרותיו בידיים עברייניות. פעמים שהנשק נוטל חיי אדם, פעמים הוא פוגע בגוף האדם, ופעמים מתמזל המזל ובסייעתא דשמיא, אין פגיעה גופנית. הצד השווה הוא תדיר הפוטנציאל ההרסני, והבעתה האוחזת את הקרבנות. בכגון דא – לצד עבירת הנשק נקבע עונש של 7 שנות מאסר, ובסיוע כבענייננו – מחצית".</w:t>
      </w:r>
    </w:p>
    <w:p w14:paraId="02102553" w14:textId="77777777" w:rsidR="00C977D1" w:rsidRPr="00F072C5" w:rsidRDefault="00C977D1" w:rsidP="00C977D1">
      <w:pPr>
        <w:spacing w:after="240" w:line="360" w:lineRule="auto"/>
        <w:ind w:firstLine="720"/>
        <w:jc w:val="both"/>
        <w:rPr>
          <w:rFonts w:ascii="Arial" w:hAnsi="Arial"/>
          <w:sz w:val="26"/>
          <w:szCs w:val="26"/>
          <w:rtl/>
        </w:rPr>
      </w:pPr>
      <w:r w:rsidRPr="00F072C5">
        <w:rPr>
          <w:rFonts w:ascii="Arial" w:hAnsi="Arial"/>
          <w:sz w:val="26"/>
          <w:szCs w:val="26"/>
          <w:u w:val="single"/>
          <w:rtl/>
        </w:rPr>
        <w:t>וב</w:t>
      </w:r>
      <w:hyperlink r:id="rId31" w:history="1">
        <w:r w:rsidR="00F44EB0" w:rsidRPr="00F44EB0">
          <w:rPr>
            <w:rFonts w:ascii="Arial" w:hAnsi="Arial"/>
            <w:color w:val="0000FF"/>
            <w:sz w:val="26"/>
            <w:szCs w:val="26"/>
            <w:u w:val="single"/>
            <w:rtl/>
          </w:rPr>
          <w:t>ע"פ 761/07</w:t>
        </w:r>
      </w:hyperlink>
      <w:r w:rsidRPr="00F072C5">
        <w:rPr>
          <w:rFonts w:ascii="Arial" w:hAnsi="Arial"/>
          <w:sz w:val="26"/>
          <w:szCs w:val="26"/>
          <w:u w:val="single"/>
          <w:rtl/>
        </w:rPr>
        <w:t>,</w:t>
      </w:r>
      <w:r w:rsidRPr="00F072C5">
        <w:rPr>
          <w:rFonts w:ascii="Arial" w:hAnsi="Arial"/>
          <w:sz w:val="26"/>
          <w:szCs w:val="26"/>
          <w:rtl/>
        </w:rPr>
        <w:t xml:space="preserve"> </w:t>
      </w:r>
      <w:r w:rsidRPr="00F072C5">
        <w:rPr>
          <w:rFonts w:ascii="Arial" w:hAnsi="Arial"/>
          <w:b/>
          <w:bCs/>
          <w:sz w:val="26"/>
          <w:szCs w:val="26"/>
          <w:rtl/>
        </w:rPr>
        <w:t>מיכאל אדרי נ' מדינת ישראל</w:t>
      </w:r>
      <w:r w:rsidRPr="00F072C5">
        <w:rPr>
          <w:rFonts w:ascii="Arial" w:hAnsi="Arial"/>
          <w:sz w:val="26"/>
          <w:szCs w:val="26"/>
          <w:rtl/>
        </w:rPr>
        <w:t>:</w:t>
      </w:r>
    </w:p>
    <w:p w14:paraId="407496E0" w14:textId="77777777" w:rsidR="00C977D1" w:rsidRPr="00F072C5" w:rsidRDefault="00C977D1" w:rsidP="00C977D1">
      <w:pPr>
        <w:spacing w:after="240" w:line="360" w:lineRule="auto"/>
        <w:ind w:left="1440" w:right="567"/>
        <w:jc w:val="both"/>
        <w:rPr>
          <w:rFonts w:ascii="Arial" w:hAnsi="Arial"/>
          <w:b/>
          <w:bCs/>
          <w:sz w:val="26"/>
          <w:szCs w:val="26"/>
          <w:rtl/>
        </w:rPr>
      </w:pPr>
      <w:r w:rsidRPr="00F072C5">
        <w:rPr>
          <w:rFonts w:ascii="Arial" w:hAnsi="Arial"/>
          <w:b/>
          <w:bCs/>
          <w:sz w:val="26"/>
          <w:szCs w:val="26"/>
          <w:rtl/>
        </w:rPr>
        <w:t xml:space="preserve">"ניסיון השנים האחרונות מלמד שנשק המוחזק שלא כדין מוצא את דרכו לעתים לידיים עוינות, ולעתים נעשה בו שימוש למטרות פליליות, ואלה גם אלה כבר גרמו לא אחת לאובדן חיי אדם, ולפגיעה בחפים מפשע שכל 'חטאם' נבע מכך שהם נקלעו בדרך מקרה לזירת הפשע. כדי להילחם בכל אלה צריך העונש לבטא את סלידתה של החברה ודעתה הנחרצת שלא להשלים עם עבריינות בכלל, ומסוג זה בפרט". </w:t>
      </w:r>
    </w:p>
    <w:p w14:paraId="53CCF248" w14:textId="77777777" w:rsidR="00C977D1" w:rsidRPr="005977B1" w:rsidRDefault="00C977D1" w:rsidP="00C977D1">
      <w:pPr>
        <w:spacing w:after="240" w:line="360" w:lineRule="auto"/>
        <w:ind w:left="1440" w:right="567" w:firstLine="567"/>
        <w:jc w:val="both"/>
        <w:rPr>
          <w:rFonts w:ascii="FrankRuehl" w:eastAsia="Calibri" w:hAnsi="FrankRuehl" w:cs="FrankRuehl"/>
          <w:spacing w:val="10"/>
          <w:sz w:val="28"/>
          <w:szCs w:val="28"/>
        </w:rPr>
      </w:pPr>
      <w:r w:rsidRPr="00F14737">
        <w:rPr>
          <w:rFonts w:ascii="David" w:hAnsi="David"/>
          <w:sz w:val="26"/>
          <w:szCs w:val="26"/>
          <w:rtl/>
        </w:rPr>
        <w:t>לאחרונה</w:t>
      </w:r>
      <w:r w:rsidRPr="005977B1">
        <w:rPr>
          <w:rFonts w:ascii="David" w:hAnsi="David"/>
          <w:sz w:val="26"/>
          <w:szCs w:val="26"/>
          <w:rtl/>
        </w:rPr>
        <w:t xml:space="preserve"> ממש, נפסק ב</w:t>
      </w:r>
      <w:hyperlink r:id="rId32" w:history="1">
        <w:r w:rsidR="00F44EB0" w:rsidRPr="00F44EB0">
          <w:rPr>
            <w:rFonts w:ascii="David" w:hAnsi="David"/>
            <w:color w:val="0000FF"/>
            <w:sz w:val="26"/>
            <w:szCs w:val="26"/>
            <w:u w:val="single"/>
            <w:rtl/>
          </w:rPr>
          <w:t>ע"פ 6068/21</w:t>
        </w:r>
      </w:hyperlink>
      <w:r w:rsidRPr="005977B1">
        <w:rPr>
          <w:rFonts w:ascii="David" w:hAnsi="David"/>
          <w:sz w:val="26"/>
          <w:szCs w:val="26"/>
          <w:rtl/>
        </w:rPr>
        <w:t xml:space="preserve"> </w:t>
      </w:r>
      <w:r w:rsidRPr="005977B1">
        <w:rPr>
          <w:rFonts w:ascii="David" w:hAnsi="David"/>
          <w:b/>
          <w:bCs/>
          <w:sz w:val="26"/>
          <w:szCs w:val="26"/>
          <w:rtl/>
        </w:rPr>
        <w:t>מדינת ישראל נ' אברהים פקיה</w:t>
      </w:r>
      <w:r w:rsidRPr="005977B1">
        <w:rPr>
          <w:rFonts w:ascii="David" w:hAnsi="David"/>
          <w:sz w:val="26"/>
          <w:szCs w:val="26"/>
          <w:rtl/>
        </w:rPr>
        <w:t xml:space="preserve"> (19.12.21):</w:t>
      </w:r>
    </w:p>
    <w:p w14:paraId="78779C01" w14:textId="77777777" w:rsidR="00C977D1" w:rsidRPr="005977B1" w:rsidRDefault="00C977D1" w:rsidP="00C977D1">
      <w:pPr>
        <w:tabs>
          <w:tab w:val="num" w:pos="907"/>
        </w:tabs>
        <w:overflowPunct w:val="0"/>
        <w:autoSpaceDE w:val="0"/>
        <w:autoSpaceDN w:val="0"/>
        <w:spacing w:line="360" w:lineRule="auto"/>
        <w:ind w:left="1440" w:right="567"/>
        <w:jc w:val="both"/>
        <w:rPr>
          <w:rFonts w:ascii="David" w:eastAsia="Calibri" w:hAnsi="David"/>
          <w:b/>
          <w:bCs/>
          <w:spacing w:val="10"/>
          <w:sz w:val="26"/>
          <w:szCs w:val="26"/>
          <w:rtl/>
        </w:rPr>
      </w:pPr>
      <w:r w:rsidRPr="005977B1">
        <w:rPr>
          <w:rFonts w:ascii="David" w:eastAsia="Calibri" w:hAnsi="David"/>
          <w:spacing w:val="10"/>
          <w:sz w:val="26"/>
          <w:szCs w:val="26"/>
          <w:rtl/>
        </w:rPr>
        <w:t>"</w:t>
      </w:r>
      <w:r w:rsidRPr="005977B1">
        <w:rPr>
          <w:rFonts w:ascii="David" w:eastAsia="Calibri" w:hAnsi="David"/>
          <w:b/>
          <w:bCs/>
          <w:spacing w:val="10"/>
          <w:sz w:val="26"/>
          <w:szCs w:val="26"/>
          <w:rtl/>
        </w:rPr>
        <w:t>יש להדגיש את החומרה היתירה שנודעה לביצוע עבירות נשק, על כל סוגיהן ומיניהן. במסגרת פסק הדין ב</w:t>
      </w:r>
      <w:hyperlink r:id="rId33" w:history="1">
        <w:r w:rsidR="00F44EB0" w:rsidRPr="00F44EB0">
          <w:rPr>
            <w:rFonts w:ascii="David" w:eastAsia="Calibri" w:hAnsi="David"/>
            <w:b/>
            <w:bCs/>
            <w:color w:val="0000FF"/>
            <w:spacing w:val="10"/>
            <w:sz w:val="26"/>
            <w:szCs w:val="26"/>
            <w:u w:val="single"/>
            <w:rtl/>
          </w:rPr>
          <w:t>ע"פ 4595/13</w:t>
        </w:r>
      </w:hyperlink>
      <w:r w:rsidRPr="005977B1">
        <w:rPr>
          <w:rFonts w:ascii="David" w:eastAsia="Calibri" w:hAnsi="David"/>
          <w:b/>
          <w:bCs/>
          <w:spacing w:val="10"/>
          <w:sz w:val="26"/>
          <w:szCs w:val="26"/>
          <w:rtl/>
        </w:rPr>
        <w:t xml:space="preserve"> </w:t>
      </w:r>
      <w:r w:rsidRPr="005977B1">
        <w:rPr>
          <w:rFonts w:ascii="David" w:eastAsia="Calibri" w:hAnsi="David"/>
          <w:b/>
          <w:bCs/>
          <w:sz w:val="26"/>
          <w:szCs w:val="26"/>
          <w:rtl/>
        </w:rPr>
        <w:t>זובידאת נ' מדינת ישראל</w:t>
      </w:r>
      <w:r w:rsidRPr="005977B1">
        <w:rPr>
          <w:rFonts w:ascii="David" w:eastAsia="Calibri" w:hAnsi="David"/>
          <w:b/>
          <w:bCs/>
          <w:spacing w:val="10"/>
          <w:sz w:val="26"/>
          <w:szCs w:val="26"/>
          <w:rtl/>
        </w:rPr>
        <w:t xml:space="preserve"> (6.7.2014)  בית המשפט קרא למחוקק לשקול את החמרת הענישה בעבירות נשק. בהמשך לכך, בשנת 2018 תיקן המחוקק את סעיף 340א ל</w:t>
      </w:r>
      <w:hyperlink r:id="rId34" w:history="1">
        <w:r w:rsidR="00F44EB0" w:rsidRPr="00F44EB0">
          <w:rPr>
            <w:rFonts w:ascii="David" w:eastAsia="Calibri" w:hAnsi="David"/>
            <w:b/>
            <w:bCs/>
            <w:color w:val="0000FF"/>
            <w:spacing w:val="10"/>
            <w:sz w:val="26"/>
            <w:szCs w:val="26"/>
            <w:u w:val="single"/>
            <w:rtl/>
          </w:rPr>
          <w:t>חוק העונשין</w:t>
        </w:r>
      </w:hyperlink>
      <w:r w:rsidRPr="005977B1">
        <w:rPr>
          <w:rFonts w:ascii="David" w:eastAsia="Calibri" w:hAnsi="David"/>
          <w:b/>
          <w:bCs/>
          <w:spacing w:val="10"/>
          <w:sz w:val="26"/>
          <w:szCs w:val="26"/>
          <w:rtl/>
        </w:rPr>
        <w:t xml:space="preserve"> והחמיר את העונש הקבוע בצידה של עבירת ירי מנשק חם (ראו: הצעת חוק העונשין (תיקון מס' 132) (ירי מנשק חם), התשע"ח-2018, ה"ח 1223). זאת, כצעד נוסף למלחמה בתופעת השימוש בנשק ופוטנציאל הנזק הכרוך בכך.</w:t>
      </w:r>
    </w:p>
    <w:p w14:paraId="1FA8C920" w14:textId="77777777" w:rsidR="00C977D1" w:rsidRPr="005977B1" w:rsidRDefault="00C977D1" w:rsidP="00C977D1">
      <w:pPr>
        <w:overflowPunct w:val="0"/>
        <w:autoSpaceDE w:val="0"/>
        <w:autoSpaceDN w:val="0"/>
        <w:spacing w:line="360" w:lineRule="auto"/>
        <w:ind w:left="1440" w:right="567"/>
        <w:jc w:val="both"/>
        <w:rPr>
          <w:rFonts w:ascii="David" w:eastAsia="Calibri" w:hAnsi="David"/>
          <w:b/>
          <w:bCs/>
          <w:spacing w:val="10"/>
          <w:sz w:val="26"/>
          <w:szCs w:val="26"/>
          <w:rtl/>
        </w:rPr>
      </w:pPr>
    </w:p>
    <w:p w14:paraId="2938A6B8" w14:textId="77777777" w:rsidR="00C977D1" w:rsidRPr="005977B1" w:rsidRDefault="00C977D1" w:rsidP="00C977D1">
      <w:pPr>
        <w:tabs>
          <w:tab w:val="num" w:pos="907"/>
        </w:tabs>
        <w:overflowPunct w:val="0"/>
        <w:autoSpaceDE w:val="0"/>
        <w:autoSpaceDN w:val="0"/>
        <w:spacing w:line="360" w:lineRule="auto"/>
        <w:ind w:left="1440" w:right="567"/>
        <w:jc w:val="both"/>
        <w:rPr>
          <w:rFonts w:ascii="David" w:eastAsia="Calibri" w:hAnsi="David"/>
          <w:b/>
          <w:bCs/>
          <w:spacing w:val="10"/>
          <w:sz w:val="26"/>
          <w:szCs w:val="26"/>
          <w:rtl/>
        </w:rPr>
      </w:pPr>
      <w:r w:rsidRPr="005977B1">
        <w:rPr>
          <w:rFonts w:ascii="David" w:eastAsia="Calibri" w:hAnsi="David"/>
          <w:b/>
          <w:bCs/>
          <w:spacing w:val="10"/>
          <w:sz w:val="26"/>
          <w:szCs w:val="26"/>
          <w:rtl/>
        </w:rPr>
        <w:t xml:space="preserve">בהמשך לתיקון זה, בית משפט זה הדגיש בפסיקתו פעם אחר פעם, כי עבירות הנשק הפכו לחזון נפרץ, המביא לעיתים מזומנות לפגיעה בחיי חפים מפשע. בהתאם לכך, בית משפט זה שב וקבע כי החמרת הענישה בגין עבירות אלו היא אינטרס ציבורי מהמעלה הראשונה ותנאי הכרחי להרתעת הציבור מפני ביצוען (ראו מיני רבים: </w:t>
      </w:r>
      <w:hyperlink r:id="rId35" w:history="1">
        <w:r w:rsidR="00F44EB0" w:rsidRPr="00F44EB0">
          <w:rPr>
            <w:rFonts w:ascii="David" w:eastAsia="Calibri" w:hAnsi="David"/>
            <w:b/>
            <w:bCs/>
            <w:color w:val="0000FF"/>
            <w:spacing w:val="10"/>
            <w:sz w:val="26"/>
            <w:szCs w:val="26"/>
            <w:u w:val="single"/>
            <w:rtl/>
          </w:rPr>
          <w:t>ע"פ 4406/19</w:t>
        </w:r>
      </w:hyperlink>
      <w:r w:rsidRPr="005977B1">
        <w:rPr>
          <w:rFonts w:ascii="David" w:eastAsia="Calibri" w:hAnsi="David"/>
          <w:b/>
          <w:bCs/>
          <w:spacing w:val="10"/>
          <w:sz w:val="26"/>
          <w:szCs w:val="26"/>
          <w:rtl/>
        </w:rPr>
        <w:t xml:space="preserve"> </w:t>
      </w:r>
      <w:r w:rsidRPr="005977B1">
        <w:rPr>
          <w:rFonts w:ascii="David" w:eastAsia="Calibri" w:hAnsi="David"/>
          <w:b/>
          <w:bCs/>
          <w:sz w:val="26"/>
          <w:szCs w:val="26"/>
          <w:rtl/>
        </w:rPr>
        <w:t>מדינת ישראל נ' סובח</w:t>
      </w:r>
      <w:r w:rsidRPr="005977B1">
        <w:rPr>
          <w:rFonts w:ascii="David" w:eastAsia="Calibri" w:hAnsi="David"/>
          <w:b/>
          <w:bCs/>
          <w:spacing w:val="10"/>
          <w:sz w:val="26"/>
          <w:szCs w:val="26"/>
          <w:rtl/>
        </w:rPr>
        <w:t xml:space="preserve">, פסקאות 16–17 לחוות דעתי (5.11.2019); </w:t>
      </w:r>
      <w:hyperlink r:id="rId36" w:history="1">
        <w:r w:rsidR="00F44EB0" w:rsidRPr="00F44EB0">
          <w:rPr>
            <w:rFonts w:ascii="David" w:eastAsia="Calibri" w:hAnsi="David"/>
            <w:b/>
            <w:bCs/>
            <w:color w:val="0000FF"/>
            <w:spacing w:val="10"/>
            <w:sz w:val="26"/>
            <w:szCs w:val="26"/>
            <w:u w:val="single"/>
            <w:rtl/>
          </w:rPr>
          <w:t>רע"פ 7344/18</w:t>
        </w:r>
      </w:hyperlink>
      <w:r w:rsidRPr="005977B1">
        <w:rPr>
          <w:rFonts w:ascii="David" w:eastAsia="Calibri" w:hAnsi="David"/>
          <w:b/>
          <w:bCs/>
          <w:spacing w:val="10"/>
          <w:sz w:val="26"/>
          <w:szCs w:val="26"/>
          <w:rtl/>
        </w:rPr>
        <w:t xml:space="preserve"> </w:t>
      </w:r>
      <w:r w:rsidRPr="005977B1">
        <w:rPr>
          <w:rFonts w:ascii="David" w:eastAsia="Calibri" w:hAnsi="David"/>
          <w:b/>
          <w:bCs/>
          <w:sz w:val="26"/>
          <w:szCs w:val="26"/>
          <w:rtl/>
        </w:rPr>
        <w:t>מג'יד נ' מדינת ישראל</w:t>
      </w:r>
      <w:r w:rsidRPr="005977B1">
        <w:rPr>
          <w:rFonts w:ascii="David" w:eastAsia="Calibri" w:hAnsi="David"/>
          <w:b/>
          <w:bCs/>
          <w:spacing w:val="10"/>
          <w:sz w:val="26"/>
          <w:szCs w:val="26"/>
          <w:rtl/>
        </w:rPr>
        <w:t>, פסקה 10 (21.10.2018)).</w:t>
      </w:r>
    </w:p>
    <w:p w14:paraId="7D60AF5D" w14:textId="77777777" w:rsidR="00C977D1" w:rsidRPr="005977B1" w:rsidRDefault="00C977D1" w:rsidP="00C977D1">
      <w:pPr>
        <w:tabs>
          <w:tab w:val="left" w:pos="720"/>
        </w:tabs>
        <w:overflowPunct w:val="0"/>
        <w:autoSpaceDE w:val="0"/>
        <w:autoSpaceDN w:val="0"/>
        <w:spacing w:line="360" w:lineRule="auto"/>
        <w:ind w:left="851" w:right="851"/>
        <w:jc w:val="both"/>
        <w:rPr>
          <w:rFonts w:ascii="David" w:eastAsia="Calibri" w:hAnsi="David"/>
          <w:b/>
          <w:bCs/>
          <w:spacing w:val="10"/>
          <w:sz w:val="26"/>
          <w:szCs w:val="26"/>
          <w:rtl/>
        </w:rPr>
      </w:pPr>
    </w:p>
    <w:p w14:paraId="013490C7" w14:textId="77777777" w:rsidR="00C977D1" w:rsidRPr="005977B1" w:rsidRDefault="00C977D1" w:rsidP="00C977D1">
      <w:pPr>
        <w:tabs>
          <w:tab w:val="num" w:pos="907"/>
        </w:tabs>
        <w:overflowPunct w:val="0"/>
        <w:autoSpaceDE w:val="0"/>
        <w:autoSpaceDN w:val="0"/>
        <w:spacing w:line="360" w:lineRule="auto"/>
        <w:ind w:left="851" w:right="851"/>
        <w:jc w:val="both"/>
        <w:rPr>
          <w:rFonts w:ascii="David" w:eastAsia="Calibri" w:hAnsi="David"/>
          <w:b/>
          <w:bCs/>
          <w:spacing w:val="10"/>
          <w:sz w:val="26"/>
          <w:szCs w:val="26"/>
          <w:rtl/>
        </w:rPr>
      </w:pPr>
      <w:r w:rsidRPr="005977B1">
        <w:rPr>
          <w:rFonts w:ascii="David" w:eastAsia="Calibri" w:hAnsi="David"/>
          <w:b/>
          <w:bCs/>
          <w:spacing w:val="10"/>
          <w:sz w:val="26"/>
          <w:szCs w:val="26"/>
          <w:rtl/>
        </w:rPr>
        <w:t xml:space="preserve">לגישה מחמירה זו מתווספת חומרה יתירה בענייננו בגין העובדה כי המשיב לא פעל להסגרת הנשק בו השתמש לידי המשטרה עד עצם היום הזה. כפי שציינתי בעבר, כלי נשק אשר אינם נמצאים בידי רשויות החוק עלולים לשמש לפעילות עבריינית המסכנת את שלום וביטחון הציבור, ואף לשרת גורמים עוינים לפעילות על רקע ביטחוני (וראו </w:t>
      </w:r>
      <w:hyperlink r:id="rId37" w:history="1">
        <w:r w:rsidR="00F44EB0" w:rsidRPr="00F44EB0">
          <w:rPr>
            <w:rFonts w:ascii="David" w:eastAsia="Calibri" w:hAnsi="David"/>
            <w:b/>
            <w:bCs/>
            <w:color w:val="0000FF"/>
            <w:spacing w:val="10"/>
            <w:sz w:val="26"/>
            <w:szCs w:val="26"/>
            <w:u w:val="single"/>
            <w:rtl/>
          </w:rPr>
          <w:t>ע"פ 4530/19</w:t>
        </w:r>
      </w:hyperlink>
      <w:r w:rsidRPr="005977B1">
        <w:rPr>
          <w:rFonts w:ascii="David" w:eastAsia="Calibri" w:hAnsi="David"/>
          <w:b/>
          <w:bCs/>
          <w:spacing w:val="10"/>
          <w:sz w:val="26"/>
          <w:szCs w:val="26"/>
          <w:rtl/>
        </w:rPr>
        <w:t xml:space="preserve"> </w:t>
      </w:r>
      <w:r w:rsidRPr="005977B1">
        <w:rPr>
          <w:rFonts w:ascii="David" w:eastAsia="Calibri" w:hAnsi="David"/>
          <w:b/>
          <w:bCs/>
          <w:sz w:val="26"/>
          <w:szCs w:val="26"/>
          <w:rtl/>
        </w:rPr>
        <w:t>ג'זאווי נ' מדינת ישראל</w:t>
      </w:r>
      <w:r w:rsidRPr="005977B1">
        <w:rPr>
          <w:rFonts w:ascii="David" w:eastAsia="Calibri" w:hAnsi="David"/>
          <w:b/>
          <w:bCs/>
          <w:spacing w:val="10"/>
          <w:sz w:val="26"/>
          <w:szCs w:val="26"/>
          <w:rtl/>
        </w:rPr>
        <w:t>, פסקה 12 (11.8.2019))".</w:t>
      </w:r>
    </w:p>
    <w:p w14:paraId="58A2DDDC" w14:textId="77777777" w:rsidR="00C977D1" w:rsidRPr="00F14737" w:rsidRDefault="00C977D1" w:rsidP="00C977D1">
      <w:pPr>
        <w:spacing w:after="240" w:line="360" w:lineRule="auto"/>
        <w:jc w:val="both"/>
        <w:rPr>
          <w:rFonts w:ascii="Arial" w:hAnsi="Arial"/>
          <w:sz w:val="26"/>
          <w:szCs w:val="26"/>
          <w:rtl/>
        </w:rPr>
      </w:pPr>
    </w:p>
    <w:p w14:paraId="7B262A45" w14:textId="77777777" w:rsidR="00C977D1" w:rsidRPr="00F14737" w:rsidRDefault="00C977D1" w:rsidP="00C977D1">
      <w:pPr>
        <w:spacing w:after="240" w:line="360" w:lineRule="auto"/>
        <w:jc w:val="both"/>
        <w:rPr>
          <w:rFonts w:ascii="Arial" w:hAnsi="Arial"/>
          <w:b/>
          <w:bCs/>
          <w:sz w:val="26"/>
          <w:szCs w:val="26"/>
          <w:rtl/>
        </w:rPr>
      </w:pPr>
      <w:r w:rsidRPr="00F14737">
        <w:rPr>
          <w:rFonts w:ascii="Arial" w:hAnsi="Arial" w:hint="cs"/>
          <w:b/>
          <w:bCs/>
          <w:sz w:val="26"/>
          <w:szCs w:val="26"/>
          <w:rtl/>
        </w:rPr>
        <w:t>הפסיקה הנוהגת</w:t>
      </w:r>
    </w:p>
    <w:p w14:paraId="02308D36" w14:textId="77777777" w:rsidR="00C977D1" w:rsidRPr="00F14737" w:rsidRDefault="00C977D1" w:rsidP="00C977D1">
      <w:pPr>
        <w:spacing w:after="240" w:line="360" w:lineRule="auto"/>
        <w:jc w:val="both"/>
        <w:rPr>
          <w:rFonts w:ascii="Arial" w:hAnsi="Arial"/>
          <w:sz w:val="26"/>
          <w:szCs w:val="26"/>
          <w:rtl/>
        </w:rPr>
      </w:pPr>
      <w:r w:rsidRPr="00F14737">
        <w:rPr>
          <w:rFonts w:ascii="Arial" w:hAnsi="Arial" w:hint="cs"/>
          <w:sz w:val="26"/>
          <w:szCs w:val="26"/>
          <w:rtl/>
        </w:rPr>
        <w:t>8.</w:t>
      </w:r>
      <w:r w:rsidRPr="00F14737">
        <w:rPr>
          <w:rFonts w:ascii="Arial" w:hAnsi="Arial" w:hint="cs"/>
          <w:sz w:val="26"/>
          <w:szCs w:val="26"/>
          <w:rtl/>
        </w:rPr>
        <w:tab/>
        <w:t>ב"כ המאשימה הפנה לפסק הדין ב</w:t>
      </w:r>
      <w:hyperlink r:id="rId38" w:history="1">
        <w:r w:rsidR="00F44EB0" w:rsidRPr="00F44EB0">
          <w:rPr>
            <w:rFonts w:ascii="Arial" w:hAnsi="Arial"/>
            <w:color w:val="0000FF"/>
            <w:sz w:val="26"/>
            <w:szCs w:val="26"/>
            <w:u w:val="single"/>
            <w:rtl/>
          </w:rPr>
          <w:t>ע"פ 500/21</w:t>
        </w:r>
      </w:hyperlink>
      <w:r w:rsidRPr="00F14737">
        <w:rPr>
          <w:rFonts w:ascii="Arial" w:hAnsi="Arial" w:hint="cs"/>
          <w:sz w:val="26"/>
          <w:szCs w:val="26"/>
          <w:rtl/>
        </w:rPr>
        <w:t xml:space="preserve"> </w:t>
      </w:r>
      <w:r w:rsidRPr="00F14737">
        <w:rPr>
          <w:rFonts w:ascii="Arial" w:hAnsi="Arial" w:hint="cs"/>
          <w:b/>
          <w:bCs/>
          <w:sz w:val="26"/>
          <w:szCs w:val="26"/>
          <w:rtl/>
        </w:rPr>
        <w:t>פלוני נ' מדינת ישראל</w:t>
      </w:r>
      <w:r w:rsidRPr="00F14737">
        <w:rPr>
          <w:rFonts w:ascii="Arial" w:hAnsi="Arial" w:hint="cs"/>
          <w:sz w:val="26"/>
          <w:szCs w:val="26"/>
          <w:rtl/>
        </w:rPr>
        <w:t xml:space="preserve"> (31.5.21), בו עמד בית המשפט על מגמת הפסיקה להחמיר בעבירות הנשק ועל הצורך להחמיר עוד יותר </w:t>
      </w:r>
      <w:r w:rsidRPr="00F14737">
        <w:rPr>
          <w:rFonts w:ascii="Arial" w:hAnsi="Arial" w:hint="cs"/>
          <w:b/>
          <w:bCs/>
          <w:sz w:val="26"/>
          <w:szCs w:val="26"/>
          <w:rtl/>
        </w:rPr>
        <w:t>"בהעידנא, משרבו עבירות הנשק במגזר הערבי, ועל בתי המשפט לתרום תרומתם במלחמת החורמה שהוכרזה על התופעה".</w:t>
      </w:r>
      <w:r w:rsidRPr="00F14737">
        <w:rPr>
          <w:rFonts w:ascii="Arial" w:hAnsi="Arial" w:hint="cs"/>
          <w:sz w:val="26"/>
          <w:szCs w:val="26"/>
          <w:rtl/>
        </w:rPr>
        <w:t xml:space="preserve"> </w:t>
      </w:r>
    </w:p>
    <w:p w14:paraId="1BA5F2B6" w14:textId="77777777" w:rsidR="00C977D1" w:rsidRPr="00F14737" w:rsidRDefault="00C977D1" w:rsidP="00C977D1">
      <w:pPr>
        <w:spacing w:after="240" w:line="360" w:lineRule="auto"/>
        <w:ind w:firstLine="720"/>
        <w:jc w:val="both"/>
        <w:rPr>
          <w:rFonts w:ascii="Arial" w:hAnsi="Arial"/>
          <w:sz w:val="26"/>
          <w:szCs w:val="26"/>
          <w:rtl/>
        </w:rPr>
      </w:pPr>
      <w:r w:rsidRPr="00F14737">
        <w:rPr>
          <w:rFonts w:ascii="Arial" w:hAnsi="Arial" w:hint="cs"/>
          <w:sz w:val="26"/>
          <w:szCs w:val="26"/>
          <w:rtl/>
        </w:rPr>
        <w:t xml:space="preserve">הוא הפנה גם לע"פ </w:t>
      </w:r>
      <w:hyperlink r:id="rId39" w:history="1">
        <w:r w:rsidR="00AE44E5" w:rsidRPr="00AE44E5">
          <w:rPr>
            <w:rFonts w:ascii="Arial" w:hAnsi="Arial"/>
            <w:color w:val="0000FF"/>
            <w:sz w:val="26"/>
            <w:szCs w:val="26"/>
            <w:u w:val="single"/>
            <w:rtl/>
          </w:rPr>
          <w:t xml:space="preserve">2733/0 </w:t>
        </w:r>
      </w:hyperlink>
      <w:r w:rsidRPr="00F14737">
        <w:rPr>
          <w:rFonts w:ascii="Arial" w:hAnsi="Arial" w:hint="cs"/>
          <w:sz w:val="26"/>
          <w:szCs w:val="26"/>
          <w:rtl/>
        </w:rPr>
        <w:t xml:space="preserve"> </w:t>
      </w:r>
      <w:r w:rsidRPr="00F14737">
        <w:rPr>
          <w:rFonts w:ascii="Arial" w:hAnsi="Arial" w:hint="cs"/>
          <w:b/>
          <w:bCs/>
          <w:sz w:val="26"/>
          <w:szCs w:val="26"/>
          <w:rtl/>
        </w:rPr>
        <w:t>בשיר אבו זיאד נ' מדינת ישראל</w:t>
      </w:r>
      <w:r w:rsidRPr="00F14737">
        <w:rPr>
          <w:rFonts w:ascii="Arial" w:hAnsi="Arial" w:hint="cs"/>
          <w:sz w:val="26"/>
          <w:szCs w:val="26"/>
          <w:rtl/>
        </w:rPr>
        <w:t xml:space="preserve"> (24.10.21), בו נדחה ערעורם של מי שנדונו לעונשי מאסר לתקופות של 10 ו-8.5 שנים, בנוסף למאסרים מותנים וקנסות, בגין "עסקאות נשק ותחמושת רבות" עם גורמים שונים בתחומי המדינה ומחוצה לה, לרבות עם גורמים בשטחי איו"ש. מדובר עסקאות רכישה ומכירה של דמוי תמ"ק מסוג קרלו ואקדח, מכירה של אלפי קליעים המשמשים תחמושת לרובי סעד </w:t>
      </w:r>
      <w:r w:rsidRPr="00F14737">
        <w:rPr>
          <w:rFonts w:ascii="Arial" w:hAnsi="Arial" w:hint="cs"/>
          <w:sz w:val="26"/>
          <w:szCs w:val="26"/>
        </w:rPr>
        <w:t>M-16</w:t>
      </w:r>
      <w:r w:rsidRPr="00F14737">
        <w:rPr>
          <w:rFonts w:ascii="Arial" w:hAnsi="Arial" w:hint="cs"/>
          <w:sz w:val="26"/>
          <w:szCs w:val="26"/>
          <w:rtl/>
        </w:rPr>
        <w:t xml:space="preserve"> וחלקים של רובים מסוג זה שנמכרו לגורמים שונים בחברון, כאשר נאשם 1 עמד בקשר שיטתי עם אותם גורמים והוביל את אמצעי הלחימה ברכבו. מערער 2 מכר למערער 1 אלפי קליעים ובחלק מהמקרים נסע איתו לחברון לצורך מכירת התחמושת לאחרים. הוא החזיק בביתו כוונת טלסקופית וסמן לייזר, וכן ביצע מספר עסקאות רכישה ומכירה של כלי נשק שונים, בהם "קרלו" ומספר אקדחים.  בבית המשפט המחוזי נקבע כי המערערים חסרו בנשק ובאמל"ח דבר יום ביומו, ואימצו את עבירות הנשק כאורח חיים ממניעים של בצע כסף. הם סחרו בסוגים שונים של נשק ואמל"ח, והובילו אותם כשהם מוחבאים ברכבם דרך מחסומי המעבר לתוך תחומי איו"ש, ובית המשפט העליון הגדיר את מעשיהם כ"מפעל סחר" בכלי נשק ותחמושת. כאמור, הערעור נדחה.   </w:t>
      </w:r>
    </w:p>
    <w:p w14:paraId="485CFC65" w14:textId="77777777" w:rsidR="00C977D1" w:rsidRPr="00F14737" w:rsidRDefault="00C977D1" w:rsidP="00C977D1">
      <w:pPr>
        <w:spacing w:after="240" w:line="360" w:lineRule="auto"/>
        <w:jc w:val="both"/>
        <w:rPr>
          <w:rFonts w:ascii="Arial" w:hAnsi="Arial"/>
          <w:sz w:val="26"/>
          <w:szCs w:val="26"/>
          <w:rtl/>
        </w:rPr>
      </w:pPr>
      <w:r w:rsidRPr="00F14737">
        <w:rPr>
          <w:rFonts w:ascii="Arial" w:hAnsi="Arial" w:hint="cs"/>
          <w:sz w:val="26"/>
          <w:szCs w:val="26"/>
          <w:rtl/>
        </w:rPr>
        <w:t>9.</w:t>
      </w:r>
      <w:r w:rsidRPr="00F14737">
        <w:rPr>
          <w:rFonts w:ascii="Arial" w:hAnsi="Arial" w:hint="cs"/>
          <w:sz w:val="26"/>
          <w:szCs w:val="26"/>
          <w:rtl/>
        </w:rPr>
        <w:tab/>
        <w:t xml:space="preserve">ב"כ הנאשם הפנה למספר פסקי דין. אפרט חלק מהם: </w:t>
      </w:r>
    </w:p>
    <w:p w14:paraId="324B9C16" w14:textId="77777777" w:rsidR="00C977D1" w:rsidRPr="00F14737" w:rsidRDefault="00C977D1" w:rsidP="00C977D1">
      <w:pPr>
        <w:spacing w:after="240" w:line="360" w:lineRule="auto"/>
        <w:jc w:val="both"/>
        <w:rPr>
          <w:rFonts w:ascii="Arial" w:hAnsi="Arial"/>
          <w:sz w:val="26"/>
          <w:szCs w:val="26"/>
          <w:rtl/>
        </w:rPr>
      </w:pPr>
    </w:p>
    <w:p w14:paraId="19AFD954" w14:textId="77777777" w:rsidR="00C977D1" w:rsidRPr="00F14737" w:rsidRDefault="00F44EB0" w:rsidP="00C977D1">
      <w:pPr>
        <w:spacing w:after="240" w:line="360" w:lineRule="auto"/>
        <w:ind w:firstLine="720"/>
        <w:jc w:val="both"/>
        <w:rPr>
          <w:rFonts w:ascii="Arial" w:hAnsi="Arial"/>
          <w:sz w:val="26"/>
          <w:szCs w:val="26"/>
          <w:rtl/>
        </w:rPr>
      </w:pPr>
      <w:hyperlink r:id="rId40" w:history="1">
        <w:r w:rsidRPr="00F44EB0">
          <w:rPr>
            <w:rFonts w:ascii="Arial" w:hAnsi="Arial"/>
            <w:color w:val="0000FF"/>
            <w:sz w:val="26"/>
            <w:szCs w:val="26"/>
            <w:u w:val="single"/>
            <w:rtl/>
          </w:rPr>
          <w:t>ע"פ 8869/21</w:t>
        </w:r>
      </w:hyperlink>
      <w:r w:rsidR="00C977D1" w:rsidRPr="00F14737">
        <w:rPr>
          <w:rFonts w:ascii="Arial" w:hAnsi="Arial" w:hint="cs"/>
          <w:sz w:val="26"/>
          <w:szCs w:val="26"/>
          <w:rtl/>
        </w:rPr>
        <w:t xml:space="preserve"> </w:t>
      </w:r>
      <w:r w:rsidR="00C977D1" w:rsidRPr="00F14737">
        <w:rPr>
          <w:rFonts w:ascii="Arial" w:hAnsi="Arial" w:hint="cs"/>
          <w:b/>
          <w:bCs/>
          <w:sz w:val="26"/>
          <w:szCs w:val="26"/>
          <w:rtl/>
        </w:rPr>
        <w:t>מדינת ישראל נ' אברהים קואסמה</w:t>
      </w:r>
      <w:r w:rsidR="00C977D1" w:rsidRPr="00F14737">
        <w:rPr>
          <w:rFonts w:ascii="Arial" w:hAnsi="Arial" w:hint="cs"/>
          <w:sz w:val="26"/>
          <w:szCs w:val="26"/>
          <w:rtl/>
        </w:rPr>
        <w:t xml:space="preserve"> (13.3.22) </w:t>
      </w:r>
      <w:r w:rsidR="00C977D1" w:rsidRPr="00F14737">
        <w:rPr>
          <w:rFonts w:ascii="Arial" w:hAnsi="Arial"/>
          <w:sz w:val="26"/>
          <w:szCs w:val="26"/>
          <w:rtl/>
        </w:rPr>
        <w:t>–</w:t>
      </w:r>
      <w:r w:rsidR="00C977D1" w:rsidRPr="00F14737">
        <w:rPr>
          <w:rFonts w:ascii="Arial" w:hAnsi="Arial" w:hint="cs"/>
          <w:sz w:val="26"/>
          <w:szCs w:val="26"/>
          <w:rtl/>
        </w:rPr>
        <w:t xml:space="preserve"> המשיב הורשע ב-3 אישומים שעניינם עסקאות סחר בנשק, בהתייחס לנשק מסוג </w:t>
      </w:r>
      <w:r w:rsidR="00C977D1" w:rsidRPr="00F14737">
        <w:rPr>
          <w:rFonts w:ascii="Arial" w:hAnsi="Arial" w:hint="cs"/>
          <w:sz w:val="26"/>
          <w:szCs w:val="26"/>
        </w:rPr>
        <w:t>M-16</w:t>
      </w:r>
      <w:r w:rsidR="00C977D1" w:rsidRPr="00F14737">
        <w:rPr>
          <w:rFonts w:ascii="Arial" w:hAnsi="Arial" w:hint="cs"/>
          <w:sz w:val="26"/>
          <w:szCs w:val="26"/>
          <w:rtl/>
        </w:rPr>
        <w:t xml:space="preserve">. בבית המשפט המחוזי נדון המשיב ל-32 חודשי מאסר בפועל, ובית המשפט העליון החמיר בעונשו ל- 42 חודשי מאסר, תוך הבהרה שערכאת הערעור אינה ממצה את הדין. </w:t>
      </w:r>
    </w:p>
    <w:p w14:paraId="0A311D1F" w14:textId="77777777" w:rsidR="00C977D1" w:rsidRPr="00F14737" w:rsidRDefault="00F44EB0" w:rsidP="00C977D1">
      <w:pPr>
        <w:spacing w:after="240" w:line="360" w:lineRule="auto"/>
        <w:ind w:firstLine="720"/>
        <w:jc w:val="both"/>
        <w:rPr>
          <w:rFonts w:ascii="Arial" w:hAnsi="Arial"/>
          <w:sz w:val="26"/>
          <w:szCs w:val="26"/>
          <w:rtl/>
        </w:rPr>
      </w:pPr>
      <w:hyperlink r:id="rId41" w:history="1">
        <w:r w:rsidRPr="00F44EB0">
          <w:rPr>
            <w:rFonts w:ascii="Arial" w:hAnsi="Arial"/>
            <w:color w:val="0000FF"/>
            <w:sz w:val="26"/>
            <w:szCs w:val="26"/>
            <w:u w:val="single"/>
            <w:rtl/>
          </w:rPr>
          <w:t>ע"פ 8045/17</w:t>
        </w:r>
      </w:hyperlink>
      <w:r w:rsidR="00C977D1" w:rsidRPr="00F14737">
        <w:rPr>
          <w:rFonts w:ascii="Arial" w:hAnsi="Arial" w:hint="cs"/>
          <w:sz w:val="26"/>
          <w:szCs w:val="26"/>
          <w:rtl/>
        </w:rPr>
        <w:t xml:space="preserve"> </w:t>
      </w:r>
      <w:r w:rsidR="00C977D1" w:rsidRPr="00F14737">
        <w:rPr>
          <w:rFonts w:ascii="Arial" w:hAnsi="Arial" w:hint="cs"/>
          <w:b/>
          <w:bCs/>
          <w:sz w:val="26"/>
          <w:szCs w:val="26"/>
          <w:rtl/>
        </w:rPr>
        <w:t>מחמוד בראנסי נ' מדינת ישראל</w:t>
      </w:r>
      <w:r w:rsidR="00C977D1" w:rsidRPr="00F14737">
        <w:rPr>
          <w:rFonts w:ascii="Arial" w:hAnsi="Arial" w:hint="cs"/>
          <w:sz w:val="26"/>
          <w:szCs w:val="26"/>
          <w:rtl/>
        </w:rPr>
        <w:t xml:space="preserve"> וערעורים נוספים (16.8.18) </w:t>
      </w:r>
      <w:r w:rsidR="00C977D1" w:rsidRPr="00F14737">
        <w:rPr>
          <w:rFonts w:ascii="Arial" w:hAnsi="Arial"/>
          <w:sz w:val="26"/>
          <w:szCs w:val="26"/>
          <w:rtl/>
        </w:rPr>
        <w:t>–</w:t>
      </w:r>
      <w:r w:rsidR="00C977D1" w:rsidRPr="00F14737">
        <w:rPr>
          <w:rFonts w:ascii="Arial" w:hAnsi="Arial" w:hint="cs"/>
          <w:sz w:val="26"/>
          <w:szCs w:val="26"/>
          <w:rtl/>
        </w:rPr>
        <w:t xml:space="preserve"> הסניגור הפנה לפסק הדין המתייחס למערער 1, אשר הורשע ב-6 אישומים שעניינם עסקאות בנשק ועבירות סמים, ונדון ל-8 שנת מאסר, מהן 6 שנים בגין עבירות הנשק ושנתיים בגין עבירות הסמים. </w:t>
      </w:r>
    </w:p>
    <w:p w14:paraId="1936EB2E" w14:textId="77777777" w:rsidR="00C977D1" w:rsidRPr="00F14737" w:rsidRDefault="00F44EB0" w:rsidP="00C977D1">
      <w:pPr>
        <w:spacing w:after="240" w:line="360" w:lineRule="auto"/>
        <w:ind w:firstLine="720"/>
        <w:jc w:val="both"/>
        <w:rPr>
          <w:rFonts w:ascii="Arial" w:hAnsi="Arial"/>
          <w:sz w:val="26"/>
          <w:szCs w:val="26"/>
          <w:rtl/>
        </w:rPr>
      </w:pPr>
      <w:hyperlink r:id="rId42" w:history="1">
        <w:r w:rsidRPr="00F44EB0">
          <w:rPr>
            <w:rFonts w:ascii="Arial" w:hAnsi="Arial"/>
            <w:b/>
            <w:bCs/>
            <w:color w:val="0000FF"/>
            <w:sz w:val="26"/>
            <w:szCs w:val="26"/>
            <w:u w:val="single"/>
            <w:rtl/>
          </w:rPr>
          <w:t>ע"פ 4154/16</w:t>
        </w:r>
      </w:hyperlink>
      <w:r w:rsidR="00C977D1" w:rsidRPr="00F14737">
        <w:rPr>
          <w:rFonts w:ascii="Arial" w:hAnsi="Arial" w:hint="cs"/>
          <w:b/>
          <w:bCs/>
          <w:sz w:val="26"/>
          <w:szCs w:val="26"/>
          <w:rtl/>
        </w:rPr>
        <w:t xml:space="preserve"> </w:t>
      </w:r>
      <w:r w:rsidR="00C977D1" w:rsidRPr="00F44EB0">
        <w:rPr>
          <w:rFonts w:ascii="Arial" w:hAnsi="Arial"/>
          <w:b/>
          <w:bCs/>
          <w:color w:val="000000"/>
          <w:sz w:val="26"/>
          <w:szCs w:val="26"/>
          <w:rtl/>
        </w:rPr>
        <w:t xml:space="preserve">רונן דהוד </w:t>
      </w:r>
      <w:r w:rsidR="00C977D1" w:rsidRPr="00F14737">
        <w:rPr>
          <w:rFonts w:ascii="Arial" w:hAnsi="Arial"/>
          <w:b/>
          <w:bCs/>
          <w:sz w:val="26"/>
          <w:szCs w:val="26"/>
          <w:rtl/>
        </w:rPr>
        <w:t xml:space="preserve"> נ' מדינת ישראל</w:t>
      </w:r>
      <w:r w:rsidR="00C977D1" w:rsidRPr="00F14737">
        <w:rPr>
          <w:rFonts w:ascii="Arial" w:hAnsi="Arial"/>
          <w:sz w:val="26"/>
          <w:szCs w:val="26"/>
          <w:rtl/>
        </w:rPr>
        <w:t xml:space="preserve"> </w:t>
      </w:r>
      <w:r w:rsidR="00C977D1" w:rsidRPr="00F14737">
        <w:rPr>
          <w:rFonts w:ascii="Arial" w:hAnsi="Arial" w:hint="cs"/>
          <w:sz w:val="26"/>
          <w:szCs w:val="26"/>
          <w:rtl/>
        </w:rPr>
        <w:t>(19.1.17)</w:t>
      </w:r>
      <w:r w:rsidR="00C977D1" w:rsidRPr="00F14737">
        <w:rPr>
          <w:rFonts w:ascii="Arial" w:hAnsi="Arial"/>
          <w:sz w:val="26"/>
          <w:szCs w:val="26"/>
          <w:rtl/>
        </w:rPr>
        <w:t xml:space="preserve"> </w:t>
      </w:r>
      <w:r w:rsidR="00C977D1" w:rsidRPr="00F14737">
        <w:rPr>
          <w:rFonts w:ascii="Arial" w:hAnsi="Arial" w:hint="cs"/>
          <w:sz w:val="26"/>
          <w:szCs w:val="26"/>
          <w:rtl/>
        </w:rPr>
        <w:t xml:space="preserve">הנ"ל </w:t>
      </w:r>
      <w:r w:rsidR="00C977D1" w:rsidRPr="00F14737">
        <w:rPr>
          <w:rFonts w:ascii="Arial" w:hAnsi="Arial"/>
          <w:sz w:val="26"/>
          <w:szCs w:val="26"/>
          <w:rtl/>
        </w:rPr>
        <w:t>- המערער הורשע בשני אישומים שכל אחד מהם כלל עבירות סחר בנשק ועבירות נשק נוספות. מדובר בשתי עסקאות מכירה לסוכן, באישום אחד נמכר אקדח ובאישום השני רובה ציד מאולתר. המערער נדון ל-45 חודשי מאסר בפועל, מאסר על תנאי וקנס. נקבע מתחם בין שנתיים לחמש שנות מאסר לכל אחד מהאישומים. הערעור נדחה תוך שבית המשפט העליון עמד על כך שלא ניתן להשלים עם קיומו של "שוק" מחתרתי בלתי חוקי למכירת כלי נשק, וגדיעתו של שוק זה היא תנאי הכרחי למיגור מעשי אלימות חמורים.</w:t>
      </w:r>
    </w:p>
    <w:p w14:paraId="6AE91109" w14:textId="77777777" w:rsidR="00C977D1" w:rsidRPr="00F14737" w:rsidRDefault="00F44EB0" w:rsidP="00C977D1">
      <w:pPr>
        <w:spacing w:after="240" w:line="360" w:lineRule="auto"/>
        <w:ind w:firstLine="720"/>
        <w:jc w:val="both"/>
        <w:rPr>
          <w:rFonts w:ascii="Arial" w:hAnsi="Arial"/>
          <w:sz w:val="26"/>
          <w:szCs w:val="26"/>
          <w:rtl/>
        </w:rPr>
      </w:pPr>
      <w:hyperlink r:id="rId43" w:history="1">
        <w:r w:rsidRPr="00F44EB0">
          <w:rPr>
            <w:rFonts w:ascii="Arial" w:hAnsi="Arial"/>
            <w:color w:val="0000FF"/>
            <w:sz w:val="26"/>
            <w:szCs w:val="26"/>
            <w:u w:val="single"/>
            <w:rtl/>
          </w:rPr>
          <w:t>ת"פ (מרכז) 41838-09-20</w:t>
        </w:r>
      </w:hyperlink>
      <w:r w:rsidR="00C977D1" w:rsidRPr="00F14737">
        <w:rPr>
          <w:rFonts w:ascii="Arial" w:hAnsi="Arial" w:hint="cs"/>
          <w:sz w:val="26"/>
          <w:szCs w:val="26"/>
          <w:rtl/>
        </w:rPr>
        <w:t xml:space="preserve"> </w:t>
      </w:r>
      <w:r w:rsidR="00C977D1" w:rsidRPr="00F14737">
        <w:rPr>
          <w:rFonts w:ascii="Arial" w:hAnsi="Arial" w:hint="cs"/>
          <w:b/>
          <w:bCs/>
          <w:sz w:val="26"/>
          <w:szCs w:val="26"/>
          <w:rtl/>
        </w:rPr>
        <w:t>מדינת ישראל נ' יוסף חיים פרץ</w:t>
      </w:r>
      <w:r w:rsidR="00C977D1" w:rsidRPr="00F14737">
        <w:rPr>
          <w:rFonts w:ascii="Arial" w:hAnsi="Arial" w:hint="cs"/>
          <w:sz w:val="26"/>
          <w:szCs w:val="26"/>
          <w:rtl/>
        </w:rPr>
        <w:t xml:space="preserve"> (5.7.21) </w:t>
      </w:r>
      <w:r w:rsidR="00C977D1" w:rsidRPr="00F14737">
        <w:rPr>
          <w:rFonts w:ascii="Arial" w:hAnsi="Arial"/>
          <w:sz w:val="26"/>
          <w:szCs w:val="26"/>
          <w:rtl/>
        </w:rPr>
        <w:t>–</w:t>
      </w:r>
      <w:r w:rsidR="00C977D1" w:rsidRPr="00F14737">
        <w:rPr>
          <w:rFonts w:ascii="Arial" w:hAnsi="Arial" w:hint="cs"/>
          <w:sz w:val="26"/>
          <w:szCs w:val="26"/>
          <w:rtl/>
        </w:rPr>
        <w:t xml:space="preserve"> הנאשם הורשע בהסדר טיעון ב-5 עבירות סחר בנשק ועבירות נשק נוספות וכן בעבירות סמים. הוא נדון לעונש מוסכם של 6 שנים ו-3 חודשים של מאסר בפועל ועונשים נלווים. </w:t>
      </w:r>
    </w:p>
    <w:p w14:paraId="0A3F717F" w14:textId="77777777" w:rsidR="00C977D1" w:rsidRPr="00F14737" w:rsidRDefault="00C977D1" w:rsidP="00C977D1">
      <w:pPr>
        <w:spacing w:after="240" w:line="360" w:lineRule="auto"/>
        <w:jc w:val="both"/>
        <w:rPr>
          <w:rFonts w:ascii="Arial" w:hAnsi="Arial"/>
          <w:sz w:val="26"/>
          <w:szCs w:val="26"/>
          <w:rtl/>
        </w:rPr>
      </w:pPr>
      <w:r w:rsidRPr="00F14737">
        <w:rPr>
          <w:rFonts w:ascii="Arial" w:hAnsi="Arial" w:hint="cs"/>
          <w:sz w:val="26"/>
          <w:szCs w:val="26"/>
          <w:rtl/>
        </w:rPr>
        <w:t>10.</w:t>
      </w:r>
      <w:r w:rsidRPr="00F14737">
        <w:rPr>
          <w:rFonts w:ascii="Arial" w:hAnsi="Arial" w:hint="cs"/>
          <w:sz w:val="26"/>
          <w:szCs w:val="26"/>
          <w:rtl/>
        </w:rPr>
        <w:tab/>
        <w:t>אפנה לפסקי דין נוספים בעבירות דומות:</w:t>
      </w:r>
    </w:p>
    <w:p w14:paraId="3EF1C5EA" w14:textId="77777777" w:rsidR="00C977D1" w:rsidRPr="00F14737" w:rsidRDefault="00F44EB0" w:rsidP="00C977D1">
      <w:pPr>
        <w:spacing w:after="240" w:line="360" w:lineRule="auto"/>
        <w:ind w:firstLine="720"/>
        <w:jc w:val="both"/>
        <w:rPr>
          <w:rFonts w:ascii="Arial" w:hAnsi="Arial"/>
          <w:sz w:val="26"/>
          <w:szCs w:val="26"/>
        </w:rPr>
      </w:pPr>
      <w:hyperlink r:id="rId44" w:history="1">
        <w:r w:rsidRPr="00F44EB0">
          <w:rPr>
            <w:rFonts w:ascii="Arial" w:hAnsi="Arial"/>
            <w:color w:val="0000FF"/>
            <w:sz w:val="26"/>
            <w:szCs w:val="26"/>
            <w:u w:val="single"/>
            <w:rtl/>
          </w:rPr>
          <w:t>ע"פ 8280/15</w:t>
        </w:r>
      </w:hyperlink>
      <w:r w:rsidR="00C977D1" w:rsidRPr="00F14737">
        <w:rPr>
          <w:rFonts w:ascii="Arial" w:hAnsi="Arial"/>
          <w:sz w:val="26"/>
          <w:szCs w:val="26"/>
          <w:rtl/>
        </w:rPr>
        <w:t xml:space="preserve">, </w:t>
      </w:r>
      <w:r w:rsidR="00C977D1" w:rsidRPr="00F14737">
        <w:rPr>
          <w:rFonts w:ascii="Arial" w:hAnsi="Arial"/>
          <w:b/>
          <w:bCs/>
          <w:sz w:val="26"/>
          <w:szCs w:val="26"/>
          <w:rtl/>
        </w:rPr>
        <w:t xml:space="preserve">מוחמד ג'ולאני נ' מדינת ישראל – </w:t>
      </w:r>
      <w:r w:rsidR="00C977D1" w:rsidRPr="00F14737">
        <w:rPr>
          <w:rFonts w:ascii="Arial" w:hAnsi="Arial"/>
          <w:sz w:val="26"/>
          <w:szCs w:val="26"/>
          <w:rtl/>
        </w:rPr>
        <w:t xml:space="preserve">המערער הורשע בסיוע לעסקה בנשק ובהחזקת נשק, בכך שהיה מעורב עם אחרים בעסקה בה נמכרו לסוכן משטרתי שני רובים ואקדח. נקבע מתחם בין 16 ל-36 חודשי מאסר, המערער נדון ל-20 חודשי מאסר בפועל, מאסר על תנאי וקנס, וערעור על חומרת העונש נדחה. </w:t>
      </w:r>
    </w:p>
    <w:p w14:paraId="5C42855C" w14:textId="77777777" w:rsidR="00C977D1" w:rsidRPr="00F14737" w:rsidRDefault="00F44EB0" w:rsidP="00C977D1">
      <w:pPr>
        <w:spacing w:after="240" w:line="360" w:lineRule="auto"/>
        <w:ind w:firstLine="720"/>
        <w:jc w:val="both"/>
        <w:rPr>
          <w:rFonts w:ascii="Arial" w:hAnsi="Arial"/>
          <w:sz w:val="26"/>
          <w:szCs w:val="26"/>
          <w:rtl/>
        </w:rPr>
      </w:pPr>
      <w:hyperlink r:id="rId45" w:history="1">
        <w:r w:rsidRPr="00F44EB0">
          <w:rPr>
            <w:rFonts w:ascii="Arial" w:hAnsi="Arial"/>
            <w:color w:val="0000FF"/>
            <w:sz w:val="26"/>
            <w:szCs w:val="26"/>
            <w:u w:val="single"/>
            <w:rtl/>
          </w:rPr>
          <w:t>ע"פ 2422/14</w:t>
        </w:r>
      </w:hyperlink>
      <w:r w:rsidR="00C977D1" w:rsidRPr="00F14737">
        <w:rPr>
          <w:rFonts w:ascii="Arial" w:hAnsi="Arial"/>
          <w:sz w:val="26"/>
          <w:szCs w:val="26"/>
          <w:rtl/>
        </w:rPr>
        <w:t xml:space="preserve">, </w:t>
      </w:r>
      <w:r w:rsidR="00C977D1" w:rsidRPr="00F14737">
        <w:rPr>
          <w:rFonts w:ascii="Arial" w:hAnsi="Arial"/>
          <w:b/>
          <w:bCs/>
          <w:sz w:val="26"/>
          <w:szCs w:val="26"/>
          <w:rtl/>
        </w:rPr>
        <w:t>עלי ח'דר נ' מדינת ישראל -</w:t>
      </w:r>
      <w:r w:rsidR="00C977D1" w:rsidRPr="00F14737">
        <w:rPr>
          <w:rFonts w:ascii="Arial" w:hAnsi="Arial"/>
          <w:sz w:val="26"/>
          <w:szCs w:val="26"/>
          <w:rtl/>
        </w:rPr>
        <w:t xml:space="preserve"> המערער הורשע בעבירה של סחר בנשק במכירת רובה מסוג קרל גוסטב לסוכן משטרתי. הוא נדון ל-36 חודשי מאסר בפועל</w:t>
      </w:r>
      <w:r w:rsidR="00C977D1" w:rsidRPr="00F14737">
        <w:rPr>
          <w:rFonts w:ascii="Arial" w:hAnsi="Arial" w:hint="cs"/>
          <w:sz w:val="26"/>
          <w:szCs w:val="26"/>
          <w:rtl/>
        </w:rPr>
        <w:t xml:space="preserve"> וערעורו נדחה</w:t>
      </w:r>
      <w:r w:rsidR="00C977D1" w:rsidRPr="00F14737">
        <w:rPr>
          <w:rFonts w:ascii="Arial" w:hAnsi="Arial"/>
          <w:sz w:val="26"/>
          <w:szCs w:val="26"/>
          <w:rtl/>
        </w:rPr>
        <w:t xml:space="preserve">. </w:t>
      </w:r>
    </w:p>
    <w:p w14:paraId="7F031513" w14:textId="77777777" w:rsidR="00C977D1" w:rsidRPr="005977B1" w:rsidRDefault="00F44EB0" w:rsidP="00C977D1">
      <w:pPr>
        <w:spacing w:after="240" w:line="360" w:lineRule="auto"/>
        <w:ind w:firstLine="720"/>
        <w:jc w:val="both"/>
        <w:rPr>
          <w:sz w:val="26"/>
          <w:szCs w:val="26"/>
        </w:rPr>
      </w:pPr>
      <w:hyperlink r:id="rId46" w:history="1">
        <w:r w:rsidRPr="00F44EB0">
          <w:rPr>
            <w:color w:val="0000FF"/>
            <w:sz w:val="26"/>
            <w:szCs w:val="26"/>
            <w:u w:val="single"/>
            <w:rtl/>
          </w:rPr>
          <w:t>ת"פ (חיפה) 4664-01-20</w:t>
        </w:r>
      </w:hyperlink>
      <w:r w:rsidR="00C977D1" w:rsidRPr="005977B1">
        <w:rPr>
          <w:sz w:val="26"/>
          <w:szCs w:val="26"/>
          <w:rtl/>
        </w:rPr>
        <w:t xml:space="preserve"> </w:t>
      </w:r>
      <w:r w:rsidR="00C977D1" w:rsidRPr="005977B1">
        <w:rPr>
          <w:b/>
          <w:bCs/>
          <w:sz w:val="26"/>
          <w:szCs w:val="26"/>
          <w:rtl/>
        </w:rPr>
        <w:t>מדינת ישראל נ' חליל אגבריה</w:t>
      </w:r>
      <w:r w:rsidR="00C977D1" w:rsidRPr="005977B1">
        <w:rPr>
          <w:sz w:val="26"/>
          <w:szCs w:val="26"/>
          <w:rtl/>
        </w:rPr>
        <w:t xml:space="preserve"> (22.7.20) – הנאשם הורשע בנסיון לסחר בנשק, בכך שניסה יחד עם אדם אחר לסחור במספר כלי נשק, בעסקאות שבסופו של דבר לא יצאו לפועל. הצדדים הגיעו להסדר טיעון שכלל מאסר בפועל לתקופה שבין 14-21 חודשים. בית המשפט התחשב בגילו הצעיר של הנאשם, בעברו הנקי ובהודאה ולקיחת האחריות, כמו גם במצבו הכלכלי והמשפחתי המורכב. על הנאשם הוטל עונש של 16 חודשי מאסר בפועל ומאסרים על תנאי. </w:t>
      </w:r>
    </w:p>
    <w:p w14:paraId="344C875E" w14:textId="77777777" w:rsidR="00C977D1" w:rsidRPr="00F14737" w:rsidRDefault="00F44EB0" w:rsidP="00C977D1">
      <w:pPr>
        <w:spacing w:after="240" w:line="360" w:lineRule="auto"/>
        <w:ind w:firstLine="720"/>
        <w:jc w:val="both"/>
        <w:rPr>
          <w:sz w:val="26"/>
          <w:szCs w:val="26"/>
          <w:rtl/>
        </w:rPr>
      </w:pPr>
      <w:hyperlink r:id="rId47" w:history="1">
        <w:r w:rsidRPr="00F44EB0">
          <w:rPr>
            <w:color w:val="0000FF"/>
            <w:sz w:val="26"/>
            <w:szCs w:val="26"/>
            <w:u w:val="single"/>
            <w:rtl/>
          </w:rPr>
          <w:t>ת"פ (ירושלים) 35684-04-18</w:t>
        </w:r>
      </w:hyperlink>
      <w:r w:rsidR="00C977D1" w:rsidRPr="005977B1">
        <w:rPr>
          <w:sz w:val="26"/>
          <w:szCs w:val="26"/>
          <w:rtl/>
        </w:rPr>
        <w:t xml:space="preserve"> </w:t>
      </w:r>
      <w:r w:rsidR="00C977D1" w:rsidRPr="005977B1">
        <w:rPr>
          <w:b/>
          <w:bCs/>
          <w:sz w:val="26"/>
          <w:szCs w:val="26"/>
          <w:rtl/>
        </w:rPr>
        <w:t>מדינת ישראל נ' פריד שחאדה</w:t>
      </w:r>
      <w:r w:rsidR="00C977D1" w:rsidRPr="005977B1">
        <w:rPr>
          <w:sz w:val="26"/>
          <w:szCs w:val="26"/>
          <w:rtl/>
        </w:rPr>
        <w:t xml:space="preserve"> (1.5.19) – הנאשמים הודו והורשעו כל אחד מהם בשתי עבירות של סחר בנשק לסוכן משטרתי סמוי. במקרה אחד מדובר במכירת אקדח, ובמקרה נוסף ברובה סער מסוג </w:t>
      </w:r>
      <w:r w:rsidR="00C977D1" w:rsidRPr="005977B1">
        <w:rPr>
          <w:sz w:val="26"/>
          <w:szCs w:val="26"/>
        </w:rPr>
        <w:t>M</w:t>
      </w:r>
      <w:r w:rsidR="00C977D1" w:rsidRPr="005977B1">
        <w:rPr>
          <w:sz w:val="26"/>
          <w:szCs w:val="26"/>
          <w:rtl/>
        </w:rPr>
        <w:t xml:space="preserve">-16. נקבע מתחם ענישה של 28-60 חודשי מאסר לשתי עבירות של תיווך בנשק, ומתחם שבין 40 ל-80 חודש לשתי עסקאות בנשק (אקדח ורובה סער). על נאשם 1 שהורשע בעבירות התיווך נגזרו 28 חודשי מאסר בפועל ועבירות נלוות, ועל נאשם 2 שהורשע בעבירות של עסקאות בנשק נגזרו 48 חודשי מאסר ועונשים נלווים. </w:t>
      </w:r>
    </w:p>
    <w:p w14:paraId="76F1F896" w14:textId="77777777" w:rsidR="00C977D1" w:rsidRDefault="00C977D1" w:rsidP="00C977D1">
      <w:pPr>
        <w:spacing w:after="240" w:line="360" w:lineRule="auto"/>
        <w:jc w:val="both"/>
        <w:rPr>
          <w:sz w:val="26"/>
          <w:szCs w:val="26"/>
          <w:rtl/>
        </w:rPr>
      </w:pPr>
      <w:r w:rsidRPr="00F14737">
        <w:rPr>
          <w:rFonts w:hint="cs"/>
          <w:sz w:val="26"/>
          <w:szCs w:val="26"/>
          <w:rtl/>
        </w:rPr>
        <w:t xml:space="preserve">אפנה לפסיקה רלוונטית נוספת: ת"פ (י-ם) 5433-05-21 </w:t>
      </w:r>
      <w:r w:rsidRPr="00F14737">
        <w:rPr>
          <w:rFonts w:hint="cs"/>
          <w:b/>
          <w:bCs/>
          <w:sz w:val="26"/>
          <w:szCs w:val="26"/>
          <w:rtl/>
        </w:rPr>
        <w:t xml:space="preserve">מדינת ישראל נ' </w:t>
      </w:r>
      <w:hyperlink r:id="rId48" w:history="1">
        <w:r w:rsidR="00AE44E5" w:rsidRPr="00AE44E5">
          <w:rPr>
            <w:b/>
            <w:bCs/>
            <w:color w:val="0000FF"/>
            <w:sz w:val="26"/>
            <w:szCs w:val="26"/>
            <w:u w:val="single"/>
            <w:rtl/>
          </w:rPr>
          <w:t xml:space="preserve">אנס זחאיקה </w:t>
        </w:r>
      </w:hyperlink>
      <w:r w:rsidRPr="00F14737">
        <w:rPr>
          <w:rFonts w:hint="cs"/>
          <w:sz w:val="26"/>
          <w:szCs w:val="26"/>
          <w:rtl/>
        </w:rPr>
        <w:t xml:space="preserve"> (10.2.22); </w:t>
      </w:r>
      <w:hyperlink r:id="rId49" w:history="1">
        <w:r w:rsidR="00F44EB0" w:rsidRPr="00F44EB0">
          <w:rPr>
            <w:color w:val="0000FF"/>
            <w:sz w:val="26"/>
            <w:szCs w:val="26"/>
            <w:u w:val="single"/>
            <w:rtl/>
          </w:rPr>
          <w:t>ת"פ 37047-07-20</w:t>
        </w:r>
      </w:hyperlink>
      <w:r w:rsidRPr="00F14737">
        <w:rPr>
          <w:sz w:val="26"/>
          <w:szCs w:val="26"/>
          <w:rtl/>
        </w:rPr>
        <w:t xml:space="preserve"> </w:t>
      </w:r>
      <w:r w:rsidRPr="00F14737">
        <w:rPr>
          <w:b/>
          <w:bCs/>
          <w:sz w:val="26"/>
          <w:szCs w:val="26"/>
          <w:rtl/>
        </w:rPr>
        <w:t xml:space="preserve">מדינת ישראל נ' </w:t>
      </w:r>
      <w:r w:rsidRPr="00F14737">
        <w:rPr>
          <w:rFonts w:hint="cs"/>
          <w:b/>
          <w:bCs/>
          <w:sz w:val="26"/>
          <w:szCs w:val="26"/>
          <w:rtl/>
        </w:rPr>
        <w:t xml:space="preserve">רמזי </w:t>
      </w:r>
      <w:r w:rsidRPr="00F14737">
        <w:rPr>
          <w:b/>
          <w:bCs/>
          <w:sz w:val="26"/>
          <w:szCs w:val="26"/>
          <w:rtl/>
        </w:rPr>
        <w:t>אטרש</w:t>
      </w:r>
      <w:r w:rsidRPr="00F14737">
        <w:rPr>
          <w:sz w:val="26"/>
          <w:szCs w:val="26"/>
          <w:rtl/>
        </w:rPr>
        <w:t xml:space="preserve"> </w:t>
      </w:r>
      <w:r w:rsidRPr="00F14737">
        <w:rPr>
          <w:rFonts w:hint="cs"/>
          <w:sz w:val="26"/>
          <w:szCs w:val="26"/>
          <w:rtl/>
        </w:rPr>
        <w:t xml:space="preserve">(15.7.21); </w:t>
      </w:r>
      <w:r w:rsidRPr="00F14737">
        <w:rPr>
          <w:sz w:val="26"/>
          <w:szCs w:val="26"/>
          <w:rtl/>
        </w:rPr>
        <w:t xml:space="preserve">ת"פ (ירושלים) </w:t>
      </w:r>
      <w:hyperlink r:id="rId50" w:history="1">
        <w:r w:rsidR="00AE44E5" w:rsidRPr="00AE44E5">
          <w:rPr>
            <w:color w:val="0000FF"/>
            <w:sz w:val="26"/>
            <w:szCs w:val="26"/>
            <w:u w:val="single"/>
            <w:rtl/>
          </w:rPr>
          <w:t xml:space="preserve">15842-11-20 </w:t>
        </w:r>
      </w:hyperlink>
      <w:r w:rsidR="00F44EB0">
        <w:rPr>
          <w:sz w:val="26"/>
          <w:szCs w:val="26"/>
          <w:rtl/>
        </w:rPr>
        <w:t xml:space="preserve"> </w:t>
      </w:r>
      <w:r w:rsidRPr="00F14737">
        <w:rPr>
          <w:b/>
          <w:bCs/>
          <w:sz w:val="26"/>
          <w:szCs w:val="26"/>
          <w:rtl/>
        </w:rPr>
        <w:t>מדינת ישראל</w:t>
      </w:r>
      <w:r w:rsidR="00F44EB0">
        <w:rPr>
          <w:b/>
          <w:bCs/>
          <w:sz w:val="26"/>
          <w:szCs w:val="26"/>
          <w:rtl/>
        </w:rPr>
        <w:t xml:space="preserve"> </w:t>
      </w:r>
      <w:r w:rsidRPr="00F14737">
        <w:rPr>
          <w:b/>
          <w:bCs/>
          <w:sz w:val="26"/>
          <w:szCs w:val="26"/>
          <w:rtl/>
        </w:rPr>
        <w:t>נ</w:t>
      </w:r>
      <w:r w:rsidRPr="00F14737">
        <w:rPr>
          <w:b/>
          <w:bCs/>
          <w:sz w:val="26"/>
          <w:szCs w:val="26"/>
        </w:rPr>
        <w:t>'</w:t>
      </w:r>
      <w:r w:rsidRPr="00F14737">
        <w:rPr>
          <w:rFonts w:hint="cs"/>
          <w:b/>
          <w:bCs/>
          <w:sz w:val="26"/>
          <w:szCs w:val="26"/>
          <w:rtl/>
        </w:rPr>
        <w:t xml:space="preserve"> </w:t>
      </w:r>
      <w:r w:rsidRPr="00F14737">
        <w:rPr>
          <w:b/>
          <w:bCs/>
          <w:sz w:val="26"/>
          <w:szCs w:val="26"/>
          <w:rtl/>
        </w:rPr>
        <w:t>דאוד חושיה</w:t>
      </w:r>
      <w:r w:rsidRPr="00F14737">
        <w:rPr>
          <w:rFonts w:hint="cs"/>
          <w:sz w:val="26"/>
          <w:szCs w:val="26"/>
          <w:rtl/>
        </w:rPr>
        <w:t xml:space="preserve"> (23.12.21).</w:t>
      </w:r>
    </w:p>
    <w:p w14:paraId="3BDA91B9" w14:textId="77777777" w:rsidR="00C977D1" w:rsidRPr="00F14737" w:rsidRDefault="00C977D1" w:rsidP="00C977D1">
      <w:pPr>
        <w:spacing w:after="240" w:line="360" w:lineRule="auto"/>
        <w:jc w:val="both"/>
        <w:rPr>
          <w:sz w:val="26"/>
          <w:szCs w:val="26"/>
          <w:rtl/>
        </w:rPr>
      </w:pPr>
      <w:r>
        <w:rPr>
          <w:rFonts w:hint="cs"/>
          <w:sz w:val="26"/>
          <w:szCs w:val="26"/>
          <w:rtl/>
        </w:rPr>
        <w:t>11.</w:t>
      </w:r>
      <w:r>
        <w:rPr>
          <w:rFonts w:hint="cs"/>
          <w:sz w:val="26"/>
          <w:szCs w:val="26"/>
          <w:rtl/>
        </w:rPr>
        <w:tab/>
      </w:r>
      <w:r w:rsidRPr="00F14737">
        <w:rPr>
          <w:rFonts w:hint="cs"/>
          <w:sz w:val="26"/>
          <w:szCs w:val="26"/>
          <w:rtl/>
        </w:rPr>
        <w:t xml:space="preserve">בענייננו, הנאשם הורשע בשלושה אישומים שעניינם מכירת נשק לסוכן משטרתי סמוי. באותן שלוש עסקאות הציע הנאשם מספר כלי נשק, באופן המצביע על קיומם של מספר גדול של כלי נשק זמינים, ועל מעורבות עמוקה בעסקי מכירת הנשק. הנאשם היה מעורב בעסקאות כמוכר ולא כקונה, ובכך תרם להפצתם של כלי נשק ליעדים לא ידועים, באופן שעלול להגיע לידיהם של גורמים מסוכנים, על רקע לאומני או פלילי. תמורת הנשק קיבל הנאשם סכומים של עשרות אלפי ₪. אף אם אניח כי הסכום אינו מגיע במלואו לידי הנאשם, וכי הוא זכאי לעמלה או שעליו לרכוש את הנשק מאחרים, גם כך מדובר בסכומים נאים שהגיעו לידי הנאשם. </w:t>
      </w:r>
    </w:p>
    <w:p w14:paraId="4B152A2B" w14:textId="77777777" w:rsidR="00C977D1" w:rsidRPr="00F14737" w:rsidRDefault="00C977D1" w:rsidP="00C977D1">
      <w:pPr>
        <w:spacing w:after="240" w:line="360" w:lineRule="auto"/>
        <w:ind w:firstLine="720"/>
        <w:jc w:val="both"/>
        <w:rPr>
          <w:sz w:val="26"/>
          <w:szCs w:val="26"/>
          <w:rtl/>
        </w:rPr>
      </w:pPr>
      <w:r w:rsidRPr="00F14737">
        <w:rPr>
          <w:rFonts w:hint="cs"/>
          <w:sz w:val="26"/>
          <w:szCs w:val="26"/>
          <w:rtl/>
        </w:rPr>
        <w:t>מאידך גיסא, היוזמה לכל העסקאות הגיעה</w:t>
      </w:r>
      <w:r>
        <w:rPr>
          <w:rFonts w:hint="cs"/>
          <w:sz w:val="26"/>
          <w:szCs w:val="26"/>
          <w:rtl/>
        </w:rPr>
        <w:t xml:space="preserve"> מצידו של הסוכן</w:t>
      </w:r>
      <w:r w:rsidRPr="00F14737">
        <w:rPr>
          <w:rFonts w:hint="cs"/>
          <w:sz w:val="26"/>
          <w:szCs w:val="26"/>
          <w:rtl/>
        </w:rPr>
        <w:t xml:space="preserve"> ולא מצד הנאשם, ומתיאור העובדות לא עולה שהנאשם נקט פעולות להפצת כלי הנשק ולא הביא אותם אל הרוכשים. כל כלי הנשק המתוארים בכתב האישום הם אקדחים, שה</w:t>
      </w:r>
      <w:r>
        <w:rPr>
          <w:rFonts w:hint="cs"/>
          <w:sz w:val="26"/>
          <w:szCs w:val="26"/>
          <w:rtl/>
        </w:rPr>
        <w:t>ס</w:t>
      </w:r>
      <w:r w:rsidRPr="00F14737">
        <w:rPr>
          <w:rFonts w:hint="cs"/>
          <w:sz w:val="26"/>
          <w:szCs w:val="26"/>
          <w:rtl/>
        </w:rPr>
        <w:t>כנה הנשקפת מהם נמוכה לעומת רובים ותתי מקלע המתוארים בדרך כלל בפסיקה העוסקת בעבירות אלו. בנוסף, העובדה שהנשק נמכר לסוכן משטרתי גרמה להוצאתו ממעגל הנשק הבלתי חוקי ולצמצום הסכנה לציבור, אם כי הנאשם עצמו לא היה מודע לכך.</w:t>
      </w:r>
    </w:p>
    <w:p w14:paraId="05FF83CC" w14:textId="77777777" w:rsidR="00C977D1" w:rsidRPr="00F14737" w:rsidRDefault="00C977D1" w:rsidP="00C977D1">
      <w:pPr>
        <w:spacing w:after="240" w:line="360" w:lineRule="auto"/>
        <w:jc w:val="both"/>
        <w:rPr>
          <w:sz w:val="26"/>
          <w:szCs w:val="26"/>
          <w:rtl/>
        </w:rPr>
      </w:pPr>
      <w:r>
        <w:rPr>
          <w:rFonts w:hint="cs"/>
          <w:sz w:val="26"/>
          <w:szCs w:val="26"/>
          <w:rtl/>
        </w:rPr>
        <w:t>12.</w:t>
      </w:r>
      <w:r>
        <w:rPr>
          <w:rFonts w:hint="cs"/>
          <w:sz w:val="26"/>
          <w:szCs w:val="26"/>
          <w:rtl/>
        </w:rPr>
        <w:tab/>
      </w:r>
      <w:r w:rsidRPr="00F14737">
        <w:rPr>
          <w:rFonts w:hint="cs"/>
          <w:sz w:val="26"/>
          <w:szCs w:val="26"/>
          <w:rtl/>
        </w:rPr>
        <w:t xml:space="preserve">בפסקי דין רבים עלה הצורך להחמיר בענישה על עבירות נשק, ובחינת הפסיקה מצביעה, אכן, על מגמה ברורה של החמרה. עם זאת, רבים מפסקי הדין הנזכרים לעיל ניתנו לאחרונה, כך שהם מבטאים את אותה מגמה בעונשים שנגזרו על הנאשמים. </w:t>
      </w:r>
    </w:p>
    <w:p w14:paraId="366FEA39" w14:textId="77777777" w:rsidR="00C977D1" w:rsidRPr="00F14737" w:rsidRDefault="00C977D1" w:rsidP="00C977D1">
      <w:pPr>
        <w:spacing w:after="240" w:line="360" w:lineRule="auto"/>
        <w:ind w:firstLine="720"/>
        <w:jc w:val="both"/>
        <w:rPr>
          <w:sz w:val="26"/>
          <w:szCs w:val="26"/>
          <w:rtl/>
        </w:rPr>
      </w:pPr>
      <w:r w:rsidRPr="00F14737">
        <w:rPr>
          <w:rFonts w:hint="cs"/>
          <w:sz w:val="26"/>
          <w:szCs w:val="26"/>
          <w:rtl/>
        </w:rPr>
        <w:t>מאחר שמדובר בשלושה אירועים דומים מאד זה לזה, סמוכים בזמן ובמקום וזהים ג</w:t>
      </w:r>
      <w:r>
        <w:rPr>
          <w:rFonts w:hint="cs"/>
          <w:sz w:val="26"/>
          <w:szCs w:val="26"/>
          <w:rtl/>
        </w:rPr>
        <w:t>ם</w:t>
      </w:r>
      <w:r w:rsidRPr="00F14737">
        <w:rPr>
          <w:rFonts w:hint="cs"/>
          <w:sz w:val="26"/>
          <w:szCs w:val="26"/>
          <w:rtl/>
        </w:rPr>
        <w:t xml:space="preserve"> מבחינת זהותם של המעורבים, אני סבורה שיש לראות את כל העבירות כאירוע אחד ולקבוע להם מתחם ענישה אחד. </w:t>
      </w:r>
    </w:p>
    <w:p w14:paraId="7E7960A0" w14:textId="77777777" w:rsidR="00C977D1" w:rsidRDefault="00C977D1" w:rsidP="00C977D1">
      <w:pPr>
        <w:spacing w:after="240" w:line="360" w:lineRule="auto"/>
        <w:ind w:firstLine="720"/>
        <w:jc w:val="both"/>
        <w:rPr>
          <w:sz w:val="26"/>
          <w:szCs w:val="26"/>
          <w:rtl/>
        </w:rPr>
      </w:pPr>
      <w:r w:rsidRPr="00F14737">
        <w:rPr>
          <w:rFonts w:hint="cs"/>
          <w:sz w:val="26"/>
          <w:szCs w:val="26"/>
          <w:rtl/>
        </w:rPr>
        <w:t>לאור כל המפורט אני קובעת מתחם ענישה הנע בין 5-8 שנות מאסר בפועל, בצירוף עונשים נלווים.</w:t>
      </w:r>
    </w:p>
    <w:p w14:paraId="117CC4C0" w14:textId="77777777" w:rsidR="00C977D1" w:rsidRPr="00F14737" w:rsidRDefault="00C977D1" w:rsidP="00C977D1">
      <w:pPr>
        <w:spacing w:after="240" w:line="360" w:lineRule="auto"/>
        <w:jc w:val="both"/>
        <w:rPr>
          <w:b/>
          <w:bCs/>
          <w:sz w:val="26"/>
          <w:szCs w:val="26"/>
          <w:rtl/>
        </w:rPr>
      </w:pPr>
      <w:r w:rsidRPr="00F14737">
        <w:rPr>
          <w:rFonts w:hint="cs"/>
          <w:b/>
          <w:bCs/>
          <w:sz w:val="26"/>
          <w:szCs w:val="26"/>
          <w:rtl/>
        </w:rPr>
        <w:t>העונש ההולם לנאשם</w:t>
      </w:r>
    </w:p>
    <w:p w14:paraId="7A94BF81" w14:textId="77777777" w:rsidR="00C977D1" w:rsidRPr="00F14737" w:rsidRDefault="00C977D1" w:rsidP="00C977D1">
      <w:pPr>
        <w:spacing w:after="240" w:line="360" w:lineRule="auto"/>
        <w:jc w:val="both"/>
        <w:rPr>
          <w:sz w:val="26"/>
          <w:szCs w:val="26"/>
          <w:rtl/>
        </w:rPr>
      </w:pPr>
      <w:r>
        <w:rPr>
          <w:rFonts w:hint="cs"/>
          <w:sz w:val="26"/>
          <w:szCs w:val="26"/>
          <w:rtl/>
        </w:rPr>
        <w:t>13.</w:t>
      </w:r>
      <w:r>
        <w:rPr>
          <w:rFonts w:hint="cs"/>
          <w:sz w:val="26"/>
          <w:szCs w:val="26"/>
          <w:rtl/>
        </w:rPr>
        <w:tab/>
      </w:r>
      <w:r w:rsidRPr="00F14737">
        <w:rPr>
          <w:rFonts w:hint="cs"/>
          <w:sz w:val="26"/>
          <w:szCs w:val="26"/>
          <w:rtl/>
        </w:rPr>
        <w:t xml:space="preserve">באשר לעונש הראוי במסגרת המתחם, הנאשם הוא צעיר ללא עבר פלילי. הוא הודה וחסך בזמן ובצורך בעדות הסוכן הסמוי. התסקיר שהוגש בעניינו של הנאשם חיובי בעיקרו, והוא מעיד, מעבר להודאה הפורמלית, על תחילתה של הפנמת הפסול במעשיו של הנאשם ועל רצון ויכולת לתפקוד נורמטיבי. יש לקוות כי הנאשם יתמיד בגישה זו, ינצל את תקופת המאסר לקידומו האישי ולאחר שחרורו ממאסר יחזור לדרך הישר. </w:t>
      </w:r>
    </w:p>
    <w:p w14:paraId="3783BC30" w14:textId="77777777" w:rsidR="00C977D1" w:rsidRPr="00F14737" w:rsidRDefault="00C977D1" w:rsidP="00C977D1">
      <w:pPr>
        <w:spacing w:after="240" w:line="360" w:lineRule="auto"/>
        <w:jc w:val="both"/>
        <w:rPr>
          <w:sz w:val="26"/>
          <w:szCs w:val="26"/>
          <w:rtl/>
        </w:rPr>
      </w:pPr>
      <w:r>
        <w:rPr>
          <w:rFonts w:hint="cs"/>
          <w:sz w:val="26"/>
          <w:szCs w:val="26"/>
          <w:rtl/>
        </w:rPr>
        <w:t>14.</w:t>
      </w:r>
      <w:r>
        <w:rPr>
          <w:rFonts w:hint="cs"/>
          <w:sz w:val="26"/>
          <w:szCs w:val="26"/>
          <w:rtl/>
        </w:rPr>
        <w:tab/>
      </w:r>
      <w:r w:rsidRPr="00F14737">
        <w:rPr>
          <w:rFonts w:hint="cs"/>
          <w:sz w:val="26"/>
          <w:szCs w:val="26"/>
          <w:rtl/>
        </w:rPr>
        <w:t>לאור האמור אני סבורה שיש לגזור על הנאשם עונש בתחתית מתחם הענישה, ואני דנה אותו לעונש כמפורט להלן</w:t>
      </w:r>
    </w:p>
    <w:p w14:paraId="53D74EE2" w14:textId="77777777" w:rsidR="00C977D1" w:rsidRPr="00F14737" w:rsidRDefault="00C977D1" w:rsidP="00C977D1">
      <w:pPr>
        <w:pStyle w:val="a9"/>
        <w:numPr>
          <w:ilvl w:val="0"/>
          <w:numId w:val="1"/>
        </w:numPr>
        <w:spacing w:after="240" w:line="360" w:lineRule="auto"/>
        <w:jc w:val="both"/>
        <w:rPr>
          <w:sz w:val="26"/>
          <w:szCs w:val="26"/>
        </w:rPr>
      </w:pPr>
      <w:r w:rsidRPr="00F14737">
        <w:rPr>
          <w:rFonts w:hint="cs"/>
          <w:sz w:val="26"/>
          <w:szCs w:val="26"/>
          <w:rtl/>
        </w:rPr>
        <w:t>מאסר בפועל לתקופה של 5 שנים שיימנו החל ממעצרו של הנאשם.</w:t>
      </w:r>
    </w:p>
    <w:p w14:paraId="05FA1EF4" w14:textId="77777777" w:rsidR="00C977D1" w:rsidRPr="00F14737" w:rsidRDefault="00C977D1" w:rsidP="00C977D1">
      <w:pPr>
        <w:pStyle w:val="a9"/>
        <w:numPr>
          <w:ilvl w:val="0"/>
          <w:numId w:val="1"/>
        </w:numPr>
        <w:spacing w:after="240" w:line="360" w:lineRule="auto"/>
        <w:jc w:val="both"/>
        <w:rPr>
          <w:sz w:val="26"/>
          <w:szCs w:val="26"/>
        </w:rPr>
      </w:pPr>
      <w:r w:rsidRPr="00F14737">
        <w:rPr>
          <w:rFonts w:hint="cs"/>
          <w:sz w:val="26"/>
          <w:szCs w:val="26"/>
          <w:rtl/>
        </w:rPr>
        <w:t xml:space="preserve">מאסר על תנאי ל-8 חודשים למשך 3 שנים על כל עבירה בנשק או נסיון לעבור עבירה כאמור. </w:t>
      </w:r>
    </w:p>
    <w:p w14:paraId="67822ADD" w14:textId="77777777" w:rsidR="00C977D1" w:rsidRPr="00F14737" w:rsidRDefault="00F44EB0" w:rsidP="00C977D1">
      <w:pPr>
        <w:pStyle w:val="a9"/>
        <w:numPr>
          <w:ilvl w:val="0"/>
          <w:numId w:val="1"/>
        </w:numPr>
        <w:spacing w:after="240" w:line="360" w:lineRule="auto"/>
        <w:jc w:val="both"/>
        <w:rPr>
          <w:sz w:val="26"/>
          <w:szCs w:val="26"/>
        </w:rPr>
      </w:pPr>
      <w:r w:rsidRPr="00F44EB0">
        <w:rPr>
          <w:color w:val="FFFFFF"/>
          <w:sz w:val="2"/>
          <w:szCs w:val="2"/>
          <w:rtl/>
        </w:rPr>
        <w:t>5129371</w:t>
      </w:r>
      <w:r w:rsidR="00C977D1" w:rsidRPr="00F14737">
        <w:rPr>
          <w:rFonts w:hint="cs"/>
          <w:sz w:val="26"/>
          <w:szCs w:val="26"/>
          <w:rtl/>
        </w:rPr>
        <w:t xml:space="preserve">קנס בסך 10,000 ₪ שישולם עד יום 15.7.22. </w:t>
      </w:r>
    </w:p>
    <w:p w14:paraId="07B35148" w14:textId="77777777" w:rsidR="00C977D1" w:rsidRPr="00F44EB0" w:rsidRDefault="00F44EB0" w:rsidP="00C977D1">
      <w:pPr>
        <w:spacing w:after="240" w:line="360" w:lineRule="auto"/>
        <w:jc w:val="both"/>
        <w:rPr>
          <w:color w:val="FFFFFF"/>
          <w:sz w:val="2"/>
          <w:szCs w:val="2"/>
        </w:rPr>
      </w:pPr>
      <w:r w:rsidRPr="00F44EB0">
        <w:rPr>
          <w:color w:val="FFFFFF"/>
          <w:sz w:val="2"/>
          <w:szCs w:val="2"/>
          <w:rtl/>
        </w:rPr>
        <w:t>54678313</w:t>
      </w:r>
      <w:r w:rsidR="00C977D1" w:rsidRPr="00F44EB0">
        <w:rPr>
          <w:rFonts w:hint="cs"/>
          <w:color w:val="FFFFFF"/>
          <w:sz w:val="2"/>
          <w:szCs w:val="2"/>
          <w:rtl/>
        </w:rPr>
        <w:t xml:space="preserve">  </w:t>
      </w:r>
    </w:p>
    <w:p w14:paraId="0541E757" w14:textId="77777777" w:rsidR="00C977D1" w:rsidRPr="00F14737" w:rsidRDefault="00C977D1" w:rsidP="00C977D1">
      <w:pPr>
        <w:spacing w:after="240" w:line="360" w:lineRule="auto"/>
        <w:jc w:val="both"/>
        <w:rPr>
          <w:rFonts w:ascii="Arial" w:hAnsi="Arial"/>
          <w:b/>
          <w:bCs/>
          <w:sz w:val="26"/>
          <w:szCs w:val="26"/>
          <w:rtl/>
        </w:rPr>
      </w:pPr>
      <w:r w:rsidRPr="00F14737">
        <w:rPr>
          <w:rFonts w:hint="cs"/>
          <w:sz w:val="26"/>
          <w:szCs w:val="26"/>
          <w:rtl/>
        </w:rPr>
        <w:t>זכות ערעור לבית המשפט העליון תוך 45 יום.</w:t>
      </w:r>
    </w:p>
    <w:p w14:paraId="4C54A037" w14:textId="77777777" w:rsidR="00C977D1" w:rsidRPr="00F14737" w:rsidRDefault="00F44EB0" w:rsidP="00C977D1">
      <w:pPr>
        <w:rPr>
          <w:rFonts w:ascii="Arial" w:hAnsi="Arial"/>
          <w:b/>
          <w:bCs/>
          <w:sz w:val="26"/>
          <w:szCs w:val="26"/>
          <w:rtl/>
        </w:rPr>
      </w:pPr>
      <w:bookmarkStart w:id="8" w:name="Nitan"/>
      <w:r>
        <w:rPr>
          <w:rFonts w:ascii="Arial" w:hAnsi="Arial"/>
          <w:b/>
          <w:bCs/>
          <w:sz w:val="26"/>
          <w:szCs w:val="26"/>
          <w:rtl/>
        </w:rPr>
        <w:t xml:space="preserve">ניתן היום,  י"א ניסן תשפ"ב, 12 אפריל 2022, במעמד הצדדים. </w:t>
      </w:r>
      <w:bookmarkEnd w:id="8"/>
    </w:p>
    <w:p w14:paraId="65932CE1" w14:textId="77777777" w:rsidR="00C977D1" w:rsidRPr="00F14737" w:rsidRDefault="00C977D1" w:rsidP="00F44EB0">
      <w:pPr>
        <w:jc w:val="center"/>
      </w:pPr>
      <w:r w:rsidRPr="00F14737">
        <w:rPr>
          <w:rFonts w:ascii="Arial" w:hAnsi="Arial"/>
          <w:b/>
          <w:bCs/>
          <w:sz w:val="26"/>
          <w:szCs w:val="26"/>
          <w:rtl/>
        </w:rPr>
        <w:t xml:space="preserve">   </w:t>
      </w:r>
      <w:r w:rsidRPr="00F14737">
        <w:rPr>
          <w:rFonts w:ascii="Arial" w:hAnsi="Arial"/>
          <w:b/>
          <w:bCs/>
          <w:sz w:val="26"/>
          <w:szCs w:val="26"/>
          <w:rtl/>
        </w:rPr>
        <w:tab/>
      </w:r>
      <w:r w:rsidRPr="00F14737">
        <w:rPr>
          <w:rFonts w:ascii="Arial" w:hAnsi="Arial"/>
          <w:b/>
          <w:bCs/>
          <w:sz w:val="26"/>
          <w:szCs w:val="26"/>
          <w:rtl/>
        </w:rPr>
        <w:tab/>
      </w:r>
      <w:r w:rsidRPr="00F14737">
        <w:rPr>
          <w:rFonts w:ascii="Arial" w:hAnsi="Arial"/>
          <w:b/>
          <w:bCs/>
          <w:sz w:val="26"/>
          <w:szCs w:val="26"/>
          <w:rtl/>
        </w:rPr>
        <w:tab/>
      </w:r>
      <w:r w:rsidRPr="00F14737">
        <w:rPr>
          <w:rFonts w:ascii="Arial" w:hAnsi="Arial"/>
          <w:b/>
          <w:bCs/>
          <w:sz w:val="26"/>
          <w:szCs w:val="26"/>
          <w:rtl/>
        </w:rPr>
        <w:tab/>
      </w:r>
      <w:r w:rsidRPr="00F14737">
        <w:rPr>
          <w:rFonts w:ascii="Arial" w:hAnsi="Arial"/>
          <w:b/>
          <w:bCs/>
          <w:sz w:val="26"/>
          <w:szCs w:val="26"/>
          <w:rtl/>
        </w:rPr>
        <w:tab/>
      </w:r>
    </w:p>
    <w:p w14:paraId="5A2D97D7" w14:textId="77777777" w:rsidR="00C977D1" w:rsidRPr="005E0FD5" w:rsidRDefault="005E0FD5" w:rsidP="00C977D1">
      <w:pPr>
        <w:jc w:val="center"/>
        <w:rPr>
          <w:rFonts w:ascii="Arial" w:hAnsi="Arial"/>
          <w:b/>
          <w:bCs/>
          <w:color w:val="FFFFFF"/>
          <w:sz w:val="2"/>
          <w:szCs w:val="2"/>
          <w:rtl/>
        </w:rPr>
      </w:pPr>
      <w:r w:rsidRPr="005E0FD5">
        <w:rPr>
          <w:rFonts w:ascii="Arial" w:hAnsi="Arial"/>
          <w:b/>
          <w:bCs/>
          <w:color w:val="FFFFFF"/>
          <w:sz w:val="2"/>
          <w:szCs w:val="2"/>
          <w:rtl/>
        </w:rPr>
        <w:t>5129371</w:t>
      </w:r>
    </w:p>
    <w:p w14:paraId="222706B9" w14:textId="77777777" w:rsidR="00615D87" w:rsidRPr="005E0FD5" w:rsidRDefault="005E0FD5" w:rsidP="00F44EB0">
      <w:pPr>
        <w:keepNext/>
        <w:rPr>
          <w:rFonts w:ascii="David" w:hAnsi="David"/>
          <w:color w:val="FFFFFF"/>
          <w:sz w:val="2"/>
          <w:szCs w:val="2"/>
          <w:rtl/>
        </w:rPr>
      </w:pPr>
      <w:r w:rsidRPr="005E0FD5">
        <w:rPr>
          <w:rFonts w:ascii="David" w:hAnsi="David"/>
          <w:color w:val="FFFFFF"/>
          <w:sz w:val="2"/>
          <w:szCs w:val="2"/>
          <w:rtl/>
        </w:rPr>
        <w:t>54678313</w:t>
      </w:r>
    </w:p>
    <w:p w14:paraId="4E39A519" w14:textId="77777777" w:rsidR="00F44EB0" w:rsidRPr="00F44EB0" w:rsidRDefault="00F44EB0" w:rsidP="00F44EB0">
      <w:pPr>
        <w:keepNext/>
        <w:rPr>
          <w:rFonts w:ascii="David" w:hAnsi="David"/>
          <w:color w:val="000000"/>
          <w:sz w:val="22"/>
          <w:szCs w:val="22"/>
          <w:rtl/>
        </w:rPr>
      </w:pPr>
      <w:r w:rsidRPr="00F44EB0">
        <w:rPr>
          <w:rFonts w:ascii="David" w:hAnsi="David"/>
          <w:color w:val="000000"/>
          <w:sz w:val="22"/>
          <w:szCs w:val="22"/>
          <w:rtl/>
        </w:rPr>
        <w:t>חגית מאק קלמנוביץ 54678313</w:t>
      </w:r>
    </w:p>
    <w:p w14:paraId="147F8B46" w14:textId="77777777" w:rsidR="00F44EB0" w:rsidRDefault="00F44EB0" w:rsidP="00F44EB0">
      <w:r w:rsidRPr="00F44EB0">
        <w:rPr>
          <w:color w:val="000000"/>
          <w:rtl/>
        </w:rPr>
        <w:t>נוסח מסמך זה כפוף לשינויי ניסוח ועריכה</w:t>
      </w:r>
    </w:p>
    <w:p w14:paraId="7C0EB213" w14:textId="77777777" w:rsidR="00F44EB0" w:rsidRDefault="00F44EB0" w:rsidP="00F44EB0">
      <w:pPr>
        <w:rPr>
          <w:rtl/>
        </w:rPr>
      </w:pPr>
    </w:p>
    <w:p w14:paraId="5AD28534" w14:textId="77777777" w:rsidR="00F44EB0" w:rsidRDefault="00F44EB0" w:rsidP="00F44EB0">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p>
    <w:p w14:paraId="594CF0EF" w14:textId="77777777" w:rsidR="005E0FD5" w:rsidRPr="005E0FD5" w:rsidRDefault="005E0FD5" w:rsidP="005E0FD5">
      <w:pPr>
        <w:keepNext/>
        <w:rPr>
          <w:rFonts w:ascii="David" w:hAnsi="David"/>
          <w:color w:val="000000"/>
          <w:sz w:val="22"/>
          <w:szCs w:val="22"/>
          <w:rtl/>
        </w:rPr>
      </w:pPr>
    </w:p>
    <w:sectPr w:rsidR="005E0FD5" w:rsidRPr="005E0FD5" w:rsidSect="005E0FD5">
      <w:headerReference w:type="even" r:id="rId52"/>
      <w:headerReference w:type="default" r:id="rId53"/>
      <w:footerReference w:type="even" r:id="rId54"/>
      <w:footerReference w:type="default" r:id="rId5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423DE6" w14:textId="77777777" w:rsidR="00351355" w:rsidRDefault="00351355" w:rsidP="0020308F">
      <w:r>
        <w:separator/>
      </w:r>
    </w:p>
  </w:endnote>
  <w:endnote w:type="continuationSeparator" w:id="0">
    <w:p w14:paraId="393D50C4" w14:textId="77777777" w:rsidR="00351355" w:rsidRDefault="00351355" w:rsidP="00203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B22B4" w14:textId="77777777" w:rsidR="005E0FD5" w:rsidRDefault="005E0FD5" w:rsidP="005E0FD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0AF3339" w14:textId="77777777" w:rsidR="00352F29" w:rsidRPr="005E0FD5" w:rsidRDefault="005E0FD5" w:rsidP="005E0FD5">
    <w:pPr>
      <w:pStyle w:val="a5"/>
      <w:pBdr>
        <w:top w:val="single" w:sz="4" w:space="1" w:color="auto"/>
        <w:between w:val="single" w:sz="4" w:space="0" w:color="auto"/>
      </w:pBdr>
      <w:spacing w:after="60"/>
      <w:jc w:val="center"/>
      <w:rPr>
        <w:rFonts w:ascii="FrankRuehl" w:hAnsi="FrankRuehl" w:cs="FrankRuehl"/>
        <w:color w:val="000000"/>
      </w:rPr>
    </w:pPr>
    <w:r w:rsidRPr="005E0FD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9B699" w14:textId="77777777" w:rsidR="005E0FD5" w:rsidRDefault="005E0FD5" w:rsidP="005E0FD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D06A9">
      <w:rPr>
        <w:rFonts w:ascii="FrankRuehl" w:hAnsi="FrankRuehl" w:cs="FrankRuehl"/>
        <w:noProof/>
        <w:rtl/>
      </w:rPr>
      <w:t>1</w:t>
    </w:r>
    <w:r>
      <w:rPr>
        <w:rFonts w:ascii="FrankRuehl" w:hAnsi="FrankRuehl" w:cs="FrankRuehl"/>
        <w:rtl/>
      </w:rPr>
      <w:fldChar w:fldCharType="end"/>
    </w:r>
  </w:p>
  <w:p w14:paraId="786F05B6" w14:textId="77777777" w:rsidR="00352F29" w:rsidRPr="005E0FD5" w:rsidRDefault="005E0FD5" w:rsidP="005E0FD5">
    <w:pPr>
      <w:pStyle w:val="a5"/>
      <w:pBdr>
        <w:top w:val="single" w:sz="4" w:space="1" w:color="auto"/>
        <w:between w:val="single" w:sz="4" w:space="0" w:color="auto"/>
      </w:pBdr>
      <w:spacing w:after="60"/>
      <w:jc w:val="center"/>
      <w:rPr>
        <w:rFonts w:ascii="FrankRuehl" w:hAnsi="FrankRuehl" w:cs="FrankRuehl"/>
        <w:color w:val="000000"/>
      </w:rPr>
    </w:pPr>
    <w:r w:rsidRPr="005E0FD5">
      <w:rPr>
        <w:rFonts w:ascii="FrankRuehl" w:hAnsi="FrankRuehl" w:cs="FrankRuehl"/>
        <w:color w:val="000000"/>
      </w:rPr>
      <w:pict w14:anchorId="65A2D1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9712B2" w14:textId="77777777" w:rsidR="00351355" w:rsidRDefault="00351355" w:rsidP="0020308F">
      <w:r>
        <w:separator/>
      </w:r>
    </w:p>
  </w:footnote>
  <w:footnote w:type="continuationSeparator" w:id="0">
    <w:p w14:paraId="73B4319E" w14:textId="77777777" w:rsidR="00351355" w:rsidRDefault="00351355" w:rsidP="002030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6E7D3" w14:textId="77777777" w:rsidR="00F44EB0" w:rsidRPr="005E0FD5" w:rsidRDefault="005E0FD5" w:rsidP="005E0FD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16161-04-21</w:t>
    </w:r>
    <w:r>
      <w:rPr>
        <w:rFonts w:ascii="David" w:hAnsi="David"/>
        <w:color w:val="000000"/>
        <w:sz w:val="22"/>
        <w:szCs w:val="22"/>
        <w:rtl/>
      </w:rPr>
      <w:tab/>
      <w:t xml:space="preserve"> מדינת ישראל נ' יוסף ג'ולאני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38F47" w14:textId="77777777" w:rsidR="00F44EB0" w:rsidRPr="005E0FD5" w:rsidRDefault="005E0FD5" w:rsidP="005E0FD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16161-04-21</w:t>
    </w:r>
    <w:r>
      <w:rPr>
        <w:rFonts w:ascii="David" w:hAnsi="David"/>
        <w:color w:val="000000"/>
        <w:sz w:val="22"/>
        <w:szCs w:val="22"/>
        <w:rtl/>
      </w:rPr>
      <w:tab/>
      <w:t xml:space="preserve"> מדינת ישראל נ' יוסף ג'ולאני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7613C9"/>
    <w:multiLevelType w:val="hybridMultilevel"/>
    <w:tmpl w:val="25A6A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068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977D1"/>
    <w:rsid w:val="001B5A3B"/>
    <w:rsid w:val="0020308F"/>
    <w:rsid w:val="00351355"/>
    <w:rsid w:val="00352F29"/>
    <w:rsid w:val="00544851"/>
    <w:rsid w:val="005E0FD5"/>
    <w:rsid w:val="00615D87"/>
    <w:rsid w:val="007C6671"/>
    <w:rsid w:val="008F421C"/>
    <w:rsid w:val="009D06A9"/>
    <w:rsid w:val="009E68EA"/>
    <w:rsid w:val="00AE44E5"/>
    <w:rsid w:val="00C96CF5"/>
    <w:rsid w:val="00C977D1"/>
    <w:rsid w:val="00EB0392"/>
    <w:rsid w:val="00F10B69"/>
    <w:rsid w:val="00F44E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A24D9C"/>
  <w15:chartTrackingRefBased/>
  <w15:docId w15:val="{C041758B-2A24-4374-9ECA-95E8C6940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977D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977D1"/>
    <w:pPr>
      <w:tabs>
        <w:tab w:val="center" w:pos="4153"/>
        <w:tab w:val="right" w:pos="8306"/>
      </w:tabs>
    </w:pPr>
  </w:style>
  <w:style w:type="character" w:customStyle="1" w:styleId="a4">
    <w:name w:val="כותרת עליונה תו"/>
    <w:link w:val="a3"/>
    <w:rsid w:val="00C977D1"/>
    <w:rPr>
      <w:rFonts w:ascii="Times New Roman" w:eastAsia="Times New Roman" w:hAnsi="Times New Roman" w:cs="David"/>
      <w:sz w:val="24"/>
      <w:szCs w:val="24"/>
    </w:rPr>
  </w:style>
  <w:style w:type="paragraph" w:styleId="a5">
    <w:name w:val="footer"/>
    <w:basedOn w:val="a"/>
    <w:link w:val="a6"/>
    <w:rsid w:val="00C977D1"/>
    <w:pPr>
      <w:tabs>
        <w:tab w:val="center" w:pos="4153"/>
        <w:tab w:val="right" w:pos="8306"/>
      </w:tabs>
    </w:pPr>
  </w:style>
  <w:style w:type="character" w:customStyle="1" w:styleId="a6">
    <w:name w:val="כותרת תחתונה תו"/>
    <w:link w:val="a5"/>
    <w:rsid w:val="00C977D1"/>
    <w:rPr>
      <w:rFonts w:ascii="Times New Roman" w:eastAsia="Times New Roman" w:hAnsi="Times New Roman" w:cs="David"/>
      <w:sz w:val="24"/>
      <w:szCs w:val="24"/>
    </w:rPr>
  </w:style>
  <w:style w:type="table" w:styleId="a7">
    <w:name w:val="Table Grid"/>
    <w:basedOn w:val="a1"/>
    <w:rsid w:val="00C977D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977D1"/>
  </w:style>
  <w:style w:type="character" w:styleId="Hyperlink">
    <w:name w:val="Hyperlink"/>
    <w:rsid w:val="00C977D1"/>
    <w:rPr>
      <w:color w:val="0000FF"/>
      <w:u w:val="single"/>
    </w:rPr>
  </w:style>
  <w:style w:type="paragraph" w:styleId="a9">
    <w:name w:val="List Paragraph"/>
    <w:basedOn w:val="a"/>
    <w:qFormat/>
    <w:rsid w:val="00C97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38" TargetMode="External"/><Relationship Id="rId18" Type="http://schemas.openxmlformats.org/officeDocument/2006/relationships/hyperlink" Target="http://www.nevo.co.il/law/70301/144.b2" TargetMode="External"/><Relationship Id="rId26" Type="http://schemas.openxmlformats.org/officeDocument/2006/relationships/hyperlink" Target="http://www.nevo.co.il/law/5227/38" TargetMode="External"/><Relationship Id="rId39" Type="http://schemas.openxmlformats.org/officeDocument/2006/relationships/hyperlink" Target="http://www.nevo.co.il/case/26630169" TargetMode="External"/><Relationship Id="rId21" Type="http://schemas.openxmlformats.org/officeDocument/2006/relationships/hyperlink" Target="http://www.nevo.co.il/law/70301/29" TargetMode="External"/><Relationship Id="rId34" Type="http://schemas.openxmlformats.org/officeDocument/2006/relationships/hyperlink" Target="http://www.nevo.co.il/law/70301" TargetMode="External"/><Relationship Id="rId42" Type="http://schemas.openxmlformats.org/officeDocument/2006/relationships/hyperlink" Target="http://www.nevo.co.il/case/21474520" TargetMode="External"/><Relationship Id="rId47" Type="http://schemas.openxmlformats.org/officeDocument/2006/relationships/hyperlink" Target="http://www.nevo.co.il/case/23877236" TargetMode="External"/><Relationship Id="rId50" Type="http://schemas.openxmlformats.org/officeDocument/2006/relationships/hyperlink" Target="http://www.nevo.co.il/case/29101885" TargetMode="External"/><Relationship Id="rId55"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5594979" TargetMode="External"/><Relationship Id="rId11" Type="http://schemas.openxmlformats.org/officeDocument/2006/relationships/hyperlink" Target="http://www.nevo.co.il/law/5227" TargetMode="External"/><Relationship Id="rId24" Type="http://schemas.openxmlformats.org/officeDocument/2006/relationships/hyperlink" Target="http://www.nevo.co.il/law/5227/10.a" TargetMode="External"/><Relationship Id="rId32" Type="http://schemas.openxmlformats.org/officeDocument/2006/relationships/hyperlink" Target="http://www.nevo.co.il/case/27915710" TargetMode="External"/><Relationship Id="rId37" Type="http://schemas.openxmlformats.org/officeDocument/2006/relationships/hyperlink" Target="http://www.nevo.co.il/case/25836997" TargetMode="External"/><Relationship Id="rId40" Type="http://schemas.openxmlformats.org/officeDocument/2006/relationships/hyperlink" Target="http://www.nevo.co.il/case/28200855" TargetMode="External"/><Relationship Id="rId45" Type="http://schemas.openxmlformats.org/officeDocument/2006/relationships/hyperlink" Target="http://www.nevo.co.il/case/13090914" TargetMode="External"/><Relationship Id="rId53" Type="http://schemas.openxmlformats.org/officeDocument/2006/relationships/header" Target="header2.xml"/><Relationship Id="rId5" Type="http://schemas.openxmlformats.org/officeDocument/2006/relationships/footnotes" Target="footnotes.xm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5227/308.d" TargetMode="External"/><Relationship Id="rId22" Type="http://schemas.openxmlformats.org/officeDocument/2006/relationships/hyperlink" Target="http://www.nevo.co.il/law/70301" TargetMode="External"/><Relationship Id="rId27" Type="http://schemas.openxmlformats.org/officeDocument/2006/relationships/hyperlink" Target="http://www.nevo.co.il/law/5227/308.d" TargetMode="External"/><Relationship Id="rId30" Type="http://schemas.openxmlformats.org/officeDocument/2006/relationships/hyperlink" Target="http://www.nevo.co.il/case/5764932" TargetMode="External"/><Relationship Id="rId35" Type="http://schemas.openxmlformats.org/officeDocument/2006/relationships/hyperlink" Target="http://www.nevo.co.il/case/25824863" TargetMode="External"/><Relationship Id="rId43" Type="http://schemas.openxmlformats.org/officeDocument/2006/relationships/hyperlink" Target="http://www.nevo.co.il/case/27012810" TargetMode="External"/><Relationship Id="rId48" Type="http://schemas.openxmlformats.org/officeDocument/2006/relationships/hyperlink" Target="http://www.nevo.co.il/case/27651336" TargetMode="External"/><Relationship Id="rId56" Type="http://schemas.openxmlformats.org/officeDocument/2006/relationships/fontTable" Target="fontTable.xml"/><Relationship Id="rId8" Type="http://schemas.openxmlformats.org/officeDocument/2006/relationships/hyperlink" Target="http://www.nevo.co.il/law/70301/29" TargetMode="External"/><Relationship Id="rId51"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5227/10.a"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law/5227" TargetMode="External"/><Relationship Id="rId33" Type="http://schemas.openxmlformats.org/officeDocument/2006/relationships/hyperlink" Target="http://www.nevo.co.il/case/7697292" TargetMode="External"/><Relationship Id="rId38" Type="http://schemas.openxmlformats.org/officeDocument/2006/relationships/hyperlink" Target="http://www.nevo.co.il/case/27347604" TargetMode="External"/><Relationship Id="rId46" Type="http://schemas.openxmlformats.org/officeDocument/2006/relationships/hyperlink" Target="http://www.nevo.co.il/case/26327799" TargetMode="External"/><Relationship Id="rId20" Type="http://schemas.openxmlformats.org/officeDocument/2006/relationships/hyperlink" Target="http://www.nevo.co.il/law/70301/144.b2" TargetMode="External"/><Relationship Id="rId41" Type="http://schemas.openxmlformats.org/officeDocument/2006/relationships/hyperlink" Target="http://www.nevo.co.il/case/23750625"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b2"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case/21474520" TargetMode="External"/><Relationship Id="rId36" Type="http://schemas.openxmlformats.org/officeDocument/2006/relationships/hyperlink" Target="http://www.nevo.co.il/case/25063920" TargetMode="External"/><Relationship Id="rId49" Type="http://schemas.openxmlformats.org/officeDocument/2006/relationships/hyperlink" Target="http://www.nevo.co.il/case/26850562" TargetMode="External"/><Relationship Id="rId57" Type="http://schemas.openxmlformats.org/officeDocument/2006/relationships/theme" Target="theme/theme1.xml"/><Relationship Id="rId10" Type="http://schemas.openxmlformats.org/officeDocument/2006/relationships/hyperlink" Target="http://www.nevo.co.il/law/70301/144.b2" TargetMode="External"/><Relationship Id="rId31" Type="http://schemas.openxmlformats.org/officeDocument/2006/relationships/hyperlink" Target="http://www.nevo.co.il/case/5724364" TargetMode="External"/><Relationship Id="rId44" Type="http://schemas.openxmlformats.org/officeDocument/2006/relationships/hyperlink" Target="http://www.nevo.co.il/case/20775010"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3317</Words>
  <Characters>16586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19864</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3801205</vt:i4>
      </vt:variant>
      <vt:variant>
        <vt:i4>129</vt:i4>
      </vt:variant>
      <vt:variant>
        <vt:i4>0</vt:i4>
      </vt:variant>
      <vt:variant>
        <vt:i4>5</vt:i4>
      </vt:variant>
      <vt:variant>
        <vt:lpwstr>http://www.nevo.co.il/case/29101885</vt:lpwstr>
      </vt:variant>
      <vt:variant>
        <vt:lpwstr/>
      </vt:variant>
      <vt:variant>
        <vt:i4>3932274</vt:i4>
      </vt:variant>
      <vt:variant>
        <vt:i4>126</vt:i4>
      </vt:variant>
      <vt:variant>
        <vt:i4>0</vt:i4>
      </vt:variant>
      <vt:variant>
        <vt:i4>5</vt:i4>
      </vt:variant>
      <vt:variant>
        <vt:lpwstr>http://www.nevo.co.il/case/26850562</vt:lpwstr>
      </vt:variant>
      <vt:variant>
        <vt:lpwstr/>
      </vt:variant>
      <vt:variant>
        <vt:i4>3539061</vt:i4>
      </vt:variant>
      <vt:variant>
        <vt:i4>123</vt:i4>
      </vt:variant>
      <vt:variant>
        <vt:i4>0</vt:i4>
      </vt:variant>
      <vt:variant>
        <vt:i4>5</vt:i4>
      </vt:variant>
      <vt:variant>
        <vt:lpwstr>http://www.nevo.co.il/case/27651336</vt:lpwstr>
      </vt:variant>
      <vt:variant>
        <vt:lpwstr/>
      </vt:variant>
      <vt:variant>
        <vt:i4>4063346</vt:i4>
      </vt:variant>
      <vt:variant>
        <vt:i4>120</vt:i4>
      </vt:variant>
      <vt:variant>
        <vt:i4>0</vt:i4>
      </vt:variant>
      <vt:variant>
        <vt:i4>5</vt:i4>
      </vt:variant>
      <vt:variant>
        <vt:lpwstr>http://www.nevo.co.il/case/23877236</vt:lpwstr>
      </vt:variant>
      <vt:variant>
        <vt:lpwstr/>
      </vt:variant>
      <vt:variant>
        <vt:i4>4128887</vt:i4>
      </vt:variant>
      <vt:variant>
        <vt:i4>117</vt:i4>
      </vt:variant>
      <vt:variant>
        <vt:i4>0</vt:i4>
      </vt:variant>
      <vt:variant>
        <vt:i4>5</vt:i4>
      </vt:variant>
      <vt:variant>
        <vt:lpwstr>http://www.nevo.co.il/case/26327799</vt:lpwstr>
      </vt:variant>
      <vt:variant>
        <vt:lpwstr/>
      </vt:variant>
      <vt:variant>
        <vt:i4>3145847</vt:i4>
      </vt:variant>
      <vt:variant>
        <vt:i4>114</vt:i4>
      </vt:variant>
      <vt:variant>
        <vt:i4>0</vt:i4>
      </vt:variant>
      <vt:variant>
        <vt:i4>5</vt:i4>
      </vt:variant>
      <vt:variant>
        <vt:lpwstr>http://www.nevo.co.il/case/13090914</vt:lpwstr>
      </vt:variant>
      <vt:variant>
        <vt:lpwstr/>
      </vt:variant>
      <vt:variant>
        <vt:i4>3211379</vt:i4>
      </vt:variant>
      <vt:variant>
        <vt:i4>111</vt:i4>
      </vt:variant>
      <vt:variant>
        <vt:i4>0</vt:i4>
      </vt:variant>
      <vt:variant>
        <vt:i4>5</vt:i4>
      </vt:variant>
      <vt:variant>
        <vt:lpwstr>http://www.nevo.co.il/case/20775010</vt:lpwstr>
      </vt:variant>
      <vt:variant>
        <vt:lpwstr/>
      </vt:variant>
      <vt:variant>
        <vt:i4>3211386</vt:i4>
      </vt:variant>
      <vt:variant>
        <vt:i4>108</vt:i4>
      </vt:variant>
      <vt:variant>
        <vt:i4>0</vt:i4>
      </vt:variant>
      <vt:variant>
        <vt:i4>5</vt:i4>
      </vt:variant>
      <vt:variant>
        <vt:lpwstr>http://www.nevo.co.il/case/27012810</vt:lpwstr>
      </vt:variant>
      <vt:variant>
        <vt:lpwstr/>
      </vt:variant>
      <vt:variant>
        <vt:i4>3145847</vt:i4>
      </vt:variant>
      <vt:variant>
        <vt:i4>105</vt:i4>
      </vt:variant>
      <vt:variant>
        <vt:i4>0</vt:i4>
      </vt:variant>
      <vt:variant>
        <vt:i4>5</vt:i4>
      </vt:variant>
      <vt:variant>
        <vt:lpwstr>http://www.nevo.co.il/case/21474520</vt:lpwstr>
      </vt:variant>
      <vt:variant>
        <vt:lpwstr/>
      </vt:variant>
      <vt:variant>
        <vt:i4>3604596</vt:i4>
      </vt:variant>
      <vt:variant>
        <vt:i4>102</vt:i4>
      </vt:variant>
      <vt:variant>
        <vt:i4>0</vt:i4>
      </vt:variant>
      <vt:variant>
        <vt:i4>5</vt:i4>
      </vt:variant>
      <vt:variant>
        <vt:lpwstr>http://www.nevo.co.il/case/23750625</vt:lpwstr>
      </vt:variant>
      <vt:variant>
        <vt:lpwstr/>
      </vt:variant>
      <vt:variant>
        <vt:i4>3473524</vt:i4>
      </vt:variant>
      <vt:variant>
        <vt:i4>99</vt:i4>
      </vt:variant>
      <vt:variant>
        <vt:i4>0</vt:i4>
      </vt:variant>
      <vt:variant>
        <vt:i4>5</vt:i4>
      </vt:variant>
      <vt:variant>
        <vt:lpwstr>http://www.nevo.co.il/case/28200855</vt:lpwstr>
      </vt:variant>
      <vt:variant>
        <vt:lpwstr/>
      </vt:variant>
      <vt:variant>
        <vt:i4>3276912</vt:i4>
      </vt:variant>
      <vt:variant>
        <vt:i4>96</vt:i4>
      </vt:variant>
      <vt:variant>
        <vt:i4>0</vt:i4>
      </vt:variant>
      <vt:variant>
        <vt:i4>5</vt:i4>
      </vt:variant>
      <vt:variant>
        <vt:lpwstr>http://www.nevo.co.il/case/26630169</vt:lpwstr>
      </vt:variant>
      <vt:variant>
        <vt:lpwstr/>
      </vt:variant>
      <vt:variant>
        <vt:i4>3539057</vt:i4>
      </vt:variant>
      <vt:variant>
        <vt:i4>93</vt:i4>
      </vt:variant>
      <vt:variant>
        <vt:i4>0</vt:i4>
      </vt:variant>
      <vt:variant>
        <vt:i4>5</vt:i4>
      </vt:variant>
      <vt:variant>
        <vt:lpwstr>http://www.nevo.co.il/case/27347604</vt:lpwstr>
      </vt:variant>
      <vt:variant>
        <vt:lpwstr/>
      </vt:variant>
      <vt:variant>
        <vt:i4>3473531</vt:i4>
      </vt:variant>
      <vt:variant>
        <vt:i4>90</vt:i4>
      </vt:variant>
      <vt:variant>
        <vt:i4>0</vt:i4>
      </vt:variant>
      <vt:variant>
        <vt:i4>5</vt:i4>
      </vt:variant>
      <vt:variant>
        <vt:lpwstr>http://www.nevo.co.il/case/25836997</vt:lpwstr>
      </vt:variant>
      <vt:variant>
        <vt:lpwstr/>
      </vt:variant>
      <vt:variant>
        <vt:i4>3342462</vt:i4>
      </vt:variant>
      <vt:variant>
        <vt:i4>87</vt:i4>
      </vt:variant>
      <vt:variant>
        <vt:i4>0</vt:i4>
      </vt:variant>
      <vt:variant>
        <vt:i4>5</vt:i4>
      </vt:variant>
      <vt:variant>
        <vt:lpwstr>http://www.nevo.co.il/case/25063920</vt:lpwstr>
      </vt:variant>
      <vt:variant>
        <vt:lpwstr/>
      </vt:variant>
      <vt:variant>
        <vt:i4>3670139</vt:i4>
      </vt:variant>
      <vt:variant>
        <vt:i4>84</vt:i4>
      </vt:variant>
      <vt:variant>
        <vt:i4>0</vt:i4>
      </vt:variant>
      <vt:variant>
        <vt:i4>5</vt:i4>
      </vt:variant>
      <vt:variant>
        <vt:lpwstr>http://www.nevo.co.il/case/25824863</vt:lpwstr>
      </vt:variant>
      <vt:variant>
        <vt:lpwstr/>
      </vt:variant>
      <vt:variant>
        <vt:i4>7995492</vt:i4>
      </vt:variant>
      <vt:variant>
        <vt:i4>81</vt:i4>
      </vt:variant>
      <vt:variant>
        <vt:i4>0</vt:i4>
      </vt:variant>
      <vt:variant>
        <vt:i4>5</vt:i4>
      </vt:variant>
      <vt:variant>
        <vt:lpwstr>http://www.nevo.co.il/law/70301</vt:lpwstr>
      </vt:variant>
      <vt:variant>
        <vt:lpwstr/>
      </vt:variant>
      <vt:variant>
        <vt:i4>4063356</vt:i4>
      </vt:variant>
      <vt:variant>
        <vt:i4>78</vt:i4>
      </vt:variant>
      <vt:variant>
        <vt:i4>0</vt:i4>
      </vt:variant>
      <vt:variant>
        <vt:i4>5</vt:i4>
      </vt:variant>
      <vt:variant>
        <vt:lpwstr>http://www.nevo.co.il/case/7697292</vt:lpwstr>
      </vt:variant>
      <vt:variant>
        <vt:lpwstr/>
      </vt:variant>
      <vt:variant>
        <vt:i4>4128885</vt:i4>
      </vt:variant>
      <vt:variant>
        <vt:i4>75</vt:i4>
      </vt:variant>
      <vt:variant>
        <vt:i4>0</vt:i4>
      </vt:variant>
      <vt:variant>
        <vt:i4>5</vt:i4>
      </vt:variant>
      <vt:variant>
        <vt:lpwstr>http://www.nevo.co.il/case/27915710</vt:lpwstr>
      </vt:variant>
      <vt:variant>
        <vt:lpwstr/>
      </vt:variant>
      <vt:variant>
        <vt:i4>3145841</vt:i4>
      </vt:variant>
      <vt:variant>
        <vt:i4>72</vt:i4>
      </vt:variant>
      <vt:variant>
        <vt:i4>0</vt:i4>
      </vt:variant>
      <vt:variant>
        <vt:i4>5</vt:i4>
      </vt:variant>
      <vt:variant>
        <vt:lpwstr>http://www.nevo.co.il/case/5724364</vt:lpwstr>
      </vt:variant>
      <vt:variant>
        <vt:lpwstr/>
      </vt:variant>
      <vt:variant>
        <vt:i4>3670132</vt:i4>
      </vt:variant>
      <vt:variant>
        <vt:i4>69</vt:i4>
      </vt:variant>
      <vt:variant>
        <vt:i4>0</vt:i4>
      </vt:variant>
      <vt:variant>
        <vt:i4>5</vt:i4>
      </vt:variant>
      <vt:variant>
        <vt:lpwstr>http://www.nevo.co.il/case/5764932</vt:lpwstr>
      </vt:variant>
      <vt:variant>
        <vt:lpwstr/>
      </vt:variant>
      <vt:variant>
        <vt:i4>3932274</vt:i4>
      </vt:variant>
      <vt:variant>
        <vt:i4>66</vt:i4>
      </vt:variant>
      <vt:variant>
        <vt:i4>0</vt:i4>
      </vt:variant>
      <vt:variant>
        <vt:i4>5</vt:i4>
      </vt:variant>
      <vt:variant>
        <vt:lpwstr>http://www.nevo.co.il/case/5594979</vt:lpwstr>
      </vt:variant>
      <vt:variant>
        <vt:lpwstr/>
      </vt:variant>
      <vt:variant>
        <vt:i4>3145847</vt:i4>
      </vt:variant>
      <vt:variant>
        <vt:i4>63</vt:i4>
      </vt:variant>
      <vt:variant>
        <vt:i4>0</vt:i4>
      </vt:variant>
      <vt:variant>
        <vt:i4>5</vt:i4>
      </vt:variant>
      <vt:variant>
        <vt:lpwstr>http://www.nevo.co.il/case/21474520</vt:lpwstr>
      </vt:variant>
      <vt:variant>
        <vt:lpwstr/>
      </vt:variant>
      <vt:variant>
        <vt:i4>1048662</vt:i4>
      </vt:variant>
      <vt:variant>
        <vt:i4>60</vt:i4>
      </vt:variant>
      <vt:variant>
        <vt:i4>0</vt:i4>
      </vt:variant>
      <vt:variant>
        <vt:i4>5</vt:i4>
      </vt:variant>
      <vt:variant>
        <vt:lpwstr>http://www.nevo.co.il/law/5227/308.d</vt:lpwstr>
      </vt:variant>
      <vt:variant>
        <vt:lpwstr/>
      </vt:variant>
      <vt:variant>
        <vt:i4>4980808</vt:i4>
      </vt:variant>
      <vt:variant>
        <vt:i4>57</vt:i4>
      </vt:variant>
      <vt:variant>
        <vt:i4>0</vt:i4>
      </vt:variant>
      <vt:variant>
        <vt:i4>5</vt:i4>
      </vt:variant>
      <vt:variant>
        <vt:lpwstr>http://www.nevo.co.il/law/5227/38</vt:lpwstr>
      </vt:variant>
      <vt:variant>
        <vt:lpwstr/>
      </vt:variant>
      <vt:variant>
        <vt:i4>8323175</vt:i4>
      </vt:variant>
      <vt:variant>
        <vt:i4>54</vt:i4>
      </vt:variant>
      <vt:variant>
        <vt:i4>0</vt:i4>
      </vt:variant>
      <vt:variant>
        <vt:i4>5</vt:i4>
      </vt:variant>
      <vt:variant>
        <vt:lpwstr>http://www.nevo.co.il/law/5227</vt:lpwstr>
      </vt:variant>
      <vt:variant>
        <vt:lpwstr/>
      </vt:variant>
      <vt:variant>
        <vt:i4>6291576</vt:i4>
      </vt:variant>
      <vt:variant>
        <vt:i4>51</vt:i4>
      </vt:variant>
      <vt:variant>
        <vt:i4>0</vt:i4>
      </vt:variant>
      <vt:variant>
        <vt:i4>5</vt:i4>
      </vt:variant>
      <vt:variant>
        <vt:lpwstr>http://www.nevo.co.il/law/5227/10.a</vt:lpwstr>
      </vt:variant>
      <vt:variant>
        <vt:lpwstr/>
      </vt:variant>
      <vt:variant>
        <vt:i4>5177424</vt:i4>
      </vt:variant>
      <vt:variant>
        <vt:i4>48</vt:i4>
      </vt:variant>
      <vt:variant>
        <vt:i4>0</vt:i4>
      </vt:variant>
      <vt:variant>
        <vt:i4>5</vt:i4>
      </vt:variant>
      <vt:variant>
        <vt:lpwstr>http://www.nevo.co.il/law/70301/144.b</vt:lpwstr>
      </vt:variant>
      <vt:variant>
        <vt:lpwstr/>
      </vt:variant>
      <vt:variant>
        <vt:i4>7995492</vt:i4>
      </vt:variant>
      <vt:variant>
        <vt:i4>45</vt:i4>
      </vt:variant>
      <vt:variant>
        <vt:i4>0</vt:i4>
      </vt:variant>
      <vt:variant>
        <vt:i4>5</vt:i4>
      </vt:variant>
      <vt:variant>
        <vt:lpwstr>http://www.nevo.co.il/law/70301</vt:lpwstr>
      </vt:variant>
      <vt:variant>
        <vt:lpwstr/>
      </vt:variant>
      <vt:variant>
        <vt:i4>7077991</vt:i4>
      </vt:variant>
      <vt:variant>
        <vt:i4>42</vt:i4>
      </vt:variant>
      <vt:variant>
        <vt:i4>0</vt:i4>
      </vt:variant>
      <vt:variant>
        <vt:i4>5</vt:i4>
      </vt:variant>
      <vt:variant>
        <vt:lpwstr>http://www.nevo.co.il/law/70301/29</vt:lpwstr>
      </vt:variant>
      <vt:variant>
        <vt:lpwstr/>
      </vt:variant>
      <vt:variant>
        <vt:i4>8192050</vt:i4>
      </vt:variant>
      <vt:variant>
        <vt:i4>39</vt:i4>
      </vt:variant>
      <vt:variant>
        <vt:i4>0</vt:i4>
      </vt:variant>
      <vt:variant>
        <vt:i4>5</vt:i4>
      </vt:variant>
      <vt:variant>
        <vt:lpwstr>http://www.nevo.co.il/law/70301/144.b2</vt:lpwstr>
      </vt:variant>
      <vt:variant>
        <vt:lpwstr/>
      </vt:variant>
      <vt:variant>
        <vt:i4>7995492</vt:i4>
      </vt:variant>
      <vt:variant>
        <vt:i4>36</vt:i4>
      </vt:variant>
      <vt:variant>
        <vt:i4>0</vt:i4>
      </vt:variant>
      <vt:variant>
        <vt:i4>5</vt:i4>
      </vt:variant>
      <vt:variant>
        <vt:lpwstr>http://www.nevo.co.il/law/70301</vt:lpwstr>
      </vt:variant>
      <vt:variant>
        <vt:lpwstr/>
      </vt:variant>
      <vt:variant>
        <vt:i4>8192050</vt:i4>
      </vt:variant>
      <vt:variant>
        <vt:i4>33</vt:i4>
      </vt:variant>
      <vt:variant>
        <vt:i4>0</vt:i4>
      </vt:variant>
      <vt:variant>
        <vt:i4>5</vt:i4>
      </vt:variant>
      <vt:variant>
        <vt:lpwstr>http://www.nevo.co.il/law/70301/144.b2</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7995492</vt:i4>
      </vt:variant>
      <vt:variant>
        <vt:i4>27</vt:i4>
      </vt:variant>
      <vt:variant>
        <vt:i4>0</vt:i4>
      </vt:variant>
      <vt:variant>
        <vt:i4>5</vt:i4>
      </vt:variant>
      <vt:variant>
        <vt:lpwstr>http://www.nevo.co.il/law/70301</vt:lpwstr>
      </vt:variant>
      <vt:variant>
        <vt:lpwstr/>
      </vt:variant>
      <vt:variant>
        <vt:i4>8192050</vt:i4>
      </vt:variant>
      <vt:variant>
        <vt:i4>24</vt:i4>
      </vt:variant>
      <vt:variant>
        <vt:i4>0</vt:i4>
      </vt:variant>
      <vt:variant>
        <vt:i4>5</vt:i4>
      </vt:variant>
      <vt:variant>
        <vt:lpwstr>http://www.nevo.co.il/law/70301/144.b2</vt:lpwstr>
      </vt:variant>
      <vt:variant>
        <vt:lpwstr/>
      </vt:variant>
      <vt:variant>
        <vt:i4>1048662</vt:i4>
      </vt:variant>
      <vt:variant>
        <vt:i4>21</vt:i4>
      </vt:variant>
      <vt:variant>
        <vt:i4>0</vt:i4>
      </vt:variant>
      <vt:variant>
        <vt:i4>5</vt:i4>
      </vt:variant>
      <vt:variant>
        <vt:lpwstr>http://www.nevo.co.il/law/5227/308.d</vt:lpwstr>
      </vt:variant>
      <vt:variant>
        <vt:lpwstr/>
      </vt:variant>
      <vt:variant>
        <vt:i4>4980808</vt:i4>
      </vt:variant>
      <vt:variant>
        <vt:i4>18</vt:i4>
      </vt:variant>
      <vt:variant>
        <vt:i4>0</vt:i4>
      </vt:variant>
      <vt:variant>
        <vt:i4>5</vt:i4>
      </vt:variant>
      <vt:variant>
        <vt:lpwstr>http://www.nevo.co.il/law/5227/38</vt:lpwstr>
      </vt:variant>
      <vt:variant>
        <vt:lpwstr/>
      </vt:variant>
      <vt:variant>
        <vt:i4>6291576</vt:i4>
      </vt:variant>
      <vt:variant>
        <vt:i4>15</vt:i4>
      </vt:variant>
      <vt:variant>
        <vt:i4>0</vt:i4>
      </vt:variant>
      <vt:variant>
        <vt:i4>5</vt:i4>
      </vt:variant>
      <vt:variant>
        <vt:lpwstr>http://www.nevo.co.il/law/5227/10.a</vt:lpwstr>
      </vt:variant>
      <vt:variant>
        <vt:lpwstr/>
      </vt:variant>
      <vt:variant>
        <vt:i4>8323175</vt:i4>
      </vt:variant>
      <vt:variant>
        <vt:i4>12</vt:i4>
      </vt:variant>
      <vt:variant>
        <vt:i4>0</vt:i4>
      </vt:variant>
      <vt:variant>
        <vt:i4>5</vt:i4>
      </vt:variant>
      <vt:variant>
        <vt:lpwstr>http://www.nevo.co.il/law/5227</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2025-04-25T10:50:00Z</dcterms:created>
  <dcterms:modified xsi:type="dcterms:W3CDTF">2025-04-25T10:50:00Z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16161</vt:lpwstr>
  </property>
  <property fmtid="{D5CDD505-2E9C-101B-9397-08002B2CF9AE}" pid="6" name="NEWPARTB">
    <vt:lpwstr>04</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יוסף ג'ולאני;חמזה קוואסמי</vt:lpwstr>
  </property>
  <property fmtid="{D5CDD505-2E9C-101B-9397-08002B2CF9AE}" pid="10" name="LAWYER">
    <vt:lpwstr>סאהר עלי</vt:lpwstr>
  </property>
  <property fmtid="{D5CDD505-2E9C-101B-9397-08002B2CF9AE}" pid="11" name="JUDGE">
    <vt:lpwstr>חגית מאק קלמנוביץ</vt:lpwstr>
  </property>
  <property fmtid="{D5CDD505-2E9C-101B-9397-08002B2CF9AE}" pid="12" name="CITY">
    <vt:lpwstr>י-ם</vt:lpwstr>
  </property>
  <property fmtid="{D5CDD505-2E9C-101B-9397-08002B2CF9AE}" pid="13" name="DATE">
    <vt:lpwstr>20220412</vt:lpwstr>
  </property>
  <property fmtid="{D5CDD505-2E9C-101B-9397-08002B2CF9AE}" pid="14" name="TYPE_N_DATE">
    <vt:lpwstr>39020220412</vt:lpwstr>
  </property>
  <property fmtid="{D5CDD505-2E9C-101B-9397-08002B2CF9AE}" pid="15" name="WORDNUMPAGES">
    <vt:lpwstr>11</vt:lpwstr>
  </property>
  <property fmtid="{D5CDD505-2E9C-101B-9397-08002B2CF9AE}" pid="16" name="TYPE_ABS_DATE">
    <vt:lpwstr>390020220412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21474520:2;5594979;5764932;5724364;27915710;7697292;25824863;25063920;25836997;27347604;26630169;28200855;23750625;27012810;20775010;13090914;26327799;23877236;27651336;26850562;29101885</vt:lpwstr>
  </property>
  <property fmtid="{D5CDD505-2E9C-101B-9397-08002B2CF9AE}" pid="36" name="LAWLISTTMP1">
    <vt:lpwstr>70301/144.b2:3;144.b:2;029</vt:lpwstr>
  </property>
  <property fmtid="{D5CDD505-2E9C-101B-9397-08002B2CF9AE}" pid="37" name="LAWLISTTMP2">
    <vt:lpwstr>5227/010.a;038;308.d</vt:lpwstr>
  </property>
</Properties>
</file>